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hAnsi="Arial" w:cs="Arial"/>
          <w:b w:val="0"/>
          <w:noProof w:val="0"/>
          <w:sz w:val="28"/>
          <w:szCs w:val="28"/>
          <w:lang w:eastAsia="en-US"/>
        </w:rPr>
        <w:id w:val="1049189734"/>
        <w:docPartObj>
          <w:docPartGallery w:val="Cover Pages"/>
          <w:docPartUnique/>
        </w:docPartObj>
      </w:sdtPr>
      <w:sdtContent>
        <w:p w:rsidR="00206D1F" w:rsidRPr="00994DBD" w:rsidRDefault="00206D1F" w:rsidP="00206D1F">
          <w:pPr>
            <w:pStyle w:val="OrganisationName"/>
          </w:pPr>
          <w:r w:rsidRPr="00994DBD">
            <w:drawing>
              <wp:anchor distT="0" distB="0" distL="114300" distR="114300" simplePos="0" relativeHeight="251662336" behindDoc="1" locked="0" layoutInCell="1" allowOverlap="1" wp14:anchorId="4AC49946" wp14:editId="7339019F">
                <wp:simplePos x="0" y="0"/>
                <wp:positionH relativeFrom="column">
                  <wp:posOffset>-493395</wp:posOffset>
                </wp:positionH>
                <wp:positionV relativeFrom="paragraph">
                  <wp:posOffset>-477520</wp:posOffset>
                </wp:positionV>
                <wp:extent cx="7595870" cy="10744200"/>
                <wp:effectExtent l="0" t="0" r="5080" b="0"/>
                <wp:wrapNone/>
                <wp:docPr id="3" name="Picture 3"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uot; &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5870" cy="10744200"/>
                        </a:xfrm>
                        <a:prstGeom prst="rect">
                          <a:avLst/>
                        </a:prstGeom>
                        <a:noFill/>
                      </pic:spPr>
                    </pic:pic>
                  </a:graphicData>
                </a:graphic>
                <wp14:sizeRelH relativeFrom="page">
                  <wp14:pctWidth>0</wp14:pctWidth>
                </wp14:sizeRelH>
                <wp14:sizeRelV relativeFrom="page">
                  <wp14:pctHeight>0</wp14:pctHeight>
                </wp14:sizeRelV>
              </wp:anchor>
            </w:drawing>
          </w:r>
          <w:r w:rsidRPr="00994DBD">
            <w:drawing>
              <wp:anchor distT="0" distB="0" distL="114300" distR="114300" simplePos="0" relativeHeight="251661312" behindDoc="0" locked="0" layoutInCell="1" allowOverlap="1" wp14:anchorId="6D001FE1" wp14:editId="38D3E2F7">
                <wp:simplePos x="0" y="0"/>
                <wp:positionH relativeFrom="column">
                  <wp:posOffset>5840095</wp:posOffset>
                </wp:positionH>
                <wp:positionV relativeFrom="paragraph">
                  <wp:posOffset>19050</wp:posOffset>
                </wp:positionV>
                <wp:extent cx="1057275" cy="1440180"/>
                <wp:effectExtent l="0" t="0" r="0" b="0"/>
                <wp:wrapNone/>
                <wp:docPr id="2" name="Picture 2" descr="Independent Hospital Pricing Author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 &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440180"/>
                        </a:xfrm>
                        <a:prstGeom prst="rect">
                          <a:avLst/>
                        </a:prstGeom>
                        <a:noFill/>
                      </pic:spPr>
                    </pic:pic>
                  </a:graphicData>
                </a:graphic>
                <wp14:sizeRelH relativeFrom="margin">
                  <wp14:pctWidth>0</wp14:pctWidth>
                </wp14:sizeRelH>
                <wp14:sizeRelV relativeFrom="margin">
                  <wp14:pctHeight>0</wp14:pctHeight>
                </wp14:sizeRelV>
              </wp:anchor>
            </w:drawing>
          </w:r>
        </w:p>
        <w:p w:rsidR="00206D1F" w:rsidRPr="00C32FB0" w:rsidRDefault="0019199C" w:rsidP="00206D1F">
          <w:pPr>
            <w:pStyle w:val="TitlePlain"/>
            <w:rPr>
              <w:rFonts w:ascii="Arial" w:hAnsi="Arial" w:cs="Arial"/>
            </w:rPr>
          </w:pPr>
          <w:r>
            <w:rPr>
              <w:rFonts w:ascii="Arial" w:hAnsi="Arial" w:cs="Arial"/>
            </w:rPr>
            <w:t>D</w:t>
          </w:r>
          <w:r w:rsidR="00206D1F" w:rsidRPr="00C32FB0">
            <w:rPr>
              <w:rFonts w:ascii="Arial" w:hAnsi="Arial" w:cs="Arial"/>
            </w:rPr>
            <w:t>evelopme</w:t>
          </w:r>
          <w:bookmarkStart w:id="0" w:name="_GoBack"/>
          <w:bookmarkEnd w:id="0"/>
          <w:r w:rsidR="00206D1F" w:rsidRPr="00C32FB0">
            <w:rPr>
              <w:rFonts w:ascii="Arial" w:hAnsi="Arial" w:cs="Arial"/>
            </w:rPr>
            <w:t>nt of the Australian Mental Health Care Classification</w:t>
          </w:r>
        </w:p>
        <w:p w:rsidR="00206D1F" w:rsidRPr="00C32FB0" w:rsidRDefault="00206D1F" w:rsidP="00206D1F">
          <w:pPr>
            <w:pStyle w:val="SubtitlePlain"/>
            <w:rPr>
              <w:rFonts w:ascii="Arial" w:hAnsi="Arial" w:cs="Arial"/>
            </w:rPr>
          </w:pPr>
          <w:r w:rsidRPr="00C32FB0">
            <w:rPr>
              <w:rFonts w:ascii="Arial" w:hAnsi="Arial" w:cs="Arial"/>
            </w:rPr>
            <w:t>Public consultation paper 1</w:t>
          </w:r>
        </w:p>
        <w:p w:rsidR="00206D1F" w:rsidRPr="00C32FB0" w:rsidRDefault="00206D1F" w:rsidP="00206D1F">
          <w:pPr>
            <w:pStyle w:val="VesionanddatePlain"/>
            <w:rPr>
              <w:rFonts w:ascii="Arial" w:hAnsi="Arial" w:cs="Arial"/>
            </w:rPr>
          </w:pPr>
          <w:r w:rsidRPr="00C32FB0">
            <w:rPr>
              <w:rFonts w:ascii="Arial" w:hAnsi="Arial" w:cs="Arial"/>
            </w:rPr>
            <w:t>January 2015</w:t>
          </w:r>
        </w:p>
        <w:p w:rsidR="00206D1F" w:rsidRPr="00C32FB0" w:rsidRDefault="007E6941" w:rsidP="00206D1F">
          <w:pPr>
            <w:spacing w:after="0"/>
            <w:rPr>
              <w:rFonts w:ascii="Arial" w:hAnsi="Arial" w:cs="Arial"/>
              <w:sz w:val="28"/>
              <w:szCs w:val="28"/>
            </w:rPr>
            <w:sectPr w:rsidR="00206D1F" w:rsidRPr="00C32FB0">
              <w:footerReference w:type="default" r:id="rId11"/>
              <w:pgSz w:w="11906" w:h="16838"/>
              <w:pgMar w:top="720" w:right="720" w:bottom="720" w:left="720" w:header="709" w:footer="709" w:gutter="0"/>
              <w:pgNumType w:start="0"/>
              <w:cols w:space="720"/>
            </w:sectPr>
          </w:pPr>
        </w:p>
      </w:sdtContent>
    </w:sdt>
    <w:p w:rsidR="00185C14" w:rsidRPr="00C32FB0" w:rsidRDefault="00564920" w:rsidP="00AF08A0">
      <w:pPr>
        <w:pStyle w:val="Reportcopyright"/>
        <w:rPr>
          <w:rFonts w:ascii="Arial" w:hAnsi="Arial" w:cs="Arial"/>
        </w:rPr>
      </w:pPr>
      <w:r w:rsidRPr="00C32FB0">
        <w:rPr>
          <w:rStyle w:val="Strong"/>
          <w:rFonts w:ascii="Arial" w:hAnsi="Arial" w:cs="Arial"/>
          <w:b/>
          <w:bCs w:val="0"/>
        </w:rPr>
        <w:lastRenderedPageBreak/>
        <w:t>Development of the Australian Mental Health Care Classification</w:t>
      </w:r>
      <w:r w:rsidR="00185C14" w:rsidRPr="00C32FB0">
        <w:rPr>
          <w:rFonts w:ascii="Arial" w:hAnsi="Arial" w:cs="Arial"/>
        </w:rPr>
        <w:t xml:space="preserve"> – </w:t>
      </w:r>
      <w:r w:rsidRPr="00C32FB0">
        <w:rPr>
          <w:rFonts w:ascii="Arial" w:hAnsi="Arial" w:cs="Arial"/>
        </w:rPr>
        <w:t>public consultation paper 1</w:t>
      </w:r>
    </w:p>
    <w:p w:rsidR="00185C14" w:rsidRPr="00C32FB0" w:rsidRDefault="00185C14" w:rsidP="00185C14">
      <w:pPr>
        <w:rPr>
          <w:rFonts w:ascii="Arial" w:hAnsi="Arial" w:cs="Arial"/>
        </w:rPr>
      </w:pPr>
      <w:r w:rsidRPr="00C32FB0">
        <w:rPr>
          <w:rFonts w:ascii="Arial" w:hAnsi="Arial" w:cs="Arial"/>
        </w:rPr>
        <w:t xml:space="preserve">© Commonwealth of Australia </w:t>
      </w:r>
      <w:r w:rsidR="00EA775D">
        <w:rPr>
          <w:rFonts w:ascii="Arial" w:hAnsi="Arial" w:cs="Arial"/>
        </w:rPr>
        <w:t>2015</w:t>
      </w:r>
    </w:p>
    <w:p w:rsidR="001A6C59" w:rsidRPr="00C32FB0" w:rsidRDefault="00185C14" w:rsidP="00185C14">
      <w:pPr>
        <w:rPr>
          <w:rFonts w:ascii="Arial" w:hAnsi="Arial" w:cs="Arial"/>
        </w:rPr>
      </w:pPr>
      <w:r w:rsidRPr="00C32FB0">
        <w:rPr>
          <w:rFonts w:ascii="Arial" w:hAnsi="Arial" w:cs="Arial"/>
        </w:rPr>
        <w:t xml:space="preserve">This work is copyright. You may download, display, print and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Copyright Act 1968 or allowed by this copyright notice, all other rights are reserved and you are not allowed to reproduce the whole or any part of this work in any way (electronic or otherwise) without first being given the specific written permission from </w:t>
      </w:r>
      <w:r w:rsidR="005F53D8" w:rsidRPr="00C32FB0">
        <w:rPr>
          <w:rFonts w:ascii="Arial" w:hAnsi="Arial" w:cs="Arial"/>
        </w:rPr>
        <w:t>Independent Hospital Pricing Authority</w:t>
      </w:r>
      <w:r w:rsidRPr="00C32FB0">
        <w:rPr>
          <w:rFonts w:ascii="Arial" w:hAnsi="Arial" w:cs="Arial"/>
        </w:rPr>
        <w:t xml:space="preserve"> to do so.</w:t>
      </w:r>
    </w:p>
    <w:p w:rsidR="00F10328" w:rsidRPr="00C32FB0" w:rsidRDefault="00F10328">
      <w:pPr>
        <w:rPr>
          <w:rFonts w:ascii="Arial" w:hAnsi="Arial" w:cs="Arial"/>
        </w:rPr>
      </w:pPr>
      <w:r w:rsidRPr="00C32FB0">
        <w:rPr>
          <w:rFonts w:ascii="Arial" w:hAnsi="Arial" w:cs="Arial"/>
        </w:rPr>
        <w:br w:type="page"/>
      </w:r>
    </w:p>
    <w:p w:rsidR="00D528F7" w:rsidRPr="00C32FB0" w:rsidRDefault="0062148A" w:rsidP="00D528F7">
      <w:pPr>
        <w:pStyle w:val="TOCHeading"/>
        <w:rPr>
          <w:rFonts w:ascii="Arial" w:hAnsi="Arial" w:cs="Arial"/>
        </w:rPr>
      </w:pPr>
      <w:r w:rsidRPr="00C32FB0">
        <w:rPr>
          <w:rFonts w:ascii="Arial" w:hAnsi="Arial" w:cs="Arial"/>
        </w:rPr>
        <w:lastRenderedPageBreak/>
        <w:t>Table of c</w:t>
      </w:r>
      <w:r w:rsidR="00D528F7" w:rsidRPr="00C32FB0">
        <w:rPr>
          <w:rFonts w:ascii="Arial" w:hAnsi="Arial" w:cs="Arial"/>
        </w:rPr>
        <w:t>ontents</w:t>
      </w:r>
    </w:p>
    <w:p w:rsidR="00CA132E" w:rsidRDefault="00D528F7">
      <w:pPr>
        <w:pStyle w:val="TOC1"/>
        <w:rPr>
          <w:rFonts w:eastAsiaTheme="minorEastAsia"/>
          <w:b w:val="0"/>
          <w:color w:val="auto"/>
          <w:lang w:eastAsia="en-AU"/>
        </w:rPr>
      </w:pPr>
      <w:r w:rsidRPr="00C32FB0">
        <w:rPr>
          <w:rFonts w:ascii="Arial" w:hAnsi="Arial" w:cs="Arial"/>
        </w:rPr>
        <w:fldChar w:fldCharType="begin"/>
      </w:r>
      <w:r w:rsidRPr="00C32FB0">
        <w:rPr>
          <w:rFonts w:ascii="Arial" w:hAnsi="Arial" w:cs="Arial"/>
        </w:rPr>
        <w:instrText xml:space="preserve"> TOC \o "1-2" \h \z \u </w:instrText>
      </w:r>
      <w:r w:rsidRPr="00C32FB0">
        <w:rPr>
          <w:rFonts w:ascii="Arial" w:hAnsi="Arial" w:cs="Arial"/>
        </w:rPr>
        <w:fldChar w:fldCharType="separate"/>
      </w:r>
      <w:hyperlink w:anchor="_Toc407021919" w:history="1">
        <w:r w:rsidR="00CA132E" w:rsidRPr="00337DC6">
          <w:rPr>
            <w:rStyle w:val="Hyperlink"/>
            <w:rFonts w:ascii="Arial" w:hAnsi="Arial" w:cs="Arial"/>
          </w:rPr>
          <w:t>Glossary</w:t>
        </w:r>
        <w:r w:rsidR="00CA132E">
          <w:rPr>
            <w:webHidden/>
          </w:rPr>
          <w:tab/>
        </w:r>
        <w:r w:rsidR="00CA132E">
          <w:rPr>
            <w:webHidden/>
          </w:rPr>
          <w:fldChar w:fldCharType="begin"/>
        </w:r>
        <w:r w:rsidR="00CA132E">
          <w:rPr>
            <w:webHidden/>
          </w:rPr>
          <w:instrText xml:space="preserve"> PAGEREF _Toc407021919 \h </w:instrText>
        </w:r>
        <w:r w:rsidR="00CA132E">
          <w:rPr>
            <w:webHidden/>
          </w:rPr>
        </w:r>
        <w:r w:rsidR="00CA132E">
          <w:rPr>
            <w:webHidden/>
          </w:rPr>
          <w:fldChar w:fldCharType="separate"/>
        </w:r>
        <w:r w:rsidR="007D074E">
          <w:rPr>
            <w:webHidden/>
          </w:rPr>
          <w:t>3</w:t>
        </w:r>
        <w:r w:rsidR="00CA132E">
          <w:rPr>
            <w:webHidden/>
          </w:rPr>
          <w:fldChar w:fldCharType="end"/>
        </w:r>
      </w:hyperlink>
    </w:p>
    <w:p w:rsidR="00CA132E" w:rsidRDefault="007E6941">
      <w:pPr>
        <w:pStyle w:val="TOC1"/>
        <w:rPr>
          <w:rFonts w:eastAsiaTheme="minorEastAsia"/>
          <w:b w:val="0"/>
          <w:color w:val="auto"/>
          <w:lang w:eastAsia="en-AU"/>
        </w:rPr>
      </w:pPr>
      <w:hyperlink w:anchor="_Toc407021920" w:history="1">
        <w:r w:rsidR="00CA132E" w:rsidRPr="00337DC6">
          <w:rPr>
            <w:rStyle w:val="Hyperlink"/>
            <w:lang w:val="en-US" w:eastAsia="ja-JP"/>
          </w:rPr>
          <w:t>Executive summary</w:t>
        </w:r>
        <w:r w:rsidR="00CA132E">
          <w:rPr>
            <w:webHidden/>
          </w:rPr>
          <w:tab/>
        </w:r>
        <w:r w:rsidR="00CA132E">
          <w:rPr>
            <w:webHidden/>
          </w:rPr>
          <w:fldChar w:fldCharType="begin"/>
        </w:r>
        <w:r w:rsidR="00CA132E">
          <w:rPr>
            <w:webHidden/>
          </w:rPr>
          <w:instrText xml:space="preserve"> PAGEREF _Toc407021920 \h </w:instrText>
        </w:r>
        <w:r w:rsidR="00CA132E">
          <w:rPr>
            <w:webHidden/>
          </w:rPr>
        </w:r>
        <w:r w:rsidR="00CA132E">
          <w:rPr>
            <w:webHidden/>
          </w:rPr>
          <w:fldChar w:fldCharType="separate"/>
        </w:r>
        <w:r w:rsidR="007D074E">
          <w:rPr>
            <w:webHidden/>
          </w:rPr>
          <w:t>4</w:t>
        </w:r>
        <w:r w:rsidR="00CA132E">
          <w:rPr>
            <w:webHidden/>
          </w:rPr>
          <w:fldChar w:fldCharType="end"/>
        </w:r>
      </w:hyperlink>
    </w:p>
    <w:p w:rsidR="00CA132E" w:rsidRDefault="007E6941">
      <w:pPr>
        <w:pStyle w:val="TOC2"/>
        <w:rPr>
          <w:rFonts w:eastAsiaTheme="minorEastAsia"/>
          <w:color w:val="auto"/>
          <w:lang w:eastAsia="en-AU"/>
        </w:rPr>
      </w:pPr>
      <w:hyperlink w:anchor="_Toc407021921" w:history="1">
        <w:r w:rsidR="00CA132E" w:rsidRPr="00337DC6">
          <w:rPr>
            <w:rStyle w:val="Hyperlink"/>
            <w:lang w:val="en-US" w:eastAsia="ja-JP"/>
          </w:rPr>
          <w:t>Consultation questions</w:t>
        </w:r>
        <w:r w:rsidR="00CA132E">
          <w:rPr>
            <w:webHidden/>
          </w:rPr>
          <w:tab/>
        </w:r>
        <w:r w:rsidR="00CA132E">
          <w:rPr>
            <w:webHidden/>
          </w:rPr>
          <w:fldChar w:fldCharType="begin"/>
        </w:r>
        <w:r w:rsidR="00CA132E">
          <w:rPr>
            <w:webHidden/>
          </w:rPr>
          <w:instrText xml:space="preserve"> PAGEREF _Toc407021921 \h </w:instrText>
        </w:r>
        <w:r w:rsidR="00CA132E">
          <w:rPr>
            <w:webHidden/>
          </w:rPr>
        </w:r>
        <w:r w:rsidR="00CA132E">
          <w:rPr>
            <w:webHidden/>
          </w:rPr>
          <w:fldChar w:fldCharType="separate"/>
        </w:r>
        <w:r w:rsidR="007D074E">
          <w:rPr>
            <w:webHidden/>
          </w:rPr>
          <w:t>5</w:t>
        </w:r>
        <w:r w:rsidR="00CA132E">
          <w:rPr>
            <w:webHidden/>
          </w:rPr>
          <w:fldChar w:fldCharType="end"/>
        </w:r>
      </w:hyperlink>
    </w:p>
    <w:p w:rsidR="00CA132E" w:rsidRDefault="007E6941">
      <w:pPr>
        <w:pStyle w:val="TOC2"/>
        <w:rPr>
          <w:rFonts w:eastAsiaTheme="minorEastAsia"/>
          <w:color w:val="auto"/>
          <w:lang w:eastAsia="en-AU"/>
        </w:rPr>
      </w:pPr>
      <w:hyperlink w:anchor="_Toc407021922" w:history="1">
        <w:r w:rsidR="00CA132E" w:rsidRPr="00337DC6">
          <w:rPr>
            <w:rStyle w:val="Hyperlink"/>
            <w:rFonts w:ascii="Arial" w:hAnsi="Arial" w:cs="Arial"/>
            <w:lang w:val="en-US" w:eastAsia="ja-JP"/>
          </w:rPr>
          <w:t>Submissions</w:t>
        </w:r>
        <w:r w:rsidR="00CA132E">
          <w:rPr>
            <w:webHidden/>
          </w:rPr>
          <w:tab/>
        </w:r>
        <w:r w:rsidR="00CA132E">
          <w:rPr>
            <w:webHidden/>
          </w:rPr>
          <w:fldChar w:fldCharType="begin"/>
        </w:r>
        <w:r w:rsidR="00CA132E">
          <w:rPr>
            <w:webHidden/>
          </w:rPr>
          <w:instrText xml:space="preserve"> PAGEREF _Toc407021922 \h </w:instrText>
        </w:r>
        <w:r w:rsidR="00CA132E">
          <w:rPr>
            <w:webHidden/>
          </w:rPr>
        </w:r>
        <w:r w:rsidR="00CA132E">
          <w:rPr>
            <w:webHidden/>
          </w:rPr>
          <w:fldChar w:fldCharType="separate"/>
        </w:r>
        <w:r w:rsidR="007D074E">
          <w:rPr>
            <w:webHidden/>
          </w:rPr>
          <w:t>5</w:t>
        </w:r>
        <w:r w:rsidR="00CA132E">
          <w:rPr>
            <w:webHidden/>
          </w:rPr>
          <w:fldChar w:fldCharType="end"/>
        </w:r>
      </w:hyperlink>
    </w:p>
    <w:p w:rsidR="00CA132E" w:rsidRDefault="007E6941">
      <w:pPr>
        <w:pStyle w:val="TOC2"/>
        <w:rPr>
          <w:rFonts w:eastAsiaTheme="minorEastAsia"/>
          <w:color w:val="auto"/>
          <w:lang w:eastAsia="en-AU"/>
        </w:rPr>
      </w:pPr>
      <w:hyperlink w:anchor="_Toc407021923" w:history="1">
        <w:r w:rsidR="00CA132E" w:rsidRPr="00337DC6">
          <w:rPr>
            <w:rStyle w:val="Hyperlink"/>
          </w:rPr>
          <w:t>More information</w:t>
        </w:r>
        <w:r w:rsidR="00CA132E">
          <w:rPr>
            <w:webHidden/>
          </w:rPr>
          <w:tab/>
        </w:r>
        <w:r w:rsidR="00CA132E">
          <w:rPr>
            <w:webHidden/>
          </w:rPr>
          <w:fldChar w:fldCharType="begin"/>
        </w:r>
        <w:r w:rsidR="00CA132E">
          <w:rPr>
            <w:webHidden/>
          </w:rPr>
          <w:instrText xml:space="preserve"> PAGEREF _Toc407021923 \h </w:instrText>
        </w:r>
        <w:r w:rsidR="00CA132E">
          <w:rPr>
            <w:webHidden/>
          </w:rPr>
        </w:r>
        <w:r w:rsidR="00CA132E">
          <w:rPr>
            <w:webHidden/>
          </w:rPr>
          <w:fldChar w:fldCharType="separate"/>
        </w:r>
        <w:r w:rsidR="007D074E">
          <w:rPr>
            <w:webHidden/>
          </w:rPr>
          <w:t>6</w:t>
        </w:r>
        <w:r w:rsidR="00CA132E">
          <w:rPr>
            <w:webHidden/>
          </w:rPr>
          <w:fldChar w:fldCharType="end"/>
        </w:r>
      </w:hyperlink>
    </w:p>
    <w:p w:rsidR="00CA132E" w:rsidRDefault="007E6941">
      <w:pPr>
        <w:pStyle w:val="TOC1"/>
        <w:rPr>
          <w:rFonts w:eastAsiaTheme="minorEastAsia"/>
          <w:b w:val="0"/>
          <w:color w:val="auto"/>
          <w:lang w:eastAsia="en-AU"/>
        </w:rPr>
      </w:pPr>
      <w:hyperlink w:anchor="_Toc407021924" w:history="1">
        <w:r w:rsidR="00CA132E" w:rsidRPr="00337DC6">
          <w:rPr>
            <w:rStyle w:val="Hyperlink"/>
            <w:rFonts w:ascii="Arial" w:hAnsi="Arial" w:cs="Arial"/>
            <w:lang w:val="en-US" w:eastAsia="ja-JP"/>
          </w:rPr>
          <w:t>Introduction</w:t>
        </w:r>
        <w:r w:rsidR="00CA132E">
          <w:rPr>
            <w:webHidden/>
          </w:rPr>
          <w:tab/>
        </w:r>
        <w:r w:rsidR="00CA132E">
          <w:rPr>
            <w:webHidden/>
          </w:rPr>
          <w:fldChar w:fldCharType="begin"/>
        </w:r>
        <w:r w:rsidR="00CA132E">
          <w:rPr>
            <w:webHidden/>
          </w:rPr>
          <w:instrText xml:space="preserve"> PAGEREF _Toc407021924 \h </w:instrText>
        </w:r>
        <w:r w:rsidR="00CA132E">
          <w:rPr>
            <w:webHidden/>
          </w:rPr>
        </w:r>
        <w:r w:rsidR="00CA132E">
          <w:rPr>
            <w:webHidden/>
          </w:rPr>
          <w:fldChar w:fldCharType="separate"/>
        </w:r>
        <w:r w:rsidR="007D074E">
          <w:rPr>
            <w:webHidden/>
          </w:rPr>
          <w:t>7</w:t>
        </w:r>
        <w:r w:rsidR="00CA132E">
          <w:rPr>
            <w:webHidden/>
          </w:rPr>
          <w:fldChar w:fldCharType="end"/>
        </w:r>
      </w:hyperlink>
    </w:p>
    <w:p w:rsidR="00CA132E" w:rsidRDefault="007E6941">
      <w:pPr>
        <w:pStyle w:val="TOC2"/>
        <w:rPr>
          <w:rFonts w:eastAsiaTheme="minorEastAsia"/>
          <w:color w:val="auto"/>
          <w:lang w:eastAsia="en-AU"/>
        </w:rPr>
      </w:pPr>
      <w:hyperlink w:anchor="_Toc407021925" w:history="1">
        <w:r w:rsidR="00CA132E" w:rsidRPr="00337DC6">
          <w:rPr>
            <w:rStyle w:val="Hyperlink"/>
            <w:rFonts w:ascii="Arial" w:hAnsi="Arial" w:cs="Arial"/>
            <w:lang w:val="en-US" w:eastAsia="ja-JP"/>
          </w:rPr>
          <w:t>What are classifications?</w:t>
        </w:r>
        <w:r w:rsidR="00CA132E">
          <w:rPr>
            <w:webHidden/>
          </w:rPr>
          <w:tab/>
        </w:r>
        <w:r w:rsidR="00CA132E">
          <w:rPr>
            <w:webHidden/>
          </w:rPr>
          <w:fldChar w:fldCharType="begin"/>
        </w:r>
        <w:r w:rsidR="00CA132E">
          <w:rPr>
            <w:webHidden/>
          </w:rPr>
          <w:instrText xml:space="preserve"> PAGEREF _Toc407021925 \h </w:instrText>
        </w:r>
        <w:r w:rsidR="00CA132E">
          <w:rPr>
            <w:webHidden/>
          </w:rPr>
        </w:r>
        <w:r w:rsidR="00CA132E">
          <w:rPr>
            <w:webHidden/>
          </w:rPr>
          <w:fldChar w:fldCharType="separate"/>
        </w:r>
        <w:r w:rsidR="007D074E">
          <w:rPr>
            <w:webHidden/>
          </w:rPr>
          <w:t>7</w:t>
        </w:r>
        <w:r w:rsidR="00CA132E">
          <w:rPr>
            <w:webHidden/>
          </w:rPr>
          <w:fldChar w:fldCharType="end"/>
        </w:r>
      </w:hyperlink>
    </w:p>
    <w:p w:rsidR="00CA132E" w:rsidRDefault="007E6941">
      <w:pPr>
        <w:pStyle w:val="TOC2"/>
        <w:rPr>
          <w:rFonts w:eastAsiaTheme="minorEastAsia"/>
          <w:color w:val="auto"/>
          <w:lang w:eastAsia="en-AU"/>
        </w:rPr>
      </w:pPr>
      <w:hyperlink w:anchor="_Toc407021926" w:history="1">
        <w:r w:rsidR="00CA132E" w:rsidRPr="00337DC6">
          <w:rPr>
            <w:rStyle w:val="Hyperlink"/>
            <w:rFonts w:ascii="Arial" w:hAnsi="Arial" w:cs="Arial"/>
            <w:lang w:val="en-US" w:eastAsia="ja-JP"/>
          </w:rPr>
          <w:t>Why is the Australian Mental Health Care Classification being developed?</w:t>
        </w:r>
        <w:r w:rsidR="00CA132E">
          <w:rPr>
            <w:webHidden/>
          </w:rPr>
          <w:tab/>
        </w:r>
        <w:r w:rsidR="00CA132E">
          <w:rPr>
            <w:webHidden/>
          </w:rPr>
          <w:fldChar w:fldCharType="begin"/>
        </w:r>
        <w:r w:rsidR="00CA132E">
          <w:rPr>
            <w:webHidden/>
          </w:rPr>
          <w:instrText xml:space="preserve"> PAGEREF _Toc407021926 \h </w:instrText>
        </w:r>
        <w:r w:rsidR="00CA132E">
          <w:rPr>
            <w:webHidden/>
          </w:rPr>
        </w:r>
        <w:r w:rsidR="00CA132E">
          <w:rPr>
            <w:webHidden/>
          </w:rPr>
          <w:fldChar w:fldCharType="separate"/>
        </w:r>
        <w:r w:rsidR="007D074E">
          <w:rPr>
            <w:webHidden/>
          </w:rPr>
          <w:t>7</w:t>
        </w:r>
        <w:r w:rsidR="00CA132E">
          <w:rPr>
            <w:webHidden/>
          </w:rPr>
          <w:fldChar w:fldCharType="end"/>
        </w:r>
      </w:hyperlink>
    </w:p>
    <w:p w:rsidR="00CA132E" w:rsidRDefault="007E6941">
      <w:pPr>
        <w:pStyle w:val="TOC2"/>
        <w:rPr>
          <w:rFonts w:eastAsiaTheme="minorEastAsia"/>
          <w:color w:val="auto"/>
          <w:lang w:eastAsia="en-AU"/>
        </w:rPr>
      </w:pPr>
      <w:hyperlink w:anchor="_Toc407021927" w:history="1">
        <w:r w:rsidR="00CA132E" w:rsidRPr="00337DC6">
          <w:rPr>
            <w:rStyle w:val="Hyperlink"/>
            <w:rFonts w:ascii="Arial" w:hAnsi="Arial" w:cs="Arial"/>
            <w:lang w:val="en-US" w:eastAsia="ja-JP"/>
          </w:rPr>
          <w:t>How will the AMHCC be developed?</w:t>
        </w:r>
        <w:r w:rsidR="00CA132E">
          <w:rPr>
            <w:webHidden/>
          </w:rPr>
          <w:tab/>
        </w:r>
        <w:r w:rsidR="00CA132E">
          <w:rPr>
            <w:webHidden/>
          </w:rPr>
          <w:fldChar w:fldCharType="begin"/>
        </w:r>
        <w:r w:rsidR="00CA132E">
          <w:rPr>
            <w:webHidden/>
          </w:rPr>
          <w:instrText xml:space="preserve"> PAGEREF _Toc407021927 \h </w:instrText>
        </w:r>
        <w:r w:rsidR="00CA132E">
          <w:rPr>
            <w:webHidden/>
          </w:rPr>
        </w:r>
        <w:r w:rsidR="00CA132E">
          <w:rPr>
            <w:webHidden/>
          </w:rPr>
          <w:fldChar w:fldCharType="separate"/>
        </w:r>
        <w:r w:rsidR="007D074E">
          <w:rPr>
            <w:webHidden/>
          </w:rPr>
          <w:t>8</w:t>
        </w:r>
        <w:r w:rsidR="00CA132E">
          <w:rPr>
            <w:webHidden/>
          </w:rPr>
          <w:fldChar w:fldCharType="end"/>
        </w:r>
      </w:hyperlink>
    </w:p>
    <w:p w:rsidR="00CA132E" w:rsidRDefault="007E6941">
      <w:pPr>
        <w:pStyle w:val="TOC2"/>
        <w:rPr>
          <w:rFonts w:eastAsiaTheme="minorEastAsia"/>
          <w:color w:val="auto"/>
          <w:lang w:eastAsia="en-AU"/>
        </w:rPr>
      </w:pPr>
      <w:hyperlink w:anchor="_Toc407021928" w:history="1">
        <w:r w:rsidR="00CA132E" w:rsidRPr="00337DC6">
          <w:rPr>
            <w:rStyle w:val="Hyperlink"/>
            <w:rFonts w:ascii="Arial" w:hAnsi="Arial" w:cs="Arial"/>
          </w:rPr>
          <w:t>What is the scope of the AMHCC?</w:t>
        </w:r>
        <w:r w:rsidR="00CA132E">
          <w:rPr>
            <w:webHidden/>
          </w:rPr>
          <w:tab/>
        </w:r>
        <w:r w:rsidR="00CA132E">
          <w:rPr>
            <w:webHidden/>
          </w:rPr>
          <w:fldChar w:fldCharType="begin"/>
        </w:r>
        <w:r w:rsidR="00CA132E">
          <w:rPr>
            <w:webHidden/>
          </w:rPr>
          <w:instrText xml:space="preserve"> PAGEREF _Toc407021928 \h </w:instrText>
        </w:r>
        <w:r w:rsidR="00CA132E">
          <w:rPr>
            <w:webHidden/>
          </w:rPr>
        </w:r>
        <w:r w:rsidR="00CA132E">
          <w:rPr>
            <w:webHidden/>
          </w:rPr>
          <w:fldChar w:fldCharType="separate"/>
        </w:r>
        <w:r w:rsidR="007D074E">
          <w:rPr>
            <w:webHidden/>
          </w:rPr>
          <w:t>9</w:t>
        </w:r>
        <w:r w:rsidR="00CA132E">
          <w:rPr>
            <w:webHidden/>
          </w:rPr>
          <w:fldChar w:fldCharType="end"/>
        </w:r>
      </w:hyperlink>
    </w:p>
    <w:p w:rsidR="00CA132E" w:rsidRDefault="007E6941">
      <w:pPr>
        <w:pStyle w:val="TOC2"/>
        <w:rPr>
          <w:rFonts w:eastAsiaTheme="minorEastAsia"/>
          <w:color w:val="auto"/>
          <w:lang w:eastAsia="en-AU"/>
        </w:rPr>
      </w:pPr>
      <w:hyperlink w:anchor="_Toc407021929" w:history="1">
        <w:r w:rsidR="00CA132E" w:rsidRPr="00337DC6">
          <w:rPr>
            <w:rStyle w:val="Hyperlink"/>
            <w:rFonts w:ascii="Arial" w:hAnsi="Arial" w:cs="Arial"/>
            <w:lang w:val="en-US" w:eastAsia="ja-JP"/>
          </w:rPr>
          <w:t>Governance of the project</w:t>
        </w:r>
        <w:r w:rsidR="00CA132E">
          <w:rPr>
            <w:webHidden/>
          </w:rPr>
          <w:tab/>
        </w:r>
        <w:r w:rsidR="00CA132E">
          <w:rPr>
            <w:webHidden/>
          </w:rPr>
          <w:fldChar w:fldCharType="begin"/>
        </w:r>
        <w:r w:rsidR="00CA132E">
          <w:rPr>
            <w:webHidden/>
          </w:rPr>
          <w:instrText xml:space="preserve"> PAGEREF _Toc407021929 \h </w:instrText>
        </w:r>
        <w:r w:rsidR="00CA132E">
          <w:rPr>
            <w:webHidden/>
          </w:rPr>
        </w:r>
        <w:r w:rsidR="00CA132E">
          <w:rPr>
            <w:webHidden/>
          </w:rPr>
          <w:fldChar w:fldCharType="separate"/>
        </w:r>
        <w:r w:rsidR="007D074E">
          <w:rPr>
            <w:webHidden/>
          </w:rPr>
          <w:t>9</w:t>
        </w:r>
        <w:r w:rsidR="00CA132E">
          <w:rPr>
            <w:webHidden/>
          </w:rPr>
          <w:fldChar w:fldCharType="end"/>
        </w:r>
      </w:hyperlink>
    </w:p>
    <w:p w:rsidR="00CA132E" w:rsidRDefault="007E6941">
      <w:pPr>
        <w:pStyle w:val="TOC1"/>
        <w:rPr>
          <w:rFonts w:eastAsiaTheme="minorEastAsia"/>
          <w:b w:val="0"/>
          <w:color w:val="auto"/>
          <w:lang w:eastAsia="en-AU"/>
        </w:rPr>
      </w:pPr>
      <w:hyperlink w:anchor="_Toc407021930" w:history="1">
        <w:r w:rsidR="00CA132E" w:rsidRPr="00337DC6">
          <w:rPr>
            <w:rStyle w:val="Hyperlink"/>
            <w:rFonts w:ascii="Arial" w:hAnsi="Arial" w:cs="Arial"/>
            <w:lang w:val="en-US" w:eastAsia="ja-JP"/>
          </w:rPr>
          <w:t>Background</w:t>
        </w:r>
        <w:r w:rsidR="00CA132E">
          <w:rPr>
            <w:webHidden/>
          </w:rPr>
          <w:tab/>
        </w:r>
        <w:r w:rsidR="00CA132E">
          <w:rPr>
            <w:webHidden/>
          </w:rPr>
          <w:fldChar w:fldCharType="begin"/>
        </w:r>
        <w:r w:rsidR="00CA132E">
          <w:rPr>
            <w:webHidden/>
          </w:rPr>
          <w:instrText xml:space="preserve"> PAGEREF _Toc407021930 \h </w:instrText>
        </w:r>
        <w:r w:rsidR="00CA132E">
          <w:rPr>
            <w:webHidden/>
          </w:rPr>
        </w:r>
        <w:r w:rsidR="00CA132E">
          <w:rPr>
            <w:webHidden/>
          </w:rPr>
          <w:fldChar w:fldCharType="separate"/>
        </w:r>
        <w:r w:rsidR="007D074E">
          <w:rPr>
            <w:webHidden/>
          </w:rPr>
          <w:t>11</w:t>
        </w:r>
        <w:r w:rsidR="00CA132E">
          <w:rPr>
            <w:webHidden/>
          </w:rPr>
          <w:fldChar w:fldCharType="end"/>
        </w:r>
      </w:hyperlink>
    </w:p>
    <w:p w:rsidR="00CA132E" w:rsidRDefault="007E6941">
      <w:pPr>
        <w:pStyle w:val="TOC2"/>
        <w:rPr>
          <w:rFonts w:eastAsiaTheme="minorEastAsia"/>
          <w:color w:val="auto"/>
          <w:lang w:eastAsia="en-AU"/>
        </w:rPr>
      </w:pPr>
      <w:hyperlink w:anchor="_Toc407021931" w:history="1">
        <w:r w:rsidR="00CA132E" w:rsidRPr="00337DC6">
          <w:rPr>
            <w:rStyle w:val="Hyperlink"/>
            <w:rFonts w:ascii="Arial" w:hAnsi="Arial" w:cs="Arial"/>
          </w:rPr>
          <w:t>How is mental health care currently classified in Australia?</w:t>
        </w:r>
        <w:r w:rsidR="00CA132E">
          <w:rPr>
            <w:webHidden/>
          </w:rPr>
          <w:tab/>
        </w:r>
        <w:r w:rsidR="00CA132E">
          <w:rPr>
            <w:webHidden/>
          </w:rPr>
          <w:fldChar w:fldCharType="begin"/>
        </w:r>
        <w:r w:rsidR="00CA132E">
          <w:rPr>
            <w:webHidden/>
          </w:rPr>
          <w:instrText xml:space="preserve"> PAGEREF _Toc407021931 \h </w:instrText>
        </w:r>
        <w:r w:rsidR="00CA132E">
          <w:rPr>
            <w:webHidden/>
          </w:rPr>
        </w:r>
        <w:r w:rsidR="00CA132E">
          <w:rPr>
            <w:webHidden/>
          </w:rPr>
          <w:fldChar w:fldCharType="separate"/>
        </w:r>
        <w:r w:rsidR="007D074E">
          <w:rPr>
            <w:webHidden/>
          </w:rPr>
          <w:t>11</w:t>
        </w:r>
        <w:r w:rsidR="00CA132E">
          <w:rPr>
            <w:webHidden/>
          </w:rPr>
          <w:fldChar w:fldCharType="end"/>
        </w:r>
      </w:hyperlink>
    </w:p>
    <w:p w:rsidR="00CA132E" w:rsidRDefault="007E6941">
      <w:pPr>
        <w:pStyle w:val="TOC2"/>
        <w:rPr>
          <w:rFonts w:eastAsiaTheme="minorEastAsia"/>
          <w:color w:val="auto"/>
          <w:lang w:eastAsia="en-AU"/>
        </w:rPr>
      </w:pPr>
      <w:hyperlink w:anchor="_Toc407021932" w:history="1">
        <w:r w:rsidR="00CA132E" w:rsidRPr="00337DC6">
          <w:rPr>
            <w:rStyle w:val="Hyperlink"/>
            <w:rFonts w:ascii="Arial" w:hAnsi="Arial" w:cs="Arial"/>
            <w:lang w:val="en-US" w:eastAsia="ja-JP"/>
          </w:rPr>
          <w:t>International approaches to mental health care classification</w:t>
        </w:r>
        <w:r w:rsidR="00CA132E">
          <w:rPr>
            <w:webHidden/>
          </w:rPr>
          <w:tab/>
        </w:r>
        <w:r w:rsidR="00CA132E">
          <w:rPr>
            <w:webHidden/>
          </w:rPr>
          <w:fldChar w:fldCharType="begin"/>
        </w:r>
        <w:r w:rsidR="00CA132E">
          <w:rPr>
            <w:webHidden/>
          </w:rPr>
          <w:instrText xml:space="preserve"> PAGEREF _Toc407021932 \h </w:instrText>
        </w:r>
        <w:r w:rsidR="00CA132E">
          <w:rPr>
            <w:webHidden/>
          </w:rPr>
        </w:r>
        <w:r w:rsidR="00CA132E">
          <w:rPr>
            <w:webHidden/>
          </w:rPr>
          <w:fldChar w:fldCharType="separate"/>
        </w:r>
        <w:r w:rsidR="007D074E">
          <w:rPr>
            <w:webHidden/>
          </w:rPr>
          <w:t>11</w:t>
        </w:r>
        <w:r w:rsidR="00CA132E">
          <w:rPr>
            <w:webHidden/>
          </w:rPr>
          <w:fldChar w:fldCharType="end"/>
        </w:r>
      </w:hyperlink>
    </w:p>
    <w:p w:rsidR="00CA132E" w:rsidRDefault="007E6941">
      <w:pPr>
        <w:pStyle w:val="TOC2"/>
        <w:rPr>
          <w:rFonts w:eastAsiaTheme="minorEastAsia"/>
          <w:color w:val="auto"/>
          <w:lang w:eastAsia="en-AU"/>
        </w:rPr>
      </w:pPr>
      <w:hyperlink w:anchor="_Toc407021933" w:history="1">
        <w:r w:rsidR="00CA132E" w:rsidRPr="00337DC6">
          <w:rPr>
            <w:rStyle w:val="Hyperlink"/>
            <w:rFonts w:ascii="Arial" w:hAnsi="Arial" w:cs="Arial"/>
          </w:rPr>
          <w:t>Mental Health Classification and Service Costs project</w:t>
        </w:r>
        <w:r w:rsidR="00CA132E">
          <w:rPr>
            <w:webHidden/>
          </w:rPr>
          <w:tab/>
        </w:r>
        <w:r w:rsidR="00CA132E">
          <w:rPr>
            <w:webHidden/>
          </w:rPr>
          <w:fldChar w:fldCharType="begin"/>
        </w:r>
        <w:r w:rsidR="00CA132E">
          <w:rPr>
            <w:webHidden/>
          </w:rPr>
          <w:instrText xml:space="preserve"> PAGEREF _Toc407021933 \h </w:instrText>
        </w:r>
        <w:r w:rsidR="00CA132E">
          <w:rPr>
            <w:webHidden/>
          </w:rPr>
        </w:r>
        <w:r w:rsidR="00CA132E">
          <w:rPr>
            <w:webHidden/>
          </w:rPr>
          <w:fldChar w:fldCharType="separate"/>
        </w:r>
        <w:r w:rsidR="007D074E">
          <w:rPr>
            <w:webHidden/>
          </w:rPr>
          <w:t>13</w:t>
        </w:r>
        <w:r w:rsidR="00CA132E">
          <w:rPr>
            <w:webHidden/>
          </w:rPr>
          <w:fldChar w:fldCharType="end"/>
        </w:r>
      </w:hyperlink>
    </w:p>
    <w:p w:rsidR="00CA132E" w:rsidRDefault="007E6941">
      <w:pPr>
        <w:pStyle w:val="TOC2"/>
        <w:rPr>
          <w:rFonts w:eastAsiaTheme="minorEastAsia"/>
          <w:color w:val="auto"/>
          <w:lang w:eastAsia="en-AU"/>
        </w:rPr>
      </w:pPr>
      <w:hyperlink w:anchor="_Toc407021934" w:history="1">
        <w:r w:rsidR="00CA132E" w:rsidRPr="00337DC6">
          <w:rPr>
            <w:rStyle w:val="Hyperlink"/>
            <w:rFonts w:ascii="Arial" w:hAnsi="Arial" w:cs="Arial"/>
            <w:lang w:val="en-US" w:eastAsia="ja-JP"/>
          </w:rPr>
          <w:t>Other considerations in the Australian system</w:t>
        </w:r>
        <w:r w:rsidR="00CA132E">
          <w:rPr>
            <w:webHidden/>
          </w:rPr>
          <w:tab/>
        </w:r>
        <w:r w:rsidR="00CA132E">
          <w:rPr>
            <w:webHidden/>
          </w:rPr>
          <w:fldChar w:fldCharType="begin"/>
        </w:r>
        <w:r w:rsidR="00CA132E">
          <w:rPr>
            <w:webHidden/>
          </w:rPr>
          <w:instrText xml:space="preserve"> PAGEREF _Toc407021934 \h </w:instrText>
        </w:r>
        <w:r w:rsidR="00CA132E">
          <w:rPr>
            <w:webHidden/>
          </w:rPr>
        </w:r>
        <w:r w:rsidR="00CA132E">
          <w:rPr>
            <w:webHidden/>
          </w:rPr>
          <w:fldChar w:fldCharType="separate"/>
        </w:r>
        <w:r w:rsidR="007D074E">
          <w:rPr>
            <w:webHidden/>
          </w:rPr>
          <w:t>14</w:t>
        </w:r>
        <w:r w:rsidR="00CA132E">
          <w:rPr>
            <w:webHidden/>
          </w:rPr>
          <w:fldChar w:fldCharType="end"/>
        </w:r>
      </w:hyperlink>
    </w:p>
    <w:p w:rsidR="00CA132E" w:rsidRDefault="007E6941">
      <w:pPr>
        <w:pStyle w:val="TOC1"/>
        <w:rPr>
          <w:rFonts w:eastAsiaTheme="minorEastAsia"/>
          <w:b w:val="0"/>
          <w:color w:val="auto"/>
          <w:lang w:eastAsia="en-AU"/>
        </w:rPr>
      </w:pPr>
      <w:hyperlink w:anchor="_Toc407021935" w:history="1">
        <w:r w:rsidR="00CA132E" w:rsidRPr="00337DC6">
          <w:rPr>
            <w:rStyle w:val="Hyperlink"/>
            <w:rFonts w:ascii="Arial" w:hAnsi="Arial" w:cs="Arial"/>
            <w:lang w:val="en-US" w:eastAsia="ja-JP"/>
          </w:rPr>
          <w:t>Key considerations in building a mental health classification</w:t>
        </w:r>
        <w:r w:rsidR="00CA132E">
          <w:rPr>
            <w:webHidden/>
          </w:rPr>
          <w:tab/>
        </w:r>
        <w:r w:rsidR="00CA132E">
          <w:rPr>
            <w:webHidden/>
          </w:rPr>
          <w:fldChar w:fldCharType="begin"/>
        </w:r>
        <w:r w:rsidR="00CA132E">
          <w:rPr>
            <w:webHidden/>
          </w:rPr>
          <w:instrText xml:space="preserve"> PAGEREF _Toc407021935 \h </w:instrText>
        </w:r>
        <w:r w:rsidR="00CA132E">
          <w:rPr>
            <w:webHidden/>
          </w:rPr>
        </w:r>
        <w:r w:rsidR="00CA132E">
          <w:rPr>
            <w:webHidden/>
          </w:rPr>
          <w:fldChar w:fldCharType="separate"/>
        </w:r>
        <w:r w:rsidR="007D074E">
          <w:rPr>
            <w:webHidden/>
          </w:rPr>
          <w:t>17</w:t>
        </w:r>
        <w:r w:rsidR="00CA132E">
          <w:rPr>
            <w:webHidden/>
          </w:rPr>
          <w:fldChar w:fldCharType="end"/>
        </w:r>
      </w:hyperlink>
    </w:p>
    <w:p w:rsidR="00CA132E" w:rsidRDefault="007E6941">
      <w:pPr>
        <w:pStyle w:val="TOC2"/>
        <w:rPr>
          <w:rFonts w:eastAsiaTheme="minorEastAsia"/>
          <w:color w:val="auto"/>
          <w:lang w:eastAsia="en-AU"/>
        </w:rPr>
      </w:pPr>
      <w:hyperlink w:anchor="_Toc407021936" w:history="1">
        <w:r w:rsidR="00CA132E" w:rsidRPr="00337DC6">
          <w:rPr>
            <w:rStyle w:val="Hyperlink"/>
            <w:rFonts w:ascii="Arial" w:hAnsi="Arial" w:cs="Arial"/>
          </w:rPr>
          <w:t>What are the principles for developing a classification?</w:t>
        </w:r>
        <w:r w:rsidR="00CA132E">
          <w:rPr>
            <w:webHidden/>
          </w:rPr>
          <w:tab/>
        </w:r>
        <w:r w:rsidR="00CA132E">
          <w:rPr>
            <w:webHidden/>
          </w:rPr>
          <w:fldChar w:fldCharType="begin"/>
        </w:r>
        <w:r w:rsidR="00CA132E">
          <w:rPr>
            <w:webHidden/>
          </w:rPr>
          <w:instrText xml:space="preserve"> PAGEREF _Toc407021936 \h </w:instrText>
        </w:r>
        <w:r w:rsidR="00CA132E">
          <w:rPr>
            <w:webHidden/>
          </w:rPr>
        </w:r>
        <w:r w:rsidR="00CA132E">
          <w:rPr>
            <w:webHidden/>
          </w:rPr>
          <w:fldChar w:fldCharType="separate"/>
        </w:r>
        <w:r w:rsidR="007D074E">
          <w:rPr>
            <w:webHidden/>
          </w:rPr>
          <w:t>17</w:t>
        </w:r>
        <w:r w:rsidR="00CA132E">
          <w:rPr>
            <w:webHidden/>
          </w:rPr>
          <w:fldChar w:fldCharType="end"/>
        </w:r>
      </w:hyperlink>
    </w:p>
    <w:p w:rsidR="00CA132E" w:rsidRDefault="007E6941">
      <w:pPr>
        <w:pStyle w:val="TOC2"/>
        <w:rPr>
          <w:rFonts w:eastAsiaTheme="minorEastAsia"/>
          <w:color w:val="auto"/>
          <w:lang w:eastAsia="en-AU"/>
        </w:rPr>
      </w:pPr>
      <w:hyperlink w:anchor="_Toc407021937" w:history="1">
        <w:r w:rsidR="00CA132E" w:rsidRPr="00337DC6">
          <w:rPr>
            <w:rStyle w:val="Hyperlink"/>
            <w:rFonts w:ascii="Arial" w:hAnsi="Arial" w:cs="Arial"/>
          </w:rPr>
          <w:t>Data that can be used in the AMHCC</w:t>
        </w:r>
        <w:r w:rsidR="00CA132E">
          <w:rPr>
            <w:webHidden/>
          </w:rPr>
          <w:tab/>
        </w:r>
        <w:r w:rsidR="00CA132E">
          <w:rPr>
            <w:webHidden/>
          </w:rPr>
          <w:fldChar w:fldCharType="begin"/>
        </w:r>
        <w:r w:rsidR="00CA132E">
          <w:rPr>
            <w:webHidden/>
          </w:rPr>
          <w:instrText xml:space="preserve"> PAGEREF _Toc407021937 \h </w:instrText>
        </w:r>
        <w:r w:rsidR="00CA132E">
          <w:rPr>
            <w:webHidden/>
          </w:rPr>
        </w:r>
        <w:r w:rsidR="00CA132E">
          <w:rPr>
            <w:webHidden/>
          </w:rPr>
          <w:fldChar w:fldCharType="separate"/>
        </w:r>
        <w:r w:rsidR="007D074E">
          <w:rPr>
            <w:webHidden/>
          </w:rPr>
          <w:t>19</w:t>
        </w:r>
        <w:r w:rsidR="00CA132E">
          <w:rPr>
            <w:webHidden/>
          </w:rPr>
          <w:fldChar w:fldCharType="end"/>
        </w:r>
      </w:hyperlink>
    </w:p>
    <w:p w:rsidR="00CA132E" w:rsidRDefault="007E6941">
      <w:pPr>
        <w:pStyle w:val="TOC1"/>
        <w:rPr>
          <w:rFonts w:eastAsiaTheme="minorEastAsia"/>
          <w:b w:val="0"/>
          <w:color w:val="auto"/>
          <w:lang w:eastAsia="en-AU"/>
        </w:rPr>
      </w:pPr>
      <w:hyperlink w:anchor="_Toc407021938" w:history="1">
        <w:r w:rsidR="00CA132E" w:rsidRPr="00337DC6">
          <w:rPr>
            <w:rStyle w:val="Hyperlink"/>
            <w:rFonts w:ascii="Arial" w:hAnsi="Arial" w:cs="Arial"/>
            <w:lang w:val="en-US" w:eastAsia="ja-JP"/>
          </w:rPr>
          <w:t>Work undertaken to date</w:t>
        </w:r>
        <w:r w:rsidR="00CA132E">
          <w:rPr>
            <w:webHidden/>
          </w:rPr>
          <w:tab/>
        </w:r>
        <w:r w:rsidR="00CA132E">
          <w:rPr>
            <w:webHidden/>
          </w:rPr>
          <w:fldChar w:fldCharType="begin"/>
        </w:r>
        <w:r w:rsidR="00CA132E">
          <w:rPr>
            <w:webHidden/>
          </w:rPr>
          <w:instrText xml:space="preserve"> PAGEREF _Toc407021938 \h </w:instrText>
        </w:r>
        <w:r w:rsidR="00CA132E">
          <w:rPr>
            <w:webHidden/>
          </w:rPr>
        </w:r>
        <w:r w:rsidR="00CA132E">
          <w:rPr>
            <w:webHidden/>
          </w:rPr>
          <w:fldChar w:fldCharType="separate"/>
        </w:r>
        <w:r w:rsidR="007D074E">
          <w:rPr>
            <w:webHidden/>
          </w:rPr>
          <w:t>20</w:t>
        </w:r>
        <w:r w:rsidR="00CA132E">
          <w:rPr>
            <w:webHidden/>
          </w:rPr>
          <w:fldChar w:fldCharType="end"/>
        </w:r>
      </w:hyperlink>
    </w:p>
    <w:p w:rsidR="00CA132E" w:rsidRDefault="007E6941">
      <w:pPr>
        <w:pStyle w:val="TOC2"/>
        <w:rPr>
          <w:rFonts w:eastAsiaTheme="minorEastAsia"/>
          <w:color w:val="auto"/>
          <w:lang w:eastAsia="en-AU"/>
        </w:rPr>
      </w:pPr>
      <w:hyperlink w:anchor="_Toc407021939" w:history="1">
        <w:r w:rsidR="00CA132E" w:rsidRPr="00337DC6">
          <w:rPr>
            <w:rStyle w:val="Hyperlink"/>
            <w:rFonts w:ascii="Arial" w:hAnsi="Arial" w:cs="Arial"/>
          </w:rPr>
          <w:t>Development of a Mental Health Care Type</w:t>
        </w:r>
        <w:r w:rsidR="00CA132E">
          <w:rPr>
            <w:webHidden/>
          </w:rPr>
          <w:tab/>
        </w:r>
        <w:r w:rsidR="00CA132E">
          <w:rPr>
            <w:webHidden/>
          </w:rPr>
          <w:fldChar w:fldCharType="begin"/>
        </w:r>
        <w:r w:rsidR="00CA132E">
          <w:rPr>
            <w:webHidden/>
          </w:rPr>
          <w:instrText xml:space="preserve"> PAGEREF _Toc407021939 \h </w:instrText>
        </w:r>
        <w:r w:rsidR="00CA132E">
          <w:rPr>
            <w:webHidden/>
          </w:rPr>
        </w:r>
        <w:r w:rsidR="00CA132E">
          <w:rPr>
            <w:webHidden/>
          </w:rPr>
          <w:fldChar w:fldCharType="separate"/>
        </w:r>
        <w:r w:rsidR="007D074E">
          <w:rPr>
            <w:webHidden/>
          </w:rPr>
          <w:t>20</w:t>
        </w:r>
        <w:r w:rsidR="00CA132E">
          <w:rPr>
            <w:webHidden/>
          </w:rPr>
          <w:fldChar w:fldCharType="end"/>
        </w:r>
      </w:hyperlink>
    </w:p>
    <w:p w:rsidR="00CA132E" w:rsidRDefault="007E6941">
      <w:pPr>
        <w:pStyle w:val="TOC2"/>
        <w:rPr>
          <w:rFonts w:eastAsiaTheme="minorEastAsia"/>
          <w:color w:val="auto"/>
          <w:lang w:eastAsia="en-AU"/>
        </w:rPr>
      </w:pPr>
      <w:hyperlink w:anchor="_Toc407021940" w:history="1">
        <w:r w:rsidR="00CA132E" w:rsidRPr="00337DC6">
          <w:rPr>
            <w:rStyle w:val="Hyperlink"/>
            <w:rFonts w:ascii="Arial" w:hAnsi="Arial" w:cs="Arial"/>
          </w:rPr>
          <w:t>Cost drivers and recommended classification architecture</w:t>
        </w:r>
        <w:r w:rsidR="00CA132E">
          <w:rPr>
            <w:webHidden/>
          </w:rPr>
          <w:tab/>
        </w:r>
        <w:r w:rsidR="00CA132E">
          <w:rPr>
            <w:webHidden/>
          </w:rPr>
          <w:fldChar w:fldCharType="begin"/>
        </w:r>
        <w:r w:rsidR="00CA132E">
          <w:rPr>
            <w:webHidden/>
          </w:rPr>
          <w:instrText xml:space="preserve"> PAGEREF _Toc407021940 \h </w:instrText>
        </w:r>
        <w:r w:rsidR="00CA132E">
          <w:rPr>
            <w:webHidden/>
          </w:rPr>
        </w:r>
        <w:r w:rsidR="00CA132E">
          <w:rPr>
            <w:webHidden/>
          </w:rPr>
          <w:fldChar w:fldCharType="separate"/>
        </w:r>
        <w:r w:rsidR="007D074E">
          <w:rPr>
            <w:webHidden/>
          </w:rPr>
          <w:t>20</w:t>
        </w:r>
        <w:r w:rsidR="00CA132E">
          <w:rPr>
            <w:webHidden/>
          </w:rPr>
          <w:fldChar w:fldCharType="end"/>
        </w:r>
      </w:hyperlink>
    </w:p>
    <w:p w:rsidR="00CA132E" w:rsidRDefault="007E6941">
      <w:pPr>
        <w:pStyle w:val="TOC2"/>
        <w:rPr>
          <w:rFonts w:eastAsiaTheme="minorEastAsia"/>
          <w:color w:val="auto"/>
          <w:lang w:eastAsia="en-AU"/>
        </w:rPr>
      </w:pPr>
      <w:hyperlink w:anchor="_Toc407021941" w:history="1">
        <w:r w:rsidR="00CA132E" w:rsidRPr="00337DC6">
          <w:rPr>
            <w:rStyle w:val="Hyperlink"/>
            <w:rFonts w:ascii="Arial" w:hAnsi="Arial" w:cs="Arial"/>
          </w:rPr>
          <w:t>Mental Health Costing Study</w:t>
        </w:r>
        <w:r w:rsidR="00CA132E">
          <w:rPr>
            <w:webHidden/>
          </w:rPr>
          <w:tab/>
        </w:r>
        <w:r w:rsidR="00CA132E">
          <w:rPr>
            <w:webHidden/>
          </w:rPr>
          <w:fldChar w:fldCharType="begin"/>
        </w:r>
        <w:r w:rsidR="00CA132E">
          <w:rPr>
            <w:webHidden/>
          </w:rPr>
          <w:instrText xml:space="preserve"> PAGEREF _Toc407021941 \h </w:instrText>
        </w:r>
        <w:r w:rsidR="00CA132E">
          <w:rPr>
            <w:webHidden/>
          </w:rPr>
        </w:r>
        <w:r w:rsidR="00CA132E">
          <w:rPr>
            <w:webHidden/>
          </w:rPr>
          <w:fldChar w:fldCharType="separate"/>
        </w:r>
        <w:r w:rsidR="007D074E">
          <w:rPr>
            <w:webHidden/>
          </w:rPr>
          <w:t>21</w:t>
        </w:r>
        <w:r w:rsidR="00CA132E">
          <w:rPr>
            <w:webHidden/>
          </w:rPr>
          <w:fldChar w:fldCharType="end"/>
        </w:r>
      </w:hyperlink>
    </w:p>
    <w:p w:rsidR="00CA132E" w:rsidRDefault="007E6941">
      <w:pPr>
        <w:pStyle w:val="TOC2"/>
        <w:rPr>
          <w:rFonts w:eastAsiaTheme="minorEastAsia"/>
          <w:color w:val="auto"/>
          <w:lang w:eastAsia="en-AU"/>
        </w:rPr>
      </w:pPr>
      <w:hyperlink w:anchor="_Toc407021942" w:history="1">
        <w:r w:rsidR="00CA132E" w:rsidRPr="00337DC6">
          <w:rPr>
            <w:rStyle w:val="Hyperlink"/>
            <w:rFonts w:ascii="Arial" w:hAnsi="Arial" w:cs="Arial"/>
          </w:rPr>
          <w:t>Development of a data set specification</w:t>
        </w:r>
        <w:r w:rsidR="00CA132E">
          <w:rPr>
            <w:webHidden/>
          </w:rPr>
          <w:tab/>
        </w:r>
        <w:r w:rsidR="00CA132E">
          <w:rPr>
            <w:webHidden/>
          </w:rPr>
          <w:fldChar w:fldCharType="begin"/>
        </w:r>
        <w:r w:rsidR="00CA132E">
          <w:rPr>
            <w:webHidden/>
          </w:rPr>
          <w:instrText xml:space="preserve"> PAGEREF _Toc407021942 \h </w:instrText>
        </w:r>
        <w:r w:rsidR="00CA132E">
          <w:rPr>
            <w:webHidden/>
          </w:rPr>
        </w:r>
        <w:r w:rsidR="00CA132E">
          <w:rPr>
            <w:webHidden/>
          </w:rPr>
          <w:fldChar w:fldCharType="separate"/>
        </w:r>
        <w:r w:rsidR="007D074E">
          <w:rPr>
            <w:webHidden/>
          </w:rPr>
          <w:t>21</w:t>
        </w:r>
        <w:r w:rsidR="00CA132E">
          <w:rPr>
            <w:webHidden/>
          </w:rPr>
          <w:fldChar w:fldCharType="end"/>
        </w:r>
      </w:hyperlink>
    </w:p>
    <w:p w:rsidR="00CA132E" w:rsidRDefault="007E6941">
      <w:pPr>
        <w:pStyle w:val="TOC1"/>
        <w:rPr>
          <w:rFonts w:eastAsiaTheme="minorEastAsia"/>
          <w:b w:val="0"/>
          <w:color w:val="auto"/>
          <w:lang w:eastAsia="en-AU"/>
        </w:rPr>
      </w:pPr>
      <w:hyperlink w:anchor="_Toc407021943" w:history="1">
        <w:r w:rsidR="00CA132E" w:rsidRPr="00337DC6">
          <w:rPr>
            <w:rStyle w:val="Hyperlink"/>
            <w:rFonts w:ascii="Arial" w:hAnsi="Arial" w:cs="Arial"/>
          </w:rPr>
          <w:t>Cost drivers of mental health care</w:t>
        </w:r>
        <w:r w:rsidR="00CA132E">
          <w:rPr>
            <w:webHidden/>
          </w:rPr>
          <w:tab/>
        </w:r>
        <w:r w:rsidR="00CA132E">
          <w:rPr>
            <w:webHidden/>
          </w:rPr>
          <w:fldChar w:fldCharType="begin"/>
        </w:r>
        <w:r w:rsidR="00CA132E">
          <w:rPr>
            <w:webHidden/>
          </w:rPr>
          <w:instrText xml:space="preserve"> PAGEREF _Toc407021943 \h </w:instrText>
        </w:r>
        <w:r w:rsidR="00CA132E">
          <w:rPr>
            <w:webHidden/>
          </w:rPr>
        </w:r>
        <w:r w:rsidR="00CA132E">
          <w:rPr>
            <w:webHidden/>
          </w:rPr>
          <w:fldChar w:fldCharType="separate"/>
        </w:r>
        <w:r w:rsidR="007D074E">
          <w:rPr>
            <w:webHidden/>
          </w:rPr>
          <w:t>23</w:t>
        </w:r>
        <w:r w:rsidR="00CA132E">
          <w:rPr>
            <w:webHidden/>
          </w:rPr>
          <w:fldChar w:fldCharType="end"/>
        </w:r>
      </w:hyperlink>
    </w:p>
    <w:p w:rsidR="00CA132E" w:rsidRDefault="007E6941">
      <w:pPr>
        <w:pStyle w:val="TOC2"/>
        <w:rPr>
          <w:rFonts w:eastAsiaTheme="minorEastAsia"/>
          <w:color w:val="auto"/>
          <w:lang w:eastAsia="en-AU"/>
        </w:rPr>
      </w:pPr>
      <w:hyperlink w:anchor="_Toc407021944" w:history="1">
        <w:r w:rsidR="00CA132E" w:rsidRPr="00337DC6">
          <w:rPr>
            <w:rStyle w:val="Hyperlink"/>
            <w:rFonts w:ascii="Arial" w:hAnsi="Arial" w:cs="Arial"/>
          </w:rPr>
          <w:t>Analysis by the University of Queensland</w:t>
        </w:r>
        <w:r w:rsidR="00CA132E">
          <w:rPr>
            <w:webHidden/>
          </w:rPr>
          <w:tab/>
        </w:r>
        <w:r w:rsidR="00CA132E">
          <w:rPr>
            <w:webHidden/>
          </w:rPr>
          <w:fldChar w:fldCharType="begin"/>
        </w:r>
        <w:r w:rsidR="00CA132E">
          <w:rPr>
            <w:webHidden/>
          </w:rPr>
          <w:instrText xml:space="preserve"> PAGEREF _Toc407021944 \h </w:instrText>
        </w:r>
        <w:r w:rsidR="00CA132E">
          <w:rPr>
            <w:webHidden/>
          </w:rPr>
        </w:r>
        <w:r w:rsidR="00CA132E">
          <w:rPr>
            <w:webHidden/>
          </w:rPr>
          <w:fldChar w:fldCharType="separate"/>
        </w:r>
        <w:r w:rsidR="007D074E">
          <w:rPr>
            <w:webHidden/>
          </w:rPr>
          <w:t>23</w:t>
        </w:r>
        <w:r w:rsidR="00CA132E">
          <w:rPr>
            <w:webHidden/>
          </w:rPr>
          <w:fldChar w:fldCharType="end"/>
        </w:r>
      </w:hyperlink>
    </w:p>
    <w:p w:rsidR="00CA132E" w:rsidRDefault="007E6941">
      <w:pPr>
        <w:pStyle w:val="TOC1"/>
        <w:rPr>
          <w:rFonts w:eastAsiaTheme="minorEastAsia"/>
          <w:b w:val="0"/>
          <w:color w:val="auto"/>
          <w:lang w:eastAsia="en-AU"/>
        </w:rPr>
      </w:pPr>
      <w:hyperlink w:anchor="_Toc407021945" w:history="1">
        <w:r w:rsidR="00CA132E" w:rsidRPr="00337DC6">
          <w:rPr>
            <w:rStyle w:val="Hyperlink"/>
            <w:rFonts w:ascii="Arial" w:hAnsi="Arial" w:cs="Arial"/>
            <w:lang w:val="en-US" w:eastAsia="ja-JP"/>
          </w:rPr>
          <w:t>Proposed approach</w:t>
        </w:r>
        <w:r w:rsidR="00CA132E">
          <w:rPr>
            <w:webHidden/>
          </w:rPr>
          <w:tab/>
        </w:r>
        <w:r w:rsidR="00CA132E">
          <w:rPr>
            <w:webHidden/>
          </w:rPr>
          <w:fldChar w:fldCharType="begin"/>
        </w:r>
        <w:r w:rsidR="00CA132E">
          <w:rPr>
            <w:webHidden/>
          </w:rPr>
          <w:instrText xml:space="preserve"> PAGEREF _Toc407021945 \h </w:instrText>
        </w:r>
        <w:r w:rsidR="00CA132E">
          <w:rPr>
            <w:webHidden/>
          </w:rPr>
        </w:r>
        <w:r w:rsidR="00CA132E">
          <w:rPr>
            <w:webHidden/>
          </w:rPr>
          <w:fldChar w:fldCharType="separate"/>
        </w:r>
        <w:r w:rsidR="007D074E">
          <w:rPr>
            <w:webHidden/>
          </w:rPr>
          <w:t>25</w:t>
        </w:r>
        <w:r w:rsidR="00CA132E">
          <w:rPr>
            <w:webHidden/>
          </w:rPr>
          <w:fldChar w:fldCharType="end"/>
        </w:r>
      </w:hyperlink>
    </w:p>
    <w:p w:rsidR="00CA132E" w:rsidRDefault="007E6941">
      <w:pPr>
        <w:pStyle w:val="TOC2"/>
        <w:rPr>
          <w:rFonts w:eastAsiaTheme="minorEastAsia"/>
          <w:color w:val="auto"/>
          <w:lang w:eastAsia="en-AU"/>
        </w:rPr>
      </w:pPr>
      <w:hyperlink w:anchor="_Toc407021946" w:history="1">
        <w:r w:rsidR="00CA132E" w:rsidRPr="00337DC6">
          <w:rPr>
            <w:rStyle w:val="Hyperlink"/>
            <w:rFonts w:ascii="Arial" w:hAnsi="Arial" w:cs="Arial"/>
          </w:rPr>
          <w:t>The University of Queensland’s proposal</w:t>
        </w:r>
        <w:r w:rsidR="00CA132E">
          <w:rPr>
            <w:webHidden/>
          </w:rPr>
          <w:tab/>
        </w:r>
        <w:r w:rsidR="00CA132E">
          <w:rPr>
            <w:webHidden/>
          </w:rPr>
          <w:fldChar w:fldCharType="begin"/>
        </w:r>
        <w:r w:rsidR="00CA132E">
          <w:rPr>
            <w:webHidden/>
          </w:rPr>
          <w:instrText xml:space="preserve"> PAGEREF _Toc407021946 \h </w:instrText>
        </w:r>
        <w:r w:rsidR="00CA132E">
          <w:rPr>
            <w:webHidden/>
          </w:rPr>
        </w:r>
        <w:r w:rsidR="00CA132E">
          <w:rPr>
            <w:webHidden/>
          </w:rPr>
          <w:fldChar w:fldCharType="separate"/>
        </w:r>
        <w:r w:rsidR="007D074E">
          <w:rPr>
            <w:webHidden/>
          </w:rPr>
          <w:t>25</w:t>
        </w:r>
        <w:r w:rsidR="00CA132E">
          <w:rPr>
            <w:webHidden/>
          </w:rPr>
          <w:fldChar w:fldCharType="end"/>
        </w:r>
      </w:hyperlink>
    </w:p>
    <w:p w:rsidR="00CA132E" w:rsidRDefault="007E6941">
      <w:pPr>
        <w:pStyle w:val="TOC2"/>
        <w:rPr>
          <w:rFonts w:eastAsiaTheme="minorEastAsia"/>
          <w:color w:val="auto"/>
          <w:lang w:eastAsia="en-AU"/>
        </w:rPr>
      </w:pPr>
      <w:hyperlink w:anchor="_Toc407021947" w:history="1">
        <w:r w:rsidR="00CA132E" w:rsidRPr="00337DC6">
          <w:rPr>
            <w:rStyle w:val="Hyperlink"/>
            <w:rFonts w:ascii="Arial" w:hAnsi="Arial" w:cs="Arial"/>
          </w:rPr>
          <w:t>Testing of the proposed framework through the Mental Health Costing Study</w:t>
        </w:r>
        <w:r w:rsidR="00CA132E">
          <w:rPr>
            <w:webHidden/>
          </w:rPr>
          <w:tab/>
        </w:r>
        <w:r w:rsidR="00CA132E">
          <w:rPr>
            <w:webHidden/>
          </w:rPr>
          <w:fldChar w:fldCharType="begin"/>
        </w:r>
        <w:r w:rsidR="00CA132E">
          <w:rPr>
            <w:webHidden/>
          </w:rPr>
          <w:instrText xml:space="preserve"> PAGEREF _Toc407021947 \h </w:instrText>
        </w:r>
        <w:r w:rsidR="00CA132E">
          <w:rPr>
            <w:webHidden/>
          </w:rPr>
        </w:r>
        <w:r w:rsidR="00CA132E">
          <w:rPr>
            <w:webHidden/>
          </w:rPr>
          <w:fldChar w:fldCharType="separate"/>
        </w:r>
        <w:r w:rsidR="007D074E">
          <w:rPr>
            <w:webHidden/>
          </w:rPr>
          <w:t>29</w:t>
        </w:r>
        <w:r w:rsidR="00CA132E">
          <w:rPr>
            <w:webHidden/>
          </w:rPr>
          <w:fldChar w:fldCharType="end"/>
        </w:r>
      </w:hyperlink>
    </w:p>
    <w:p w:rsidR="00CA132E" w:rsidRDefault="007E6941">
      <w:pPr>
        <w:pStyle w:val="TOC1"/>
        <w:rPr>
          <w:rFonts w:eastAsiaTheme="minorEastAsia"/>
          <w:b w:val="0"/>
          <w:color w:val="auto"/>
          <w:lang w:eastAsia="en-AU"/>
        </w:rPr>
      </w:pPr>
      <w:hyperlink w:anchor="_Toc407021948" w:history="1">
        <w:r w:rsidR="00CA132E" w:rsidRPr="00337DC6">
          <w:rPr>
            <w:rStyle w:val="Hyperlink"/>
            <w:rFonts w:ascii="Arial" w:hAnsi="Arial" w:cs="Arial"/>
            <w:lang w:val="en-US" w:eastAsia="ja-JP"/>
          </w:rPr>
          <w:t>Next steps and further opportunities to participate</w:t>
        </w:r>
        <w:r w:rsidR="00CA132E">
          <w:rPr>
            <w:webHidden/>
          </w:rPr>
          <w:tab/>
        </w:r>
        <w:r w:rsidR="00CA132E">
          <w:rPr>
            <w:webHidden/>
          </w:rPr>
          <w:fldChar w:fldCharType="begin"/>
        </w:r>
        <w:r w:rsidR="00CA132E">
          <w:rPr>
            <w:webHidden/>
          </w:rPr>
          <w:instrText xml:space="preserve"> PAGEREF _Toc407021948 \h </w:instrText>
        </w:r>
        <w:r w:rsidR="00CA132E">
          <w:rPr>
            <w:webHidden/>
          </w:rPr>
        </w:r>
        <w:r w:rsidR="00CA132E">
          <w:rPr>
            <w:webHidden/>
          </w:rPr>
          <w:fldChar w:fldCharType="separate"/>
        </w:r>
        <w:r w:rsidR="007D074E">
          <w:rPr>
            <w:webHidden/>
          </w:rPr>
          <w:t>31</w:t>
        </w:r>
        <w:r w:rsidR="00CA132E">
          <w:rPr>
            <w:webHidden/>
          </w:rPr>
          <w:fldChar w:fldCharType="end"/>
        </w:r>
      </w:hyperlink>
    </w:p>
    <w:p w:rsidR="00CA132E" w:rsidRDefault="007E6941">
      <w:pPr>
        <w:pStyle w:val="TOC2"/>
        <w:rPr>
          <w:rFonts w:eastAsiaTheme="minorEastAsia"/>
          <w:color w:val="auto"/>
          <w:lang w:eastAsia="en-AU"/>
        </w:rPr>
      </w:pPr>
      <w:hyperlink w:anchor="_Toc407021949" w:history="1">
        <w:r w:rsidR="00CA132E" w:rsidRPr="00337DC6">
          <w:rPr>
            <w:rStyle w:val="Hyperlink"/>
            <w:lang w:val="en-US" w:eastAsia="ja-JP"/>
          </w:rPr>
          <w:t>Refine and finalise the AMHCC framework</w:t>
        </w:r>
        <w:r w:rsidR="00CA132E">
          <w:rPr>
            <w:webHidden/>
          </w:rPr>
          <w:tab/>
        </w:r>
        <w:r w:rsidR="00CA132E">
          <w:rPr>
            <w:webHidden/>
          </w:rPr>
          <w:fldChar w:fldCharType="begin"/>
        </w:r>
        <w:r w:rsidR="00CA132E">
          <w:rPr>
            <w:webHidden/>
          </w:rPr>
          <w:instrText xml:space="preserve"> PAGEREF _Toc407021949 \h </w:instrText>
        </w:r>
        <w:r w:rsidR="00CA132E">
          <w:rPr>
            <w:webHidden/>
          </w:rPr>
        </w:r>
        <w:r w:rsidR="00CA132E">
          <w:rPr>
            <w:webHidden/>
          </w:rPr>
          <w:fldChar w:fldCharType="separate"/>
        </w:r>
        <w:r w:rsidR="007D074E">
          <w:rPr>
            <w:webHidden/>
          </w:rPr>
          <w:t>31</w:t>
        </w:r>
        <w:r w:rsidR="00CA132E">
          <w:rPr>
            <w:webHidden/>
          </w:rPr>
          <w:fldChar w:fldCharType="end"/>
        </w:r>
      </w:hyperlink>
    </w:p>
    <w:p w:rsidR="00CA132E" w:rsidRDefault="007E6941">
      <w:pPr>
        <w:pStyle w:val="TOC2"/>
        <w:rPr>
          <w:rFonts w:eastAsiaTheme="minorEastAsia"/>
          <w:color w:val="auto"/>
          <w:lang w:eastAsia="en-AU"/>
        </w:rPr>
      </w:pPr>
      <w:hyperlink w:anchor="_Toc407021950" w:history="1">
        <w:r w:rsidR="00CA132E" w:rsidRPr="00337DC6">
          <w:rPr>
            <w:rStyle w:val="Hyperlink"/>
            <w:lang w:val="en-US" w:eastAsia="ja-JP"/>
          </w:rPr>
          <w:t>Develop AMHCC version 1.0</w:t>
        </w:r>
        <w:r w:rsidR="00CA132E">
          <w:rPr>
            <w:webHidden/>
          </w:rPr>
          <w:tab/>
        </w:r>
        <w:r w:rsidR="00CA132E">
          <w:rPr>
            <w:webHidden/>
          </w:rPr>
          <w:fldChar w:fldCharType="begin"/>
        </w:r>
        <w:r w:rsidR="00CA132E">
          <w:rPr>
            <w:webHidden/>
          </w:rPr>
          <w:instrText xml:space="preserve"> PAGEREF _Toc407021950 \h </w:instrText>
        </w:r>
        <w:r w:rsidR="00CA132E">
          <w:rPr>
            <w:webHidden/>
          </w:rPr>
        </w:r>
        <w:r w:rsidR="00CA132E">
          <w:rPr>
            <w:webHidden/>
          </w:rPr>
          <w:fldChar w:fldCharType="separate"/>
        </w:r>
        <w:r w:rsidR="007D074E">
          <w:rPr>
            <w:webHidden/>
          </w:rPr>
          <w:t>31</w:t>
        </w:r>
        <w:r w:rsidR="00CA132E">
          <w:rPr>
            <w:webHidden/>
          </w:rPr>
          <w:fldChar w:fldCharType="end"/>
        </w:r>
      </w:hyperlink>
    </w:p>
    <w:p w:rsidR="00CA132E" w:rsidRDefault="007E6941">
      <w:pPr>
        <w:pStyle w:val="TOC2"/>
        <w:rPr>
          <w:rFonts w:eastAsiaTheme="minorEastAsia"/>
          <w:color w:val="auto"/>
          <w:lang w:eastAsia="en-AU"/>
        </w:rPr>
      </w:pPr>
      <w:hyperlink w:anchor="_Toc407021951" w:history="1">
        <w:r w:rsidR="00CA132E" w:rsidRPr="00337DC6">
          <w:rPr>
            <w:rStyle w:val="Hyperlink"/>
            <w:lang w:val="en-US" w:eastAsia="ja-JP"/>
          </w:rPr>
          <w:t>Develop AMHCC version 2.0</w:t>
        </w:r>
        <w:r w:rsidR="00CA132E">
          <w:rPr>
            <w:webHidden/>
          </w:rPr>
          <w:tab/>
        </w:r>
        <w:r w:rsidR="00CA132E">
          <w:rPr>
            <w:webHidden/>
          </w:rPr>
          <w:fldChar w:fldCharType="begin"/>
        </w:r>
        <w:r w:rsidR="00CA132E">
          <w:rPr>
            <w:webHidden/>
          </w:rPr>
          <w:instrText xml:space="preserve"> PAGEREF _Toc407021951 \h </w:instrText>
        </w:r>
        <w:r w:rsidR="00CA132E">
          <w:rPr>
            <w:webHidden/>
          </w:rPr>
        </w:r>
        <w:r w:rsidR="00CA132E">
          <w:rPr>
            <w:webHidden/>
          </w:rPr>
          <w:fldChar w:fldCharType="separate"/>
        </w:r>
        <w:r w:rsidR="007D074E">
          <w:rPr>
            <w:webHidden/>
          </w:rPr>
          <w:t>31</w:t>
        </w:r>
        <w:r w:rsidR="00CA132E">
          <w:rPr>
            <w:webHidden/>
          </w:rPr>
          <w:fldChar w:fldCharType="end"/>
        </w:r>
      </w:hyperlink>
    </w:p>
    <w:p w:rsidR="00223F52" w:rsidRPr="00C32FB0" w:rsidRDefault="00D528F7" w:rsidP="001A3516">
      <w:pPr>
        <w:pStyle w:val="TOC2"/>
        <w:rPr>
          <w:rFonts w:ascii="Arial" w:hAnsi="Arial" w:cs="Arial"/>
        </w:rPr>
      </w:pPr>
      <w:r w:rsidRPr="00C32FB0">
        <w:rPr>
          <w:rFonts w:ascii="Arial" w:hAnsi="Arial" w:cs="Arial"/>
        </w:rPr>
        <w:fldChar w:fldCharType="end"/>
      </w:r>
      <w:r w:rsidR="00F10328" w:rsidRPr="00C32FB0">
        <w:rPr>
          <w:rFonts w:ascii="Arial" w:hAnsi="Arial" w:cs="Arial"/>
        </w:rPr>
        <w:br w:type="page"/>
      </w:r>
    </w:p>
    <w:p w:rsidR="000D3CAB" w:rsidRPr="00C32FB0" w:rsidRDefault="000D3CAB" w:rsidP="000D3CAB">
      <w:pPr>
        <w:pStyle w:val="Heading1"/>
        <w:rPr>
          <w:rFonts w:ascii="Arial" w:hAnsi="Arial" w:cs="Arial"/>
        </w:rPr>
      </w:pPr>
      <w:bookmarkStart w:id="1" w:name="_Toc388007622"/>
      <w:bookmarkStart w:id="2" w:name="_Toc390946779"/>
      <w:bookmarkStart w:id="3" w:name="_Toc407021919"/>
      <w:r w:rsidRPr="00C32FB0">
        <w:rPr>
          <w:rFonts w:ascii="Arial" w:hAnsi="Arial" w:cs="Arial"/>
        </w:rPr>
        <w:lastRenderedPageBreak/>
        <w:t>Glossary</w:t>
      </w:r>
      <w:bookmarkEnd w:id="1"/>
      <w:bookmarkEnd w:id="2"/>
      <w:bookmarkEnd w:id="3"/>
    </w:p>
    <w:p w:rsidR="000D3CAB" w:rsidRPr="00C32FB0" w:rsidRDefault="000D3CAB" w:rsidP="000D3CAB">
      <w:pPr>
        <w:tabs>
          <w:tab w:val="left" w:pos="2093"/>
        </w:tabs>
        <w:rPr>
          <w:rFonts w:ascii="Arial" w:hAnsi="Arial" w:cs="Arial"/>
        </w:rPr>
      </w:pPr>
      <w:r w:rsidRPr="00C32FB0">
        <w:rPr>
          <w:rFonts w:ascii="Arial" w:hAnsi="Arial" w:cs="Arial"/>
        </w:rPr>
        <w:t>ABF</w:t>
      </w:r>
      <w:r w:rsidRPr="00C32FB0">
        <w:rPr>
          <w:rFonts w:ascii="Arial" w:hAnsi="Arial" w:cs="Arial"/>
        </w:rPr>
        <w:tab/>
        <w:t>Activity Based Funding</w:t>
      </w:r>
    </w:p>
    <w:p w:rsidR="003121B1" w:rsidRDefault="003121B1" w:rsidP="003121B1">
      <w:pPr>
        <w:tabs>
          <w:tab w:val="left" w:pos="2093"/>
        </w:tabs>
        <w:rPr>
          <w:rFonts w:ascii="Arial" w:hAnsi="Arial" w:cs="Arial"/>
        </w:rPr>
      </w:pPr>
      <w:r w:rsidRPr="00C32FB0">
        <w:rPr>
          <w:rFonts w:ascii="Arial" w:hAnsi="Arial" w:cs="Arial"/>
        </w:rPr>
        <w:t>ABF MH</w:t>
      </w:r>
      <w:r w:rsidR="002D5F3F" w:rsidRPr="00C32FB0">
        <w:rPr>
          <w:rFonts w:ascii="Arial" w:hAnsi="Arial" w:cs="Arial"/>
        </w:rPr>
        <w:t>C</w:t>
      </w:r>
      <w:r w:rsidRPr="00C32FB0">
        <w:rPr>
          <w:rFonts w:ascii="Arial" w:hAnsi="Arial" w:cs="Arial"/>
        </w:rPr>
        <w:t xml:space="preserve"> DSS</w:t>
      </w:r>
      <w:r w:rsidRPr="00C32FB0">
        <w:rPr>
          <w:rFonts w:ascii="Arial" w:hAnsi="Arial" w:cs="Arial"/>
        </w:rPr>
        <w:tab/>
        <w:t>ABF Mental Health Care Data Set Specification</w:t>
      </w:r>
    </w:p>
    <w:p w:rsidR="00FF678F" w:rsidRPr="00C32FB0" w:rsidRDefault="00FF678F" w:rsidP="003121B1">
      <w:pPr>
        <w:tabs>
          <w:tab w:val="left" w:pos="2093"/>
        </w:tabs>
        <w:rPr>
          <w:rFonts w:ascii="Arial" w:hAnsi="Arial" w:cs="Arial"/>
        </w:rPr>
      </w:pPr>
      <w:r>
        <w:rPr>
          <w:rFonts w:ascii="Arial" w:hAnsi="Arial" w:cs="Arial"/>
        </w:rPr>
        <w:t>AIHW</w:t>
      </w:r>
      <w:r>
        <w:rPr>
          <w:rFonts w:ascii="Arial" w:hAnsi="Arial" w:cs="Arial"/>
        </w:rPr>
        <w:tab/>
        <w:t>Australian Institute of Health and Welfare</w:t>
      </w:r>
    </w:p>
    <w:p w:rsidR="009725A1" w:rsidRPr="00C32FB0" w:rsidRDefault="009725A1" w:rsidP="000D3CAB">
      <w:pPr>
        <w:tabs>
          <w:tab w:val="left" w:pos="2093"/>
        </w:tabs>
        <w:rPr>
          <w:rFonts w:ascii="Arial" w:hAnsi="Arial" w:cs="Arial"/>
        </w:rPr>
      </w:pPr>
      <w:r w:rsidRPr="00C32FB0">
        <w:rPr>
          <w:rFonts w:ascii="Arial" w:hAnsi="Arial" w:cs="Arial"/>
        </w:rPr>
        <w:t>AMHCC</w:t>
      </w:r>
      <w:r w:rsidRPr="00C32FB0">
        <w:rPr>
          <w:rFonts w:ascii="Arial" w:hAnsi="Arial" w:cs="Arial"/>
        </w:rPr>
        <w:tab/>
        <w:t>Australian Mental Health Care Classification</w:t>
      </w:r>
    </w:p>
    <w:p w:rsidR="000D3CAB" w:rsidRPr="00C32FB0" w:rsidRDefault="000D3CAB" w:rsidP="000D3CAB">
      <w:pPr>
        <w:tabs>
          <w:tab w:val="left" w:pos="2093"/>
        </w:tabs>
        <w:rPr>
          <w:rFonts w:ascii="Arial" w:hAnsi="Arial" w:cs="Arial"/>
        </w:rPr>
      </w:pPr>
      <w:r w:rsidRPr="00C32FB0">
        <w:rPr>
          <w:rFonts w:ascii="Arial" w:hAnsi="Arial" w:cs="Arial"/>
        </w:rPr>
        <w:t>AN-SNAP</w:t>
      </w:r>
      <w:r w:rsidRPr="00C32FB0">
        <w:rPr>
          <w:rFonts w:ascii="Arial" w:hAnsi="Arial" w:cs="Arial"/>
        </w:rPr>
        <w:tab/>
        <w:t>Australian National Subacute and Non-acute Patient classification</w:t>
      </w:r>
    </w:p>
    <w:p w:rsidR="000D3CAB" w:rsidRPr="00C32FB0" w:rsidRDefault="000D3CAB" w:rsidP="000D3CAB">
      <w:pPr>
        <w:tabs>
          <w:tab w:val="left" w:pos="2093"/>
        </w:tabs>
        <w:rPr>
          <w:rFonts w:ascii="Arial" w:hAnsi="Arial" w:cs="Arial"/>
        </w:rPr>
      </w:pPr>
      <w:r w:rsidRPr="00C32FB0">
        <w:rPr>
          <w:rFonts w:ascii="Arial" w:hAnsi="Arial" w:cs="Arial"/>
        </w:rPr>
        <w:t>AR-DRG</w:t>
      </w:r>
      <w:r w:rsidRPr="00C32FB0">
        <w:rPr>
          <w:rFonts w:ascii="Arial" w:hAnsi="Arial" w:cs="Arial"/>
        </w:rPr>
        <w:tab/>
        <w:t>Australian-Refined Diagnosis Related Groups</w:t>
      </w:r>
    </w:p>
    <w:p w:rsidR="00BD4E82" w:rsidRPr="00C32FB0" w:rsidRDefault="00BD4E82" w:rsidP="000D3CAB">
      <w:pPr>
        <w:tabs>
          <w:tab w:val="left" w:pos="2093"/>
        </w:tabs>
        <w:rPr>
          <w:rFonts w:ascii="Arial" w:hAnsi="Arial" w:cs="Arial"/>
        </w:rPr>
      </w:pPr>
      <w:proofErr w:type="spellStart"/>
      <w:r w:rsidRPr="00C32FB0">
        <w:rPr>
          <w:rFonts w:ascii="Arial" w:hAnsi="Arial" w:cs="Arial"/>
        </w:rPr>
        <w:t>HoNOS</w:t>
      </w:r>
      <w:proofErr w:type="spellEnd"/>
      <w:r w:rsidRPr="00C32FB0">
        <w:rPr>
          <w:rFonts w:ascii="Arial" w:hAnsi="Arial" w:cs="Arial"/>
        </w:rPr>
        <w:tab/>
        <w:t>Health of the Nation Outcome Scales</w:t>
      </w:r>
    </w:p>
    <w:p w:rsidR="000D3CAB" w:rsidRPr="00C32FB0" w:rsidRDefault="000D3CAB" w:rsidP="000D3CAB">
      <w:pPr>
        <w:tabs>
          <w:tab w:val="left" w:pos="2093"/>
        </w:tabs>
        <w:rPr>
          <w:rFonts w:ascii="Arial" w:hAnsi="Arial" w:cs="Arial"/>
        </w:rPr>
      </w:pPr>
      <w:r w:rsidRPr="00C32FB0">
        <w:rPr>
          <w:rFonts w:ascii="Arial" w:hAnsi="Arial" w:cs="Arial"/>
        </w:rPr>
        <w:t>IHPA</w:t>
      </w:r>
      <w:r w:rsidRPr="00C32FB0">
        <w:rPr>
          <w:rFonts w:ascii="Arial" w:hAnsi="Arial" w:cs="Arial"/>
        </w:rPr>
        <w:tab/>
        <w:t>Independent Hospital Pricing Authority</w:t>
      </w:r>
    </w:p>
    <w:p w:rsidR="006F7C2A" w:rsidRPr="00C32FB0" w:rsidRDefault="006F7C2A" w:rsidP="000D3CAB">
      <w:pPr>
        <w:tabs>
          <w:tab w:val="left" w:pos="2093"/>
        </w:tabs>
        <w:rPr>
          <w:rFonts w:ascii="Arial" w:hAnsi="Arial" w:cs="Arial"/>
        </w:rPr>
      </w:pPr>
      <w:r w:rsidRPr="00C32FB0">
        <w:rPr>
          <w:rFonts w:ascii="Arial" w:hAnsi="Arial" w:cs="Arial"/>
        </w:rPr>
        <w:t>MHCT</w:t>
      </w:r>
      <w:r w:rsidRPr="00C32FB0">
        <w:rPr>
          <w:rFonts w:ascii="Arial" w:hAnsi="Arial" w:cs="Arial"/>
        </w:rPr>
        <w:tab/>
        <w:t>Mental Health Care Type</w:t>
      </w:r>
    </w:p>
    <w:p w:rsidR="00F32AA6" w:rsidRPr="00C32FB0" w:rsidRDefault="00F32AA6" w:rsidP="000D3CAB">
      <w:pPr>
        <w:tabs>
          <w:tab w:val="left" w:pos="2093"/>
        </w:tabs>
        <w:rPr>
          <w:rFonts w:ascii="Arial" w:hAnsi="Arial" w:cs="Arial"/>
        </w:rPr>
      </w:pPr>
      <w:r w:rsidRPr="00C32FB0">
        <w:rPr>
          <w:rFonts w:ascii="Arial" w:hAnsi="Arial" w:cs="Arial"/>
        </w:rPr>
        <w:t>MH-CASC</w:t>
      </w:r>
      <w:r w:rsidRPr="00C32FB0">
        <w:rPr>
          <w:rFonts w:ascii="Arial" w:hAnsi="Arial" w:cs="Arial"/>
        </w:rPr>
        <w:tab/>
        <w:t>Mental Health Classification and Service Costs project</w:t>
      </w:r>
    </w:p>
    <w:p w:rsidR="0007223A" w:rsidRPr="00C32FB0" w:rsidRDefault="0007223A" w:rsidP="000D3CAB">
      <w:pPr>
        <w:tabs>
          <w:tab w:val="left" w:pos="2093"/>
        </w:tabs>
        <w:rPr>
          <w:rFonts w:ascii="Arial" w:hAnsi="Arial" w:cs="Arial"/>
        </w:rPr>
      </w:pPr>
      <w:r w:rsidRPr="00C32FB0">
        <w:rPr>
          <w:rFonts w:ascii="Arial" w:hAnsi="Arial" w:cs="Arial"/>
        </w:rPr>
        <w:t>MHCERG</w:t>
      </w:r>
      <w:r w:rsidRPr="00C32FB0">
        <w:rPr>
          <w:rFonts w:ascii="Arial" w:hAnsi="Arial" w:cs="Arial"/>
        </w:rPr>
        <w:tab/>
        <w:t>Mental Health Classification Expert Reference Group</w:t>
      </w:r>
    </w:p>
    <w:p w:rsidR="009932D8" w:rsidRPr="00C32FB0" w:rsidRDefault="009932D8" w:rsidP="000D3CAB">
      <w:pPr>
        <w:tabs>
          <w:tab w:val="left" w:pos="2093"/>
        </w:tabs>
        <w:rPr>
          <w:rFonts w:ascii="Arial" w:hAnsi="Arial" w:cs="Arial"/>
        </w:rPr>
      </w:pPr>
      <w:r w:rsidRPr="00C32FB0">
        <w:rPr>
          <w:rFonts w:ascii="Arial" w:hAnsi="Arial" w:cs="Arial"/>
        </w:rPr>
        <w:t>MHIC</w:t>
      </w:r>
      <w:r w:rsidRPr="00C32FB0">
        <w:rPr>
          <w:rFonts w:ascii="Arial" w:hAnsi="Arial" w:cs="Arial"/>
        </w:rPr>
        <w:tab/>
        <w:t>Mental Health Intervention Classification</w:t>
      </w:r>
    </w:p>
    <w:p w:rsidR="009725A1" w:rsidRPr="00C32FB0" w:rsidRDefault="009725A1" w:rsidP="000D3CAB">
      <w:pPr>
        <w:tabs>
          <w:tab w:val="left" w:pos="2093"/>
        </w:tabs>
        <w:rPr>
          <w:rFonts w:ascii="Arial" w:hAnsi="Arial" w:cs="Arial"/>
        </w:rPr>
      </w:pPr>
      <w:r w:rsidRPr="00C32FB0">
        <w:rPr>
          <w:rFonts w:ascii="Arial" w:hAnsi="Arial" w:cs="Arial"/>
        </w:rPr>
        <w:t>MHWG</w:t>
      </w:r>
      <w:r w:rsidRPr="00C32FB0">
        <w:rPr>
          <w:rFonts w:ascii="Arial" w:hAnsi="Arial" w:cs="Arial"/>
        </w:rPr>
        <w:tab/>
        <w:t>Mental Health Working Group</w:t>
      </w:r>
    </w:p>
    <w:p w:rsidR="00326B67" w:rsidRPr="00C32FB0" w:rsidRDefault="00326B67" w:rsidP="000D3CAB">
      <w:pPr>
        <w:tabs>
          <w:tab w:val="left" w:pos="2093"/>
        </w:tabs>
        <w:rPr>
          <w:rFonts w:ascii="Arial" w:hAnsi="Arial" w:cs="Arial"/>
        </w:rPr>
      </w:pPr>
      <w:r w:rsidRPr="00C32FB0">
        <w:rPr>
          <w:rFonts w:ascii="Arial" w:hAnsi="Arial" w:cs="Arial"/>
        </w:rPr>
        <w:t>NDIS</w:t>
      </w:r>
      <w:r w:rsidRPr="00C32FB0">
        <w:rPr>
          <w:rFonts w:ascii="Arial" w:hAnsi="Arial" w:cs="Arial"/>
        </w:rPr>
        <w:tab/>
        <w:t>National Disability Insurance Scheme</w:t>
      </w:r>
    </w:p>
    <w:p w:rsidR="000D3CAB" w:rsidRPr="00C32FB0" w:rsidRDefault="000D3CAB" w:rsidP="000D3CAB">
      <w:pPr>
        <w:tabs>
          <w:tab w:val="left" w:pos="2093"/>
        </w:tabs>
        <w:rPr>
          <w:rFonts w:ascii="Arial" w:hAnsi="Arial" w:cs="Arial"/>
        </w:rPr>
      </w:pPr>
      <w:r w:rsidRPr="00C32FB0">
        <w:rPr>
          <w:rFonts w:ascii="Arial" w:hAnsi="Arial" w:cs="Arial"/>
        </w:rPr>
        <w:t>NHRA</w:t>
      </w:r>
      <w:r w:rsidRPr="00C32FB0">
        <w:rPr>
          <w:rFonts w:ascii="Arial" w:hAnsi="Arial" w:cs="Arial"/>
        </w:rPr>
        <w:tab/>
        <w:t>National Health Reform Agreement</w:t>
      </w:r>
    </w:p>
    <w:p w:rsidR="009932D8" w:rsidRPr="00C32FB0" w:rsidRDefault="009932D8" w:rsidP="000D3CAB">
      <w:pPr>
        <w:tabs>
          <w:tab w:val="left" w:pos="2093"/>
        </w:tabs>
        <w:rPr>
          <w:rFonts w:ascii="Arial" w:hAnsi="Arial" w:cs="Arial"/>
        </w:rPr>
      </w:pPr>
      <w:r w:rsidRPr="00C32FB0">
        <w:rPr>
          <w:rFonts w:ascii="Arial" w:hAnsi="Arial" w:cs="Arial"/>
        </w:rPr>
        <w:t>NMDS</w:t>
      </w:r>
      <w:r w:rsidRPr="00C32FB0">
        <w:rPr>
          <w:rFonts w:ascii="Arial" w:hAnsi="Arial" w:cs="Arial"/>
        </w:rPr>
        <w:tab/>
        <w:t>National Minimum Data Set</w:t>
      </w:r>
    </w:p>
    <w:p w:rsidR="00F9257D" w:rsidRPr="00C32FB0" w:rsidRDefault="00F9257D" w:rsidP="000D3CAB">
      <w:pPr>
        <w:tabs>
          <w:tab w:val="left" w:pos="2093"/>
        </w:tabs>
        <w:rPr>
          <w:rFonts w:ascii="Arial" w:hAnsi="Arial" w:cs="Arial"/>
        </w:rPr>
      </w:pPr>
      <w:r w:rsidRPr="00C32FB0">
        <w:rPr>
          <w:rFonts w:ascii="Arial" w:hAnsi="Arial" w:cs="Arial"/>
        </w:rPr>
        <w:t>NMHSPF</w:t>
      </w:r>
      <w:r w:rsidRPr="00C32FB0">
        <w:rPr>
          <w:rFonts w:ascii="Arial" w:hAnsi="Arial" w:cs="Arial"/>
        </w:rPr>
        <w:tab/>
        <w:t>National Mental Health Service Planning Framework</w:t>
      </w:r>
    </w:p>
    <w:p w:rsidR="009932D8" w:rsidRPr="00C32FB0" w:rsidRDefault="009932D8" w:rsidP="000D3CAB">
      <w:pPr>
        <w:tabs>
          <w:tab w:val="left" w:pos="2093"/>
        </w:tabs>
        <w:rPr>
          <w:rFonts w:ascii="Arial" w:hAnsi="Arial" w:cs="Arial"/>
        </w:rPr>
      </w:pPr>
      <w:r w:rsidRPr="00C32FB0">
        <w:rPr>
          <w:rFonts w:ascii="Arial" w:hAnsi="Arial" w:cs="Arial"/>
        </w:rPr>
        <w:t>NOCC</w:t>
      </w:r>
      <w:r w:rsidRPr="00C32FB0">
        <w:rPr>
          <w:rFonts w:ascii="Arial" w:hAnsi="Arial" w:cs="Arial"/>
        </w:rPr>
        <w:tab/>
        <w:t xml:space="preserve">National Outcomes and </w:t>
      </w:r>
      <w:proofErr w:type="spellStart"/>
      <w:r w:rsidRPr="00C32FB0">
        <w:rPr>
          <w:rFonts w:ascii="Arial" w:hAnsi="Arial" w:cs="Arial"/>
        </w:rPr>
        <w:t>Casemix</w:t>
      </w:r>
      <w:proofErr w:type="spellEnd"/>
      <w:r w:rsidRPr="00C32FB0">
        <w:rPr>
          <w:rFonts w:ascii="Arial" w:hAnsi="Arial" w:cs="Arial"/>
        </w:rPr>
        <w:t xml:space="preserve"> Collection</w:t>
      </w:r>
    </w:p>
    <w:p w:rsidR="009725A1" w:rsidRPr="00C32FB0" w:rsidRDefault="009725A1" w:rsidP="000D3CAB">
      <w:pPr>
        <w:tabs>
          <w:tab w:val="left" w:pos="2093"/>
        </w:tabs>
        <w:rPr>
          <w:rFonts w:ascii="Arial" w:hAnsi="Arial" w:cs="Arial"/>
        </w:rPr>
      </w:pPr>
      <w:r w:rsidRPr="00C32FB0">
        <w:rPr>
          <w:rFonts w:ascii="Arial" w:hAnsi="Arial" w:cs="Arial"/>
        </w:rPr>
        <w:t>UQ</w:t>
      </w:r>
      <w:r w:rsidRPr="00C32FB0">
        <w:rPr>
          <w:rFonts w:ascii="Arial" w:hAnsi="Arial" w:cs="Arial"/>
        </w:rPr>
        <w:tab/>
        <w:t>University of Queensland</w:t>
      </w:r>
    </w:p>
    <w:p w:rsidR="00F10328" w:rsidRPr="00C32FB0" w:rsidRDefault="00F10328">
      <w:pPr>
        <w:rPr>
          <w:rFonts w:ascii="Arial" w:hAnsi="Arial" w:cs="Arial"/>
          <w:lang w:val="en-US" w:eastAsia="ja-JP"/>
        </w:rPr>
      </w:pPr>
      <w:r w:rsidRPr="00C32FB0">
        <w:rPr>
          <w:rFonts w:ascii="Arial" w:hAnsi="Arial" w:cs="Arial"/>
          <w:lang w:val="en-US" w:eastAsia="ja-JP"/>
        </w:rPr>
        <w:br w:type="page"/>
      </w:r>
    </w:p>
    <w:p w:rsidR="000E1543" w:rsidRPr="00C32FB0" w:rsidRDefault="000951D6" w:rsidP="000E1543">
      <w:pPr>
        <w:pStyle w:val="Heading1"/>
        <w:rPr>
          <w:lang w:val="en-US" w:eastAsia="ja-JP"/>
        </w:rPr>
      </w:pPr>
      <w:bookmarkStart w:id="4" w:name="_Toc407021920"/>
      <w:r>
        <w:rPr>
          <w:lang w:val="en-US" w:eastAsia="ja-JP"/>
        </w:rPr>
        <w:lastRenderedPageBreak/>
        <w:t>Executive summary</w:t>
      </w:r>
      <w:bookmarkEnd w:id="4"/>
    </w:p>
    <w:p w:rsidR="000E1543" w:rsidRPr="00C32FB0" w:rsidRDefault="000E1543" w:rsidP="000E1543">
      <w:pPr>
        <w:rPr>
          <w:rFonts w:ascii="Arial" w:hAnsi="Arial" w:cs="Arial"/>
          <w:lang w:val="en-US" w:eastAsia="ja-JP"/>
        </w:rPr>
      </w:pPr>
      <w:r w:rsidRPr="00C32FB0">
        <w:rPr>
          <w:rFonts w:ascii="Arial" w:hAnsi="Arial" w:cs="Arial"/>
          <w:lang w:val="en-US" w:eastAsia="ja-JP"/>
        </w:rPr>
        <w:t xml:space="preserve">This is the first in a series of public consultation papers to inform the final stage in the development of </w:t>
      </w:r>
      <w:r w:rsidR="00734873" w:rsidRPr="00C32FB0">
        <w:rPr>
          <w:rFonts w:ascii="Arial" w:hAnsi="Arial" w:cs="Arial"/>
          <w:lang w:val="en-US" w:eastAsia="ja-JP"/>
        </w:rPr>
        <w:t>the</w:t>
      </w:r>
      <w:r w:rsidR="00734873">
        <w:rPr>
          <w:rFonts w:ascii="Arial" w:hAnsi="Arial" w:cs="Arial"/>
          <w:lang w:val="en-US" w:eastAsia="ja-JP"/>
        </w:rPr>
        <w:t xml:space="preserve"> first iteration of the </w:t>
      </w:r>
      <w:r w:rsidRPr="00C32FB0">
        <w:rPr>
          <w:rFonts w:ascii="Arial" w:hAnsi="Arial" w:cs="Arial"/>
          <w:lang w:val="en-US" w:eastAsia="ja-JP"/>
        </w:rPr>
        <w:t xml:space="preserve">Australian Mental Health Care Classification (AMHCC). It builds on consultations undertaken by the University </w:t>
      </w:r>
      <w:proofErr w:type="gramStart"/>
      <w:r w:rsidRPr="00C32FB0">
        <w:rPr>
          <w:rFonts w:ascii="Arial" w:hAnsi="Arial" w:cs="Arial"/>
          <w:lang w:val="en-US" w:eastAsia="ja-JP"/>
        </w:rPr>
        <w:t>of</w:t>
      </w:r>
      <w:proofErr w:type="gramEnd"/>
      <w:r w:rsidRPr="00C32FB0">
        <w:rPr>
          <w:rFonts w:ascii="Arial" w:hAnsi="Arial" w:cs="Arial"/>
          <w:lang w:val="en-US" w:eastAsia="ja-JP"/>
        </w:rPr>
        <w:t xml:space="preserve"> Queensland (UQ) in the early stages of this project, and through targeted consultation undertaken by IHPA through the AMHCC Mental Health Costing Study.</w:t>
      </w:r>
    </w:p>
    <w:p w:rsidR="000E1543" w:rsidRPr="00C32FB0" w:rsidRDefault="000E1543" w:rsidP="000E1543">
      <w:pPr>
        <w:rPr>
          <w:rFonts w:ascii="Arial" w:hAnsi="Arial" w:cs="Arial"/>
          <w:lang w:val="en-US" w:eastAsia="ja-JP"/>
        </w:rPr>
      </w:pPr>
      <w:r w:rsidRPr="00C32FB0">
        <w:rPr>
          <w:rFonts w:ascii="Arial" w:hAnsi="Arial" w:cs="Arial"/>
          <w:lang w:val="en-US" w:eastAsia="ja-JP"/>
        </w:rPr>
        <w:t>This paper sets out work undertaken to date and seeks stakeholders’ views on the approach to the classification’s development and its proposed structure.</w:t>
      </w:r>
    </w:p>
    <w:p w:rsidR="000951D6" w:rsidRPr="00C32FB0" w:rsidRDefault="000951D6" w:rsidP="000951D6">
      <w:pPr>
        <w:rPr>
          <w:rFonts w:ascii="Arial" w:hAnsi="Arial" w:cs="Arial"/>
        </w:rPr>
      </w:pPr>
      <w:r w:rsidRPr="00C32FB0">
        <w:rPr>
          <w:rFonts w:ascii="Arial" w:hAnsi="Arial" w:cs="Arial"/>
          <w:lang w:val="en-US" w:eastAsia="ja-JP"/>
        </w:rPr>
        <w:t>At present, there is no single classification used for mental health service</w:t>
      </w:r>
      <w:r>
        <w:rPr>
          <w:rFonts w:ascii="Arial" w:hAnsi="Arial" w:cs="Arial"/>
          <w:lang w:val="en-US" w:eastAsia="ja-JP"/>
        </w:rPr>
        <w:t>s</w:t>
      </w:r>
      <w:r w:rsidRPr="00C32FB0">
        <w:rPr>
          <w:rFonts w:ascii="Arial" w:hAnsi="Arial" w:cs="Arial"/>
          <w:lang w:val="en-US" w:eastAsia="ja-JP"/>
        </w:rPr>
        <w:t>. Since 1 July 2013, IHPA has priced admitted mental health services using Australian Refined Diagnosis Related Groups (AR-DRGs) as the classification system with a modified pricing model.</w:t>
      </w:r>
      <w:r>
        <w:rPr>
          <w:rFonts w:ascii="Arial" w:hAnsi="Arial" w:cs="Arial"/>
          <w:lang w:val="en-US" w:eastAsia="ja-JP"/>
        </w:rPr>
        <w:t xml:space="preserve"> </w:t>
      </w:r>
      <w:r>
        <w:rPr>
          <w:rFonts w:ascii="Arial" w:hAnsi="Arial" w:cs="Arial"/>
        </w:rPr>
        <w:t xml:space="preserve">This is not ideal in the </w:t>
      </w:r>
      <w:r w:rsidRPr="00C32FB0">
        <w:rPr>
          <w:rFonts w:ascii="Arial" w:hAnsi="Arial" w:cs="Arial"/>
        </w:rPr>
        <w:t>longer term because diagnosis is not as strong a driver of resource utilisation for mental health services as it is in other acute services, and it can only be applied in the admitted setting.</w:t>
      </w:r>
    </w:p>
    <w:p w:rsidR="000951D6" w:rsidRPr="00C32FB0" w:rsidRDefault="000951D6" w:rsidP="000951D6">
      <w:pPr>
        <w:rPr>
          <w:rFonts w:ascii="Arial" w:hAnsi="Arial" w:cs="Arial"/>
        </w:rPr>
      </w:pPr>
      <w:r w:rsidRPr="00C32FB0">
        <w:rPr>
          <w:rFonts w:ascii="Arial" w:hAnsi="Arial" w:cs="Arial"/>
        </w:rPr>
        <w:t xml:space="preserve">The purpose of developing the </w:t>
      </w:r>
      <w:r w:rsidRPr="00C32FB0">
        <w:rPr>
          <w:rFonts w:ascii="Arial" w:hAnsi="Arial" w:cs="Arial"/>
          <w:lang w:val="en-US" w:eastAsia="ja-JP"/>
        </w:rPr>
        <w:t>AMHC</w:t>
      </w:r>
      <w:r w:rsidRPr="00C32FB0">
        <w:rPr>
          <w:rFonts w:ascii="Arial" w:hAnsi="Arial" w:cs="Arial"/>
        </w:rPr>
        <w:t xml:space="preserve">C is to </w:t>
      </w:r>
      <w:r w:rsidR="00BD67FA">
        <w:rPr>
          <w:rFonts w:ascii="Arial" w:hAnsi="Arial" w:cs="Arial"/>
        </w:rPr>
        <w:t xml:space="preserve">improve </w:t>
      </w:r>
      <w:r w:rsidRPr="00C32FB0">
        <w:rPr>
          <w:rFonts w:ascii="Arial" w:hAnsi="Arial" w:cs="Arial"/>
        </w:rPr>
        <w:t xml:space="preserve">the clinical meaningfulness of mental health classification, leading to an improvement in the cost </w:t>
      </w:r>
      <w:proofErr w:type="spellStart"/>
      <w:r w:rsidRPr="00C32FB0">
        <w:rPr>
          <w:rFonts w:ascii="Arial" w:hAnsi="Arial" w:cs="Arial"/>
        </w:rPr>
        <w:t>predictiveness</w:t>
      </w:r>
      <w:proofErr w:type="spellEnd"/>
      <w:r w:rsidR="00DF13BC">
        <w:rPr>
          <w:rFonts w:ascii="Arial" w:hAnsi="Arial" w:cs="Arial"/>
        </w:rPr>
        <w:t>,</w:t>
      </w:r>
      <w:r w:rsidRPr="00C32FB0">
        <w:rPr>
          <w:rFonts w:ascii="Arial" w:hAnsi="Arial" w:cs="Arial"/>
        </w:rPr>
        <w:t xml:space="preserve"> and to support the new models of care being implemented in all states and territories</w:t>
      </w:r>
      <w:r w:rsidR="00DF13BC">
        <w:rPr>
          <w:rFonts w:ascii="Arial" w:hAnsi="Arial" w:cs="Arial"/>
        </w:rPr>
        <w:t xml:space="preserve"> with a classification that can be applied in all settings</w:t>
      </w:r>
      <w:r w:rsidRPr="00C32FB0">
        <w:rPr>
          <w:rFonts w:ascii="Arial" w:hAnsi="Arial" w:cs="Arial"/>
        </w:rPr>
        <w:t>.</w:t>
      </w:r>
    </w:p>
    <w:p w:rsidR="008F22EF" w:rsidRDefault="008F22EF" w:rsidP="008F22EF">
      <w:pPr>
        <w:rPr>
          <w:rFonts w:ascii="Arial" w:hAnsi="Arial" w:cs="Arial"/>
        </w:rPr>
      </w:pPr>
      <w:r>
        <w:rPr>
          <w:rFonts w:ascii="Arial" w:hAnsi="Arial" w:cs="Arial"/>
        </w:rPr>
        <w:t xml:space="preserve">An effective way of classifying mental health care across settings will be of use to many different levels of the health system. The AMHCC will allow individual services and service systems such as </w:t>
      </w:r>
      <w:r w:rsidR="00B3682A">
        <w:rPr>
          <w:rFonts w:ascii="Arial" w:hAnsi="Arial" w:cs="Arial"/>
        </w:rPr>
        <w:t>state and territory health departments</w:t>
      </w:r>
      <w:r>
        <w:rPr>
          <w:rFonts w:ascii="Arial" w:hAnsi="Arial" w:cs="Arial"/>
        </w:rPr>
        <w:t>, Local Health Networks, non-government and private organisations to better understand how their mental health services work and where clinical, financial and other resources are applied, and will enable performance benchmarking across similar services.</w:t>
      </w:r>
    </w:p>
    <w:p w:rsidR="00082040" w:rsidRDefault="008F22EF" w:rsidP="000951D6">
      <w:pPr>
        <w:rPr>
          <w:rFonts w:ascii="Arial" w:hAnsi="Arial" w:cs="Arial"/>
        </w:rPr>
      </w:pPr>
      <w:r>
        <w:rPr>
          <w:rFonts w:ascii="Arial" w:hAnsi="Arial" w:cs="Arial"/>
        </w:rPr>
        <w:t xml:space="preserve">Development of the AMHCC commenced in 2012. </w:t>
      </w:r>
      <w:r w:rsidR="000951D6" w:rsidRPr="008F22EF">
        <w:rPr>
          <w:rFonts w:ascii="Arial" w:hAnsi="Arial" w:cs="Arial"/>
        </w:rPr>
        <w:t>To date, IHPA has commissioned UQ to develop a Mental Health Care Type to determine the scope of the AMHCC, and a proposed architecture for the classification based on a detailed analysis of available data, international literature and stakeholder input to determine what the most significant cost drivers may be for providing mental health care.</w:t>
      </w:r>
    </w:p>
    <w:p w:rsidR="008F22EF" w:rsidRDefault="000951D6" w:rsidP="000951D6">
      <w:pPr>
        <w:rPr>
          <w:rFonts w:ascii="Arial" w:hAnsi="Arial" w:cs="Arial"/>
        </w:rPr>
      </w:pPr>
      <w:r w:rsidRPr="008F22EF">
        <w:rPr>
          <w:rFonts w:ascii="Arial" w:hAnsi="Arial" w:cs="Arial"/>
        </w:rPr>
        <w:t xml:space="preserve">UQ proposed an architecture for the classification which includes </w:t>
      </w:r>
      <w:r w:rsidR="008F22EF">
        <w:rPr>
          <w:rFonts w:ascii="Arial" w:hAnsi="Arial" w:cs="Arial"/>
        </w:rPr>
        <w:t xml:space="preserve">some new data elements which might provide a way of determining how care is classified: the ‘phase of care’ that a consumer is in, </w:t>
      </w:r>
      <w:r w:rsidR="00082040">
        <w:rPr>
          <w:rFonts w:ascii="Arial" w:hAnsi="Arial" w:cs="Arial"/>
        </w:rPr>
        <w:t>whether this is the consumer’s first</w:t>
      </w:r>
      <w:r w:rsidR="008F22EF">
        <w:rPr>
          <w:rFonts w:ascii="Arial" w:hAnsi="Arial" w:cs="Arial"/>
        </w:rPr>
        <w:t xml:space="preserve"> contact with mental health care services, and the types of mental health interventions provided</w:t>
      </w:r>
      <w:r w:rsidR="00082040">
        <w:rPr>
          <w:rFonts w:ascii="Arial" w:hAnsi="Arial" w:cs="Arial"/>
        </w:rPr>
        <w:t>, as well as consideration of existing outcome measures</w:t>
      </w:r>
      <w:r w:rsidR="008F22EF">
        <w:rPr>
          <w:rFonts w:ascii="Arial" w:hAnsi="Arial" w:cs="Arial"/>
        </w:rPr>
        <w:t>.</w:t>
      </w:r>
      <w:r w:rsidR="00082040">
        <w:rPr>
          <w:rFonts w:ascii="Arial" w:hAnsi="Arial" w:cs="Arial"/>
        </w:rPr>
        <w:t xml:space="preserve"> These are currently being tested through a Mental Health Costing Study operating in a variety of mental health care settings.</w:t>
      </w:r>
    </w:p>
    <w:p w:rsidR="008F22EF" w:rsidRDefault="008F22EF" w:rsidP="008F22EF">
      <w:pPr>
        <w:rPr>
          <w:rFonts w:ascii="Arial" w:hAnsi="Arial" w:cs="Arial"/>
        </w:rPr>
      </w:pPr>
      <w:r w:rsidRPr="00C32FB0">
        <w:rPr>
          <w:rFonts w:ascii="Arial" w:hAnsi="Arial" w:cs="Arial"/>
        </w:rPr>
        <w:t xml:space="preserve">In developing the AMHCC, IHPA has accepted UQ’s recommendation that, consistent with the principal of ‘single provision, multiple </w:t>
      </w:r>
      <w:proofErr w:type="gramStart"/>
      <w:r w:rsidRPr="00C32FB0">
        <w:rPr>
          <w:rFonts w:ascii="Arial" w:hAnsi="Arial" w:cs="Arial"/>
        </w:rPr>
        <w:t>use</w:t>
      </w:r>
      <w:proofErr w:type="gramEnd"/>
      <w:r w:rsidRPr="00C32FB0">
        <w:rPr>
          <w:rFonts w:ascii="Arial" w:hAnsi="Arial" w:cs="Arial"/>
        </w:rPr>
        <w:t xml:space="preserve">’, the dataset to be developed by IHPA be derived from </w:t>
      </w:r>
      <w:r w:rsidR="00082040">
        <w:rPr>
          <w:rFonts w:ascii="Arial" w:hAnsi="Arial" w:cs="Arial"/>
        </w:rPr>
        <w:t>existing data collections which can be reported by states and territories where possible.</w:t>
      </w:r>
      <w:r w:rsidR="00DF13BC" w:rsidRPr="00DF13BC">
        <w:rPr>
          <w:rFonts w:ascii="Arial" w:hAnsi="Arial" w:cs="Arial"/>
        </w:rPr>
        <w:t xml:space="preserve"> </w:t>
      </w:r>
      <w:r w:rsidR="00DF13BC">
        <w:rPr>
          <w:rFonts w:ascii="Arial" w:hAnsi="Arial" w:cs="Arial"/>
        </w:rPr>
        <w:t>Version 1.0 of the Data Set Specification has since been developed and will be refined as the AMHCC</w:t>
      </w:r>
      <w:r w:rsidR="00B3682A">
        <w:rPr>
          <w:rFonts w:ascii="Arial" w:hAnsi="Arial" w:cs="Arial"/>
        </w:rPr>
        <w:t xml:space="preserve"> development</w:t>
      </w:r>
      <w:r w:rsidR="00DF13BC">
        <w:rPr>
          <w:rFonts w:ascii="Arial" w:hAnsi="Arial" w:cs="Arial"/>
        </w:rPr>
        <w:t xml:space="preserve"> progresse</w:t>
      </w:r>
      <w:r w:rsidR="00B3682A">
        <w:rPr>
          <w:rFonts w:ascii="Arial" w:hAnsi="Arial" w:cs="Arial"/>
        </w:rPr>
        <w:t>s</w:t>
      </w:r>
      <w:r w:rsidR="00DF13BC">
        <w:rPr>
          <w:rFonts w:ascii="Arial" w:hAnsi="Arial" w:cs="Arial"/>
        </w:rPr>
        <w:t>.</w:t>
      </w:r>
    </w:p>
    <w:p w:rsidR="00734873" w:rsidRDefault="00734873" w:rsidP="00734873">
      <w:pPr>
        <w:rPr>
          <w:rFonts w:ascii="Arial" w:hAnsi="Arial" w:cs="Arial"/>
        </w:rPr>
      </w:pPr>
      <w:r>
        <w:rPr>
          <w:rFonts w:ascii="Arial" w:hAnsi="Arial" w:cs="Arial"/>
        </w:rPr>
        <w:lastRenderedPageBreak/>
        <w:t xml:space="preserve">As with other classification systems, development of the AMHCC will take time. The </w:t>
      </w:r>
      <w:r w:rsidR="00B3682A">
        <w:rPr>
          <w:rFonts w:ascii="Arial" w:hAnsi="Arial" w:cs="Arial"/>
        </w:rPr>
        <w:t xml:space="preserve">initial </w:t>
      </w:r>
      <w:r>
        <w:rPr>
          <w:rFonts w:ascii="Arial" w:hAnsi="Arial" w:cs="Arial"/>
        </w:rPr>
        <w:t>version to be implemented in 2016</w:t>
      </w:r>
      <w:r>
        <w:rPr>
          <w:rFonts w:ascii="Arial" w:hAnsi="Arial" w:cs="Arial"/>
        </w:rPr>
        <w:noBreakHyphen/>
        <w:t xml:space="preserve">17 is unlikely to apply to all types of mental health care service settings or providers, as data to support classification development will need to be </w:t>
      </w:r>
      <w:r w:rsidR="00B3682A">
        <w:rPr>
          <w:rFonts w:ascii="Arial" w:hAnsi="Arial" w:cs="Arial"/>
        </w:rPr>
        <w:t>developed</w:t>
      </w:r>
      <w:r>
        <w:rPr>
          <w:rFonts w:ascii="Arial" w:hAnsi="Arial" w:cs="Arial"/>
        </w:rPr>
        <w:t xml:space="preserve"> over coming years.</w:t>
      </w:r>
      <w:r w:rsidR="00BD67FA">
        <w:rPr>
          <w:rFonts w:ascii="Arial" w:hAnsi="Arial" w:cs="Arial"/>
        </w:rPr>
        <w:t xml:space="preserve"> </w:t>
      </w:r>
      <w:r w:rsidR="00DF13BC">
        <w:rPr>
          <w:rFonts w:ascii="Arial" w:hAnsi="Arial" w:cs="Arial"/>
        </w:rPr>
        <w:t>T</w:t>
      </w:r>
      <w:r w:rsidR="00BD67FA">
        <w:rPr>
          <w:rFonts w:ascii="Arial" w:hAnsi="Arial" w:cs="Arial"/>
        </w:rPr>
        <w:t xml:space="preserve">he consultation processes and developmental work for the 2016-17 </w:t>
      </w:r>
      <w:r w:rsidR="00B3682A">
        <w:rPr>
          <w:rFonts w:ascii="Arial" w:hAnsi="Arial" w:cs="Arial"/>
        </w:rPr>
        <w:t xml:space="preserve">revision </w:t>
      </w:r>
      <w:r w:rsidR="00DF13BC">
        <w:rPr>
          <w:rFonts w:ascii="Arial" w:hAnsi="Arial" w:cs="Arial"/>
        </w:rPr>
        <w:t xml:space="preserve">will include the identification of </w:t>
      </w:r>
      <w:r w:rsidR="00BD67FA">
        <w:rPr>
          <w:rFonts w:ascii="Arial" w:hAnsi="Arial" w:cs="Arial"/>
        </w:rPr>
        <w:t>areas of focus for future work.</w:t>
      </w:r>
    </w:p>
    <w:p w:rsidR="00082040" w:rsidRPr="00C32FB0" w:rsidRDefault="00082040" w:rsidP="008F22EF">
      <w:pPr>
        <w:rPr>
          <w:rFonts w:ascii="Arial" w:hAnsi="Arial" w:cs="Arial"/>
        </w:rPr>
      </w:pPr>
      <w:r>
        <w:rPr>
          <w:rFonts w:ascii="Arial" w:hAnsi="Arial" w:cs="Arial"/>
        </w:rPr>
        <w:t xml:space="preserve">This paper seeks stakeholders’ views on the approach to the classification’s development and its proposed structure. </w:t>
      </w:r>
      <w:r w:rsidR="00DF13BC">
        <w:rPr>
          <w:rFonts w:ascii="Arial" w:hAnsi="Arial" w:cs="Arial"/>
        </w:rPr>
        <w:t xml:space="preserve">Pricing of mental health care is a separate and later matter. </w:t>
      </w:r>
      <w:r>
        <w:rPr>
          <w:rFonts w:ascii="Arial" w:hAnsi="Arial" w:cs="Arial"/>
        </w:rPr>
        <w:t>IHPA consults on approaches to pricing health ca</w:t>
      </w:r>
      <w:r w:rsidR="00734873">
        <w:rPr>
          <w:rFonts w:ascii="Arial" w:hAnsi="Arial" w:cs="Arial"/>
        </w:rPr>
        <w:t xml:space="preserve">re services through its annual consultation on the </w:t>
      </w:r>
      <w:r w:rsidR="00734873" w:rsidRPr="00734873">
        <w:rPr>
          <w:rFonts w:ascii="Arial" w:hAnsi="Arial" w:cs="Arial"/>
        </w:rPr>
        <w:t>Pricing Framework for Australian Public Hospital Services</w:t>
      </w:r>
      <w:r w:rsidR="00734873">
        <w:rPr>
          <w:rFonts w:ascii="Arial" w:hAnsi="Arial" w:cs="Arial"/>
        </w:rPr>
        <w:t>. Following development of the AMHCC, IHPA will seek views on pricing through this process.</w:t>
      </w:r>
    </w:p>
    <w:p w:rsidR="000951D6" w:rsidRDefault="000E1543" w:rsidP="000E1543">
      <w:pPr>
        <w:rPr>
          <w:rFonts w:ascii="Arial" w:hAnsi="Arial" w:cs="Arial"/>
          <w:lang w:val="en-US" w:eastAsia="ja-JP"/>
        </w:rPr>
      </w:pPr>
      <w:r w:rsidRPr="00C32FB0">
        <w:rPr>
          <w:rFonts w:ascii="Arial" w:hAnsi="Arial" w:cs="Arial"/>
          <w:lang w:val="en-US" w:eastAsia="ja-JP"/>
        </w:rPr>
        <w:t>Following this consultation on the classification structure, IHPA will commence development of the classification itself and undertake further rounds of consultation from later in 2015.</w:t>
      </w:r>
    </w:p>
    <w:p w:rsidR="000951D6" w:rsidRDefault="00D00395" w:rsidP="00D00395">
      <w:pPr>
        <w:pStyle w:val="Heading2"/>
        <w:rPr>
          <w:lang w:val="en-US" w:eastAsia="ja-JP"/>
        </w:rPr>
      </w:pPr>
      <w:bookmarkStart w:id="5" w:name="_Toc407021921"/>
      <w:r>
        <w:rPr>
          <w:lang w:val="en-US" w:eastAsia="ja-JP"/>
        </w:rPr>
        <w:t>Consultation q</w:t>
      </w:r>
      <w:r w:rsidR="000951D6">
        <w:rPr>
          <w:lang w:val="en-US" w:eastAsia="ja-JP"/>
        </w:rPr>
        <w:t>uestions</w:t>
      </w:r>
      <w:bookmarkEnd w:id="5"/>
    </w:p>
    <w:p w:rsidR="000951D6" w:rsidRPr="00D00395" w:rsidRDefault="000951D6" w:rsidP="00D00395">
      <w:pPr>
        <w:rPr>
          <w:lang w:val="en-US" w:eastAsia="ja-JP"/>
        </w:rPr>
      </w:pPr>
      <w:r w:rsidRPr="00D00395">
        <w:rPr>
          <w:lang w:val="en-US" w:eastAsia="ja-JP"/>
        </w:rPr>
        <w:t>IHPA is seeking</w:t>
      </w:r>
      <w:r w:rsidR="007F6003">
        <w:rPr>
          <w:lang w:val="en-US" w:eastAsia="ja-JP"/>
        </w:rPr>
        <w:t xml:space="preserve"> </w:t>
      </w:r>
      <w:r w:rsidRPr="00D00395">
        <w:rPr>
          <w:lang w:val="en-US" w:eastAsia="ja-JP"/>
        </w:rPr>
        <w:t xml:space="preserve">comments on the following </w:t>
      </w:r>
      <w:r w:rsidR="00D00395" w:rsidRPr="00D00395">
        <w:rPr>
          <w:lang w:val="en-US" w:eastAsia="ja-JP"/>
        </w:rPr>
        <w:t>areas:</w:t>
      </w:r>
    </w:p>
    <w:p w:rsidR="006713A5" w:rsidRPr="00D00395" w:rsidRDefault="006713A5" w:rsidP="006713A5">
      <w:pPr>
        <w:pStyle w:val="ListParagraph"/>
        <w:numPr>
          <w:ilvl w:val="0"/>
          <w:numId w:val="12"/>
        </w:numPr>
        <w:ind w:left="357" w:hanging="357"/>
        <w:contextualSpacing w:val="0"/>
        <w:rPr>
          <w:lang w:val="en-US" w:eastAsia="ja-JP"/>
        </w:rPr>
      </w:pPr>
      <w:r w:rsidRPr="00D00395">
        <w:rPr>
          <w:lang w:val="en-US" w:eastAsia="ja-JP"/>
        </w:rPr>
        <w:t>What are the most important factors to draw from international experiences in classifying mental health care?</w:t>
      </w:r>
    </w:p>
    <w:p w:rsidR="006713A5" w:rsidRDefault="006713A5" w:rsidP="006713A5">
      <w:pPr>
        <w:pStyle w:val="ListParagraph"/>
        <w:numPr>
          <w:ilvl w:val="0"/>
          <w:numId w:val="12"/>
        </w:numPr>
        <w:ind w:left="357" w:hanging="357"/>
        <w:contextualSpacing w:val="0"/>
        <w:rPr>
          <w:lang w:val="en-US" w:eastAsia="ja-JP"/>
        </w:rPr>
      </w:pPr>
      <w:r w:rsidRPr="00D00395">
        <w:rPr>
          <w:lang w:val="en-US" w:eastAsia="ja-JP"/>
        </w:rPr>
        <w:t>What are the most important considerations in the national context?</w:t>
      </w:r>
    </w:p>
    <w:p w:rsidR="006713A5" w:rsidRPr="00B70033" w:rsidRDefault="006713A5" w:rsidP="006713A5">
      <w:pPr>
        <w:pStyle w:val="ListParagraph"/>
        <w:numPr>
          <w:ilvl w:val="0"/>
          <w:numId w:val="12"/>
        </w:numPr>
        <w:ind w:left="357" w:hanging="357"/>
        <w:contextualSpacing w:val="0"/>
        <w:rPr>
          <w:lang w:val="en-US" w:eastAsia="ja-JP"/>
        </w:rPr>
      </w:pPr>
      <w:r w:rsidRPr="00B70033">
        <w:rPr>
          <w:lang w:val="en-US" w:eastAsia="ja-JP"/>
        </w:rPr>
        <w:t>Are there any other principles that should be considered in developing the AMHCC?</w:t>
      </w:r>
    </w:p>
    <w:p w:rsidR="006713A5" w:rsidRPr="00B70033" w:rsidRDefault="006713A5" w:rsidP="006713A5">
      <w:pPr>
        <w:pStyle w:val="ListParagraph"/>
        <w:numPr>
          <w:ilvl w:val="0"/>
          <w:numId w:val="12"/>
        </w:numPr>
        <w:ind w:left="357" w:hanging="357"/>
        <w:contextualSpacing w:val="0"/>
        <w:rPr>
          <w:lang w:val="en-US" w:eastAsia="ja-JP"/>
        </w:rPr>
      </w:pPr>
      <w:r w:rsidRPr="00B70033">
        <w:rPr>
          <w:lang w:val="en-US" w:eastAsia="ja-JP"/>
        </w:rPr>
        <w:t>Are there further data or other limitations of which the AMHCC should be aware?</w:t>
      </w:r>
    </w:p>
    <w:p w:rsidR="006713A5" w:rsidRPr="00D00395" w:rsidRDefault="006713A5" w:rsidP="006713A5">
      <w:pPr>
        <w:pStyle w:val="ListParagraph"/>
        <w:numPr>
          <w:ilvl w:val="0"/>
          <w:numId w:val="12"/>
        </w:numPr>
        <w:ind w:left="357" w:hanging="357"/>
        <w:contextualSpacing w:val="0"/>
        <w:rPr>
          <w:lang w:val="en-US" w:eastAsia="ja-JP"/>
        </w:rPr>
      </w:pPr>
      <w:r w:rsidRPr="00965A5F">
        <w:rPr>
          <w:lang w:val="en-US" w:eastAsia="ja-JP"/>
        </w:rPr>
        <w:t xml:space="preserve">Are there any other key considerations that should be taken into account in developing </w:t>
      </w:r>
      <w:r w:rsidRPr="00D00395">
        <w:rPr>
          <w:lang w:val="en-US" w:eastAsia="ja-JP"/>
        </w:rPr>
        <w:t>the AMHCC?</w:t>
      </w:r>
    </w:p>
    <w:p w:rsidR="006713A5" w:rsidRPr="00965A5F" w:rsidRDefault="006713A5" w:rsidP="006713A5">
      <w:pPr>
        <w:pStyle w:val="ListParagraph"/>
        <w:numPr>
          <w:ilvl w:val="0"/>
          <w:numId w:val="12"/>
        </w:numPr>
        <w:ind w:left="357" w:hanging="357"/>
        <w:contextualSpacing w:val="0"/>
        <w:rPr>
          <w:lang w:val="en-US" w:eastAsia="ja-JP"/>
        </w:rPr>
      </w:pPr>
      <w:r w:rsidRPr="00965A5F">
        <w:rPr>
          <w:lang w:val="en-US" w:eastAsia="ja-JP"/>
        </w:rPr>
        <w:t>Are there other cost drivers that should be considered in the development of the AMHCC?</w:t>
      </w:r>
    </w:p>
    <w:p w:rsidR="00D00395" w:rsidRPr="007F6003" w:rsidRDefault="00D00395" w:rsidP="00D00395">
      <w:pPr>
        <w:pStyle w:val="ListParagraph"/>
        <w:numPr>
          <w:ilvl w:val="0"/>
          <w:numId w:val="12"/>
        </w:numPr>
        <w:ind w:left="357" w:hanging="357"/>
        <w:contextualSpacing w:val="0"/>
        <w:rPr>
          <w:lang w:val="en-US" w:eastAsia="ja-JP"/>
        </w:rPr>
      </w:pPr>
      <w:r w:rsidRPr="00D00395">
        <w:rPr>
          <w:lang w:val="en-US" w:eastAsia="ja-JP"/>
        </w:rPr>
        <w:t>Are there any further considerations in relation to the proposed architecture?</w:t>
      </w:r>
    </w:p>
    <w:p w:rsidR="00D00395" w:rsidRPr="00B70033" w:rsidRDefault="00D00395" w:rsidP="00D00395">
      <w:pPr>
        <w:pStyle w:val="ListParagraph"/>
        <w:numPr>
          <w:ilvl w:val="0"/>
          <w:numId w:val="12"/>
        </w:numPr>
        <w:ind w:left="357" w:hanging="357"/>
        <w:contextualSpacing w:val="0"/>
        <w:rPr>
          <w:lang w:val="en-US" w:eastAsia="ja-JP"/>
        </w:rPr>
      </w:pPr>
      <w:r w:rsidRPr="007F6003">
        <w:rPr>
          <w:lang w:val="en-US" w:eastAsia="ja-JP"/>
        </w:rPr>
        <w:t>Is there any further evidence that should be considered in testing the proposed architecture?</w:t>
      </w:r>
    </w:p>
    <w:p w:rsidR="00D00395" w:rsidRPr="00965A5F" w:rsidRDefault="00D00395" w:rsidP="00D00395">
      <w:pPr>
        <w:pStyle w:val="ListParagraph"/>
        <w:numPr>
          <w:ilvl w:val="0"/>
          <w:numId w:val="12"/>
        </w:numPr>
        <w:ind w:left="357" w:hanging="357"/>
        <w:contextualSpacing w:val="0"/>
        <w:rPr>
          <w:lang w:val="en-US" w:eastAsia="ja-JP"/>
        </w:rPr>
      </w:pPr>
      <w:r w:rsidRPr="00B70033">
        <w:rPr>
          <w:lang w:val="en-US" w:eastAsia="ja-JP"/>
        </w:rPr>
        <w:t>Which psychological interventions, if any, may be of significant in understanding the cost of care?</w:t>
      </w:r>
    </w:p>
    <w:p w:rsidR="00734873" w:rsidRPr="00D00395" w:rsidRDefault="00734873" w:rsidP="00734873">
      <w:pPr>
        <w:pStyle w:val="ListParagraph"/>
        <w:numPr>
          <w:ilvl w:val="0"/>
          <w:numId w:val="12"/>
        </w:numPr>
        <w:ind w:left="357" w:hanging="357"/>
        <w:contextualSpacing w:val="0"/>
        <w:rPr>
          <w:lang w:val="en-US" w:eastAsia="ja-JP"/>
        </w:rPr>
      </w:pPr>
      <w:r w:rsidRPr="00D00395">
        <w:rPr>
          <w:lang w:val="en-US" w:eastAsia="ja-JP"/>
        </w:rPr>
        <w:t xml:space="preserve">Are there particular aspects or areas of the AMHCC that should be </w:t>
      </w:r>
      <w:proofErr w:type="spellStart"/>
      <w:r w:rsidRPr="00D00395">
        <w:rPr>
          <w:lang w:val="en-US" w:eastAsia="ja-JP"/>
        </w:rPr>
        <w:t>prioritised</w:t>
      </w:r>
      <w:proofErr w:type="spellEnd"/>
      <w:r w:rsidRPr="00D00395">
        <w:rPr>
          <w:lang w:val="en-US" w:eastAsia="ja-JP"/>
        </w:rPr>
        <w:t xml:space="preserve"> in its development, or aspects that should be developed at a later stage?</w:t>
      </w:r>
    </w:p>
    <w:p w:rsidR="00734873" w:rsidRPr="00734873" w:rsidRDefault="00734873" w:rsidP="00734873">
      <w:pPr>
        <w:pStyle w:val="ListParagraph"/>
        <w:numPr>
          <w:ilvl w:val="0"/>
          <w:numId w:val="12"/>
        </w:numPr>
        <w:ind w:left="357" w:hanging="357"/>
        <w:contextualSpacing w:val="0"/>
        <w:rPr>
          <w:lang w:val="en-US" w:eastAsia="ja-JP"/>
        </w:rPr>
      </w:pPr>
      <w:r w:rsidRPr="00D00395">
        <w:rPr>
          <w:lang w:val="en-US" w:eastAsia="ja-JP"/>
        </w:rPr>
        <w:t>Are there any further considerations that should be taken into account when developing the AMHCC?</w:t>
      </w:r>
    </w:p>
    <w:p w:rsidR="000E1543" w:rsidRPr="00C32FB0" w:rsidRDefault="000E1543" w:rsidP="000E1543">
      <w:pPr>
        <w:pStyle w:val="Heading2"/>
        <w:rPr>
          <w:rFonts w:ascii="Arial" w:hAnsi="Arial" w:cs="Arial"/>
          <w:lang w:val="en-US" w:eastAsia="ja-JP"/>
        </w:rPr>
      </w:pPr>
      <w:bookmarkStart w:id="6" w:name="_Toc407021922"/>
      <w:r w:rsidRPr="00C32FB0">
        <w:rPr>
          <w:rFonts w:ascii="Arial" w:hAnsi="Arial" w:cs="Arial"/>
          <w:lang w:val="en-US" w:eastAsia="ja-JP"/>
        </w:rPr>
        <w:t>Submissions</w:t>
      </w:r>
      <w:bookmarkEnd w:id="6"/>
    </w:p>
    <w:p w:rsidR="000E1543" w:rsidRPr="00C32FB0" w:rsidRDefault="000E1543" w:rsidP="000E1543">
      <w:pPr>
        <w:rPr>
          <w:rFonts w:ascii="Arial" w:hAnsi="Arial" w:cs="Arial"/>
          <w:lang w:val="en-US" w:eastAsia="ja-JP"/>
        </w:rPr>
      </w:pPr>
      <w:r w:rsidRPr="00C32FB0">
        <w:rPr>
          <w:rFonts w:ascii="Arial" w:hAnsi="Arial" w:cs="Arial"/>
          <w:lang w:val="en-US" w:eastAsia="ja-JP"/>
        </w:rPr>
        <w:t xml:space="preserve">Submissions should be sent as an accessible Word document to </w:t>
      </w:r>
      <w:hyperlink r:id="rId12" w:history="1">
        <w:r w:rsidRPr="00C32FB0">
          <w:rPr>
            <w:rStyle w:val="Hyperlink"/>
            <w:rFonts w:ascii="Arial" w:hAnsi="Arial" w:cs="Arial"/>
            <w:lang w:val="en-US" w:eastAsia="ja-JP"/>
          </w:rPr>
          <w:t>submissions.ihpa@ihpa.gov.au</w:t>
        </w:r>
      </w:hyperlink>
      <w:r w:rsidRPr="00C32FB0">
        <w:rPr>
          <w:rFonts w:ascii="Arial" w:hAnsi="Arial" w:cs="Arial"/>
          <w:lang w:val="en-US" w:eastAsia="ja-JP"/>
        </w:rPr>
        <w:t xml:space="preserve"> or posted to “Submissions” PO BOX 483 </w:t>
      </w:r>
      <w:proofErr w:type="spellStart"/>
      <w:r w:rsidRPr="00C32FB0">
        <w:rPr>
          <w:rFonts w:ascii="Arial" w:hAnsi="Arial" w:cs="Arial"/>
          <w:lang w:val="en-US" w:eastAsia="ja-JP"/>
        </w:rPr>
        <w:t>Darlinghurst</w:t>
      </w:r>
      <w:proofErr w:type="spellEnd"/>
      <w:r w:rsidRPr="00C32FB0">
        <w:rPr>
          <w:rFonts w:ascii="Arial" w:hAnsi="Arial" w:cs="Arial"/>
          <w:lang w:val="en-US" w:eastAsia="ja-JP"/>
        </w:rPr>
        <w:t xml:space="preserve"> NSW 1300. </w:t>
      </w:r>
      <w:r w:rsidRPr="000E1543">
        <w:rPr>
          <w:rStyle w:val="Strong"/>
        </w:rPr>
        <w:t xml:space="preserve">Submissions close at </w:t>
      </w:r>
      <w:r w:rsidRPr="000E1543">
        <w:rPr>
          <w:rStyle w:val="Strong"/>
          <w:lang w:val="en-US" w:eastAsia="ja-JP"/>
        </w:rPr>
        <w:t>5pm on Friday 13 February 2015</w:t>
      </w:r>
      <w:r w:rsidRPr="00C32FB0">
        <w:rPr>
          <w:rFonts w:ascii="Arial" w:hAnsi="Arial" w:cs="Arial"/>
          <w:lang w:val="en-US" w:eastAsia="ja-JP"/>
        </w:rPr>
        <w:t>.</w:t>
      </w:r>
    </w:p>
    <w:p w:rsidR="00F62221" w:rsidRDefault="000E1543" w:rsidP="000E1543">
      <w:pPr>
        <w:rPr>
          <w:rFonts w:ascii="Arial" w:hAnsi="Arial" w:cs="Arial"/>
          <w:lang w:val="en-US" w:eastAsia="ja-JP"/>
        </w:rPr>
      </w:pPr>
      <w:r w:rsidRPr="00C32FB0">
        <w:rPr>
          <w:rFonts w:ascii="Arial" w:hAnsi="Arial" w:cs="Arial"/>
          <w:lang w:val="en-US" w:eastAsia="ja-JP"/>
        </w:rPr>
        <w:lastRenderedPageBreak/>
        <w:t xml:space="preserve">All submissions will be published on the </w:t>
      </w:r>
      <w:hyperlink r:id="rId13" w:history="1">
        <w:r w:rsidRPr="00C32FB0">
          <w:rPr>
            <w:rStyle w:val="Hyperlink"/>
            <w:rFonts w:ascii="Arial" w:hAnsi="Arial" w:cs="Arial"/>
            <w:lang w:val="en-US" w:eastAsia="ja-JP"/>
          </w:rPr>
          <w:t>IHPA website</w:t>
        </w:r>
      </w:hyperlink>
      <w:r w:rsidRPr="00C32FB0">
        <w:rPr>
          <w:rFonts w:ascii="Arial" w:hAnsi="Arial" w:cs="Arial"/>
          <w:lang w:val="en-US" w:eastAsia="ja-JP"/>
        </w:rPr>
        <w:t xml:space="preserve"> unless respondents specifically identify any sections that they believe should be kept confidential due to commercial or other reasons.</w:t>
      </w:r>
    </w:p>
    <w:p w:rsidR="00F62221" w:rsidRPr="00F62221" w:rsidRDefault="00F62221" w:rsidP="00F62221">
      <w:pPr>
        <w:pStyle w:val="Heading2"/>
      </w:pPr>
      <w:bookmarkStart w:id="7" w:name="_Toc407021923"/>
      <w:r w:rsidRPr="00F62221">
        <w:t>More information</w:t>
      </w:r>
      <w:bookmarkEnd w:id="7"/>
    </w:p>
    <w:p w:rsidR="00F62221" w:rsidRPr="00311148" w:rsidRDefault="00F62221" w:rsidP="00F62221">
      <w:pPr>
        <w:rPr>
          <w:rFonts w:ascii="Arial" w:hAnsi="Arial" w:cs="Arial"/>
          <w:lang w:val="en-US" w:eastAsia="ja-JP"/>
        </w:rPr>
      </w:pPr>
      <w:r>
        <w:rPr>
          <w:lang w:val="en-US" w:eastAsia="ja-JP"/>
        </w:rPr>
        <w:t xml:space="preserve">The </w:t>
      </w:r>
      <w:hyperlink r:id="rId14" w:history="1">
        <w:r>
          <w:rPr>
            <w:rStyle w:val="Hyperlink"/>
            <w:lang w:val="en-US" w:eastAsia="ja-JP"/>
          </w:rPr>
          <w:t>M</w:t>
        </w:r>
        <w:r w:rsidRPr="00F62221">
          <w:rPr>
            <w:rStyle w:val="Hyperlink"/>
            <w:lang w:val="en-US" w:eastAsia="ja-JP"/>
          </w:rPr>
          <w:t xml:space="preserve">ental </w:t>
        </w:r>
        <w:r>
          <w:rPr>
            <w:rStyle w:val="Hyperlink"/>
            <w:lang w:val="en-US" w:eastAsia="ja-JP"/>
          </w:rPr>
          <w:t>H</w:t>
        </w:r>
        <w:r w:rsidRPr="00F62221">
          <w:rPr>
            <w:rStyle w:val="Hyperlink"/>
            <w:lang w:val="en-US" w:eastAsia="ja-JP"/>
          </w:rPr>
          <w:t xml:space="preserve">ealth </w:t>
        </w:r>
        <w:r>
          <w:rPr>
            <w:rStyle w:val="Hyperlink"/>
            <w:lang w:val="en-US" w:eastAsia="ja-JP"/>
          </w:rPr>
          <w:t xml:space="preserve">Care </w:t>
        </w:r>
        <w:r w:rsidRPr="00F62221">
          <w:rPr>
            <w:rStyle w:val="Hyperlink"/>
            <w:lang w:val="en-US" w:eastAsia="ja-JP"/>
          </w:rPr>
          <w:t>page on the IHPA website</w:t>
        </w:r>
      </w:hyperlink>
      <w:r>
        <w:rPr>
          <w:lang w:val="en-US" w:eastAsia="ja-JP"/>
        </w:rPr>
        <w:t xml:space="preserve"> provides up to date information on the development of the AMHCC, including links to key documents referred to in this public consultation paper.</w:t>
      </w:r>
    </w:p>
    <w:p w:rsidR="000E1543" w:rsidRDefault="000E1543" w:rsidP="000E1543">
      <w:pPr>
        <w:rPr>
          <w:lang w:val="en-US" w:eastAsia="ja-JP"/>
        </w:rPr>
      </w:pPr>
      <w:r>
        <w:rPr>
          <w:lang w:val="en-US" w:eastAsia="ja-JP"/>
        </w:rPr>
        <w:br w:type="page"/>
      </w:r>
    </w:p>
    <w:p w:rsidR="006808CD" w:rsidRPr="00C32FB0" w:rsidRDefault="00B87B36" w:rsidP="00F52294">
      <w:pPr>
        <w:pStyle w:val="Heading1"/>
        <w:rPr>
          <w:rFonts w:ascii="Arial" w:hAnsi="Arial" w:cs="Arial"/>
          <w:lang w:val="en-US" w:eastAsia="ja-JP"/>
        </w:rPr>
      </w:pPr>
      <w:bookmarkStart w:id="8" w:name="_Toc407021924"/>
      <w:r w:rsidRPr="00C32FB0">
        <w:rPr>
          <w:rFonts w:ascii="Arial" w:hAnsi="Arial" w:cs="Arial"/>
          <w:lang w:val="en-US" w:eastAsia="ja-JP"/>
        </w:rPr>
        <w:lastRenderedPageBreak/>
        <w:t>Introduction</w:t>
      </w:r>
      <w:bookmarkEnd w:id="8"/>
    </w:p>
    <w:p w:rsidR="00902DC8" w:rsidRPr="00C32FB0" w:rsidRDefault="00902DC8" w:rsidP="00902DC8">
      <w:pPr>
        <w:pStyle w:val="Heading2"/>
        <w:rPr>
          <w:rFonts w:ascii="Arial" w:hAnsi="Arial" w:cs="Arial"/>
          <w:lang w:val="en-US" w:eastAsia="ja-JP"/>
        </w:rPr>
      </w:pPr>
      <w:bookmarkStart w:id="9" w:name="_Toc407021925"/>
      <w:r w:rsidRPr="00C32FB0">
        <w:rPr>
          <w:rFonts w:ascii="Arial" w:hAnsi="Arial" w:cs="Arial"/>
          <w:lang w:val="en-US" w:eastAsia="ja-JP"/>
        </w:rPr>
        <w:t>What are classifications?</w:t>
      </w:r>
      <w:bookmarkEnd w:id="9"/>
    </w:p>
    <w:p w:rsidR="00902DC8" w:rsidRPr="00C32FB0" w:rsidRDefault="00902DC8" w:rsidP="00902DC8">
      <w:pPr>
        <w:rPr>
          <w:rFonts w:ascii="Arial" w:hAnsi="Arial" w:cs="Arial"/>
          <w:lang w:val="en-US" w:eastAsia="ja-JP"/>
        </w:rPr>
      </w:pPr>
      <w:r w:rsidRPr="00C32FB0">
        <w:rPr>
          <w:rFonts w:ascii="Arial" w:hAnsi="Arial" w:cs="Arial"/>
          <w:lang w:val="en-US" w:eastAsia="ja-JP"/>
        </w:rPr>
        <w:t>Classifications are comprised of codes that provide clinically meaningful ways of relating the types of patients treated by a h</w:t>
      </w:r>
      <w:r w:rsidR="00B7008D" w:rsidRPr="00C32FB0">
        <w:rPr>
          <w:rFonts w:ascii="Arial" w:hAnsi="Arial" w:cs="Arial"/>
          <w:lang w:val="en-US" w:eastAsia="ja-JP"/>
        </w:rPr>
        <w:t>ealth service</w:t>
      </w:r>
      <w:r w:rsidRPr="00C32FB0">
        <w:rPr>
          <w:rFonts w:ascii="Arial" w:hAnsi="Arial" w:cs="Arial"/>
          <w:lang w:val="en-US" w:eastAsia="ja-JP"/>
        </w:rPr>
        <w:t xml:space="preserve"> to the resources required. They enable hospital and health service provider performances to be measured by creating a link between the patients treated and the resources consumed for providing those treatments. This allows hospital and health service provider output to be measured, which forms the crucial data for policies on funding, budgeting and setting costs.</w:t>
      </w:r>
    </w:p>
    <w:p w:rsidR="00902DC8" w:rsidRPr="00C32FB0" w:rsidRDefault="00902DC8" w:rsidP="00902DC8">
      <w:pPr>
        <w:rPr>
          <w:rFonts w:ascii="Arial" w:hAnsi="Arial" w:cs="Arial"/>
          <w:lang w:val="en-US" w:eastAsia="ja-JP"/>
        </w:rPr>
      </w:pPr>
      <w:r w:rsidRPr="00C32FB0">
        <w:rPr>
          <w:rFonts w:ascii="Arial" w:hAnsi="Arial" w:cs="Arial"/>
          <w:lang w:val="en-US" w:eastAsia="ja-JP"/>
        </w:rPr>
        <w:t>Classification systems enable clinical information that is written in medical charts to be converted into manageable data categories. Rules for collecting and coding clinical data need to be the same across Australia to ensure that all jurisdictions are obtaining and providing information the same way. Effective clinical classification systems ensure that hospital data is grouped into appropriate classes, which in turn contributes to the determination of a national efficient price for public hospital services.</w:t>
      </w:r>
    </w:p>
    <w:p w:rsidR="00902DC8" w:rsidRPr="00C32FB0" w:rsidRDefault="00902DC8" w:rsidP="00902DC8">
      <w:pPr>
        <w:rPr>
          <w:rFonts w:ascii="Arial" w:hAnsi="Arial" w:cs="Arial"/>
          <w:lang w:val="en-US" w:eastAsia="ja-JP"/>
        </w:rPr>
      </w:pPr>
      <w:r w:rsidRPr="00C32FB0">
        <w:rPr>
          <w:rFonts w:ascii="Arial" w:hAnsi="Arial" w:cs="Arial"/>
          <w:lang w:val="en-US" w:eastAsia="ja-JP"/>
        </w:rPr>
        <w:t xml:space="preserve">IHPA uses the classification systems to determine the </w:t>
      </w:r>
      <w:r w:rsidR="00B7008D" w:rsidRPr="00C32FB0">
        <w:rPr>
          <w:rFonts w:ascii="Arial" w:hAnsi="Arial" w:cs="Arial"/>
          <w:lang w:val="en-US" w:eastAsia="ja-JP"/>
        </w:rPr>
        <w:t>cost of treatment</w:t>
      </w:r>
      <w:r w:rsidRPr="00C32FB0">
        <w:rPr>
          <w:rFonts w:ascii="Arial" w:hAnsi="Arial" w:cs="Arial"/>
          <w:lang w:val="en-US" w:eastAsia="ja-JP"/>
        </w:rPr>
        <w:t xml:space="preserve"> and care, using it as one of the determinants for calculating the national efficient price. There are six patient service categories in Australia currently which have classifications being used nationally or in development stage: admitted acute care; </w:t>
      </w:r>
      <w:proofErr w:type="spellStart"/>
      <w:r w:rsidRPr="00C32FB0">
        <w:rPr>
          <w:rFonts w:ascii="Arial" w:hAnsi="Arial" w:cs="Arial"/>
          <w:lang w:val="en-US" w:eastAsia="ja-JP"/>
        </w:rPr>
        <w:t>subacute</w:t>
      </w:r>
      <w:proofErr w:type="spellEnd"/>
      <w:r w:rsidRPr="00C32FB0">
        <w:rPr>
          <w:rFonts w:ascii="Arial" w:hAnsi="Arial" w:cs="Arial"/>
          <w:lang w:val="en-US" w:eastAsia="ja-JP"/>
        </w:rPr>
        <w:t xml:space="preserve"> and non-acute care; non-admitted care; mental health care; emergency care; and teaching, training and research.</w:t>
      </w:r>
    </w:p>
    <w:p w:rsidR="00902DC8" w:rsidRPr="00C32FB0" w:rsidRDefault="00902DC8" w:rsidP="00902DC8">
      <w:pPr>
        <w:rPr>
          <w:rFonts w:ascii="Arial" w:hAnsi="Arial" w:cs="Arial"/>
          <w:lang w:val="en-US" w:eastAsia="ja-JP"/>
        </w:rPr>
      </w:pPr>
      <w:r w:rsidRPr="00C32FB0">
        <w:rPr>
          <w:rFonts w:ascii="Arial" w:hAnsi="Arial" w:cs="Arial"/>
          <w:lang w:val="en-US" w:eastAsia="ja-JP"/>
        </w:rPr>
        <w:t>IHPA undertakes reviews and updates of existing classifications and is also responsible for introducing new classifications for those service categories without an existing classification.</w:t>
      </w:r>
    </w:p>
    <w:p w:rsidR="00902DC8" w:rsidRPr="00C32FB0" w:rsidRDefault="00902DC8" w:rsidP="00902DC8">
      <w:pPr>
        <w:pStyle w:val="Heading2"/>
        <w:rPr>
          <w:rFonts w:ascii="Arial" w:hAnsi="Arial" w:cs="Arial"/>
          <w:lang w:val="en-US" w:eastAsia="ja-JP"/>
        </w:rPr>
      </w:pPr>
      <w:bookmarkStart w:id="10" w:name="_Toc407021926"/>
      <w:r w:rsidRPr="00C32FB0">
        <w:rPr>
          <w:rFonts w:ascii="Arial" w:hAnsi="Arial" w:cs="Arial"/>
          <w:lang w:val="en-US" w:eastAsia="ja-JP"/>
        </w:rPr>
        <w:t>Why is the Australian Mental Health Care Classification being developed?</w:t>
      </w:r>
      <w:bookmarkEnd w:id="10"/>
    </w:p>
    <w:p w:rsidR="00902DC8" w:rsidRPr="00C32FB0" w:rsidRDefault="00902DC8" w:rsidP="00902DC8">
      <w:pPr>
        <w:rPr>
          <w:rFonts w:ascii="Arial" w:hAnsi="Arial" w:cs="Arial"/>
          <w:lang w:val="en-US" w:eastAsia="ja-JP"/>
        </w:rPr>
      </w:pPr>
      <w:r w:rsidRPr="00C32FB0">
        <w:rPr>
          <w:rFonts w:ascii="Arial" w:hAnsi="Arial" w:cs="Arial"/>
          <w:lang w:val="en-US" w:eastAsia="ja-JP"/>
        </w:rPr>
        <w:t xml:space="preserve">As part of the National Health Reform Agreement (NHRA), IHPA is </w:t>
      </w:r>
      <w:r w:rsidR="00111581" w:rsidRPr="00C32FB0">
        <w:rPr>
          <w:rFonts w:ascii="Arial" w:hAnsi="Arial" w:cs="Arial"/>
          <w:lang w:val="en-US" w:eastAsia="ja-JP"/>
        </w:rPr>
        <w:t>required to price</w:t>
      </w:r>
      <w:r w:rsidRPr="00C32FB0">
        <w:rPr>
          <w:rFonts w:ascii="Arial" w:hAnsi="Arial" w:cs="Arial"/>
          <w:lang w:val="en-US" w:eastAsia="ja-JP"/>
        </w:rPr>
        <w:t xml:space="preserve"> public hospital services on an activity basis “where ever practicable” (Clause A2). The NHRA </w:t>
      </w:r>
      <w:proofErr w:type="spellStart"/>
      <w:r w:rsidRPr="00C32FB0">
        <w:rPr>
          <w:rFonts w:ascii="Arial" w:hAnsi="Arial" w:cs="Arial"/>
          <w:lang w:val="en-US" w:eastAsia="ja-JP"/>
        </w:rPr>
        <w:t>recognised</w:t>
      </w:r>
      <w:proofErr w:type="spellEnd"/>
      <w:r w:rsidRPr="00C32FB0">
        <w:rPr>
          <w:rFonts w:ascii="Arial" w:hAnsi="Arial" w:cs="Arial"/>
          <w:lang w:val="en-US" w:eastAsia="ja-JP"/>
        </w:rPr>
        <w:t xml:space="preserve"> that some classification systems were less developed than others and allowed for a phased introduction of </w:t>
      </w:r>
      <w:r w:rsidR="0098425A">
        <w:rPr>
          <w:rFonts w:ascii="Arial" w:hAnsi="Arial" w:cs="Arial"/>
          <w:lang w:val="en-US" w:eastAsia="ja-JP"/>
        </w:rPr>
        <w:t>A</w:t>
      </w:r>
      <w:r w:rsidRPr="00C32FB0">
        <w:rPr>
          <w:rFonts w:ascii="Arial" w:hAnsi="Arial" w:cs="Arial"/>
          <w:lang w:val="en-US" w:eastAsia="ja-JP"/>
        </w:rPr>
        <w:t xml:space="preserve">ctivity </w:t>
      </w:r>
      <w:r w:rsidR="0098425A">
        <w:rPr>
          <w:rFonts w:ascii="Arial" w:hAnsi="Arial" w:cs="Arial"/>
          <w:lang w:val="en-US" w:eastAsia="ja-JP"/>
        </w:rPr>
        <w:t>B</w:t>
      </w:r>
      <w:r w:rsidRPr="00C32FB0">
        <w:rPr>
          <w:rFonts w:ascii="Arial" w:hAnsi="Arial" w:cs="Arial"/>
          <w:lang w:val="en-US" w:eastAsia="ja-JP"/>
        </w:rPr>
        <w:t xml:space="preserve">ased </w:t>
      </w:r>
      <w:r w:rsidR="0098425A">
        <w:rPr>
          <w:rFonts w:ascii="Arial" w:hAnsi="Arial" w:cs="Arial"/>
          <w:lang w:val="en-US" w:eastAsia="ja-JP"/>
        </w:rPr>
        <w:t>F</w:t>
      </w:r>
      <w:r w:rsidRPr="00C32FB0">
        <w:rPr>
          <w:rFonts w:ascii="Arial" w:hAnsi="Arial" w:cs="Arial"/>
          <w:lang w:val="en-US" w:eastAsia="ja-JP"/>
        </w:rPr>
        <w:t>unding</w:t>
      </w:r>
      <w:r w:rsidR="0098425A">
        <w:rPr>
          <w:rFonts w:ascii="Arial" w:hAnsi="Arial" w:cs="Arial"/>
          <w:lang w:val="en-US" w:eastAsia="ja-JP"/>
        </w:rPr>
        <w:t xml:space="preserve"> (ABF)</w:t>
      </w:r>
      <w:r w:rsidRPr="00C32FB0">
        <w:rPr>
          <w:rFonts w:ascii="Arial" w:hAnsi="Arial" w:cs="Arial"/>
          <w:lang w:val="en-US" w:eastAsia="ja-JP"/>
        </w:rPr>
        <w:t>.</w:t>
      </w:r>
    </w:p>
    <w:p w:rsidR="00902DC8" w:rsidRPr="00C32FB0" w:rsidRDefault="00902DC8" w:rsidP="00902DC8">
      <w:pPr>
        <w:rPr>
          <w:rFonts w:ascii="Arial" w:hAnsi="Arial" w:cs="Arial"/>
          <w:lang w:val="en-US" w:eastAsia="ja-JP"/>
        </w:rPr>
      </w:pPr>
      <w:r w:rsidRPr="00C32FB0">
        <w:rPr>
          <w:rFonts w:ascii="Arial" w:hAnsi="Arial" w:cs="Arial"/>
          <w:lang w:val="en-US" w:eastAsia="ja-JP"/>
        </w:rPr>
        <w:t xml:space="preserve">At present, there is no single classification used for mental health </w:t>
      </w:r>
      <w:r w:rsidR="0014011D" w:rsidRPr="00C32FB0">
        <w:rPr>
          <w:rFonts w:ascii="Arial" w:hAnsi="Arial" w:cs="Arial"/>
          <w:lang w:val="en-US" w:eastAsia="ja-JP"/>
        </w:rPr>
        <w:t>service</w:t>
      </w:r>
      <w:r w:rsidR="00EE41B4">
        <w:rPr>
          <w:rFonts w:ascii="Arial" w:hAnsi="Arial" w:cs="Arial"/>
          <w:lang w:val="en-US" w:eastAsia="ja-JP"/>
        </w:rPr>
        <w:t>s</w:t>
      </w:r>
      <w:r w:rsidRPr="00C32FB0">
        <w:rPr>
          <w:rFonts w:ascii="Arial" w:hAnsi="Arial" w:cs="Arial"/>
          <w:lang w:val="en-US" w:eastAsia="ja-JP"/>
        </w:rPr>
        <w:t xml:space="preserve">. </w:t>
      </w:r>
      <w:r w:rsidR="00DE3EC2" w:rsidRPr="00C32FB0">
        <w:rPr>
          <w:rFonts w:ascii="Arial" w:hAnsi="Arial" w:cs="Arial"/>
          <w:lang w:val="en-US" w:eastAsia="ja-JP"/>
        </w:rPr>
        <w:t>Since 1 </w:t>
      </w:r>
      <w:r w:rsidRPr="00C32FB0">
        <w:rPr>
          <w:rFonts w:ascii="Arial" w:hAnsi="Arial" w:cs="Arial"/>
          <w:lang w:val="en-US" w:eastAsia="ja-JP"/>
        </w:rPr>
        <w:t>July</w:t>
      </w:r>
      <w:r w:rsidR="00DE3EC2" w:rsidRPr="00C32FB0">
        <w:rPr>
          <w:rFonts w:ascii="Arial" w:hAnsi="Arial" w:cs="Arial"/>
          <w:lang w:val="en-US" w:eastAsia="ja-JP"/>
        </w:rPr>
        <w:t> </w:t>
      </w:r>
      <w:r w:rsidRPr="00C32FB0">
        <w:rPr>
          <w:rFonts w:ascii="Arial" w:hAnsi="Arial" w:cs="Arial"/>
          <w:lang w:val="en-US" w:eastAsia="ja-JP"/>
        </w:rPr>
        <w:t>2013, IHPA has priced admitted mental health services using Australian Refined Diagnosis Related Groups (AR-DRGs) as the classification system</w:t>
      </w:r>
      <w:r w:rsidR="00DE3EC2" w:rsidRPr="00C32FB0">
        <w:rPr>
          <w:rFonts w:ascii="Arial" w:hAnsi="Arial" w:cs="Arial"/>
          <w:lang w:val="en-US" w:eastAsia="ja-JP"/>
        </w:rPr>
        <w:t xml:space="preserve"> with a modified pricing model.</w:t>
      </w:r>
    </w:p>
    <w:p w:rsidR="00DF13BC" w:rsidRPr="00C32FB0" w:rsidRDefault="00902DC8" w:rsidP="00902DC8">
      <w:pPr>
        <w:rPr>
          <w:rFonts w:ascii="Arial" w:hAnsi="Arial" w:cs="Arial"/>
        </w:rPr>
      </w:pPr>
      <w:r w:rsidRPr="00C32FB0">
        <w:rPr>
          <w:rFonts w:ascii="Arial" w:hAnsi="Arial" w:cs="Arial"/>
        </w:rPr>
        <w:t>The AR-DRG system is not the ideal classification in the longer term for mental health services. This is primarily because diagnosis is not as strong a driver of resource utilisation for mental health services as it is in other acute services</w:t>
      </w:r>
      <w:r w:rsidR="00DE3EC2" w:rsidRPr="00C32FB0">
        <w:rPr>
          <w:rFonts w:ascii="Arial" w:hAnsi="Arial" w:cs="Arial"/>
        </w:rPr>
        <w:t>, and it can only be applied in the admitted setting</w:t>
      </w:r>
      <w:r w:rsidRPr="00C32FB0">
        <w:rPr>
          <w:rFonts w:ascii="Arial" w:hAnsi="Arial" w:cs="Arial"/>
        </w:rPr>
        <w:t>.</w:t>
      </w:r>
    </w:p>
    <w:p w:rsidR="000B14DD" w:rsidRPr="00C32FB0" w:rsidRDefault="00111581" w:rsidP="000B14DD">
      <w:pPr>
        <w:rPr>
          <w:rFonts w:ascii="Arial" w:hAnsi="Arial" w:cs="Arial"/>
        </w:rPr>
      </w:pPr>
      <w:r w:rsidRPr="00C32FB0">
        <w:rPr>
          <w:rFonts w:ascii="Arial" w:hAnsi="Arial" w:cs="Arial"/>
        </w:rPr>
        <w:t xml:space="preserve">The purpose of developing the </w:t>
      </w:r>
      <w:r w:rsidRPr="00C32FB0">
        <w:rPr>
          <w:rFonts w:ascii="Arial" w:hAnsi="Arial" w:cs="Arial"/>
          <w:lang w:val="en-US" w:eastAsia="ja-JP"/>
        </w:rPr>
        <w:t xml:space="preserve">Australian Mental Health Care </w:t>
      </w:r>
      <w:r w:rsidR="006713A5">
        <w:rPr>
          <w:rFonts w:ascii="Arial" w:hAnsi="Arial" w:cs="Arial"/>
          <w:lang w:val="en-US" w:eastAsia="ja-JP"/>
        </w:rPr>
        <w:t>C</w:t>
      </w:r>
      <w:r w:rsidRPr="00C32FB0">
        <w:rPr>
          <w:rFonts w:ascii="Arial" w:hAnsi="Arial" w:cs="Arial"/>
          <w:lang w:val="en-US" w:eastAsia="ja-JP"/>
        </w:rPr>
        <w:t>lassification (AMHC</w:t>
      </w:r>
      <w:r w:rsidR="00DE3EC2" w:rsidRPr="00C32FB0">
        <w:rPr>
          <w:rFonts w:ascii="Arial" w:hAnsi="Arial" w:cs="Arial"/>
        </w:rPr>
        <w:t>C</w:t>
      </w:r>
      <w:r w:rsidRPr="00C32FB0">
        <w:rPr>
          <w:rFonts w:ascii="Arial" w:hAnsi="Arial" w:cs="Arial"/>
        </w:rPr>
        <w:t>)</w:t>
      </w:r>
      <w:r w:rsidR="00DE3EC2" w:rsidRPr="00C32FB0">
        <w:rPr>
          <w:rFonts w:ascii="Arial" w:hAnsi="Arial" w:cs="Arial"/>
        </w:rPr>
        <w:t xml:space="preserve"> is to improve the </w:t>
      </w:r>
      <w:r w:rsidR="00902DC8" w:rsidRPr="00C32FB0">
        <w:rPr>
          <w:rFonts w:ascii="Arial" w:hAnsi="Arial" w:cs="Arial"/>
        </w:rPr>
        <w:t xml:space="preserve">clinical meaningfulness of </w:t>
      </w:r>
      <w:r w:rsidR="00DE3EC2" w:rsidRPr="00C32FB0">
        <w:rPr>
          <w:rFonts w:ascii="Arial" w:hAnsi="Arial" w:cs="Arial"/>
        </w:rPr>
        <w:t xml:space="preserve">mental health </w:t>
      </w:r>
      <w:r w:rsidR="00902DC8" w:rsidRPr="00C32FB0">
        <w:rPr>
          <w:rFonts w:ascii="Arial" w:hAnsi="Arial" w:cs="Arial"/>
        </w:rPr>
        <w:t>classification</w:t>
      </w:r>
      <w:r w:rsidR="007E203F" w:rsidRPr="00C32FB0">
        <w:rPr>
          <w:rFonts w:ascii="Arial" w:hAnsi="Arial" w:cs="Arial"/>
        </w:rPr>
        <w:t>,</w:t>
      </w:r>
      <w:r w:rsidR="00902DC8" w:rsidRPr="00C32FB0">
        <w:rPr>
          <w:rFonts w:ascii="Arial" w:hAnsi="Arial" w:cs="Arial"/>
        </w:rPr>
        <w:t xml:space="preserve"> leading to an improvement in the cost </w:t>
      </w:r>
      <w:proofErr w:type="spellStart"/>
      <w:r w:rsidR="00902DC8" w:rsidRPr="00C32FB0">
        <w:rPr>
          <w:rFonts w:ascii="Arial" w:hAnsi="Arial" w:cs="Arial"/>
        </w:rPr>
        <w:t>predictiveness</w:t>
      </w:r>
      <w:proofErr w:type="spellEnd"/>
      <w:r w:rsidR="00DE3EC2" w:rsidRPr="00C32FB0">
        <w:rPr>
          <w:rFonts w:ascii="Arial" w:hAnsi="Arial" w:cs="Arial"/>
        </w:rPr>
        <w:t xml:space="preserve">, </w:t>
      </w:r>
      <w:r w:rsidR="00902DC8" w:rsidRPr="00C32FB0">
        <w:rPr>
          <w:rFonts w:ascii="Arial" w:hAnsi="Arial" w:cs="Arial"/>
        </w:rPr>
        <w:t xml:space="preserve">and </w:t>
      </w:r>
      <w:r w:rsidR="00DE3EC2" w:rsidRPr="00C32FB0">
        <w:rPr>
          <w:rFonts w:ascii="Arial" w:hAnsi="Arial" w:cs="Arial"/>
        </w:rPr>
        <w:t>to</w:t>
      </w:r>
      <w:r w:rsidR="00902DC8" w:rsidRPr="00C32FB0">
        <w:rPr>
          <w:rFonts w:ascii="Arial" w:hAnsi="Arial" w:cs="Arial"/>
        </w:rPr>
        <w:t xml:space="preserve"> support the new models of care being implemented in all states and territories</w:t>
      </w:r>
      <w:r w:rsidR="00DF13BC" w:rsidRPr="00BD67FA">
        <w:rPr>
          <w:rFonts w:ascii="Arial" w:hAnsi="Arial" w:cs="Arial"/>
        </w:rPr>
        <w:t xml:space="preserve"> </w:t>
      </w:r>
      <w:r w:rsidR="00DF13BC">
        <w:rPr>
          <w:rFonts w:ascii="Arial" w:hAnsi="Arial" w:cs="Arial"/>
        </w:rPr>
        <w:t>with a classification that can be applied in all settings</w:t>
      </w:r>
      <w:r w:rsidR="00902DC8" w:rsidRPr="00C32FB0">
        <w:rPr>
          <w:rFonts w:ascii="Arial" w:hAnsi="Arial" w:cs="Arial"/>
        </w:rPr>
        <w:t>.</w:t>
      </w:r>
    </w:p>
    <w:p w:rsidR="000B14DD" w:rsidRDefault="000B14DD" w:rsidP="000B14DD">
      <w:pPr>
        <w:rPr>
          <w:rFonts w:ascii="Arial" w:hAnsi="Arial" w:cs="Arial"/>
        </w:rPr>
      </w:pPr>
      <w:r w:rsidRPr="00C32FB0">
        <w:rPr>
          <w:rFonts w:ascii="Arial" w:hAnsi="Arial" w:cs="Arial"/>
        </w:rPr>
        <w:lastRenderedPageBreak/>
        <w:t xml:space="preserve">In the </w:t>
      </w:r>
      <w:hyperlink r:id="rId15" w:history="1">
        <w:r w:rsidRPr="00FF678F">
          <w:rPr>
            <w:rStyle w:val="Hyperlink"/>
            <w:rFonts w:ascii="Arial" w:hAnsi="Arial" w:cs="Arial"/>
            <w:i/>
          </w:rPr>
          <w:t>Pricing Framework for Australian Public Hospital Services 2014-15</w:t>
        </w:r>
      </w:hyperlink>
      <w:r w:rsidR="00DE3EC2" w:rsidRPr="00C32FB0">
        <w:rPr>
          <w:rFonts w:ascii="Arial" w:hAnsi="Arial" w:cs="Arial"/>
        </w:rPr>
        <w:t xml:space="preserve"> which was released in December </w:t>
      </w:r>
      <w:r w:rsidRPr="00C32FB0">
        <w:rPr>
          <w:rFonts w:ascii="Arial" w:hAnsi="Arial" w:cs="Arial"/>
        </w:rPr>
        <w:t>2013, IHPA foreshadowed that it expects to begin pricing mental health services using the AMHCC from 1</w:t>
      </w:r>
      <w:r w:rsidR="00DE3EC2" w:rsidRPr="00C32FB0">
        <w:rPr>
          <w:rFonts w:ascii="Arial" w:hAnsi="Arial" w:cs="Arial"/>
        </w:rPr>
        <w:t> </w:t>
      </w:r>
      <w:r w:rsidRPr="00C32FB0">
        <w:rPr>
          <w:rFonts w:ascii="Arial" w:hAnsi="Arial" w:cs="Arial"/>
        </w:rPr>
        <w:t>July</w:t>
      </w:r>
      <w:r w:rsidR="00DE3EC2" w:rsidRPr="00C32FB0">
        <w:rPr>
          <w:rFonts w:ascii="Arial" w:hAnsi="Arial" w:cs="Arial"/>
        </w:rPr>
        <w:t> </w:t>
      </w:r>
      <w:r w:rsidRPr="00C32FB0">
        <w:rPr>
          <w:rFonts w:ascii="Arial" w:hAnsi="Arial" w:cs="Arial"/>
        </w:rPr>
        <w:t>2016.</w:t>
      </w:r>
    </w:p>
    <w:p w:rsidR="007F1BB4" w:rsidRDefault="0098425A" w:rsidP="007F1BB4">
      <w:pPr>
        <w:rPr>
          <w:rFonts w:ascii="Arial" w:hAnsi="Arial" w:cs="Arial"/>
        </w:rPr>
      </w:pPr>
      <w:r>
        <w:rPr>
          <w:rFonts w:ascii="Arial" w:hAnsi="Arial" w:cs="Arial"/>
        </w:rPr>
        <w:t>IHPA will use the</w:t>
      </w:r>
      <w:r w:rsidR="007F1BB4">
        <w:rPr>
          <w:rFonts w:ascii="Arial" w:hAnsi="Arial" w:cs="Arial"/>
        </w:rPr>
        <w:t xml:space="preserve"> AMHCC </w:t>
      </w:r>
      <w:r>
        <w:rPr>
          <w:rFonts w:ascii="Arial" w:hAnsi="Arial" w:cs="Arial"/>
        </w:rPr>
        <w:t>to enable more accurate</w:t>
      </w:r>
      <w:r w:rsidR="007F1BB4">
        <w:rPr>
          <w:rFonts w:ascii="Arial" w:hAnsi="Arial" w:cs="Arial"/>
        </w:rPr>
        <w:t xml:space="preserve"> pricing</w:t>
      </w:r>
      <w:r>
        <w:rPr>
          <w:rFonts w:ascii="Arial" w:hAnsi="Arial" w:cs="Arial"/>
        </w:rPr>
        <w:t xml:space="preserve"> of</w:t>
      </w:r>
      <w:r w:rsidR="007F1BB4">
        <w:rPr>
          <w:rFonts w:ascii="Arial" w:hAnsi="Arial" w:cs="Arial"/>
        </w:rPr>
        <w:t xml:space="preserve"> mental</w:t>
      </w:r>
      <w:r>
        <w:rPr>
          <w:rFonts w:ascii="Arial" w:hAnsi="Arial" w:cs="Arial"/>
        </w:rPr>
        <w:t xml:space="preserve"> health services under the NHRA; however,</w:t>
      </w:r>
      <w:r w:rsidR="007F1BB4">
        <w:rPr>
          <w:rFonts w:ascii="Arial" w:hAnsi="Arial" w:cs="Arial"/>
        </w:rPr>
        <w:t xml:space="preserve"> the development of the AMHCC will have </w:t>
      </w:r>
      <w:r w:rsidR="00C9701E">
        <w:rPr>
          <w:rFonts w:ascii="Arial" w:hAnsi="Arial" w:cs="Arial"/>
        </w:rPr>
        <w:t xml:space="preserve">much </w:t>
      </w:r>
      <w:r w:rsidR="007F1BB4">
        <w:rPr>
          <w:rFonts w:ascii="Arial" w:hAnsi="Arial" w:cs="Arial"/>
        </w:rPr>
        <w:t>broader utility.</w:t>
      </w:r>
    </w:p>
    <w:p w:rsidR="007F1BB4" w:rsidRDefault="00C9701E" w:rsidP="007F1BB4">
      <w:pPr>
        <w:rPr>
          <w:rFonts w:ascii="Arial" w:hAnsi="Arial" w:cs="Arial"/>
        </w:rPr>
      </w:pPr>
      <w:r>
        <w:rPr>
          <w:rFonts w:ascii="Arial" w:hAnsi="Arial" w:cs="Arial"/>
        </w:rPr>
        <w:t>An effective way of classifying mental health care across settings</w:t>
      </w:r>
      <w:r w:rsidR="007F1BB4">
        <w:rPr>
          <w:rFonts w:ascii="Arial" w:hAnsi="Arial" w:cs="Arial"/>
        </w:rPr>
        <w:t xml:space="preserve"> will be of use to many differ</w:t>
      </w:r>
      <w:r>
        <w:rPr>
          <w:rFonts w:ascii="Arial" w:hAnsi="Arial" w:cs="Arial"/>
        </w:rPr>
        <w:t>ent levels of the health system. The AMHCC will</w:t>
      </w:r>
      <w:r w:rsidR="0098425A">
        <w:rPr>
          <w:rFonts w:ascii="Arial" w:hAnsi="Arial" w:cs="Arial"/>
        </w:rPr>
        <w:t xml:space="preserve"> allow </w:t>
      </w:r>
      <w:r w:rsidR="007F1BB4">
        <w:rPr>
          <w:rFonts w:ascii="Arial" w:hAnsi="Arial" w:cs="Arial"/>
        </w:rPr>
        <w:t xml:space="preserve">individual services and service systems such as </w:t>
      </w:r>
      <w:r w:rsidR="00B3682A">
        <w:rPr>
          <w:rFonts w:ascii="Arial" w:hAnsi="Arial" w:cs="Arial"/>
        </w:rPr>
        <w:t>state and territory health departments</w:t>
      </w:r>
      <w:r w:rsidR="007F1BB4">
        <w:rPr>
          <w:rFonts w:ascii="Arial" w:hAnsi="Arial" w:cs="Arial"/>
        </w:rPr>
        <w:t>, Local Health Networks, non-government and private organisatio</w:t>
      </w:r>
      <w:r>
        <w:rPr>
          <w:rFonts w:ascii="Arial" w:hAnsi="Arial" w:cs="Arial"/>
        </w:rPr>
        <w:t>ns to better understand how their mental health services</w:t>
      </w:r>
      <w:r w:rsidR="007F1BB4">
        <w:rPr>
          <w:rFonts w:ascii="Arial" w:hAnsi="Arial" w:cs="Arial"/>
        </w:rPr>
        <w:t xml:space="preserve"> work and where clinical, financial and other resources are applied, and </w:t>
      </w:r>
      <w:r>
        <w:rPr>
          <w:rFonts w:ascii="Arial" w:hAnsi="Arial" w:cs="Arial"/>
        </w:rPr>
        <w:t xml:space="preserve">will enable </w:t>
      </w:r>
      <w:r w:rsidR="007F1BB4">
        <w:rPr>
          <w:rFonts w:ascii="Arial" w:hAnsi="Arial" w:cs="Arial"/>
        </w:rPr>
        <w:t>performance benchmarking across similar services.</w:t>
      </w:r>
    </w:p>
    <w:p w:rsidR="00FF2944" w:rsidRDefault="00FF2944" w:rsidP="00FF2944">
      <w:pPr>
        <w:pStyle w:val="Heading3"/>
      </w:pPr>
      <w:r>
        <w:t>IHPA’s ongoing role</w:t>
      </w:r>
      <w:r w:rsidR="00C71880">
        <w:t>, ABF</w:t>
      </w:r>
      <w:r>
        <w:t xml:space="preserve"> and the AMHCC</w:t>
      </w:r>
    </w:p>
    <w:p w:rsidR="00FF2944" w:rsidRDefault="00FF2944" w:rsidP="00FF2944">
      <w:pPr>
        <w:rPr>
          <w:rFonts w:ascii="Arial" w:hAnsi="Arial" w:cs="Arial"/>
        </w:rPr>
      </w:pPr>
      <w:r>
        <w:rPr>
          <w:rFonts w:ascii="Arial" w:hAnsi="Arial" w:cs="Arial"/>
        </w:rPr>
        <w:t>On 13 </w:t>
      </w:r>
      <w:r w:rsidRPr="00FF2944">
        <w:rPr>
          <w:rFonts w:ascii="Arial" w:hAnsi="Arial" w:cs="Arial"/>
        </w:rPr>
        <w:t>May</w:t>
      </w:r>
      <w:r>
        <w:rPr>
          <w:rFonts w:ascii="Arial" w:hAnsi="Arial" w:cs="Arial"/>
        </w:rPr>
        <w:t> </w:t>
      </w:r>
      <w:r w:rsidRPr="00FF2944">
        <w:rPr>
          <w:rFonts w:ascii="Arial" w:hAnsi="Arial" w:cs="Arial"/>
        </w:rPr>
        <w:t>2014, the Commonwealth Treasurer delivered the Common</w:t>
      </w:r>
      <w:r>
        <w:rPr>
          <w:rFonts w:ascii="Arial" w:hAnsi="Arial" w:cs="Arial"/>
        </w:rPr>
        <w:t>wealth Government’s Budget 2014</w:t>
      </w:r>
      <w:r>
        <w:rPr>
          <w:rFonts w:ascii="Arial" w:hAnsi="Arial" w:cs="Arial"/>
        </w:rPr>
        <w:noBreakHyphen/>
      </w:r>
      <w:r w:rsidRPr="00FF2944">
        <w:rPr>
          <w:rFonts w:ascii="Arial" w:hAnsi="Arial" w:cs="Arial"/>
        </w:rPr>
        <w:t>15. The Commonwealth Government announced its intention to work with sta</w:t>
      </w:r>
      <w:r>
        <w:rPr>
          <w:rFonts w:ascii="Arial" w:hAnsi="Arial" w:cs="Arial"/>
        </w:rPr>
        <w:t>tes and territories during 2014</w:t>
      </w:r>
      <w:r>
        <w:rPr>
          <w:rFonts w:ascii="Arial" w:hAnsi="Arial" w:cs="Arial"/>
        </w:rPr>
        <w:noBreakHyphen/>
      </w:r>
      <w:r w:rsidRPr="00FF2944">
        <w:rPr>
          <w:rFonts w:ascii="Arial" w:hAnsi="Arial" w:cs="Arial"/>
        </w:rPr>
        <w:t>15 with the intention to create a new Health Productivity and Performance Commission. Subject to consultation, the new Health Productivity and Performance Commission would be formed by merging the functions of the Australian Commission on Saf</w:t>
      </w:r>
      <w:r>
        <w:rPr>
          <w:rFonts w:ascii="Arial" w:hAnsi="Arial" w:cs="Arial"/>
        </w:rPr>
        <w:t>ety and Quality in Health Care</w:t>
      </w:r>
      <w:r w:rsidRPr="00FF2944">
        <w:rPr>
          <w:rFonts w:ascii="Arial" w:hAnsi="Arial" w:cs="Arial"/>
        </w:rPr>
        <w:t>, the Australian Institute of Health and Welfare (AIHW), IHPA, the National Health Performance Authority, the National Health Funding Body and the Administrator of the National Health Funding Pool.</w:t>
      </w:r>
    </w:p>
    <w:p w:rsidR="00EA775D" w:rsidRDefault="00FF2944" w:rsidP="00FF2944">
      <w:pPr>
        <w:rPr>
          <w:rFonts w:ascii="Arial" w:hAnsi="Arial" w:cs="Arial"/>
        </w:rPr>
      </w:pPr>
      <w:r w:rsidRPr="00FF2944">
        <w:rPr>
          <w:rFonts w:ascii="Arial" w:hAnsi="Arial" w:cs="Arial"/>
        </w:rPr>
        <w:t>Whilst the Government undertakes these consultations, IHPA will continue to deliver the program of work laid ou</w:t>
      </w:r>
      <w:r w:rsidR="00FF678F">
        <w:rPr>
          <w:rFonts w:ascii="Arial" w:hAnsi="Arial" w:cs="Arial"/>
        </w:rPr>
        <w:t xml:space="preserve">t in the </w:t>
      </w:r>
      <w:hyperlink r:id="rId16" w:history="1">
        <w:r w:rsidR="00FF678F" w:rsidRPr="008A5F9A">
          <w:rPr>
            <w:rStyle w:val="Hyperlink"/>
            <w:rFonts w:ascii="Arial" w:hAnsi="Arial" w:cs="Arial"/>
            <w:i/>
          </w:rPr>
          <w:t>IHPA Work Program 2014</w:t>
        </w:r>
        <w:r w:rsidR="00FF678F" w:rsidRPr="008A5F9A">
          <w:rPr>
            <w:rStyle w:val="Hyperlink"/>
            <w:rFonts w:ascii="Arial" w:hAnsi="Arial" w:cs="Arial"/>
            <w:i/>
          </w:rPr>
          <w:noBreakHyphen/>
        </w:r>
        <w:r w:rsidRPr="008A5F9A">
          <w:rPr>
            <w:rStyle w:val="Hyperlink"/>
            <w:rFonts w:ascii="Arial" w:hAnsi="Arial" w:cs="Arial"/>
            <w:i/>
          </w:rPr>
          <w:t>15</w:t>
        </w:r>
      </w:hyperlink>
      <w:r w:rsidR="00FF678F">
        <w:rPr>
          <w:rFonts w:ascii="Arial" w:hAnsi="Arial" w:cs="Arial"/>
        </w:rPr>
        <w:t>, including development of the AMHCC.</w:t>
      </w:r>
    </w:p>
    <w:p w:rsidR="00C71880" w:rsidRPr="00FF2944" w:rsidRDefault="00C71880" w:rsidP="007C426F">
      <w:r>
        <w:t>In the Budget 2014</w:t>
      </w:r>
      <w:r>
        <w:noBreakHyphen/>
        <w:t>15, the Commonwealth Government also announced its intention that, from 2017</w:t>
      </w:r>
      <w:r>
        <w:noBreakHyphen/>
      </w:r>
      <w:r w:rsidRPr="00C71880">
        <w:t>18, the Commonwealth will index its contribution to hospital funding by a combination of the Consumer Price Index and population growth</w:t>
      </w:r>
      <w:r>
        <w:t xml:space="preserve">, rather than </w:t>
      </w:r>
      <w:r w:rsidR="00C9701E">
        <w:t xml:space="preserve">through </w:t>
      </w:r>
      <w:r>
        <w:t>ABF</w:t>
      </w:r>
      <w:r w:rsidRPr="00C71880">
        <w:t>.</w:t>
      </w:r>
    </w:p>
    <w:p w:rsidR="007C426F" w:rsidRPr="007C426F" w:rsidRDefault="007F1BB4" w:rsidP="007C426F">
      <w:r>
        <w:t>A numb</w:t>
      </w:r>
      <w:r w:rsidR="002B2046">
        <w:t>e</w:t>
      </w:r>
      <w:r>
        <w:t xml:space="preserve">r of states and territories have signalled that the development of the AMHCC remains a priority for them irrespective of </w:t>
      </w:r>
      <w:r w:rsidR="00C71880">
        <w:t>its association with pricing for Commonwealth funding, noting the benefits of the classification still apply at a local level.</w:t>
      </w:r>
    </w:p>
    <w:p w:rsidR="000B14DD" w:rsidRPr="00C32FB0" w:rsidRDefault="000B14DD" w:rsidP="000B14DD">
      <w:pPr>
        <w:pStyle w:val="Heading2"/>
        <w:rPr>
          <w:rFonts w:ascii="Arial" w:hAnsi="Arial" w:cs="Arial"/>
        </w:rPr>
      </w:pPr>
      <w:bookmarkStart w:id="11" w:name="_Toc407021927"/>
      <w:r w:rsidRPr="00C32FB0">
        <w:rPr>
          <w:rFonts w:ascii="Arial" w:hAnsi="Arial" w:cs="Arial"/>
          <w:lang w:val="en-US" w:eastAsia="ja-JP"/>
        </w:rPr>
        <w:t>How will the AMHCC be developed?</w:t>
      </w:r>
      <w:bookmarkEnd w:id="11"/>
    </w:p>
    <w:p w:rsidR="000B14DD" w:rsidRPr="00C32FB0" w:rsidRDefault="009725A1" w:rsidP="000B14DD">
      <w:pPr>
        <w:rPr>
          <w:rFonts w:ascii="Arial" w:hAnsi="Arial" w:cs="Arial"/>
        </w:rPr>
      </w:pPr>
      <w:r w:rsidRPr="00C32FB0">
        <w:rPr>
          <w:rFonts w:ascii="Arial" w:hAnsi="Arial" w:cs="Arial"/>
        </w:rPr>
        <w:t>There are a number of stages in the development of a new classification:</w:t>
      </w:r>
    </w:p>
    <w:p w:rsidR="000B14DD" w:rsidRPr="00C32FB0" w:rsidRDefault="000B14DD" w:rsidP="008F22EF">
      <w:pPr>
        <w:pStyle w:val="ListBullet2"/>
        <w:numPr>
          <w:ilvl w:val="0"/>
          <w:numId w:val="14"/>
        </w:numPr>
        <w:rPr>
          <w:rFonts w:ascii="Arial" w:hAnsi="Arial" w:cs="Arial"/>
        </w:rPr>
      </w:pPr>
      <w:r w:rsidRPr="00C32FB0">
        <w:rPr>
          <w:rFonts w:ascii="Arial" w:hAnsi="Arial" w:cs="Arial"/>
        </w:rPr>
        <w:t>define the services to be covered;</w:t>
      </w:r>
    </w:p>
    <w:p w:rsidR="000B14DD" w:rsidRPr="00C32FB0" w:rsidRDefault="000B14DD" w:rsidP="008F22EF">
      <w:pPr>
        <w:pStyle w:val="ListBullet2"/>
        <w:numPr>
          <w:ilvl w:val="0"/>
          <w:numId w:val="14"/>
        </w:numPr>
        <w:rPr>
          <w:rFonts w:ascii="Arial" w:hAnsi="Arial" w:cs="Arial"/>
        </w:rPr>
      </w:pPr>
      <w:r w:rsidRPr="00C32FB0">
        <w:rPr>
          <w:rFonts w:ascii="Arial" w:hAnsi="Arial" w:cs="Arial"/>
        </w:rPr>
        <w:t>identify the cost drivers;</w:t>
      </w:r>
    </w:p>
    <w:p w:rsidR="000B14DD" w:rsidRPr="00C32FB0" w:rsidRDefault="000B14DD" w:rsidP="008F22EF">
      <w:pPr>
        <w:pStyle w:val="ListBullet2"/>
        <w:numPr>
          <w:ilvl w:val="0"/>
          <w:numId w:val="14"/>
        </w:numPr>
        <w:rPr>
          <w:rFonts w:ascii="Arial" w:hAnsi="Arial" w:cs="Arial"/>
        </w:rPr>
      </w:pPr>
      <w:r w:rsidRPr="00C32FB0">
        <w:rPr>
          <w:rFonts w:ascii="Arial" w:hAnsi="Arial" w:cs="Arial"/>
        </w:rPr>
        <w:t>conduct a patient level costing study;</w:t>
      </w:r>
    </w:p>
    <w:p w:rsidR="000B14DD" w:rsidRPr="00C32FB0" w:rsidRDefault="000B14DD" w:rsidP="008F22EF">
      <w:pPr>
        <w:pStyle w:val="ListBullet2"/>
        <w:numPr>
          <w:ilvl w:val="0"/>
          <w:numId w:val="14"/>
        </w:numPr>
        <w:rPr>
          <w:rFonts w:ascii="Arial" w:hAnsi="Arial" w:cs="Arial"/>
        </w:rPr>
      </w:pPr>
      <w:r w:rsidRPr="00C32FB0">
        <w:rPr>
          <w:rFonts w:ascii="Arial" w:hAnsi="Arial" w:cs="Arial"/>
        </w:rPr>
        <w:t xml:space="preserve">develop the classification system and associated infrastructure (data set specifications, grouping software, </w:t>
      </w:r>
      <w:proofErr w:type="spellStart"/>
      <w:r w:rsidRPr="00C32FB0">
        <w:rPr>
          <w:rFonts w:ascii="Arial" w:hAnsi="Arial" w:cs="Arial"/>
        </w:rPr>
        <w:t>etc</w:t>
      </w:r>
      <w:proofErr w:type="spellEnd"/>
      <w:r w:rsidRPr="00C32FB0">
        <w:rPr>
          <w:rFonts w:ascii="Arial" w:hAnsi="Arial" w:cs="Arial"/>
        </w:rPr>
        <w:t>); and</w:t>
      </w:r>
    </w:p>
    <w:p w:rsidR="000B14DD" w:rsidRPr="00C32FB0" w:rsidRDefault="004E35DE" w:rsidP="008F22EF">
      <w:pPr>
        <w:pStyle w:val="ListBullet2"/>
        <w:numPr>
          <w:ilvl w:val="0"/>
          <w:numId w:val="14"/>
        </w:numPr>
        <w:rPr>
          <w:rFonts w:ascii="Arial" w:hAnsi="Arial" w:cs="Arial"/>
        </w:rPr>
      </w:pPr>
      <w:proofErr w:type="gramStart"/>
      <w:r w:rsidRPr="00C32FB0">
        <w:rPr>
          <w:rFonts w:ascii="Arial" w:hAnsi="Arial" w:cs="Arial"/>
        </w:rPr>
        <w:t>maintain</w:t>
      </w:r>
      <w:proofErr w:type="gramEnd"/>
      <w:r w:rsidRPr="00C32FB0">
        <w:rPr>
          <w:rFonts w:ascii="Arial" w:hAnsi="Arial" w:cs="Arial"/>
        </w:rPr>
        <w:t xml:space="preserve"> </w:t>
      </w:r>
      <w:r w:rsidR="000B14DD" w:rsidRPr="00C32FB0">
        <w:rPr>
          <w:rFonts w:ascii="Arial" w:hAnsi="Arial" w:cs="Arial"/>
        </w:rPr>
        <w:t>ongoing activity and cost data collection.</w:t>
      </w:r>
    </w:p>
    <w:p w:rsidR="000B14DD" w:rsidRPr="00C32FB0" w:rsidRDefault="000B14DD" w:rsidP="000B14DD">
      <w:pPr>
        <w:rPr>
          <w:rFonts w:ascii="Arial" w:hAnsi="Arial" w:cs="Arial"/>
        </w:rPr>
      </w:pPr>
      <w:r w:rsidRPr="00C32FB0">
        <w:rPr>
          <w:rFonts w:ascii="Arial" w:hAnsi="Arial" w:cs="Arial"/>
        </w:rPr>
        <w:t>To date IHPA has completed steps one and two, with step three nearing completion</w:t>
      </w:r>
      <w:r w:rsidR="00DE3EC2" w:rsidRPr="00C32FB0">
        <w:rPr>
          <w:rFonts w:ascii="Arial" w:hAnsi="Arial" w:cs="Arial"/>
        </w:rPr>
        <w:t xml:space="preserve"> and step four underway</w:t>
      </w:r>
      <w:r w:rsidRPr="00C32FB0">
        <w:rPr>
          <w:rFonts w:ascii="Arial" w:hAnsi="Arial" w:cs="Arial"/>
        </w:rPr>
        <w:t>. Step four includes the planning, design, development, testing, and transition of the AMHCC for the purposes of pricing mental health services from 1</w:t>
      </w:r>
      <w:r w:rsidR="00DE3EC2" w:rsidRPr="00C32FB0">
        <w:rPr>
          <w:rFonts w:ascii="Arial" w:hAnsi="Arial" w:cs="Arial"/>
        </w:rPr>
        <w:t> July </w:t>
      </w:r>
      <w:r w:rsidRPr="00C32FB0">
        <w:rPr>
          <w:rFonts w:ascii="Arial" w:hAnsi="Arial" w:cs="Arial"/>
        </w:rPr>
        <w:t>2016.</w:t>
      </w:r>
    </w:p>
    <w:p w:rsidR="000B14DD" w:rsidRPr="00C32FB0" w:rsidRDefault="000B14DD" w:rsidP="000B14DD">
      <w:pPr>
        <w:pStyle w:val="Heading2"/>
        <w:rPr>
          <w:rFonts w:ascii="Arial" w:hAnsi="Arial" w:cs="Arial"/>
        </w:rPr>
      </w:pPr>
      <w:bookmarkStart w:id="12" w:name="_Toc407021928"/>
      <w:r w:rsidRPr="00C32FB0">
        <w:rPr>
          <w:rFonts w:ascii="Arial" w:hAnsi="Arial" w:cs="Arial"/>
        </w:rPr>
        <w:lastRenderedPageBreak/>
        <w:t>What is the scope of the AMHCC?</w:t>
      </w:r>
      <w:bookmarkEnd w:id="12"/>
    </w:p>
    <w:p w:rsidR="000B14DD" w:rsidRPr="00C32FB0" w:rsidRDefault="000B14DD" w:rsidP="000B14DD">
      <w:pPr>
        <w:rPr>
          <w:rFonts w:ascii="Arial" w:hAnsi="Arial" w:cs="Arial"/>
        </w:rPr>
      </w:pPr>
      <w:r w:rsidRPr="00C32FB0">
        <w:rPr>
          <w:rFonts w:ascii="Arial" w:hAnsi="Arial" w:cs="Arial"/>
        </w:rPr>
        <w:t xml:space="preserve">In 2012, IHPA engaged </w:t>
      </w:r>
      <w:r w:rsidR="00EE41B4">
        <w:rPr>
          <w:rFonts w:ascii="Arial" w:hAnsi="Arial" w:cs="Arial"/>
        </w:rPr>
        <w:t xml:space="preserve">the </w:t>
      </w:r>
      <w:r w:rsidR="00EE41B4" w:rsidRPr="00C32FB0">
        <w:rPr>
          <w:rFonts w:ascii="Arial" w:hAnsi="Arial" w:cs="Arial"/>
        </w:rPr>
        <w:t>U</w:t>
      </w:r>
      <w:r w:rsidR="00EE41B4">
        <w:rPr>
          <w:rFonts w:ascii="Arial" w:hAnsi="Arial" w:cs="Arial"/>
        </w:rPr>
        <w:t xml:space="preserve">niversity </w:t>
      </w:r>
      <w:proofErr w:type="gramStart"/>
      <w:r w:rsidR="00EE41B4">
        <w:rPr>
          <w:rFonts w:ascii="Arial" w:hAnsi="Arial" w:cs="Arial"/>
        </w:rPr>
        <w:t>of</w:t>
      </w:r>
      <w:proofErr w:type="gramEnd"/>
      <w:r w:rsidR="00EE41B4">
        <w:rPr>
          <w:rFonts w:ascii="Arial" w:hAnsi="Arial" w:cs="Arial"/>
        </w:rPr>
        <w:t xml:space="preserve"> </w:t>
      </w:r>
      <w:r w:rsidR="00EE41B4" w:rsidRPr="00C32FB0">
        <w:rPr>
          <w:rFonts w:ascii="Arial" w:hAnsi="Arial" w:cs="Arial"/>
        </w:rPr>
        <w:t>Q</w:t>
      </w:r>
      <w:r w:rsidR="00EE41B4">
        <w:rPr>
          <w:rFonts w:ascii="Arial" w:hAnsi="Arial" w:cs="Arial"/>
        </w:rPr>
        <w:t>ueensland</w:t>
      </w:r>
      <w:r w:rsidR="00EE41B4" w:rsidRPr="00C32FB0">
        <w:rPr>
          <w:rFonts w:ascii="Arial" w:hAnsi="Arial" w:cs="Arial"/>
        </w:rPr>
        <w:t xml:space="preserve"> </w:t>
      </w:r>
      <w:r w:rsidR="00EE41B4">
        <w:rPr>
          <w:rFonts w:ascii="Arial" w:hAnsi="Arial" w:cs="Arial"/>
        </w:rPr>
        <w:t>(</w:t>
      </w:r>
      <w:r w:rsidRPr="00C32FB0">
        <w:rPr>
          <w:rFonts w:ascii="Arial" w:hAnsi="Arial" w:cs="Arial"/>
        </w:rPr>
        <w:t>UQ</w:t>
      </w:r>
      <w:r w:rsidR="00EE41B4">
        <w:rPr>
          <w:rFonts w:ascii="Arial" w:hAnsi="Arial" w:cs="Arial"/>
        </w:rPr>
        <w:t>)</w:t>
      </w:r>
      <w:r w:rsidRPr="00C32FB0">
        <w:rPr>
          <w:rFonts w:ascii="Arial" w:hAnsi="Arial" w:cs="Arial"/>
        </w:rPr>
        <w:t xml:space="preserve"> to develop a definiti</w:t>
      </w:r>
      <w:r w:rsidR="004E35DE" w:rsidRPr="00C32FB0">
        <w:rPr>
          <w:rFonts w:ascii="Arial" w:hAnsi="Arial" w:cs="Arial"/>
        </w:rPr>
        <w:t>on of mental health care – a ‘C</w:t>
      </w:r>
      <w:r w:rsidRPr="00C32FB0">
        <w:rPr>
          <w:rFonts w:ascii="Arial" w:hAnsi="Arial" w:cs="Arial"/>
        </w:rPr>
        <w:t xml:space="preserve">are </w:t>
      </w:r>
      <w:r w:rsidR="004E35DE" w:rsidRPr="00C32FB0">
        <w:rPr>
          <w:rFonts w:ascii="Arial" w:hAnsi="Arial" w:cs="Arial"/>
        </w:rPr>
        <w:t>T</w:t>
      </w:r>
      <w:r w:rsidRPr="00C32FB0">
        <w:rPr>
          <w:rFonts w:ascii="Arial" w:hAnsi="Arial" w:cs="Arial"/>
        </w:rPr>
        <w:t>ype’</w:t>
      </w:r>
      <w:r w:rsidR="004E35DE" w:rsidRPr="00C32FB0">
        <w:rPr>
          <w:rFonts w:ascii="Arial" w:hAnsi="Arial" w:cs="Arial"/>
        </w:rPr>
        <w:t xml:space="preserve"> – which sets the scope of the AMHCC</w:t>
      </w:r>
      <w:r w:rsidRPr="00C32FB0">
        <w:rPr>
          <w:rFonts w:ascii="Arial" w:hAnsi="Arial" w:cs="Arial"/>
        </w:rPr>
        <w:t>. The Mental Health Care Type</w:t>
      </w:r>
      <w:r w:rsidR="006F7C2A" w:rsidRPr="00C32FB0">
        <w:rPr>
          <w:rFonts w:ascii="Arial" w:hAnsi="Arial" w:cs="Arial"/>
        </w:rPr>
        <w:t xml:space="preserve"> (MHCT)</w:t>
      </w:r>
      <w:r w:rsidRPr="00C32FB0">
        <w:rPr>
          <w:rFonts w:ascii="Arial" w:hAnsi="Arial" w:cs="Arial"/>
        </w:rPr>
        <w:t xml:space="preserve"> proposed by UQ was modified slightly and approved by the Pricing Authority on 31</w:t>
      </w:r>
      <w:r w:rsidR="00DE3EC2" w:rsidRPr="00C32FB0">
        <w:rPr>
          <w:rFonts w:ascii="Arial" w:hAnsi="Arial" w:cs="Arial"/>
        </w:rPr>
        <w:t> </w:t>
      </w:r>
      <w:r w:rsidRPr="00C32FB0">
        <w:rPr>
          <w:rFonts w:ascii="Arial" w:hAnsi="Arial" w:cs="Arial"/>
        </w:rPr>
        <w:t>May</w:t>
      </w:r>
      <w:r w:rsidR="00DE3EC2" w:rsidRPr="00C32FB0">
        <w:rPr>
          <w:rFonts w:ascii="Arial" w:hAnsi="Arial" w:cs="Arial"/>
        </w:rPr>
        <w:t> </w:t>
      </w:r>
      <w:r w:rsidRPr="00C32FB0">
        <w:rPr>
          <w:rFonts w:ascii="Arial" w:hAnsi="Arial" w:cs="Arial"/>
        </w:rPr>
        <w:t>2013. It is:</w:t>
      </w:r>
    </w:p>
    <w:p w:rsidR="000B14DD" w:rsidRPr="00C32FB0" w:rsidRDefault="000B14DD" w:rsidP="000B14DD">
      <w:pPr>
        <w:pStyle w:val="Quote"/>
        <w:ind w:left="720"/>
        <w:rPr>
          <w:rFonts w:ascii="Arial" w:hAnsi="Arial" w:cs="Arial"/>
        </w:rPr>
      </w:pPr>
      <w:r w:rsidRPr="00C32FB0">
        <w:rPr>
          <w:rFonts w:ascii="Arial" w:hAnsi="Arial" w:cs="Arial"/>
        </w:rPr>
        <w:t>Mental health care is care in which the primary clinical purpose or treatment goal is improvement in the symptoms and/or psychosocial, environmental and physical function relating to a patient’s mental disorder.</w:t>
      </w:r>
    </w:p>
    <w:p w:rsidR="000B14DD" w:rsidRPr="00C32FB0" w:rsidRDefault="000B14DD" w:rsidP="000B14DD">
      <w:pPr>
        <w:pStyle w:val="Quote"/>
        <w:ind w:left="720"/>
        <w:contextualSpacing/>
        <w:rPr>
          <w:rFonts w:ascii="Arial" w:hAnsi="Arial" w:cs="Arial"/>
        </w:rPr>
      </w:pPr>
      <w:r w:rsidRPr="00C32FB0">
        <w:rPr>
          <w:rFonts w:ascii="Arial" w:hAnsi="Arial" w:cs="Arial"/>
        </w:rPr>
        <w:t>Mental health care:</w:t>
      </w:r>
    </w:p>
    <w:p w:rsidR="000B14DD" w:rsidRPr="00C32FB0" w:rsidRDefault="000B14DD" w:rsidP="009E3CE7">
      <w:pPr>
        <w:pStyle w:val="Quote"/>
        <w:numPr>
          <w:ilvl w:val="0"/>
          <w:numId w:val="5"/>
        </w:numPr>
        <w:contextualSpacing/>
        <w:rPr>
          <w:rFonts w:ascii="Arial" w:hAnsi="Arial" w:cs="Arial"/>
        </w:rPr>
      </w:pPr>
      <w:r w:rsidRPr="00C32FB0">
        <w:rPr>
          <w:rFonts w:ascii="Arial" w:hAnsi="Arial" w:cs="Arial"/>
        </w:rPr>
        <w:t>is delivered under the management of, or regularly informed by, a clinician with specialised expertise in mental health;</w:t>
      </w:r>
    </w:p>
    <w:p w:rsidR="000B14DD" w:rsidRPr="00C32FB0" w:rsidRDefault="000B14DD" w:rsidP="009E3CE7">
      <w:pPr>
        <w:pStyle w:val="Quote"/>
        <w:numPr>
          <w:ilvl w:val="0"/>
          <w:numId w:val="5"/>
        </w:numPr>
        <w:contextualSpacing/>
        <w:rPr>
          <w:rFonts w:ascii="Arial" w:hAnsi="Arial" w:cs="Arial"/>
        </w:rPr>
      </w:pPr>
      <w:r w:rsidRPr="00C32FB0">
        <w:rPr>
          <w:rFonts w:ascii="Arial" w:hAnsi="Arial" w:cs="Arial"/>
        </w:rPr>
        <w:t>is evidenced by an individualised formal mental health assessment and the implementation of a documented mental health plan; and</w:t>
      </w:r>
    </w:p>
    <w:p w:rsidR="000B14DD" w:rsidRPr="00C32FB0" w:rsidRDefault="000B14DD" w:rsidP="009E3CE7">
      <w:pPr>
        <w:pStyle w:val="Quote"/>
        <w:numPr>
          <w:ilvl w:val="0"/>
          <w:numId w:val="5"/>
        </w:numPr>
        <w:rPr>
          <w:rFonts w:ascii="Arial" w:hAnsi="Arial" w:cs="Arial"/>
        </w:rPr>
      </w:pPr>
      <w:proofErr w:type="gramStart"/>
      <w:r w:rsidRPr="00C32FB0">
        <w:rPr>
          <w:rFonts w:ascii="Arial" w:hAnsi="Arial" w:cs="Arial"/>
        </w:rPr>
        <w:t>may</w:t>
      </w:r>
      <w:proofErr w:type="gramEnd"/>
      <w:r w:rsidRPr="00C32FB0">
        <w:rPr>
          <w:rFonts w:ascii="Arial" w:hAnsi="Arial" w:cs="Arial"/>
        </w:rPr>
        <w:t xml:space="preserve"> include significant psychosocial components including family and carer support.</w:t>
      </w:r>
    </w:p>
    <w:p w:rsidR="004711C3" w:rsidRDefault="00DE3EC2" w:rsidP="006F6892">
      <w:pPr>
        <w:rPr>
          <w:rFonts w:ascii="Arial" w:hAnsi="Arial" w:cs="Arial"/>
        </w:rPr>
      </w:pPr>
      <w:r w:rsidRPr="00C32FB0">
        <w:rPr>
          <w:rFonts w:ascii="Arial" w:hAnsi="Arial" w:cs="Arial"/>
        </w:rPr>
        <w:t xml:space="preserve">It should be noted that </w:t>
      </w:r>
      <w:r w:rsidR="006F6892" w:rsidRPr="00C32FB0">
        <w:rPr>
          <w:rFonts w:ascii="Arial" w:hAnsi="Arial" w:cs="Arial"/>
        </w:rPr>
        <w:t>‘assessment only’ activities are considered in scope for the classification.</w:t>
      </w:r>
    </w:p>
    <w:p w:rsidR="000D5138" w:rsidRDefault="000D5138" w:rsidP="006F6892">
      <w:pPr>
        <w:rPr>
          <w:rFonts w:ascii="Arial" w:hAnsi="Arial" w:cs="Arial"/>
        </w:rPr>
      </w:pPr>
      <w:r>
        <w:rPr>
          <w:rFonts w:ascii="Arial" w:hAnsi="Arial" w:cs="Arial"/>
        </w:rPr>
        <w:t>As the definition states, a clinician is someone with specialised expertise in mental health, and is not limited to a specific professional background.</w:t>
      </w:r>
    </w:p>
    <w:p w:rsidR="00745942" w:rsidRPr="00C32FB0" w:rsidRDefault="00745942" w:rsidP="006F6892">
      <w:pPr>
        <w:rPr>
          <w:rFonts w:ascii="Arial" w:hAnsi="Arial" w:cs="Arial"/>
        </w:rPr>
      </w:pPr>
      <w:r>
        <w:rPr>
          <w:rFonts w:ascii="Arial" w:hAnsi="Arial" w:cs="Arial"/>
        </w:rPr>
        <w:t xml:space="preserve">The MHCT does not specify or limit the setting in which mental health care is provided. </w:t>
      </w:r>
      <w:r w:rsidR="000D5138">
        <w:rPr>
          <w:rFonts w:ascii="Arial" w:hAnsi="Arial" w:cs="Arial"/>
        </w:rPr>
        <w:t>The AMHCC will operate across settings, including, for example, admitted, community (including hospital avoidance) and residential mental health care</w:t>
      </w:r>
      <w:r w:rsidR="00EE41B4">
        <w:rPr>
          <w:rFonts w:ascii="Arial" w:hAnsi="Arial" w:cs="Arial"/>
        </w:rPr>
        <w:t xml:space="preserve"> and is concerned with the care provided, rather than the identity of the provider</w:t>
      </w:r>
      <w:r w:rsidR="000D5138">
        <w:rPr>
          <w:rFonts w:ascii="Arial" w:hAnsi="Arial" w:cs="Arial"/>
        </w:rPr>
        <w:t>.</w:t>
      </w:r>
    </w:p>
    <w:p w:rsidR="00227BA9" w:rsidRPr="00C32FB0" w:rsidRDefault="00111581" w:rsidP="00745942">
      <w:pPr>
        <w:rPr>
          <w:rFonts w:ascii="Arial" w:hAnsi="Arial" w:cs="Arial"/>
        </w:rPr>
      </w:pPr>
      <w:r w:rsidRPr="00C32FB0">
        <w:rPr>
          <w:rFonts w:ascii="Arial" w:hAnsi="Arial" w:cs="Arial"/>
        </w:rPr>
        <w:t>In developing t</w:t>
      </w:r>
      <w:r w:rsidR="00227BA9" w:rsidRPr="00C32FB0">
        <w:rPr>
          <w:rFonts w:ascii="Arial" w:hAnsi="Arial" w:cs="Arial"/>
        </w:rPr>
        <w:t>he AMHCC</w:t>
      </w:r>
      <w:r w:rsidRPr="00C32FB0">
        <w:rPr>
          <w:rFonts w:ascii="Arial" w:hAnsi="Arial" w:cs="Arial"/>
        </w:rPr>
        <w:t xml:space="preserve">, IHPA </w:t>
      </w:r>
      <w:r w:rsidR="00227BA9" w:rsidRPr="00C32FB0">
        <w:rPr>
          <w:rFonts w:ascii="Arial" w:hAnsi="Arial" w:cs="Arial"/>
        </w:rPr>
        <w:t xml:space="preserve">will consider </w:t>
      </w:r>
      <w:r w:rsidR="006F6892" w:rsidRPr="00C32FB0">
        <w:rPr>
          <w:rFonts w:ascii="Arial" w:hAnsi="Arial" w:cs="Arial"/>
        </w:rPr>
        <w:t xml:space="preserve">all </w:t>
      </w:r>
      <w:r w:rsidR="00227BA9" w:rsidRPr="00C32FB0">
        <w:rPr>
          <w:rFonts w:ascii="Arial" w:hAnsi="Arial" w:cs="Arial"/>
        </w:rPr>
        <w:t xml:space="preserve">services that fall under the broader </w:t>
      </w:r>
      <w:r w:rsidR="006F7C2A" w:rsidRPr="00C32FB0">
        <w:rPr>
          <w:rFonts w:ascii="Arial" w:hAnsi="Arial" w:cs="Arial"/>
        </w:rPr>
        <w:t>MHCT</w:t>
      </w:r>
      <w:r w:rsidR="00227BA9" w:rsidRPr="00C32FB0">
        <w:rPr>
          <w:rFonts w:ascii="Arial" w:hAnsi="Arial" w:cs="Arial"/>
        </w:rPr>
        <w:t>. For example, child and adolescent community mental health services are not currently considered in scope for Commonwealth funding under the NHRA; however, these services will be included within the AMHCC.</w:t>
      </w:r>
    </w:p>
    <w:p w:rsidR="002D5F3F" w:rsidRPr="00C32FB0" w:rsidRDefault="004E35DE" w:rsidP="002D5F3F">
      <w:pPr>
        <w:rPr>
          <w:rFonts w:ascii="Arial" w:hAnsi="Arial" w:cs="Arial"/>
        </w:rPr>
      </w:pPr>
      <w:r w:rsidRPr="00C32FB0">
        <w:rPr>
          <w:rFonts w:ascii="Arial" w:hAnsi="Arial" w:cs="Arial"/>
        </w:rPr>
        <w:t xml:space="preserve">As such, the AMHCC will </w:t>
      </w:r>
      <w:r w:rsidR="00C37886" w:rsidRPr="00C32FB0">
        <w:rPr>
          <w:rFonts w:ascii="Arial" w:hAnsi="Arial" w:cs="Arial"/>
        </w:rPr>
        <w:t>have utility beyond ABF and IHPA’s work.</w:t>
      </w:r>
      <w:r w:rsidR="002D5F3F" w:rsidRPr="00C32FB0">
        <w:rPr>
          <w:rFonts w:ascii="Arial" w:hAnsi="Arial" w:cs="Arial"/>
        </w:rPr>
        <w:t xml:space="preserve"> The AMHCC is agnostic as to the service provider or setting; however, the extent to which the AMHCC is applied for funding or counting purposes is determined by the relationship between funder and provider.</w:t>
      </w:r>
    </w:p>
    <w:p w:rsidR="002D5F3F" w:rsidRPr="00C32FB0" w:rsidRDefault="002D5F3F" w:rsidP="000B14DD">
      <w:pPr>
        <w:rPr>
          <w:rFonts w:ascii="Arial" w:hAnsi="Arial" w:cs="Arial"/>
        </w:rPr>
      </w:pPr>
      <w:r w:rsidRPr="00C32FB0">
        <w:rPr>
          <w:rFonts w:ascii="Arial" w:hAnsi="Arial" w:cs="Arial"/>
        </w:rPr>
        <w:t>As such, the classification may be adopted by any relevant organisation which collects the required data items.</w:t>
      </w:r>
    </w:p>
    <w:p w:rsidR="0074561C" w:rsidRPr="00C32FB0" w:rsidRDefault="0074561C" w:rsidP="00273B3C">
      <w:pPr>
        <w:pStyle w:val="Heading2"/>
        <w:rPr>
          <w:rFonts w:ascii="Arial" w:hAnsi="Arial" w:cs="Arial"/>
          <w:lang w:val="en-US" w:eastAsia="ja-JP"/>
        </w:rPr>
      </w:pPr>
      <w:bookmarkStart w:id="13" w:name="_Toc407021929"/>
      <w:r w:rsidRPr="00C32FB0">
        <w:rPr>
          <w:rFonts w:ascii="Arial" w:hAnsi="Arial" w:cs="Arial"/>
          <w:lang w:val="en-US" w:eastAsia="ja-JP"/>
        </w:rPr>
        <w:t>Governance of the project</w:t>
      </w:r>
      <w:bookmarkEnd w:id="13"/>
    </w:p>
    <w:p w:rsidR="00111581" w:rsidRPr="00C32FB0" w:rsidRDefault="00111581" w:rsidP="00111581">
      <w:pPr>
        <w:rPr>
          <w:rFonts w:ascii="Arial" w:hAnsi="Arial" w:cs="Arial"/>
        </w:rPr>
      </w:pPr>
      <w:r w:rsidRPr="00C32FB0">
        <w:rPr>
          <w:rFonts w:ascii="Arial" w:hAnsi="Arial" w:cs="Arial"/>
        </w:rPr>
        <w:t xml:space="preserve">IHPA’s Mental Health Working Group (MHWG) will oversee the development of the AMHCC. </w:t>
      </w:r>
    </w:p>
    <w:p w:rsidR="00111581" w:rsidRPr="00C32FB0" w:rsidRDefault="00111581" w:rsidP="00111581">
      <w:pPr>
        <w:rPr>
          <w:rFonts w:ascii="Arial" w:hAnsi="Arial" w:cs="Arial"/>
        </w:rPr>
      </w:pPr>
      <w:r w:rsidRPr="00C32FB0">
        <w:rPr>
          <w:rFonts w:ascii="Arial" w:hAnsi="Arial" w:cs="Arial"/>
        </w:rPr>
        <w:t xml:space="preserve">The MHWG advises IHPA on matters relevant to mental health and includes representatives from all jurisdictions including the Commonwealth, as well as the representatives of the National Mental Health Commission, Mental Health Australia, the Royal Australian and New Zealand College of Psychiatrists, the Australian College of Mental Health Nurses, Allied Health Professions Australia, the Royal Australian College of General Practitioners, the </w:t>
      </w:r>
      <w:r w:rsidRPr="00C32FB0">
        <w:rPr>
          <w:rFonts w:ascii="Arial" w:hAnsi="Arial" w:cs="Arial"/>
        </w:rPr>
        <w:lastRenderedPageBreak/>
        <w:t>Australian Private Hospitals Association, Private Healthcare Australia, the National Disability Insurance Agency, Community Mental Health Australia, the IHPA Clinical Advisory Committee, mental health consumer and carer representatives and individual experts.</w:t>
      </w:r>
    </w:p>
    <w:p w:rsidR="00DE3EC2" w:rsidRPr="00C32FB0" w:rsidRDefault="004E35DE" w:rsidP="00F52294">
      <w:pPr>
        <w:rPr>
          <w:rFonts w:ascii="Arial" w:hAnsi="Arial" w:cs="Arial"/>
        </w:rPr>
      </w:pPr>
      <w:r w:rsidRPr="00C32FB0">
        <w:rPr>
          <w:rFonts w:ascii="Arial" w:hAnsi="Arial" w:cs="Arial"/>
        </w:rPr>
        <w:t xml:space="preserve">The project is supported by a Mental Health Classification Expert </w:t>
      </w:r>
      <w:r w:rsidR="0007223A" w:rsidRPr="00C32FB0">
        <w:rPr>
          <w:rFonts w:ascii="Arial" w:hAnsi="Arial" w:cs="Arial"/>
        </w:rPr>
        <w:t xml:space="preserve">Reference </w:t>
      </w:r>
      <w:r w:rsidRPr="00C32FB0">
        <w:rPr>
          <w:rFonts w:ascii="Arial" w:hAnsi="Arial" w:cs="Arial"/>
        </w:rPr>
        <w:t>Group (MHCERG) which includes mental health subject matter experts, classification system development experts and data analysis experts. The MHCER</w:t>
      </w:r>
      <w:r w:rsidR="0007223A" w:rsidRPr="00C32FB0">
        <w:rPr>
          <w:rFonts w:ascii="Arial" w:hAnsi="Arial" w:cs="Arial"/>
        </w:rPr>
        <w:t>G</w:t>
      </w:r>
      <w:r w:rsidRPr="00C32FB0">
        <w:rPr>
          <w:rFonts w:ascii="Arial" w:hAnsi="Arial" w:cs="Arial"/>
        </w:rPr>
        <w:t xml:space="preserve"> reports to the IHPA Chief Executive Officer through </w:t>
      </w:r>
      <w:r w:rsidR="00DE3EC2" w:rsidRPr="00C32FB0">
        <w:rPr>
          <w:rFonts w:ascii="Arial" w:hAnsi="Arial" w:cs="Arial"/>
        </w:rPr>
        <w:t>the MHWG.</w:t>
      </w:r>
    </w:p>
    <w:p w:rsidR="0074561C" w:rsidRPr="00C32FB0" w:rsidRDefault="004E35DE">
      <w:pPr>
        <w:rPr>
          <w:rFonts w:ascii="Arial" w:hAnsi="Arial" w:cs="Arial"/>
        </w:rPr>
      </w:pPr>
      <w:r w:rsidRPr="00C32FB0">
        <w:rPr>
          <w:rFonts w:ascii="Arial" w:hAnsi="Arial" w:cs="Arial"/>
        </w:rPr>
        <w:t>In undertaking its work, the MHCERG will convene smalle</w:t>
      </w:r>
      <w:r w:rsidR="00AF355C" w:rsidRPr="00C32FB0">
        <w:rPr>
          <w:rFonts w:ascii="Arial" w:hAnsi="Arial" w:cs="Arial"/>
        </w:rPr>
        <w:t xml:space="preserve">r clinical, technical and other </w:t>
      </w:r>
      <w:r w:rsidRPr="00C32FB0">
        <w:rPr>
          <w:rFonts w:ascii="Arial" w:hAnsi="Arial" w:cs="Arial"/>
        </w:rPr>
        <w:t>speciali</w:t>
      </w:r>
      <w:r w:rsidR="00AF355C" w:rsidRPr="00C32FB0">
        <w:rPr>
          <w:rFonts w:ascii="Arial" w:hAnsi="Arial" w:cs="Arial"/>
        </w:rPr>
        <w:t>st expert meetings as required.</w:t>
      </w:r>
      <w:r w:rsidR="0074561C" w:rsidRPr="00C32FB0">
        <w:rPr>
          <w:rFonts w:ascii="Arial" w:hAnsi="Arial" w:cs="Arial"/>
          <w:lang w:val="en-US" w:eastAsia="ja-JP"/>
        </w:rPr>
        <w:br w:type="page"/>
      </w:r>
    </w:p>
    <w:p w:rsidR="0074561C" w:rsidRPr="00C32FB0" w:rsidRDefault="0074561C" w:rsidP="0074561C">
      <w:pPr>
        <w:pStyle w:val="Heading1"/>
        <w:rPr>
          <w:rFonts w:ascii="Arial" w:hAnsi="Arial" w:cs="Arial"/>
          <w:lang w:val="en-US" w:eastAsia="ja-JP"/>
        </w:rPr>
      </w:pPr>
      <w:bookmarkStart w:id="14" w:name="_Toc407021930"/>
      <w:r w:rsidRPr="00C32FB0">
        <w:rPr>
          <w:rFonts w:ascii="Arial" w:hAnsi="Arial" w:cs="Arial"/>
          <w:lang w:val="en-US" w:eastAsia="ja-JP"/>
        </w:rPr>
        <w:lastRenderedPageBreak/>
        <w:t>Background</w:t>
      </w:r>
      <w:bookmarkEnd w:id="14"/>
    </w:p>
    <w:p w:rsidR="005C7F41" w:rsidRPr="00C32FB0" w:rsidRDefault="005C7F41" w:rsidP="005C7F41">
      <w:pPr>
        <w:rPr>
          <w:rFonts w:ascii="Arial" w:hAnsi="Arial" w:cs="Arial"/>
          <w:lang w:val="en-US" w:eastAsia="ja-JP"/>
        </w:rPr>
      </w:pPr>
      <w:r w:rsidRPr="00C32FB0">
        <w:rPr>
          <w:rFonts w:ascii="Arial" w:hAnsi="Arial" w:cs="Arial"/>
          <w:lang w:val="en-US" w:eastAsia="ja-JP"/>
        </w:rPr>
        <w:t>This chapter provides a summary of the way in which mental health care services are currently classified in Australia, approaches to classification that have been taken in other countries, and the significant systems and reforms have been undertaken in Australia and which are important to consider in the development of the AMHCC.</w:t>
      </w:r>
    </w:p>
    <w:p w:rsidR="00902DC8" w:rsidRPr="00C32FB0" w:rsidRDefault="00902DC8" w:rsidP="00902DC8">
      <w:pPr>
        <w:pStyle w:val="Heading2"/>
        <w:rPr>
          <w:rFonts w:ascii="Arial" w:hAnsi="Arial" w:cs="Arial"/>
        </w:rPr>
      </w:pPr>
      <w:bookmarkStart w:id="15" w:name="_Toc407021931"/>
      <w:r w:rsidRPr="00C32FB0">
        <w:rPr>
          <w:rFonts w:ascii="Arial" w:hAnsi="Arial" w:cs="Arial"/>
        </w:rPr>
        <w:t xml:space="preserve">How </w:t>
      </w:r>
      <w:proofErr w:type="gramStart"/>
      <w:r w:rsidRPr="00C32FB0">
        <w:rPr>
          <w:rFonts w:ascii="Arial" w:hAnsi="Arial" w:cs="Arial"/>
        </w:rPr>
        <w:t>is mental health care</w:t>
      </w:r>
      <w:proofErr w:type="gramEnd"/>
      <w:r w:rsidRPr="00C32FB0">
        <w:rPr>
          <w:rFonts w:ascii="Arial" w:hAnsi="Arial" w:cs="Arial"/>
        </w:rPr>
        <w:t xml:space="preserve"> currently classified in Australia?</w:t>
      </w:r>
      <w:bookmarkEnd w:id="15"/>
    </w:p>
    <w:p w:rsidR="00902DC8" w:rsidRPr="00C32FB0" w:rsidRDefault="00902DC8" w:rsidP="000D2E7E">
      <w:pPr>
        <w:pStyle w:val="Heading3"/>
        <w:rPr>
          <w:rFonts w:ascii="Arial" w:hAnsi="Arial" w:cs="Arial"/>
        </w:rPr>
      </w:pPr>
      <w:r w:rsidRPr="00C32FB0">
        <w:rPr>
          <w:rFonts w:ascii="Arial" w:hAnsi="Arial" w:cs="Arial"/>
        </w:rPr>
        <w:t>Admitted services</w:t>
      </w:r>
    </w:p>
    <w:p w:rsidR="00902DC8" w:rsidRPr="00C32FB0" w:rsidRDefault="00E00DEC" w:rsidP="00902DC8">
      <w:pPr>
        <w:rPr>
          <w:rFonts w:ascii="Arial" w:hAnsi="Arial" w:cs="Arial"/>
        </w:rPr>
      </w:pPr>
      <w:r w:rsidRPr="00C32FB0">
        <w:rPr>
          <w:rFonts w:ascii="Arial" w:hAnsi="Arial" w:cs="Arial"/>
        </w:rPr>
        <w:t>Since</w:t>
      </w:r>
      <w:r w:rsidR="00902DC8" w:rsidRPr="00C32FB0">
        <w:rPr>
          <w:rFonts w:ascii="Arial" w:hAnsi="Arial" w:cs="Arial"/>
        </w:rPr>
        <w:t xml:space="preserve"> 1</w:t>
      </w:r>
      <w:r w:rsidRPr="00C32FB0">
        <w:rPr>
          <w:rFonts w:ascii="Arial" w:hAnsi="Arial" w:cs="Arial"/>
        </w:rPr>
        <w:t> </w:t>
      </w:r>
      <w:r w:rsidR="00902DC8" w:rsidRPr="00C32FB0">
        <w:rPr>
          <w:rFonts w:ascii="Arial" w:hAnsi="Arial" w:cs="Arial"/>
        </w:rPr>
        <w:t>July</w:t>
      </w:r>
      <w:r w:rsidRPr="00C32FB0">
        <w:rPr>
          <w:rFonts w:ascii="Arial" w:hAnsi="Arial" w:cs="Arial"/>
        </w:rPr>
        <w:t> </w:t>
      </w:r>
      <w:r w:rsidR="00902DC8" w:rsidRPr="00C32FB0">
        <w:rPr>
          <w:rFonts w:ascii="Arial" w:hAnsi="Arial" w:cs="Arial"/>
        </w:rPr>
        <w:t xml:space="preserve">2013, IHPA has priced admitted mental health services using AR-DRGs as the classification system. Under this system, mental health </w:t>
      </w:r>
      <w:r w:rsidR="0014011D" w:rsidRPr="00C32FB0">
        <w:rPr>
          <w:rFonts w:ascii="Arial" w:hAnsi="Arial" w:cs="Arial"/>
        </w:rPr>
        <w:t>consumers</w:t>
      </w:r>
      <w:r w:rsidR="00902DC8" w:rsidRPr="00C32FB0">
        <w:rPr>
          <w:rFonts w:ascii="Arial" w:hAnsi="Arial" w:cs="Arial"/>
        </w:rPr>
        <w:t xml:space="preserve"> are defined as only those acute admitted patients that are in Ma</w:t>
      </w:r>
      <w:r w:rsidR="0062148A" w:rsidRPr="00C32FB0">
        <w:rPr>
          <w:rFonts w:ascii="Arial" w:hAnsi="Arial" w:cs="Arial"/>
        </w:rPr>
        <w:t>jor Diagnostic Categories</w:t>
      </w:r>
      <w:r w:rsidR="00902DC8" w:rsidRPr="00C32FB0">
        <w:rPr>
          <w:rFonts w:ascii="Arial" w:hAnsi="Arial" w:cs="Arial"/>
        </w:rPr>
        <w:t xml:space="preserve"> 19 and 20 (Mental Diseases and Disorders, and Alcohol/Drug Use and Alcohol/Drug Induced Organic Mental Disorders respectively) and those patients in other </w:t>
      </w:r>
      <w:r w:rsidR="0062148A" w:rsidRPr="00C32FB0">
        <w:rPr>
          <w:rFonts w:ascii="Arial" w:hAnsi="Arial" w:cs="Arial"/>
        </w:rPr>
        <w:t>Major Diagnostic Categories</w:t>
      </w:r>
      <w:r w:rsidR="00902DC8" w:rsidRPr="00C32FB0">
        <w:rPr>
          <w:rFonts w:ascii="Arial" w:hAnsi="Arial" w:cs="Arial"/>
        </w:rPr>
        <w:t xml:space="preserve"> that have recorded psychiatric care days.</w:t>
      </w:r>
    </w:p>
    <w:p w:rsidR="00902DC8" w:rsidRPr="00C32FB0" w:rsidRDefault="00902DC8" w:rsidP="00902DC8">
      <w:pPr>
        <w:rPr>
          <w:rFonts w:ascii="Arial" w:hAnsi="Arial" w:cs="Arial"/>
        </w:rPr>
      </w:pPr>
      <w:r w:rsidRPr="00C32FB0">
        <w:rPr>
          <w:rFonts w:ascii="Arial" w:hAnsi="Arial" w:cs="Arial"/>
        </w:rPr>
        <w:t>IHPA modified the pricing model on the basis that AR-DRGs do not predict resource consumption for mental health care as well as they do for other medical and surgical services.</w:t>
      </w:r>
    </w:p>
    <w:p w:rsidR="00902DC8" w:rsidRPr="00C32FB0" w:rsidRDefault="00902DC8" w:rsidP="000D2E7E">
      <w:pPr>
        <w:pStyle w:val="Heading3"/>
        <w:rPr>
          <w:rFonts w:ascii="Arial" w:hAnsi="Arial" w:cs="Arial"/>
        </w:rPr>
      </w:pPr>
      <w:r w:rsidRPr="00C32FB0">
        <w:rPr>
          <w:rFonts w:ascii="Arial" w:hAnsi="Arial" w:cs="Arial"/>
        </w:rPr>
        <w:t>Emergency department services</w:t>
      </w:r>
    </w:p>
    <w:p w:rsidR="00902DC8" w:rsidRPr="00C32FB0" w:rsidRDefault="00902DC8" w:rsidP="00902DC8">
      <w:pPr>
        <w:rPr>
          <w:rFonts w:ascii="Arial" w:hAnsi="Arial" w:cs="Arial"/>
        </w:rPr>
      </w:pPr>
      <w:r w:rsidRPr="00C32FB0">
        <w:rPr>
          <w:rFonts w:ascii="Arial" w:hAnsi="Arial" w:cs="Arial"/>
        </w:rPr>
        <w:t>Mental health care provided in Emergency Departments are classified usi</w:t>
      </w:r>
      <w:r w:rsidR="0062148A" w:rsidRPr="00C32FB0">
        <w:rPr>
          <w:rFonts w:ascii="Arial" w:hAnsi="Arial" w:cs="Arial"/>
        </w:rPr>
        <w:t>ng Urgency Related Groups</w:t>
      </w:r>
      <w:r w:rsidRPr="00C32FB0">
        <w:rPr>
          <w:rFonts w:ascii="Arial" w:hAnsi="Arial" w:cs="Arial"/>
        </w:rPr>
        <w:t xml:space="preserve"> and will continue to be after the implementation of the AMHCC.</w:t>
      </w:r>
    </w:p>
    <w:p w:rsidR="00902DC8" w:rsidRPr="00C32FB0" w:rsidRDefault="00902DC8" w:rsidP="000D2E7E">
      <w:pPr>
        <w:pStyle w:val="Heading3"/>
        <w:rPr>
          <w:rFonts w:ascii="Arial" w:hAnsi="Arial" w:cs="Arial"/>
        </w:rPr>
      </w:pPr>
      <w:r w:rsidRPr="00C32FB0">
        <w:rPr>
          <w:rFonts w:ascii="Arial" w:hAnsi="Arial" w:cs="Arial"/>
        </w:rPr>
        <w:t>Non-admitted services</w:t>
      </w:r>
    </w:p>
    <w:p w:rsidR="00902DC8" w:rsidRPr="00C32FB0" w:rsidRDefault="000F409D" w:rsidP="00902DC8">
      <w:pPr>
        <w:rPr>
          <w:rFonts w:ascii="Arial" w:hAnsi="Arial" w:cs="Arial"/>
        </w:rPr>
      </w:pPr>
      <w:r w:rsidRPr="00C32FB0">
        <w:rPr>
          <w:rFonts w:ascii="Arial" w:hAnsi="Arial" w:cs="Arial"/>
        </w:rPr>
        <w:t>General n</w:t>
      </w:r>
      <w:r w:rsidR="00902DC8" w:rsidRPr="00C32FB0">
        <w:rPr>
          <w:rFonts w:ascii="Arial" w:hAnsi="Arial" w:cs="Arial"/>
        </w:rPr>
        <w:t>on-admitted</w:t>
      </w:r>
      <w:r w:rsidR="00E00DEC" w:rsidRPr="00C32FB0">
        <w:rPr>
          <w:rFonts w:ascii="Arial" w:hAnsi="Arial" w:cs="Arial"/>
        </w:rPr>
        <w:t xml:space="preserve"> services are classified using the Tier 2 Non-admitted Care Services classification. Some m</w:t>
      </w:r>
      <w:r w:rsidR="00902DC8" w:rsidRPr="00C32FB0">
        <w:rPr>
          <w:rFonts w:ascii="Arial" w:hAnsi="Arial" w:cs="Arial"/>
        </w:rPr>
        <w:t xml:space="preserve">ental health care </w:t>
      </w:r>
      <w:r w:rsidR="00E00DEC" w:rsidRPr="00C32FB0">
        <w:rPr>
          <w:rFonts w:ascii="Arial" w:hAnsi="Arial" w:cs="Arial"/>
        </w:rPr>
        <w:t>may be classified using Tier 2; however the classification does not include a comprehensive list of non-admitted mental health care</w:t>
      </w:r>
      <w:r w:rsidRPr="00C32FB0">
        <w:rPr>
          <w:rFonts w:ascii="Arial" w:hAnsi="Arial" w:cs="Arial"/>
        </w:rPr>
        <w:t xml:space="preserve">. </w:t>
      </w:r>
    </w:p>
    <w:p w:rsidR="00902DC8" w:rsidRPr="00C32FB0" w:rsidRDefault="00902DC8" w:rsidP="000D2E7E">
      <w:pPr>
        <w:pStyle w:val="Heading3"/>
        <w:rPr>
          <w:rFonts w:ascii="Arial" w:hAnsi="Arial" w:cs="Arial"/>
        </w:rPr>
      </w:pPr>
      <w:r w:rsidRPr="00C32FB0">
        <w:rPr>
          <w:rFonts w:ascii="Arial" w:hAnsi="Arial" w:cs="Arial"/>
        </w:rPr>
        <w:t>Subacute and non-acute</w:t>
      </w:r>
      <w:r w:rsidR="00A97C8E" w:rsidRPr="00C32FB0">
        <w:rPr>
          <w:rFonts w:ascii="Arial" w:hAnsi="Arial" w:cs="Arial"/>
        </w:rPr>
        <w:t xml:space="preserve"> services</w:t>
      </w:r>
    </w:p>
    <w:p w:rsidR="00902DC8" w:rsidRPr="00C32FB0" w:rsidRDefault="00D528F7" w:rsidP="00902DC8">
      <w:pPr>
        <w:rPr>
          <w:rFonts w:ascii="Arial" w:hAnsi="Arial" w:cs="Arial"/>
        </w:rPr>
      </w:pPr>
      <w:r w:rsidRPr="00C32FB0">
        <w:rPr>
          <w:rFonts w:ascii="Arial" w:hAnsi="Arial" w:cs="Arial"/>
        </w:rPr>
        <w:t>Mental health care is excluded from the Australian National Subacute and Non-Acute Patient (AN-SNAP) classification system, with the exception of p</w:t>
      </w:r>
      <w:r w:rsidR="00902DC8" w:rsidRPr="00C32FB0">
        <w:rPr>
          <w:rFonts w:ascii="Arial" w:hAnsi="Arial" w:cs="Arial"/>
        </w:rPr>
        <w:t>sychogeriatric care</w:t>
      </w:r>
      <w:r w:rsidR="0074561C" w:rsidRPr="00C32FB0">
        <w:rPr>
          <w:rFonts w:ascii="Arial" w:hAnsi="Arial" w:cs="Arial"/>
        </w:rPr>
        <w:t xml:space="preserve">. </w:t>
      </w:r>
      <w:r w:rsidR="00902DC8" w:rsidRPr="00C32FB0">
        <w:rPr>
          <w:rFonts w:ascii="Arial" w:hAnsi="Arial" w:cs="Arial"/>
        </w:rPr>
        <w:t>Noting that there is clearly a crossover with mental health care, the Psychogeriatric Care Type will be reviewed following the implementation of the AMHCC.</w:t>
      </w:r>
    </w:p>
    <w:p w:rsidR="00902DC8" w:rsidRPr="00C32FB0" w:rsidRDefault="00902DC8" w:rsidP="00902DC8">
      <w:pPr>
        <w:pStyle w:val="Heading2"/>
        <w:rPr>
          <w:rFonts w:ascii="Arial" w:hAnsi="Arial" w:cs="Arial"/>
          <w:lang w:val="en-US" w:eastAsia="ja-JP"/>
        </w:rPr>
      </w:pPr>
      <w:bookmarkStart w:id="16" w:name="_Toc407021932"/>
      <w:r w:rsidRPr="00C32FB0">
        <w:rPr>
          <w:rFonts w:ascii="Arial" w:hAnsi="Arial" w:cs="Arial"/>
          <w:lang w:val="en-US" w:eastAsia="ja-JP"/>
        </w:rPr>
        <w:t>International approaches to mental health care classification</w:t>
      </w:r>
      <w:bookmarkEnd w:id="16"/>
    </w:p>
    <w:p w:rsidR="00F32AA6" w:rsidRPr="00C32FB0" w:rsidRDefault="00C43D8F" w:rsidP="00902DC8">
      <w:pPr>
        <w:rPr>
          <w:rFonts w:ascii="Arial" w:hAnsi="Arial" w:cs="Arial"/>
        </w:rPr>
      </w:pPr>
      <w:r w:rsidRPr="00C32FB0">
        <w:rPr>
          <w:rFonts w:ascii="Arial" w:hAnsi="Arial" w:cs="Arial"/>
        </w:rPr>
        <w:t>Inte</w:t>
      </w:r>
      <w:r w:rsidR="00DB74FD" w:rsidRPr="00C32FB0">
        <w:rPr>
          <w:rFonts w:ascii="Arial" w:hAnsi="Arial" w:cs="Arial"/>
        </w:rPr>
        <w:t>r</w:t>
      </w:r>
      <w:r w:rsidRPr="00C32FB0">
        <w:rPr>
          <w:rFonts w:ascii="Arial" w:hAnsi="Arial" w:cs="Arial"/>
        </w:rPr>
        <w:t>nationally, a number of jurisdictions have developed m</w:t>
      </w:r>
      <w:r w:rsidR="00902DC8" w:rsidRPr="00C32FB0">
        <w:rPr>
          <w:rFonts w:ascii="Arial" w:hAnsi="Arial" w:cs="Arial"/>
        </w:rPr>
        <w:t>ental health-sp</w:t>
      </w:r>
      <w:r w:rsidRPr="00C32FB0">
        <w:rPr>
          <w:rFonts w:ascii="Arial" w:hAnsi="Arial" w:cs="Arial"/>
        </w:rPr>
        <w:t>ecific</w:t>
      </w:r>
      <w:r w:rsidR="00DB74FD" w:rsidRPr="00C32FB0">
        <w:rPr>
          <w:rFonts w:ascii="Arial" w:hAnsi="Arial" w:cs="Arial"/>
        </w:rPr>
        <w:t xml:space="preserve"> </w:t>
      </w:r>
      <w:proofErr w:type="spellStart"/>
      <w:r w:rsidR="00DB74FD" w:rsidRPr="00C32FB0">
        <w:rPr>
          <w:rFonts w:ascii="Arial" w:hAnsi="Arial" w:cs="Arial"/>
        </w:rPr>
        <w:t>casemix</w:t>
      </w:r>
      <w:proofErr w:type="spellEnd"/>
      <w:r w:rsidRPr="00C32FB0">
        <w:rPr>
          <w:rFonts w:ascii="Arial" w:hAnsi="Arial" w:cs="Arial"/>
        </w:rPr>
        <w:t xml:space="preserve"> classification systems</w:t>
      </w:r>
      <w:r w:rsidR="002C09F2" w:rsidRPr="00C32FB0">
        <w:rPr>
          <w:rFonts w:ascii="Arial" w:hAnsi="Arial" w:cs="Arial"/>
        </w:rPr>
        <w:t>.</w:t>
      </w:r>
      <w:r w:rsidR="00F32AA6" w:rsidRPr="00C32FB0">
        <w:rPr>
          <w:rFonts w:ascii="Arial" w:hAnsi="Arial" w:cs="Arial"/>
        </w:rPr>
        <w:t xml:space="preserve"> The following provides a summary of different approaches to </w:t>
      </w:r>
      <w:r w:rsidR="0007223A" w:rsidRPr="00C32FB0">
        <w:rPr>
          <w:rFonts w:ascii="Arial" w:hAnsi="Arial" w:cs="Arial"/>
        </w:rPr>
        <w:t>provide</w:t>
      </w:r>
      <w:r w:rsidR="00F32AA6" w:rsidRPr="00C32FB0">
        <w:rPr>
          <w:rFonts w:ascii="Arial" w:hAnsi="Arial" w:cs="Arial"/>
        </w:rPr>
        <w:t xml:space="preserve"> context </w:t>
      </w:r>
      <w:r w:rsidR="001018C9" w:rsidRPr="00C32FB0">
        <w:rPr>
          <w:rFonts w:ascii="Arial" w:hAnsi="Arial" w:cs="Arial"/>
        </w:rPr>
        <w:t xml:space="preserve">to the development of the AMHCC. The AMHCC developers will give consideration to these approaches in determining how the classification might be </w:t>
      </w:r>
      <w:r w:rsidR="0007223A" w:rsidRPr="00C32FB0">
        <w:rPr>
          <w:rFonts w:ascii="Arial" w:hAnsi="Arial" w:cs="Arial"/>
        </w:rPr>
        <w:t>structured.</w:t>
      </w:r>
    </w:p>
    <w:p w:rsidR="002C09F2" w:rsidRPr="00C32FB0" w:rsidRDefault="00DB74FD" w:rsidP="00902DC8">
      <w:pPr>
        <w:rPr>
          <w:rFonts w:ascii="Arial" w:hAnsi="Arial" w:cs="Arial"/>
          <w:bCs/>
        </w:rPr>
      </w:pPr>
      <w:r w:rsidRPr="00C32FB0">
        <w:rPr>
          <w:rStyle w:val="Strong"/>
          <w:rFonts w:ascii="Arial" w:hAnsi="Arial" w:cs="Arial"/>
        </w:rPr>
        <w:t xml:space="preserve">England </w:t>
      </w:r>
      <w:r w:rsidRPr="00C32FB0">
        <w:rPr>
          <w:rFonts w:ascii="Arial" w:hAnsi="Arial" w:cs="Arial"/>
        </w:rPr>
        <w:t xml:space="preserve">uses Mental Health Care Clusters to classify </w:t>
      </w:r>
      <w:r w:rsidR="00A46B6A" w:rsidRPr="00C32FB0">
        <w:rPr>
          <w:rFonts w:ascii="Arial" w:hAnsi="Arial" w:cs="Arial"/>
        </w:rPr>
        <w:t xml:space="preserve">adult </w:t>
      </w:r>
      <w:r w:rsidRPr="00C32FB0">
        <w:rPr>
          <w:rFonts w:ascii="Arial" w:hAnsi="Arial" w:cs="Arial"/>
        </w:rPr>
        <w:t xml:space="preserve">mental health services for funding under </w:t>
      </w:r>
      <w:r w:rsidR="004E35DE" w:rsidRPr="00C32FB0">
        <w:rPr>
          <w:rFonts w:ascii="Arial" w:hAnsi="Arial" w:cs="Arial"/>
        </w:rPr>
        <w:t xml:space="preserve">the </w:t>
      </w:r>
      <w:r w:rsidR="00902DC8" w:rsidRPr="00C32FB0">
        <w:rPr>
          <w:rFonts w:ascii="Arial" w:hAnsi="Arial" w:cs="Arial"/>
        </w:rPr>
        <w:t>P</w:t>
      </w:r>
      <w:r w:rsidR="00902DC8" w:rsidRPr="00C32FB0">
        <w:rPr>
          <w:rFonts w:ascii="Arial" w:hAnsi="Arial" w:cs="Arial"/>
          <w:bCs/>
        </w:rPr>
        <w:t>ayment by Results</w:t>
      </w:r>
      <w:r w:rsidR="004E35DE" w:rsidRPr="00C32FB0">
        <w:rPr>
          <w:rFonts w:ascii="Arial" w:hAnsi="Arial" w:cs="Arial"/>
          <w:bCs/>
        </w:rPr>
        <w:t xml:space="preserve"> system</w:t>
      </w:r>
      <w:r w:rsidRPr="00C32FB0">
        <w:rPr>
          <w:rFonts w:ascii="Arial" w:hAnsi="Arial" w:cs="Arial"/>
          <w:bCs/>
        </w:rPr>
        <w:t xml:space="preserve">. </w:t>
      </w:r>
      <w:r w:rsidR="00902DC8" w:rsidRPr="00C32FB0">
        <w:rPr>
          <w:rFonts w:ascii="Arial" w:hAnsi="Arial" w:cs="Arial"/>
          <w:bCs/>
        </w:rPr>
        <w:t>A cluster is a global description of a group of people with similar characteristics as identified from a holistic assessment and rated using the Mental Health Clustering Tool</w:t>
      </w:r>
      <w:r w:rsidR="002C09F2" w:rsidRPr="00C32FB0">
        <w:rPr>
          <w:rFonts w:ascii="Arial" w:hAnsi="Arial" w:cs="Arial"/>
          <w:bCs/>
        </w:rPr>
        <w:t>, which is a needs assessment tool based on the Health of the Nation Outcome Scale</w:t>
      </w:r>
      <w:r w:rsidR="00BD4E82" w:rsidRPr="00C32FB0">
        <w:rPr>
          <w:rFonts w:ascii="Arial" w:hAnsi="Arial" w:cs="Arial"/>
          <w:bCs/>
        </w:rPr>
        <w:t>s</w:t>
      </w:r>
      <w:r w:rsidR="002C09F2" w:rsidRPr="00C32FB0">
        <w:rPr>
          <w:rFonts w:ascii="Arial" w:hAnsi="Arial" w:cs="Arial"/>
          <w:bCs/>
        </w:rPr>
        <w:t xml:space="preserve"> (</w:t>
      </w:r>
      <w:proofErr w:type="spellStart"/>
      <w:r w:rsidR="002C09F2" w:rsidRPr="00C32FB0">
        <w:rPr>
          <w:rFonts w:ascii="Arial" w:hAnsi="Arial" w:cs="Arial"/>
          <w:bCs/>
        </w:rPr>
        <w:t>HoNOS</w:t>
      </w:r>
      <w:proofErr w:type="spellEnd"/>
      <w:r w:rsidR="002C09F2" w:rsidRPr="00C32FB0">
        <w:rPr>
          <w:rFonts w:ascii="Arial" w:hAnsi="Arial" w:cs="Arial"/>
          <w:bCs/>
        </w:rPr>
        <w:t xml:space="preserve">) and additional ratings of historical events designed to </w:t>
      </w:r>
      <w:r w:rsidR="002C09F2" w:rsidRPr="00C32FB0">
        <w:rPr>
          <w:rFonts w:ascii="Arial" w:hAnsi="Arial" w:cs="Arial"/>
          <w:bCs/>
        </w:rPr>
        <w:lastRenderedPageBreak/>
        <w:t xml:space="preserve">rate the care needs of a </w:t>
      </w:r>
      <w:r w:rsidR="0014011D" w:rsidRPr="00C32FB0">
        <w:rPr>
          <w:rFonts w:ascii="Arial" w:hAnsi="Arial" w:cs="Arial"/>
          <w:bCs/>
        </w:rPr>
        <w:t>consumer</w:t>
      </w:r>
      <w:r w:rsidR="002C09F2" w:rsidRPr="00C32FB0">
        <w:rPr>
          <w:rStyle w:val="FootnoteReference"/>
          <w:rFonts w:ascii="Arial" w:hAnsi="Arial"/>
          <w:bCs/>
        </w:rPr>
        <w:t xml:space="preserve"> </w:t>
      </w:r>
      <w:r w:rsidR="002C09F2" w:rsidRPr="00C32FB0">
        <w:rPr>
          <w:rFonts w:ascii="Arial" w:hAnsi="Arial" w:cs="Arial"/>
          <w:bCs/>
        </w:rPr>
        <w:t>.</w:t>
      </w:r>
      <w:r w:rsidR="00A46B6A" w:rsidRPr="00C32FB0">
        <w:rPr>
          <w:rFonts w:ascii="Arial" w:hAnsi="Arial" w:cs="Arial"/>
          <w:bCs/>
        </w:rPr>
        <w:t xml:space="preserve"> </w:t>
      </w:r>
      <w:r w:rsidR="001018C9" w:rsidRPr="00C32FB0">
        <w:rPr>
          <w:rFonts w:ascii="Arial" w:hAnsi="Arial" w:cs="Arial"/>
          <w:bCs/>
        </w:rPr>
        <w:t>The clusters were developed based on patient observations ra</w:t>
      </w:r>
      <w:r w:rsidR="000F409D" w:rsidRPr="00C32FB0">
        <w:rPr>
          <w:rFonts w:ascii="Arial" w:hAnsi="Arial" w:cs="Arial"/>
          <w:bCs/>
        </w:rPr>
        <w:t>ther large scale data analysis.</w:t>
      </w:r>
    </w:p>
    <w:p w:rsidR="004B5D61" w:rsidRPr="00C32FB0" w:rsidRDefault="00902DC8" w:rsidP="004B5D61">
      <w:pPr>
        <w:rPr>
          <w:rFonts w:ascii="Arial" w:hAnsi="Arial" w:cs="Arial"/>
        </w:rPr>
      </w:pPr>
      <w:r w:rsidRPr="00C32FB0">
        <w:rPr>
          <w:rFonts w:ascii="Arial" w:hAnsi="Arial" w:cs="Arial"/>
          <w:bCs/>
        </w:rPr>
        <w:t xml:space="preserve">Initially, care professionals assign the </w:t>
      </w:r>
      <w:r w:rsidR="0014011D" w:rsidRPr="00C32FB0">
        <w:rPr>
          <w:rFonts w:ascii="Arial" w:hAnsi="Arial" w:cs="Arial"/>
          <w:bCs/>
        </w:rPr>
        <w:t>consumer</w:t>
      </w:r>
      <w:r w:rsidRPr="00C32FB0">
        <w:rPr>
          <w:rFonts w:ascii="Arial" w:hAnsi="Arial" w:cs="Arial"/>
          <w:bCs/>
        </w:rPr>
        <w:t xml:space="preserve"> to one of three super classes: non-psychotic, psychosis or organic. Each super class is further segregated into semi-super clusters and finally into the cluster type allocated to the </w:t>
      </w:r>
      <w:r w:rsidR="0014011D" w:rsidRPr="00C32FB0">
        <w:rPr>
          <w:rFonts w:ascii="Arial" w:hAnsi="Arial" w:cs="Arial"/>
          <w:bCs/>
        </w:rPr>
        <w:t>consumer</w:t>
      </w:r>
      <w:r w:rsidR="00940B71" w:rsidRPr="00C32FB0">
        <w:rPr>
          <w:rFonts w:ascii="Arial" w:hAnsi="Arial" w:cs="Arial"/>
          <w:bCs/>
        </w:rPr>
        <w:t>, each of which r</w:t>
      </w:r>
      <w:r w:rsidRPr="00C32FB0">
        <w:rPr>
          <w:rFonts w:ascii="Arial" w:hAnsi="Arial" w:cs="Arial"/>
          <w:bCs/>
        </w:rPr>
        <w:t>epresent</w:t>
      </w:r>
      <w:r w:rsidR="00940B71" w:rsidRPr="00C32FB0">
        <w:rPr>
          <w:rFonts w:ascii="Arial" w:hAnsi="Arial" w:cs="Arial"/>
          <w:bCs/>
        </w:rPr>
        <w:t>s</w:t>
      </w:r>
      <w:r w:rsidRPr="00C32FB0">
        <w:rPr>
          <w:rFonts w:ascii="Arial" w:hAnsi="Arial" w:cs="Arial"/>
          <w:bCs/>
        </w:rPr>
        <w:t xml:space="preserve"> a subgroup of mental illnesses</w:t>
      </w:r>
      <w:r w:rsidR="00940B71" w:rsidRPr="00C32FB0">
        <w:rPr>
          <w:rFonts w:ascii="Arial" w:hAnsi="Arial" w:cs="Arial"/>
          <w:bCs/>
        </w:rPr>
        <w:t xml:space="preserve">. </w:t>
      </w:r>
      <w:r w:rsidRPr="00C32FB0">
        <w:rPr>
          <w:rFonts w:ascii="Arial" w:hAnsi="Arial" w:cs="Arial"/>
          <w:bCs/>
        </w:rPr>
        <w:t xml:space="preserve">A </w:t>
      </w:r>
      <w:r w:rsidR="0014011D" w:rsidRPr="00C32FB0">
        <w:rPr>
          <w:rFonts w:ascii="Arial" w:hAnsi="Arial" w:cs="Arial"/>
          <w:bCs/>
        </w:rPr>
        <w:t>consumer</w:t>
      </w:r>
      <w:r w:rsidRPr="00C32FB0">
        <w:rPr>
          <w:rFonts w:ascii="Arial" w:hAnsi="Arial" w:cs="Arial"/>
          <w:bCs/>
        </w:rPr>
        <w:t>’s cluster allocation is determined at the point of referral but, also re-assessed and re-clustered periodically at formal review sessions and any point where a significant change in planned care is deemed necessary.</w:t>
      </w:r>
      <w:r w:rsidR="002C09F2" w:rsidRPr="00C32FB0">
        <w:rPr>
          <w:rStyle w:val="FootnoteReference"/>
          <w:rFonts w:ascii="Arial" w:hAnsi="Arial"/>
          <w:bCs/>
        </w:rPr>
        <w:footnoteReference w:id="1"/>
      </w:r>
      <w:r w:rsidR="004B5D61" w:rsidRPr="00C32FB0">
        <w:rPr>
          <w:rFonts w:ascii="Arial" w:hAnsi="Arial" w:cs="Arial"/>
          <w:bCs/>
        </w:rPr>
        <w:t xml:space="preserve"> It should be noted that while Australia has adopted the </w:t>
      </w:r>
      <w:proofErr w:type="spellStart"/>
      <w:r w:rsidR="004B5D61" w:rsidRPr="00C32FB0">
        <w:rPr>
          <w:rFonts w:ascii="Arial" w:hAnsi="Arial" w:cs="Arial"/>
          <w:bCs/>
        </w:rPr>
        <w:t>HoNOS</w:t>
      </w:r>
      <w:proofErr w:type="spellEnd"/>
      <w:r w:rsidR="004B5D61" w:rsidRPr="00C32FB0">
        <w:rPr>
          <w:rFonts w:ascii="Arial" w:hAnsi="Arial" w:cs="Arial"/>
          <w:bCs/>
        </w:rPr>
        <w:t>, it uses a broader range of assessment tools than England, and as such the Mental Health Clustering Tool could not be directly applied in Australia.</w:t>
      </w:r>
    </w:p>
    <w:p w:rsidR="00902DC8" w:rsidRPr="00C32FB0" w:rsidRDefault="002C09F2" w:rsidP="002C09F2">
      <w:pPr>
        <w:rPr>
          <w:rFonts w:ascii="Arial" w:hAnsi="Arial" w:cs="Arial"/>
          <w:bCs/>
        </w:rPr>
      </w:pPr>
      <w:r w:rsidRPr="00C32FB0">
        <w:rPr>
          <w:rFonts w:ascii="Arial" w:hAnsi="Arial" w:cs="Arial"/>
          <w:bCs/>
        </w:rPr>
        <w:t xml:space="preserve">In </w:t>
      </w:r>
      <w:r w:rsidR="00902DC8" w:rsidRPr="00C32FB0">
        <w:rPr>
          <w:rStyle w:val="Strong"/>
          <w:rFonts w:ascii="Arial" w:hAnsi="Arial" w:cs="Arial"/>
        </w:rPr>
        <w:t>New Zealand</w:t>
      </w:r>
      <w:r w:rsidRPr="00C32FB0">
        <w:rPr>
          <w:rFonts w:ascii="Arial" w:hAnsi="Arial" w:cs="Arial"/>
          <w:bCs/>
        </w:rPr>
        <w:t>, the 2003</w:t>
      </w:r>
      <w:r w:rsidR="00902DC8" w:rsidRPr="00C32FB0">
        <w:rPr>
          <w:rFonts w:ascii="Arial" w:hAnsi="Arial" w:cs="Arial"/>
          <w:bCs/>
        </w:rPr>
        <w:t xml:space="preserve"> Mental Health Classification and Outcomes Study (NZ CAOS) was undertaken to develop a </w:t>
      </w:r>
      <w:proofErr w:type="spellStart"/>
      <w:r w:rsidR="00902DC8" w:rsidRPr="00C32FB0">
        <w:rPr>
          <w:rFonts w:ascii="Arial" w:hAnsi="Arial" w:cs="Arial"/>
          <w:bCs/>
        </w:rPr>
        <w:t>casemix</w:t>
      </w:r>
      <w:proofErr w:type="spellEnd"/>
      <w:r w:rsidR="00902DC8" w:rsidRPr="00C32FB0">
        <w:rPr>
          <w:rFonts w:ascii="Arial" w:hAnsi="Arial" w:cs="Arial"/>
          <w:bCs/>
        </w:rPr>
        <w:t xml:space="preserve"> classification for mental health care that was developed for the purposes of benchmarking. The classification builds on Australia’s </w:t>
      </w:r>
      <w:r w:rsidR="00F32AA6" w:rsidRPr="00C32FB0">
        <w:rPr>
          <w:rFonts w:ascii="Arial" w:hAnsi="Arial" w:cs="Arial"/>
        </w:rPr>
        <w:t>Mental Health Classification and Service Costs (</w:t>
      </w:r>
      <w:r w:rsidR="00902DC8" w:rsidRPr="00C32FB0">
        <w:rPr>
          <w:rFonts w:ascii="Arial" w:hAnsi="Arial" w:cs="Arial"/>
          <w:bCs/>
        </w:rPr>
        <w:t>MH-CASC</w:t>
      </w:r>
      <w:r w:rsidR="00F32AA6" w:rsidRPr="00C32FB0">
        <w:rPr>
          <w:rFonts w:ascii="Arial" w:hAnsi="Arial" w:cs="Arial"/>
          <w:bCs/>
        </w:rPr>
        <w:t>)</w:t>
      </w:r>
      <w:r w:rsidR="00902DC8" w:rsidRPr="00C32FB0">
        <w:rPr>
          <w:rFonts w:ascii="Arial" w:hAnsi="Arial" w:cs="Arial"/>
          <w:bCs/>
        </w:rPr>
        <w:t xml:space="preserve"> prototype.</w:t>
      </w:r>
      <w:r w:rsidRPr="00C32FB0">
        <w:rPr>
          <w:rFonts w:ascii="Arial" w:hAnsi="Arial" w:cs="Arial"/>
          <w:bCs/>
        </w:rPr>
        <w:t xml:space="preserve"> It</w:t>
      </w:r>
      <w:r w:rsidR="00902DC8" w:rsidRPr="00C32FB0">
        <w:rPr>
          <w:rFonts w:ascii="Arial" w:hAnsi="Arial" w:cs="Arial"/>
          <w:bCs/>
        </w:rPr>
        <w:t xml:space="preserve"> consists of 42 classes that were developed based on statistical analysis of activity, outcome and cost data that was collected over a six month period at eight D</w:t>
      </w:r>
      <w:r w:rsidRPr="00C32FB0">
        <w:rPr>
          <w:rFonts w:ascii="Arial" w:hAnsi="Arial" w:cs="Arial"/>
          <w:bCs/>
        </w:rPr>
        <w:t>istrict Health Boards covering</w:t>
      </w:r>
      <w:r w:rsidR="00902DC8" w:rsidRPr="00C32FB0">
        <w:rPr>
          <w:rFonts w:ascii="Arial" w:hAnsi="Arial" w:cs="Arial"/>
          <w:bCs/>
        </w:rPr>
        <w:t xml:space="preserve"> approximately 22.44% of New Zealand mental health services.</w:t>
      </w:r>
    </w:p>
    <w:p w:rsidR="00902DC8" w:rsidRPr="00C32FB0" w:rsidRDefault="000F409D" w:rsidP="00902DC8">
      <w:pPr>
        <w:rPr>
          <w:rFonts w:ascii="Arial" w:hAnsi="Arial" w:cs="Arial"/>
          <w:bCs/>
        </w:rPr>
      </w:pPr>
      <w:r w:rsidRPr="00C32FB0">
        <w:rPr>
          <w:rFonts w:ascii="Arial" w:hAnsi="Arial" w:cs="Arial"/>
          <w:bCs/>
        </w:rPr>
        <w:t>Each</w:t>
      </w:r>
      <w:r w:rsidR="00902DC8" w:rsidRPr="00C32FB0">
        <w:rPr>
          <w:rFonts w:ascii="Arial" w:hAnsi="Arial" w:cs="Arial"/>
          <w:bCs/>
        </w:rPr>
        <w:t xml:space="preserve"> class is a description of a group of people with similar characteristics and costs as identified by age, legal status, ethnicity, outcomes and length of stay and in some cases, diagnosis. The classification is applicable across both admitted and community settings, child and youth, adult and forensic mental health services. The inclusion of classes defined by ethnicity of the consumer would need to be considered in an Australian context.</w:t>
      </w:r>
    </w:p>
    <w:p w:rsidR="00902DC8" w:rsidRPr="00C32FB0" w:rsidRDefault="00902DC8" w:rsidP="00902DC8">
      <w:pPr>
        <w:rPr>
          <w:rFonts w:ascii="Arial" w:hAnsi="Arial" w:cs="Arial"/>
          <w:bCs/>
        </w:rPr>
      </w:pPr>
      <w:r w:rsidRPr="00C32FB0">
        <w:rPr>
          <w:rFonts w:ascii="Arial" w:hAnsi="Arial" w:cs="Arial"/>
          <w:bCs/>
        </w:rPr>
        <w:t xml:space="preserve">Initially </w:t>
      </w:r>
      <w:r w:rsidR="0014011D" w:rsidRPr="00C32FB0">
        <w:rPr>
          <w:rFonts w:ascii="Arial" w:hAnsi="Arial" w:cs="Arial"/>
          <w:bCs/>
        </w:rPr>
        <w:t>consumer</w:t>
      </w:r>
      <w:r w:rsidRPr="00C32FB0">
        <w:rPr>
          <w:rFonts w:ascii="Arial" w:hAnsi="Arial" w:cs="Arial"/>
          <w:bCs/>
        </w:rPr>
        <w:t>s are classified by service setting and age</w:t>
      </w:r>
      <w:r w:rsidR="002C09F2" w:rsidRPr="00C32FB0">
        <w:rPr>
          <w:rFonts w:ascii="Arial" w:hAnsi="Arial" w:cs="Arial"/>
          <w:bCs/>
        </w:rPr>
        <w:t xml:space="preserve">, then split based on complete and incomplete episodes, with </w:t>
      </w:r>
      <w:r w:rsidR="00BD4E82" w:rsidRPr="00C32FB0">
        <w:rPr>
          <w:rFonts w:ascii="Arial" w:hAnsi="Arial" w:cs="Arial"/>
          <w:bCs/>
        </w:rPr>
        <w:t xml:space="preserve">the </w:t>
      </w:r>
      <w:r w:rsidR="002C09F2" w:rsidRPr="00C32FB0">
        <w:rPr>
          <w:rFonts w:ascii="Arial" w:hAnsi="Arial" w:cs="Arial"/>
          <w:bCs/>
        </w:rPr>
        <w:t>final</w:t>
      </w:r>
      <w:r w:rsidR="00BD4E82" w:rsidRPr="00C32FB0">
        <w:rPr>
          <w:rFonts w:ascii="Arial" w:hAnsi="Arial" w:cs="Arial"/>
          <w:bCs/>
        </w:rPr>
        <w:t xml:space="preserve"> classification</w:t>
      </w:r>
      <w:r w:rsidR="002C09F2" w:rsidRPr="00C32FB0">
        <w:rPr>
          <w:rFonts w:ascii="Arial" w:hAnsi="Arial" w:cs="Arial"/>
          <w:bCs/>
        </w:rPr>
        <w:t xml:space="preserve"> determined by </w:t>
      </w:r>
      <w:r w:rsidR="0014011D" w:rsidRPr="00C32FB0">
        <w:rPr>
          <w:rFonts w:ascii="Arial" w:hAnsi="Arial" w:cs="Arial"/>
          <w:bCs/>
        </w:rPr>
        <w:t>consumer</w:t>
      </w:r>
      <w:r w:rsidR="002C09F2" w:rsidRPr="00C32FB0">
        <w:rPr>
          <w:rFonts w:ascii="Arial" w:hAnsi="Arial" w:cs="Arial"/>
          <w:bCs/>
        </w:rPr>
        <w:t xml:space="preserve"> characteristics and </w:t>
      </w:r>
      <w:proofErr w:type="spellStart"/>
      <w:r w:rsidR="002C09F2" w:rsidRPr="00C32FB0">
        <w:rPr>
          <w:rFonts w:ascii="Arial" w:hAnsi="Arial" w:cs="Arial"/>
          <w:bCs/>
        </w:rPr>
        <w:t>HoNOS</w:t>
      </w:r>
      <w:proofErr w:type="spellEnd"/>
      <w:r w:rsidR="002C09F2" w:rsidRPr="00C32FB0">
        <w:rPr>
          <w:rFonts w:ascii="Arial" w:hAnsi="Arial" w:cs="Arial"/>
          <w:bCs/>
        </w:rPr>
        <w:t xml:space="preserve"> rating</w:t>
      </w:r>
      <w:r w:rsidRPr="00C32FB0">
        <w:rPr>
          <w:rFonts w:ascii="Arial" w:hAnsi="Arial" w:cs="Arial"/>
          <w:bCs/>
        </w:rPr>
        <w:t>s.</w:t>
      </w:r>
      <w:r w:rsidRPr="00C32FB0">
        <w:rPr>
          <w:rStyle w:val="FootnoteReference"/>
          <w:rFonts w:ascii="Arial" w:hAnsi="Arial"/>
          <w:bCs/>
        </w:rPr>
        <w:footnoteReference w:id="2"/>
      </w:r>
    </w:p>
    <w:p w:rsidR="00902DC8" w:rsidRPr="00C32FB0" w:rsidRDefault="002C09F2" w:rsidP="002C09F2">
      <w:pPr>
        <w:rPr>
          <w:rFonts w:ascii="Arial" w:hAnsi="Arial" w:cs="Arial"/>
        </w:rPr>
      </w:pPr>
      <w:r w:rsidRPr="00C32FB0">
        <w:rPr>
          <w:rFonts w:ascii="Arial" w:hAnsi="Arial" w:cs="Arial"/>
        </w:rPr>
        <w:t xml:space="preserve">In </w:t>
      </w:r>
      <w:r w:rsidRPr="00C32FB0">
        <w:rPr>
          <w:rStyle w:val="Strong"/>
          <w:rFonts w:ascii="Arial" w:hAnsi="Arial" w:cs="Arial"/>
        </w:rPr>
        <w:t>Ontario, Canada</w:t>
      </w:r>
      <w:r w:rsidRPr="00C32FB0">
        <w:rPr>
          <w:rFonts w:ascii="Arial" w:hAnsi="Arial" w:cs="Arial"/>
        </w:rPr>
        <w:t>, t</w:t>
      </w:r>
      <w:r w:rsidR="00902DC8" w:rsidRPr="00C32FB0">
        <w:rPr>
          <w:rFonts w:ascii="Arial" w:hAnsi="Arial" w:cs="Arial"/>
        </w:rPr>
        <w:t xml:space="preserve">he System for Classification of In-Patient Psychiatry (SCIPP) </w:t>
      </w:r>
      <w:r w:rsidRPr="00C32FB0">
        <w:rPr>
          <w:rFonts w:ascii="Arial" w:hAnsi="Arial" w:cs="Arial"/>
        </w:rPr>
        <w:t>is used to</w:t>
      </w:r>
      <w:r w:rsidR="00902DC8" w:rsidRPr="00C32FB0">
        <w:rPr>
          <w:rFonts w:ascii="Arial" w:hAnsi="Arial" w:cs="Arial"/>
        </w:rPr>
        <w:t xml:space="preserve"> group and develop weighted patient days for designated adult </w:t>
      </w:r>
      <w:r w:rsidR="00FB5C1E" w:rsidRPr="00C32FB0">
        <w:rPr>
          <w:rFonts w:ascii="Arial" w:hAnsi="Arial" w:cs="Arial"/>
        </w:rPr>
        <w:t>admitted</w:t>
      </w:r>
      <w:r w:rsidR="00902DC8" w:rsidRPr="00C32FB0">
        <w:rPr>
          <w:rFonts w:ascii="Arial" w:hAnsi="Arial" w:cs="Arial"/>
        </w:rPr>
        <w:t xml:space="preserve"> mental hea</w:t>
      </w:r>
      <w:r w:rsidRPr="00C32FB0">
        <w:rPr>
          <w:rFonts w:ascii="Arial" w:hAnsi="Arial" w:cs="Arial"/>
        </w:rPr>
        <w:t xml:space="preserve">lth care beds. </w:t>
      </w:r>
      <w:r w:rsidR="00902DC8" w:rsidRPr="00C32FB0">
        <w:rPr>
          <w:rFonts w:ascii="Arial" w:hAnsi="Arial" w:cs="Arial"/>
        </w:rPr>
        <w:t>There are nine SCIPP categories based on mental health diagnoses with up to 18 groups within each category</w:t>
      </w:r>
      <w:r w:rsidRPr="00C32FB0">
        <w:rPr>
          <w:rFonts w:ascii="Arial" w:hAnsi="Arial" w:cs="Arial"/>
        </w:rPr>
        <w:t xml:space="preserve">. Categories are ordered in </w:t>
      </w:r>
      <w:r w:rsidR="00902DC8" w:rsidRPr="00C32FB0">
        <w:rPr>
          <w:rFonts w:ascii="Arial" w:hAnsi="Arial" w:cs="Arial"/>
        </w:rPr>
        <w:t xml:space="preserve">a clinical hierarchy </w:t>
      </w:r>
      <w:r w:rsidRPr="00C32FB0">
        <w:rPr>
          <w:rFonts w:ascii="Arial" w:hAnsi="Arial" w:cs="Arial"/>
        </w:rPr>
        <w:t>based on resource intensity. In</w:t>
      </w:r>
      <w:r w:rsidR="00902DC8" w:rsidRPr="00C32FB0">
        <w:rPr>
          <w:rFonts w:ascii="Arial" w:hAnsi="Arial" w:cs="Arial"/>
        </w:rPr>
        <w:t xml:space="preserve"> addition</w:t>
      </w:r>
      <w:r w:rsidRPr="00C32FB0">
        <w:rPr>
          <w:rFonts w:ascii="Arial" w:hAnsi="Arial" w:cs="Arial"/>
        </w:rPr>
        <w:t>,</w:t>
      </w:r>
      <w:r w:rsidR="00902DC8" w:rsidRPr="00C32FB0">
        <w:rPr>
          <w:rFonts w:ascii="Arial" w:hAnsi="Arial" w:cs="Arial"/>
        </w:rPr>
        <w:t xml:space="preserve"> episode</w:t>
      </w:r>
      <w:r w:rsidRPr="00C32FB0">
        <w:rPr>
          <w:rFonts w:ascii="Arial" w:hAnsi="Arial" w:cs="Arial"/>
        </w:rPr>
        <w:t>s of care are</w:t>
      </w:r>
      <w:r w:rsidR="00902DC8" w:rsidRPr="00C32FB0">
        <w:rPr>
          <w:rFonts w:ascii="Arial" w:hAnsi="Arial" w:cs="Arial"/>
        </w:rPr>
        <w:t xml:space="preserve"> weighted depending upon the day of stay</w:t>
      </w:r>
      <w:r w:rsidRPr="00C32FB0">
        <w:rPr>
          <w:rFonts w:ascii="Arial" w:hAnsi="Arial" w:cs="Arial"/>
        </w:rPr>
        <w:t xml:space="preserve"> to further account for r</w:t>
      </w:r>
      <w:r w:rsidR="00902DC8" w:rsidRPr="00C32FB0">
        <w:rPr>
          <w:rFonts w:ascii="Arial" w:hAnsi="Arial" w:cs="Arial"/>
        </w:rPr>
        <w:t>esource intensity</w:t>
      </w:r>
      <w:r w:rsidRPr="00C32FB0">
        <w:rPr>
          <w:rFonts w:ascii="Arial" w:hAnsi="Arial" w:cs="Arial"/>
        </w:rPr>
        <w:t xml:space="preserve">. SCIPP </w:t>
      </w:r>
      <w:r w:rsidR="00902DC8" w:rsidRPr="00C32FB0">
        <w:rPr>
          <w:rFonts w:ascii="Arial" w:hAnsi="Arial" w:cs="Arial"/>
        </w:rPr>
        <w:t>explains approximately 26% of the variable portion of per-diem resource utilisation for all psychiatric inpatients.</w:t>
      </w:r>
      <w:r w:rsidR="00902DC8" w:rsidRPr="00C32FB0">
        <w:rPr>
          <w:rStyle w:val="FootnoteReference"/>
          <w:rFonts w:ascii="Arial" w:hAnsi="Arial"/>
        </w:rPr>
        <w:footnoteReference w:id="3"/>
      </w:r>
    </w:p>
    <w:p w:rsidR="00A46B6A" w:rsidRPr="00C32FB0" w:rsidRDefault="00BD4E82" w:rsidP="00A46B6A">
      <w:pPr>
        <w:rPr>
          <w:rFonts w:ascii="Arial" w:hAnsi="Arial" w:cs="Arial"/>
        </w:rPr>
      </w:pPr>
      <w:r w:rsidRPr="00C32FB0">
        <w:rPr>
          <w:rStyle w:val="Strong"/>
          <w:rFonts w:ascii="Arial" w:hAnsi="Arial" w:cs="Arial"/>
        </w:rPr>
        <w:t>The Netherlands’</w:t>
      </w:r>
      <w:r w:rsidRPr="00C32FB0">
        <w:rPr>
          <w:rFonts w:ascii="Arial" w:hAnsi="Arial" w:cs="Arial"/>
          <w:bCs/>
        </w:rPr>
        <w:t xml:space="preserve"> </w:t>
      </w:r>
      <w:r w:rsidR="00902DC8" w:rsidRPr="00C32FB0">
        <w:rPr>
          <w:rFonts w:ascii="Arial" w:hAnsi="Arial" w:cs="Arial"/>
          <w:bCs/>
        </w:rPr>
        <w:t>reimbursement system for admitted and non-admitted mental health services</w:t>
      </w:r>
      <w:r w:rsidRPr="00C32FB0">
        <w:rPr>
          <w:rFonts w:ascii="Arial" w:hAnsi="Arial" w:cs="Arial"/>
          <w:bCs/>
        </w:rPr>
        <w:t xml:space="preserve"> is</w:t>
      </w:r>
      <w:r w:rsidR="00902DC8" w:rsidRPr="00C32FB0">
        <w:rPr>
          <w:rFonts w:ascii="Arial" w:hAnsi="Arial" w:cs="Arial"/>
          <w:bCs/>
        </w:rPr>
        <w:t xml:space="preserve"> known as “Diagnose </w:t>
      </w:r>
      <w:proofErr w:type="spellStart"/>
      <w:r w:rsidR="00902DC8" w:rsidRPr="00C32FB0">
        <w:rPr>
          <w:rFonts w:ascii="Arial" w:hAnsi="Arial" w:cs="Arial"/>
          <w:bCs/>
        </w:rPr>
        <w:t>Behandleling</w:t>
      </w:r>
      <w:proofErr w:type="spellEnd"/>
      <w:r w:rsidR="00902DC8" w:rsidRPr="00C32FB0">
        <w:rPr>
          <w:rFonts w:ascii="Arial" w:hAnsi="Arial" w:cs="Arial"/>
          <w:bCs/>
        </w:rPr>
        <w:t xml:space="preserve"> </w:t>
      </w:r>
      <w:proofErr w:type="spellStart"/>
      <w:r w:rsidR="00902DC8" w:rsidRPr="00C32FB0">
        <w:rPr>
          <w:rFonts w:ascii="Arial" w:hAnsi="Arial" w:cs="Arial"/>
          <w:bCs/>
        </w:rPr>
        <w:t>Combinatie</w:t>
      </w:r>
      <w:proofErr w:type="spellEnd"/>
      <w:r w:rsidR="00902DC8" w:rsidRPr="00C32FB0">
        <w:rPr>
          <w:rFonts w:ascii="Arial" w:hAnsi="Arial" w:cs="Arial"/>
          <w:bCs/>
        </w:rPr>
        <w:t>” (DBC) or “Dia</w:t>
      </w:r>
      <w:r w:rsidR="002C09F2" w:rsidRPr="00C32FB0">
        <w:rPr>
          <w:rFonts w:ascii="Arial" w:hAnsi="Arial" w:cs="Arial"/>
          <w:bCs/>
        </w:rPr>
        <w:t xml:space="preserve">gnostic Treatment Combination”. </w:t>
      </w:r>
      <w:r w:rsidR="00902DC8" w:rsidRPr="00C32FB0">
        <w:rPr>
          <w:rFonts w:ascii="Arial" w:hAnsi="Arial" w:cs="Arial"/>
        </w:rPr>
        <w:t xml:space="preserve">The DBC identifies the type of care being provided (emergency, regular or </w:t>
      </w:r>
      <w:r w:rsidR="00902DC8" w:rsidRPr="00C32FB0">
        <w:rPr>
          <w:rFonts w:ascii="Arial" w:hAnsi="Arial" w:cs="Arial"/>
        </w:rPr>
        <w:lastRenderedPageBreak/>
        <w:t>chronic), the diagnosis and the treatment (including setting). There is a DBC for each diagnosis/treatment combination. As at 2013, there were 140 DBCs for treatment with an additional seven DBCs for accommodation</w:t>
      </w:r>
      <w:r w:rsidR="00A46B6A" w:rsidRPr="00C32FB0">
        <w:rPr>
          <w:rFonts w:ascii="Arial" w:hAnsi="Arial" w:cs="Arial"/>
        </w:rPr>
        <w:t xml:space="preserve">. </w:t>
      </w:r>
      <w:r w:rsidR="0014011D" w:rsidRPr="00C32FB0">
        <w:rPr>
          <w:rFonts w:ascii="Arial" w:hAnsi="Arial" w:cs="Arial"/>
        </w:rPr>
        <w:t>Consumer</w:t>
      </w:r>
      <w:r w:rsidR="00A46B6A" w:rsidRPr="00C32FB0">
        <w:rPr>
          <w:rFonts w:ascii="Arial" w:hAnsi="Arial" w:cs="Arial"/>
        </w:rPr>
        <w:t xml:space="preserve">s can be assigned to more than one DBC therefore allowing flexibility for co-morbid </w:t>
      </w:r>
      <w:r w:rsidR="0014011D" w:rsidRPr="00C32FB0">
        <w:rPr>
          <w:rFonts w:ascii="Arial" w:hAnsi="Arial" w:cs="Arial"/>
        </w:rPr>
        <w:t>consumer</w:t>
      </w:r>
      <w:r w:rsidR="00A46B6A" w:rsidRPr="00C32FB0">
        <w:rPr>
          <w:rFonts w:ascii="Arial" w:hAnsi="Arial" w:cs="Arial"/>
        </w:rPr>
        <w:t>s. A quality element is also included in the outcome measurement system which is used by health insurers during the purchasing process.</w:t>
      </w:r>
    </w:p>
    <w:p w:rsidR="00902DC8" w:rsidRPr="00C32FB0" w:rsidRDefault="00BD4E82" w:rsidP="00902DC8">
      <w:pPr>
        <w:rPr>
          <w:rFonts w:ascii="Arial" w:hAnsi="Arial" w:cs="Arial"/>
        </w:rPr>
      </w:pPr>
      <w:r w:rsidRPr="00C32FB0">
        <w:rPr>
          <w:rFonts w:ascii="Arial" w:hAnsi="Arial" w:cs="Arial"/>
        </w:rPr>
        <w:t xml:space="preserve">Care in the </w:t>
      </w:r>
      <w:r w:rsidR="00902DC8" w:rsidRPr="00C32FB0">
        <w:rPr>
          <w:rFonts w:ascii="Arial" w:hAnsi="Arial" w:cs="Arial"/>
        </w:rPr>
        <w:t xml:space="preserve">admitted or non-admitted setting (excluding the community setting) </w:t>
      </w:r>
      <w:r w:rsidRPr="00C32FB0">
        <w:rPr>
          <w:rFonts w:ascii="Arial" w:hAnsi="Arial" w:cs="Arial"/>
        </w:rPr>
        <w:t>of more than</w:t>
      </w:r>
      <w:r w:rsidR="00902DC8" w:rsidRPr="00C32FB0">
        <w:rPr>
          <w:rFonts w:ascii="Arial" w:hAnsi="Arial" w:cs="Arial"/>
        </w:rPr>
        <w:t xml:space="preserve"> 365 days</w:t>
      </w:r>
      <w:r w:rsidRPr="00C32FB0">
        <w:rPr>
          <w:rFonts w:ascii="Arial" w:hAnsi="Arial" w:cs="Arial"/>
        </w:rPr>
        <w:t xml:space="preserve"> is</w:t>
      </w:r>
      <w:r w:rsidR="00902DC8" w:rsidRPr="00C32FB0">
        <w:rPr>
          <w:rFonts w:ascii="Arial" w:hAnsi="Arial" w:cs="Arial"/>
        </w:rPr>
        <w:t xml:space="preserve"> considered ‘long term’ and is funded under the </w:t>
      </w:r>
      <w:r w:rsidR="00902DC8" w:rsidRPr="00C32FB0">
        <w:rPr>
          <w:rFonts w:ascii="Arial" w:hAnsi="Arial" w:cs="Arial"/>
          <w:bCs/>
        </w:rPr>
        <w:t>Exceptio</w:t>
      </w:r>
      <w:r w:rsidRPr="00C32FB0">
        <w:rPr>
          <w:rFonts w:ascii="Arial" w:hAnsi="Arial" w:cs="Arial"/>
          <w:bCs/>
        </w:rPr>
        <w:t xml:space="preserve">nal Medical Expenses Act (AWBZ) </w:t>
      </w:r>
      <w:r w:rsidRPr="00C32FB0">
        <w:rPr>
          <w:rFonts w:ascii="Arial" w:hAnsi="Arial" w:cs="Arial"/>
        </w:rPr>
        <w:t xml:space="preserve">based on a care intensity package which takes into account </w:t>
      </w:r>
      <w:r w:rsidR="0014011D" w:rsidRPr="00C32FB0">
        <w:rPr>
          <w:rFonts w:ascii="Arial" w:hAnsi="Arial" w:cs="Arial"/>
        </w:rPr>
        <w:t>consumer</w:t>
      </w:r>
      <w:r w:rsidRPr="00C32FB0">
        <w:rPr>
          <w:rFonts w:ascii="Arial" w:hAnsi="Arial" w:cs="Arial"/>
        </w:rPr>
        <w:t xml:space="preserve"> profile, function/ </w:t>
      </w:r>
      <w:r w:rsidR="00902DC8" w:rsidRPr="00C32FB0">
        <w:rPr>
          <w:rFonts w:ascii="Arial" w:hAnsi="Arial" w:cs="Arial"/>
        </w:rPr>
        <w:t xml:space="preserve">weekly </w:t>
      </w:r>
      <w:r w:rsidR="0014011D" w:rsidRPr="00C32FB0">
        <w:rPr>
          <w:rFonts w:ascii="Arial" w:hAnsi="Arial" w:cs="Arial"/>
        </w:rPr>
        <w:t>consumer</w:t>
      </w:r>
      <w:r w:rsidR="00902DC8" w:rsidRPr="00C32FB0">
        <w:rPr>
          <w:rFonts w:ascii="Arial" w:hAnsi="Arial" w:cs="Arial"/>
        </w:rPr>
        <w:t xml:space="preserve"> hours and care setting characteristics.</w:t>
      </w:r>
    </w:p>
    <w:p w:rsidR="00902DC8" w:rsidRPr="00C32FB0" w:rsidRDefault="00BD4E82" w:rsidP="00902DC8">
      <w:pPr>
        <w:rPr>
          <w:rFonts w:ascii="Arial" w:hAnsi="Arial" w:cs="Arial"/>
        </w:rPr>
      </w:pPr>
      <w:r w:rsidRPr="00C32FB0">
        <w:rPr>
          <w:rFonts w:ascii="Arial" w:hAnsi="Arial" w:cs="Arial"/>
        </w:rPr>
        <w:t xml:space="preserve">In the </w:t>
      </w:r>
      <w:r w:rsidRPr="00C32FB0">
        <w:rPr>
          <w:rStyle w:val="Strong"/>
          <w:rFonts w:ascii="Arial" w:hAnsi="Arial" w:cs="Arial"/>
        </w:rPr>
        <w:t>United States</w:t>
      </w:r>
      <w:r w:rsidRPr="00C32FB0">
        <w:rPr>
          <w:rFonts w:ascii="Arial" w:hAnsi="Arial" w:cs="Arial"/>
        </w:rPr>
        <w:t xml:space="preserve">, </w:t>
      </w:r>
      <w:r w:rsidR="000F409D" w:rsidRPr="00C32FB0">
        <w:rPr>
          <w:rFonts w:ascii="Arial" w:hAnsi="Arial" w:cs="Arial"/>
        </w:rPr>
        <w:t xml:space="preserve">federally funded </w:t>
      </w:r>
      <w:r w:rsidRPr="00C32FB0">
        <w:rPr>
          <w:rFonts w:ascii="Arial" w:hAnsi="Arial" w:cs="Arial"/>
        </w:rPr>
        <w:t>p</w:t>
      </w:r>
      <w:r w:rsidR="00902DC8" w:rsidRPr="00C32FB0">
        <w:rPr>
          <w:rFonts w:ascii="Arial" w:hAnsi="Arial" w:cs="Arial"/>
        </w:rPr>
        <w:t xml:space="preserve">roviders are paid prospectively </w:t>
      </w:r>
      <w:r w:rsidRPr="00C32FB0">
        <w:rPr>
          <w:rFonts w:ascii="Arial" w:hAnsi="Arial" w:cs="Arial"/>
        </w:rPr>
        <w:t xml:space="preserve">using a Prospective Payment System (PPS), with treatments and procedures </w:t>
      </w:r>
      <w:r w:rsidR="00902DC8" w:rsidRPr="00C32FB0">
        <w:rPr>
          <w:rFonts w:ascii="Arial" w:hAnsi="Arial" w:cs="Arial"/>
        </w:rPr>
        <w:t xml:space="preserve">defined by the </w:t>
      </w:r>
      <w:r w:rsidRPr="00C32FB0">
        <w:rPr>
          <w:rFonts w:ascii="Arial" w:hAnsi="Arial" w:cs="Arial"/>
        </w:rPr>
        <w:t>D</w:t>
      </w:r>
      <w:r w:rsidR="0062148A" w:rsidRPr="00C32FB0">
        <w:rPr>
          <w:rFonts w:ascii="Arial" w:hAnsi="Arial" w:cs="Arial"/>
        </w:rPr>
        <w:t>iagnosis Related Groups (D</w:t>
      </w:r>
      <w:r w:rsidRPr="00C32FB0">
        <w:rPr>
          <w:rFonts w:ascii="Arial" w:hAnsi="Arial" w:cs="Arial"/>
        </w:rPr>
        <w:t>RG</w:t>
      </w:r>
      <w:r w:rsidR="0062148A" w:rsidRPr="00C32FB0">
        <w:rPr>
          <w:rFonts w:ascii="Arial" w:hAnsi="Arial" w:cs="Arial"/>
        </w:rPr>
        <w:t>)</w:t>
      </w:r>
      <w:r w:rsidR="00902DC8" w:rsidRPr="00C32FB0">
        <w:rPr>
          <w:rFonts w:ascii="Arial" w:hAnsi="Arial" w:cs="Arial"/>
        </w:rPr>
        <w:t xml:space="preserve"> classification. </w:t>
      </w:r>
      <w:r w:rsidRPr="00C32FB0">
        <w:rPr>
          <w:rFonts w:ascii="Arial" w:hAnsi="Arial" w:cs="Arial"/>
        </w:rPr>
        <w:t xml:space="preserve">PPS was implemented in </w:t>
      </w:r>
      <w:r w:rsidR="00FB5C1E" w:rsidRPr="00C32FB0">
        <w:rPr>
          <w:rFonts w:ascii="Arial" w:hAnsi="Arial" w:cs="Arial"/>
        </w:rPr>
        <w:t>admitted</w:t>
      </w:r>
      <w:r w:rsidR="00902DC8" w:rsidRPr="00C32FB0">
        <w:rPr>
          <w:rFonts w:ascii="Arial" w:hAnsi="Arial" w:cs="Arial"/>
        </w:rPr>
        <w:t xml:space="preserve"> psychiatric facilities </w:t>
      </w:r>
      <w:r w:rsidRPr="00C32FB0">
        <w:rPr>
          <w:rFonts w:ascii="Arial" w:hAnsi="Arial" w:cs="Arial"/>
        </w:rPr>
        <w:t xml:space="preserve">in 2004 with a </w:t>
      </w:r>
      <w:r w:rsidR="00902DC8" w:rsidRPr="00C32FB0">
        <w:rPr>
          <w:rFonts w:ascii="Arial" w:hAnsi="Arial" w:cs="Arial"/>
        </w:rPr>
        <w:t xml:space="preserve">base rate of payment for patient days on the basis of a standard per diem rate. There are then </w:t>
      </w:r>
      <w:r w:rsidR="0014011D" w:rsidRPr="00C32FB0">
        <w:rPr>
          <w:rFonts w:ascii="Arial" w:hAnsi="Arial" w:cs="Arial"/>
        </w:rPr>
        <w:t>consumer</w:t>
      </w:r>
      <w:r w:rsidR="00902DC8" w:rsidRPr="00C32FB0">
        <w:rPr>
          <w:rFonts w:ascii="Arial" w:hAnsi="Arial" w:cs="Arial"/>
        </w:rPr>
        <w:t xml:space="preserve">- and facility-level adjustments applied on the basis that there are certain </w:t>
      </w:r>
      <w:r w:rsidR="0014011D" w:rsidRPr="00C32FB0">
        <w:rPr>
          <w:rFonts w:ascii="Arial" w:hAnsi="Arial" w:cs="Arial"/>
        </w:rPr>
        <w:t>consumer</w:t>
      </w:r>
      <w:r w:rsidR="00902DC8" w:rsidRPr="00C32FB0">
        <w:rPr>
          <w:rFonts w:ascii="Arial" w:hAnsi="Arial" w:cs="Arial"/>
        </w:rPr>
        <w:t xml:space="preserve"> and facility factors that impact o</w:t>
      </w:r>
      <w:r w:rsidRPr="00C32FB0">
        <w:rPr>
          <w:rFonts w:ascii="Arial" w:hAnsi="Arial" w:cs="Arial"/>
        </w:rPr>
        <w:t>n the cost of service delivery, including</w:t>
      </w:r>
      <w:r w:rsidR="00902DC8" w:rsidRPr="00C32FB0">
        <w:rPr>
          <w:rFonts w:ascii="Arial" w:hAnsi="Arial" w:cs="Arial"/>
        </w:rPr>
        <w:t xml:space="preserve"> age, DRG assignment, comorbidities, and variable per diem adjustment</w:t>
      </w:r>
      <w:r w:rsidRPr="00C32FB0">
        <w:rPr>
          <w:rFonts w:ascii="Arial" w:hAnsi="Arial" w:cs="Arial"/>
        </w:rPr>
        <w:t xml:space="preserve">, </w:t>
      </w:r>
      <w:r w:rsidR="00902DC8" w:rsidRPr="00C32FB0">
        <w:rPr>
          <w:rFonts w:ascii="Arial" w:hAnsi="Arial" w:cs="Arial"/>
        </w:rPr>
        <w:t xml:space="preserve">wage index, </w:t>
      </w:r>
      <w:proofErr w:type="spellStart"/>
      <w:r w:rsidR="00902DC8" w:rsidRPr="00C32FB0">
        <w:rPr>
          <w:rFonts w:ascii="Arial" w:hAnsi="Arial" w:cs="Arial"/>
        </w:rPr>
        <w:t>rurality</w:t>
      </w:r>
      <w:proofErr w:type="spellEnd"/>
      <w:r w:rsidR="00902DC8" w:rsidRPr="00C32FB0">
        <w:rPr>
          <w:rFonts w:ascii="Arial" w:hAnsi="Arial" w:cs="Arial"/>
        </w:rPr>
        <w:t>, teaching status, qualifying emergency department, and cost of living for certain states. There are additional policies that impact on the payment including outlier patients, interrupted stays and E</w:t>
      </w:r>
      <w:r w:rsidR="000F409D" w:rsidRPr="00C32FB0">
        <w:rPr>
          <w:rFonts w:ascii="Arial" w:hAnsi="Arial" w:cs="Arial"/>
        </w:rPr>
        <w:t>lectro Convulsive Therapy (E</w:t>
      </w:r>
      <w:r w:rsidR="00902DC8" w:rsidRPr="00C32FB0">
        <w:rPr>
          <w:rFonts w:ascii="Arial" w:hAnsi="Arial" w:cs="Arial"/>
        </w:rPr>
        <w:t>CT</w:t>
      </w:r>
      <w:r w:rsidR="000F409D" w:rsidRPr="00C32FB0">
        <w:rPr>
          <w:rFonts w:ascii="Arial" w:hAnsi="Arial" w:cs="Arial"/>
        </w:rPr>
        <w:t>)</w:t>
      </w:r>
      <w:r w:rsidR="00902DC8" w:rsidRPr="00C32FB0">
        <w:rPr>
          <w:rFonts w:ascii="Arial" w:hAnsi="Arial" w:cs="Arial"/>
        </w:rPr>
        <w:t xml:space="preserve"> treatments.</w:t>
      </w:r>
      <w:r w:rsidR="00A46B6A" w:rsidRPr="00C32FB0">
        <w:rPr>
          <w:rFonts w:ascii="Arial" w:hAnsi="Arial" w:cs="Arial"/>
        </w:rPr>
        <w:t xml:space="preserve"> </w:t>
      </w:r>
      <w:r w:rsidR="00902DC8" w:rsidRPr="00C32FB0">
        <w:rPr>
          <w:rFonts w:ascii="Arial" w:hAnsi="Arial" w:cs="Arial"/>
        </w:rPr>
        <w:t>In addition</w:t>
      </w:r>
      <w:r w:rsidRPr="00C32FB0">
        <w:rPr>
          <w:rFonts w:ascii="Arial" w:hAnsi="Arial" w:cs="Arial"/>
        </w:rPr>
        <w:t xml:space="preserve">, </w:t>
      </w:r>
      <w:r w:rsidR="00902DC8" w:rsidRPr="00C32FB0">
        <w:rPr>
          <w:rFonts w:ascii="Arial" w:hAnsi="Arial" w:cs="Arial"/>
        </w:rPr>
        <w:t>quality measures data is submitted to the Department of Health and Human Services</w:t>
      </w:r>
      <w:r w:rsidRPr="00C32FB0">
        <w:rPr>
          <w:rFonts w:ascii="Arial" w:hAnsi="Arial" w:cs="Arial"/>
        </w:rPr>
        <w:t>, with</w:t>
      </w:r>
      <w:r w:rsidR="00902DC8" w:rsidRPr="00C32FB0">
        <w:rPr>
          <w:rFonts w:ascii="Arial" w:hAnsi="Arial" w:cs="Arial"/>
        </w:rPr>
        <w:t xml:space="preserve"> failure to submit data </w:t>
      </w:r>
      <w:r w:rsidR="00A7075A" w:rsidRPr="00C32FB0">
        <w:rPr>
          <w:rFonts w:ascii="Arial" w:hAnsi="Arial" w:cs="Arial"/>
        </w:rPr>
        <w:t>resulting</w:t>
      </w:r>
      <w:r w:rsidR="00902DC8" w:rsidRPr="00C32FB0">
        <w:rPr>
          <w:rFonts w:ascii="Arial" w:hAnsi="Arial" w:cs="Arial"/>
        </w:rPr>
        <w:t xml:space="preserve"> in a payment reduction.</w:t>
      </w:r>
      <w:r w:rsidR="00902DC8" w:rsidRPr="00C32FB0">
        <w:rPr>
          <w:rStyle w:val="FootnoteReference"/>
          <w:rFonts w:ascii="Arial" w:hAnsi="Arial"/>
        </w:rPr>
        <w:footnoteReference w:id="4"/>
      </w:r>
    </w:p>
    <w:p w:rsidR="000F409D" w:rsidRPr="00C32FB0" w:rsidRDefault="004B5D61" w:rsidP="00902DC8">
      <w:pPr>
        <w:rPr>
          <w:rFonts w:ascii="Arial" w:hAnsi="Arial" w:cs="Arial"/>
        </w:rPr>
      </w:pPr>
      <w:r w:rsidRPr="00C32FB0">
        <w:rPr>
          <w:rFonts w:ascii="Arial" w:hAnsi="Arial" w:cs="Arial"/>
        </w:rPr>
        <w:t>Noting the different health care system structures and data collections and processes, none of these approaches can be directly implemented in Australia. However, there are aspects of each which will be important to consider. For example, the use of existing outcome measures, splits be resource intensity, variation in approach depending on whether the length of stay or care is short, medium or long term, or weighting for particular types of treatment or comorbidities.</w:t>
      </w:r>
    </w:p>
    <w:p w:rsidR="00A748AC" w:rsidRPr="00C32FB0" w:rsidRDefault="00A748AC" w:rsidP="004534FF">
      <w:pPr>
        <w:pStyle w:val="Heading2"/>
        <w:rPr>
          <w:rFonts w:ascii="Arial" w:hAnsi="Arial" w:cs="Arial"/>
        </w:rPr>
      </w:pPr>
      <w:bookmarkStart w:id="17" w:name="_Toc407021933"/>
      <w:r w:rsidRPr="00C32FB0">
        <w:rPr>
          <w:rFonts w:ascii="Arial" w:hAnsi="Arial" w:cs="Arial"/>
        </w:rPr>
        <w:t>Mental Health Classification and Service Costs project</w:t>
      </w:r>
      <w:bookmarkEnd w:id="17"/>
    </w:p>
    <w:p w:rsidR="00A748AC" w:rsidRPr="00C32FB0" w:rsidRDefault="00A748AC" w:rsidP="00A748AC">
      <w:pPr>
        <w:rPr>
          <w:rFonts w:ascii="Arial" w:hAnsi="Arial" w:cs="Arial"/>
        </w:rPr>
      </w:pPr>
      <w:r w:rsidRPr="00C32FB0">
        <w:rPr>
          <w:rFonts w:ascii="Arial" w:hAnsi="Arial" w:cs="Arial"/>
        </w:rPr>
        <w:t xml:space="preserve">Prior to the application of ABF in Australia, over 1995-98, the Commonwealth Department of Health &amp; Family Services funded the </w:t>
      </w:r>
      <w:r w:rsidR="004B5D61" w:rsidRPr="00C32FB0">
        <w:rPr>
          <w:rFonts w:ascii="Arial" w:hAnsi="Arial" w:cs="Arial"/>
        </w:rPr>
        <w:t>MH-CASC project</w:t>
      </w:r>
      <w:r w:rsidRPr="00C32FB0">
        <w:rPr>
          <w:rFonts w:ascii="Arial" w:hAnsi="Arial" w:cs="Arial"/>
        </w:rPr>
        <w:t xml:space="preserve"> under the National Mental Health Strategy. This was a one-off project, with the aim to develop the first version of a national </w:t>
      </w:r>
      <w:proofErr w:type="spellStart"/>
      <w:r w:rsidRPr="00C32FB0">
        <w:rPr>
          <w:rFonts w:ascii="Arial" w:hAnsi="Arial" w:cs="Arial"/>
        </w:rPr>
        <w:t>casemix</w:t>
      </w:r>
      <w:proofErr w:type="spellEnd"/>
      <w:r w:rsidRPr="00C32FB0">
        <w:rPr>
          <w:rFonts w:ascii="Arial" w:hAnsi="Arial" w:cs="Arial"/>
        </w:rPr>
        <w:t xml:space="preserve"> classification, with associated cost weights, for specialist mental health services. The developers found that:</w:t>
      </w:r>
    </w:p>
    <w:p w:rsidR="00A748AC" w:rsidRPr="00C32FB0" w:rsidRDefault="00A748AC" w:rsidP="005C7F41">
      <w:pPr>
        <w:pStyle w:val="Quote"/>
        <w:ind w:left="720"/>
        <w:rPr>
          <w:rFonts w:ascii="Arial" w:hAnsi="Arial" w:cs="Arial"/>
        </w:rPr>
      </w:pPr>
      <w:r w:rsidRPr="00C32FB0">
        <w:rPr>
          <w:rFonts w:ascii="Arial" w:hAnsi="Arial" w:cs="Arial"/>
        </w:rPr>
        <w:t xml:space="preserve">“…there is an underlying episode classification, not just in inpatient services but also in community mental health care. The level of service provided to patients does in fact bear a clinically and statistically logical relationship to the patient’s clinical status. However, the relationship between clinical factors and cost is often confounded by variations in the practice of different providers. Some of these provider factors may </w:t>
      </w:r>
      <w:r w:rsidRPr="00C32FB0">
        <w:rPr>
          <w:rFonts w:ascii="Arial" w:hAnsi="Arial" w:cs="Arial"/>
        </w:rPr>
        <w:lastRenderedPageBreak/>
        <w:t>be structural or financial, and others may be under the control of individual clinicians. Further work is required disentangle these factors.”</w:t>
      </w:r>
      <w:r w:rsidR="005C7F41" w:rsidRPr="00C32FB0">
        <w:rPr>
          <w:rStyle w:val="FootnoteReference"/>
          <w:rFonts w:ascii="Arial" w:hAnsi="Arial"/>
        </w:rPr>
        <w:footnoteReference w:id="5"/>
      </w:r>
    </w:p>
    <w:p w:rsidR="00A748AC" w:rsidRPr="00C32FB0" w:rsidRDefault="00A748AC" w:rsidP="00A748AC">
      <w:pPr>
        <w:rPr>
          <w:rFonts w:ascii="Arial" w:hAnsi="Arial" w:cs="Arial"/>
        </w:rPr>
      </w:pPr>
      <w:r w:rsidRPr="00C32FB0">
        <w:rPr>
          <w:rFonts w:ascii="Arial" w:hAnsi="Arial" w:cs="Arial"/>
        </w:rPr>
        <w:t xml:space="preserve">The developers recommended a </w:t>
      </w:r>
      <w:proofErr w:type="spellStart"/>
      <w:r w:rsidRPr="00C32FB0">
        <w:rPr>
          <w:rFonts w:ascii="Arial" w:hAnsi="Arial" w:cs="Arial"/>
        </w:rPr>
        <w:t>casemix</w:t>
      </w:r>
      <w:proofErr w:type="spellEnd"/>
      <w:r w:rsidRPr="00C32FB0">
        <w:rPr>
          <w:rFonts w:ascii="Arial" w:hAnsi="Arial" w:cs="Arial"/>
        </w:rPr>
        <w:t xml:space="preserve"> model across </w:t>
      </w:r>
      <w:r w:rsidR="00FB5C1E" w:rsidRPr="00C32FB0">
        <w:rPr>
          <w:rFonts w:ascii="Arial" w:hAnsi="Arial" w:cs="Arial"/>
        </w:rPr>
        <w:t>admitted</w:t>
      </w:r>
      <w:r w:rsidRPr="00C32FB0">
        <w:rPr>
          <w:rFonts w:ascii="Arial" w:hAnsi="Arial" w:cs="Arial"/>
        </w:rPr>
        <w:t xml:space="preserve"> and community mental health episodes, based on 42 patient classes, as </w:t>
      </w:r>
      <w:r w:rsidR="004534FF" w:rsidRPr="00C32FB0">
        <w:rPr>
          <w:rFonts w:ascii="Arial" w:hAnsi="Arial" w:cs="Arial"/>
        </w:rPr>
        <w:t xml:space="preserve">set out at </w:t>
      </w:r>
      <w:r w:rsidR="004534FF" w:rsidRPr="00C32FB0">
        <w:rPr>
          <w:rFonts w:ascii="Arial" w:hAnsi="Arial" w:cs="Arial"/>
        </w:rPr>
        <w:fldChar w:fldCharType="begin"/>
      </w:r>
      <w:r w:rsidR="004534FF" w:rsidRPr="00C32FB0">
        <w:rPr>
          <w:rFonts w:ascii="Arial" w:hAnsi="Arial" w:cs="Arial"/>
        </w:rPr>
        <w:instrText xml:space="preserve"> REF _Ref405366320 \h </w:instrText>
      </w:r>
      <w:r w:rsidR="00C94E8D" w:rsidRPr="00C32FB0">
        <w:rPr>
          <w:rFonts w:ascii="Arial" w:hAnsi="Arial" w:cs="Arial"/>
        </w:rPr>
        <w:instrText xml:space="preserve"> \* MERGEFORMAT </w:instrText>
      </w:r>
      <w:r w:rsidR="004534FF" w:rsidRPr="00C32FB0">
        <w:rPr>
          <w:rFonts w:ascii="Arial" w:hAnsi="Arial" w:cs="Arial"/>
        </w:rPr>
      </w:r>
      <w:r w:rsidR="004534FF" w:rsidRPr="00C32FB0">
        <w:rPr>
          <w:rFonts w:ascii="Arial" w:hAnsi="Arial" w:cs="Arial"/>
        </w:rPr>
        <w:fldChar w:fldCharType="separate"/>
      </w:r>
      <w:r w:rsidR="007D074E" w:rsidRPr="00C32FB0">
        <w:rPr>
          <w:rFonts w:ascii="Arial" w:hAnsi="Arial" w:cs="Arial"/>
        </w:rPr>
        <w:t xml:space="preserve">Figure </w:t>
      </w:r>
      <w:r w:rsidR="007D074E">
        <w:rPr>
          <w:rFonts w:ascii="Arial" w:hAnsi="Arial" w:cs="Arial"/>
          <w:noProof/>
        </w:rPr>
        <w:t>1</w:t>
      </w:r>
      <w:r w:rsidR="004534FF" w:rsidRPr="00C32FB0">
        <w:rPr>
          <w:rFonts w:ascii="Arial" w:hAnsi="Arial" w:cs="Arial"/>
        </w:rPr>
        <w:fldChar w:fldCharType="end"/>
      </w:r>
      <w:r w:rsidRPr="00C32FB0">
        <w:rPr>
          <w:rFonts w:ascii="Arial" w:hAnsi="Arial" w:cs="Arial"/>
        </w:rPr>
        <w:t xml:space="preserve">. They acknowledged that this should be considered as </w:t>
      </w:r>
      <w:r w:rsidR="0007223A" w:rsidRPr="00C32FB0">
        <w:rPr>
          <w:rFonts w:ascii="Arial" w:hAnsi="Arial" w:cs="Arial"/>
        </w:rPr>
        <w:t>‘version 1.0’</w:t>
      </w:r>
      <w:r w:rsidRPr="00C32FB0">
        <w:rPr>
          <w:rFonts w:ascii="Arial" w:hAnsi="Arial" w:cs="Arial"/>
        </w:rPr>
        <w:t>, which considerable ongoing refinement required.</w:t>
      </w:r>
    </w:p>
    <w:p w:rsidR="004534FF" w:rsidRPr="00C32FB0" w:rsidRDefault="004534FF" w:rsidP="004534FF">
      <w:pPr>
        <w:pStyle w:val="Caption"/>
        <w:keepNext/>
        <w:rPr>
          <w:rFonts w:ascii="Arial" w:hAnsi="Arial" w:cs="Arial"/>
        </w:rPr>
      </w:pPr>
      <w:bookmarkStart w:id="18" w:name="_Ref405366320"/>
      <w:r w:rsidRPr="00C32FB0">
        <w:rPr>
          <w:rFonts w:ascii="Arial" w:hAnsi="Arial" w:cs="Arial"/>
        </w:rPr>
        <w:t xml:space="preserve">Figure </w:t>
      </w:r>
      <w:r w:rsidRPr="00C32FB0">
        <w:rPr>
          <w:rFonts w:ascii="Arial" w:hAnsi="Arial" w:cs="Arial"/>
        </w:rPr>
        <w:fldChar w:fldCharType="begin"/>
      </w:r>
      <w:r w:rsidRPr="00C32FB0">
        <w:rPr>
          <w:rFonts w:ascii="Arial" w:hAnsi="Arial" w:cs="Arial"/>
        </w:rPr>
        <w:instrText xml:space="preserve"> SEQ Figure \* ARABIC </w:instrText>
      </w:r>
      <w:r w:rsidRPr="00C32FB0">
        <w:rPr>
          <w:rFonts w:ascii="Arial" w:hAnsi="Arial" w:cs="Arial"/>
        </w:rPr>
        <w:fldChar w:fldCharType="separate"/>
      </w:r>
      <w:r w:rsidR="007D074E">
        <w:rPr>
          <w:rFonts w:ascii="Arial" w:hAnsi="Arial" w:cs="Arial"/>
          <w:noProof/>
        </w:rPr>
        <w:t>1</w:t>
      </w:r>
      <w:r w:rsidRPr="00C32FB0">
        <w:rPr>
          <w:rFonts w:ascii="Arial" w:hAnsi="Arial" w:cs="Arial"/>
        </w:rPr>
        <w:fldChar w:fldCharType="end"/>
      </w:r>
      <w:bookmarkEnd w:id="18"/>
      <w:r w:rsidRPr="00C32FB0">
        <w:rPr>
          <w:rFonts w:ascii="Arial" w:hAnsi="Arial" w:cs="Arial"/>
        </w:rPr>
        <w:t>: Summary of MH-CASC setting-specific classification</w:t>
      </w:r>
      <w:r w:rsidRPr="00C32FB0">
        <w:rPr>
          <w:rStyle w:val="FootnoteReference"/>
          <w:rFonts w:ascii="Arial" w:hAnsi="Arial"/>
        </w:rPr>
        <w:footnoteReference w:id="6"/>
      </w:r>
    </w:p>
    <w:p w:rsidR="00A748AC" w:rsidRPr="00C32FB0" w:rsidRDefault="00A748AC" w:rsidP="00A748AC">
      <w:pPr>
        <w:pStyle w:val="Caption"/>
        <w:rPr>
          <w:rFonts w:ascii="Arial" w:hAnsi="Arial" w:cs="Arial"/>
        </w:rPr>
      </w:pPr>
      <w:r w:rsidRPr="00C32FB0">
        <w:rPr>
          <w:rFonts w:ascii="Arial" w:hAnsi="Arial" w:cs="Arial"/>
          <w:noProof/>
          <w:lang w:eastAsia="en-AU"/>
        </w:rPr>
        <w:drawing>
          <wp:inline distT="0" distB="0" distL="0" distR="0" wp14:anchorId="45A7DFED" wp14:editId="544663DC">
            <wp:extent cx="5718696" cy="3562597"/>
            <wp:effectExtent l="0" t="0" r="0" b="0"/>
            <wp:docPr id="6" name="Picture 6" descr="Figure 1 is a flow chart on the 42 classes under the proposed classifications.&#10;Of these, separating into 2 levels 23 classes are inpatient episodes (representing 79.8% of total expenditure) and 19 classes are community episodes (representing 20.2% of total expenditure).&#10;The five branches of the tree are based on the setting-specific episode types, each of which ultimately split into end classes on the basis of the indicated patient 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diagram is described in the text."/>
                    <pic:cNvPicPr>
                      <a:picLocks noChangeAspect="1" noChangeArrowheads="1"/>
                    </pic:cNvPicPr>
                  </pic:nvPicPr>
                  <pic:blipFill rotWithShape="1">
                    <a:blip r:embed="rId17">
                      <a:extLst>
                        <a:ext uri="{28A0092B-C50C-407E-A947-70E740481C1C}">
                          <a14:useLocalDpi xmlns:a14="http://schemas.microsoft.com/office/drawing/2010/main" val="0"/>
                        </a:ext>
                      </a:extLst>
                    </a:blip>
                    <a:srcRect b="-3093"/>
                    <a:stretch/>
                  </pic:blipFill>
                  <pic:spPr bwMode="auto">
                    <a:xfrm>
                      <a:off x="0" y="0"/>
                      <a:ext cx="5720715" cy="3563855"/>
                    </a:xfrm>
                    <a:prstGeom prst="rect">
                      <a:avLst/>
                    </a:prstGeom>
                    <a:noFill/>
                    <a:ln>
                      <a:noFill/>
                    </a:ln>
                    <a:extLst>
                      <a:ext uri="{53640926-AAD7-44D8-BBD7-CCE9431645EC}">
                        <a14:shadowObscured xmlns:a14="http://schemas.microsoft.com/office/drawing/2010/main"/>
                      </a:ext>
                    </a:extLst>
                  </pic:spPr>
                </pic:pic>
              </a:graphicData>
            </a:graphic>
          </wp:inline>
        </w:drawing>
      </w:r>
    </w:p>
    <w:p w:rsidR="00A748AC" w:rsidRPr="00C32FB0" w:rsidRDefault="00A748AC" w:rsidP="00A748AC">
      <w:pPr>
        <w:rPr>
          <w:rFonts w:ascii="Arial" w:hAnsi="Arial" w:cs="Arial"/>
        </w:rPr>
      </w:pPr>
      <w:r w:rsidRPr="00C32FB0">
        <w:rPr>
          <w:rFonts w:ascii="Arial" w:hAnsi="Arial" w:cs="Arial"/>
        </w:rPr>
        <w:t xml:space="preserve">The developers found that explanation of variation in the community is more difficult, probably because of the more complex care provided, and </w:t>
      </w:r>
      <w:r w:rsidR="00234246" w:rsidRPr="00C32FB0">
        <w:rPr>
          <w:rFonts w:ascii="Arial" w:hAnsi="Arial" w:cs="Arial"/>
        </w:rPr>
        <w:t>f</w:t>
      </w:r>
      <w:r w:rsidRPr="00C32FB0">
        <w:rPr>
          <w:rFonts w:ascii="Arial" w:hAnsi="Arial" w:cs="Arial"/>
        </w:rPr>
        <w:t>ewer controls on care.</w:t>
      </w:r>
      <w:r w:rsidRPr="00C32FB0">
        <w:rPr>
          <w:rStyle w:val="FootnoteReference"/>
          <w:rFonts w:ascii="Arial" w:hAnsi="Arial"/>
        </w:rPr>
        <w:footnoteReference w:id="7"/>
      </w:r>
    </w:p>
    <w:p w:rsidR="00A748AC" w:rsidRPr="00C32FB0" w:rsidRDefault="00A748AC" w:rsidP="00A748AC">
      <w:pPr>
        <w:rPr>
          <w:rFonts w:ascii="Arial" w:hAnsi="Arial" w:cs="Arial"/>
          <w:lang w:eastAsia="en-AU"/>
        </w:rPr>
      </w:pPr>
      <w:r w:rsidRPr="00C32FB0">
        <w:rPr>
          <w:rFonts w:ascii="Arial" w:hAnsi="Arial" w:cs="Arial"/>
          <w:lang w:eastAsia="en-AU"/>
        </w:rPr>
        <w:t xml:space="preserve">While MH-CASC was not progressed to national roll out, it remains the </w:t>
      </w:r>
      <w:r w:rsidR="00F9257D" w:rsidRPr="00C32FB0">
        <w:rPr>
          <w:rFonts w:ascii="Arial" w:hAnsi="Arial" w:cs="Arial"/>
          <w:lang w:eastAsia="en-AU"/>
        </w:rPr>
        <w:t>most c</w:t>
      </w:r>
      <w:r w:rsidRPr="00C32FB0">
        <w:rPr>
          <w:rFonts w:ascii="Arial" w:hAnsi="Arial" w:cs="Arial"/>
          <w:lang w:eastAsia="en-AU"/>
        </w:rPr>
        <w:t xml:space="preserve">omprehensive attempt to date to classify mental health services in Australia, and has </w:t>
      </w:r>
      <w:r w:rsidR="0007223A" w:rsidRPr="00C32FB0">
        <w:rPr>
          <w:rFonts w:ascii="Arial" w:hAnsi="Arial" w:cs="Arial"/>
          <w:lang w:eastAsia="en-AU"/>
        </w:rPr>
        <w:t>been a reference point for UQ’s initial work to support the development of the AMHCC</w:t>
      </w:r>
      <w:r w:rsidRPr="00C32FB0">
        <w:rPr>
          <w:rFonts w:ascii="Arial" w:hAnsi="Arial" w:cs="Arial"/>
          <w:lang w:eastAsia="en-AU"/>
        </w:rPr>
        <w:t>.</w:t>
      </w:r>
    </w:p>
    <w:p w:rsidR="004534FF" w:rsidRPr="00C32FB0" w:rsidRDefault="004534FF" w:rsidP="004534FF">
      <w:pPr>
        <w:pStyle w:val="Heading2"/>
        <w:rPr>
          <w:rFonts w:ascii="Arial" w:hAnsi="Arial" w:cs="Arial"/>
          <w:lang w:val="en-US" w:eastAsia="ja-JP"/>
        </w:rPr>
      </w:pPr>
      <w:bookmarkStart w:id="19" w:name="_Toc407021934"/>
      <w:r w:rsidRPr="00C32FB0">
        <w:rPr>
          <w:rFonts w:ascii="Arial" w:hAnsi="Arial" w:cs="Arial"/>
          <w:lang w:val="en-US" w:eastAsia="ja-JP"/>
        </w:rPr>
        <w:t>Other considerations in the Australian system</w:t>
      </w:r>
      <w:bookmarkEnd w:id="19"/>
    </w:p>
    <w:p w:rsidR="00EA775D" w:rsidRPr="00C32FB0" w:rsidRDefault="00EA775D" w:rsidP="00EA775D">
      <w:pPr>
        <w:pStyle w:val="Heading3"/>
        <w:rPr>
          <w:rFonts w:ascii="Arial" w:hAnsi="Arial" w:cs="Arial"/>
        </w:rPr>
      </w:pPr>
      <w:r>
        <w:rPr>
          <w:rFonts w:ascii="Arial" w:hAnsi="Arial" w:cs="Arial"/>
        </w:rPr>
        <w:t>National Mental Health Plan</w:t>
      </w:r>
    </w:p>
    <w:p w:rsidR="00E41A0A" w:rsidRDefault="00E41A0A" w:rsidP="00EA775D">
      <w:pPr>
        <w:rPr>
          <w:rFonts w:ascii="Arial" w:hAnsi="Arial" w:cs="Arial"/>
        </w:rPr>
      </w:pPr>
      <w:r>
        <w:rPr>
          <w:rFonts w:ascii="Arial" w:hAnsi="Arial" w:cs="Arial"/>
        </w:rPr>
        <w:t xml:space="preserve">The </w:t>
      </w:r>
      <w:hyperlink r:id="rId18" w:history="1">
        <w:r w:rsidRPr="007C426F">
          <w:rPr>
            <w:rStyle w:val="Hyperlink"/>
            <w:rFonts w:ascii="Arial" w:hAnsi="Arial" w:cs="Arial"/>
            <w:i/>
          </w:rPr>
          <w:t xml:space="preserve">Fourth National Mental Health </w:t>
        </w:r>
        <w:r w:rsidR="00F80541" w:rsidRPr="007C426F">
          <w:rPr>
            <w:rStyle w:val="Hyperlink"/>
            <w:rFonts w:ascii="Arial" w:hAnsi="Arial" w:cs="Arial"/>
            <w:i/>
          </w:rPr>
          <w:t>Plan</w:t>
        </w:r>
      </w:hyperlink>
      <w:r w:rsidR="00F80541">
        <w:rPr>
          <w:rStyle w:val="FootnoteReference"/>
        </w:rPr>
        <w:footnoteReference w:id="8"/>
      </w:r>
      <w:r w:rsidR="00F80541">
        <w:rPr>
          <w:rFonts w:ascii="Arial" w:hAnsi="Arial" w:cs="Arial"/>
        </w:rPr>
        <w:t xml:space="preserve"> is the most recent publication under the National Mental Health Strategy and</w:t>
      </w:r>
      <w:r>
        <w:rPr>
          <w:rFonts w:ascii="Arial" w:hAnsi="Arial" w:cs="Arial"/>
        </w:rPr>
        <w:t xml:space="preserve"> sets out eight key principles for mental health policy in Australia. The AMHCC should align with these principles:</w:t>
      </w:r>
    </w:p>
    <w:p w:rsidR="00E41A0A" w:rsidRPr="00E41A0A" w:rsidRDefault="00E41A0A" w:rsidP="00E41A0A">
      <w:pPr>
        <w:pStyle w:val="ListBullet2"/>
      </w:pPr>
      <w:r w:rsidRPr="00E41A0A">
        <w:lastRenderedPageBreak/>
        <w:t>respect for the rights and needs of consumers, carers and families</w:t>
      </w:r>
    </w:p>
    <w:p w:rsidR="00E41A0A" w:rsidRPr="00E41A0A" w:rsidRDefault="00E41A0A" w:rsidP="00E41A0A">
      <w:pPr>
        <w:pStyle w:val="ListBullet2"/>
      </w:pPr>
      <w:r w:rsidRPr="00E41A0A">
        <w:t>services delivered with a commitment to a recovery approach</w:t>
      </w:r>
    </w:p>
    <w:p w:rsidR="00E41A0A" w:rsidRPr="00E41A0A" w:rsidRDefault="00E41A0A" w:rsidP="00E41A0A">
      <w:pPr>
        <w:pStyle w:val="ListBullet2"/>
      </w:pPr>
      <w:r w:rsidRPr="00E41A0A">
        <w:t>social inclusion</w:t>
      </w:r>
    </w:p>
    <w:p w:rsidR="00E41A0A" w:rsidRPr="00E41A0A" w:rsidRDefault="00E41A0A" w:rsidP="00E41A0A">
      <w:pPr>
        <w:pStyle w:val="ListBullet2"/>
      </w:pPr>
      <w:r w:rsidRPr="00E41A0A">
        <w:t>recognition of social, cultural and geographic diversity and experience</w:t>
      </w:r>
    </w:p>
    <w:p w:rsidR="00E41A0A" w:rsidRPr="00E41A0A" w:rsidRDefault="00E41A0A" w:rsidP="00E41A0A">
      <w:pPr>
        <w:pStyle w:val="ListBullet2"/>
      </w:pPr>
      <w:r w:rsidRPr="00E41A0A">
        <w:t>recognition that the focus of care may be different across the life span</w:t>
      </w:r>
    </w:p>
    <w:p w:rsidR="00E41A0A" w:rsidRPr="00E41A0A" w:rsidRDefault="00E41A0A" w:rsidP="00E41A0A">
      <w:pPr>
        <w:pStyle w:val="ListBullet2"/>
      </w:pPr>
      <w:r w:rsidRPr="00E41A0A">
        <w:t>services delivered to support continuity and coordination of care</w:t>
      </w:r>
    </w:p>
    <w:p w:rsidR="00E41A0A" w:rsidRPr="00E41A0A" w:rsidRDefault="00E41A0A" w:rsidP="00E41A0A">
      <w:pPr>
        <w:pStyle w:val="ListBullet2"/>
      </w:pPr>
      <w:r w:rsidRPr="00E41A0A">
        <w:t>service equity across areas, communities and age groups</w:t>
      </w:r>
    </w:p>
    <w:p w:rsidR="00E41A0A" w:rsidRPr="00C32FB0" w:rsidRDefault="00E41A0A" w:rsidP="00E41A0A">
      <w:pPr>
        <w:pStyle w:val="ListBullet2"/>
      </w:pPr>
      <w:proofErr w:type="gramStart"/>
      <w:r w:rsidRPr="00E41A0A">
        <w:t>consideration</w:t>
      </w:r>
      <w:proofErr w:type="gramEnd"/>
      <w:r w:rsidRPr="00E41A0A">
        <w:t xml:space="preserve"> of the spectrum of mental health, mental health problems and mental illness</w:t>
      </w:r>
      <w:r w:rsidR="00F80541">
        <w:t>.</w:t>
      </w:r>
    </w:p>
    <w:p w:rsidR="00902DC8" w:rsidRPr="00C32FB0" w:rsidRDefault="00902DC8" w:rsidP="000D2E7E">
      <w:pPr>
        <w:pStyle w:val="Heading3"/>
        <w:rPr>
          <w:rFonts w:ascii="Arial" w:hAnsi="Arial" w:cs="Arial"/>
        </w:rPr>
      </w:pPr>
      <w:r w:rsidRPr="00C32FB0">
        <w:rPr>
          <w:rFonts w:ascii="Arial" w:hAnsi="Arial" w:cs="Arial"/>
        </w:rPr>
        <w:t>National Mental Health Service Planning Framework</w:t>
      </w:r>
    </w:p>
    <w:p w:rsidR="00902DC8" w:rsidRPr="00C32FB0" w:rsidRDefault="00902DC8" w:rsidP="00902DC8">
      <w:pPr>
        <w:rPr>
          <w:rFonts w:ascii="Arial" w:hAnsi="Arial" w:cs="Arial"/>
        </w:rPr>
      </w:pPr>
      <w:r w:rsidRPr="00C32FB0">
        <w:rPr>
          <w:rFonts w:ascii="Arial" w:hAnsi="Arial" w:cs="Arial"/>
        </w:rPr>
        <w:t>In 2011, the Commonwealth Government contracted the NSW Ministry of Health to develop a population-based National Mental Health Service Planning Framework (NMHSPF) based on modelling with epidemiological data, to improve strategic and coordinated approaches to mental health planning and service delivery.</w:t>
      </w:r>
    </w:p>
    <w:p w:rsidR="0007223A" w:rsidRPr="00C32FB0" w:rsidRDefault="0007223A" w:rsidP="0007223A">
      <w:pPr>
        <w:rPr>
          <w:rFonts w:ascii="Arial" w:hAnsi="Arial" w:cs="Arial"/>
        </w:rPr>
      </w:pPr>
      <w:r w:rsidRPr="00C32FB0">
        <w:rPr>
          <w:rFonts w:ascii="Arial" w:hAnsi="Arial" w:cs="Arial"/>
        </w:rPr>
        <w:t>It is important to note that the NMHSPF is a planning tool designed to describe what “should be”. A classification system provides a consistent method of classifying patients, their treatment and associated costs. The role of the AMHCC will be to reflect the services that are provided, rather than drive service design. However, it will be important to ensure that, consistent with the design principles, the new classification is designed in such a way that it can improve over time, for example, to reflect new practices, new models of care or improved knowledge about cost drivers.</w:t>
      </w:r>
    </w:p>
    <w:p w:rsidR="00326B67" w:rsidRPr="00C32FB0" w:rsidRDefault="00F9257D" w:rsidP="00902DC8">
      <w:pPr>
        <w:rPr>
          <w:rFonts w:ascii="Arial" w:hAnsi="Arial" w:cs="Arial"/>
        </w:rPr>
      </w:pPr>
      <w:r w:rsidRPr="00C32FB0">
        <w:rPr>
          <w:rFonts w:ascii="Arial" w:hAnsi="Arial" w:cs="Arial"/>
        </w:rPr>
        <w:t>While t</w:t>
      </w:r>
      <w:r w:rsidR="00902DC8" w:rsidRPr="00C32FB0">
        <w:rPr>
          <w:rFonts w:ascii="Arial" w:hAnsi="Arial" w:cs="Arial"/>
        </w:rPr>
        <w:t>he NMHSPF</w:t>
      </w:r>
      <w:r w:rsidRPr="00C32FB0">
        <w:rPr>
          <w:rFonts w:ascii="Arial" w:hAnsi="Arial" w:cs="Arial"/>
        </w:rPr>
        <w:t xml:space="preserve"> project is currently ongoing, work-to-date provided in confidence to IHPA </w:t>
      </w:r>
      <w:r w:rsidR="00902DC8" w:rsidRPr="00C32FB0">
        <w:rPr>
          <w:rFonts w:ascii="Arial" w:hAnsi="Arial" w:cs="Arial"/>
        </w:rPr>
        <w:t>will be considered in the</w:t>
      </w:r>
      <w:r w:rsidRPr="00C32FB0">
        <w:rPr>
          <w:rFonts w:ascii="Arial" w:hAnsi="Arial" w:cs="Arial"/>
        </w:rPr>
        <w:t xml:space="preserve"> development of the</w:t>
      </w:r>
      <w:r w:rsidR="00902DC8" w:rsidRPr="00C32FB0">
        <w:rPr>
          <w:rFonts w:ascii="Arial" w:hAnsi="Arial" w:cs="Arial"/>
        </w:rPr>
        <w:t xml:space="preserve"> AMHCC</w:t>
      </w:r>
      <w:r w:rsidR="0007223A" w:rsidRPr="00C32FB0">
        <w:rPr>
          <w:rFonts w:ascii="Arial" w:hAnsi="Arial" w:cs="Arial"/>
        </w:rPr>
        <w:t xml:space="preserve"> to ensure that there is consistency between the two tools</w:t>
      </w:r>
      <w:r w:rsidR="00902DC8" w:rsidRPr="00C32FB0">
        <w:rPr>
          <w:rFonts w:ascii="Arial" w:hAnsi="Arial" w:cs="Arial"/>
        </w:rPr>
        <w:t>.</w:t>
      </w:r>
    </w:p>
    <w:p w:rsidR="00902DC8" w:rsidRPr="00C32FB0" w:rsidRDefault="00902DC8" w:rsidP="000D2E7E">
      <w:pPr>
        <w:pStyle w:val="Heading3"/>
        <w:rPr>
          <w:rFonts w:ascii="Arial" w:hAnsi="Arial" w:cs="Arial"/>
        </w:rPr>
      </w:pPr>
      <w:r w:rsidRPr="00C32FB0">
        <w:rPr>
          <w:rFonts w:ascii="Arial" w:hAnsi="Arial" w:cs="Arial"/>
        </w:rPr>
        <w:t>National Disability Insurance Scheme</w:t>
      </w:r>
    </w:p>
    <w:p w:rsidR="00902DC8" w:rsidRPr="00C32FB0" w:rsidRDefault="0007223A" w:rsidP="00902DC8">
      <w:pPr>
        <w:rPr>
          <w:rFonts w:ascii="Arial" w:hAnsi="Arial" w:cs="Arial"/>
        </w:rPr>
      </w:pPr>
      <w:r w:rsidRPr="00C32FB0">
        <w:rPr>
          <w:rFonts w:ascii="Arial" w:hAnsi="Arial" w:cs="Arial"/>
        </w:rPr>
        <w:t xml:space="preserve">The scope and approach of the National Disability Insurance Scheme (NDIS) will </w:t>
      </w:r>
      <w:r w:rsidR="004534FF" w:rsidRPr="00C32FB0">
        <w:rPr>
          <w:rFonts w:ascii="Arial" w:hAnsi="Arial" w:cs="Arial"/>
        </w:rPr>
        <w:t xml:space="preserve">be </w:t>
      </w:r>
      <w:r w:rsidRPr="00C32FB0">
        <w:rPr>
          <w:rFonts w:ascii="Arial" w:hAnsi="Arial" w:cs="Arial"/>
        </w:rPr>
        <w:t>important considerations in the development of the AMHCC. While the two system</w:t>
      </w:r>
      <w:r w:rsidR="004534FF" w:rsidRPr="00C32FB0">
        <w:rPr>
          <w:rFonts w:ascii="Arial" w:hAnsi="Arial" w:cs="Arial"/>
        </w:rPr>
        <w:t>s are not intended to overlap, some p</w:t>
      </w:r>
      <w:r w:rsidR="00902DC8" w:rsidRPr="00C32FB0">
        <w:rPr>
          <w:rFonts w:ascii="Arial" w:hAnsi="Arial" w:cs="Arial"/>
        </w:rPr>
        <w:t>eople with a mental illness will</w:t>
      </w:r>
      <w:r w:rsidR="0070352F" w:rsidRPr="00C32FB0">
        <w:rPr>
          <w:rFonts w:ascii="Arial" w:hAnsi="Arial" w:cs="Arial"/>
        </w:rPr>
        <w:t xml:space="preserve"> be</w:t>
      </w:r>
      <w:r w:rsidR="00902DC8" w:rsidRPr="00C32FB0">
        <w:rPr>
          <w:rFonts w:ascii="Arial" w:hAnsi="Arial" w:cs="Arial"/>
        </w:rPr>
        <w:t xml:space="preserve"> able to access services under the NDIS. The access requirements include people with a psychiatric condition who have significant and permanent functional impairment. The Productivity Commission estimated this to be 12 per cent of adults with severe mental disorders.</w:t>
      </w:r>
    </w:p>
    <w:p w:rsidR="00902DC8" w:rsidRPr="00C32FB0" w:rsidRDefault="00902DC8" w:rsidP="00902DC8">
      <w:pPr>
        <w:rPr>
          <w:rFonts w:ascii="Arial" w:hAnsi="Arial" w:cs="Arial"/>
        </w:rPr>
      </w:pPr>
      <w:r w:rsidRPr="00C32FB0">
        <w:rPr>
          <w:rFonts w:ascii="Arial" w:hAnsi="Arial" w:cs="Arial"/>
        </w:rPr>
        <w:t>The NDIS will not fund clinical mental health services or medical treatment. Rather, it will provide supports that assist a person to undertake activities of daily living, including:</w:t>
      </w:r>
    </w:p>
    <w:p w:rsidR="00902DC8" w:rsidRPr="00C32FB0" w:rsidRDefault="00902DC8" w:rsidP="00326B67">
      <w:pPr>
        <w:pStyle w:val="ListBullet2"/>
        <w:rPr>
          <w:rFonts w:ascii="Arial" w:hAnsi="Arial" w:cs="Arial"/>
        </w:rPr>
      </w:pPr>
      <w:r w:rsidRPr="00C32FB0">
        <w:rPr>
          <w:rFonts w:ascii="Arial" w:hAnsi="Arial" w:cs="Arial"/>
        </w:rPr>
        <w:t>assistance with planning and decision making and household tasks;</w:t>
      </w:r>
    </w:p>
    <w:p w:rsidR="00902DC8" w:rsidRPr="00C32FB0" w:rsidRDefault="00902DC8" w:rsidP="00326B67">
      <w:pPr>
        <w:pStyle w:val="ListBullet2"/>
        <w:rPr>
          <w:rFonts w:ascii="Arial" w:hAnsi="Arial" w:cs="Arial"/>
        </w:rPr>
      </w:pPr>
      <w:r w:rsidRPr="00C32FB0">
        <w:rPr>
          <w:rFonts w:ascii="Arial" w:hAnsi="Arial" w:cs="Arial"/>
        </w:rPr>
        <w:t>assistance to build capacity to live independently and achieve their goals, such as building social relationships, as well as financial management and tenancy management skills; and</w:t>
      </w:r>
    </w:p>
    <w:p w:rsidR="00902DC8" w:rsidRPr="00C32FB0" w:rsidRDefault="00902DC8" w:rsidP="00326B67">
      <w:pPr>
        <w:pStyle w:val="ListBullet2"/>
        <w:rPr>
          <w:rFonts w:ascii="Arial" w:hAnsi="Arial" w:cs="Arial"/>
        </w:rPr>
      </w:pPr>
      <w:proofErr w:type="gramStart"/>
      <w:r w:rsidRPr="00C32FB0">
        <w:rPr>
          <w:rFonts w:ascii="Arial" w:hAnsi="Arial" w:cs="Arial"/>
        </w:rPr>
        <w:t>supports</w:t>
      </w:r>
      <w:proofErr w:type="gramEnd"/>
      <w:r w:rsidRPr="00C32FB0">
        <w:rPr>
          <w:rFonts w:ascii="Arial" w:hAnsi="Arial" w:cs="Arial"/>
        </w:rPr>
        <w:t xml:space="preserve"> to engage in community activities such as recreation, education, training and employment. </w:t>
      </w:r>
    </w:p>
    <w:p w:rsidR="00902DC8" w:rsidRPr="00C32FB0" w:rsidRDefault="00902DC8" w:rsidP="00902DC8">
      <w:pPr>
        <w:rPr>
          <w:rFonts w:ascii="Arial" w:hAnsi="Arial" w:cs="Arial"/>
        </w:rPr>
      </w:pPr>
      <w:r w:rsidRPr="00C32FB0">
        <w:rPr>
          <w:rFonts w:ascii="Arial" w:hAnsi="Arial" w:cs="Arial"/>
        </w:rPr>
        <w:lastRenderedPageBreak/>
        <w:t xml:space="preserve">The health </w:t>
      </w:r>
      <w:r w:rsidR="0070352F" w:rsidRPr="00C32FB0">
        <w:rPr>
          <w:rFonts w:ascii="Arial" w:hAnsi="Arial" w:cs="Arial"/>
        </w:rPr>
        <w:t xml:space="preserve">system will continue to provide health care to NDIS clients. </w:t>
      </w:r>
      <w:r w:rsidRPr="00C32FB0">
        <w:rPr>
          <w:rFonts w:ascii="Arial" w:hAnsi="Arial" w:cs="Arial"/>
        </w:rPr>
        <w:t>However, some of the daily living supports listed above are also provided by community mental health services</w:t>
      </w:r>
      <w:r w:rsidR="0070352F" w:rsidRPr="00C32FB0">
        <w:rPr>
          <w:rFonts w:ascii="Arial" w:hAnsi="Arial" w:cs="Arial"/>
        </w:rPr>
        <w:t xml:space="preserve"> (for example, through adult integrated community mental health services and hospital avoidance programs), and are therefore within the scope of the AMHCC.</w:t>
      </w:r>
    </w:p>
    <w:p w:rsidR="00902DC8" w:rsidRPr="00C32FB0" w:rsidRDefault="0070352F" w:rsidP="00902DC8">
      <w:pPr>
        <w:rPr>
          <w:rFonts w:ascii="Arial" w:hAnsi="Arial" w:cs="Arial"/>
        </w:rPr>
      </w:pPr>
      <w:r w:rsidRPr="00C32FB0">
        <w:rPr>
          <w:rFonts w:ascii="Arial" w:hAnsi="Arial" w:cs="Arial"/>
        </w:rPr>
        <w:t>As such</w:t>
      </w:r>
      <w:r w:rsidR="00902DC8" w:rsidRPr="00C32FB0">
        <w:rPr>
          <w:rFonts w:ascii="Arial" w:hAnsi="Arial" w:cs="Arial"/>
        </w:rPr>
        <w:t>, consideration needs to be given to how the two systems will work together, or alongside each other. The National Disability Insurance Agency is represented on IHPA’s MHWG, which has oversight of the AMHCC</w:t>
      </w:r>
      <w:r w:rsidR="007E203F" w:rsidRPr="00C32FB0">
        <w:rPr>
          <w:rFonts w:ascii="Arial" w:hAnsi="Arial" w:cs="Arial"/>
        </w:rPr>
        <w:t>.</w:t>
      </w:r>
    </w:p>
    <w:p w:rsidR="000D3CAB" w:rsidRPr="00C32FB0" w:rsidRDefault="000D3CAB" w:rsidP="00555274">
      <w:pPr>
        <w:pStyle w:val="Heading3"/>
        <w:pBdr>
          <w:top w:val="single" w:sz="4" w:space="1" w:color="004200" w:themeColor="text2"/>
          <w:left w:val="single" w:sz="4" w:space="4" w:color="004200" w:themeColor="text2"/>
          <w:bottom w:val="single" w:sz="4" w:space="1" w:color="004200" w:themeColor="text2"/>
          <w:right w:val="single" w:sz="4" w:space="4" w:color="004200" w:themeColor="text2"/>
        </w:pBdr>
        <w:rPr>
          <w:rFonts w:ascii="Arial" w:hAnsi="Arial" w:cs="Arial"/>
          <w:lang w:val="en-US" w:eastAsia="ja-JP"/>
        </w:rPr>
      </w:pPr>
      <w:r w:rsidRPr="00C32FB0">
        <w:rPr>
          <w:rFonts w:ascii="Arial" w:hAnsi="Arial" w:cs="Arial"/>
          <w:lang w:val="en-US" w:eastAsia="ja-JP"/>
        </w:rPr>
        <w:t>Consultation questions</w:t>
      </w:r>
    </w:p>
    <w:p w:rsidR="000D3CAB" w:rsidRPr="00C32FB0" w:rsidRDefault="004534FF" w:rsidP="00555274">
      <w:pPr>
        <w:pStyle w:val="ListParagraph"/>
        <w:keepNext/>
        <w:keepLines/>
        <w:numPr>
          <w:ilvl w:val="0"/>
          <w:numId w:val="4"/>
        </w:numPr>
        <w:pBdr>
          <w:top w:val="single" w:sz="4" w:space="1" w:color="004200" w:themeColor="text2"/>
          <w:left w:val="single" w:sz="4" w:space="4" w:color="004200" w:themeColor="text2"/>
          <w:bottom w:val="single" w:sz="4" w:space="1" w:color="004200" w:themeColor="text2"/>
          <w:right w:val="single" w:sz="4" w:space="4" w:color="004200" w:themeColor="text2"/>
        </w:pBdr>
        <w:ind w:left="357" w:hanging="357"/>
        <w:contextualSpacing w:val="0"/>
        <w:rPr>
          <w:rFonts w:ascii="Arial" w:hAnsi="Arial" w:cs="Arial"/>
          <w:lang w:val="en-US" w:eastAsia="ja-JP"/>
        </w:rPr>
      </w:pPr>
      <w:r w:rsidRPr="00C32FB0">
        <w:rPr>
          <w:rFonts w:ascii="Arial" w:hAnsi="Arial" w:cs="Arial"/>
          <w:lang w:val="en-US" w:eastAsia="ja-JP"/>
        </w:rPr>
        <w:t>What are the most important factors to draw from international experiences in classifying mental health care?</w:t>
      </w:r>
    </w:p>
    <w:p w:rsidR="00AA175C" w:rsidRPr="00C32FB0" w:rsidRDefault="004534FF" w:rsidP="00555274">
      <w:pPr>
        <w:pStyle w:val="ListParagraph"/>
        <w:keepNext/>
        <w:keepLines/>
        <w:numPr>
          <w:ilvl w:val="0"/>
          <w:numId w:val="4"/>
        </w:numPr>
        <w:pBdr>
          <w:top w:val="single" w:sz="4" w:space="1" w:color="004200" w:themeColor="text2"/>
          <w:left w:val="single" w:sz="4" w:space="4" w:color="004200" w:themeColor="text2"/>
          <w:bottom w:val="single" w:sz="4" w:space="1" w:color="004200" w:themeColor="text2"/>
          <w:right w:val="single" w:sz="4" w:space="4" w:color="004200" w:themeColor="text2"/>
        </w:pBdr>
        <w:ind w:left="357" w:hanging="357"/>
        <w:contextualSpacing w:val="0"/>
        <w:rPr>
          <w:rFonts w:ascii="Arial" w:hAnsi="Arial" w:cs="Arial"/>
        </w:rPr>
      </w:pPr>
      <w:r w:rsidRPr="00C32FB0">
        <w:rPr>
          <w:rFonts w:ascii="Arial" w:hAnsi="Arial" w:cs="Arial"/>
          <w:lang w:val="en-US" w:eastAsia="ja-JP"/>
        </w:rPr>
        <w:t>What are the most important considerations in the national context?</w:t>
      </w:r>
      <w:r w:rsidR="00AA175C" w:rsidRPr="00C32FB0">
        <w:rPr>
          <w:rFonts w:ascii="Arial" w:hAnsi="Arial" w:cs="Arial"/>
          <w:lang w:val="en-US" w:eastAsia="ja-JP"/>
        </w:rPr>
        <w:br w:type="page"/>
      </w:r>
    </w:p>
    <w:p w:rsidR="00060B8C" w:rsidRPr="00C32FB0" w:rsidRDefault="0070352F" w:rsidP="00060B8C">
      <w:pPr>
        <w:pStyle w:val="Heading1"/>
        <w:rPr>
          <w:rFonts w:ascii="Arial" w:hAnsi="Arial" w:cs="Arial"/>
          <w:lang w:val="en-US" w:eastAsia="ja-JP"/>
        </w:rPr>
      </w:pPr>
      <w:bookmarkStart w:id="20" w:name="_Toc407021935"/>
      <w:r w:rsidRPr="00C32FB0">
        <w:rPr>
          <w:rFonts w:ascii="Arial" w:hAnsi="Arial" w:cs="Arial"/>
          <w:lang w:val="en-US" w:eastAsia="ja-JP"/>
        </w:rPr>
        <w:lastRenderedPageBreak/>
        <w:t>Key considerations in building a mental health classification</w:t>
      </w:r>
      <w:bookmarkEnd w:id="20"/>
    </w:p>
    <w:p w:rsidR="004B5559" w:rsidRPr="00C32FB0" w:rsidRDefault="004B5559" w:rsidP="004B5559">
      <w:pPr>
        <w:rPr>
          <w:rFonts w:ascii="Arial" w:hAnsi="Arial" w:cs="Arial"/>
        </w:rPr>
      </w:pPr>
      <w:bookmarkStart w:id="21" w:name="_Toc379540402"/>
      <w:r w:rsidRPr="00C32FB0">
        <w:rPr>
          <w:rFonts w:ascii="Arial" w:hAnsi="Arial" w:cs="Arial"/>
        </w:rPr>
        <w:t>In addition to learnings from other classification systems, there should be core principles applied to the development of the AMHCC. Every classification system should have a set of principles underlying; however, these will vary depending on the nature of the classification and the services it is grouping.</w:t>
      </w:r>
    </w:p>
    <w:p w:rsidR="004B5559" w:rsidRPr="00C32FB0" w:rsidRDefault="004B5559" w:rsidP="004B5559">
      <w:pPr>
        <w:rPr>
          <w:rFonts w:ascii="Arial" w:hAnsi="Arial" w:cs="Arial"/>
        </w:rPr>
      </w:pPr>
      <w:r w:rsidRPr="00C32FB0">
        <w:rPr>
          <w:rFonts w:ascii="Arial" w:hAnsi="Arial" w:cs="Arial"/>
        </w:rPr>
        <w:t>In addition, there are limitations on the resources that a classification can draw on, for example the data that can be provided by all organisations required to participate in the classification, and this will necessarily affect the way in which the classification can be designed.</w:t>
      </w:r>
    </w:p>
    <w:p w:rsidR="00060B8C" w:rsidRPr="00C32FB0" w:rsidRDefault="00060B8C" w:rsidP="00060B8C">
      <w:pPr>
        <w:pStyle w:val="Heading2"/>
        <w:rPr>
          <w:rFonts w:ascii="Arial" w:hAnsi="Arial" w:cs="Arial"/>
        </w:rPr>
      </w:pPr>
      <w:bookmarkStart w:id="22" w:name="_Toc407021936"/>
      <w:r w:rsidRPr="00C32FB0">
        <w:rPr>
          <w:rFonts w:ascii="Arial" w:hAnsi="Arial" w:cs="Arial"/>
        </w:rPr>
        <w:t xml:space="preserve">What are the </w:t>
      </w:r>
      <w:r w:rsidR="00B70033">
        <w:rPr>
          <w:rFonts w:ascii="Arial" w:hAnsi="Arial" w:cs="Arial"/>
        </w:rPr>
        <w:t>principles for developing a classification?</w:t>
      </w:r>
      <w:bookmarkEnd w:id="22"/>
    </w:p>
    <w:p w:rsidR="00060B8C" w:rsidRDefault="00060B8C" w:rsidP="00060B8C">
      <w:pPr>
        <w:rPr>
          <w:rFonts w:ascii="Arial" w:hAnsi="Arial" w:cs="Arial"/>
        </w:rPr>
      </w:pPr>
      <w:r w:rsidRPr="00C32FB0">
        <w:rPr>
          <w:rFonts w:ascii="Arial" w:hAnsi="Arial" w:cs="Arial"/>
        </w:rPr>
        <w:t>Classification systems group together patients who are clinically relevant (i.e. have similar conditions) and resource homogenous (i.e. cost similar amounts per episode). At each level of the classification, children categories are mutually exclusive and jointly exhaustive of their parent.</w:t>
      </w:r>
    </w:p>
    <w:p w:rsidR="007F6003" w:rsidRDefault="00B70033" w:rsidP="00060B8C">
      <w:pPr>
        <w:rPr>
          <w:rFonts w:ascii="Arial" w:hAnsi="Arial" w:cs="Arial"/>
        </w:rPr>
      </w:pPr>
      <w:r>
        <w:rPr>
          <w:rFonts w:ascii="Arial" w:hAnsi="Arial" w:cs="Arial"/>
        </w:rPr>
        <w:t xml:space="preserve">Through the development and review of other classifications, </w:t>
      </w:r>
      <w:r w:rsidR="007F6003">
        <w:rPr>
          <w:rFonts w:ascii="Arial" w:hAnsi="Arial" w:cs="Arial"/>
        </w:rPr>
        <w:t>IHPA has dev</w:t>
      </w:r>
      <w:r w:rsidR="00B901E5">
        <w:rPr>
          <w:rFonts w:ascii="Arial" w:hAnsi="Arial" w:cs="Arial"/>
        </w:rPr>
        <w:t>eloped</w:t>
      </w:r>
      <w:r>
        <w:rPr>
          <w:rFonts w:ascii="Arial" w:hAnsi="Arial" w:cs="Arial"/>
        </w:rPr>
        <w:t xml:space="preserve"> </w:t>
      </w:r>
      <w:r w:rsidR="00965A5F">
        <w:rPr>
          <w:rFonts w:ascii="Arial" w:hAnsi="Arial" w:cs="Arial"/>
        </w:rPr>
        <w:t>nine</w:t>
      </w:r>
      <w:r>
        <w:rPr>
          <w:rFonts w:ascii="Arial" w:hAnsi="Arial" w:cs="Arial"/>
        </w:rPr>
        <w:t xml:space="preserve"> principles which may also be applied in the development of the AMHCC</w:t>
      </w:r>
      <w:r w:rsidR="00965A5F">
        <w:rPr>
          <w:rFonts w:ascii="Arial" w:hAnsi="Arial" w:cs="Arial"/>
        </w:rPr>
        <w:t xml:space="preserve">. These have been reviewed against the principles outlined in other relevant mental health projects including </w:t>
      </w:r>
      <w:r w:rsidR="00965A5F" w:rsidRPr="00965A5F">
        <w:rPr>
          <w:rFonts w:ascii="Arial" w:hAnsi="Arial" w:cs="Arial"/>
        </w:rPr>
        <w:t>MH-CASC</w:t>
      </w:r>
      <w:r w:rsidR="00965A5F">
        <w:rPr>
          <w:rFonts w:ascii="Arial" w:hAnsi="Arial" w:cs="Arial"/>
        </w:rPr>
        <w:t xml:space="preserve">, the </w:t>
      </w:r>
      <w:r w:rsidR="00965A5F" w:rsidRPr="00965A5F">
        <w:rPr>
          <w:rFonts w:ascii="Arial" w:hAnsi="Arial" w:cs="Arial"/>
        </w:rPr>
        <w:t>Mental Health Intervention Classification (MHIC);</w:t>
      </w:r>
      <w:r w:rsidR="00965A5F">
        <w:rPr>
          <w:rFonts w:ascii="Arial" w:hAnsi="Arial" w:cs="Arial"/>
        </w:rPr>
        <w:t xml:space="preserve"> NZ-CAOS, and the approaches are considered to be consistent</w:t>
      </w:r>
      <w:r w:rsidR="00965A5F" w:rsidRPr="00965A5F">
        <w:rPr>
          <w:rFonts w:ascii="Arial" w:hAnsi="Arial" w:cs="Arial"/>
        </w:rPr>
        <w:t>.</w:t>
      </w:r>
    </w:p>
    <w:p w:rsidR="00B70033" w:rsidRDefault="00B70033" w:rsidP="00B70033">
      <w:pPr>
        <w:pStyle w:val="Caption"/>
        <w:keepNext/>
      </w:pPr>
      <w:r>
        <w:t xml:space="preserve">Table </w:t>
      </w:r>
      <w:fldSimple w:instr=" SEQ Table \* ARABIC ">
        <w:r w:rsidR="007D074E">
          <w:rPr>
            <w:noProof/>
          </w:rPr>
          <w:t>1</w:t>
        </w:r>
      </w:fldSimple>
      <w:r>
        <w:t>: Principles for classification development</w:t>
      </w:r>
    </w:p>
    <w:tbl>
      <w:tblPr>
        <w:tblStyle w:val="LightShading"/>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Description w:val="Table 1 consists of 2 column headings: Column 1. Principle and Column 2. Description."/>
      </w:tblPr>
      <w:tblGrid>
        <w:gridCol w:w="2518"/>
        <w:gridCol w:w="6662"/>
      </w:tblGrid>
      <w:tr w:rsidR="007F6003" w:rsidRPr="00C32FB0" w:rsidTr="007C426F">
        <w:trPr>
          <w:cnfStyle w:val="100000000000" w:firstRow="1" w:lastRow="0" w:firstColumn="0" w:lastColumn="0" w:oddVBand="0" w:evenVBand="0" w:oddHBand="0" w:evenHBand="0" w:firstRowFirstColumn="0" w:firstRowLastColumn="0" w:lastRowFirstColumn="0" w:lastRowLastColumn="0"/>
          <w:cantSplit/>
          <w:trHeight w:val="227"/>
          <w:tblHeader/>
        </w:trPr>
        <w:tc>
          <w:tcPr>
            <w:cnfStyle w:val="001000000000" w:firstRow="0" w:lastRow="0" w:firstColumn="1" w:lastColumn="0" w:oddVBand="0" w:evenVBand="0" w:oddHBand="0" w:evenHBand="0" w:firstRowFirstColumn="0" w:firstRowLastColumn="0" w:lastRowFirstColumn="0" w:lastRowLastColumn="0"/>
            <w:tcW w:w="2518" w:type="dxa"/>
            <w:tcBorders>
              <w:top w:val="none" w:sz="0" w:space="0" w:color="auto"/>
              <w:left w:val="none" w:sz="0" w:space="0" w:color="auto"/>
              <w:bottom w:val="none" w:sz="0" w:space="0" w:color="auto"/>
              <w:right w:val="none" w:sz="0" w:space="0" w:color="auto"/>
            </w:tcBorders>
          </w:tcPr>
          <w:p w:rsidR="007F6003" w:rsidRPr="00B70033" w:rsidRDefault="007F6003" w:rsidP="007F6003">
            <w:pPr>
              <w:keepNext/>
              <w:keepLines/>
              <w:spacing w:before="100" w:after="100"/>
              <w:rPr>
                <w:rFonts w:ascii="Arial" w:hAnsi="Arial" w:cs="Arial"/>
                <w:sz w:val="20"/>
              </w:rPr>
            </w:pPr>
            <w:r w:rsidRPr="00B70033">
              <w:rPr>
                <w:rFonts w:ascii="Arial" w:hAnsi="Arial" w:cs="Arial"/>
                <w:sz w:val="20"/>
              </w:rPr>
              <w:t>Principle</w:t>
            </w:r>
          </w:p>
        </w:tc>
        <w:tc>
          <w:tcPr>
            <w:tcW w:w="6662" w:type="dxa"/>
            <w:tcBorders>
              <w:top w:val="none" w:sz="0" w:space="0" w:color="auto"/>
              <w:left w:val="none" w:sz="0" w:space="0" w:color="auto"/>
              <w:bottom w:val="none" w:sz="0" w:space="0" w:color="auto"/>
              <w:right w:val="none" w:sz="0" w:space="0" w:color="auto"/>
            </w:tcBorders>
          </w:tcPr>
          <w:p w:rsidR="007F6003" w:rsidRPr="00C32FB0" w:rsidRDefault="007F6003" w:rsidP="007F6003">
            <w:pPr>
              <w:keepNext/>
              <w:keepLines/>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Description</w:t>
            </w:r>
          </w:p>
        </w:tc>
      </w:tr>
      <w:tr w:rsidR="007F6003" w:rsidRPr="00C32FB0" w:rsidTr="007C426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tcPr>
          <w:p w:rsidR="007F6003" w:rsidRPr="00B70033" w:rsidRDefault="007F6003" w:rsidP="00B70033">
            <w:pPr>
              <w:pStyle w:val="ListParagraph"/>
              <w:keepLines/>
              <w:numPr>
                <w:ilvl w:val="0"/>
                <w:numId w:val="13"/>
              </w:numPr>
              <w:spacing w:before="100" w:after="100"/>
              <w:rPr>
                <w:rFonts w:ascii="Arial" w:hAnsi="Arial" w:cs="Arial"/>
                <w:sz w:val="20"/>
              </w:rPr>
            </w:pPr>
            <w:r w:rsidRPr="00B70033">
              <w:rPr>
                <w:rFonts w:eastAsia="Times New Roman"/>
                <w:sz w:val="20"/>
                <w:szCs w:val="20"/>
                <w:lang w:eastAsia="en-AU"/>
              </w:rPr>
              <w:t>Comprehensive, mutually exclusive and consistent</w:t>
            </w:r>
          </w:p>
        </w:tc>
        <w:tc>
          <w:tcPr>
            <w:tcW w:w="6662" w:type="dxa"/>
            <w:tcBorders>
              <w:left w:val="none" w:sz="0" w:space="0" w:color="auto"/>
              <w:right w:val="none" w:sz="0" w:space="0" w:color="auto"/>
            </w:tcBorders>
          </w:tcPr>
          <w:p w:rsidR="007F6003" w:rsidRPr="00452CE5" w:rsidRDefault="007F6003" w:rsidP="007F6003">
            <w:pPr>
              <w:spacing w:before="100" w:after="10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452CE5">
              <w:rPr>
                <w:rFonts w:eastAsia="Times New Roman"/>
                <w:sz w:val="20"/>
                <w:szCs w:val="20"/>
                <w:lang w:eastAsia="en-AU"/>
              </w:rPr>
              <w:t>The classification is comprehensive, with all possible cases (episodes) within the scope of the classification able to be grouped to a class.</w:t>
            </w:r>
          </w:p>
          <w:p w:rsidR="007F6003" w:rsidRPr="00452CE5" w:rsidRDefault="007F6003" w:rsidP="007F6003">
            <w:pPr>
              <w:spacing w:before="100" w:after="10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Pr>
                <w:rFonts w:eastAsia="Times New Roman"/>
                <w:sz w:val="20"/>
                <w:szCs w:val="20"/>
                <w:lang w:eastAsia="en-AU"/>
              </w:rPr>
              <w:t>The classification s</w:t>
            </w:r>
            <w:r w:rsidRPr="00452CE5">
              <w:rPr>
                <w:rFonts w:eastAsia="Times New Roman"/>
                <w:sz w:val="20"/>
                <w:szCs w:val="20"/>
                <w:lang w:eastAsia="en-AU"/>
              </w:rPr>
              <w:t>hou</w:t>
            </w:r>
            <w:r>
              <w:rPr>
                <w:rFonts w:eastAsia="Times New Roman"/>
                <w:sz w:val="20"/>
                <w:szCs w:val="20"/>
                <w:lang w:eastAsia="en-AU"/>
              </w:rPr>
              <w:t>ld be able to be applied to all services</w:t>
            </w:r>
            <w:r w:rsidRPr="00452CE5">
              <w:rPr>
                <w:rFonts w:eastAsia="Times New Roman"/>
                <w:sz w:val="20"/>
                <w:szCs w:val="20"/>
                <w:lang w:eastAsia="en-AU"/>
              </w:rPr>
              <w:t xml:space="preserve"> in scope</w:t>
            </w:r>
            <w:r>
              <w:rPr>
                <w:rFonts w:eastAsia="Times New Roman"/>
                <w:sz w:val="20"/>
                <w:szCs w:val="20"/>
                <w:lang w:eastAsia="en-AU"/>
              </w:rPr>
              <w:t xml:space="preserve"> for the MHCT</w:t>
            </w:r>
            <w:r w:rsidRPr="00452CE5">
              <w:rPr>
                <w:rFonts w:eastAsia="Times New Roman"/>
                <w:sz w:val="20"/>
                <w:szCs w:val="20"/>
                <w:lang w:eastAsia="en-AU"/>
              </w:rPr>
              <w:t xml:space="preserve"> and perform similarly (clinically and statistically) when applied to different models and/ or settings of care.</w:t>
            </w:r>
          </w:p>
          <w:p w:rsidR="007F6003" w:rsidRPr="00452CE5" w:rsidRDefault="007F6003" w:rsidP="007F6003">
            <w:pPr>
              <w:spacing w:before="100" w:after="10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452CE5">
              <w:rPr>
                <w:rFonts w:eastAsia="Times New Roman"/>
                <w:sz w:val="20"/>
                <w:szCs w:val="20"/>
                <w:lang w:eastAsia="en-AU"/>
              </w:rPr>
              <w:t xml:space="preserve">The classification should be scalable to take account of lower levels of detail required by settings at a lower role </w:t>
            </w:r>
            <w:r>
              <w:rPr>
                <w:rFonts w:eastAsia="Times New Roman"/>
                <w:sz w:val="20"/>
                <w:szCs w:val="20"/>
                <w:lang w:eastAsia="en-AU"/>
              </w:rPr>
              <w:t>level.</w:t>
            </w:r>
          </w:p>
          <w:p w:rsidR="007F6003" w:rsidRPr="00452CE5" w:rsidRDefault="007F6003" w:rsidP="007F6003">
            <w:pPr>
              <w:spacing w:before="100" w:after="10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452CE5">
              <w:rPr>
                <w:rFonts w:eastAsia="Times New Roman"/>
                <w:sz w:val="20"/>
                <w:szCs w:val="20"/>
                <w:lang w:eastAsia="en-AU"/>
              </w:rPr>
              <w:t>Classes within the classification are mutually exclusive, with every case (episode) in scope only be able to be grouped to a single class.</w:t>
            </w:r>
          </w:p>
          <w:p w:rsidR="007F6003" w:rsidRPr="00C32FB0" w:rsidRDefault="007F6003" w:rsidP="007F6003">
            <w:pPr>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52CE5">
              <w:rPr>
                <w:rFonts w:eastAsia="Times New Roman"/>
                <w:sz w:val="20"/>
                <w:szCs w:val="20"/>
                <w:lang w:eastAsia="en-AU"/>
              </w:rPr>
              <w:t>Class definitions and assignment to classes are clear, consistent and unambiguous.</w:t>
            </w:r>
          </w:p>
        </w:tc>
      </w:tr>
      <w:tr w:rsidR="007F6003" w:rsidRPr="00C32FB0" w:rsidTr="007C426F">
        <w:trPr>
          <w:cantSplit/>
          <w:trHeight w:val="227"/>
        </w:trPr>
        <w:tc>
          <w:tcPr>
            <w:cnfStyle w:val="001000000000" w:firstRow="0" w:lastRow="0" w:firstColumn="1" w:lastColumn="0" w:oddVBand="0" w:evenVBand="0" w:oddHBand="0" w:evenHBand="0" w:firstRowFirstColumn="0" w:firstRowLastColumn="0" w:lastRowFirstColumn="0" w:lastRowLastColumn="0"/>
            <w:tcW w:w="2518" w:type="dxa"/>
          </w:tcPr>
          <w:p w:rsidR="007F6003" w:rsidRPr="00B70033" w:rsidRDefault="007F6003" w:rsidP="00B70033">
            <w:pPr>
              <w:pStyle w:val="ListParagraph"/>
              <w:keepLines/>
              <w:numPr>
                <w:ilvl w:val="0"/>
                <w:numId w:val="13"/>
              </w:numPr>
              <w:spacing w:before="100" w:after="100"/>
              <w:rPr>
                <w:rFonts w:ascii="Arial" w:hAnsi="Arial" w:cs="Arial"/>
                <w:sz w:val="20"/>
              </w:rPr>
            </w:pPr>
            <w:r w:rsidRPr="00B70033">
              <w:rPr>
                <w:rFonts w:eastAsia="Times New Roman"/>
                <w:sz w:val="20"/>
                <w:szCs w:val="20"/>
                <w:lang w:eastAsia="en-AU"/>
              </w:rPr>
              <w:t>Clinical meaning</w:t>
            </w:r>
          </w:p>
        </w:tc>
        <w:tc>
          <w:tcPr>
            <w:tcW w:w="6662" w:type="dxa"/>
          </w:tcPr>
          <w:p w:rsidR="007F6003" w:rsidRPr="00452CE5" w:rsidRDefault="007F6003" w:rsidP="007F6003">
            <w:pPr>
              <w:spacing w:before="100" w:after="10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452CE5">
              <w:rPr>
                <w:rFonts w:eastAsia="Times New Roman"/>
                <w:sz w:val="20"/>
                <w:szCs w:val="20"/>
                <w:lang w:eastAsia="en-AU"/>
              </w:rPr>
              <w:t>The underlying data elements are useful for clinical management purposes in addition to funding purposes.</w:t>
            </w:r>
          </w:p>
          <w:p w:rsidR="007F6003" w:rsidRPr="00452CE5" w:rsidRDefault="007F6003" w:rsidP="007F6003">
            <w:pPr>
              <w:spacing w:before="100" w:after="10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452CE5">
              <w:rPr>
                <w:rFonts w:eastAsia="Times New Roman"/>
                <w:sz w:val="20"/>
                <w:szCs w:val="20"/>
                <w:lang w:eastAsia="en-AU"/>
              </w:rPr>
              <w:t>Should group patients</w:t>
            </w:r>
            <w:r w:rsidR="00B70033">
              <w:rPr>
                <w:rFonts w:eastAsia="Times New Roman"/>
                <w:sz w:val="20"/>
                <w:szCs w:val="20"/>
                <w:lang w:eastAsia="en-AU"/>
              </w:rPr>
              <w:t>/ consumers</w:t>
            </w:r>
            <w:r w:rsidRPr="00452CE5">
              <w:rPr>
                <w:rFonts w:eastAsia="Times New Roman"/>
                <w:sz w:val="20"/>
                <w:szCs w:val="20"/>
                <w:lang w:eastAsia="en-AU"/>
              </w:rPr>
              <w:t xml:space="preserve"> with similar clinical and other characteristics and/ or requiring similar treatment.</w:t>
            </w:r>
          </w:p>
          <w:p w:rsidR="007F6003" w:rsidRPr="00C32FB0" w:rsidRDefault="007F6003" w:rsidP="00B70033">
            <w:pPr>
              <w:keepLines/>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52CE5">
              <w:rPr>
                <w:rFonts w:eastAsia="Times New Roman"/>
                <w:sz w:val="20"/>
                <w:szCs w:val="20"/>
                <w:lang w:eastAsia="en-AU"/>
              </w:rPr>
              <w:t>The data element makes sense to clinicians, and aligns with the language used by clinician</w:t>
            </w:r>
            <w:r w:rsidR="00B70033">
              <w:rPr>
                <w:rFonts w:eastAsia="Times New Roman"/>
                <w:sz w:val="20"/>
                <w:szCs w:val="20"/>
                <w:lang w:eastAsia="en-AU"/>
              </w:rPr>
              <w:t xml:space="preserve">s for clinical management of </w:t>
            </w:r>
            <w:r w:rsidR="00B70033" w:rsidRPr="00452CE5">
              <w:rPr>
                <w:rFonts w:eastAsia="Times New Roman"/>
                <w:sz w:val="20"/>
                <w:szCs w:val="20"/>
                <w:lang w:eastAsia="en-AU"/>
              </w:rPr>
              <w:t>patients</w:t>
            </w:r>
            <w:r w:rsidR="00B70033">
              <w:rPr>
                <w:rFonts w:eastAsia="Times New Roman"/>
                <w:sz w:val="20"/>
                <w:szCs w:val="20"/>
                <w:lang w:eastAsia="en-AU"/>
              </w:rPr>
              <w:t>/ consumers</w:t>
            </w:r>
            <w:r w:rsidRPr="00452CE5">
              <w:rPr>
                <w:rFonts w:eastAsia="Times New Roman"/>
                <w:sz w:val="20"/>
                <w:szCs w:val="20"/>
                <w:lang w:eastAsia="en-AU"/>
              </w:rPr>
              <w:t>.</w:t>
            </w:r>
          </w:p>
        </w:tc>
      </w:tr>
      <w:tr w:rsidR="007F6003" w:rsidRPr="00C32FB0" w:rsidTr="007C426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tcPr>
          <w:p w:rsidR="007F6003" w:rsidRPr="00B70033" w:rsidRDefault="007F6003" w:rsidP="00B70033">
            <w:pPr>
              <w:pStyle w:val="ListParagraph"/>
              <w:keepLines/>
              <w:numPr>
                <w:ilvl w:val="0"/>
                <w:numId w:val="13"/>
              </w:numPr>
              <w:spacing w:before="100" w:after="100"/>
              <w:rPr>
                <w:rFonts w:ascii="Arial" w:hAnsi="Arial" w:cs="Arial"/>
                <w:sz w:val="20"/>
              </w:rPr>
            </w:pPr>
            <w:r w:rsidRPr="00B70033">
              <w:rPr>
                <w:rFonts w:eastAsia="Times New Roman"/>
                <w:sz w:val="20"/>
                <w:szCs w:val="20"/>
                <w:lang w:eastAsia="en-AU"/>
              </w:rPr>
              <w:lastRenderedPageBreak/>
              <w:t>Resource use homogeneity</w:t>
            </w:r>
          </w:p>
        </w:tc>
        <w:tc>
          <w:tcPr>
            <w:tcW w:w="6662" w:type="dxa"/>
            <w:tcBorders>
              <w:left w:val="none" w:sz="0" w:space="0" w:color="auto"/>
              <w:right w:val="none" w:sz="0" w:space="0" w:color="auto"/>
            </w:tcBorders>
          </w:tcPr>
          <w:p w:rsidR="007F6003" w:rsidRPr="00452CE5" w:rsidRDefault="007F6003" w:rsidP="007F6003">
            <w:pPr>
              <w:spacing w:before="100" w:after="10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452CE5">
              <w:rPr>
                <w:rFonts w:eastAsia="Times New Roman"/>
                <w:sz w:val="20"/>
                <w:szCs w:val="20"/>
                <w:lang w:eastAsia="en-AU"/>
              </w:rPr>
              <w:t>Events (episodes) should be assigned to classes with similar levels of resource use.</w:t>
            </w:r>
          </w:p>
          <w:p w:rsidR="007F6003" w:rsidRPr="00452CE5" w:rsidRDefault="007F6003" w:rsidP="007F6003">
            <w:pPr>
              <w:spacing w:before="100" w:after="10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452CE5">
              <w:rPr>
                <w:rFonts w:eastAsia="Times New Roman"/>
                <w:sz w:val="20"/>
                <w:szCs w:val="20"/>
                <w:lang w:eastAsia="en-AU"/>
              </w:rPr>
              <w:t>Estimates of resource use within classes should be stable over time.</w:t>
            </w:r>
          </w:p>
          <w:p w:rsidR="007F6003" w:rsidRPr="00452CE5" w:rsidRDefault="007F6003" w:rsidP="007F6003">
            <w:pPr>
              <w:spacing w:before="100" w:after="10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452CE5">
              <w:rPr>
                <w:rFonts w:eastAsia="Times New Roman"/>
                <w:sz w:val="20"/>
                <w:szCs w:val="20"/>
                <w:lang w:eastAsia="en-AU"/>
              </w:rPr>
              <w:t>When applied prospectively, the classification should explain a substantial level of the cost variation between classes, while minimising the variability of costs within each class.</w:t>
            </w:r>
          </w:p>
          <w:p w:rsidR="007F6003" w:rsidRPr="00C32FB0" w:rsidRDefault="007F6003" w:rsidP="007F6003">
            <w:pPr>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52CE5">
              <w:rPr>
                <w:rFonts w:eastAsia="Times New Roman"/>
                <w:sz w:val="20"/>
                <w:szCs w:val="20"/>
                <w:lang w:eastAsia="en-AU"/>
              </w:rPr>
              <w:t>When assessing an individual data element for its inclusion in the classification, there is strong evidence that the data element explains variation in costs over and above other cost drivers.</w:t>
            </w:r>
          </w:p>
        </w:tc>
      </w:tr>
      <w:tr w:rsidR="007F6003" w:rsidRPr="00C32FB0" w:rsidTr="007C426F">
        <w:trPr>
          <w:cantSplit/>
          <w:trHeight w:val="227"/>
        </w:trPr>
        <w:tc>
          <w:tcPr>
            <w:cnfStyle w:val="001000000000" w:firstRow="0" w:lastRow="0" w:firstColumn="1" w:lastColumn="0" w:oddVBand="0" w:evenVBand="0" w:oddHBand="0" w:evenHBand="0" w:firstRowFirstColumn="0" w:firstRowLastColumn="0" w:lastRowFirstColumn="0" w:lastRowLastColumn="0"/>
            <w:tcW w:w="2518" w:type="dxa"/>
          </w:tcPr>
          <w:p w:rsidR="007F6003" w:rsidRPr="00B70033" w:rsidRDefault="007F6003" w:rsidP="00B70033">
            <w:pPr>
              <w:pStyle w:val="ListParagraph"/>
              <w:keepLines/>
              <w:numPr>
                <w:ilvl w:val="0"/>
                <w:numId w:val="13"/>
              </w:numPr>
              <w:spacing w:before="100" w:after="100"/>
              <w:rPr>
                <w:rFonts w:ascii="Arial" w:hAnsi="Arial" w:cs="Arial"/>
                <w:sz w:val="20"/>
              </w:rPr>
            </w:pPr>
            <w:r w:rsidRPr="00B70033">
              <w:rPr>
                <w:rFonts w:eastAsia="Times New Roman"/>
                <w:sz w:val="20"/>
                <w:szCs w:val="20"/>
                <w:lang w:eastAsia="en-AU"/>
              </w:rPr>
              <w:t>Patient</w:t>
            </w:r>
            <w:r w:rsidR="00B70033">
              <w:rPr>
                <w:rFonts w:eastAsia="Times New Roman"/>
                <w:sz w:val="20"/>
                <w:szCs w:val="20"/>
                <w:lang w:eastAsia="en-AU"/>
              </w:rPr>
              <w:t>/ consumer</w:t>
            </w:r>
            <w:r w:rsidRPr="00B70033">
              <w:rPr>
                <w:rFonts w:eastAsia="Times New Roman"/>
                <w:sz w:val="20"/>
                <w:szCs w:val="20"/>
                <w:lang w:eastAsia="en-AU"/>
              </w:rPr>
              <w:t xml:space="preserve"> based</w:t>
            </w:r>
          </w:p>
        </w:tc>
        <w:tc>
          <w:tcPr>
            <w:tcW w:w="6662" w:type="dxa"/>
          </w:tcPr>
          <w:p w:rsidR="007F6003" w:rsidRPr="00452CE5" w:rsidRDefault="00B70033" w:rsidP="007F6003">
            <w:pPr>
              <w:spacing w:before="100" w:after="10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Pr>
                <w:rFonts w:eastAsia="Times New Roman"/>
                <w:sz w:val="20"/>
                <w:szCs w:val="20"/>
                <w:lang w:eastAsia="en-AU"/>
              </w:rPr>
              <w:t>The classification s</w:t>
            </w:r>
            <w:r w:rsidR="007F6003" w:rsidRPr="00452CE5">
              <w:rPr>
                <w:rFonts w:eastAsia="Times New Roman"/>
                <w:sz w:val="20"/>
                <w:szCs w:val="20"/>
                <w:lang w:eastAsia="en-AU"/>
              </w:rPr>
              <w:t>hould be based on data elements that reflect the characteristic of patients</w:t>
            </w:r>
            <w:r>
              <w:rPr>
                <w:rFonts w:eastAsia="Times New Roman"/>
                <w:sz w:val="20"/>
                <w:szCs w:val="20"/>
                <w:lang w:eastAsia="en-AU"/>
              </w:rPr>
              <w:t>/ consumers</w:t>
            </w:r>
            <w:r w:rsidR="007F6003" w:rsidRPr="00452CE5">
              <w:rPr>
                <w:rFonts w:eastAsia="Times New Roman"/>
                <w:sz w:val="20"/>
                <w:szCs w:val="20"/>
                <w:lang w:eastAsia="en-AU"/>
              </w:rPr>
              <w:t>, rather than characteristics of the service provider or inputs to care.</w:t>
            </w:r>
          </w:p>
          <w:p w:rsidR="007F6003" w:rsidRPr="00C32FB0" w:rsidRDefault="007F6003" w:rsidP="007F6003">
            <w:pPr>
              <w:keepLines/>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52CE5">
              <w:rPr>
                <w:rFonts w:eastAsia="Times New Roman"/>
                <w:sz w:val="20"/>
                <w:szCs w:val="20"/>
                <w:lang w:eastAsia="en-AU"/>
              </w:rPr>
              <w:t>Classification should be able to be applied consistently across different settings.</w:t>
            </w:r>
          </w:p>
        </w:tc>
      </w:tr>
      <w:tr w:rsidR="007F6003" w:rsidRPr="00C32FB0" w:rsidTr="007C426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tcPr>
          <w:p w:rsidR="007F6003" w:rsidRPr="00B70033" w:rsidRDefault="007F6003" w:rsidP="00B70033">
            <w:pPr>
              <w:pStyle w:val="ListParagraph"/>
              <w:keepLines/>
              <w:numPr>
                <w:ilvl w:val="0"/>
                <w:numId w:val="13"/>
              </w:numPr>
              <w:spacing w:before="100" w:after="100"/>
              <w:rPr>
                <w:rFonts w:ascii="Arial" w:hAnsi="Arial" w:cs="Arial"/>
                <w:sz w:val="20"/>
              </w:rPr>
            </w:pPr>
            <w:r w:rsidRPr="00B70033">
              <w:rPr>
                <w:rFonts w:eastAsia="Times New Roman"/>
                <w:sz w:val="20"/>
                <w:szCs w:val="20"/>
                <w:lang w:eastAsia="en-AU"/>
              </w:rPr>
              <w:t>Simple and transparent</w:t>
            </w:r>
          </w:p>
        </w:tc>
        <w:tc>
          <w:tcPr>
            <w:tcW w:w="6662" w:type="dxa"/>
            <w:tcBorders>
              <w:left w:val="none" w:sz="0" w:space="0" w:color="auto"/>
              <w:right w:val="none" w:sz="0" w:space="0" w:color="auto"/>
            </w:tcBorders>
          </w:tcPr>
          <w:p w:rsidR="007F6003" w:rsidRPr="00452CE5" w:rsidRDefault="007F6003" w:rsidP="007F6003">
            <w:pPr>
              <w:spacing w:before="100" w:after="10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452CE5">
              <w:rPr>
                <w:rFonts w:eastAsia="Times New Roman"/>
                <w:sz w:val="20"/>
                <w:szCs w:val="20"/>
                <w:lang w:eastAsia="en-AU"/>
              </w:rPr>
              <w:t>The classification has as many classes as are needed for its purpose and no more.</w:t>
            </w:r>
          </w:p>
          <w:p w:rsidR="007F6003" w:rsidRPr="00C32FB0" w:rsidRDefault="007F6003" w:rsidP="007F6003">
            <w:pPr>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52CE5">
              <w:rPr>
                <w:rFonts w:eastAsia="Times New Roman"/>
                <w:sz w:val="20"/>
                <w:szCs w:val="20"/>
                <w:lang w:eastAsia="en-AU"/>
              </w:rPr>
              <w:t>Assignment of cases to classes should occur through a process that is transparent and able to be understood by clinicians and health service managers.</w:t>
            </w:r>
          </w:p>
        </w:tc>
      </w:tr>
      <w:tr w:rsidR="007F6003" w:rsidRPr="00C32FB0" w:rsidTr="007C426F">
        <w:trPr>
          <w:cantSplit/>
          <w:trHeight w:val="227"/>
        </w:trPr>
        <w:tc>
          <w:tcPr>
            <w:cnfStyle w:val="001000000000" w:firstRow="0" w:lastRow="0" w:firstColumn="1" w:lastColumn="0" w:oddVBand="0" w:evenVBand="0" w:oddHBand="0" w:evenHBand="0" w:firstRowFirstColumn="0" w:firstRowLastColumn="0" w:lastRowFirstColumn="0" w:lastRowLastColumn="0"/>
            <w:tcW w:w="2518" w:type="dxa"/>
          </w:tcPr>
          <w:p w:rsidR="007F6003" w:rsidRPr="00B70033" w:rsidRDefault="007F6003" w:rsidP="00B70033">
            <w:pPr>
              <w:pStyle w:val="ListParagraph"/>
              <w:keepLines/>
              <w:numPr>
                <w:ilvl w:val="0"/>
                <w:numId w:val="13"/>
              </w:numPr>
              <w:spacing w:before="100" w:after="100"/>
              <w:rPr>
                <w:rFonts w:ascii="Arial" w:hAnsi="Arial" w:cs="Arial"/>
                <w:sz w:val="20"/>
              </w:rPr>
            </w:pPr>
            <w:r w:rsidRPr="00B70033">
              <w:rPr>
                <w:rFonts w:eastAsia="Times New Roman"/>
                <w:sz w:val="20"/>
                <w:szCs w:val="20"/>
                <w:lang w:eastAsia="en-AU"/>
              </w:rPr>
              <w:t>Minimising undesirable and inadvertent consequences</w:t>
            </w:r>
          </w:p>
        </w:tc>
        <w:tc>
          <w:tcPr>
            <w:tcW w:w="6662" w:type="dxa"/>
          </w:tcPr>
          <w:p w:rsidR="007F6003" w:rsidRPr="00452CE5" w:rsidRDefault="007F6003" w:rsidP="007F6003">
            <w:pPr>
              <w:spacing w:before="100" w:after="10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452CE5">
              <w:rPr>
                <w:rFonts w:eastAsia="Times New Roman"/>
                <w:sz w:val="20"/>
                <w:szCs w:val="20"/>
                <w:lang w:eastAsia="en-AU"/>
              </w:rPr>
              <w:t>The classification relies on data elements that are collected consistently and uniformly.</w:t>
            </w:r>
          </w:p>
          <w:p w:rsidR="007F6003" w:rsidRPr="00452CE5" w:rsidRDefault="007F6003" w:rsidP="007F6003">
            <w:pPr>
              <w:spacing w:before="100" w:after="10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452CE5">
              <w:rPr>
                <w:rFonts w:eastAsia="Times New Roman"/>
                <w:sz w:val="20"/>
                <w:szCs w:val="20"/>
                <w:lang w:eastAsia="en-AU"/>
              </w:rPr>
              <w:t>The classification minimises the reliance on data elements that are open to local interpretation and/or provide incentives to change reporting to optimise funding.</w:t>
            </w:r>
          </w:p>
          <w:p w:rsidR="007F6003" w:rsidRPr="00452CE5" w:rsidRDefault="007F6003" w:rsidP="007F6003">
            <w:pPr>
              <w:spacing w:before="100" w:after="10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452CE5">
              <w:rPr>
                <w:rFonts w:eastAsia="Times New Roman"/>
                <w:sz w:val="20"/>
                <w:szCs w:val="20"/>
                <w:lang w:eastAsia="en-AU"/>
              </w:rPr>
              <w:t>The classification should minimise susceptibility to gaming, inappropriate rewards and perverse incentives.</w:t>
            </w:r>
          </w:p>
          <w:p w:rsidR="007F6003" w:rsidRPr="00C32FB0" w:rsidRDefault="007F6003" w:rsidP="007F6003">
            <w:pPr>
              <w:keepLines/>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52CE5">
              <w:rPr>
                <w:rFonts w:eastAsia="Times New Roman"/>
                <w:sz w:val="20"/>
                <w:szCs w:val="20"/>
                <w:lang w:eastAsia="en-AU"/>
              </w:rPr>
              <w:t>The underlying data contributing to the classification are able to be audited.</w:t>
            </w:r>
          </w:p>
        </w:tc>
      </w:tr>
      <w:tr w:rsidR="007F6003" w:rsidRPr="00C32FB0" w:rsidTr="007C426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tcPr>
          <w:p w:rsidR="007F6003" w:rsidRPr="00B70033" w:rsidRDefault="007F6003" w:rsidP="00B70033">
            <w:pPr>
              <w:pStyle w:val="ListParagraph"/>
              <w:keepLines/>
              <w:numPr>
                <w:ilvl w:val="0"/>
                <w:numId w:val="13"/>
              </w:numPr>
              <w:spacing w:before="100" w:after="100"/>
              <w:rPr>
                <w:rFonts w:ascii="Arial" w:hAnsi="Arial" w:cs="Arial"/>
                <w:sz w:val="20"/>
              </w:rPr>
            </w:pPr>
            <w:r w:rsidRPr="00B70033">
              <w:rPr>
                <w:rFonts w:eastAsia="Times New Roman"/>
                <w:sz w:val="20"/>
                <w:szCs w:val="20"/>
                <w:lang w:eastAsia="en-AU"/>
              </w:rPr>
              <w:t>Capacity for improvement</w:t>
            </w:r>
          </w:p>
        </w:tc>
        <w:tc>
          <w:tcPr>
            <w:tcW w:w="6662" w:type="dxa"/>
            <w:tcBorders>
              <w:left w:val="none" w:sz="0" w:space="0" w:color="auto"/>
              <w:right w:val="none" w:sz="0" w:space="0" w:color="auto"/>
            </w:tcBorders>
          </w:tcPr>
          <w:p w:rsidR="007F6003" w:rsidRPr="00452CE5" w:rsidRDefault="007F6003" w:rsidP="007F6003">
            <w:pPr>
              <w:spacing w:before="100" w:after="10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452CE5">
              <w:rPr>
                <w:rFonts w:eastAsia="Times New Roman"/>
                <w:sz w:val="20"/>
                <w:szCs w:val="20"/>
                <w:lang w:eastAsia="en-AU"/>
              </w:rPr>
              <w:t>The classification and the underlying data elements should provide information of sufficient granularity to facilitate improvement in the classification over time, for example, to reflect changes in practice patterns and technological advances, and to incorporate emerging knowledge about cost drivers.</w:t>
            </w:r>
          </w:p>
          <w:p w:rsidR="007F6003" w:rsidRPr="00C32FB0" w:rsidRDefault="007F6003" w:rsidP="007F6003">
            <w:pPr>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52CE5">
              <w:rPr>
                <w:rFonts w:eastAsia="Times New Roman"/>
                <w:sz w:val="20"/>
                <w:szCs w:val="20"/>
                <w:lang w:eastAsia="en-AU"/>
              </w:rPr>
              <w:t>The system should be sufficiently flexible to adapt to such change without requiring major restructuring.</w:t>
            </w:r>
          </w:p>
        </w:tc>
      </w:tr>
      <w:tr w:rsidR="007F6003" w:rsidRPr="00C32FB0" w:rsidTr="007C426F">
        <w:trPr>
          <w:cantSplit/>
          <w:trHeight w:val="227"/>
        </w:trPr>
        <w:tc>
          <w:tcPr>
            <w:cnfStyle w:val="001000000000" w:firstRow="0" w:lastRow="0" w:firstColumn="1" w:lastColumn="0" w:oddVBand="0" w:evenVBand="0" w:oddHBand="0" w:evenHBand="0" w:firstRowFirstColumn="0" w:firstRowLastColumn="0" w:lastRowFirstColumn="0" w:lastRowLastColumn="0"/>
            <w:tcW w:w="2518" w:type="dxa"/>
          </w:tcPr>
          <w:p w:rsidR="007F6003" w:rsidRPr="00B70033" w:rsidRDefault="007F6003" w:rsidP="00B70033">
            <w:pPr>
              <w:pStyle w:val="ListParagraph"/>
              <w:keepLines/>
              <w:numPr>
                <w:ilvl w:val="0"/>
                <w:numId w:val="13"/>
              </w:numPr>
              <w:spacing w:before="100" w:after="100"/>
              <w:rPr>
                <w:rFonts w:ascii="Arial" w:hAnsi="Arial" w:cs="Arial"/>
                <w:sz w:val="20"/>
              </w:rPr>
            </w:pPr>
            <w:r w:rsidRPr="00B70033">
              <w:rPr>
                <w:rFonts w:eastAsia="Times New Roman"/>
                <w:sz w:val="20"/>
                <w:szCs w:val="20"/>
                <w:lang w:eastAsia="en-AU"/>
              </w:rPr>
              <w:t>Utility beyond activity based funding</w:t>
            </w:r>
          </w:p>
        </w:tc>
        <w:tc>
          <w:tcPr>
            <w:tcW w:w="6662" w:type="dxa"/>
          </w:tcPr>
          <w:p w:rsidR="007F6003" w:rsidRPr="00452CE5" w:rsidRDefault="007F6003" w:rsidP="007F6003">
            <w:pPr>
              <w:spacing w:before="100" w:after="100"/>
              <w:cnfStyle w:val="000000000000" w:firstRow="0" w:lastRow="0" w:firstColumn="0" w:lastColumn="0" w:oddVBand="0" w:evenVBand="0" w:oddHBand="0" w:evenHBand="0" w:firstRowFirstColumn="0" w:firstRowLastColumn="0" w:lastRowFirstColumn="0" w:lastRowLastColumn="0"/>
              <w:rPr>
                <w:rFonts w:eastAsia="Times New Roman"/>
                <w:sz w:val="20"/>
                <w:szCs w:val="20"/>
                <w:lang w:eastAsia="en-AU"/>
              </w:rPr>
            </w:pPr>
            <w:r w:rsidRPr="00452CE5">
              <w:rPr>
                <w:rFonts w:eastAsia="Times New Roman"/>
                <w:sz w:val="20"/>
                <w:szCs w:val="20"/>
                <w:lang w:eastAsia="en-AU"/>
              </w:rPr>
              <w:t>The classification and the underlying data elements should allow the analysis of best practice and facilitate benchmarking.</w:t>
            </w:r>
          </w:p>
          <w:p w:rsidR="007F6003" w:rsidRPr="00C32FB0" w:rsidRDefault="007F6003" w:rsidP="007F6003">
            <w:pPr>
              <w:keepLines/>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52CE5">
              <w:rPr>
                <w:rFonts w:eastAsia="Times New Roman"/>
                <w:sz w:val="20"/>
                <w:szCs w:val="20"/>
                <w:lang w:eastAsia="en-AU"/>
              </w:rPr>
              <w:t>The data elements required for the classification are useful for purposes other than funding. These may include health services management, monitoring of quality and safety, epidemiological monitoring, understanding practice and cost variation, health services planning and performance reporting.</w:t>
            </w:r>
          </w:p>
        </w:tc>
      </w:tr>
      <w:tr w:rsidR="007F6003" w:rsidRPr="00C32FB0" w:rsidTr="007C426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2518" w:type="dxa"/>
            <w:tcBorders>
              <w:left w:val="none" w:sz="0" w:space="0" w:color="auto"/>
              <w:right w:val="none" w:sz="0" w:space="0" w:color="auto"/>
            </w:tcBorders>
          </w:tcPr>
          <w:p w:rsidR="007F6003" w:rsidRPr="00B70033" w:rsidRDefault="007F6003" w:rsidP="00B70033">
            <w:pPr>
              <w:pStyle w:val="ListParagraph"/>
              <w:keepLines/>
              <w:numPr>
                <w:ilvl w:val="0"/>
                <w:numId w:val="13"/>
              </w:numPr>
              <w:spacing w:before="100" w:after="100"/>
              <w:rPr>
                <w:rFonts w:ascii="Arial" w:hAnsi="Arial" w:cs="Arial"/>
                <w:sz w:val="20"/>
              </w:rPr>
            </w:pPr>
            <w:r w:rsidRPr="00B70033">
              <w:rPr>
                <w:rFonts w:eastAsia="Times New Roman"/>
                <w:sz w:val="20"/>
                <w:szCs w:val="20"/>
                <w:lang w:eastAsia="en-AU"/>
              </w:rPr>
              <w:lastRenderedPageBreak/>
              <w:t>Administrative and operational feasibility</w:t>
            </w:r>
          </w:p>
        </w:tc>
        <w:tc>
          <w:tcPr>
            <w:tcW w:w="6662" w:type="dxa"/>
            <w:tcBorders>
              <w:left w:val="none" w:sz="0" w:space="0" w:color="auto"/>
              <w:right w:val="none" w:sz="0" w:space="0" w:color="auto"/>
            </w:tcBorders>
          </w:tcPr>
          <w:p w:rsidR="007F6003" w:rsidRPr="00452CE5" w:rsidRDefault="007F6003" w:rsidP="007F6003">
            <w:pPr>
              <w:spacing w:before="100" w:after="10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452CE5">
              <w:rPr>
                <w:rFonts w:eastAsia="Times New Roman"/>
                <w:sz w:val="20"/>
                <w:szCs w:val="20"/>
                <w:lang w:eastAsia="en-AU"/>
              </w:rPr>
              <w:t>The benefits of the data collected for the classification outweigh the administrative cost and burden of collection.</w:t>
            </w:r>
          </w:p>
          <w:p w:rsidR="007F6003" w:rsidRPr="00452CE5" w:rsidRDefault="007F6003" w:rsidP="007F6003">
            <w:pPr>
              <w:spacing w:before="100" w:after="10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452CE5">
              <w:rPr>
                <w:rFonts w:eastAsia="Times New Roman"/>
                <w:sz w:val="20"/>
                <w:szCs w:val="20"/>
                <w:lang w:eastAsia="en-AU"/>
              </w:rPr>
              <w:t>The additional cost of systems to maintain integrity of data required for classification is negligible or reasonable.</w:t>
            </w:r>
          </w:p>
          <w:p w:rsidR="007F6003" w:rsidRPr="00452CE5" w:rsidRDefault="007F6003" w:rsidP="007F6003">
            <w:pPr>
              <w:spacing w:before="100" w:after="100"/>
              <w:cnfStyle w:val="000000100000" w:firstRow="0" w:lastRow="0" w:firstColumn="0" w:lastColumn="0" w:oddVBand="0" w:evenVBand="0" w:oddHBand="1" w:evenHBand="0" w:firstRowFirstColumn="0" w:firstRowLastColumn="0" w:lastRowFirstColumn="0" w:lastRowLastColumn="0"/>
              <w:rPr>
                <w:rFonts w:eastAsia="Times New Roman"/>
                <w:sz w:val="20"/>
                <w:szCs w:val="20"/>
                <w:lang w:eastAsia="en-AU"/>
              </w:rPr>
            </w:pPr>
            <w:r w:rsidRPr="00452CE5">
              <w:rPr>
                <w:rFonts w:eastAsia="Times New Roman"/>
                <w:sz w:val="20"/>
                <w:szCs w:val="20"/>
                <w:lang w:eastAsia="en-AU"/>
              </w:rPr>
              <w:t>The collection of data utilises approaches that assist with or consistent with the implementation of the electronic health/medical record.</w:t>
            </w:r>
          </w:p>
          <w:p w:rsidR="007F6003" w:rsidRPr="00C32FB0" w:rsidRDefault="007F6003" w:rsidP="007F6003">
            <w:pPr>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452CE5">
              <w:rPr>
                <w:rFonts w:eastAsia="Times New Roman"/>
                <w:sz w:val="20"/>
                <w:szCs w:val="20"/>
                <w:lang w:eastAsia="en-AU"/>
              </w:rPr>
              <w:t>The cost to establish/ purchase and maintain the classification system is balanced by the benefits that it offers, and is affordable to the health system relative to other priorities.</w:t>
            </w:r>
          </w:p>
        </w:tc>
      </w:tr>
    </w:tbl>
    <w:p w:rsidR="00C94E8D" w:rsidRPr="00C32FB0" w:rsidRDefault="00C94E8D" w:rsidP="00133218">
      <w:pPr>
        <w:pStyle w:val="Heading2"/>
        <w:rPr>
          <w:rFonts w:ascii="Arial" w:hAnsi="Arial" w:cs="Arial"/>
        </w:rPr>
      </w:pPr>
      <w:bookmarkStart w:id="23" w:name="_Toc407021937"/>
      <w:bookmarkEnd w:id="21"/>
      <w:r w:rsidRPr="00C32FB0">
        <w:rPr>
          <w:rFonts w:ascii="Arial" w:hAnsi="Arial" w:cs="Arial"/>
        </w:rPr>
        <w:t>Data that</w:t>
      </w:r>
      <w:r w:rsidR="00FB5C1E" w:rsidRPr="00C32FB0">
        <w:rPr>
          <w:rFonts w:ascii="Arial" w:hAnsi="Arial" w:cs="Arial"/>
        </w:rPr>
        <w:t xml:space="preserve"> can </w:t>
      </w:r>
      <w:r w:rsidRPr="00C32FB0">
        <w:rPr>
          <w:rFonts w:ascii="Arial" w:hAnsi="Arial" w:cs="Arial"/>
        </w:rPr>
        <w:t>be used in the AMHCC</w:t>
      </w:r>
      <w:bookmarkEnd w:id="23"/>
    </w:p>
    <w:p w:rsidR="00FE7BBE" w:rsidRPr="00C32FB0" w:rsidRDefault="00B449E5" w:rsidP="00133218">
      <w:pPr>
        <w:rPr>
          <w:rFonts w:ascii="Arial" w:hAnsi="Arial" w:cs="Arial"/>
        </w:rPr>
      </w:pPr>
      <w:r w:rsidRPr="00C32FB0">
        <w:rPr>
          <w:rFonts w:ascii="Arial" w:hAnsi="Arial" w:cs="Arial"/>
        </w:rPr>
        <w:t>In developing the AMHCC, IHPA has accepted UQ’s recommendation that</w:t>
      </w:r>
      <w:r w:rsidR="00133218" w:rsidRPr="00C32FB0">
        <w:rPr>
          <w:rFonts w:ascii="Arial" w:hAnsi="Arial" w:cs="Arial"/>
        </w:rPr>
        <w:t>, consistent with the principal of ‘</w:t>
      </w:r>
      <w:r w:rsidR="00111581" w:rsidRPr="00C32FB0">
        <w:rPr>
          <w:rFonts w:ascii="Arial" w:hAnsi="Arial" w:cs="Arial"/>
        </w:rPr>
        <w:t>single provision, multiple use’</w:t>
      </w:r>
      <w:r w:rsidR="00133218" w:rsidRPr="00C32FB0">
        <w:rPr>
          <w:rFonts w:ascii="Arial" w:hAnsi="Arial" w:cs="Arial"/>
        </w:rPr>
        <w:t xml:space="preserve">, the dataset to be developed by IHPA be derived from relevant minimum data sets, the </w:t>
      </w:r>
      <w:r w:rsidR="00FE7BBE" w:rsidRPr="00C32FB0">
        <w:rPr>
          <w:rFonts w:ascii="Arial" w:hAnsi="Arial" w:cs="Arial"/>
        </w:rPr>
        <w:t xml:space="preserve">National Outcomes and </w:t>
      </w:r>
      <w:proofErr w:type="spellStart"/>
      <w:r w:rsidR="00FE7BBE" w:rsidRPr="00C32FB0">
        <w:rPr>
          <w:rFonts w:ascii="Arial" w:hAnsi="Arial" w:cs="Arial"/>
        </w:rPr>
        <w:t>Casemix</w:t>
      </w:r>
      <w:proofErr w:type="spellEnd"/>
      <w:r w:rsidR="00FE7BBE" w:rsidRPr="00C32FB0">
        <w:rPr>
          <w:rFonts w:ascii="Arial" w:hAnsi="Arial" w:cs="Arial"/>
        </w:rPr>
        <w:t xml:space="preserve"> Collection (</w:t>
      </w:r>
      <w:r w:rsidR="00133218" w:rsidRPr="00C32FB0">
        <w:rPr>
          <w:rFonts w:ascii="Arial" w:hAnsi="Arial" w:cs="Arial"/>
        </w:rPr>
        <w:t>NOCC</w:t>
      </w:r>
      <w:r w:rsidR="00FE7BBE" w:rsidRPr="00C32FB0">
        <w:rPr>
          <w:rFonts w:ascii="Arial" w:hAnsi="Arial" w:cs="Arial"/>
        </w:rPr>
        <w:t>)</w:t>
      </w:r>
      <w:r w:rsidR="00133218" w:rsidRPr="00C32FB0">
        <w:rPr>
          <w:rFonts w:ascii="Arial" w:hAnsi="Arial" w:cs="Arial"/>
        </w:rPr>
        <w:t xml:space="preserve">, mental health interventions and the </w:t>
      </w:r>
      <w:r w:rsidR="00FE7BBE" w:rsidRPr="00C32FB0">
        <w:rPr>
          <w:rFonts w:ascii="Arial" w:hAnsi="Arial" w:cs="Arial"/>
        </w:rPr>
        <w:t xml:space="preserve">national </w:t>
      </w:r>
      <w:r w:rsidR="00133218" w:rsidRPr="00C32FB0">
        <w:rPr>
          <w:rFonts w:ascii="Arial" w:hAnsi="Arial" w:cs="Arial"/>
        </w:rPr>
        <w:t>hospital cost data collection.</w:t>
      </w:r>
      <w:r w:rsidR="00FE7BBE" w:rsidRPr="00C32FB0">
        <w:rPr>
          <w:rFonts w:ascii="Arial" w:hAnsi="Arial" w:cs="Arial"/>
        </w:rPr>
        <w:t xml:space="preserve"> Importantly, in order for the AMHCC to be used by IHPA and for it to have national applicability, the data needs to be able to be collected by states and territories.</w:t>
      </w:r>
    </w:p>
    <w:p w:rsidR="00B449E5" w:rsidRPr="00C32FB0" w:rsidRDefault="00B449E5" w:rsidP="00133218">
      <w:pPr>
        <w:rPr>
          <w:rFonts w:ascii="Arial" w:hAnsi="Arial" w:cs="Arial"/>
        </w:rPr>
      </w:pPr>
      <w:r w:rsidRPr="00C32FB0">
        <w:rPr>
          <w:rFonts w:ascii="Arial" w:hAnsi="Arial" w:cs="Arial"/>
        </w:rPr>
        <w:t xml:space="preserve">As such, version 1.0 of the </w:t>
      </w:r>
      <w:r w:rsidR="00133218" w:rsidRPr="00C32FB0">
        <w:rPr>
          <w:rFonts w:ascii="Arial" w:hAnsi="Arial" w:cs="Arial"/>
        </w:rPr>
        <w:t>ABF Mental Health Care Data Set Specification (ABF MH</w:t>
      </w:r>
      <w:r w:rsidR="00311148" w:rsidRPr="00C32FB0">
        <w:rPr>
          <w:rFonts w:ascii="Arial" w:hAnsi="Arial" w:cs="Arial"/>
        </w:rPr>
        <w:t>C</w:t>
      </w:r>
      <w:r w:rsidR="00133218" w:rsidRPr="00C32FB0">
        <w:rPr>
          <w:rFonts w:ascii="Arial" w:hAnsi="Arial" w:cs="Arial"/>
        </w:rPr>
        <w:t xml:space="preserve"> DSS) uses existing data collections and definitions where</w:t>
      </w:r>
      <w:r w:rsidR="00FE7BBE" w:rsidRPr="00C32FB0">
        <w:rPr>
          <w:rFonts w:ascii="Arial" w:hAnsi="Arial" w:cs="Arial"/>
        </w:rPr>
        <w:t xml:space="preserve"> feasible</w:t>
      </w:r>
      <w:r w:rsidR="009975A1">
        <w:rPr>
          <w:rFonts w:ascii="Arial" w:hAnsi="Arial" w:cs="Arial"/>
        </w:rPr>
        <w:t xml:space="preserve">, noting the addition of the three new data elements proposed by UQ </w:t>
      </w:r>
      <w:r w:rsidR="009975A1" w:rsidRPr="00C32FB0">
        <w:rPr>
          <w:rFonts w:ascii="Arial" w:hAnsi="Arial" w:cs="Arial"/>
        </w:rPr>
        <w:t xml:space="preserve">(explained in </w:t>
      </w:r>
      <w:r w:rsidR="009975A1">
        <w:rPr>
          <w:rFonts w:ascii="Arial" w:hAnsi="Arial" w:cs="Arial"/>
        </w:rPr>
        <w:t>more</w:t>
      </w:r>
      <w:r w:rsidR="009975A1" w:rsidRPr="00C32FB0">
        <w:rPr>
          <w:rFonts w:ascii="Arial" w:hAnsi="Arial" w:cs="Arial"/>
        </w:rPr>
        <w:t xml:space="preserve"> detail below)</w:t>
      </w:r>
      <w:r w:rsidR="00FE7BBE" w:rsidRPr="00C32FB0">
        <w:rPr>
          <w:rFonts w:ascii="Arial" w:hAnsi="Arial" w:cs="Arial"/>
        </w:rPr>
        <w:t xml:space="preserve">. In order for any additional data items to be included beyond those </w:t>
      </w:r>
      <w:r w:rsidR="009975A1">
        <w:rPr>
          <w:rFonts w:ascii="Arial" w:hAnsi="Arial" w:cs="Arial"/>
        </w:rPr>
        <w:t xml:space="preserve">existing and </w:t>
      </w:r>
      <w:r w:rsidR="00AB7A0E">
        <w:rPr>
          <w:rFonts w:ascii="Arial" w:hAnsi="Arial" w:cs="Arial"/>
        </w:rPr>
        <w:t xml:space="preserve">specified </w:t>
      </w:r>
      <w:r w:rsidR="009975A1">
        <w:rPr>
          <w:rFonts w:ascii="Arial" w:hAnsi="Arial" w:cs="Arial"/>
        </w:rPr>
        <w:t xml:space="preserve">new items </w:t>
      </w:r>
      <w:r w:rsidR="00FE7BBE" w:rsidRPr="00C32FB0">
        <w:rPr>
          <w:rFonts w:ascii="Arial" w:hAnsi="Arial" w:cs="Arial"/>
        </w:rPr>
        <w:t>specified in the ABF MHC DSS, all states and territories would need to be able to collect and report them.</w:t>
      </w:r>
    </w:p>
    <w:p w:rsidR="00060B8C" w:rsidRPr="00C32FB0" w:rsidRDefault="00060B8C" w:rsidP="00555274">
      <w:pPr>
        <w:pStyle w:val="Heading3"/>
        <w:pBdr>
          <w:top w:val="single" w:sz="4" w:space="1" w:color="004200" w:themeColor="text2"/>
          <w:left w:val="single" w:sz="4" w:space="4" w:color="004200" w:themeColor="text2"/>
          <w:bottom w:val="single" w:sz="4" w:space="1" w:color="004200" w:themeColor="text2"/>
          <w:right w:val="single" w:sz="4" w:space="4" w:color="004200" w:themeColor="text2"/>
        </w:pBdr>
        <w:rPr>
          <w:rFonts w:ascii="Arial" w:hAnsi="Arial" w:cs="Arial"/>
          <w:lang w:val="en-US" w:eastAsia="ja-JP"/>
        </w:rPr>
      </w:pPr>
      <w:r w:rsidRPr="00C32FB0">
        <w:rPr>
          <w:rFonts w:ascii="Arial" w:hAnsi="Arial" w:cs="Arial"/>
          <w:lang w:val="en-US" w:eastAsia="ja-JP"/>
        </w:rPr>
        <w:t>Consultation questions</w:t>
      </w:r>
    </w:p>
    <w:p w:rsidR="004B5559" w:rsidRPr="00C32FB0" w:rsidRDefault="004B5559" w:rsidP="00555274">
      <w:pPr>
        <w:pStyle w:val="ListParagraph"/>
        <w:keepNext/>
        <w:keepLines/>
        <w:numPr>
          <w:ilvl w:val="0"/>
          <w:numId w:val="4"/>
        </w:numPr>
        <w:pBdr>
          <w:top w:val="single" w:sz="4" w:space="1" w:color="004200" w:themeColor="text2"/>
          <w:left w:val="single" w:sz="4" w:space="4" w:color="004200" w:themeColor="text2"/>
          <w:bottom w:val="single" w:sz="4" w:space="1" w:color="004200" w:themeColor="text2"/>
          <w:right w:val="single" w:sz="4" w:space="4" w:color="004200" w:themeColor="text2"/>
        </w:pBdr>
        <w:ind w:left="357" w:hanging="357"/>
        <w:contextualSpacing w:val="0"/>
        <w:rPr>
          <w:rFonts w:ascii="Arial" w:hAnsi="Arial" w:cs="Arial"/>
          <w:lang w:val="en-US" w:eastAsia="ja-JP"/>
        </w:rPr>
      </w:pPr>
      <w:r w:rsidRPr="00C32FB0">
        <w:rPr>
          <w:rFonts w:ascii="Arial" w:hAnsi="Arial" w:cs="Arial"/>
          <w:lang w:val="en-US" w:eastAsia="ja-JP"/>
        </w:rPr>
        <w:t>Are the</w:t>
      </w:r>
      <w:r w:rsidR="00B70033">
        <w:rPr>
          <w:rFonts w:ascii="Arial" w:hAnsi="Arial" w:cs="Arial"/>
          <w:lang w:val="en-US" w:eastAsia="ja-JP"/>
        </w:rPr>
        <w:t xml:space="preserve">re any other </w:t>
      </w:r>
      <w:r w:rsidRPr="00C32FB0">
        <w:rPr>
          <w:rFonts w:ascii="Arial" w:hAnsi="Arial" w:cs="Arial"/>
          <w:lang w:val="en-US" w:eastAsia="ja-JP"/>
        </w:rPr>
        <w:t xml:space="preserve">principles </w:t>
      </w:r>
      <w:r w:rsidR="00B70033">
        <w:rPr>
          <w:rFonts w:ascii="Arial" w:hAnsi="Arial" w:cs="Arial"/>
          <w:lang w:val="en-US" w:eastAsia="ja-JP"/>
        </w:rPr>
        <w:t>that should be considered</w:t>
      </w:r>
      <w:r w:rsidRPr="00C32FB0">
        <w:rPr>
          <w:rFonts w:ascii="Arial" w:hAnsi="Arial" w:cs="Arial"/>
          <w:lang w:val="en-US" w:eastAsia="ja-JP"/>
        </w:rPr>
        <w:t xml:space="preserve"> in developing the AMHCC?</w:t>
      </w:r>
    </w:p>
    <w:p w:rsidR="004B5559" w:rsidRPr="00C32FB0" w:rsidRDefault="004B5559" w:rsidP="00555274">
      <w:pPr>
        <w:pStyle w:val="ListParagraph"/>
        <w:keepNext/>
        <w:keepLines/>
        <w:numPr>
          <w:ilvl w:val="0"/>
          <w:numId w:val="4"/>
        </w:numPr>
        <w:pBdr>
          <w:top w:val="single" w:sz="4" w:space="1" w:color="004200" w:themeColor="text2"/>
          <w:left w:val="single" w:sz="4" w:space="4" w:color="004200" w:themeColor="text2"/>
          <w:bottom w:val="single" w:sz="4" w:space="1" w:color="004200" w:themeColor="text2"/>
          <w:right w:val="single" w:sz="4" w:space="4" w:color="004200" w:themeColor="text2"/>
        </w:pBdr>
        <w:ind w:left="357" w:hanging="357"/>
        <w:contextualSpacing w:val="0"/>
        <w:rPr>
          <w:rFonts w:ascii="Arial" w:hAnsi="Arial" w:cs="Arial"/>
          <w:lang w:val="en-US" w:eastAsia="ja-JP"/>
        </w:rPr>
      </w:pPr>
      <w:r w:rsidRPr="00C32FB0">
        <w:rPr>
          <w:rFonts w:ascii="Arial" w:hAnsi="Arial" w:cs="Arial"/>
          <w:lang w:val="en-US" w:eastAsia="ja-JP"/>
        </w:rPr>
        <w:t>Are there further data or other limitations of which the AMHCC should be aware?</w:t>
      </w:r>
    </w:p>
    <w:p w:rsidR="00060B8C" w:rsidRPr="00C32FB0" w:rsidRDefault="00AA175C" w:rsidP="00555274">
      <w:pPr>
        <w:pStyle w:val="ListParagraph"/>
        <w:keepNext/>
        <w:keepLines/>
        <w:numPr>
          <w:ilvl w:val="0"/>
          <w:numId w:val="4"/>
        </w:numPr>
        <w:pBdr>
          <w:top w:val="single" w:sz="4" w:space="1" w:color="004200" w:themeColor="text2"/>
          <w:left w:val="single" w:sz="4" w:space="4" w:color="004200" w:themeColor="text2"/>
          <w:bottom w:val="single" w:sz="4" w:space="1" w:color="004200" w:themeColor="text2"/>
          <w:right w:val="single" w:sz="4" w:space="4" w:color="004200" w:themeColor="text2"/>
        </w:pBdr>
        <w:ind w:left="357" w:hanging="357"/>
        <w:contextualSpacing w:val="0"/>
        <w:rPr>
          <w:rFonts w:ascii="Arial" w:hAnsi="Arial" w:cs="Arial"/>
        </w:rPr>
      </w:pPr>
      <w:r w:rsidRPr="00C32FB0">
        <w:rPr>
          <w:rFonts w:ascii="Arial" w:hAnsi="Arial" w:cs="Arial"/>
          <w:lang w:val="en-US" w:eastAsia="ja-JP"/>
        </w:rPr>
        <w:t>Are there any other key considerations that should be taken into account in developing the AMHCC?</w:t>
      </w:r>
      <w:r w:rsidR="00060B8C" w:rsidRPr="00C32FB0">
        <w:rPr>
          <w:rFonts w:ascii="Arial" w:hAnsi="Arial" w:cs="Arial"/>
          <w:lang w:val="en-US" w:eastAsia="ja-JP"/>
        </w:rPr>
        <w:br w:type="page"/>
      </w:r>
    </w:p>
    <w:p w:rsidR="006808CD" w:rsidRPr="00C32FB0" w:rsidRDefault="006808CD" w:rsidP="00060B8C">
      <w:pPr>
        <w:pStyle w:val="Heading1"/>
        <w:rPr>
          <w:rFonts w:ascii="Arial" w:hAnsi="Arial" w:cs="Arial"/>
          <w:lang w:val="en-US" w:eastAsia="ja-JP"/>
        </w:rPr>
      </w:pPr>
      <w:bookmarkStart w:id="24" w:name="_Toc407021938"/>
      <w:r w:rsidRPr="00C32FB0">
        <w:rPr>
          <w:rFonts w:ascii="Arial" w:hAnsi="Arial" w:cs="Arial"/>
          <w:lang w:val="en-US" w:eastAsia="ja-JP"/>
        </w:rPr>
        <w:lastRenderedPageBreak/>
        <w:t>Work undertaken to date</w:t>
      </w:r>
      <w:bookmarkEnd w:id="24"/>
    </w:p>
    <w:p w:rsidR="007E203F" w:rsidRPr="00C32FB0" w:rsidRDefault="007E203F" w:rsidP="007E203F">
      <w:pPr>
        <w:rPr>
          <w:rFonts w:ascii="Arial" w:hAnsi="Arial" w:cs="Arial"/>
        </w:rPr>
      </w:pPr>
      <w:r w:rsidRPr="00C32FB0">
        <w:rPr>
          <w:rFonts w:ascii="Arial" w:hAnsi="Arial" w:cs="Arial"/>
        </w:rPr>
        <w:t xml:space="preserve">As outlined in the Introduction, signification work which will inform the development of the AMHCC has already been undertaken. Of the five stages set out in the Introduction, IHPA has already carried out work to define the services in scope for the AMHCC, identify cost drivers, and test these cost drivers through a patient level costing study. </w:t>
      </w:r>
    </w:p>
    <w:p w:rsidR="007E203F" w:rsidRPr="00C32FB0" w:rsidRDefault="00573FEB" w:rsidP="00DA0324">
      <w:pPr>
        <w:pStyle w:val="Heading2"/>
        <w:rPr>
          <w:rFonts w:ascii="Arial" w:hAnsi="Arial" w:cs="Arial"/>
        </w:rPr>
      </w:pPr>
      <w:bookmarkStart w:id="25" w:name="_Toc407021939"/>
      <w:r w:rsidRPr="00C32FB0">
        <w:rPr>
          <w:rFonts w:ascii="Arial" w:hAnsi="Arial" w:cs="Arial"/>
        </w:rPr>
        <w:t xml:space="preserve">Development of a </w:t>
      </w:r>
      <w:r w:rsidR="004534FF" w:rsidRPr="00C32FB0">
        <w:rPr>
          <w:rFonts w:ascii="Arial" w:hAnsi="Arial" w:cs="Arial"/>
        </w:rPr>
        <w:t>Mental H</w:t>
      </w:r>
      <w:r w:rsidR="00DA0324" w:rsidRPr="00C32FB0">
        <w:rPr>
          <w:rFonts w:ascii="Arial" w:hAnsi="Arial" w:cs="Arial"/>
        </w:rPr>
        <w:t xml:space="preserve">ealth </w:t>
      </w:r>
      <w:r w:rsidR="004534FF" w:rsidRPr="00C32FB0">
        <w:rPr>
          <w:rFonts w:ascii="Arial" w:hAnsi="Arial" w:cs="Arial"/>
        </w:rPr>
        <w:t>Care Ty</w:t>
      </w:r>
      <w:r w:rsidR="00DA0324" w:rsidRPr="00C32FB0">
        <w:rPr>
          <w:rFonts w:ascii="Arial" w:hAnsi="Arial" w:cs="Arial"/>
        </w:rPr>
        <w:t>pe</w:t>
      </w:r>
      <w:bookmarkEnd w:id="25"/>
    </w:p>
    <w:p w:rsidR="00ED6AB0" w:rsidRPr="00C32FB0" w:rsidRDefault="00DA0324" w:rsidP="007E203F">
      <w:pPr>
        <w:rPr>
          <w:rFonts w:ascii="Arial" w:hAnsi="Arial" w:cs="Arial"/>
        </w:rPr>
      </w:pPr>
      <w:r w:rsidRPr="00C32FB0">
        <w:rPr>
          <w:rFonts w:ascii="Arial" w:hAnsi="Arial" w:cs="Arial"/>
        </w:rPr>
        <w:t xml:space="preserve">In </w:t>
      </w:r>
      <w:r w:rsidR="007E203F" w:rsidRPr="00C32FB0">
        <w:rPr>
          <w:rFonts w:ascii="Arial" w:hAnsi="Arial" w:cs="Arial"/>
        </w:rPr>
        <w:t>2012, I</w:t>
      </w:r>
      <w:r w:rsidR="00ED6AB0" w:rsidRPr="00C32FB0">
        <w:rPr>
          <w:rFonts w:ascii="Arial" w:hAnsi="Arial" w:cs="Arial"/>
        </w:rPr>
        <w:t xml:space="preserve">HPA engaged </w:t>
      </w:r>
      <w:r w:rsidR="007E203F" w:rsidRPr="00C32FB0">
        <w:rPr>
          <w:rFonts w:ascii="Arial" w:hAnsi="Arial" w:cs="Arial"/>
        </w:rPr>
        <w:t xml:space="preserve">UQ </w:t>
      </w:r>
      <w:r w:rsidR="00ED6AB0" w:rsidRPr="00C32FB0">
        <w:rPr>
          <w:rFonts w:ascii="Arial" w:hAnsi="Arial" w:cs="Arial"/>
        </w:rPr>
        <w:t>to develop a definition of mental health care for ABF purposes and to define the cost drivers associated with these services.</w:t>
      </w:r>
    </w:p>
    <w:p w:rsidR="00EC2393" w:rsidRPr="00C32FB0" w:rsidRDefault="007E203F" w:rsidP="00EC2393">
      <w:pPr>
        <w:rPr>
          <w:rFonts w:ascii="Arial" w:hAnsi="Arial" w:cs="Arial"/>
        </w:rPr>
      </w:pPr>
      <w:r w:rsidRPr="00C32FB0">
        <w:rPr>
          <w:rFonts w:ascii="Arial" w:hAnsi="Arial" w:cs="Arial"/>
        </w:rPr>
        <w:t xml:space="preserve">UQ </w:t>
      </w:r>
      <w:r w:rsidR="00ED6AB0" w:rsidRPr="00C32FB0">
        <w:rPr>
          <w:rFonts w:ascii="Arial" w:hAnsi="Arial" w:cs="Arial"/>
        </w:rPr>
        <w:t>propo</w:t>
      </w:r>
      <w:r w:rsidR="00D1106D" w:rsidRPr="00C32FB0">
        <w:rPr>
          <w:rFonts w:ascii="Arial" w:hAnsi="Arial" w:cs="Arial"/>
        </w:rPr>
        <w:t>sed the creation of a separate C</w:t>
      </w:r>
      <w:r w:rsidR="00ED6AB0" w:rsidRPr="00C32FB0">
        <w:rPr>
          <w:rFonts w:ascii="Arial" w:hAnsi="Arial" w:cs="Arial"/>
        </w:rPr>
        <w:t xml:space="preserve">are </w:t>
      </w:r>
      <w:r w:rsidR="00394BFD" w:rsidRPr="00C32FB0">
        <w:rPr>
          <w:rFonts w:ascii="Arial" w:hAnsi="Arial" w:cs="Arial"/>
        </w:rPr>
        <w:t>T</w:t>
      </w:r>
      <w:r w:rsidR="00111581" w:rsidRPr="00C32FB0">
        <w:rPr>
          <w:rFonts w:ascii="Arial" w:hAnsi="Arial" w:cs="Arial"/>
        </w:rPr>
        <w:t xml:space="preserve">ype for mental health services. The following definition was </w:t>
      </w:r>
      <w:r w:rsidRPr="00C32FB0">
        <w:rPr>
          <w:rFonts w:ascii="Arial" w:hAnsi="Arial" w:cs="Arial"/>
        </w:rPr>
        <w:t>approved by the Pricing Authority on 31 May 2013.</w:t>
      </w:r>
      <w:r w:rsidR="00EC2393" w:rsidRPr="00C32FB0">
        <w:rPr>
          <w:rFonts w:ascii="Arial" w:hAnsi="Arial" w:cs="Arial"/>
        </w:rPr>
        <w:t xml:space="preserve"> It is also set out and described in the Introduction to this paper:</w:t>
      </w:r>
    </w:p>
    <w:p w:rsidR="00EC2393" w:rsidRPr="00C32FB0" w:rsidRDefault="00EC2393" w:rsidP="00EC2393">
      <w:pPr>
        <w:pStyle w:val="Quote"/>
        <w:ind w:left="720"/>
        <w:rPr>
          <w:rFonts w:ascii="Arial" w:hAnsi="Arial" w:cs="Arial"/>
        </w:rPr>
      </w:pPr>
      <w:r w:rsidRPr="00C32FB0">
        <w:rPr>
          <w:rFonts w:ascii="Arial" w:hAnsi="Arial" w:cs="Arial"/>
        </w:rPr>
        <w:t>Mental health care is care in which the primary clinical purpose or treatment goal is improvement in the symptoms and/or psychosocial, environmental and physical function relating to a patient’s mental disorder.</w:t>
      </w:r>
    </w:p>
    <w:p w:rsidR="00EC2393" w:rsidRPr="00C32FB0" w:rsidRDefault="00EC2393" w:rsidP="00EC2393">
      <w:pPr>
        <w:pStyle w:val="Quote"/>
        <w:ind w:left="720"/>
        <w:contextualSpacing/>
        <w:rPr>
          <w:rFonts w:ascii="Arial" w:hAnsi="Arial" w:cs="Arial"/>
        </w:rPr>
      </w:pPr>
      <w:r w:rsidRPr="00C32FB0">
        <w:rPr>
          <w:rFonts w:ascii="Arial" w:hAnsi="Arial" w:cs="Arial"/>
        </w:rPr>
        <w:t>Mental health care:</w:t>
      </w:r>
    </w:p>
    <w:p w:rsidR="00EC2393" w:rsidRPr="00C32FB0" w:rsidRDefault="00EC2393" w:rsidP="009E3CE7">
      <w:pPr>
        <w:pStyle w:val="Quote"/>
        <w:numPr>
          <w:ilvl w:val="0"/>
          <w:numId w:val="5"/>
        </w:numPr>
        <w:contextualSpacing/>
        <w:rPr>
          <w:rFonts w:ascii="Arial" w:hAnsi="Arial" w:cs="Arial"/>
        </w:rPr>
      </w:pPr>
      <w:r w:rsidRPr="00C32FB0">
        <w:rPr>
          <w:rFonts w:ascii="Arial" w:hAnsi="Arial" w:cs="Arial"/>
        </w:rPr>
        <w:t>is delivered under the management of, or regularly informed by, a clinician with specialised expertise in mental health;</w:t>
      </w:r>
    </w:p>
    <w:p w:rsidR="00EC2393" w:rsidRPr="00C32FB0" w:rsidRDefault="00EC2393" w:rsidP="009E3CE7">
      <w:pPr>
        <w:pStyle w:val="Quote"/>
        <w:numPr>
          <w:ilvl w:val="0"/>
          <w:numId w:val="5"/>
        </w:numPr>
        <w:contextualSpacing/>
        <w:rPr>
          <w:rFonts w:ascii="Arial" w:hAnsi="Arial" w:cs="Arial"/>
        </w:rPr>
      </w:pPr>
      <w:r w:rsidRPr="00C32FB0">
        <w:rPr>
          <w:rFonts w:ascii="Arial" w:hAnsi="Arial" w:cs="Arial"/>
        </w:rPr>
        <w:t>is evidenced by an individualised formal mental health assessment and the implementation of a documented mental health plan; and</w:t>
      </w:r>
    </w:p>
    <w:p w:rsidR="00EC2393" w:rsidRPr="00C32FB0" w:rsidRDefault="00EC2393" w:rsidP="009E3CE7">
      <w:pPr>
        <w:pStyle w:val="Quote"/>
        <w:numPr>
          <w:ilvl w:val="0"/>
          <w:numId w:val="5"/>
        </w:numPr>
        <w:rPr>
          <w:rFonts w:ascii="Arial" w:hAnsi="Arial" w:cs="Arial"/>
        </w:rPr>
      </w:pPr>
      <w:proofErr w:type="gramStart"/>
      <w:r w:rsidRPr="00C32FB0">
        <w:rPr>
          <w:rFonts w:ascii="Arial" w:hAnsi="Arial" w:cs="Arial"/>
        </w:rPr>
        <w:t>may</w:t>
      </w:r>
      <w:proofErr w:type="gramEnd"/>
      <w:r w:rsidRPr="00C32FB0">
        <w:rPr>
          <w:rFonts w:ascii="Arial" w:hAnsi="Arial" w:cs="Arial"/>
        </w:rPr>
        <w:t xml:space="preserve"> include significant psychosocial components including family and carer support.</w:t>
      </w:r>
    </w:p>
    <w:p w:rsidR="00EC2393" w:rsidRPr="00C32FB0" w:rsidRDefault="00EC2393" w:rsidP="00EC2393">
      <w:pPr>
        <w:rPr>
          <w:rFonts w:ascii="Arial" w:hAnsi="Arial" w:cs="Arial"/>
        </w:rPr>
      </w:pPr>
      <w:r w:rsidRPr="00C32FB0">
        <w:rPr>
          <w:rFonts w:ascii="Arial" w:hAnsi="Arial" w:cs="Arial"/>
        </w:rPr>
        <w:t xml:space="preserve">The </w:t>
      </w:r>
      <w:r w:rsidR="006F7C2A" w:rsidRPr="00C32FB0">
        <w:rPr>
          <w:rFonts w:ascii="Arial" w:hAnsi="Arial" w:cs="Arial"/>
        </w:rPr>
        <w:t>MHCT</w:t>
      </w:r>
      <w:r w:rsidRPr="00C32FB0">
        <w:rPr>
          <w:rFonts w:ascii="Arial" w:hAnsi="Arial" w:cs="Arial"/>
        </w:rPr>
        <w:t xml:space="preserve"> will be collected for admitted </w:t>
      </w:r>
      <w:r w:rsidR="00D51C6A" w:rsidRPr="00C32FB0">
        <w:rPr>
          <w:rFonts w:ascii="Arial" w:hAnsi="Arial" w:cs="Arial"/>
        </w:rPr>
        <w:t>patients from 1 </w:t>
      </w:r>
      <w:r w:rsidRPr="00C32FB0">
        <w:rPr>
          <w:rFonts w:ascii="Arial" w:hAnsi="Arial" w:cs="Arial"/>
        </w:rPr>
        <w:t>July</w:t>
      </w:r>
      <w:r w:rsidR="00D51C6A" w:rsidRPr="00C32FB0">
        <w:rPr>
          <w:rFonts w:ascii="Arial" w:hAnsi="Arial" w:cs="Arial"/>
        </w:rPr>
        <w:t> </w:t>
      </w:r>
      <w:r w:rsidRPr="00C32FB0">
        <w:rPr>
          <w:rFonts w:ascii="Arial" w:hAnsi="Arial" w:cs="Arial"/>
        </w:rPr>
        <w:t xml:space="preserve">2015. </w:t>
      </w:r>
      <w:r w:rsidR="00EA775D">
        <w:rPr>
          <w:rFonts w:ascii="Arial" w:hAnsi="Arial" w:cs="Arial"/>
        </w:rPr>
        <w:t>Those jurisdictions that have been able to do so have been collecting the MHCT for non-admitted patients since 1 July 2014, with the remainder starting from 1 July 2015.</w:t>
      </w:r>
      <w:r w:rsidR="00AB7A0E">
        <w:rPr>
          <w:rFonts w:ascii="Arial" w:hAnsi="Arial" w:cs="Arial"/>
        </w:rPr>
        <w:t xml:space="preserve"> The collection of the MHCT</w:t>
      </w:r>
      <w:r w:rsidRPr="00C32FB0">
        <w:rPr>
          <w:rFonts w:ascii="Arial" w:hAnsi="Arial" w:cs="Arial"/>
        </w:rPr>
        <w:t xml:space="preserve"> is in advance of the implementation of the AMHCC to enable as much time as possible for jurisdictions to identify any issu</w:t>
      </w:r>
      <w:r w:rsidR="00D51C6A" w:rsidRPr="00C32FB0">
        <w:rPr>
          <w:rFonts w:ascii="Arial" w:hAnsi="Arial" w:cs="Arial"/>
        </w:rPr>
        <w:t>es with the new Care Type. The A</w:t>
      </w:r>
      <w:r w:rsidRPr="00C32FB0">
        <w:rPr>
          <w:rFonts w:ascii="Arial" w:hAnsi="Arial" w:cs="Arial"/>
        </w:rPr>
        <w:t xml:space="preserve">dmitted </w:t>
      </w:r>
      <w:r w:rsidR="00D51C6A" w:rsidRPr="00C32FB0">
        <w:rPr>
          <w:rFonts w:ascii="Arial" w:hAnsi="Arial" w:cs="Arial"/>
        </w:rPr>
        <w:t>P</w:t>
      </w:r>
      <w:r w:rsidRPr="00C32FB0">
        <w:rPr>
          <w:rFonts w:ascii="Arial" w:hAnsi="Arial" w:cs="Arial"/>
        </w:rPr>
        <w:t xml:space="preserve">atient Care Types have been modified to explicitly exclude patients who meet the definition of the </w:t>
      </w:r>
      <w:r w:rsidR="006F7C2A" w:rsidRPr="00C32FB0">
        <w:rPr>
          <w:rFonts w:ascii="Arial" w:hAnsi="Arial" w:cs="Arial"/>
        </w:rPr>
        <w:t>MHCT</w:t>
      </w:r>
      <w:r w:rsidR="00D51C6A" w:rsidRPr="00C32FB0">
        <w:rPr>
          <w:rFonts w:ascii="Arial" w:hAnsi="Arial" w:cs="Arial"/>
        </w:rPr>
        <w:t xml:space="preserve"> from the Acute and S</w:t>
      </w:r>
      <w:r w:rsidRPr="00C32FB0">
        <w:rPr>
          <w:rFonts w:ascii="Arial" w:hAnsi="Arial" w:cs="Arial"/>
        </w:rPr>
        <w:t>ubacute Care Types.</w:t>
      </w:r>
    </w:p>
    <w:p w:rsidR="00EC2393" w:rsidRPr="00C32FB0" w:rsidRDefault="00EC2393" w:rsidP="00EC2393">
      <w:pPr>
        <w:rPr>
          <w:rFonts w:ascii="Arial" w:hAnsi="Arial" w:cs="Arial"/>
        </w:rPr>
      </w:pPr>
      <w:r w:rsidRPr="00C32FB0">
        <w:rPr>
          <w:rFonts w:ascii="Arial" w:hAnsi="Arial" w:cs="Arial"/>
        </w:rPr>
        <w:t>This mirrors the recommendation in the UQ Final Report</w:t>
      </w:r>
      <w:r w:rsidRPr="00C32FB0">
        <w:rPr>
          <w:rStyle w:val="FootnoteReference"/>
          <w:rFonts w:ascii="Arial" w:hAnsi="Arial"/>
        </w:rPr>
        <w:footnoteReference w:id="9"/>
      </w:r>
      <w:r w:rsidRPr="00C32FB0">
        <w:rPr>
          <w:rFonts w:ascii="Arial" w:hAnsi="Arial" w:cs="Arial"/>
        </w:rPr>
        <w:t xml:space="preserve">, in that the </w:t>
      </w:r>
      <w:r w:rsidR="006F7C2A" w:rsidRPr="00C32FB0">
        <w:rPr>
          <w:rFonts w:ascii="Arial" w:hAnsi="Arial" w:cs="Arial"/>
        </w:rPr>
        <w:t>MHCT</w:t>
      </w:r>
      <w:r w:rsidRPr="00C32FB0">
        <w:rPr>
          <w:rFonts w:ascii="Arial" w:hAnsi="Arial" w:cs="Arial"/>
        </w:rPr>
        <w:t xml:space="preserve"> is effectively the first Care Type to be allocated if the conditions of its definition are met. There are notes in each of the other Care Type definitions to this effect.</w:t>
      </w:r>
    </w:p>
    <w:p w:rsidR="00DA0324" w:rsidRPr="00C32FB0" w:rsidRDefault="00DA0324" w:rsidP="00DA0324">
      <w:pPr>
        <w:pStyle w:val="Heading2"/>
        <w:rPr>
          <w:rFonts w:ascii="Arial" w:hAnsi="Arial" w:cs="Arial"/>
        </w:rPr>
      </w:pPr>
      <w:bookmarkStart w:id="26" w:name="_Toc407021940"/>
      <w:r w:rsidRPr="00C32FB0">
        <w:rPr>
          <w:rFonts w:ascii="Arial" w:hAnsi="Arial" w:cs="Arial"/>
        </w:rPr>
        <w:t>Cost drivers and recommended classification architecture</w:t>
      </w:r>
      <w:bookmarkEnd w:id="26"/>
    </w:p>
    <w:p w:rsidR="00ED6AB0" w:rsidRPr="00C32FB0" w:rsidRDefault="00ED6AB0" w:rsidP="00ED6AB0">
      <w:pPr>
        <w:rPr>
          <w:rFonts w:ascii="Arial" w:hAnsi="Arial" w:cs="Arial"/>
        </w:rPr>
      </w:pPr>
      <w:r w:rsidRPr="00C32FB0">
        <w:rPr>
          <w:rFonts w:ascii="Arial" w:hAnsi="Arial" w:cs="Arial"/>
        </w:rPr>
        <w:t>Under commission from IHPA, UQ also undertook a comprehensive literature review, wide ranging stakeholder consultation, and quantitative analysis using data obtained from Queensland, Victoria and New South Wales to consider potential cost drivers for mental health care.</w:t>
      </w:r>
    </w:p>
    <w:p w:rsidR="00ED6AB0" w:rsidRPr="00C32FB0" w:rsidRDefault="00ED6AB0" w:rsidP="00ED6AB0">
      <w:pPr>
        <w:rPr>
          <w:rFonts w:ascii="Arial" w:hAnsi="Arial" w:cs="Arial"/>
        </w:rPr>
      </w:pPr>
      <w:r w:rsidRPr="00C32FB0">
        <w:rPr>
          <w:rFonts w:ascii="Arial" w:hAnsi="Arial" w:cs="Arial"/>
        </w:rPr>
        <w:lastRenderedPageBreak/>
        <w:t>The results of the quantitative analysis are consistent with the literature and confirm that mental health costs are driven by multiple factors, including (but not limited to) complications and comorbidities, symptom severity and function as well as some contribution from patient diagnosis as a lesser contributing factor.</w:t>
      </w:r>
    </w:p>
    <w:p w:rsidR="00ED6AB0" w:rsidRPr="00C32FB0" w:rsidRDefault="00ED6AB0" w:rsidP="00ED6AB0">
      <w:pPr>
        <w:rPr>
          <w:rFonts w:ascii="Arial" w:hAnsi="Arial" w:cs="Arial"/>
        </w:rPr>
      </w:pPr>
      <w:r w:rsidRPr="00C32FB0">
        <w:rPr>
          <w:rFonts w:ascii="Arial" w:hAnsi="Arial" w:cs="Arial"/>
        </w:rPr>
        <w:t xml:space="preserve">Based on their analysis, UQ proposed a classification architecture which </w:t>
      </w:r>
      <w:r w:rsidR="0014011D" w:rsidRPr="00C32FB0">
        <w:rPr>
          <w:rFonts w:ascii="Arial" w:hAnsi="Arial" w:cs="Arial"/>
        </w:rPr>
        <w:t xml:space="preserve">included some new data elements and </w:t>
      </w:r>
      <w:r w:rsidRPr="00C32FB0">
        <w:rPr>
          <w:rFonts w:ascii="Arial" w:hAnsi="Arial" w:cs="Arial"/>
        </w:rPr>
        <w:t xml:space="preserve">broke a patient episode of care into </w:t>
      </w:r>
      <w:r w:rsidR="0014011D" w:rsidRPr="00C32FB0">
        <w:rPr>
          <w:rFonts w:ascii="Arial" w:hAnsi="Arial" w:cs="Arial"/>
        </w:rPr>
        <w:t xml:space="preserve">one of these – a </w:t>
      </w:r>
      <w:r w:rsidR="006713A5">
        <w:rPr>
          <w:rFonts w:ascii="Arial" w:hAnsi="Arial" w:cs="Arial"/>
        </w:rPr>
        <w:t>Mental H</w:t>
      </w:r>
      <w:r w:rsidRPr="00C32FB0">
        <w:rPr>
          <w:rFonts w:ascii="Arial" w:hAnsi="Arial" w:cs="Arial"/>
        </w:rPr>
        <w:t xml:space="preserve">ealth </w:t>
      </w:r>
      <w:r w:rsidR="0014011D" w:rsidRPr="00C32FB0">
        <w:rPr>
          <w:rFonts w:ascii="Arial" w:hAnsi="Arial" w:cs="Arial"/>
        </w:rPr>
        <w:t>Phase of Care</w:t>
      </w:r>
      <w:r w:rsidRPr="00C32FB0">
        <w:rPr>
          <w:rFonts w:ascii="Arial" w:hAnsi="Arial" w:cs="Arial"/>
        </w:rPr>
        <w:t>. The architecture proposed in the UQ report is being further considered and testing through the Mental Health Costing Study</w:t>
      </w:r>
      <w:r w:rsidR="00573FEB" w:rsidRPr="00C32FB0">
        <w:rPr>
          <w:rFonts w:ascii="Arial" w:hAnsi="Arial" w:cs="Arial"/>
        </w:rPr>
        <w:t xml:space="preserve"> and is detailed in the next chapter</w:t>
      </w:r>
      <w:r w:rsidRPr="00C32FB0">
        <w:rPr>
          <w:rFonts w:ascii="Arial" w:hAnsi="Arial" w:cs="Arial"/>
        </w:rPr>
        <w:t>.</w:t>
      </w:r>
    </w:p>
    <w:p w:rsidR="00DA0324" w:rsidRPr="00C32FB0" w:rsidRDefault="00DA0324" w:rsidP="00DA0324">
      <w:pPr>
        <w:pStyle w:val="Heading2"/>
        <w:rPr>
          <w:rFonts w:ascii="Arial" w:hAnsi="Arial" w:cs="Arial"/>
        </w:rPr>
      </w:pPr>
      <w:bookmarkStart w:id="27" w:name="_Toc407021941"/>
      <w:r w:rsidRPr="00C32FB0">
        <w:rPr>
          <w:rFonts w:ascii="Arial" w:hAnsi="Arial" w:cs="Arial"/>
        </w:rPr>
        <w:t xml:space="preserve">Mental </w:t>
      </w:r>
      <w:r w:rsidR="0014011D" w:rsidRPr="00C32FB0">
        <w:rPr>
          <w:rFonts w:ascii="Arial" w:hAnsi="Arial" w:cs="Arial"/>
        </w:rPr>
        <w:t>Health C</w:t>
      </w:r>
      <w:r w:rsidRPr="00C32FB0">
        <w:rPr>
          <w:rFonts w:ascii="Arial" w:hAnsi="Arial" w:cs="Arial"/>
        </w:rPr>
        <w:t xml:space="preserve">osting </w:t>
      </w:r>
      <w:r w:rsidR="0014011D" w:rsidRPr="00C32FB0">
        <w:rPr>
          <w:rFonts w:ascii="Arial" w:hAnsi="Arial" w:cs="Arial"/>
        </w:rPr>
        <w:t>S</w:t>
      </w:r>
      <w:r w:rsidRPr="00C32FB0">
        <w:rPr>
          <w:rFonts w:ascii="Arial" w:hAnsi="Arial" w:cs="Arial"/>
        </w:rPr>
        <w:t>tudy</w:t>
      </w:r>
      <w:bookmarkEnd w:id="27"/>
    </w:p>
    <w:p w:rsidR="00DA0324" w:rsidRPr="00C32FB0" w:rsidRDefault="00DA0324" w:rsidP="00DA0324">
      <w:pPr>
        <w:rPr>
          <w:rFonts w:ascii="Arial" w:hAnsi="Arial" w:cs="Arial"/>
        </w:rPr>
      </w:pPr>
      <w:r w:rsidRPr="00C32FB0">
        <w:rPr>
          <w:rFonts w:ascii="Arial" w:hAnsi="Arial" w:cs="Arial"/>
        </w:rPr>
        <w:t xml:space="preserve">A key finding of the UQ report was that the costing data submitted to the National Hospital Cost Data Collection by jurisdictions for mental health services “was patchy at best”. UQ proposed that IHPA commission a one-off study or series of one-off studies to develop the </w:t>
      </w:r>
      <w:r w:rsidR="0014011D" w:rsidRPr="00C32FB0">
        <w:rPr>
          <w:rFonts w:ascii="Arial" w:hAnsi="Arial" w:cs="Arial"/>
        </w:rPr>
        <w:t>AMHCC.</w:t>
      </w:r>
    </w:p>
    <w:p w:rsidR="00DA0324" w:rsidRPr="00C32FB0" w:rsidRDefault="00DA0324" w:rsidP="00DA0324">
      <w:pPr>
        <w:rPr>
          <w:rFonts w:ascii="Arial" w:hAnsi="Arial" w:cs="Arial"/>
        </w:rPr>
      </w:pPr>
      <w:r w:rsidRPr="00C32FB0">
        <w:rPr>
          <w:rFonts w:ascii="Arial" w:hAnsi="Arial" w:cs="Arial"/>
        </w:rPr>
        <w:t xml:space="preserve">In February 2014, IHPA engaged a consortium </w:t>
      </w:r>
      <w:r w:rsidR="00573FEB" w:rsidRPr="00C32FB0">
        <w:rPr>
          <w:rFonts w:ascii="Arial" w:hAnsi="Arial" w:cs="Arial"/>
        </w:rPr>
        <w:t xml:space="preserve">led by </w:t>
      </w:r>
      <w:proofErr w:type="spellStart"/>
      <w:r w:rsidR="00573FEB" w:rsidRPr="00C32FB0">
        <w:rPr>
          <w:rFonts w:ascii="Arial" w:hAnsi="Arial" w:cs="Arial"/>
        </w:rPr>
        <w:t>HealthConsult</w:t>
      </w:r>
      <w:proofErr w:type="spellEnd"/>
      <w:r w:rsidR="00573FEB" w:rsidRPr="00C32FB0">
        <w:rPr>
          <w:rFonts w:ascii="Arial" w:hAnsi="Arial" w:cs="Arial"/>
        </w:rPr>
        <w:t xml:space="preserve"> </w:t>
      </w:r>
      <w:r w:rsidRPr="00C32FB0">
        <w:rPr>
          <w:rFonts w:ascii="Arial" w:hAnsi="Arial" w:cs="Arial"/>
        </w:rPr>
        <w:t>to underta</w:t>
      </w:r>
      <w:r w:rsidR="00573FEB" w:rsidRPr="00C32FB0">
        <w:rPr>
          <w:rFonts w:ascii="Arial" w:hAnsi="Arial" w:cs="Arial"/>
        </w:rPr>
        <w:t xml:space="preserve">ke a six month costing study </w:t>
      </w:r>
      <w:r w:rsidR="00775AC6">
        <w:rPr>
          <w:rFonts w:ascii="Arial" w:hAnsi="Arial" w:cs="Arial"/>
        </w:rPr>
        <w:t xml:space="preserve">at health services </w:t>
      </w:r>
      <w:r w:rsidRPr="00C32FB0">
        <w:rPr>
          <w:rFonts w:ascii="Arial" w:hAnsi="Arial" w:cs="Arial"/>
        </w:rPr>
        <w:t>across Australia including both public and private hospitals, and community mental health services.</w:t>
      </w:r>
      <w:r w:rsidR="004711C3" w:rsidRPr="00C32FB0">
        <w:rPr>
          <w:rFonts w:ascii="Arial" w:hAnsi="Arial" w:cs="Arial"/>
        </w:rPr>
        <w:t xml:space="preserve"> The study </w:t>
      </w:r>
      <w:r w:rsidR="00775AC6">
        <w:rPr>
          <w:rFonts w:ascii="Arial" w:hAnsi="Arial" w:cs="Arial"/>
        </w:rPr>
        <w:t>includes</w:t>
      </w:r>
      <w:r w:rsidR="004711C3" w:rsidRPr="00C32FB0">
        <w:rPr>
          <w:rFonts w:ascii="Arial" w:hAnsi="Arial" w:cs="Arial"/>
        </w:rPr>
        <w:t xml:space="preserve"> collection of consultation liaison and in-reach/out-reach service data.</w:t>
      </w:r>
      <w:r w:rsidR="0014011D" w:rsidRPr="00C32FB0">
        <w:rPr>
          <w:rFonts w:ascii="Arial" w:hAnsi="Arial" w:cs="Arial"/>
        </w:rPr>
        <w:t xml:space="preserve"> The purpose of the study was to test the new data elements proposed by UQ and collect cost data to support the development of the AMHCC.</w:t>
      </w:r>
    </w:p>
    <w:p w:rsidR="00D00395" w:rsidRDefault="00F41E42" w:rsidP="00DA0324">
      <w:pPr>
        <w:rPr>
          <w:rFonts w:ascii="Arial" w:hAnsi="Arial" w:cs="Arial"/>
        </w:rPr>
      </w:pPr>
      <w:r>
        <w:rPr>
          <w:rFonts w:ascii="Arial" w:hAnsi="Arial" w:cs="Arial"/>
        </w:rPr>
        <w:t>25</w:t>
      </w:r>
      <w:r w:rsidR="00775AC6">
        <w:rPr>
          <w:rFonts w:ascii="Arial" w:hAnsi="Arial" w:cs="Arial"/>
        </w:rPr>
        <w:t xml:space="preserve"> sites are participating in the study</w:t>
      </w:r>
      <w:r>
        <w:rPr>
          <w:rFonts w:ascii="Arial" w:hAnsi="Arial" w:cs="Arial"/>
        </w:rPr>
        <w:t xml:space="preserve"> in New South Wales, Queensland, South Australia and Western Australia, and a private health care facility in Victoria</w:t>
      </w:r>
      <w:r w:rsidR="00775AC6">
        <w:rPr>
          <w:rFonts w:ascii="Arial" w:hAnsi="Arial" w:cs="Arial"/>
        </w:rPr>
        <w:t>.</w:t>
      </w:r>
      <w:r w:rsidR="00D00395">
        <w:rPr>
          <w:rFonts w:ascii="Arial" w:hAnsi="Arial" w:cs="Arial"/>
        </w:rPr>
        <w:t xml:space="preserve"> </w:t>
      </w:r>
      <w:r>
        <w:rPr>
          <w:rFonts w:ascii="Arial" w:hAnsi="Arial" w:cs="Arial"/>
        </w:rPr>
        <w:t>Sites</w:t>
      </w:r>
      <w:r w:rsidR="00D00395">
        <w:rPr>
          <w:rFonts w:ascii="Arial" w:hAnsi="Arial" w:cs="Arial"/>
        </w:rPr>
        <w:t xml:space="preserve"> </w:t>
      </w:r>
      <w:r>
        <w:rPr>
          <w:rFonts w:ascii="Arial" w:hAnsi="Arial" w:cs="Arial"/>
        </w:rPr>
        <w:t>comprise</w:t>
      </w:r>
      <w:r w:rsidR="00D00395">
        <w:rPr>
          <w:rFonts w:ascii="Arial" w:hAnsi="Arial" w:cs="Arial"/>
        </w:rPr>
        <w:t xml:space="preserve"> </w:t>
      </w:r>
      <w:r>
        <w:rPr>
          <w:rFonts w:ascii="Arial" w:hAnsi="Arial" w:cs="Arial"/>
        </w:rPr>
        <w:t>a range of public and private admitted and community mental health services, including specialist child and adolescent, older persons, forensic and consultation liaison services. Services provided by community managed organisations are captured where these services are contracted by the study sites. The profile of mental health consumers accessing services</w:t>
      </w:r>
      <w:r w:rsidR="00343E04">
        <w:rPr>
          <w:rFonts w:ascii="Arial" w:hAnsi="Arial" w:cs="Arial"/>
        </w:rPr>
        <w:t>, including gender, age and indigenous status</w:t>
      </w:r>
      <w:r>
        <w:rPr>
          <w:rFonts w:ascii="Arial" w:hAnsi="Arial" w:cs="Arial"/>
        </w:rPr>
        <w:t xml:space="preserve"> at the study sites is similar to those</w:t>
      </w:r>
      <w:r w:rsidR="00356984">
        <w:rPr>
          <w:rFonts w:ascii="Arial" w:hAnsi="Arial" w:cs="Arial"/>
        </w:rPr>
        <w:t xml:space="preserve"> reported by </w:t>
      </w:r>
      <w:r w:rsidR="00343E04">
        <w:rPr>
          <w:rFonts w:ascii="Arial" w:hAnsi="Arial" w:cs="Arial"/>
        </w:rPr>
        <w:t>jurisdictions</w:t>
      </w:r>
      <w:r w:rsidR="00356984">
        <w:rPr>
          <w:rFonts w:ascii="Arial" w:hAnsi="Arial" w:cs="Arial"/>
        </w:rPr>
        <w:t xml:space="preserve"> </w:t>
      </w:r>
      <w:r w:rsidR="00BB7645">
        <w:rPr>
          <w:rFonts w:ascii="Arial" w:hAnsi="Arial" w:cs="Arial"/>
        </w:rPr>
        <w:t>in relevant data sets.</w:t>
      </w:r>
    </w:p>
    <w:p w:rsidR="00DA0324" w:rsidRDefault="00872DA8" w:rsidP="00DA0324">
      <w:pPr>
        <w:rPr>
          <w:rFonts w:ascii="Arial" w:hAnsi="Arial" w:cs="Arial"/>
        </w:rPr>
      </w:pPr>
      <w:r w:rsidRPr="00C32FB0">
        <w:rPr>
          <w:rFonts w:ascii="Arial" w:hAnsi="Arial" w:cs="Arial"/>
        </w:rPr>
        <w:t xml:space="preserve">Data collection </w:t>
      </w:r>
      <w:r w:rsidR="00DA0324" w:rsidRPr="00C32FB0">
        <w:rPr>
          <w:rFonts w:ascii="Arial" w:hAnsi="Arial" w:cs="Arial"/>
        </w:rPr>
        <w:t>commenced at study sites on 1 July 2014 an</w:t>
      </w:r>
      <w:r w:rsidR="00775AC6">
        <w:rPr>
          <w:rFonts w:ascii="Arial" w:hAnsi="Arial" w:cs="Arial"/>
        </w:rPr>
        <w:t>d concluded on 31 December 2014</w:t>
      </w:r>
      <w:r w:rsidR="00DA0324" w:rsidRPr="00C32FB0">
        <w:rPr>
          <w:rFonts w:ascii="Arial" w:hAnsi="Arial" w:cs="Arial"/>
        </w:rPr>
        <w:t>, with final</w:t>
      </w:r>
      <w:r w:rsidR="006C7939" w:rsidRPr="00C32FB0">
        <w:rPr>
          <w:rFonts w:ascii="Arial" w:hAnsi="Arial" w:cs="Arial"/>
        </w:rPr>
        <w:t xml:space="preserve"> activity and cost</w:t>
      </w:r>
      <w:r w:rsidR="00DA0324" w:rsidRPr="00C32FB0">
        <w:rPr>
          <w:rFonts w:ascii="Arial" w:hAnsi="Arial" w:cs="Arial"/>
        </w:rPr>
        <w:t xml:space="preserve"> data due to be submitted by sites to IHPA in February 2015. More information about the Mental Health Costing Study</w:t>
      </w:r>
      <w:r w:rsidR="00F41E42">
        <w:rPr>
          <w:rFonts w:ascii="Arial" w:hAnsi="Arial" w:cs="Arial"/>
        </w:rPr>
        <w:t xml:space="preserve"> including a full list of participating sites</w:t>
      </w:r>
      <w:r w:rsidR="00DA0324" w:rsidRPr="00C32FB0">
        <w:rPr>
          <w:rFonts w:ascii="Arial" w:hAnsi="Arial" w:cs="Arial"/>
        </w:rPr>
        <w:t xml:space="preserve"> is available </w:t>
      </w:r>
      <w:r w:rsidR="00A06C22" w:rsidRPr="00C32FB0">
        <w:rPr>
          <w:rFonts w:ascii="Arial" w:hAnsi="Arial" w:cs="Arial"/>
        </w:rPr>
        <w:t xml:space="preserve">on the </w:t>
      </w:r>
      <w:hyperlink r:id="rId19" w:history="1">
        <w:r w:rsidR="00A06C22" w:rsidRPr="00C32FB0">
          <w:rPr>
            <w:rStyle w:val="Hyperlink"/>
            <w:rFonts w:ascii="Arial" w:hAnsi="Arial" w:cs="Arial"/>
          </w:rPr>
          <w:t>Mental Health Costing Study website</w:t>
        </w:r>
      </w:hyperlink>
      <w:r w:rsidR="00A06C22" w:rsidRPr="00C32FB0">
        <w:rPr>
          <w:rFonts w:ascii="Arial" w:hAnsi="Arial" w:cs="Arial"/>
        </w:rPr>
        <w:t>.</w:t>
      </w:r>
      <w:r w:rsidR="00DA0324" w:rsidRPr="00C32FB0">
        <w:rPr>
          <w:rFonts w:ascii="Arial" w:hAnsi="Arial" w:cs="Arial"/>
        </w:rPr>
        <w:t xml:space="preserve"> </w:t>
      </w:r>
    </w:p>
    <w:p w:rsidR="00343E04" w:rsidRPr="00C32FB0" w:rsidRDefault="00343E04" w:rsidP="00DA0324">
      <w:pPr>
        <w:rPr>
          <w:rFonts w:ascii="Arial" w:hAnsi="Arial" w:cs="Arial"/>
        </w:rPr>
      </w:pPr>
      <w:r>
        <w:rPr>
          <w:rFonts w:ascii="Arial" w:hAnsi="Arial" w:cs="Arial"/>
        </w:rPr>
        <w:t>The Mental Health Costing Study will be used to inform the development of the AMHCC, but it will not be the sole source of data used. The development of the AMHCC is an iterative process with later versions expected to broaden the range of services included within the classification. For example, where community managed organisations or some specialist services are not capture</w:t>
      </w:r>
      <w:r w:rsidR="006713A5">
        <w:rPr>
          <w:rFonts w:ascii="Arial" w:hAnsi="Arial" w:cs="Arial"/>
        </w:rPr>
        <w:t>d in the Mental Health Costing S</w:t>
      </w:r>
      <w:r>
        <w:rPr>
          <w:rFonts w:ascii="Arial" w:hAnsi="Arial" w:cs="Arial"/>
        </w:rPr>
        <w:t>tudy, or in any subsequent one of</w:t>
      </w:r>
      <w:r w:rsidR="006713A5">
        <w:rPr>
          <w:rFonts w:ascii="Arial" w:hAnsi="Arial" w:cs="Arial"/>
        </w:rPr>
        <w:t>f</w:t>
      </w:r>
      <w:r>
        <w:rPr>
          <w:rFonts w:ascii="Arial" w:hAnsi="Arial" w:cs="Arial"/>
        </w:rPr>
        <w:t xml:space="preserve"> studies prior to July 2016, these will be identified as areas of the AMHCC for ongoing development and refinement.</w:t>
      </w:r>
    </w:p>
    <w:p w:rsidR="00ED6AB0" w:rsidRPr="00C32FB0" w:rsidRDefault="00ED6AB0" w:rsidP="00ED6AB0">
      <w:pPr>
        <w:pStyle w:val="Heading2"/>
        <w:rPr>
          <w:rFonts w:ascii="Arial" w:hAnsi="Arial" w:cs="Arial"/>
        </w:rPr>
      </w:pPr>
      <w:bookmarkStart w:id="28" w:name="_Toc407021942"/>
      <w:r w:rsidRPr="00C32FB0">
        <w:rPr>
          <w:rFonts w:ascii="Arial" w:hAnsi="Arial" w:cs="Arial"/>
        </w:rPr>
        <w:t>Development of a data set specification</w:t>
      </w:r>
      <w:bookmarkEnd w:id="28"/>
    </w:p>
    <w:p w:rsidR="00ED6AB0" w:rsidRPr="00C32FB0" w:rsidRDefault="00ED6AB0" w:rsidP="00ED6AB0">
      <w:pPr>
        <w:rPr>
          <w:rFonts w:ascii="Arial" w:hAnsi="Arial" w:cs="Arial"/>
        </w:rPr>
      </w:pPr>
      <w:r w:rsidRPr="00C32FB0">
        <w:rPr>
          <w:rFonts w:ascii="Arial" w:hAnsi="Arial" w:cs="Arial"/>
        </w:rPr>
        <w:t xml:space="preserve">In order to support the development of the AMHCC, IHPA commenced the development of the </w:t>
      </w:r>
      <w:r w:rsidR="00D51C6A" w:rsidRPr="00C32FB0">
        <w:rPr>
          <w:rFonts w:ascii="Arial" w:hAnsi="Arial" w:cs="Arial"/>
        </w:rPr>
        <w:t xml:space="preserve">ABF </w:t>
      </w:r>
      <w:r w:rsidR="00133218" w:rsidRPr="00C32FB0">
        <w:rPr>
          <w:rFonts w:ascii="Arial" w:hAnsi="Arial" w:cs="Arial"/>
        </w:rPr>
        <w:t>MH</w:t>
      </w:r>
      <w:r w:rsidR="00311148" w:rsidRPr="00C32FB0">
        <w:rPr>
          <w:rFonts w:ascii="Arial" w:hAnsi="Arial" w:cs="Arial"/>
        </w:rPr>
        <w:t>C</w:t>
      </w:r>
      <w:r w:rsidR="00133218" w:rsidRPr="00C32FB0">
        <w:rPr>
          <w:rFonts w:ascii="Arial" w:hAnsi="Arial" w:cs="Arial"/>
        </w:rPr>
        <w:t xml:space="preserve"> DSS</w:t>
      </w:r>
      <w:r w:rsidRPr="00C32FB0">
        <w:rPr>
          <w:rFonts w:ascii="Arial" w:hAnsi="Arial" w:cs="Arial"/>
        </w:rPr>
        <w:t xml:space="preserve"> in early 2014 for data collection in 2015-16.</w:t>
      </w:r>
      <w:r w:rsidR="00573FEB" w:rsidRPr="00C32FB0">
        <w:rPr>
          <w:rFonts w:ascii="Arial" w:hAnsi="Arial" w:cs="Arial"/>
        </w:rPr>
        <w:t xml:space="preserve"> The </w:t>
      </w:r>
      <w:r w:rsidR="00311148" w:rsidRPr="00C32FB0">
        <w:rPr>
          <w:rFonts w:ascii="Arial" w:hAnsi="Arial" w:cs="Arial"/>
        </w:rPr>
        <w:t xml:space="preserve">ABF </w:t>
      </w:r>
      <w:r w:rsidR="00573FEB" w:rsidRPr="00C32FB0">
        <w:rPr>
          <w:rFonts w:ascii="Arial" w:hAnsi="Arial" w:cs="Arial"/>
        </w:rPr>
        <w:t>MH</w:t>
      </w:r>
      <w:r w:rsidR="00311148" w:rsidRPr="00C32FB0">
        <w:rPr>
          <w:rFonts w:ascii="Arial" w:hAnsi="Arial" w:cs="Arial"/>
        </w:rPr>
        <w:t>C</w:t>
      </w:r>
      <w:r w:rsidR="00573FEB" w:rsidRPr="00C32FB0">
        <w:rPr>
          <w:rFonts w:ascii="Arial" w:hAnsi="Arial" w:cs="Arial"/>
        </w:rPr>
        <w:t xml:space="preserve"> DSS is based </w:t>
      </w:r>
      <w:r w:rsidR="00573FEB" w:rsidRPr="00C32FB0">
        <w:rPr>
          <w:rFonts w:ascii="Arial" w:hAnsi="Arial" w:cs="Arial"/>
        </w:rPr>
        <w:lastRenderedPageBreak/>
        <w:t>on existing mental health National Minimum Data Sets</w:t>
      </w:r>
      <w:r w:rsidR="00F26727" w:rsidRPr="00C32FB0">
        <w:rPr>
          <w:rFonts w:ascii="Arial" w:hAnsi="Arial" w:cs="Arial"/>
        </w:rPr>
        <w:t xml:space="preserve"> (NMDS)</w:t>
      </w:r>
      <w:r w:rsidR="00573FEB" w:rsidRPr="00C32FB0">
        <w:rPr>
          <w:rFonts w:ascii="Arial" w:hAnsi="Arial" w:cs="Arial"/>
        </w:rPr>
        <w:t xml:space="preserve"> and also includes the new data elements proposed by UQ.</w:t>
      </w:r>
    </w:p>
    <w:p w:rsidR="00FE7BBE" w:rsidRPr="00C32FB0" w:rsidRDefault="00ED6AB0" w:rsidP="00ED6AB0">
      <w:pPr>
        <w:rPr>
          <w:rFonts w:ascii="Arial" w:hAnsi="Arial" w:cs="Arial"/>
        </w:rPr>
      </w:pPr>
      <w:r w:rsidRPr="00C32FB0">
        <w:rPr>
          <w:rFonts w:ascii="Arial" w:hAnsi="Arial" w:cs="Arial"/>
        </w:rPr>
        <w:t>The 2015-16 ABF MH</w:t>
      </w:r>
      <w:r w:rsidR="00D51C6A" w:rsidRPr="00C32FB0">
        <w:rPr>
          <w:rFonts w:ascii="Arial" w:hAnsi="Arial" w:cs="Arial"/>
        </w:rPr>
        <w:t>C</w:t>
      </w:r>
      <w:r w:rsidRPr="00C32FB0">
        <w:rPr>
          <w:rFonts w:ascii="Arial" w:hAnsi="Arial" w:cs="Arial"/>
        </w:rPr>
        <w:t xml:space="preserve"> DSS will be an activity DSS for best efforts collection, developed in accordance with the standards set out by the National Health Information Standards and Statistics Committee. The intention of the ABF MH</w:t>
      </w:r>
      <w:r w:rsidR="00D51C6A" w:rsidRPr="00C32FB0">
        <w:rPr>
          <w:rFonts w:ascii="Arial" w:hAnsi="Arial" w:cs="Arial"/>
        </w:rPr>
        <w:t>C</w:t>
      </w:r>
      <w:r w:rsidR="0014011D" w:rsidRPr="00C32FB0">
        <w:rPr>
          <w:rFonts w:ascii="Arial" w:hAnsi="Arial" w:cs="Arial"/>
        </w:rPr>
        <w:t xml:space="preserve"> DSS i</w:t>
      </w:r>
      <w:r w:rsidRPr="00C32FB0">
        <w:rPr>
          <w:rFonts w:ascii="Arial" w:hAnsi="Arial" w:cs="Arial"/>
        </w:rPr>
        <w:t>s to use existing data collections and definitions where feasible, always being mindful of the ‘single provision, multiple use’ of data principles.</w:t>
      </w:r>
    </w:p>
    <w:p w:rsidR="00FE7BBE" w:rsidRPr="00C32FB0" w:rsidRDefault="00FE7BBE" w:rsidP="00ED6AB0">
      <w:pPr>
        <w:rPr>
          <w:rFonts w:ascii="Arial" w:hAnsi="Arial" w:cs="Arial"/>
        </w:rPr>
      </w:pPr>
      <w:r w:rsidRPr="00C32FB0">
        <w:rPr>
          <w:rFonts w:ascii="Arial" w:hAnsi="Arial" w:cs="Arial"/>
        </w:rPr>
        <w:t>The ABF MHC DSS is based on data items from the:</w:t>
      </w:r>
    </w:p>
    <w:p w:rsidR="00FE7BBE" w:rsidRPr="00C32FB0" w:rsidRDefault="00FE7BBE" w:rsidP="00FE7BBE">
      <w:pPr>
        <w:pStyle w:val="ListBullet2"/>
        <w:rPr>
          <w:rFonts w:ascii="Arial" w:hAnsi="Arial" w:cs="Arial"/>
        </w:rPr>
      </w:pPr>
      <w:r w:rsidRPr="00C32FB0">
        <w:rPr>
          <w:rFonts w:ascii="Arial" w:hAnsi="Arial" w:cs="Arial"/>
        </w:rPr>
        <w:t>admitted patient care NMDS;</w:t>
      </w:r>
    </w:p>
    <w:p w:rsidR="00FE7BBE" w:rsidRPr="00C32FB0" w:rsidRDefault="00FE7BBE" w:rsidP="00FE7BBE">
      <w:pPr>
        <w:pStyle w:val="ListBullet2"/>
        <w:rPr>
          <w:rFonts w:ascii="Arial" w:hAnsi="Arial" w:cs="Arial"/>
        </w:rPr>
      </w:pPr>
      <w:r w:rsidRPr="00C32FB0">
        <w:rPr>
          <w:rFonts w:ascii="Arial" w:hAnsi="Arial" w:cs="Arial"/>
        </w:rPr>
        <w:t>admitted patient mental health care NMDS;</w:t>
      </w:r>
    </w:p>
    <w:p w:rsidR="00FE7BBE" w:rsidRPr="00C32FB0" w:rsidRDefault="00FE7BBE" w:rsidP="00FE7BBE">
      <w:pPr>
        <w:pStyle w:val="ListBullet2"/>
        <w:rPr>
          <w:rFonts w:ascii="Arial" w:hAnsi="Arial" w:cs="Arial"/>
        </w:rPr>
      </w:pPr>
      <w:r w:rsidRPr="00C32FB0">
        <w:rPr>
          <w:rFonts w:ascii="Arial" w:hAnsi="Arial" w:cs="Arial"/>
        </w:rPr>
        <w:t>community mental health care NMDS;</w:t>
      </w:r>
    </w:p>
    <w:p w:rsidR="00FE7BBE" w:rsidRPr="00C32FB0" w:rsidRDefault="00FE7BBE" w:rsidP="00FE7BBE">
      <w:pPr>
        <w:pStyle w:val="ListBullet2"/>
        <w:rPr>
          <w:rFonts w:ascii="Arial" w:hAnsi="Arial" w:cs="Arial"/>
        </w:rPr>
      </w:pPr>
      <w:r w:rsidRPr="00C32FB0">
        <w:rPr>
          <w:rFonts w:ascii="Arial" w:hAnsi="Arial" w:cs="Arial"/>
        </w:rPr>
        <w:t>mental health establishments NMDS;</w:t>
      </w:r>
    </w:p>
    <w:p w:rsidR="00FE7BBE" w:rsidRPr="00C32FB0" w:rsidRDefault="00FE7BBE" w:rsidP="00FE7BBE">
      <w:pPr>
        <w:pStyle w:val="ListBullet2"/>
        <w:rPr>
          <w:rFonts w:ascii="Arial" w:hAnsi="Arial" w:cs="Arial"/>
        </w:rPr>
      </w:pPr>
      <w:r w:rsidRPr="00C32FB0">
        <w:rPr>
          <w:rFonts w:ascii="Arial" w:hAnsi="Arial" w:cs="Arial"/>
        </w:rPr>
        <w:t>non-admitted patient DSS; and</w:t>
      </w:r>
    </w:p>
    <w:p w:rsidR="00FE7BBE" w:rsidRPr="00C32FB0" w:rsidRDefault="00FE7BBE" w:rsidP="00FE7BBE">
      <w:pPr>
        <w:pStyle w:val="ListBullet2"/>
        <w:rPr>
          <w:rFonts w:ascii="Arial" w:hAnsi="Arial" w:cs="Arial"/>
        </w:rPr>
      </w:pPr>
      <w:proofErr w:type="gramStart"/>
      <w:r w:rsidRPr="00C32FB0">
        <w:rPr>
          <w:rFonts w:ascii="Arial" w:hAnsi="Arial" w:cs="Arial"/>
        </w:rPr>
        <w:t>residential</w:t>
      </w:r>
      <w:proofErr w:type="gramEnd"/>
      <w:r w:rsidRPr="00C32FB0">
        <w:rPr>
          <w:rFonts w:ascii="Arial" w:hAnsi="Arial" w:cs="Arial"/>
        </w:rPr>
        <w:t xml:space="preserve"> mental health care NMDS.</w:t>
      </w:r>
    </w:p>
    <w:p w:rsidR="00FE7BBE" w:rsidRPr="00C32FB0" w:rsidRDefault="00FE7BBE" w:rsidP="00FE7BBE">
      <w:pPr>
        <w:rPr>
          <w:rFonts w:ascii="Arial" w:hAnsi="Arial" w:cs="Arial"/>
        </w:rPr>
      </w:pPr>
      <w:r w:rsidRPr="00C32FB0">
        <w:rPr>
          <w:rFonts w:ascii="Arial" w:hAnsi="Arial" w:cs="Arial"/>
        </w:rPr>
        <w:t>The ABF MHC DSS is also closely associated with the NOCC and aligns with NOCC reporting protocols where possible.</w:t>
      </w:r>
    </w:p>
    <w:p w:rsidR="00ED6AB0" w:rsidRPr="00C32FB0" w:rsidRDefault="00573FEB" w:rsidP="00ED6AB0">
      <w:pPr>
        <w:rPr>
          <w:rFonts w:ascii="Arial" w:hAnsi="Arial" w:cs="Arial"/>
        </w:rPr>
      </w:pPr>
      <w:r w:rsidRPr="00C32FB0">
        <w:rPr>
          <w:rFonts w:ascii="Arial" w:hAnsi="Arial" w:cs="Arial"/>
        </w:rPr>
        <w:t xml:space="preserve">Collection of the </w:t>
      </w:r>
      <w:r w:rsidR="00D51C6A" w:rsidRPr="00C32FB0">
        <w:rPr>
          <w:rFonts w:ascii="Arial" w:hAnsi="Arial" w:cs="Arial"/>
        </w:rPr>
        <w:t xml:space="preserve">ABF </w:t>
      </w:r>
      <w:r w:rsidRPr="00C32FB0">
        <w:rPr>
          <w:rFonts w:ascii="Arial" w:hAnsi="Arial" w:cs="Arial"/>
        </w:rPr>
        <w:t>MH</w:t>
      </w:r>
      <w:r w:rsidR="00D51C6A" w:rsidRPr="00C32FB0">
        <w:rPr>
          <w:rFonts w:ascii="Arial" w:hAnsi="Arial" w:cs="Arial"/>
        </w:rPr>
        <w:t>C</w:t>
      </w:r>
      <w:r w:rsidRPr="00C32FB0">
        <w:rPr>
          <w:rFonts w:ascii="Arial" w:hAnsi="Arial" w:cs="Arial"/>
        </w:rPr>
        <w:t xml:space="preserve"> DSS will commence</w:t>
      </w:r>
      <w:r w:rsidR="00527D8A" w:rsidRPr="00C32FB0">
        <w:rPr>
          <w:rFonts w:ascii="Arial" w:hAnsi="Arial" w:cs="Arial"/>
        </w:rPr>
        <w:t xml:space="preserve"> in 2015-16</w:t>
      </w:r>
      <w:r w:rsidRPr="00C32FB0">
        <w:rPr>
          <w:rFonts w:ascii="Arial" w:hAnsi="Arial" w:cs="Arial"/>
        </w:rPr>
        <w:t xml:space="preserve"> prior to implementation of the AMHCC to enable as much time as possible for jurisdictions to identify any issues with the</w:t>
      </w:r>
      <w:r w:rsidR="00D51C6A" w:rsidRPr="00C32FB0">
        <w:rPr>
          <w:rFonts w:ascii="Arial" w:hAnsi="Arial" w:cs="Arial"/>
        </w:rPr>
        <w:t xml:space="preserve"> ABF</w:t>
      </w:r>
      <w:r w:rsidRPr="00C32FB0">
        <w:rPr>
          <w:rFonts w:ascii="Arial" w:hAnsi="Arial" w:cs="Arial"/>
        </w:rPr>
        <w:t xml:space="preserve"> MH</w:t>
      </w:r>
      <w:r w:rsidR="00D51C6A" w:rsidRPr="00C32FB0">
        <w:rPr>
          <w:rFonts w:ascii="Arial" w:hAnsi="Arial" w:cs="Arial"/>
        </w:rPr>
        <w:t>C</w:t>
      </w:r>
      <w:r w:rsidRPr="00C32FB0">
        <w:rPr>
          <w:rFonts w:ascii="Arial" w:hAnsi="Arial" w:cs="Arial"/>
        </w:rPr>
        <w:t xml:space="preserve"> DSS.</w:t>
      </w:r>
    </w:p>
    <w:p w:rsidR="000D3CAB" w:rsidRPr="00C32FB0" w:rsidRDefault="00527D8A" w:rsidP="00ED6AB0">
      <w:pPr>
        <w:rPr>
          <w:rFonts w:ascii="Arial" w:hAnsi="Arial" w:cs="Arial"/>
        </w:rPr>
      </w:pPr>
      <w:r w:rsidRPr="00C32FB0">
        <w:rPr>
          <w:rFonts w:ascii="Arial" w:hAnsi="Arial" w:cs="Arial"/>
        </w:rPr>
        <w:t xml:space="preserve">The new data elements included in the 2015-16 </w:t>
      </w:r>
      <w:r w:rsidR="00D51C6A" w:rsidRPr="00C32FB0">
        <w:rPr>
          <w:rFonts w:ascii="Arial" w:hAnsi="Arial" w:cs="Arial"/>
        </w:rPr>
        <w:t xml:space="preserve">ABF </w:t>
      </w:r>
      <w:r w:rsidRPr="00C32FB0">
        <w:rPr>
          <w:rFonts w:ascii="Arial" w:hAnsi="Arial" w:cs="Arial"/>
        </w:rPr>
        <w:t>MH</w:t>
      </w:r>
      <w:r w:rsidR="00D51C6A" w:rsidRPr="00C32FB0">
        <w:rPr>
          <w:rFonts w:ascii="Arial" w:hAnsi="Arial" w:cs="Arial"/>
        </w:rPr>
        <w:t>C</w:t>
      </w:r>
      <w:r w:rsidRPr="00C32FB0">
        <w:rPr>
          <w:rFonts w:ascii="Arial" w:hAnsi="Arial" w:cs="Arial"/>
        </w:rPr>
        <w:t xml:space="preserve"> DSS have </w:t>
      </w:r>
      <w:r w:rsidR="00ED6AB0" w:rsidRPr="00C32FB0">
        <w:rPr>
          <w:rFonts w:ascii="Arial" w:hAnsi="Arial" w:cs="Arial"/>
        </w:rPr>
        <w:t>be</w:t>
      </w:r>
      <w:r w:rsidRPr="00C32FB0">
        <w:rPr>
          <w:rFonts w:ascii="Arial" w:hAnsi="Arial" w:cs="Arial"/>
        </w:rPr>
        <w:t>en</w:t>
      </w:r>
      <w:r w:rsidR="00ED6AB0" w:rsidRPr="00C32FB0">
        <w:rPr>
          <w:rFonts w:ascii="Arial" w:hAnsi="Arial" w:cs="Arial"/>
        </w:rPr>
        <w:t xml:space="preserve"> tested through the Mental Health Costing Study. </w:t>
      </w:r>
      <w:r w:rsidRPr="00C32FB0">
        <w:rPr>
          <w:rFonts w:ascii="Arial" w:hAnsi="Arial" w:cs="Arial"/>
        </w:rPr>
        <w:t xml:space="preserve">This data will be analysed in early 2015, and following this the </w:t>
      </w:r>
      <w:r w:rsidR="00D51C6A" w:rsidRPr="00C32FB0">
        <w:rPr>
          <w:rFonts w:ascii="Arial" w:hAnsi="Arial" w:cs="Arial"/>
        </w:rPr>
        <w:t xml:space="preserve">ABF </w:t>
      </w:r>
      <w:r w:rsidRPr="00C32FB0">
        <w:rPr>
          <w:rFonts w:ascii="Arial" w:hAnsi="Arial" w:cs="Arial"/>
        </w:rPr>
        <w:t>M</w:t>
      </w:r>
      <w:r w:rsidR="00ED6AB0" w:rsidRPr="00C32FB0">
        <w:rPr>
          <w:rFonts w:ascii="Arial" w:hAnsi="Arial" w:cs="Arial"/>
        </w:rPr>
        <w:t>H</w:t>
      </w:r>
      <w:r w:rsidR="00D51C6A" w:rsidRPr="00C32FB0">
        <w:rPr>
          <w:rFonts w:ascii="Arial" w:hAnsi="Arial" w:cs="Arial"/>
        </w:rPr>
        <w:t>C</w:t>
      </w:r>
      <w:r w:rsidR="00ED6AB0" w:rsidRPr="00C32FB0">
        <w:rPr>
          <w:rFonts w:ascii="Arial" w:hAnsi="Arial" w:cs="Arial"/>
        </w:rPr>
        <w:t xml:space="preserve"> DSS will be reviewed with any changes made ahead of</w:t>
      </w:r>
      <w:r w:rsidRPr="00C32FB0">
        <w:rPr>
          <w:rFonts w:ascii="Arial" w:hAnsi="Arial" w:cs="Arial"/>
        </w:rPr>
        <w:t xml:space="preserve"> full</w:t>
      </w:r>
      <w:r w:rsidR="00ED6AB0" w:rsidRPr="00C32FB0">
        <w:rPr>
          <w:rFonts w:ascii="Arial" w:hAnsi="Arial" w:cs="Arial"/>
        </w:rPr>
        <w:t xml:space="preserve"> implementation </w:t>
      </w:r>
      <w:r w:rsidRPr="00C32FB0">
        <w:rPr>
          <w:rFonts w:ascii="Arial" w:hAnsi="Arial" w:cs="Arial"/>
        </w:rPr>
        <w:t>for the AMHCC in</w:t>
      </w:r>
      <w:r w:rsidR="00ED6AB0" w:rsidRPr="00C32FB0">
        <w:rPr>
          <w:rFonts w:ascii="Arial" w:hAnsi="Arial" w:cs="Arial"/>
        </w:rPr>
        <w:t xml:space="preserve"> 2016-17.</w:t>
      </w:r>
    </w:p>
    <w:p w:rsidR="00060B8C" w:rsidRPr="00C32FB0" w:rsidRDefault="00527D8A" w:rsidP="00060B8C">
      <w:pPr>
        <w:rPr>
          <w:rFonts w:ascii="Arial" w:hAnsi="Arial" w:cs="Arial"/>
        </w:rPr>
      </w:pPr>
      <w:r w:rsidRPr="00C32FB0">
        <w:rPr>
          <w:rFonts w:ascii="Arial" w:hAnsi="Arial" w:cs="Arial"/>
        </w:rPr>
        <w:t xml:space="preserve">The DSS may be viewed </w:t>
      </w:r>
      <w:r w:rsidR="00A06C22" w:rsidRPr="00C32FB0">
        <w:rPr>
          <w:rFonts w:ascii="Arial" w:hAnsi="Arial" w:cs="Arial"/>
        </w:rPr>
        <w:t>on the</w:t>
      </w:r>
      <w:r w:rsidR="006315FE" w:rsidRPr="00C32FB0">
        <w:rPr>
          <w:rFonts w:ascii="Arial" w:hAnsi="Arial" w:cs="Arial"/>
        </w:rPr>
        <w:t xml:space="preserve"> Australian Institute for Health and Welfare’s </w:t>
      </w:r>
      <w:hyperlink r:id="rId20" w:history="1">
        <w:r w:rsidR="006315FE" w:rsidRPr="00C32FB0">
          <w:rPr>
            <w:rStyle w:val="Hyperlink"/>
            <w:rFonts w:ascii="Arial" w:hAnsi="Arial" w:cs="Arial"/>
          </w:rPr>
          <w:t>Metadata Online Registry</w:t>
        </w:r>
      </w:hyperlink>
      <w:r w:rsidR="006315FE" w:rsidRPr="00C32FB0">
        <w:rPr>
          <w:rFonts w:ascii="Arial" w:hAnsi="Arial" w:cs="Arial"/>
        </w:rPr>
        <w:t>.</w:t>
      </w:r>
      <w:r w:rsidR="00060B8C" w:rsidRPr="00C32FB0">
        <w:rPr>
          <w:rFonts w:ascii="Arial" w:hAnsi="Arial" w:cs="Arial"/>
          <w:lang w:val="en-US" w:eastAsia="ja-JP"/>
        </w:rPr>
        <w:br w:type="page"/>
      </w:r>
    </w:p>
    <w:p w:rsidR="00BF38B0" w:rsidRPr="00C32FB0" w:rsidRDefault="00BF38B0" w:rsidP="00BF38B0">
      <w:pPr>
        <w:pStyle w:val="Heading1"/>
        <w:rPr>
          <w:rFonts w:ascii="Arial" w:hAnsi="Arial" w:cs="Arial"/>
        </w:rPr>
      </w:pPr>
      <w:bookmarkStart w:id="29" w:name="_Toc407021943"/>
      <w:r w:rsidRPr="00C32FB0">
        <w:rPr>
          <w:rFonts w:ascii="Arial" w:hAnsi="Arial" w:cs="Arial"/>
        </w:rPr>
        <w:lastRenderedPageBreak/>
        <w:t>Cost drivers of mental health care</w:t>
      </w:r>
      <w:bookmarkEnd w:id="29"/>
    </w:p>
    <w:p w:rsidR="000D3CAB" w:rsidRPr="00C32FB0" w:rsidRDefault="000D3CAB" w:rsidP="000D3CAB">
      <w:pPr>
        <w:pStyle w:val="Heading2"/>
        <w:rPr>
          <w:rFonts w:ascii="Arial" w:hAnsi="Arial" w:cs="Arial"/>
        </w:rPr>
      </w:pPr>
      <w:bookmarkStart w:id="30" w:name="_Toc407021944"/>
      <w:r w:rsidRPr="00C32FB0">
        <w:rPr>
          <w:rFonts w:ascii="Arial" w:hAnsi="Arial" w:cs="Arial"/>
        </w:rPr>
        <w:t>Analysis by the University of Queensland</w:t>
      </w:r>
      <w:bookmarkEnd w:id="30"/>
    </w:p>
    <w:p w:rsidR="000D3CAB" w:rsidRPr="00C32FB0" w:rsidRDefault="00B52858" w:rsidP="000D3CAB">
      <w:pPr>
        <w:tabs>
          <w:tab w:val="left" w:pos="1418"/>
        </w:tabs>
        <w:rPr>
          <w:rFonts w:ascii="Arial" w:hAnsi="Arial" w:cs="Arial"/>
        </w:rPr>
      </w:pPr>
      <w:r w:rsidRPr="00C32FB0">
        <w:rPr>
          <w:rFonts w:ascii="Arial" w:hAnsi="Arial" w:cs="Arial"/>
        </w:rPr>
        <w:t xml:space="preserve">As part of the UQ project commissioned by IHPA, the </w:t>
      </w:r>
      <w:r w:rsidR="0014011D" w:rsidRPr="00C32FB0">
        <w:rPr>
          <w:rFonts w:ascii="Arial" w:hAnsi="Arial" w:cs="Arial"/>
        </w:rPr>
        <w:t xml:space="preserve">UQ </w:t>
      </w:r>
      <w:r w:rsidRPr="00C32FB0">
        <w:rPr>
          <w:rFonts w:ascii="Arial" w:hAnsi="Arial" w:cs="Arial"/>
        </w:rPr>
        <w:t xml:space="preserve">project </w:t>
      </w:r>
      <w:r w:rsidR="0014011D" w:rsidRPr="00C32FB0">
        <w:rPr>
          <w:rFonts w:ascii="Arial" w:hAnsi="Arial" w:cs="Arial"/>
        </w:rPr>
        <w:t xml:space="preserve">team </w:t>
      </w:r>
      <w:r w:rsidRPr="00C32FB0">
        <w:rPr>
          <w:rFonts w:ascii="Arial" w:hAnsi="Arial" w:cs="Arial"/>
        </w:rPr>
        <w:t>was required to provide</w:t>
      </w:r>
      <w:r w:rsidR="000D3CAB" w:rsidRPr="00C32FB0">
        <w:rPr>
          <w:rFonts w:ascii="Arial" w:hAnsi="Arial" w:cs="Arial"/>
        </w:rPr>
        <w:t xml:space="preserve"> recommendations for the most appropriate cost drivers and preferred options for classification development for mental health services in Australia.</w:t>
      </w:r>
    </w:p>
    <w:p w:rsidR="000D3CAB" w:rsidRPr="00C32FB0" w:rsidRDefault="000D3CAB" w:rsidP="00EE141E">
      <w:pPr>
        <w:rPr>
          <w:rFonts w:ascii="Arial" w:hAnsi="Arial" w:cs="Arial"/>
        </w:rPr>
      </w:pPr>
      <w:r w:rsidRPr="00C32FB0">
        <w:rPr>
          <w:rFonts w:ascii="Arial" w:hAnsi="Arial" w:cs="Arial"/>
        </w:rPr>
        <w:t>UQ undertook a comprehensive literature review, wide ranging stakeholder consultation, and quantitative analysis using data obtained from Queensland, Victoria and New South Wales to consider potential cost drivers for mental health care.</w:t>
      </w:r>
    </w:p>
    <w:p w:rsidR="000D3CAB" w:rsidRPr="00C32FB0" w:rsidRDefault="000D3CAB" w:rsidP="00EE141E">
      <w:pPr>
        <w:rPr>
          <w:rFonts w:ascii="Arial" w:hAnsi="Arial" w:cs="Arial"/>
        </w:rPr>
      </w:pPr>
      <w:r w:rsidRPr="00C32FB0">
        <w:rPr>
          <w:rFonts w:ascii="Arial" w:hAnsi="Arial" w:cs="Arial"/>
        </w:rPr>
        <w:t>UQ’s review of the inte</w:t>
      </w:r>
      <w:r w:rsidR="00EE141E" w:rsidRPr="00C32FB0">
        <w:rPr>
          <w:rFonts w:ascii="Arial" w:hAnsi="Arial" w:cs="Arial"/>
        </w:rPr>
        <w:t>rnational literature found that t</w:t>
      </w:r>
      <w:r w:rsidRPr="00C32FB0">
        <w:rPr>
          <w:rFonts w:ascii="Arial" w:hAnsi="Arial" w:cs="Arial"/>
        </w:rPr>
        <w:t>he most commonly identified patient-level cost drivers were patient illness factors</w:t>
      </w:r>
      <w:r w:rsidR="00EE141E" w:rsidRPr="00C32FB0">
        <w:rPr>
          <w:rFonts w:ascii="Arial" w:hAnsi="Arial" w:cs="Arial"/>
        </w:rPr>
        <w:t xml:space="preserve"> and</w:t>
      </w:r>
      <w:r w:rsidRPr="00C32FB0">
        <w:rPr>
          <w:rFonts w:ascii="Arial" w:hAnsi="Arial" w:cs="Arial"/>
        </w:rPr>
        <w:t xml:space="preserve"> patient characteristics, with variation across service settin</w:t>
      </w:r>
      <w:r w:rsidR="00EE141E" w:rsidRPr="00C32FB0">
        <w:rPr>
          <w:rFonts w:ascii="Arial" w:hAnsi="Arial" w:cs="Arial"/>
        </w:rPr>
        <w:t xml:space="preserve">gs, noting that the </w:t>
      </w:r>
      <w:r w:rsidRPr="00C32FB0">
        <w:rPr>
          <w:rFonts w:ascii="Arial" w:hAnsi="Arial" w:cs="Arial"/>
        </w:rPr>
        <w:t>most commonly examined f</w:t>
      </w:r>
      <w:r w:rsidR="00EE141E" w:rsidRPr="00C32FB0">
        <w:rPr>
          <w:rFonts w:ascii="Arial" w:hAnsi="Arial" w:cs="Arial"/>
        </w:rPr>
        <w:t>actors were principal diagnosis,</w:t>
      </w:r>
      <w:r w:rsidRPr="00C32FB0">
        <w:rPr>
          <w:rFonts w:ascii="Arial" w:hAnsi="Arial" w:cs="Arial"/>
        </w:rPr>
        <w:t xml:space="preserve"> patient age and sex.</w:t>
      </w:r>
      <w:r w:rsidR="00EE141E" w:rsidRPr="00C32FB0">
        <w:rPr>
          <w:rFonts w:ascii="Arial" w:hAnsi="Arial" w:cs="Arial"/>
        </w:rPr>
        <w:t xml:space="preserve"> </w:t>
      </w:r>
      <w:r w:rsidRPr="00C32FB0">
        <w:rPr>
          <w:rFonts w:ascii="Arial" w:hAnsi="Arial" w:cs="Arial"/>
        </w:rPr>
        <w:t xml:space="preserve">Treatment history was </w:t>
      </w:r>
      <w:r w:rsidR="00EE141E" w:rsidRPr="00C32FB0">
        <w:rPr>
          <w:rFonts w:ascii="Arial" w:hAnsi="Arial" w:cs="Arial"/>
        </w:rPr>
        <w:t xml:space="preserve">also </w:t>
      </w:r>
      <w:r w:rsidRPr="00C32FB0">
        <w:rPr>
          <w:rFonts w:ascii="Arial" w:hAnsi="Arial" w:cs="Arial"/>
        </w:rPr>
        <w:t>one of the more commonly investigated patient illness factors; however, a range of variables were used for this purpose.</w:t>
      </w:r>
      <w:r w:rsidRPr="00C32FB0">
        <w:rPr>
          <w:rStyle w:val="FootnoteReference"/>
          <w:rFonts w:ascii="Arial" w:hAnsi="Arial"/>
        </w:rPr>
        <w:footnoteReference w:id="10"/>
      </w:r>
    </w:p>
    <w:p w:rsidR="000D3CAB" w:rsidRPr="00C32FB0" w:rsidRDefault="00EE141E" w:rsidP="000D3CAB">
      <w:pPr>
        <w:tabs>
          <w:tab w:val="left" w:pos="1418"/>
        </w:tabs>
        <w:spacing w:before="200"/>
        <w:contextualSpacing/>
        <w:rPr>
          <w:rFonts w:ascii="Arial" w:hAnsi="Arial" w:cs="Arial"/>
        </w:rPr>
      </w:pPr>
      <w:r w:rsidRPr="00C32FB0">
        <w:rPr>
          <w:rFonts w:ascii="Arial" w:hAnsi="Arial" w:cs="Arial"/>
        </w:rPr>
        <w:t>UQ</w:t>
      </w:r>
      <w:r w:rsidR="000D3CAB" w:rsidRPr="00C32FB0">
        <w:rPr>
          <w:rFonts w:ascii="Arial" w:hAnsi="Arial" w:cs="Arial"/>
        </w:rPr>
        <w:t xml:space="preserve"> identified potential cost drivers as falling into five categories</w:t>
      </w:r>
      <w:r w:rsidRPr="00C32FB0">
        <w:rPr>
          <w:rFonts w:ascii="Arial" w:hAnsi="Arial" w:cs="Arial"/>
        </w:rPr>
        <w:t xml:space="preserve">, </w:t>
      </w:r>
      <w:r w:rsidR="001A3516" w:rsidRPr="00C32FB0">
        <w:rPr>
          <w:rFonts w:ascii="Arial" w:hAnsi="Arial" w:cs="Arial"/>
        </w:rPr>
        <w:t>and made</w:t>
      </w:r>
      <w:r w:rsidRPr="00C32FB0">
        <w:rPr>
          <w:rFonts w:ascii="Arial" w:hAnsi="Arial" w:cs="Arial"/>
        </w:rPr>
        <w:t xml:space="preserve"> the following commentary</w:t>
      </w:r>
      <w:r w:rsidR="000D3CAB" w:rsidRPr="00C32FB0">
        <w:rPr>
          <w:rFonts w:ascii="Arial" w:hAnsi="Arial" w:cs="Arial"/>
        </w:rPr>
        <w:t>:</w:t>
      </w:r>
    </w:p>
    <w:p w:rsidR="000D3CAB" w:rsidRPr="00C32FB0" w:rsidRDefault="000D3CAB" w:rsidP="00D00395">
      <w:pPr>
        <w:pStyle w:val="ListBullet2"/>
        <w:ind w:left="357"/>
        <w:contextualSpacing w:val="0"/>
        <w:rPr>
          <w:rFonts w:ascii="Arial" w:hAnsi="Arial" w:cs="Arial"/>
        </w:rPr>
      </w:pPr>
      <w:r w:rsidRPr="00C32FB0">
        <w:rPr>
          <w:rFonts w:ascii="Arial" w:hAnsi="Arial" w:cs="Arial"/>
          <w:b/>
        </w:rPr>
        <w:t>Consumer-related factors</w:t>
      </w:r>
      <w:r w:rsidRPr="00C32FB0">
        <w:rPr>
          <w:rFonts w:ascii="Arial" w:hAnsi="Arial" w:cs="Arial"/>
        </w:rPr>
        <w:t xml:space="preserve"> (such as diagnosis): these can predict both the need for and cost of mental health services. These factors may or may not be amendable to incorporation in a patient classification system.</w:t>
      </w:r>
    </w:p>
    <w:p w:rsidR="000D3CAB" w:rsidRPr="00C32FB0" w:rsidRDefault="000D3CAB" w:rsidP="00D00395">
      <w:pPr>
        <w:pStyle w:val="ListBullet2"/>
        <w:ind w:left="357"/>
        <w:contextualSpacing w:val="0"/>
        <w:rPr>
          <w:rFonts w:ascii="Arial" w:hAnsi="Arial" w:cs="Arial"/>
        </w:rPr>
      </w:pPr>
      <w:r w:rsidRPr="00C32FB0">
        <w:rPr>
          <w:rFonts w:ascii="Arial" w:hAnsi="Arial" w:cs="Arial"/>
          <w:b/>
        </w:rPr>
        <w:t>Service factors</w:t>
      </w:r>
      <w:r w:rsidRPr="00C32FB0">
        <w:rPr>
          <w:rFonts w:ascii="Arial" w:hAnsi="Arial" w:cs="Arial"/>
        </w:rPr>
        <w:t xml:space="preserve">: these are more problematic for a </w:t>
      </w:r>
      <w:proofErr w:type="spellStart"/>
      <w:r w:rsidRPr="00C32FB0">
        <w:rPr>
          <w:rFonts w:ascii="Arial" w:hAnsi="Arial" w:cs="Arial"/>
        </w:rPr>
        <w:t>casemix</w:t>
      </w:r>
      <w:proofErr w:type="spellEnd"/>
      <w:r w:rsidRPr="00C32FB0">
        <w:rPr>
          <w:rFonts w:ascii="Arial" w:hAnsi="Arial" w:cs="Arial"/>
        </w:rPr>
        <w:t xml:space="preserve"> classification because they can create undesirable incentives; however, they need to be fully analysed to understand variations.</w:t>
      </w:r>
    </w:p>
    <w:p w:rsidR="000D3CAB" w:rsidRPr="00C32FB0" w:rsidRDefault="000D3CAB" w:rsidP="00D00395">
      <w:pPr>
        <w:pStyle w:val="ListBullet2"/>
        <w:ind w:left="357"/>
        <w:contextualSpacing w:val="0"/>
        <w:rPr>
          <w:rFonts w:ascii="Arial" w:hAnsi="Arial" w:cs="Arial"/>
        </w:rPr>
      </w:pPr>
      <w:r w:rsidRPr="00C32FB0">
        <w:rPr>
          <w:rFonts w:ascii="Arial" w:hAnsi="Arial" w:cs="Arial"/>
          <w:b/>
        </w:rPr>
        <w:t>Treatment factors</w:t>
      </w:r>
      <w:r w:rsidRPr="00C32FB0">
        <w:rPr>
          <w:rFonts w:ascii="Arial" w:hAnsi="Arial" w:cs="Arial"/>
        </w:rPr>
        <w:t>: there is currently little reliable data on this.</w:t>
      </w:r>
    </w:p>
    <w:p w:rsidR="000D3CAB" w:rsidRPr="00C32FB0" w:rsidRDefault="000D3CAB" w:rsidP="00D00395">
      <w:pPr>
        <w:pStyle w:val="ListBullet2"/>
        <w:ind w:left="357"/>
        <w:contextualSpacing w:val="0"/>
        <w:rPr>
          <w:rFonts w:ascii="Arial" w:hAnsi="Arial" w:cs="Arial"/>
        </w:rPr>
      </w:pPr>
      <w:r w:rsidRPr="00C32FB0">
        <w:rPr>
          <w:rFonts w:ascii="Arial" w:hAnsi="Arial" w:cs="Arial"/>
          <w:b/>
        </w:rPr>
        <w:t>Legal status, safety and emergency care</w:t>
      </w:r>
      <w:r w:rsidRPr="00C32FB0">
        <w:rPr>
          <w:rFonts w:ascii="Arial" w:hAnsi="Arial" w:cs="Arial"/>
        </w:rPr>
        <w:t>: these are factors in about half of all stays in public admitted patient care and are significant because they demand such a high utilisation of cost.</w:t>
      </w:r>
    </w:p>
    <w:p w:rsidR="000D3CAB" w:rsidRPr="00C32FB0" w:rsidRDefault="000D3CAB" w:rsidP="00D00395">
      <w:pPr>
        <w:pStyle w:val="ListBullet2"/>
        <w:ind w:left="357"/>
        <w:contextualSpacing w:val="0"/>
        <w:rPr>
          <w:rFonts w:ascii="Arial" w:hAnsi="Arial" w:cs="Arial"/>
        </w:rPr>
      </w:pPr>
      <w:r w:rsidRPr="00C32FB0">
        <w:rPr>
          <w:rFonts w:ascii="Arial" w:hAnsi="Arial" w:cs="Arial"/>
          <w:b/>
        </w:rPr>
        <w:t>Chronic disease management</w:t>
      </w:r>
      <w:r w:rsidRPr="00C32FB0">
        <w:rPr>
          <w:rFonts w:ascii="Arial" w:hAnsi="Arial" w:cs="Arial"/>
        </w:rPr>
        <w:t xml:space="preserve">: the lifetime impacts of chronic disease on mental health patients are significant, and it is important that </w:t>
      </w:r>
      <w:r w:rsidR="00EE141E" w:rsidRPr="00C32FB0">
        <w:rPr>
          <w:rFonts w:ascii="Arial" w:hAnsi="Arial" w:cs="Arial"/>
        </w:rPr>
        <w:t>“</w:t>
      </w:r>
      <w:r w:rsidRPr="00C32FB0">
        <w:rPr>
          <w:rFonts w:ascii="Arial" w:hAnsi="Arial" w:cs="Arial"/>
        </w:rPr>
        <w:t>the cost drivers for the aggregate consumption of healthcare are separately identified and considered as well as those applicable to the individual components of care.”</w:t>
      </w:r>
      <w:r w:rsidRPr="00C32FB0">
        <w:rPr>
          <w:rStyle w:val="FootnoteReference"/>
          <w:rFonts w:ascii="Arial" w:hAnsi="Arial"/>
        </w:rPr>
        <w:footnoteReference w:id="11"/>
      </w:r>
    </w:p>
    <w:p w:rsidR="00EE141E" w:rsidRPr="00C32FB0" w:rsidRDefault="00EE141E" w:rsidP="00EE141E">
      <w:pPr>
        <w:rPr>
          <w:rFonts w:ascii="Arial" w:hAnsi="Arial" w:cs="Arial"/>
        </w:rPr>
      </w:pPr>
      <w:r w:rsidRPr="00C32FB0">
        <w:rPr>
          <w:rFonts w:ascii="Arial" w:hAnsi="Arial" w:cs="Arial"/>
        </w:rPr>
        <w:t>The UQ researchers concluded that, consistent with the literature, “mental health costs are driven by multiple factors, including (but not limited to) diagnoses, complications and comorbidities, symptoms severity and function”.</w:t>
      </w:r>
    </w:p>
    <w:p w:rsidR="000D3CAB" w:rsidRPr="00C32FB0" w:rsidRDefault="00EE141E" w:rsidP="000D3CAB">
      <w:pPr>
        <w:rPr>
          <w:rFonts w:ascii="Arial" w:hAnsi="Arial" w:cs="Arial"/>
        </w:rPr>
      </w:pPr>
      <w:r w:rsidRPr="00C32FB0">
        <w:rPr>
          <w:rFonts w:ascii="Arial" w:hAnsi="Arial" w:cs="Arial"/>
        </w:rPr>
        <w:lastRenderedPageBreak/>
        <w:t>However, they</w:t>
      </w:r>
      <w:r w:rsidR="000D3CAB" w:rsidRPr="00C32FB0">
        <w:rPr>
          <w:rFonts w:ascii="Arial" w:hAnsi="Arial" w:cs="Arial"/>
        </w:rPr>
        <w:t xml:space="preserve"> cautioned that </w:t>
      </w:r>
      <w:r w:rsidRPr="00C32FB0">
        <w:rPr>
          <w:rFonts w:ascii="Arial" w:hAnsi="Arial" w:cs="Arial"/>
        </w:rPr>
        <w:t xml:space="preserve">since </w:t>
      </w:r>
      <w:r w:rsidR="000D3CAB" w:rsidRPr="00C32FB0">
        <w:rPr>
          <w:rFonts w:ascii="Arial" w:hAnsi="Arial" w:cs="Arial"/>
        </w:rPr>
        <w:t>much of the data is of poor quality and cannot be linked, results</w:t>
      </w:r>
      <w:r w:rsidRPr="00C32FB0">
        <w:rPr>
          <w:rFonts w:ascii="Arial" w:hAnsi="Arial" w:cs="Arial"/>
        </w:rPr>
        <w:t xml:space="preserve"> we</w:t>
      </w:r>
      <w:r w:rsidR="000D3CAB" w:rsidRPr="00C32FB0">
        <w:rPr>
          <w:rFonts w:ascii="Arial" w:hAnsi="Arial" w:cs="Arial"/>
        </w:rPr>
        <w:t>re indicative only.</w:t>
      </w:r>
      <w:r w:rsidR="000D3CAB" w:rsidRPr="00C32FB0">
        <w:rPr>
          <w:rStyle w:val="FootnoteReference"/>
          <w:rFonts w:ascii="Arial" w:hAnsi="Arial"/>
          <w:lang w:eastAsia="en-AU"/>
        </w:rPr>
        <w:footnoteReference w:id="12"/>
      </w:r>
      <w:r w:rsidRPr="00C32FB0">
        <w:rPr>
          <w:rFonts w:ascii="Arial" w:hAnsi="Arial" w:cs="Arial"/>
        </w:rPr>
        <w:t xml:space="preserve"> I</w:t>
      </w:r>
      <w:r w:rsidR="000D3CAB" w:rsidRPr="00C32FB0">
        <w:rPr>
          <w:rFonts w:ascii="Arial" w:hAnsi="Arial" w:cs="Arial"/>
        </w:rPr>
        <w:t>n particular, they found that cost data w</w:t>
      </w:r>
      <w:r w:rsidRPr="00C32FB0">
        <w:rPr>
          <w:rFonts w:ascii="Arial" w:hAnsi="Arial" w:cs="Arial"/>
        </w:rPr>
        <w:t>as not reliable and that using ‘l</w:t>
      </w:r>
      <w:r w:rsidR="000D3CAB" w:rsidRPr="00C32FB0">
        <w:rPr>
          <w:rFonts w:ascii="Arial" w:hAnsi="Arial" w:cs="Arial"/>
        </w:rPr>
        <w:t xml:space="preserve">ength of </w:t>
      </w:r>
      <w:r w:rsidRPr="00C32FB0">
        <w:rPr>
          <w:rFonts w:ascii="Arial" w:hAnsi="Arial" w:cs="Arial"/>
        </w:rPr>
        <w:t>s</w:t>
      </w:r>
      <w:r w:rsidR="000D3CAB" w:rsidRPr="00C32FB0">
        <w:rPr>
          <w:rFonts w:ascii="Arial" w:hAnsi="Arial" w:cs="Arial"/>
        </w:rPr>
        <w:t>tay</w:t>
      </w:r>
      <w:r w:rsidRPr="00C32FB0">
        <w:rPr>
          <w:rFonts w:ascii="Arial" w:hAnsi="Arial" w:cs="Arial"/>
        </w:rPr>
        <w:t>’</w:t>
      </w:r>
      <w:r w:rsidR="000D3CAB" w:rsidRPr="00C32FB0">
        <w:rPr>
          <w:rFonts w:ascii="Arial" w:hAnsi="Arial" w:cs="Arial"/>
        </w:rPr>
        <w:t xml:space="preserve"> or the number of contacts as proxies for cost does not allow for varying intensity of treatment; considerable amounts of data was lost in the linkage process, or in analysis because of missing value; and that the quality of some other variables was poor (for example, there were discrepancies between the age-specific tools used and the actual age of the patient.  But, “despite the shortcomings of the data, the results were quite consistent with those found in earlier work on mental health cost drivers.”</w:t>
      </w:r>
      <w:r w:rsidR="000D3CAB" w:rsidRPr="00C32FB0">
        <w:rPr>
          <w:rStyle w:val="FootnoteReference"/>
          <w:rFonts w:ascii="Arial" w:hAnsi="Arial"/>
          <w:lang w:eastAsia="en-AU"/>
        </w:rPr>
        <w:footnoteReference w:id="13"/>
      </w:r>
    </w:p>
    <w:p w:rsidR="000D3CAB" w:rsidRPr="00C32FB0" w:rsidRDefault="000E7256" w:rsidP="000D3CAB">
      <w:pPr>
        <w:rPr>
          <w:rFonts w:ascii="Arial" w:hAnsi="Arial" w:cs="Arial"/>
        </w:rPr>
      </w:pPr>
      <w:r w:rsidRPr="00C32FB0">
        <w:rPr>
          <w:rFonts w:ascii="Arial" w:hAnsi="Arial" w:cs="Arial"/>
        </w:rPr>
        <w:t>These proposed cost drivers will be test through analysis of the final Mental Health Costing Study data set in early 2015, and will inform the final AMHCC framework.</w:t>
      </w:r>
    </w:p>
    <w:p w:rsidR="000D3CAB" w:rsidRPr="00C32FB0" w:rsidRDefault="000E7256" w:rsidP="00555274">
      <w:pPr>
        <w:pStyle w:val="Heading3"/>
        <w:pBdr>
          <w:top w:val="single" w:sz="4" w:space="1" w:color="004200" w:themeColor="text2"/>
          <w:left w:val="single" w:sz="4" w:space="4" w:color="004200" w:themeColor="text2"/>
          <w:bottom w:val="single" w:sz="4" w:space="1" w:color="004200" w:themeColor="text2"/>
          <w:right w:val="single" w:sz="4" w:space="4" w:color="004200" w:themeColor="text2"/>
        </w:pBdr>
        <w:rPr>
          <w:rFonts w:ascii="Arial" w:hAnsi="Arial" w:cs="Arial"/>
          <w:lang w:val="en-US" w:eastAsia="ja-JP"/>
        </w:rPr>
      </w:pPr>
      <w:r w:rsidRPr="00C32FB0">
        <w:rPr>
          <w:rFonts w:ascii="Arial" w:hAnsi="Arial" w:cs="Arial"/>
          <w:lang w:val="en-US" w:eastAsia="ja-JP"/>
        </w:rPr>
        <w:t>Consultation question</w:t>
      </w:r>
    </w:p>
    <w:p w:rsidR="00A470F3" w:rsidRPr="00C32FB0" w:rsidRDefault="00FB5C1E" w:rsidP="00555274">
      <w:pPr>
        <w:pStyle w:val="ListParagraph"/>
        <w:keepNext/>
        <w:keepLines/>
        <w:numPr>
          <w:ilvl w:val="0"/>
          <w:numId w:val="4"/>
        </w:numPr>
        <w:pBdr>
          <w:top w:val="single" w:sz="4" w:space="1" w:color="004200" w:themeColor="text2"/>
          <w:left w:val="single" w:sz="4" w:space="4" w:color="004200" w:themeColor="text2"/>
          <w:bottom w:val="single" w:sz="4" w:space="1" w:color="004200" w:themeColor="text2"/>
          <w:right w:val="single" w:sz="4" w:space="4" w:color="004200" w:themeColor="text2"/>
        </w:pBdr>
        <w:ind w:left="357" w:hanging="357"/>
        <w:contextualSpacing w:val="0"/>
        <w:rPr>
          <w:rFonts w:ascii="Arial" w:hAnsi="Arial" w:cs="Arial"/>
          <w:lang w:val="en-US" w:eastAsia="ja-JP"/>
        </w:rPr>
      </w:pPr>
      <w:r w:rsidRPr="00C32FB0">
        <w:rPr>
          <w:rFonts w:ascii="Arial" w:hAnsi="Arial" w:cs="Arial"/>
          <w:lang w:val="en-US" w:eastAsia="ja-JP"/>
        </w:rPr>
        <w:t>Are there other cost drivers that should be considered in the development of the AMHCC?</w:t>
      </w:r>
      <w:r w:rsidR="00A470F3" w:rsidRPr="00C32FB0">
        <w:rPr>
          <w:rFonts w:ascii="Arial" w:hAnsi="Arial" w:cs="Arial"/>
          <w:lang w:val="en-US" w:eastAsia="ja-JP"/>
        </w:rPr>
        <w:br w:type="page"/>
      </w:r>
    </w:p>
    <w:p w:rsidR="00BF38B0" w:rsidRPr="00C32FB0" w:rsidRDefault="00BF38B0" w:rsidP="00BF38B0">
      <w:pPr>
        <w:pStyle w:val="Heading1"/>
        <w:rPr>
          <w:rFonts w:ascii="Arial" w:hAnsi="Arial" w:cs="Arial"/>
          <w:lang w:val="en-US" w:eastAsia="ja-JP"/>
        </w:rPr>
      </w:pPr>
      <w:bookmarkStart w:id="31" w:name="_Toc407021945"/>
      <w:r w:rsidRPr="00C32FB0">
        <w:rPr>
          <w:rFonts w:ascii="Arial" w:hAnsi="Arial" w:cs="Arial"/>
          <w:lang w:val="en-US" w:eastAsia="ja-JP"/>
        </w:rPr>
        <w:lastRenderedPageBreak/>
        <w:t>Proposed approach</w:t>
      </w:r>
      <w:bookmarkEnd w:id="31"/>
    </w:p>
    <w:p w:rsidR="00C87CC8" w:rsidRPr="00C32FB0" w:rsidRDefault="00C87CC8" w:rsidP="00C87CC8">
      <w:pPr>
        <w:pStyle w:val="Heading2"/>
        <w:rPr>
          <w:rFonts w:ascii="Arial" w:hAnsi="Arial" w:cs="Arial"/>
        </w:rPr>
      </w:pPr>
      <w:bookmarkStart w:id="32" w:name="_Toc407021946"/>
      <w:r w:rsidRPr="00C32FB0">
        <w:rPr>
          <w:rFonts w:ascii="Arial" w:hAnsi="Arial" w:cs="Arial"/>
        </w:rPr>
        <w:t>The University of Queensland’s proposal</w:t>
      </w:r>
      <w:bookmarkEnd w:id="32"/>
    </w:p>
    <w:p w:rsidR="00FB5C1E" w:rsidRPr="00C32FB0" w:rsidRDefault="00E015CF" w:rsidP="00E015CF">
      <w:pPr>
        <w:rPr>
          <w:rFonts w:ascii="Arial" w:hAnsi="Arial" w:cs="Arial"/>
        </w:rPr>
      </w:pPr>
      <w:r w:rsidRPr="00C32FB0">
        <w:rPr>
          <w:rFonts w:ascii="Arial" w:hAnsi="Arial" w:cs="Arial"/>
        </w:rPr>
        <w:t xml:space="preserve">Having considered the scope of the </w:t>
      </w:r>
      <w:r w:rsidR="006F7C2A" w:rsidRPr="00C32FB0">
        <w:rPr>
          <w:rFonts w:ascii="Arial" w:hAnsi="Arial" w:cs="Arial"/>
        </w:rPr>
        <w:t>MHCT</w:t>
      </w:r>
      <w:r w:rsidRPr="00C32FB0">
        <w:rPr>
          <w:rFonts w:ascii="Arial" w:hAnsi="Arial" w:cs="Arial"/>
        </w:rPr>
        <w:t xml:space="preserve"> and likely cost drivers for the provision of care, and following further consultation, UQ proposed </w:t>
      </w:r>
      <w:proofErr w:type="gramStart"/>
      <w:r w:rsidRPr="00C32FB0">
        <w:rPr>
          <w:rFonts w:ascii="Arial" w:hAnsi="Arial" w:cs="Arial"/>
        </w:rPr>
        <w:t>a high</w:t>
      </w:r>
      <w:proofErr w:type="gramEnd"/>
      <w:r w:rsidRPr="00C32FB0">
        <w:rPr>
          <w:rFonts w:ascii="Arial" w:hAnsi="Arial" w:cs="Arial"/>
        </w:rPr>
        <w:t xml:space="preserve"> level classification architecture for the AMHCC. Their proposed approach </w:t>
      </w:r>
      <w:r w:rsidR="00FB5C1E" w:rsidRPr="00C32FB0">
        <w:rPr>
          <w:rFonts w:ascii="Arial" w:hAnsi="Arial" w:cs="Arial"/>
        </w:rPr>
        <w:t xml:space="preserve">breaks a patient Episode of Care into mental health ‘phases’, as set out at </w:t>
      </w:r>
      <w:r w:rsidR="00FB5C1E" w:rsidRPr="00C32FB0">
        <w:rPr>
          <w:rFonts w:ascii="Arial" w:hAnsi="Arial" w:cs="Arial"/>
        </w:rPr>
        <w:fldChar w:fldCharType="begin"/>
      </w:r>
      <w:r w:rsidR="00FB5C1E" w:rsidRPr="00C32FB0">
        <w:rPr>
          <w:rFonts w:ascii="Arial" w:hAnsi="Arial" w:cs="Arial"/>
        </w:rPr>
        <w:instrText xml:space="preserve"> REF _Ref405369898 \h  \* MERGEFORMAT </w:instrText>
      </w:r>
      <w:r w:rsidR="00FB5C1E" w:rsidRPr="00C32FB0">
        <w:rPr>
          <w:rFonts w:ascii="Arial" w:hAnsi="Arial" w:cs="Arial"/>
        </w:rPr>
      </w:r>
      <w:r w:rsidR="00FB5C1E" w:rsidRPr="00C32FB0">
        <w:rPr>
          <w:rFonts w:ascii="Arial" w:hAnsi="Arial" w:cs="Arial"/>
        </w:rPr>
        <w:fldChar w:fldCharType="separate"/>
      </w:r>
      <w:r w:rsidR="007D074E" w:rsidRPr="00C32FB0">
        <w:rPr>
          <w:rFonts w:ascii="Arial" w:hAnsi="Arial" w:cs="Arial"/>
        </w:rPr>
        <w:t xml:space="preserve">Figure </w:t>
      </w:r>
      <w:r w:rsidR="007D074E">
        <w:rPr>
          <w:rFonts w:ascii="Arial" w:hAnsi="Arial" w:cs="Arial"/>
          <w:noProof/>
        </w:rPr>
        <w:t>2</w:t>
      </w:r>
      <w:r w:rsidR="00FB5C1E" w:rsidRPr="00C32FB0">
        <w:rPr>
          <w:rFonts w:ascii="Arial" w:hAnsi="Arial" w:cs="Arial"/>
        </w:rPr>
        <w:fldChar w:fldCharType="end"/>
      </w:r>
      <w:r w:rsidR="00FB5C1E" w:rsidRPr="00C32FB0">
        <w:rPr>
          <w:rFonts w:ascii="Arial" w:hAnsi="Arial" w:cs="Arial"/>
        </w:rPr>
        <w:t>.</w:t>
      </w:r>
    </w:p>
    <w:p w:rsidR="00FB5C1E" w:rsidRPr="00C32FB0" w:rsidRDefault="00FB5C1E" w:rsidP="00FB5C1E">
      <w:pPr>
        <w:pStyle w:val="Caption"/>
        <w:keepNext/>
        <w:rPr>
          <w:rFonts w:ascii="Arial" w:hAnsi="Arial" w:cs="Arial"/>
        </w:rPr>
      </w:pPr>
      <w:bookmarkStart w:id="33" w:name="_Ref405369898"/>
      <w:r w:rsidRPr="00C32FB0">
        <w:rPr>
          <w:rFonts w:ascii="Arial" w:hAnsi="Arial" w:cs="Arial"/>
        </w:rPr>
        <w:t xml:space="preserve">Figure </w:t>
      </w:r>
      <w:r w:rsidRPr="00C32FB0">
        <w:rPr>
          <w:rFonts w:ascii="Arial" w:hAnsi="Arial" w:cs="Arial"/>
        </w:rPr>
        <w:fldChar w:fldCharType="begin"/>
      </w:r>
      <w:r w:rsidRPr="00C32FB0">
        <w:rPr>
          <w:rFonts w:ascii="Arial" w:hAnsi="Arial" w:cs="Arial"/>
        </w:rPr>
        <w:instrText xml:space="preserve"> SEQ Figure \* ARABIC </w:instrText>
      </w:r>
      <w:r w:rsidRPr="00C32FB0">
        <w:rPr>
          <w:rFonts w:ascii="Arial" w:hAnsi="Arial" w:cs="Arial"/>
        </w:rPr>
        <w:fldChar w:fldCharType="separate"/>
      </w:r>
      <w:r w:rsidR="007D074E">
        <w:rPr>
          <w:rFonts w:ascii="Arial" w:hAnsi="Arial" w:cs="Arial"/>
          <w:noProof/>
        </w:rPr>
        <w:t>2</w:t>
      </w:r>
      <w:r w:rsidRPr="00C32FB0">
        <w:rPr>
          <w:rFonts w:ascii="Arial" w:hAnsi="Arial" w:cs="Arial"/>
        </w:rPr>
        <w:fldChar w:fldCharType="end"/>
      </w:r>
      <w:bookmarkEnd w:id="33"/>
      <w:r w:rsidRPr="00C32FB0">
        <w:rPr>
          <w:rFonts w:ascii="Arial" w:hAnsi="Arial" w:cs="Arial"/>
        </w:rPr>
        <w:t>: UQ's proposed mental health information architecture</w:t>
      </w:r>
      <w:r w:rsidRPr="00C32FB0">
        <w:rPr>
          <w:rStyle w:val="FootnoteReference"/>
          <w:rFonts w:ascii="Arial" w:hAnsi="Arial"/>
        </w:rPr>
        <w:footnoteReference w:id="14"/>
      </w:r>
    </w:p>
    <w:p w:rsidR="00FB5C1E" w:rsidRPr="00C32FB0" w:rsidRDefault="00FB5C1E" w:rsidP="00FB5C1E">
      <w:pPr>
        <w:rPr>
          <w:rFonts w:ascii="Arial" w:hAnsi="Arial" w:cs="Arial"/>
        </w:rPr>
      </w:pPr>
      <w:r w:rsidRPr="00C32FB0">
        <w:rPr>
          <w:rFonts w:ascii="Arial" w:hAnsi="Arial" w:cs="Arial"/>
          <w:noProof/>
          <w:lang w:eastAsia="en-AU"/>
        </w:rPr>
        <w:drawing>
          <wp:inline distT="0" distB="0" distL="0" distR="0" wp14:anchorId="2A01204B" wp14:editId="0840B42B">
            <wp:extent cx="5721709" cy="3158836"/>
            <wp:effectExtent l="0" t="0" r="0" b="0"/>
            <wp:docPr id="7" name="Picture 7" descr="Figure 2 is a classification tree.&#10;Level 1 is a patient or consumer.&#10;Level 2 includes each episodes of illness the patient experiences (this may include other episodes of care e.g a broken leg).&#10;Level 3 includes each episode of care within an episode of illness (episodes of care are defined by setting (admitted, non-admitted) and by turnstile event such as hospital discharges and transfers).&#10;Level 4 includes each mental health phase within an episode of care.&#10;Level 5 includes each of day of care within a phase of care.&#10;Level 6 includes each service events within a day of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b="-4314"/>
                    <a:stretch/>
                  </pic:blipFill>
                  <pic:spPr bwMode="auto">
                    <a:xfrm>
                      <a:off x="0" y="0"/>
                      <a:ext cx="5731510" cy="3164247"/>
                    </a:xfrm>
                    <a:prstGeom prst="rect">
                      <a:avLst/>
                    </a:prstGeom>
                    <a:noFill/>
                    <a:ln>
                      <a:noFill/>
                    </a:ln>
                    <a:extLst>
                      <a:ext uri="{53640926-AAD7-44D8-BBD7-CCE9431645EC}">
                        <a14:shadowObscured xmlns:a14="http://schemas.microsoft.com/office/drawing/2010/main"/>
                      </a:ext>
                    </a:extLst>
                  </pic:spPr>
                </pic:pic>
              </a:graphicData>
            </a:graphic>
          </wp:inline>
        </w:drawing>
      </w:r>
    </w:p>
    <w:p w:rsidR="00E015CF" w:rsidRPr="00C32FB0" w:rsidRDefault="00E015CF" w:rsidP="00E015CF">
      <w:pPr>
        <w:rPr>
          <w:rFonts w:ascii="Arial" w:hAnsi="Arial" w:cs="Arial"/>
        </w:rPr>
      </w:pPr>
      <w:r w:rsidRPr="00C32FB0">
        <w:rPr>
          <w:rFonts w:ascii="Arial" w:hAnsi="Arial" w:cs="Arial"/>
        </w:rPr>
        <w:t xml:space="preserve">The proposed classification architecture is setting and provider agnostic. Primary mental health care services that meet the requirements of the </w:t>
      </w:r>
      <w:r w:rsidR="006F7C2A" w:rsidRPr="00C32FB0">
        <w:rPr>
          <w:rFonts w:ascii="Arial" w:hAnsi="Arial" w:cs="Arial"/>
        </w:rPr>
        <w:t>MHCT</w:t>
      </w:r>
      <w:r w:rsidRPr="00C32FB0">
        <w:rPr>
          <w:rFonts w:ascii="Arial" w:hAnsi="Arial" w:cs="Arial"/>
        </w:rPr>
        <w:t xml:space="preserve"> definition are in scope.</w:t>
      </w:r>
    </w:p>
    <w:p w:rsidR="00241FD2" w:rsidRPr="00C32FB0" w:rsidRDefault="00241FD2" w:rsidP="00241FD2">
      <w:pPr>
        <w:rPr>
          <w:rFonts w:ascii="Arial" w:hAnsi="Arial" w:cs="Arial"/>
        </w:rPr>
      </w:pPr>
      <w:r w:rsidRPr="00C32FB0">
        <w:rPr>
          <w:rFonts w:ascii="Arial" w:hAnsi="Arial" w:cs="Arial"/>
        </w:rPr>
        <w:t>Level 1 is the consumer, who during their life</w:t>
      </w:r>
      <w:r w:rsidR="00CA2337" w:rsidRPr="00C32FB0">
        <w:rPr>
          <w:rFonts w:ascii="Arial" w:hAnsi="Arial" w:cs="Arial"/>
        </w:rPr>
        <w:t xml:space="preserve"> may have more or more Episode of I</w:t>
      </w:r>
      <w:r w:rsidR="006F7C2A" w:rsidRPr="00C32FB0">
        <w:rPr>
          <w:rFonts w:ascii="Arial" w:hAnsi="Arial" w:cs="Arial"/>
        </w:rPr>
        <w:t>llness which meet</w:t>
      </w:r>
      <w:r w:rsidRPr="00C32FB0">
        <w:rPr>
          <w:rFonts w:ascii="Arial" w:hAnsi="Arial" w:cs="Arial"/>
        </w:rPr>
        <w:t xml:space="preserve">s the </w:t>
      </w:r>
      <w:r w:rsidR="006F7C2A" w:rsidRPr="00C32FB0">
        <w:rPr>
          <w:rFonts w:ascii="Arial" w:hAnsi="Arial" w:cs="Arial"/>
        </w:rPr>
        <w:t>MHCT</w:t>
      </w:r>
      <w:r w:rsidRPr="00C32FB0">
        <w:rPr>
          <w:rFonts w:ascii="Arial" w:hAnsi="Arial" w:cs="Arial"/>
        </w:rPr>
        <w:t xml:space="preserve"> (Level 2). </w:t>
      </w:r>
      <w:r w:rsidR="009E2504" w:rsidRPr="00C32FB0">
        <w:rPr>
          <w:rFonts w:ascii="Arial" w:hAnsi="Arial" w:cs="Arial"/>
        </w:rPr>
        <w:t>Concurrent with their mental health episode, a patient may have other non-mental health related Level 2 Episodes of Illness</w:t>
      </w:r>
      <w:r w:rsidR="009E2504">
        <w:rPr>
          <w:rFonts w:ascii="Arial" w:hAnsi="Arial" w:cs="Arial"/>
        </w:rPr>
        <w:t>, e.g. break</w:t>
      </w:r>
      <w:r w:rsidR="009E2504" w:rsidRPr="00C32FB0">
        <w:rPr>
          <w:rFonts w:ascii="Arial" w:hAnsi="Arial" w:cs="Arial"/>
        </w:rPr>
        <w:t xml:space="preserve">ing a leg. </w:t>
      </w:r>
      <w:r w:rsidRPr="00C32FB0">
        <w:rPr>
          <w:rFonts w:ascii="Arial" w:hAnsi="Arial" w:cs="Arial"/>
        </w:rPr>
        <w:t>These would be dealt with by a separate classification.</w:t>
      </w:r>
    </w:p>
    <w:p w:rsidR="00241FD2" w:rsidRPr="00C32FB0" w:rsidRDefault="00241FD2" w:rsidP="00241FD2">
      <w:pPr>
        <w:rPr>
          <w:rFonts w:ascii="Arial" w:hAnsi="Arial" w:cs="Arial"/>
        </w:rPr>
      </w:pPr>
      <w:r w:rsidRPr="00C32FB0">
        <w:rPr>
          <w:rFonts w:ascii="Arial" w:hAnsi="Arial" w:cs="Arial"/>
        </w:rPr>
        <w:t xml:space="preserve">At Level 3 are Episodes of </w:t>
      </w:r>
      <w:r w:rsidR="00CA2337" w:rsidRPr="00C32FB0">
        <w:rPr>
          <w:rFonts w:ascii="Arial" w:hAnsi="Arial" w:cs="Arial"/>
        </w:rPr>
        <w:t xml:space="preserve">(Mental Health) </w:t>
      </w:r>
      <w:r w:rsidRPr="00C32FB0">
        <w:rPr>
          <w:rFonts w:ascii="Arial" w:hAnsi="Arial" w:cs="Arial"/>
        </w:rPr>
        <w:t>Care. These are defined by setting (admitted, community, residential) and begin and end with events such as hospital admissions, discharges and transfers. A consumer who is discharged from hospital to a community program has two Episodes of Care, one admitted and one community episode.</w:t>
      </w:r>
    </w:p>
    <w:p w:rsidR="00E015CF" w:rsidRPr="00C32FB0" w:rsidRDefault="00241FD2" w:rsidP="00241FD2">
      <w:pPr>
        <w:rPr>
          <w:rFonts w:ascii="Arial" w:hAnsi="Arial" w:cs="Arial"/>
        </w:rPr>
      </w:pPr>
      <w:r w:rsidRPr="00C32FB0">
        <w:rPr>
          <w:rFonts w:ascii="Arial" w:hAnsi="Arial" w:cs="Arial"/>
        </w:rPr>
        <w:t xml:space="preserve">Classifications are usually developed using levels 1 to 3. UQ proposed a further split within an Episode of Care called a Mental Health Phase </w:t>
      </w:r>
      <w:r w:rsidR="00CA2337" w:rsidRPr="00C32FB0">
        <w:rPr>
          <w:rFonts w:ascii="Arial" w:hAnsi="Arial" w:cs="Arial"/>
        </w:rPr>
        <w:t xml:space="preserve">of Care </w:t>
      </w:r>
      <w:r w:rsidRPr="00C32FB0">
        <w:rPr>
          <w:rFonts w:ascii="Arial" w:hAnsi="Arial" w:cs="Arial"/>
        </w:rPr>
        <w:t xml:space="preserve">– this is Level 4. The concept of Phase is discussed further below. A Phase may in turn consist of a number of Days of Care (Level </w:t>
      </w:r>
      <w:proofErr w:type="gramStart"/>
      <w:r w:rsidRPr="00C32FB0">
        <w:rPr>
          <w:rFonts w:ascii="Arial" w:hAnsi="Arial" w:cs="Arial"/>
        </w:rPr>
        <w:t>5),</w:t>
      </w:r>
      <w:proofErr w:type="gramEnd"/>
      <w:r w:rsidRPr="00C32FB0">
        <w:rPr>
          <w:rFonts w:ascii="Arial" w:hAnsi="Arial" w:cs="Arial"/>
        </w:rPr>
        <w:t xml:space="preserve"> and a number of Service Events within each Day (Level 6).</w:t>
      </w:r>
    </w:p>
    <w:p w:rsidR="00241FD2" w:rsidRPr="00C32FB0" w:rsidRDefault="00E015CF" w:rsidP="00241FD2">
      <w:pPr>
        <w:rPr>
          <w:rFonts w:ascii="Arial" w:hAnsi="Arial" w:cs="Arial"/>
        </w:rPr>
      </w:pPr>
      <w:r w:rsidRPr="00C32FB0">
        <w:rPr>
          <w:rFonts w:ascii="Arial" w:hAnsi="Arial" w:cs="Arial"/>
        </w:rPr>
        <w:lastRenderedPageBreak/>
        <w:t>In considering each of these levels, UQ proposed that the AMHCC developers allow that, for classification purposes, mental health care be bundled up to the highest level at which the package of care (or cost of the care) is predictable.</w:t>
      </w:r>
      <w:r w:rsidR="00CA2337" w:rsidRPr="00C32FB0">
        <w:rPr>
          <w:rStyle w:val="FootnoteReference"/>
          <w:rFonts w:ascii="Arial" w:hAnsi="Arial"/>
        </w:rPr>
        <w:footnoteReference w:id="15"/>
      </w:r>
    </w:p>
    <w:p w:rsidR="00E97FDA" w:rsidRPr="00C32FB0" w:rsidRDefault="00540830" w:rsidP="006C7939">
      <w:pPr>
        <w:pStyle w:val="Heading3"/>
        <w:rPr>
          <w:rFonts w:ascii="Arial" w:hAnsi="Arial" w:cs="Arial"/>
        </w:rPr>
      </w:pPr>
      <w:r w:rsidRPr="00C32FB0">
        <w:rPr>
          <w:rFonts w:ascii="Arial" w:hAnsi="Arial" w:cs="Arial"/>
        </w:rPr>
        <w:t>Phase of c</w:t>
      </w:r>
      <w:r w:rsidR="00E97FDA" w:rsidRPr="00C32FB0">
        <w:rPr>
          <w:rFonts w:ascii="Arial" w:hAnsi="Arial" w:cs="Arial"/>
        </w:rPr>
        <w:t>are</w:t>
      </w:r>
    </w:p>
    <w:p w:rsidR="00E97FDA" w:rsidRPr="00C32FB0" w:rsidRDefault="00CA2337" w:rsidP="00B66DEE">
      <w:pPr>
        <w:rPr>
          <w:rFonts w:ascii="Arial" w:hAnsi="Arial" w:cs="Arial"/>
        </w:rPr>
      </w:pPr>
      <w:r w:rsidRPr="00C32FB0">
        <w:rPr>
          <w:rFonts w:ascii="Arial" w:hAnsi="Arial" w:cs="Arial"/>
        </w:rPr>
        <w:t xml:space="preserve">The key part of </w:t>
      </w:r>
      <w:r w:rsidR="00FB5C1E" w:rsidRPr="00C32FB0">
        <w:rPr>
          <w:rFonts w:ascii="Arial" w:hAnsi="Arial" w:cs="Arial"/>
        </w:rPr>
        <w:t>UQ</w:t>
      </w:r>
      <w:r w:rsidRPr="00C32FB0">
        <w:rPr>
          <w:rFonts w:ascii="Arial" w:hAnsi="Arial" w:cs="Arial"/>
        </w:rPr>
        <w:t xml:space="preserve">’s proposed architecture is the new concept of </w:t>
      </w:r>
      <w:r w:rsidR="00FB5C1E" w:rsidRPr="00C32FB0">
        <w:rPr>
          <w:rFonts w:ascii="Arial" w:hAnsi="Arial" w:cs="Arial"/>
        </w:rPr>
        <w:t>Mental Health Phase</w:t>
      </w:r>
      <w:r w:rsidRPr="00C32FB0">
        <w:rPr>
          <w:rFonts w:ascii="Arial" w:hAnsi="Arial" w:cs="Arial"/>
        </w:rPr>
        <w:t xml:space="preserve"> of Care</w:t>
      </w:r>
      <w:r w:rsidR="00FB5C1E" w:rsidRPr="00C32FB0">
        <w:rPr>
          <w:rFonts w:ascii="Arial" w:hAnsi="Arial" w:cs="Arial"/>
        </w:rPr>
        <w:t>.</w:t>
      </w:r>
      <w:r w:rsidRPr="00C32FB0">
        <w:rPr>
          <w:rFonts w:ascii="Arial" w:hAnsi="Arial" w:cs="Arial"/>
        </w:rPr>
        <w:t xml:space="preserve"> UQ recommended that IHPA explore whether the Phase of Care that a consumer is in is a legitimate cost driver that might be used in a new classification.</w:t>
      </w:r>
    </w:p>
    <w:p w:rsidR="00FB5C1E" w:rsidRPr="00C32FB0" w:rsidRDefault="00FB5C1E" w:rsidP="00B66DEE">
      <w:pPr>
        <w:rPr>
          <w:rFonts w:ascii="Arial" w:hAnsi="Arial" w:cs="Arial"/>
        </w:rPr>
      </w:pPr>
      <w:r w:rsidRPr="00C32FB0">
        <w:rPr>
          <w:rFonts w:ascii="Arial" w:hAnsi="Arial" w:cs="Arial"/>
        </w:rPr>
        <w:t xml:space="preserve">Phase of Care </w:t>
      </w:r>
      <w:r w:rsidR="00E97FDA" w:rsidRPr="00C32FB0">
        <w:rPr>
          <w:rFonts w:ascii="Arial" w:hAnsi="Arial" w:cs="Arial"/>
        </w:rPr>
        <w:t>is</w:t>
      </w:r>
      <w:r w:rsidRPr="00C32FB0">
        <w:rPr>
          <w:rFonts w:ascii="Arial" w:hAnsi="Arial" w:cs="Arial"/>
        </w:rPr>
        <w:t xml:space="preserve"> a prospective assessment of a patient’s needs defined by patient characteristics and the associated goals of care (the ‘patient journey’) rather than solely by the physical location of treatment (e.g., acute unit, rehabilitation unit) or the treating clinical team (e.g., acute team, rehabilitation team).</w:t>
      </w:r>
    </w:p>
    <w:p w:rsidR="00FB5C1E" w:rsidRPr="00C32FB0" w:rsidRDefault="00E97FDA" w:rsidP="00B66DEE">
      <w:pPr>
        <w:rPr>
          <w:rFonts w:ascii="Arial" w:hAnsi="Arial" w:cs="Arial"/>
        </w:rPr>
      </w:pPr>
      <w:r w:rsidRPr="00C32FB0">
        <w:rPr>
          <w:rFonts w:ascii="Arial" w:hAnsi="Arial" w:cs="Arial"/>
        </w:rPr>
        <w:t>A change of Phase would therefore</w:t>
      </w:r>
      <w:r w:rsidR="00FB5C1E" w:rsidRPr="00C32FB0">
        <w:rPr>
          <w:rFonts w:ascii="Arial" w:hAnsi="Arial" w:cs="Arial"/>
        </w:rPr>
        <w:t xml:space="preserve"> trigger a new collection of outcomes measures and, in the ABF context, </w:t>
      </w:r>
      <w:r w:rsidR="00323815" w:rsidRPr="00C32FB0">
        <w:rPr>
          <w:rFonts w:ascii="Arial" w:hAnsi="Arial" w:cs="Arial"/>
        </w:rPr>
        <w:t xml:space="preserve">potentially </w:t>
      </w:r>
      <w:r w:rsidR="00FB5C1E" w:rsidRPr="00C32FB0">
        <w:rPr>
          <w:rFonts w:ascii="Arial" w:hAnsi="Arial" w:cs="Arial"/>
        </w:rPr>
        <w:t>a new ABF payment. However, Phases may be bundled, with care bundled up to the highest level at which the package/cost of care is predictable</w:t>
      </w:r>
      <w:r w:rsidR="00323815" w:rsidRPr="00C32FB0">
        <w:rPr>
          <w:rFonts w:ascii="Arial" w:hAnsi="Arial" w:cs="Arial"/>
        </w:rPr>
        <w:t xml:space="preserve"> – this could be at the Phase level, or above or below it, </w:t>
      </w:r>
      <w:r w:rsidR="00B36E9B" w:rsidRPr="00C32FB0">
        <w:rPr>
          <w:rFonts w:ascii="Arial" w:hAnsi="Arial" w:cs="Arial"/>
        </w:rPr>
        <w:t>dependent on the outcome of further testing.</w:t>
      </w:r>
    </w:p>
    <w:p w:rsidR="00B66DEE" w:rsidRPr="00C32FB0" w:rsidRDefault="00B66DEE" w:rsidP="00B66DEE">
      <w:pPr>
        <w:rPr>
          <w:rFonts w:ascii="Arial" w:hAnsi="Arial" w:cs="Arial"/>
        </w:rPr>
      </w:pPr>
      <w:r w:rsidRPr="00C32FB0">
        <w:rPr>
          <w:rFonts w:ascii="Arial" w:hAnsi="Arial" w:cs="Arial"/>
        </w:rPr>
        <w:t>UQ proposed that the Mental Health Phases replace or complement the current Focus of Care data element (as defined in the NOCC) and are an alternative to Mental Health Subtypes that are currently in place in some jurisdictions</w:t>
      </w:r>
      <w:r w:rsidR="00E97FDA" w:rsidRPr="00C32FB0">
        <w:rPr>
          <w:rFonts w:ascii="Arial" w:hAnsi="Arial" w:cs="Arial"/>
        </w:rPr>
        <w:t>.</w:t>
      </w:r>
    </w:p>
    <w:p w:rsidR="00B66DEE" w:rsidRPr="00C32FB0" w:rsidRDefault="00B66DEE" w:rsidP="00B66DEE">
      <w:pPr>
        <w:rPr>
          <w:rFonts w:ascii="Arial" w:hAnsi="Arial" w:cs="Arial"/>
        </w:rPr>
      </w:pPr>
      <w:r w:rsidRPr="00C32FB0">
        <w:rPr>
          <w:rFonts w:ascii="Arial" w:hAnsi="Arial" w:cs="Arial"/>
        </w:rPr>
        <w:t xml:space="preserve">In order to test the UQ hypothesis, </w:t>
      </w:r>
      <w:proofErr w:type="spellStart"/>
      <w:r w:rsidRPr="00C32FB0">
        <w:rPr>
          <w:rFonts w:ascii="Arial" w:hAnsi="Arial" w:cs="Arial"/>
        </w:rPr>
        <w:t>HealthConsult</w:t>
      </w:r>
      <w:proofErr w:type="spellEnd"/>
      <w:r w:rsidRPr="00C32FB0">
        <w:rPr>
          <w:rFonts w:ascii="Arial" w:hAnsi="Arial" w:cs="Arial"/>
        </w:rPr>
        <w:t xml:space="preserve"> developed a definition of </w:t>
      </w:r>
      <w:r w:rsidR="00E97FDA" w:rsidRPr="00C32FB0">
        <w:rPr>
          <w:rFonts w:ascii="Arial" w:hAnsi="Arial" w:cs="Arial"/>
        </w:rPr>
        <w:t>P</w:t>
      </w:r>
      <w:r w:rsidRPr="00C32FB0">
        <w:rPr>
          <w:rFonts w:ascii="Arial" w:hAnsi="Arial" w:cs="Arial"/>
        </w:rPr>
        <w:t xml:space="preserve">hase of </w:t>
      </w:r>
      <w:r w:rsidR="00E97FDA" w:rsidRPr="00C32FB0">
        <w:rPr>
          <w:rFonts w:ascii="Arial" w:hAnsi="Arial" w:cs="Arial"/>
        </w:rPr>
        <w:t>C</w:t>
      </w:r>
      <w:r w:rsidRPr="00C32FB0">
        <w:rPr>
          <w:rFonts w:ascii="Arial" w:hAnsi="Arial" w:cs="Arial"/>
        </w:rPr>
        <w:t>are and the data domain definitions for the five phases of care</w:t>
      </w:r>
      <w:r w:rsidR="00323815" w:rsidRPr="00C32FB0">
        <w:rPr>
          <w:rFonts w:ascii="Arial" w:hAnsi="Arial" w:cs="Arial"/>
        </w:rPr>
        <w:t>, for application through the Mental Health Costing Study</w:t>
      </w:r>
      <w:r w:rsidRPr="00C32FB0">
        <w:rPr>
          <w:rFonts w:ascii="Arial" w:hAnsi="Arial" w:cs="Arial"/>
        </w:rPr>
        <w:t xml:space="preserve">. </w:t>
      </w:r>
    </w:p>
    <w:p w:rsidR="00B66DEE" w:rsidRPr="00C32FB0" w:rsidRDefault="00B66DEE" w:rsidP="00B66DEE">
      <w:pPr>
        <w:rPr>
          <w:rFonts w:ascii="Arial" w:hAnsi="Arial" w:cs="Arial"/>
        </w:rPr>
      </w:pPr>
      <w:r w:rsidRPr="00C32FB0">
        <w:rPr>
          <w:rFonts w:ascii="Arial" w:hAnsi="Arial" w:cs="Arial"/>
        </w:rPr>
        <w:t>The proposed definition and data domains were developed in consultation with a small group of clinical and technical experts. The definition and data dom</w:t>
      </w:r>
      <w:r w:rsidR="00E97FDA" w:rsidRPr="00C32FB0">
        <w:rPr>
          <w:rFonts w:ascii="Arial" w:hAnsi="Arial" w:cs="Arial"/>
        </w:rPr>
        <w:t>ains were based on a modified NOCC ‘F</w:t>
      </w:r>
      <w:r w:rsidRPr="00C32FB0">
        <w:rPr>
          <w:rFonts w:ascii="Arial" w:hAnsi="Arial" w:cs="Arial"/>
        </w:rPr>
        <w:t xml:space="preserve">ocus of </w:t>
      </w:r>
      <w:r w:rsidR="00E97FDA" w:rsidRPr="00C32FB0">
        <w:rPr>
          <w:rFonts w:ascii="Arial" w:hAnsi="Arial" w:cs="Arial"/>
        </w:rPr>
        <w:t>Care’ approach to P</w:t>
      </w:r>
      <w:r w:rsidRPr="00C32FB0">
        <w:rPr>
          <w:rFonts w:ascii="Arial" w:hAnsi="Arial" w:cs="Arial"/>
        </w:rPr>
        <w:t>hase of</w:t>
      </w:r>
      <w:r w:rsidR="00E97FDA" w:rsidRPr="00C32FB0">
        <w:rPr>
          <w:rFonts w:ascii="Arial" w:hAnsi="Arial" w:cs="Arial"/>
        </w:rPr>
        <w:t xml:space="preserve"> C</w:t>
      </w:r>
      <w:r w:rsidRPr="00C32FB0">
        <w:rPr>
          <w:rFonts w:ascii="Arial" w:hAnsi="Arial" w:cs="Arial"/>
        </w:rPr>
        <w:t>are</w:t>
      </w:r>
      <w:r w:rsidR="00E97FDA" w:rsidRPr="00C32FB0">
        <w:rPr>
          <w:rFonts w:ascii="Arial" w:hAnsi="Arial" w:cs="Arial"/>
        </w:rPr>
        <w:t xml:space="preserve"> </w:t>
      </w:r>
      <w:r w:rsidRPr="00C32FB0">
        <w:rPr>
          <w:rFonts w:ascii="Arial" w:hAnsi="Arial" w:cs="Arial"/>
        </w:rPr>
        <w:t>with an additional data domain for ‘initial assessment / brief intervention’.</w:t>
      </w:r>
    </w:p>
    <w:p w:rsidR="00E97FDA" w:rsidRPr="00C32FB0" w:rsidRDefault="00B66DEE" w:rsidP="00B66DEE">
      <w:pPr>
        <w:rPr>
          <w:rFonts w:ascii="Arial" w:hAnsi="Arial" w:cs="Arial"/>
        </w:rPr>
      </w:pPr>
      <w:r w:rsidRPr="00C32FB0">
        <w:rPr>
          <w:rFonts w:ascii="Arial" w:hAnsi="Arial" w:cs="Arial"/>
        </w:rPr>
        <w:t xml:space="preserve">The definition of </w:t>
      </w:r>
      <w:r w:rsidR="00E97FDA" w:rsidRPr="00C32FB0">
        <w:rPr>
          <w:rFonts w:ascii="Arial" w:hAnsi="Arial" w:cs="Arial"/>
        </w:rPr>
        <w:t>Phase of C</w:t>
      </w:r>
      <w:r w:rsidRPr="00C32FB0">
        <w:rPr>
          <w:rFonts w:ascii="Arial" w:hAnsi="Arial" w:cs="Arial"/>
        </w:rPr>
        <w:t>are for the purposes of th</w:t>
      </w:r>
      <w:r w:rsidR="00E97FDA" w:rsidRPr="00C32FB0">
        <w:rPr>
          <w:rFonts w:ascii="Arial" w:hAnsi="Arial" w:cs="Arial"/>
        </w:rPr>
        <w:t>e Mental Health Costing Study was</w:t>
      </w:r>
      <w:r w:rsidRPr="00C32FB0">
        <w:rPr>
          <w:rFonts w:ascii="Arial" w:hAnsi="Arial" w:cs="Arial"/>
        </w:rPr>
        <w:t>:</w:t>
      </w:r>
    </w:p>
    <w:p w:rsidR="00B66DEE" w:rsidRPr="00C32FB0" w:rsidRDefault="00B66DEE" w:rsidP="00E97FDA">
      <w:pPr>
        <w:pStyle w:val="Quote"/>
        <w:ind w:left="720"/>
        <w:rPr>
          <w:rFonts w:ascii="Arial" w:hAnsi="Arial" w:cs="Arial"/>
        </w:rPr>
      </w:pPr>
      <w:r w:rsidRPr="00C32FB0">
        <w:rPr>
          <w:rFonts w:ascii="Arial" w:hAnsi="Arial" w:cs="Arial"/>
        </w:rPr>
        <w:t>The phase of care identifies the primary goal of care that is reflected in the client’s mental health treatment plan at the time of collection, for the next stage in the patient</w:t>
      </w:r>
      <w:r w:rsidR="00E97FDA" w:rsidRPr="00C32FB0">
        <w:rPr>
          <w:rFonts w:ascii="Arial" w:hAnsi="Arial" w:cs="Arial"/>
        </w:rPr>
        <w:t>’</w:t>
      </w:r>
      <w:r w:rsidRPr="00C32FB0">
        <w:rPr>
          <w:rFonts w:ascii="Arial" w:hAnsi="Arial" w:cs="Arial"/>
        </w:rPr>
        <w:t xml:space="preserve">s care. It reflects the prospective assessment of the primary goal of care, rather than a retrospective assessment. </w:t>
      </w:r>
    </w:p>
    <w:p w:rsidR="00B66DEE" w:rsidRPr="00C32FB0" w:rsidRDefault="00B66DEE" w:rsidP="00B66DEE">
      <w:pPr>
        <w:rPr>
          <w:rFonts w:ascii="Arial" w:hAnsi="Arial" w:cs="Arial"/>
        </w:rPr>
      </w:pPr>
      <w:r w:rsidRPr="00C32FB0">
        <w:rPr>
          <w:rFonts w:ascii="Arial" w:hAnsi="Arial" w:cs="Arial"/>
        </w:rPr>
        <w:t xml:space="preserve">The data domains </w:t>
      </w:r>
      <w:r w:rsidR="00083953" w:rsidRPr="00C32FB0">
        <w:rPr>
          <w:rFonts w:ascii="Arial" w:hAnsi="Arial" w:cs="Arial"/>
        </w:rPr>
        <w:t xml:space="preserve">detailed in </w:t>
      </w:r>
      <w:r w:rsidR="00083953" w:rsidRPr="00C32FB0">
        <w:rPr>
          <w:rFonts w:ascii="Arial" w:hAnsi="Arial" w:cs="Arial"/>
        </w:rPr>
        <w:fldChar w:fldCharType="begin"/>
      </w:r>
      <w:r w:rsidR="00083953" w:rsidRPr="00C32FB0">
        <w:rPr>
          <w:rFonts w:ascii="Arial" w:hAnsi="Arial" w:cs="Arial"/>
        </w:rPr>
        <w:instrText xml:space="preserve"> REF _Ref405388169 \h </w:instrText>
      </w:r>
      <w:r w:rsidR="00A97C8E" w:rsidRPr="00C32FB0">
        <w:rPr>
          <w:rFonts w:ascii="Arial" w:hAnsi="Arial" w:cs="Arial"/>
        </w:rPr>
        <w:instrText xml:space="preserve"> \* MERGEFORMAT </w:instrText>
      </w:r>
      <w:r w:rsidR="00083953" w:rsidRPr="00C32FB0">
        <w:rPr>
          <w:rFonts w:ascii="Arial" w:hAnsi="Arial" w:cs="Arial"/>
        </w:rPr>
      </w:r>
      <w:r w:rsidR="00083953" w:rsidRPr="00C32FB0">
        <w:rPr>
          <w:rFonts w:ascii="Arial" w:hAnsi="Arial" w:cs="Arial"/>
        </w:rPr>
        <w:fldChar w:fldCharType="separate"/>
      </w:r>
      <w:r w:rsidR="007D074E" w:rsidRPr="00C32FB0">
        <w:rPr>
          <w:rFonts w:ascii="Arial" w:hAnsi="Arial" w:cs="Arial"/>
        </w:rPr>
        <w:t xml:space="preserve">Table </w:t>
      </w:r>
      <w:r w:rsidR="007D074E">
        <w:rPr>
          <w:rFonts w:ascii="Arial" w:hAnsi="Arial" w:cs="Arial"/>
          <w:noProof/>
        </w:rPr>
        <w:t>2</w:t>
      </w:r>
      <w:r w:rsidR="00083953" w:rsidRPr="00C32FB0">
        <w:rPr>
          <w:rFonts w:ascii="Arial" w:hAnsi="Arial" w:cs="Arial"/>
        </w:rPr>
        <w:fldChar w:fldCharType="end"/>
      </w:r>
      <w:r w:rsidRPr="00C32FB0">
        <w:rPr>
          <w:rFonts w:ascii="Arial" w:hAnsi="Arial" w:cs="Arial"/>
        </w:rPr>
        <w:t xml:space="preserve"> incorporate the four Focus of Care categories and an additional code for ‘initial assessment’. The other amendment was to change the title of “Maintenance” to </w:t>
      </w:r>
      <w:r w:rsidR="004711C3" w:rsidRPr="00C32FB0">
        <w:rPr>
          <w:rFonts w:ascii="Arial" w:hAnsi="Arial" w:cs="Arial"/>
        </w:rPr>
        <w:t>“</w:t>
      </w:r>
      <w:r w:rsidRPr="00C32FB0">
        <w:rPr>
          <w:rFonts w:ascii="Arial" w:hAnsi="Arial" w:cs="Arial"/>
        </w:rPr>
        <w:t>Consolidating gain (also known as maintenance)”.</w:t>
      </w:r>
    </w:p>
    <w:p w:rsidR="00083953" w:rsidRPr="00C32FB0" w:rsidRDefault="00083953" w:rsidP="00DF5B38">
      <w:pPr>
        <w:pStyle w:val="Caption"/>
        <w:keepNext/>
        <w:keepLines/>
        <w:rPr>
          <w:rFonts w:ascii="Arial" w:hAnsi="Arial" w:cs="Arial"/>
        </w:rPr>
      </w:pPr>
      <w:bookmarkStart w:id="34" w:name="_Ref405388169"/>
      <w:r w:rsidRPr="00C32FB0">
        <w:rPr>
          <w:rFonts w:ascii="Arial" w:hAnsi="Arial" w:cs="Arial"/>
        </w:rPr>
        <w:lastRenderedPageBreak/>
        <w:t xml:space="preserve">Table </w:t>
      </w:r>
      <w:r w:rsidR="00E015CF" w:rsidRPr="00C32FB0">
        <w:rPr>
          <w:rFonts w:ascii="Arial" w:hAnsi="Arial" w:cs="Arial"/>
        </w:rPr>
        <w:fldChar w:fldCharType="begin"/>
      </w:r>
      <w:r w:rsidR="00E015CF" w:rsidRPr="00C32FB0">
        <w:rPr>
          <w:rFonts w:ascii="Arial" w:hAnsi="Arial" w:cs="Arial"/>
        </w:rPr>
        <w:instrText xml:space="preserve"> SEQ Table \* ARABIC </w:instrText>
      </w:r>
      <w:r w:rsidR="00E015CF" w:rsidRPr="00C32FB0">
        <w:rPr>
          <w:rFonts w:ascii="Arial" w:hAnsi="Arial" w:cs="Arial"/>
        </w:rPr>
        <w:fldChar w:fldCharType="separate"/>
      </w:r>
      <w:r w:rsidR="007D074E">
        <w:rPr>
          <w:rFonts w:ascii="Arial" w:hAnsi="Arial" w:cs="Arial"/>
          <w:noProof/>
        </w:rPr>
        <w:t>2</w:t>
      </w:r>
      <w:r w:rsidR="00E015CF" w:rsidRPr="00C32FB0">
        <w:rPr>
          <w:rFonts w:ascii="Arial" w:hAnsi="Arial" w:cs="Arial"/>
          <w:noProof/>
        </w:rPr>
        <w:fldChar w:fldCharType="end"/>
      </w:r>
      <w:bookmarkEnd w:id="34"/>
      <w:r w:rsidRPr="00C32FB0">
        <w:rPr>
          <w:rFonts w:ascii="Arial" w:hAnsi="Arial" w:cs="Arial"/>
        </w:rPr>
        <w:t>: Data domains for Phase of Care</w:t>
      </w:r>
      <w:r w:rsidRPr="00C32FB0">
        <w:rPr>
          <w:rFonts w:ascii="Arial" w:hAnsi="Arial" w:cs="Arial"/>
          <w:noProof/>
        </w:rPr>
        <w:t xml:space="preserve"> in the Mental Health Costing Study</w:t>
      </w:r>
    </w:p>
    <w:tbl>
      <w:tblPr>
        <w:tblStyle w:val="LightShading"/>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Description w:val="Table 2 consists of 2 column headings: Column 1. Descriptive term and Column 2. Definitions for the descriptive terms."/>
      </w:tblPr>
      <w:tblGrid>
        <w:gridCol w:w="1951"/>
        <w:gridCol w:w="7229"/>
      </w:tblGrid>
      <w:tr w:rsidR="004711C3" w:rsidRPr="00C32FB0" w:rsidTr="007C426F">
        <w:trPr>
          <w:cnfStyle w:val="100000000000" w:firstRow="1" w:lastRow="0" w:firstColumn="0" w:lastColumn="0" w:oddVBand="0" w:evenVBand="0" w:oddHBand="0" w:evenHBand="0" w:firstRowFirstColumn="0" w:firstRowLastColumn="0" w:lastRowFirstColumn="0" w:lastRowLastColumn="0"/>
          <w:cantSplit/>
          <w:trHeight w:val="227"/>
          <w:tblHeader/>
        </w:trPr>
        <w:tc>
          <w:tcPr>
            <w:cnfStyle w:val="001000000000" w:firstRow="0" w:lastRow="0" w:firstColumn="1" w:lastColumn="0" w:oddVBand="0" w:evenVBand="0" w:oddHBand="0" w:evenHBand="0" w:firstRowFirstColumn="0" w:firstRowLastColumn="0" w:lastRowFirstColumn="0" w:lastRowLastColumn="0"/>
            <w:tcW w:w="1951" w:type="dxa"/>
            <w:tcBorders>
              <w:top w:val="none" w:sz="0" w:space="0" w:color="auto"/>
              <w:left w:val="none" w:sz="0" w:space="0" w:color="auto"/>
              <w:bottom w:val="none" w:sz="0" w:space="0" w:color="auto"/>
              <w:right w:val="none" w:sz="0" w:space="0" w:color="auto"/>
            </w:tcBorders>
          </w:tcPr>
          <w:p w:rsidR="004711C3" w:rsidRPr="00C32FB0" w:rsidRDefault="004711C3" w:rsidP="00DF5B38">
            <w:pPr>
              <w:keepNext/>
              <w:keepLines/>
              <w:spacing w:before="100" w:after="100"/>
              <w:rPr>
                <w:rFonts w:ascii="Arial" w:hAnsi="Arial" w:cs="Arial"/>
                <w:sz w:val="20"/>
              </w:rPr>
            </w:pPr>
            <w:r w:rsidRPr="00C32FB0">
              <w:rPr>
                <w:rFonts w:ascii="Arial" w:hAnsi="Arial" w:cs="Arial"/>
                <w:sz w:val="20"/>
              </w:rPr>
              <w:t>Descriptive term</w:t>
            </w:r>
          </w:p>
        </w:tc>
        <w:tc>
          <w:tcPr>
            <w:tcW w:w="7229" w:type="dxa"/>
            <w:tcBorders>
              <w:top w:val="none" w:sz="0" w:space="0" w:color="auto"/>
              <w:left w:val="none" w:sz="0" w:space="0" w:color="auto"/>
              <w:bottom w:val="none" w:sz="0" w:space="0" w:color="auto"/>
              <w:right w:val="none" w:sz="0" w:space="0" w:color="auto"/>
            </w:tcBorders>
          </w:tcPr>
          <w:p w:rsidR="004711C3" w:rsidRPr="00C32FB0" w:rsidRDefault="004711C3" w:rsidP="00DF5B38">
            <w:pPr>
              <w:keepNext/>
              <w:keepLines/>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C32FB0">
              <w:rPr>
                <w:rFonts w:ascii="Arial" w:hAnsi="Arial" w:cs="Arial"/>
                <w:sz w:val="20"/>
              </w:rPr>
              <w:t>Definition</w:t>
            </w:r>
          </w:p>
        </w:tc>
      </w:tr>
      <w:tr w:rsidR="004711C3" w:rsidRPr="00C32FB0" w:rsidTr="007C426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951" w:type="dxa"/>
            <w:tcBorders>
              <w:left w:val="none" w:sz="0" w:space="0" w:color="auto"/>
              <w:right w:val="none" w:sz="0" w:space="0" w:color="auto"/>
            </w:tcBorders>
          </w:tcPr>
          <w:p w:rsidR="004711C3" w:rsidRPr="00C32FB0" w:rsidRDefault="004711C3" w:rsidP="00DF5B38">
            <w:pPr>
              <w:keepLines/>
              <w:spacing w:before="100" w:after="100"/>
              <w:rPr>
                <w:rFonts w:ascii="Arial" w:hAnsi="Arial" w:cs="Arial"/>
                <w:b w:val="0"/>
                <w:sz w:val="20"/>
              </w:rPr>
            </w:pPr>
            <w:r w:rsidRPr="00C32FB0">
              <w:rPr>
                <w:rFonts w:ascii="Arial" w:hAnsi="Arial" w:cs="Arial"/>
                <w:b w:val="0"/>
                <w:sz w:val="20"/>
              </w:rPr>
              <w:t xml:space="preserve">Initial assessment </w:t>
            </w:r>
          </w:p>
        </w:tc>
        <w:tc>
          <w:tcPr>
            <w:tcW w:w="7229" w:type="dxa"/>
            <w:tcBorders>
              <w:left w:val="none" w:sz="0" w:space="0" w:color="auto"/>
              <w:right w:val="none" w:sz="0" w:space="0" w:color="auto"/>
            </w:tcBorders>
          </w:tcPr>
          <w:p w:rsidR="004711C3" w:rsidRPr="00C32FB0" w:rsidRDefault="004711C3" w:rsidP="00DF5B38">
            <w:pPr>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32FB0">
              <w:rPr>
                <w:rFonts w:ascii="Arial" w:hAnsi="Arial" w:cs="Arial"/>
                <w:sz w:val="20"/>
              </w:rPr>
              <w:t xml:space="preserve">The primary goal is to obtain information, including collateral information where </w:t>
            </w:r>
            <w:proofErr w:type="gramStart"/>
            <w:r w:rsidRPr="00C32FB0">
              <w:rPr>
                <w:rFonts w:ascii="Arial" w:hAnsi="Arial" w:cs="Arial"/>
                <w:sz w:val="20"/>
              </w:rPr>
              <w:t>possible,</w:t>
            </w:r>
            <w:proofErr w:type="gramEnd"/>
            <w:r w:rsidRPr="00C32FB0">
              <w:rPr>
                <w:rFonts w:ascii="Arial" w:hAnsi="Arial" w:cs="Arial"/>
                <w:sz w:val="20"/>
              </w:rPr>
              <w:t xml:space="preserve"> in order to determine the intervention/treatment needs and to arrange for this to occur (includes brief history, risk assessment, referral to treating team or other service)</w:t>
            </w:r>
            <w:r w:rsidR="006C7939" w:rsidRPr="00C32FB0">
              <w:rPr>
                <w:rFonts w:ascii="Arial" w:hAnsi="Arial" w:cs="Arial"/>
                <w:sz w:val="20"/>
              </w:rPr>
              <w:t>.</w:t>
            </w:r>
          </w:p>
        </w:tc>
      </w:tr>
      <w:tr w:rsidR="004711C3" w:rsidRPr="00C32FB0" w:rsidTr="007C426F">
        <w:trPr>
          <w:cantSplit/>
          <w:trHeight w:val="227"/>
        </w:trPr>
        <w:tc>
          <w:tcPr>
            <w:cnfStyle w:val="001000000000" w:firstRow="0" w:lastRow="0" w:firstColumn="1" w:lastColumn="0" w:oddVBand="0" w:evenVBand="0" w:oddHBand="0" w:evenHBand="0" w:firstRowFirstColumn="0" w:firstRowLastColumn="0" w:lastRowFirstColumn="0" w:lastRowLastColumn="0"/>
            <w:tcW w:w="1951" w:type="dxa"/>
          </w:tcPr>
          <w:p w:rsidR="004711C3" w:rsidRPr="00C32FB0" w:rsidRDefault="004711C3" w:rsidP="00DF5B38">
            <w:pPr>
              <w:keepLines/>
              <w:spacing w:before="100" w:after="100"/>
              <w:rPr>
                <w:rFonts w:ascii="Arial" w:hAnsi="Arial" w:cs="Arial"/>
                <w:b w:val="0"/>
                <w:sz w:val="20"/>
              </w:rPr>
            </w:pPr>
            <w:r w:rsidRPr="00C32FB0">
              <w:rPr>
                <w:rFonts w:ascii="Arial" w:hAnsi="Arial" w:cs="Arial"/>
                <w:b w:val="0"/>
                <w:sz w:val="20"/>
              </w:rPr>
              <w:t>Acute</w:t>
            </w:r>
          </w:p>
        </w:tc>
        <w:tc>
          <w:tcPr>
            <w:tcW w:w="7229" w:type="dxa"/>
          </w:tcPr>
          <w:p w:rsidR="004711C3" w:rsidRPr="00C32FB0" w:rsidRDefault="004711C3" w:rsidP="00DF5B38">
            <w:pPr>
              <w:keepLines/>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32FB0">
              <w:rPr>
                <w:rFonts w:ascii="Arial" w:hAnsi="Arial" w:cs="Arial"/>
                <w:sz w:val="20"/>
              </w:rPr>
              <w:t>The primary goal is the short term reduction in severity of symptoms and/or personal distress associated with the recent onset or exacerbation of a psychiatric disorder.</w:t>
            </w:r>
          </w:p>
        </w:tc>
      </w:tr>
      <w:tr w:rsidR="004711C3" w:rsidRPr="00C32FB0" w:rsidTr="007C426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951" w:type="dxa"/>
            <w:tcBorders>
              <w:left w:val="none" w:sz="0" w:space="0" w:color="auto"/>
              <w:right w:val="none" w:sz="0" w:space="0" w:color="auto"/>
            </w:tcBorders>
          </w:tcPr>
          <w:p w:rsidR="004711C3" w:rsidRPr="00C32FB0" w:rsidRDefault="004711C3" w:rsidP="00DF5B38">
            <w:pPr>
              <w:keepLines/>
              <w:spacing w:before="100" w:after="100"/>
              <w:rPr>
                <w:rFonts w:ascii="Arial" w:hAnsi="Arial" w:cs="Arial"/>
                <w:b w:val="0"/>
                <w:sz w:val="20"/>
              </w:rPr>
            </w:pPr>
            <w:r w:rsidRPr="00C32FB0">
              <w:rPr>
                <w:rFonts w:ascii="Arial" w:hAnsi="Arial" w:cs="Arial"/>
                <w:b w:val="0"/>
                <w:sz w:val="20"/>
              </w:rPr>
              <w:t>Functional gain</w:t>
            </w:r>
          </w:p>
        </w:tc>
        <w:tc>
          <w:tcPr>
            <w:tcW w:w="7229" w:type="dxa"/>
            <w:tcBorders>
              <w:left w:val="none" w:sz="0" w:space="0" w:color="auto"/>
              <w:right w:val="none" w:sz="0" w:space="0" w:color="auto"/>
            </w:tcBorders>
          </w:tcPr>
          <w:p w:rsidR="004711C3" w:rsidRPr="00C32FB0" w:rsidRDefault="004711C3" w:rsidP="00DF5B38">
            <w:pPr>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32FB0">
              <w:rPr>
                <w:rFonts w:ascii="Arial" w:hAnsi="Arial" w:cs="Arial"/>
                <w:sz w:val="20"/>
              </w:rPr>
              <w:t>The primary goal is to improve personal, social or occupational functioning or promote psychosocial adaptation in a patient with impairment arising from a psychiatric disorder.</w:t>
            </w:r>
          </w:p>
        </w:tc>
      </w:tr>
      <w:tr w:rsidR="004711C3" w:rsidRPr="00C32FB0" w:rsidTr="007C426F">
        <w:trPr>
          <w:cantSplit/>
          <w:trHeight w:val="227"/>
        </w:trPr>
        <w:tc>
          <w:tcPr>
            <w:cnfStyle w:val="001000000000" w:firstRow="0" w:lastRow="0" w:firstColumn="1" w:lastColumn="0" w:oddVBand="0" w:evenVBand="0" w:oddHBand="0" w:evenHBand="0" w:firstRowFirstColumn="0" w:firstRowLastColumn="0" w:lastRowFirstColumn="0" w:lastRowLastColumn="0"/>
            <w:tcW w:w="1951" w:type="dxa"/>
          </w:tcPr>
          <w:p w:rsidR="004711C3" w:rsidRPr="00C32FB0" w:rsidRDefault="004711C3" w:rsidP="00DF5B38">
            <w:pPr>
              <w:keepLines/>
              <w:spacing w:before="100" w:after="100"/>
              <w:rPr>
                <w:rFonts w:ascii="Arial" w:hAnsi="Arial" w:cs="Arial"/>
                <w:b w:val="0"/>
                <w:sz w:val="20"/>
              </w:rPr>
            </w:pPr>
            <w:r w:rsidRPr="00C32FB0">
              <w:rPr>
                <w:rFonts w:ascii="Arial" w:hAnsi="Arial" w:cs="Arial"/>
                <w:b w:val="0"/>
                <w:sz w:val="20"/>
              </w:rPr>
              <w:t>Intensive extended</w:t>
            </w:r>
          </w:p>
        </w:tc>
        <w:tc>
          <w:tcPr>
            <w:tcW w:w="7229" w:type="dxa"/>
          </w:tcPr>
          <w:p w:rsidR="004711C3" w:rsidRPr="00C32FB0" w:rsidRDefault="004711C3" w:rsidP="00DF5B38">
            <w:pPr>
              <w:keepLines/>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32FB0">
              <w:rPr>
                <w:rFonts w:ascii="Arial" w:hAnsi="Arial" w:cs="Arial"/>
                <w:sz w:val="20"/>
              </w:rPr>
              <w:t>The primary goal is prevention or minimisation of further deterioration, and reduction of risk of harm in a patient who has a stable pattern of severe symptoms, frequent relapses or severe inability to function independently and is judged to require care over an indefinite period.</w:t>
            </w:r>
          </w:p>
        </w:tc>
      </w:tr>
      <w:tr w:rsidR="004711C3" w:rsidRPr="00C32FB0" w:rsidTr="007C426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1951" w:type="dxa"/>
            <w:tcBorders>
              <w:left w:val="none" w:sz="0" w:space="0" w:color="auto"/>
              <w:right w:val="none" w:sz="0" w:space="0" w:color="auto"/>
            </w:tcBorders>
          </w:tcPr>
          <w:p w:rsidR="004711C3" w:rsidRPr="00C32FB0" w:rsidRDefault="004711C3" w:rsidP="00DF5B38">
            <w:pPr>
              <w:keepLines/>
              <w:spacing w:before="100" w:after="100"/>
              <w:rPr>
                <w:rFonts w:ascii="Arial" w:hAnsi="Arial" w:cs="Arial"/>
                <w:b w:val="0"/>
                <w:sz w:val="20"/>
              </w:rPr>
            </w:pPr>
            <w:r w:rsidRPr="00C32FB0">
              <w:rPr>
                <w:rFonts w:ascii="Arial" w:hAnsi="Arial" w:cs="Arial"/>
                <w:b w:val="0"/>
                <w:sz w:val="20"/>
              </w:rPr>
              <w:t xml:space="preserve">Consolidating gain (also known as maintenance) </w:t>
            </w:r>
          </w:p>
        </w:tc>
        <w:tc>
          <w:tcPr>
            <w:tcW w:w="7229" w:type="dxa"/>
            <w:tcBorders>
              <w:left w:val="none" w:sz="0" w:space="0" w:color="auto"/>
              <w:right w:val="none" w:sz="0" w:space="0" w:color="auto"/>
            </w:tcBorders>
          </w:tcPr>
          <w:p w:rsidR="004711C3" w:rsidRPr="00C32FB0" w:rsidRDefault="004711C3" w:rsidP="00DF5B38">
            <w:pPr>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32FB0">
              <w:rPr>
                <w:rFonts w:ascii="Arial" w:hAnsi="Arial" w:cs="Arial"/>
                <w:sz w:val="20"/>
              </w:rPr>
              <w:t xml:space="preserve">The primary goal is to maintain the level of functioning, or improving functioning during a period of recovery, minimise deterioration or prevent relapse where the patient has stabilised and functions relatively independently.  </w:t>
            </w:r>
          </w:p>
        </w:tc>
      </w:tr>
    </w:tbl>
    <w:p w:rsidR="00B66DEE" w:rsidRPr="00C32FB0" w:rsidRDefault="00B66DEE" w:rsidP="00D00395">
      <w:pPr>
        <w:spacing w:before="200"/>
        <w:rPr>
          <w:rFonts w:ascii="Arial" w:hAnsi="Arial" w:cs="Arial"/>
        </w:rPr>
      </w:pPr>
      <w:r w:rsidRPr="00C32FB0">
        <w:rPr>
          <w:rFonts w:ascii="Arial" w:hAnsi="Arial" w:cs="Arial"/>
        </w:rPr>
        <w:t xml:space="preserve">For the purposes of the Mental Health Costing Study, the </w:t>
      </w:r>
      <w:r w:rsidR="00083953" w:rsidRPr="00C32FB0">
        <w:rPr>
          <w:rFonts w:ascii="Arial" w:hAnsi="Arial" w:cs="Arial"/>
        </w:rPr>
        <w:t>data element was</w:t>
      </w:r>
      <w:r w:rsidRPr="00C32FB0">
        <w:rPr>
          <w:rFonts w:ascii="Arial" w:hAnsi="Arial" w:cs="Arial"/>
        </w:rPr>
        <w:t xml:space="preserve"> collected at each point of service delivery in the community setting, and at regular intervals in the </w:t>
      </w:r>
      <w:r w:rsidR="00083953" w:rsidRPr="00C32FB0">
        <w:rPr>
          <w:rFonts w:ascii="Arial" w:hAnsi="Arial" w:cs="Arial"/>
        </w:rPr>
        <w:t xml:space="preserve">admitted </w:t>
      </w:r>
      <w:r w:rsidRPr="00C32FB0">
        <w:rPr>
          <w:rFonts w:ascii="Arial" w:hAnsi="Arial" w:cs="Arial"/>
        </w:rPr>
        <w:t xml:space="preserve">setting.  Therefore, the point at which </w:t>
      </w:r>
      <w:r w:rsidR="00083953" w:rsidRPr="00C32FB0">
        <w:rPr>
          <w:rFonts w:ascii="Arial" w:hAnsi="Arial" w:cs="Arial"/>
        </w:rPr>
        <w:t>P</w:t>
      </w:r>
      <w:r w:rsidRPr="00C32FB0">
        <w:rPr>
          <w:rFonts w:ascii="Arial" w:hAnsi="Arial" w:cs="Arial"/>
        </w:rPr>
        <w:t xml:space="preserve">hase of </w:t>
      </w:r>
      <w:r w:rsidR="00083953" w:rsidRPr="00C32FB0">
        <w:rPr>
          <w:rFonts w:ascii="Arial" w:hAnsi="Arial" w:cs="Arial"/>
        </w:rPr>
        <w:t xml:space="preserve">Care was collected differed </w:t>
      </w:r>
      <w:r w:rsidRPr="00C32FB0">
        <w:rPr>
          <w:rFonts w:ascii="Arial" w:hAnsi="Arial" w:cs="Arial"/>
        </w:rPr>
        <w:t xml:space="preserve">based on the setting. </w:t>
      </w:r>
    </w:p>
    <w:p w:rsidR="00B66DEE" w:rsidRPr="00C32FB0" w:rsidRDefault="00B66DEE" w:rsidP="00B66DEE">
      <w:pPr>
        <w:rPr>
          <w:rFonts w:ascii="Arial" w:hAnsi="Arial" w:cs="Arial"/>
        </w:rPr>
      </w:pPr>
      <w:r w:rsidRPr="00C32FB0">
        <w:rPr>
          <w:rFonts w:ascii="Arial" w:hAnsi="Arial" w:cs="Arial"/>
        </w:rPr>
        <w:t xml:space="preserve">In the </w:t>
      </w:r>
      <w:r w:rsidR="00083953" w:rsidRPr="00C32FB0">
        <w:rPr>
          <w:rFonts w:ascii="Arial" w:hAnsi="Arial" w:cs="Arial"/>
        </w:rPr>
        <w:t>admitted</w:t>
      </w:r>
      <w:r w:rsidR="003B0F46" w:rsidRPr="00C32FB0">
        <w:rPr>
          <w:rFonts w:ascii="Arial" w:hAnsi="Arial" w:cs="Arial"/>
        </w:rPr>
        <w:t xml:space="preserve"> setting</w:t>
      </w:r>
      <w:r w:rsidRPr="00C32FB0">
        <w:rPr>
          <w:rFonts w:ascii="Arial" w:hAnsi="Arial" w:cs="Arial"/>
        </w:rPr>
        <w:t xml:space="preserve">, </w:t>
      </w:r>
      <w:r w:rsidR="00083953" w:rsidRPr="00C32FB0">
        <w:rPr>
          <w:rFonts w:ascii="Arial" w:hAnsi="Arial" w:cs="Arial"/>
        </w:rPr>
        <w:t>Phase of C</w:t>
      </w:r>
      <w:r w:rsidRPr="00C32FB0">
        <w:rPr>
          <w:rFonts w:ascii="Arial" w:hAnsi="Arial" w:cs="Arial"/>
        </w:rPr>
        <w:t xml:space="preserve">are is collected on day of admission, then every subsequent 14 days post admission, then at discharge.  If there is a </w:t>
      </w:r>
      <w:r w:rsidR="00083953" w:rsidRPr="00C32FB0">
        <w:rPr>
          <w:rFonts w:ascii="Arial" w:hAnsi="Arial" w:cs="Arial"/>
        </w:rPr>
        <w:t>P</w:t>
      </w:r>
      <w:r w:rsidRPr="00C32FB0">
        <w:rPr>
          <w:rFonts w:ascii="Arial" w:hAnsi="Arial" w:cs="Arial"/>
        </w:rPr>
        <w:t>hase change during the admission (e.g. a change from acute to consolidating gain) then there will be a requirement to submit other specifie</w:t>
      </w:r>
      <w:r w:rsidR="00083953" w:rsidRPr="00C32FB0">
        <w:rPr>
          <w:rFonts w:ascii="Arial" w:hAnsi="Arial" w:cs="Arial"/>
        </w:rPr>
        <w:t>d data such as NOCC clinical ratings.</w:t>
      </w:r>
    </w:p>
    <w:p w:rsidR="00B66DEE" w:rsidRPr="00C32FB0" w:rsidRDefault="00B66DEE" w:rsidP="00B66DEE">
      <w:pPr>
        <w:rPr>
          <w:rFonts w:ascii="Arial" w:hAnsi="Arial" w:cs="Arial"/>
        </w:rPr>
      </w:pPr>
      <w:r w:rsidRPr="00C32FB0">
        <w:rPr>
          <w:rFonts w:ascii="Arial" w:hAnsi="Arial" w:cs="Arial"/>
        </w:rPr>
        <w:t xml:space="preserve">Only one </w:t>
      </w:r>
      <w:r w:rsidR="00083953" w:rsidRPr="00C32FB0">
        <w:rPr>
          <w:rFonts w:ascii="Arial" w:hAnsi="Arial" w:cs="Arial"/>
        </w:rPr>
        <w:t>Phase of C</w:t>
      </w:r>
      <w:r w:rsidRPr="00C32FB0">
        <w:rPr>
          <w:rFonts w:ascii="Arial" w:hAnsi="Arial" w:cs="Arial"/>
        </w:rPr>
        <w:t xml:space="preserve">are can be reported at each collection point. The clinician determines the </w:t>
      </w:r>
      <w:r w:rsidR="00083953" w:rsidRPr="00C32FB0">
        <w:rPr>
          <w:rFonts w:ascii="Arial" w:hAnsi="Arial" w:cs="Arial"/>
        </w:rPr>
        <w:t>Phase</w:t>
      </w:r>
      <w:r w:rsidRPr="00C32FB0">
        <w:rPr>
          <w:rFonts w:ascii="Arial" w:hAnsi="Arial" w:cs="Arial"/>
        </w:rPr>
        <w:t xml:space="preserve"> at the time of collection, for the next stage of the </w:t>
      </w:r>
      <w:r w:rsidR="00083953" w:rsidRPr="00C32FB0">
        <w:rPr>
          <w:rFonts w:ascii="Arial" w:hAnsi="Arial" w:cs="Arial"/>
        </w:rPr>
        <w:t>consumer’s</w:t>
      </w:r>
      <w:r w:rsidRPr="00C32FB0">
        <w:rPr>
          <w:rFonts w:ascii="Arial" w:hAnsi="Arial" w:cs="Arial"/>
        </w:rPr>
        <w:t xml:space="preserve"> care. It reflects the prospective assessment of the primary goal at the time of assessment, rather than a retrospective assessment.</w:t>
      </w:r>
    </w:p>
    <w:p w:rsidR="00B66DEE" w:rsidRPr="00C32FB0" w:rsidRDefault="00B66DEE" w:rsidP="00B66DEE">
      <w:pPr>
        <w:rPr>
          <w:rFonts w:ascii="Arial" w:hAnsi="Arial" w:cs="Arial"/>
        </w:rPr>
      </w:pPr>
      <w:r w:rsidRPr="00C32FB0">
        <w:rPr>
          <w:rFonts w:ascii="Arial" w:hAnsi="Arial" w:cs="Arial"/>
        </w:rPr>
        <w:t xml:space="preserve">In the community / non-admitted setting, </w:t>
      </w:r>
      <w:r w:rsidR="00083953" w:rsidRPr="00C32FB0">
        <w:rPr>
          <w:rFonts w:ascii="Arial" w:hAnsi="Arial" w:cs="Arial"/>
        </w:rPr>
        <w:t>Phase of Care</w:t>
      </w:r>
      <w:r w:rsidRPr="00C32FB0">
        <w:rPr>
          <w:rFonts w:ascii="Arial" w:hAnsi="Arial" w:cs="Arial"/>
        </w:rPr>
        <w:t xml:space="preserve"> is collected for all contacts</w:t>
      </w:r>
      <w:r w:rsidR="003B0F46" w:rsidRPr="00C32FB0">
        <w:rPr>
          <w:rFonts w:ascii="Arial" w:hAnsi="Arial" w:cs="Arial"/>
        </w:rPr>
        <w:t xml:space="preserve"> or</w:t>
      </w:r>
      <w:r w:rsidRPr="00C32FB0">
        <w:rPr>
          <w:rFonts w:ascii="Arial" w:hAnsi="Arial" w:cs="Arial"/>
        </w:rPr>
        <w:t xml:space="preserve"> service events provided by mental health services.  The clinician decides the </w:t>
      </w:r>
      <w:r w:rsidR="00083953" w:rsidRPr="00C32FB0">
        <w:rPr>
          <w:rFonts w:ascii="Arial" w:hAnsi="Arial" w:cs="Arial"/>
        </w:rPr>
        <w:t>Phase</w:t>
      </w:r>
      <w:r w:rsidRPr="00C32FB0">
        <w:rPr>
          <w:rFonts w:ascii="Arial" w:hAnsi="Arial" w:cs="Arial"/>
        </w:rPr>
        <w:t xml:space="preserve"> at each contact </w:t>
      </w:r>
      <w:r w:rsidR="003B0F46" w:rsidRPr="00C32FB0">
        <w:rPr>
          <w:rFonts w:ascii="Arial" w:hAnsi="Arial" w:cs="Arial"/>
        </w:rPr>
        <w:t>or</w:t>
      </w:r>
      <w:r w:rsidRPr="00C32FB0">
        <w:rPr>
          <w:rFonts w:ascii="Arial" w:hAnsi="Arial" w:cs="Arial"/>
        </w:rPr>
        <w:t xml:space="preserve"> </w:t>
      </w:r>
      <w:r w:rsidR="00083953" w:rsidRPr="00C32FB0">
        <w:rPr>
          <w:rFonts w:ascii="Arial" w:hAnsi="Arial" w:cs="Arial"/>
        </w:rPr>
        <w:t>service event. The Phase i</w:t>
      </w:r>
      <w:r w:rsidRPr="00C32FB0">
        <w:rPr>
          <w:rFonts w:ascii="Arial" w:hAnsi="Arial" w:cs="Arial"/>
        </w:rPr>
        <w:t>dentifies the primary goal of care that is reflected in the c</w:t>
      </w:r>
      <w:r w:rsidR="00083953" w:rsidRPr="00C32FB0">
        <w:rPr>
          <w:rFonts w:ascii="Arial" w:hAnsi="Arial" w:cs="Arial"/>
        </w:rPr>
        <w:t>onsumer</w:t>
      </w:r>
      <w:r w:rsidRPr="00C32FB0">
        <w:rPr>
          <w:rFonts w:ascii="Arial" w:hAnsi="Arial" w:cs="Arial"/>
        </w:rPr>
        <w:t>’s mental health treatment plan at the time of collect</w:t>
      </w:r>
      <w:r w:rsidR="00083953" w:rsidRPr="00C32FB0">
        <w:rPr>
          <w:rFonts w:ascii="Arial" w:hAnsi="Arial" w:cs="Arial"/>
        </w:rPr>
        <w:t xml:space="preserve">ion.  As is currently the case, </w:t>
      </w:r>
      <w:r w:rsidRPr="00C32FB0">
        <w:rPr>
          <w:rFonts w:ascii="Arial" w:hAnsi="Arial" w:cs="Arial"/>
        </w:rPr>
        <w:t>clinical rating data only need</w:t>
      </w:r>
      <w:r w:rsidR="00083953" w:rsidRPr="00C32FB0">
        <w:rPr>
          <w:rFonts w:ascii="Arial" w:hAnsi="Arial" w:cs="Arial"/>
        </w:rPr>
        <w:t>s</w:t>
      </w:r>
      <w:r w:rsidRPr="00C32FB0">
        <w:rPr>
          <w:rFonts w:ascii="Arial" w:hAnsi="Arial" w:cs="Arial"/>
        </w:rPr>
        <w:t xml:space="preserve"> to be submitted every 91 days (as the minimum requirement) or when there is a significant change (e.g. change of care team).</w:t>
      </w:r>
    </w:p>
    <w:p w:rsidR="00540830" w:rsidRPr="00C32FB0" w:rsidRDefault="00540830" w:rsidP="006C7939">
      <w:pPr>
        <w:pStyle w:val="Heading3"/>
        <w:rPr>
          <w:rFonts w:ascii="Arial" w:hAnsi="Arial" w:cs="Arial"/>
        </w:rPr>
      </w:pPr>
      <w:r w:rsidRPr="00C32FB0">
        <w:rPr>
          <w:rFonts w:ascii="Arial" w:hAnsi="Arial" w:cs="Arial"/>
        </w:rPr>
        <w:t>First episode of mental health care</w:t>
      </w:r>
    </w:p>
    <w:p w:rsidR="00CA2337" w:rsidRPr="00C32FB0" w:rsidRDefault="00540830" w:rsidP="00540830">
      <w:pPr>
        <w:rPr>
          <w:rFonts w:ascii="Arial" w:hAnsi="Arial" w:cs="Arial"/>
        </w:rPr>
      </w:pPr>
      <w:r w:rsidRPr="00C32FB0">
        <w:rPr>
          <w:rFonts w:ascii="Arial" w:hAnsi="Arial" w:cs="Arial"/>
        </w:rPr>
        <w:t>UQ</w:t>
      </w:r>
      <w:r w:rsidR="003407C7" w:rsidRPr="00C32FB0">
        <w:rPr>
          <w:rFonts w:ascii="Arial" w:hAnsi="Arial" w:cs="Arial"/>
        </w:rPr>
        <w:t xml:space="preserve"> </w:t>
      </w:r>
      <w:r w:rsidRPr="00C32FB0">
        <w:rPr>
          <w:rFonts w:ascii="Arial" w:hAnsi="Arial" w:cs="Arial"/>
        </w:rPr>
        <w:t xml:space="preserve">found some evidence in the literature to suggest that the first occasion of mental health care that a consumer receives may be different to subsequent occasions of care in terms of </w:t>
      </w:r>
      <w:r w:rsidRPr="00C32FB0">
        <w:rPr>
          <w:rFonts w:ascii="Arial" w:hAnsi="Arial" w:cs="Arial"/>
        </w:rPr>
        <w:lastRenderedPageBreak/>
        <w:t xml:space="preserve">both costs and outcomes, </w:t>
      </w:r>
      <w:r w:rsidR="00CA2337" w:rsidRPr="00C32FB0">
        <w:rPr>
          <w:rFonts w:ascii="Arial" w:hAnsi="Arial" w:cs="Arial"/>
        </w:rPr>
        <w:t>and recommended that this be explored in the development of the AMHCC.</w:t>
      </w:r>
      <w:r w:rsidR="000230E2" w:rsidRPr="00C32FB0">
        <w:rPr>
          <w:rFonts w:ascii="Arial" w:hAnsi="Arial" w:cs="Arial"/>
        </w:rPr>
        <w:t xml:space="preserve"> For this reason, data relating to this was collected as part of the Mental Health Costing Study.</w:t>
      </w:r>
    </w:p>
    <w:p w:rsidR="00AA6778" w:rsidRPr="00C32FB0" w:rsidRDefault="00AA6778" w:rsidP="00AA6778">
      <w:pPr>
        <w:rPr>
          <w:rFonts w:ascii="Arial" w:hAnsi="Arial" w:cs="Arial"/>
        </w:rPr>
      </w:pPr>
      <w:r w:rsidRPr="00C32FB0">
        <w:rPr>
          <w:rFonts w:ascii="Arial" w:hAnsi="Arial" w:cs="Arial"/>
        </w:rPr>
        <w:t>It was initially proposed by UQ that</w:t>
      </w:r>
      <w:r w:rsidR="00CA2337" w:rsidRPr="00C32FB0">
        <w:rPr>
          <w:rFonts w:ascii="Arial" w:hAnsi="Arial" w:cs="Arial"/>
        </w:rPr>
        <w:t xml:space="preserve"> the </w:t>
      </w:r>
      <w:r w:rsidRPr="00C32FB0">
        <w:rPr>
          <w:rFonts w:ascii="Arial" w:hAnsi="Arial" w:cs="Arial"/>
        </w:rPr>
        <w:t>‘first episode psychosis’ be collected</w:t>
      </w:r>
      <w:r w:rsidR="00CA2337" w:rsidRPr="00C32FB0">
        <w:rPr>
          <w:rFonts w:ascii="Arial" w:hAnsi="Arial" w:cs="Arial"/>
        </w:rPr>
        <w:t xml:space="preserve"> in the Mental Health Costing Study</w:t>
      </w:r>
      <w:r w:rsidRPr="00C32FB0">
        <w:rPr>
          <w:rFonts w:ascii="Arial" w:hAnsi="Arial" w:cs="Arial"/>
        </w:rPr>
        <w:t>. However, following consultation with a number of mental health experts, it was agreed that there were practical difficulties associated with collecting this data, and it was agreed that the alternative options of the</w:t>
      </w:r>
      <w:r w:rsidR="00CA2337" w:rsidRPr="00C32FB0">
        <w:rPr>
          <w:rFonts w:ascii="Arial" w:hAnsi="Arial" w:cs="Arial"/>
        </w:rPr>
        <w:t xml:space="preserve"> ‘</w:t>
      </w:r>
      <w:r w:rsidRPr="00C32FB0">
        <w:rPr>
          <w:rFonts w:ascii="Arial" w:hAnsi="Arial" w:cs="Arial"/>
        </w:rPr>
        <w:t>first episode of any mental health condition’ and ‘the availability of a patient’s detailed history’ be considered as factors which could influence the cost of care.</w:t>
      </w:r>
    </w:p>
    <w:p w:rsidR="00AA6778" w:rsidRPr="00C32FB0" w:rsidRDefault="00764F92" w:rsidP="00764F92">
      <w:pPr>
        <w:rPr>
          <w:rFonts w:ascii="Arial" w:hAnsi="Arial" w:cs="Arial"/>
        </w:rPr>
      </w:pPr>
      <w:r w:rsidRPr="00C32FB0">
        <w:rPr>
          <w:rFonts w:ascii="Arial" w:hAnsi="Arial" w:cs="Arial"/>
        </w:rPr>
        <w:t xml:space="preserve">Where the date of the last contact a mental health service had with a consumer cannot easily be extracted from the patient administration system, services were asked whether the consumer was known to the service in the previous five years for care that meets the definition of the </w:t>
      </w:r>
      <w:r w:rsidR="006F7C2A" w:rsidRPr="00C32FB0">
        <w:rPr>
          <w:rFonts w:ascii="Arial" w:hAnsi="Arial" w:cs="Arial"/>
        </w:rPr>
        <w:t>MHCT</w:t>
      </w:r>
      <w:r w:rsidRPr="00C32FB0">
        <w:rPr>
          <w:rFonts w:ascii="Arial" w:hAnsi="Arial" w:cs="Arial"/>
        </w:rPr>
        <w:t xml:space="preserve">. </w:t>
      </w:r>
    </w:p>
    <w:p w:rsidR="00540830" w:rsidRPr="00C32FB0" w:rsidRDefault="00764F92" w:rsidP="006C7939">
      <w:pPr>
        <w:pStyle w:val="Heading3"/>
        <w:rPr>
          <w:rFonts w:ascii="Arial" w:hAnsi="Arial" w:cs="Arial"/>
        </w:rPr>
      </w:pPr>
      <w:r w:rsidRPr="00C32FB0">
        <w:rPr>
          <w:rFonts w:ascii="Arial" w:hAnsi="Arial" w:cs="Arial"/>
        </w:rPr>
        <w:t>Mental health interventions</w:t>
      </w:r>
    </w:p>
    <w:p w:rsidR="00540830" w:rsidRPr="00C32FB0" w:rsidRDefault="003407C7" w:rsidP="00540830">
      <w:pPr>
        <w:rPr>
          <w:rFonts w:ascii="Arial" w:hAnsi="Arial" w:cs="Arial"/>
        </w:rPr>
      </w:pPr>
      <w:r w:rsidRPr="00C32FB0">
        <w:rPr>
          <w:rFonts w:ascii="Arial" w:hAnsi="Arial" w:cs="Arial"/>
        </w:rPr>
        <w:t xml:space="preserve">UQ also recommended that </w:t>
      </w:r>
      <w:r w:rsidR="00540830" w:rsidRPr="00C32FB0">
        <w:rPr>
          <w:rFonts w:ascii="Arial" w:hAnsi="Arial" w:cs="Arial"/>
        </w:rPr>
        <w:t xml:space="preserve">data be captured on </w:t>
      </w:r>
      <w:r w:rsidR="0076637F" w:rsidRPr="00C32FB0">
        <w:rPr>
          <w:rFonts w:ascii="Arial" w:hAnsi="Arial" w:cs="Arial"/>
        </w:rPr>
        <w:t>th</w:t>
      </w:r>
      <w:r w:rsidR="006F7C2A" w:rsidRPr="00C32FB0">
        <w:rPr>
          <w:rFonts w:ascii="Arial" w:hAnsi="Arial" w:cs="Arial"/>
        </w:rPr>
        <w:t>e</w:t>
      </w:r>
      <w:r w:rsidR="0076637F" w:rsidRPr="00C32FB0">
        <w:rPr>
          <w:rFonts w:ascii="Arial" w:hAnsi="Arial" w:cs="Arial"/>
        </w:rPr>
        <w:t xml:space="preserve"> mental health interventions that </w:t>
      </w:r>
      <w:r w:rsidRPr="00C32FB0">
        <w:rPr>
          <w:rFonts w:ascii="Arial" w:hAnsi="Arial" w:cs="Arial"/>
        </w:rPr>
        <w:t>consumers</w:t>
      </w:r>
      <w:r w:rsidR="0076637F" w:rsidRPr="00C32FB0">
        <w:rPr>
          <w:rFonts w:ascii="Arial" w:hAnsi="Arial" w:cs="Arial"/>
        </w:rPr>
        <w:t xml:space="preserve"> receive</w:t>
      </w:r>
      <w:r w:rsidRPr="00C32FB0">
        <w:rPr>
          <w:rFonts w:ascii="Arial" w:hAnsi="Arial" w:cs="Arial"/>
        </w:rPr>
        <w:t xml:space="preserve">, to determine whether particular </w:t>
      </w:r>
      <w:proofErr w:type="gramStart"/>
      <w:r w:rsidRPr="00C32FB0">
        <w:rPr>
          <w:rFonts w:ascii="Arial" w:hAnsi="Arial" w:cs="Arial"/>
        </w:rPr>
        <w:t>interventions,</w:t>
      </w:r>
      <w:proofErr w:type="gramEnd"/>
      <w:r w:rsidRPr="00C32FB0">
        <w:rPr>
          <w:rFonts w:ascii="Arial" w:hAnsi="Arial" w:cs="Arial"/>
        </w:rPr>
        <w:t xml:space="preserve"> or types of interventions are significant in determining the costs of providing care and how the AMHCC is developed.</w:t>
      </w:r>
      <w:r w:rsidR="00AF5E6E">
        <w:rPr>
          <w:rFonts w:ascii="Arial" w:hAnsi="Arial" w:cs="Arial"/>
        </w:rPr>
        <w:t xml:space="preserve"> </w:t>
      </w:r>
      <w:r w:rsidR="00AB7A0E">
        <w:rPr>
          <w:rFonts w:ascii="Arial" w:hAnsi="Arial" w:cs="Arial"/>
        </w:rPr>
        <w:t>It is however important to note that u</w:t>
      </w:r>
      <w:r w:rsidR="0057339E">
        <w:rPr>
          <w:rFonts w:ascii="Arial" w:hAnsi="Arial" w:cs="Arial"/>
        </w:rPr>
        <w:t xml:space="preserve">nderstanding the type of care provided will help build a better understanding </w:t>
      </w:r>
      <w:r w:rsidR="00AB7A0E">
        <w:rPr>
          <w:rFonts w:ascii="Arial" w:hAnsi="Arial" w:cs="Arial"/>
        </w:rPr>
        <w:t>of consumer</w:t>
      </w:r>
      <w:r w:rsidR="0057339E">
        <w:rPr>
          <w:rFonts w:ascii="Arial" w:hAnsi="Arial" w:cs="Arial"/>
        </w:rPr>
        <w:t xml:space="preserve"> profiles, but the inputs (the interventions)  themselves will not determine the structure of the classification.</w:t>
      </w:r>
    </w:p>
    <w:p w:rsidR="00540830" w:rsidRDefault="00540830" w:rsidP="00540830">
      <w:pPr>
        <w:rPr>
          <w:rFonts w:ascii="Arial" w:hAnsi="Arial" w:cs="Arial"/>
        </w:rPr>
      </w:pPr>
      <w:r w:rsidRPr="00C32FB0">
        <w:rPr>
          <w:rFonts w:ascii="Arial" w:hAnsi="Arial" w:cs="Arial"/>
        </w:rPr>
        <w:t xml:space="preserve">Due to the extensive work previously undertaken by the </w:t>
      </w:r>
      <w:r w:rsidR="0062003A">
        <w:rPr>
          <w:rFonts w:ascii="Arial" w:hAnsi="Arial" w:cs="Arial"/>
        </w:rPr>
        <w:t xml:space="preserve">AIHW </w:t>
      </w:r>
      <w:r w:rsidRPr="00C32FB0">
        <w:rPr>
          <w:rFonts w:ascii="Arial" w:hAnsi="Arial" w:cs="Arial"/>
        </w:rPr>
        <w:t>in the development of the</w:t>
      </w:r>
      <w:r w:rsidR="003407C7" w:rsidRPr="00C32FB0">
        <w:rPr>
          <w:rFonts w:ascii="Arial" w:hAnsi="Arial" w:cs="Arial"/>
        </w:rPr>
        <w:t xml:space="preserve"> prototype </w:t>
      </w:r>
      <w:hyperlink r:id="rId22" w:history="1">
        <w:r w:rsidR="009C2769">
          <w:rPr>
            <w:rStyle w:val="Hyperlink"/>
            <w:rFonts w:ascii="Arial" w:hAnsi="Arial" w:cs="Arial"/>
          </w:rPr>
          <w:t>Mental Health Intervention</w:t>
        </w:r>
        <w:r w:rsidR="003407C7" w:rsidRPr="009C2769">
          <w:rPr>
            <w:rStyle w:val="Hyperlink"/>
            <w:rFonts w:ascii="Arial" w:hAnsi="Arial" w:cs="Arial"/>
          </w:rPr>
          <w:t xml:space="preserve"> Classificati</w:t>
        </w:r>
        <w:r w:rsidR="009C2769">
          <w:rPr>
            <w:rStyle w:val="Hyperlink"/>
            <w:rFonts w:ascii="Arial" w:hAnsi="Arial" w:cs="Arial"/>
          </w:rPr>
          <w:t>on 1.0</w:t>
        </w:r>
      </w:hyperlink>
      <w:r w:rsidR="009C2769">
        <w:rPr>
          <w:rFonts w:ascii="Arial" w:hAnsi="Arial" w:cs="Arial"/>
        </w:rPr>
        <w:t xml:space="preserve"> </w:t>
      </w:r>
      <w:r w:rsidR="003407C7" w:rsidRPr="00C32FB0">
        <w:rPr>
          <w:rFonts w:ascii="Arial" w:hAnsi="Arial" w:cs="Arial"/>
        </w:rPr>
        <w:t xml:space="preserve"> (</w:t>
      </w:r>
      <w:r w:rsidRPr="00C32FB0">
        <w:rPr>
          <w:rFonts w:ascii="Arial" w:hAnsi="Arial" w:cs="Arial"/>
        </w:rPr>
        <w:t>MHIC</w:t>
      </w:r>
      <w:r w:rsidR="003407C7" w:rsidRPr="00C32FB0">
        <w:rPr>
          <w:rFonts w:ascii="Arial" w:hAnsi="Arial" w:cs="Arial"/>
        </w:rPr>
        <w:t>)</w:t>
      </w:r>
      <w:r w:rsidRPr="00C32FB0">
        <w:rPr>
          <w:rFonts w:ascii="Arial" w:hAnsi="Arial" w:cs="Arial"/>
        </w:rPr>
        <w:t xml:space="preserve">, </w:t>
      </w:r>
      <w:r w:rsidR="003407C7" w:rsidRPr="00C32FB0">
        <w:rPr>
          <w:rFonts w:ascii="Arial" w:hAnsi="Arial" w:cs="Arial"/>
        </w:rPr>
        <w:t xml:space="preserve">this compendium of classifications was used in the Mental Health Costing Study to report interventions. In addition, study sites were able to add </w:t>
      </w:r>
      <w:r w:rsidRPr="00C32FB0">
        <w:rPr>
          <w:rFonts w:ascii="Arial" w:hAnsi="Arial" w:cs="Arial"/>
        </w:rPr>
        <w:t>addition</w:t>
      </w:r>
      <w:r w:rsidR="00FF2944">
        <w:rPr>
          <w:rFonts w:ascii="Arial" w:hAnsi="Arial" w:cs="Arial"/>
        </w:rPr>
        <w:t>al</w:t>
      </w:r>
      <w:r w:rsidRPr="00C32FB0">
        <w:rPr>
          <w:rFonts w:ascii="Arial" w:hAnsi="Arial" w:cs="Arial"/>
        </w:rPr>
        <w:t xml:space="preserve"> interventions</w:t>
      </w:r>
      <w:r w:rsidR="003407C7" w:rsidRPr="00C32FB0">
        <w:rPr>
          <w:rFonts w:ascii="Arial" w:hAnsi="Arial" w:cs="Arial"/>
        </w:rPr>
        <w:t xml:space="preserve"> to reflect particular practices at their service.</w:t>
      </w:r>
    </w:p>
    <w:p w:rsidR="000141B0" w:rsidRDefault="009C2769" w:rsidP="00540830">
      <w:pPr>
        <w:rPr>
          <w:rFonts w:ascii="Arial" w:hAnsi="Arial" w:cs="Arial"/>
        </w:rPr>
      </w:pPr>
      <w:r>
        <w:rPr>
          <w:rFonts w:ascii="Arial" w:hAnsi="Arial" w:cs="Arial"/>
        </w:rPr>
        <w:t xml:space="preserve">The MHIC </w:t>
      </w:r>
      <w:r w:rsidRPr="009C2769">
        <w:rPr>
          <w:rFonts w:ascii="Arial" w:hAnsi="Arial" w:cs="Arial"/>
        </w:rPr>
        <w:t>describe</w:t>
      </w:r>
      <w:r>
        <w:rPr>
          <w:rFonts w:ascii="Arial" w:hAnsi="Arial" w:cs="Arial"/>
        </w:rPr>
        <w:t>s</w:t>
      </w:r>
      <w:r w:rsidRPr="009C2769">
        <w:rPr>
          <w:rFonts w:ascii="Arial" w:hAnsi="Arial" w:cs="Arial"/>
        </w:rPr>
        <w:t xml:space="preserve"> and capture</w:t>
      </w:r>
      <w:r w:rsidR="000141B0">
        <w:rPr>
          <w:rFonts w:ascii="Arial" w:hAnsi="Arial" w:cs="Arial"/>
        </w:rPr>
        <w:t>s</w:t>
      </w:r>
      <w:r w:rsidRPr="009C2769">
        <w:rPr>
          <w:rFonts w:ascii="Arial" w:hAnsi="Arial" w:cs="Arial"/>
        </w:rPr>
        <w:t xml:space="preserve"> information on selected mental health interventions provided to mental health consumers</w:t>
      </w:r>
      <w:r w:rsidR="000141B0">
        <w:rPr>
          <w:rFonts w:ascii="Arial" w:hAnsi="Arial" w:cs="Arial"/>
        </w:rPr>
        <w:t xml:space="preserve"> under four categories</w:t>
      </w:r>
      <w:r>
        <w:rPr>
          <w:rFonts w:ascii="Arial" w:hAnsi="Arial" w:cs="Arial"/>
        </w:rPr>
        <w:t xml:space="preserve">: assessment and review interventions, therapeutic interventions, emergency interventions and service coordination interventions. Each type of intervention </w:t>
      </w:r>
      <w:r w:rsidR="000141B0">
        <w:rPr>
          <w:rFonts w:ascii="Arial" w:hAnsi="Arial" w:cs="Arial"/>
        </w:rPr>
        <w:t xml:space="preserve">within the category </w:t>
      </w:r>
      <w:r>
        <w:rPr>
          <w:rFonts w:ascii="Arial" w:hAnsi="Arial" w:cs="Arial"/>
        </w:rPr>
        <w:t>is then given a code, which is used by staff to record care provided to consumers. For example, assessment and review interventions include</w:t>
      </w:r>
      <w:r w:rsidR="0062003A">
        <w:rPr>
          <w:rFonts w:ascii="Arial" w:hAnsi="Arial" w:cs="Arial"/>
        </w:rPr>
        <w:t xml:space="preserve"> activities such as</w:t>
      </w:r>
      <w:r>
        <w:rPr>
          <w:rFonts w:ascii="Arial" w:hAnsi="Arial" w:cs="Arial"/>
        </w:rPr>
        <w:t xml:space="preserve"> ‘triage or initial assessment’ and ‘physical assessment’</w:t>
      </w:r>
      <w:r w:rsidR="0062003A">
        <w:rPr>
          <w:rFonts w:ascii="Arial" w:hAnsi="Arial" w:cs="Arial"/>
        </w:rPr>
        <w:t>, and therapeutic interventions include structured psychological therapies such as ‘cognitive and/or behavioural therapies’ and ‘family/carer-focused therapy and interventions’. The full li</w:t>
      </w:r>
      <w:r w:rsidR="000141B0">
        <w:rPr>
          <w:rFonts w:ascii="Arial" w:hAnsi="Arial" w:cs="Arial"/>
        </w:rPr>
        <w:t>st of codes is available on the</w:t>
      </w:r>
      <w:r w:rsidR="000141B0" w:rsidRPr="000141B0">
        <w:t xml:space="preserve"> </w:t>
      </w:r>
      <w:r w:rsidR="000141B0" w:rsidRPr="000141B0">
        <w:rPr>
          <w:rFonts w:ascii="Arial" w:hAnsi="Arial" w:cs="Arial"/>
        </w:rPr>
        <w:t>website.</w:t>
      </w:r>
    </w:p>
    <w:p w:rsidR="00962F5C" w:rsidRPr="00C32FB0" w:rsidRDefault="00FF2944" w:rsidP="00540830">
      <w:pPr>
        <w:rPr>
          <w:rFonts w:ascii="Arial" w:hAnsi="Arial" w:cs="Arial"/>
        </w:rPr>
      </w:pPr>
      <w:r>
        <w:rPr>
          <w:rFonts w:ascii="Arial" w:hAnsi="Arial" w:cs="Arial"/>
        </w:rPr>
        <w:t xml:space="preserve">Experiences and feedback from implementing </w:t>
      </w:r>
      <w:r w:rsidR="000141B0" w:rsidRPr="000141B0">
        <w:rPr>
          <w:rFonts w:ascii="Arial" w:hAnsi="Arial" w:cs="Arial"/>
        </w:rPr>
        <w:t>the MHIC through the Mental Health Costing Study</w:t>
      </w:r>
      <w:r>
        <w:rPr>
          <w:rFonts w:ascii="Arial" w:hAnsi="Arial" w:cs="Arial"/>
        </w:rPr>
        <w:t xml:space="preserve"> will also be captured for use in any future interventions compendiums.</w:t>
      </w:r>
    </w:p>
    <w:p w:rsidR="00540830" w:rsidRPr="00C32FB0" w:rsidRDefault="00764F92" w:rsidP="006C7939">
      <w:pPr>
        <w:pStyle w:val="Heading3"/>
        <w:rPr>
          <w:rFonts w:ascii="Arial" w:hAnsi="Arial" w:cs="Arial"/>
          <w:lang w:val="en-US" w:eastAsia="ja-JP"/>
        </w:rPr>
      </w:pPr>
      <w:r w:rsidRPr="00C32FB0">
        <w:rPr>
          <w:rFonts w:ascii="Arial" w:hAnsi="Arial" w:cs="Arial"/>
          <w:lang w:val="en-US" w:eastAsia="ja-JP"/>
        </w:rPr>
        <w:t>Outcome measures</w:t>
      </w:r>
    </w:p>
    <w:p w:rsidR="00540830" w:rsidRPr="00C32FB0" w:rsidRDefault="0076637F" w:rsidP="00764F92">
      <w:pPr>
        <w:rPr>
          <w:rFonts w:ascii="Arial" w:hAnsi="Arial" w:cs="Arial"/>
          <w:lang w:val="en-US" w:eastAsia="ja-JP"/>
        </w:rPr>
      </w:pPr>
      <w:r w:rsidRPr="00C32FB0">
        <w:rPr>
          <w:rFonts w:ascii="Arial" w:hAnsi="Arial" w:cs="Arial"/>
          <w:lang w:val="en-US" w:eastAsia="ja-JP"/>
        </w:rPr>
        <w:t>In addition to</w:t>
      </w:r>
      <w:r w:rsidR="000230E2" w:rsidRPr="00C32FB0">
        <w:rPr>
          <w:rFonts w:ascii="Arial" w:hAnsi="Arial" w:cs="Arial"/>
          <w:lang w:val="en-US" w:eastAsia="ja-JP"/>
        </w:rPr>
        <w:t xml:space="preserve"> these new data elements, UQ also proposed that business rules be established to require the NOCC to become a data collection at the Phase level. Collecting the NOCC at this level in the Mental Health Costing Study will enable consideration of whether measures of outcome may be linked to the cost of providing services and considered a cost driver.</w:t>
      </w:r>
    </w:p>
    <w:p w:rsidR="000230E2" w:rsidRPr="00C32FB0" w:rsidRDefault="000230E2" w:rsidP="000230E2">
      <w:pPr>
        <w:rPr>
          <w:rFonts w:ascii="Arial" w:hAnsi="Arial" w:cs="Arial"/>
          <w:lang w:val="en-US" w:eastAsia="ja-JP"/>
        </w:rPr>
      </w:pPr>
      <w:r w:rsidRPr="00C32FB0">
        <w:rPr>
          <w:rFonts w:ascii="Arial" w:hAnsi="Arial" w:cs="Arial"/>
          <w:lang w:val="en-US" w:eastAsia="ja-JP"/>
        </w:rPr>
        <w:lastRenderedPageBreak/>
        <w:t xml:space="preserve">The NOCC is a collection of clinical outcome measures </w:t>
      </w:r>
      <w:r w:rsidR="006E7F16" w:rsidRPr="00C32FB0">
        <w:rPr>
          <w:rFonts w:ascii="Arial" w:hAnsi="Arial" w:cs="Arial"/>
          <w:lang w:val="en-US" w:eastAsia="ja-JP"/>
        </w:rPr>
        <w:t xml:space="preserve">and </w:t>
      </w:r>
      <w:r w:rsidRPr="00C32FB0">
        <w:rPr>
          <w:rFonts w:ascii="Arial" w:hAnsi="Arial" w:cs="Arial"/>
          <w:lang w:val="en-US" w:eastAsia="ja-JP"/>
        </w:rPr>
        <w:t xml:space="preserve">protocol for when </w:t>
      </w:r>
      <w:r w:rsidR="006E7F16" w:rsidRPr="00C32FB0">
        <w:rPr>
          <w:rFonts w:ascii="Arial" w:hAnsi="Arial" w:cs="Arial"/>
          <w:lang w:val="en-US" w:eastAsia="ja-JP"/>
        </w:rPr>
        <w:t>each</w:t>
      </w:r>
      <w:r w:rsidRPr="00C32FB0">
        <w:rPr>
          <w:rFonts w:ascii="Arial" w:hAnsi="Arial" w:cs="Arial"/>
          <w:lang w:val="en-US" w:eastAsia="ja-JP"/>
        </w:rPr>
        <w:t xml:space="preserve"> measures should be collected, dependent on the age group of the consumer, the service setting, and whether the consumer is being admitted, reviewed or discharged. The measures capture the symptoms and functioning of the consumer at key points within an episode (or Phase) of mental health care. The specif</w:t>
      </w:r>
      <w:r w:rsidR="006E7F16" w:rsidRPr="00C32FB0">
        <w:rPr>
          <w:rFonts w:ascii="Arial" w:hAnsi="Arial" w:cs="Arial"/>
          <w:lang w:val="en-US" w:eastAsia="ja-JP"/>
        </w:rPr>
        <w:t xml:space="preserve">ic NOCC measures are set out in </w:t>
      </w:r>
      <w:r w:rsidR="006E7F16" w:rsidRPr="00C32FB0">
        <w:rPr>
          <w:rFonts w:ascii="Arial" w:hAnsi="Arial" w:cs="Arial"/>
          <w:lang w:val="en-US" w:eastAsia="ja-JP"/>
        </w:rPr>
        <w:fldChar w:fldCharType="begin"/>
      </w:r>
      <w:r w:rsidR="006E7F16" w:rsidRPr="00C32FB0">
        <w:rPr>
          <w:rFonts w:ascii="Arial" w:hAnsi="Arial" w:cs="Arial"/>
          <w:lang w:val="en-US" w:eastAsia="ja-JP"/>
        </w:rPr>
        <w:instrText xml:space="preserve"> REF _Ref405538531 \h </w:instrText>
      </w:r>
      <w:r w:rsidR="00A97C8E" w:rsidRPr="00C32FB0">
        <w:rPr>
          <w:rFonts w:ascii="Arial" w:hAnsi="Arial" w:cs="Arial"/>
          <w:lang w:val="en-US" w:eastAsia="ja-JP"/>
        </w:rPr>
        <w:instrText xml:space="preserve"> \* MERGEFORMAT </w:instrText>
      </w:r>
      <w:r w:rsidR="006E7F16" w:rsidRPr="00C32FB0">
        <w:rPr>
          <w:rFonts w:ascii="Arial" w:hAnsi="Arial" w:cs="Arial"/>
          <w:lang w:val="en-US" w:eastAsia="ja-JP"/>
        </w:rPr>
      </w:r>
      <w:r w:rsidR="006E7F16" w:rsidRPr="00C32FB0">
        <w:rPr>
          <w:rFonts w:ascii="Arial" w:hAnsi="Arial" w:cs="Arial"/>
          <w:lang w:val="en-US" w:eastAsia="ja-JP"/>
        </w:rPr>
        <w:fldChar w:fldCharType="separate"/>
      </w:r>
      <w:r w:rsidR="007D074E" w:rsidRPr="00C32FB0">
        <w:rPr>
          <w:rFonts w:ascii="Arial" w:hAnsi="Arial" w:cs="Arial"/>
        </w:rPr>
        <w:t xml:space="preserve">Table </w:t>
      </w:r>
      <w:r w:rsidR="007D074E">
        <w:rPr>
          <w:rFonts w:ascii="Arial" w:hAnsi="Arial" w:cs="Arial"/>
          <w:noProof/>
        </w:rPr>
        <w:t>3</w:t>
      </w:r>
      <w:r w:rsidR="006E7F16" w:rsidRPr="00C32FB0">
        <w:rPr>
          <w:rFonts w:ascii="Arial" w:hAnsi="Arial" w:cs="Arial"/>
          <w:lang w:val="en-US" w:eastAsia="ja-JP"/>
        </w:rPr>
        <w:fldChar w:fldCharType="end"/>
      </w:r>
      <w:r w:rsidR="006E7F16" w:rsidRPr="00C32FB0">
        <w:rPr>
          <w:rFonts w:ascii="Arial" w:hAnsi="Arial" w:cs="Arial"/>
          <w:lang w:val="en-US" w:eastAsia="ja-JP"/>
        </w:rPr>
        <w:t>.</w:t>
      </w:r>
    </w:p>
    <w:p w:rsidR="00296E9B" w:rsidRPr="00C32FB0" w:rsidRDefault="00296E9B" w:rsidP="00872DA8">
      <w:pPr>
        <w:pStyle w:val="Caption"/>
        <w:keepNext/>
        <w:keepLines/>
        <w:rPr>
          <w:rFonts w:ascii="Arial" w:hAnsi="Arial" w:cs="Arial"/>
        </w:rPr>
      </w:pPr>
      <w:bookmarkStart w:id="35" w:name="_Ref405538531"/>
      <w:r w:rsidRPr="00C32FB0">
        <w:rPr>
          <w:rFonts w:ascii="Arial" w:hAnsi="Arial" w:cs="Arial"/>
        </w:rPr>
        <w:t xml:space="preserve">Table </w:t>
      </w:r>
      <w:r w:rsidRPr="00C32FB0">
        <w:rPr>
          <w:rFonts w:ascii="Arial" w:hAnsi="Arial" w:cs="Arial"/>
        </w:rPr>
        <w:fldChar w:fldCharType="begin"/>
      </w:r>
      <w:r w:rsidRPr="00C32FB0">
        <w:rPr>
          <w:rFonts w:ascii="Arial" w:hAnsi="Arial" w:cs="Arial"/>
        </w:rPr>
        <w:instrText xml:space="preserve"> SEQ Table \* ARABIC </w:instrText>
      </w:r>
      <w:r w:rsidRPr="00C32FB0">
        <w:rPr>
          <w:rFonts w:ascii="Arial" w:hAnsi="Arial" w:cs="Arial"/>
        </w:rPr>
        <w:fldChar w:fldCharType="separate"/>
      </w:r>
      <w:r w:rsidR="007D074E">
        <w:rPr>
          <w:rFonts w:ascii="Arial" w:hAnsi="Arial" w:cs="Arial"/>
          <w:noProof/>
        </w:rPr>
        <w:t>3</w:t>
      </w:r>
      <w:r w:rsidRPr="00C32FB0">
        <w:rPr>
          <w:rFonts w:ascii="Arial" w:hAnsi="Arial" w:cs="Arial"/>
        </w:rPr>
        <w:fldChar w:fldCharType="end"/>
      </w:r>
      <w:bookmarkEnd w:id="35"/>
      <w:r w:rsidRPr="00C32FB0">
        <w:rPr>
          <w:rFonts w:ascii="Arial" w:hAnsi="Arial" w:cs="Arial"/>
        </w:rPr>
        <w:t>: NOCC measures</w:t>
      </w:r>
      <w:r w:rsidRPr="00C32FB0">
        <w:rPr>
          <w:rStyle w:val="FootnoteReference"/>
          <w:rFonts w:ascii="Arial" w:hAnsi="Arial"/>
        </w:rPr>
        <w:footnoteReference w:id="16"/>
      </w:r>
    </w:p>
    <w:tbl>
      <w:tblPr>
        <w:tblStyle w:val="LightShading"/>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Description w:val="Table 3 consists of 2 column headings: column 1. Age groups and column 2. Measures outlined against each age group."/>
      </w:tblPr>
      <w:tblGrid>
        <w:gridCol w:w="2376"/>
        <w:gridCol w:w="6804"/>
      </w:tblGrid>
      <w:tr w:rsidR="000230E2" w:rsidRPr="00C32FB0" w:rsidTr="007C426F">
        <w:trPr>
          <w:cnfStyle w:val="100000000000" w:firstRow="1" w:lastRow="0" w:firstColumn="0" w:lastColumn="0" w:oddVBand="0" w:evenVBand="0" w:oddHBand="0" w:evenHBand="0" w:firstRowFirstColumn="0" w:firstRowLastColumn="0" w:lastRowFirstColumn="0" w:lastRowLastColumn="0"/>
          <w:cantSplit/>
          <w:trHeight w:val="227"/>
          <w:tblHeader/>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tcPr>
          <w:p w:rsidR="000230E2" w:rsidRPr="00C32FB0" w:rsidRDefault="00296E9B" w:rsidP="00872DA8">
            <w:pPr>
              <w:keepNext/>
              <w:keepLines/>
              <w:spacing w:before="100" w:after="100"/>
              <w:rPr>
                <w:rFonts w:ascii="Arial" w:hAnsi="Arial" w:cs="Arial"/>
                <w:sz w:val="20"/>
              </w:rPr>
            </w:pPr>
            <w:r w:rsidRPr="00C32FB0">
              <w:rPr>
                <w:rFonts w:ascii="Arial" w:hAnsi="Arial" w:cs="Arial"/>
                <w:sz w:val="20"/>
              </w:rPr>
              <w:t>Age group</w:t>
            </w:r>
          </w:p>
        </w:tc>
        <w:tc>
          <w:tcPr>
            <w:tcW w:w="6804" w:type="dxa"/>
            <w:tcBorders>
              <w:top w:val="none" w:sz="0" w:space="0" w:color="auto"/>
              <w:left w:val="none" w:sz="0" w:space="0" w:color="auto"/>
              <w:bottom w:val="none" w:sz="0" w:space="0" w:color="auto"/>
              <w:right w:val="none" w:sz="0" w:space="0" w:color="auto"/>
            </w:tcBorders>
          </w:tcPr>
          <w:p w:rsidR="000230E2" w:rsidRPr="00C32FB0" w:rsidRDefault="00296E9B" w:rsidP="00872DA8">
            <w:pPr>
              <w:keepNext/>
              <w:keepLines/>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C32FB0">
              <w:rPr>
                <w:rFonts w:ascii="Arial" w:hAnsi="Arial" w:cs="Arial"/>
                <w:sz w:val="20"/>
              </w:rPr>
              <w:t>Measures</w:t>
            </w:r>
          </w:p>
        </w:tc>
      </w:tr>
      <w:tr w:rsidR="000230E2" w:rsidRPr="00C32FB0" w:rsidTr="007C426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right w:val="none" w:sz="0" w:space="0" w:color="auto"/>
            </w:tcBorders>
          </w:tcPr>
          <w:p w:rsidR="000230E2" w:rsidRPr="00C32FB0" w:rsidRDefault="00296E9B" w:rsidP="00872DA8">
            <w:pPr>
              <w:keepNext/>
              <w:keepLines/>
              <w:spacing w:before="100" w:after="100"/>
              <w:rPr>
                <w:rFonts w:ascii="Arial" w:hAnsi="Arial" w:cs="Arial"/>
                <w:sz w:val="20"/>
              </w:rPr>
            </w:pPr>
            <w:r w:rsidRPr="00C32FB0">
              <w:rPr>
                <w:rFonts w:ascii="Arial" w:hAnsi="Arial" w:cs="Arial"/>
                <w:sz w:val="20"/>
              </w:rPr>
              <w:t>Child and adolescent</w:t>
            </w:r>
          </w:p>
        </w:tc>
        <w:tc>
          <w:tcPr>
            <w:tcW w:w="6804" w:type="dxa"/>
            <w:tcBorders>
              <w:left w:val="none" w:sz="0" w:space="0" w:color="auto"/>
              <w:right w:val="none" w:sz="0" w:space="0" w:color="auto"/>
            </w:tcBorders>
          </w:tcPr>
          <w:p w:rsidR="00296E9B" w:rsidRPr="00C32FB0" w:rsidRDefault="00296E9B" w:rsidP="00872DA8">
            <w:pPr>
              <w:keepNext/>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32FB0">
              <w:rPr>
                <w:rFonts w:ascii="Arial" w:hAnsi="Arial" w:cs="Arial"/>
                <w:sz w:val="20"/>
              </w:rPr>
              <w:t>Health of the Nation Outcome Scale for Children and Adolescents (</w:t>
            </w:r>
            <w:proofErr w:type="spellStart"/>
            <w:r w:rsidRPr="00C32FB0">
              <w:rPr>
                <w:rFonts w:ascii="Arial" w:hAnsi="Arial" w:cs="Arial"/>
                <w:sz w:val="20"/>
              </w:rPr>
              <w:t>HoNOSCA</w:t>
            </w:r>
            <w:proofErr w:type="spellEnd"/>
            <w:r w:rsidRPr="00C32FB0">
              <w:rPr>
                <w:rFonts w:ascii="Arial" w:hAnsi="Arial" w:cs="Arial"/>
                <w:sz w:val="20"/>
              </w:rPr>
              <w:t>)</w:t>
            </w:r>
          </w:p>
          <w:p w:rsidR="00296E9B" w:rsidRPr="00C32FB0" w:rsidRDefault="00296E9B" w:rsidP="00872DA8">
            <w:pPr>
              <w:keepNext/>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32FB0">
              <w:rPr>
                <w:rFonts w:ascii="Arial" w:hAnsi="Arial" w:cs="Arial"/>
                <w:sz w:val="20"/>
              </w:rPr>
              <w:t>Strengths and Difficulties Questionnaire (SD</w:t>
            </w:r>
            <w:r w:rsidR="0062148A" w:rsidRPr="00C32FB0">
              <w:rPr>
                <w:rFonts w:ascii="Arial" w:hAnsi="Arial" w:cs="Arial"/>
                <w:sz w:val="20"/>
              </w:rPr>
              <w:t>Q</w:t>
            </w:r>
            <w:r w:rsidRPr="00C32FB0">
              <w:rPr>
                <w:rFonts w:ascii="Arial" w:hAnsi="Arial" w:cs="Arial"/>
                <w:sz w:val="20"/>
              </w:rPr>
              <w:t>)</w:t>
            </w:r>
          </w:p>
          <w:p w:rsidR="00296E9B" w:rsidRPr="00C32FB0" w:rsidRDefault="00296E9B" w:rsidP="00872DA8">
            <w:pPr>
              <w:keepNext/>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32FB0">
              <w:rPr>
                <w:rFonts w:ascii="Arial" w:hAnsi="Arial" w:cs="Arial"/>
                <w:sz w:val="20"/>
              </w:rPr>
              <w:t>Children’s Global Assessment Scale (CGAS)</w:t>
            </w:r>
          </w:p>
          <w:p w:rsidR="000230E2" w:rsidRPr="00C32FB0" w:rsidRDefault="00296E9B" w:rsidP="00311148">
            <w:pPr>
              <w:keepNext/>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32FB0">
              <w:rPr>
                <w:rFonts w:ascii="Arial" w:hAnsi="Arial" w:cs="Arial"/>
                <w:sz w:val="20"/>
              </w:rPr>
              <w:t>Factors Influencing Health Status (FIH</w:t>
            </w:r>
            <w:r w:rsidR="00311148" w:rsidRPr="00C32FB0">
              <w:rPr>
                <w:rFonts w:ascii="Arial" w:hAnsi="Arial" w:cs="Arial"/>
                <w:sz w:val="20"/>
              </w:rPr>
              <w:t>S</w:t>
            </w:r>
            <w:r w:rsidRPr="00C32FB0">
              <w:rPr>
                <w:rFonts w:ascii="Arial" w:hAnsi="Arial" w:cs="Arial"/>
                <w:sz w:val="20"/>
              </w:rPr>
              <w:t>)</w:t>
            </w:r>
          </w:p>
        </w:tc>
      </w:tr>
      <w:tr w:rsidR="000230E2" w:rsidRPr="00C32FB0" w:rsidTr="007C426F">
        <w:trPr>
          <w:cantSplit/>
          <w:trHeight w:val="227"/>
        </w:trPr>
        <w:tc>
          <w:tcPr>
            <w:cnfStyle w:val="001000000000" w:firstRow="0" w:lastRow="0" w:firstColumn="1" w:lastColumn="0" w:oddVBand="0" w:evenVBand="0" w:oddHBand="0" w:evenHBand="0" w:firstRowFirstColumn="0" w:firstRowLastColumn="0" w:lastRowFirstColumn="0" w:lastRowLastColumn="0"/>
            <w:tcW w:w="2376" w:type="dxa"/>
          </w:tcPr>
          <w:p w:rsidR="000230E2" w:rsidRPr="00C32FB0" w:rsidRDefault="00296E9B" w:rsidP="00872DA8">
            <w:pPr>
              <w:keepNext/>
              <w:keepLines/>
              <w:spacing w:before="100" w:after="100"/>
              <w:rPr>
                <w:rFonts w:ascii="Arial" w:hAnsi="Arial" w:cs="Arial"/>
                <w:sz w:val="20"/>
              </w:rPr>
            </w:pPr>
            <w:r w:rsidRPr="00C32FB0">
              <w:rPr>
                <w:rFonts w:ascii="Arial" w:hAnsi="Arial" w:cs="Arial"/>
                <w:sz w:val="20"/>
              </w:rPr>
              <w:t>Adult</w:t>
            </w:r>
          </w:p>
        </w:tc>
        <w:tc>
          <w:tcPr>
            <w:tcW w:w="6804" w:type="dxa"/>
          </w:tcPr>
          <w:p w:rsidR="00296E9B" w:rsidRPr="00C32FB0" w:rsidRDefault="00296E9B" w:rsidP="00872DA8">
            <w:pPr>
              <w:keepNext/>
              <w:keepLines/>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32FB0">
              <w:rPr>
                <w:rFonts w:ascii="Arial" w:hAnsi="Arial" w:cs="Arial"/>
                <w:sz w:val="20"/>
              </w:rPr>
              <w:t>Health of the Nation Outcome Scales (</w:t>
            </w:r>
            <w:proofErr w:type="spellStart"/>
            <w:r w:rsidRPr="00C32FB0">
              <w:rPr>
                <w:rFonts w:ascii="Arial" w:hAnsi="Arial" w:cs="Arial"/>
                <w:sz w:val="20"/>
              </w:rPr>
              <w:t>HoNOS</w:t>
            </w:r>
            <w:proofErr w:type="spellEnd"/>
            <w:r w:rsidRPr="00C32FB0">
              <w:rPr>
                <w:rFonts w:ascii="Arial" w:hAnsi="Arial" w:cs="Arial"/>
                <w:sz w:val="20"/>
              </w:rPr>
              <w:t>)</w:t>
            </w:r>
          </w:p>
          <w:p w:rsidR="00296E9B" w:rsidRPr="00C32FB0" w:rsidRDefault="00296E9B" w:rsidP="00872DA8">
            <w:pPr>
              <w:keepNext/>
              <w:keepLines/>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32FB0">
              <w:rPr>
                <w:rFonts w:ascii="Arial" w:hAnsi="Arial" w:cs="Arial"/>
                <w:sz w:val="20"/>
              </w:rPr>
              <w:t>Life Skills Profile 16 (LSP-16)</w:t>
            </w:r>
          </w:p>
          <w:p w:rsidR="000230E2" w:rsidRDefault="00296E9B" w:rsidP="00872DA8">
            <w:pPr>
              <w:keepNext/>
              <w:keepLines/>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32FB0">
              <w:rPr>
                <w:rFonts w:ascii="Arial" w:hAnsi="Arial" w:cs="Arial"/>
                <w:sz w:val="20"/>
              </w:rPr>
              <w:t>Focus Of Care (FOC)</w:t>
            </w:r>
          </w:p>
          <w:p w:rsidR="00174CD4" w:rsidRPr="00174CD4" w:rsidRDefault="00174CD4" w:rsidP="00872DA8">
            <w:pPr>
              <w:keepNext/>
              <w:keepLines/>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sz w:val="20"/>
              </w:rPr>
            </w:pPr>
            <w:r w:rsidRPr="00174CD4">
              <w:rPr>
                <w:rFonts w:ascii="Arial" w:hAnsi="Arial" w:cs="Arial"/>
                <w:i/>
                <w:sz w:val="20"/>
              </w:rPr>
              <w:t>Consumer-rated measures:</w:t>
            </w:r>
          </w:p>
          <w:p w:rsidR="00174CD4" w:rsidRPr="00C32FB0" w:rsidRDefault="00174CD4" w:rsidP="00174CD4">
            <w:pPr>
              <w:keepLines/>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32FB0">
              <w:rPr>
                <w:rFonts w:ascii="Arial" w:hAnsi="Arial" w:cs="Arial"/>
                <w:sz w:val="20"/>
              </w:rPr>
              <w:t>Mental Health Inventory (MHI-38)</w:t>
            </w:r>
          </w:p>
          <w:p w:rsidR="00174CD4" w:rsidRPr="00C32FB0" w:rsidRDefault="00174CD4" w:rsidP="00174CD4">
            <w:pPr>
              <w:keepLines/>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32FB0">
              <w:rPr>
                <w:rFonts w:ascii="Arial" w:hAnsi="Arial" w:cs="Arial"/>
                <w:sz w:val="20"/>
              </w:rPr>
              <w:t>Behaviour and Symptom Identification Scale 32 (BASIS-32)</w:t>
            </w:r>
          </w:p>
          <w:p w:rsidR="00174CD4" w:rsidRPr="00C32FB0" w:rsidRDefault="00174CD4" w:rsidP="00174CD4">
            <w:pPr>
              <w:keepNext/>
              <w:keepLines/>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32FB0">
              <w:rPr>
                <w:rFonts w:ascii="Arial" w:hAnsi="Arial" w:cs="Arial"/>
                <w:sz w:val="20"/>
              </w:rPr>
              <w:t>Kessler 10 Plus (K10+)</w:t>
            </w:r>
          </w:p>
        </w:tc>
      </w:tr>
      <w:tr w:rsidR="000230E2" w:rsidRPr="00C32FB0" w:rsidTr="007C426F">
        <w:trPr>
          <w:cnfStyle w:val="000000100000" w:firstRow="0" w:lastRow="0" w:firstColumn="0" w:lastColumn="0" w:oddVBand="0" w:evenVBand="0" w:oddHBand="1" w:evenHBand="0" w:firstRowFirstColumn="0" w:firstRowLastColumn="0" w:lastRowFirstColumn="0" w:lastRowLastColumn="0"/>
          <w:cantSplit/>
          <w:trHeight w:val="227"/>
        </w:trPr>
        <w:tc>
          <w:tcPr>
            <w:cnfStyle w:val="001000000000" w:firstRow="0" w:lastRow="0" w:firstColumn="1" w:lastColumn="0" w:oddVBand="0" w:evenVBand="0" w:oddHBand="0" w:evenHBand="0" w:firstRowFirstColumn="0" w:firstRowLastColumn="0" w:lastRowFirstColumn="0" w:lastRowLastColumn="0"/>
            <w:tcW w:w="2376" w:type="dxa"/>
            <w:tcBorders>
              <w:left w:val="none" w:sz="0" w:space="0" w:color="auto"/>
              <w:right w:val="none" w:sz="0" w:space="0" w:color="auto"/>
            </w:tcBorders>
          </w:tcPr>
          <w:p w:rsidR="000230E2" w:rsidRPr="00C32FB0" w:rsidRDefault="00296E9B" w:rsidP="00872DA8">
            <w:pPr>
              <w:keepNext/>
              <w:keepLines/>
              <w:spacing w:before="100" w:after="100"/>
              <w:rPr>
                <w:rFonts w:ascii="Arial" w:hAnsi="Arial" w:cs="Arial"/>
                <w:sz w:val="20"/>
              </w:rPr>
            </w:pPr>
            <w:r w:rsidRPr="00C32FB0">
              <w:rPr>
                <w:rFonts w:ascii="Arial" w:hAnsi="Arial" w:cs="Arial"/>
                <w:sz w:val="20"/>
              </w:rPr>
              <w:t>Older persons</w:t>
            </w:r>
          </w:p>
        </w:tc>
        <w:tc>
          <w:tcPr>
            <w:tcW w:w="6804" w:type="dxa"/>
            <w:tcBorders>
              <w:left w:val="none" w:sz="0" w:space="0" w:color="auto"/>
              <w:right w:val="none" w:sz="0" w:space="0" w:color="auto"/>
            </w:tcBorders>
          </w:tcPr>
          <w:p w:rsidR="00296E9B" w:rsidRPr="00C32FB0" w:rsidRDefault="00296E9B" w:rsidP="00872DA8">
            <w:pPr>
              <w:keepNext/>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32FB0">
              <w:rPr>
                <w:rFonts w:ascii="Arial" w:hAnsi="Arial" w:cs="Arial"/>
                <w:sz w:val="20"/>
              </w:rPr>
              <w:t>Health of the Nation Outcome Scales for Elderly Persons (HoNOS65+)</w:t>
            </w:r>
          </w:p>
          <w:p w:rsidR="00296E9B" w:rsidRPr="00C32FB0" w:rsidRDefault="00296E9B" w:rsidP="00872DA8">
            <w:pPr>
              <w:keepNext/>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32FB0">
              <w:rPr>
                <w:rFonts w:ascii="Arial" w:hAnsi="Arial" w:cs="Arial"/>
                <w:sz w:val="20"/>
              </w:rPr>
              <w:t>Life Skills Profile 16 (LSP-16)</w:t>
            </w:r>
          </w:p>
          <w:p w:rsidR="00296E9B" w:rsidRPr="00C32FB0" w:rsidRDefault="00296E9B" w:rsidP="00872DA8">
            <w:pPr>
              <w:keepNext/>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32FB0">
              <w:rPr>
                <w:rFonts w:ascii="Arial" w:hAnsi="Arial" w:cs="Arial"/>
                <w:sz w:val="20"/>
              </w:rPr>
              <w:t>Resource Utilisation Groups – Activities of Daily Living (RUG-ADL)</w:t>
            </w:r>
          </w:p>
          <w:p w:rsidR="000230E2" w:rsidRDefault="00296E9B" w:rsidP="00872DA8">
            <w:pPr>
              <w:keepNext/>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32FB0">
              <w:rPr>
                <w:rFonts w:ascii="Arial" w:hAnsi="Arial" w:cs="Arial"/>
                <w:sz w:val="20"/>
              </w:rPr>
              <w:t>Focus Of Care (FOC)</w:t>
            </w:r>
          </w:p>
          <w:p w:rsidR="00174CD4" w:rsidRPr="00174CD4" w:rsidRDefault="00174CD4" w:rsidP="00174CD4">
            <w:pPr>
              <w:keepNext/>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i/>
                <w:sz w:val="20"/>
              </w:rPr>
            </w:pPr>
            <w:r w:rsidRPr="00174CD4">
              <w:rPr>
                <w:rFonts w:ascii="Arial" w:hAnsi="Arial" w:cs="Arial"/>
                <w:i/>
                <w:sz w:val="20"/>
              </w:rPr>
              <w:t>Consumer-rated measures:</w:t>
            </w:r>
          </w:p>
          <w:p w:rsidR="00174CD4" w:rsidRPr="00C32FB0" w:rsidRDefault="00174CD4" w:rsidP="00174CD4">
            <w:pPr>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32FB0">
              <w:rPr>
                <w:rFonts w:ascii="Arial" w:hAnsi="Arial" w:cs="Arial"/>
                <w:sz w:val="20"/>
              </w:rPr>
              <w:t>Mental Health Inventory (MHI-38)</w:t>
            </w:r>
          </w:p>
          <w:p w:rsidR="00174CD4" w:rsidRPr="00C32FB0" w:rsidRDefault="00174CD4" w:rsidP="00174CD4">
            <w:pPr>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32FB0">
              <w:rPr>
                <w:rFonts w:ascii="Arial" w:hAnsi="Arial" w:cs="Arial"/>
                <w:sz w:val="20"/>
              </w:rPr>
              <w:t>Behaviour and Symptom Identification Scale 32 (BASIS-32)</w:t>
            </w:r>
          </w:p>
          <w:p w:rsidR="00174CD4" w:rsidRPr="00C32FB0" w:rsidRDefault="00174CD4" w:rsidP="00174CD4">
            <w:pPr>
              <w:keepNext/>
              <w:keepLines/>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sz w:val="20"/>
              </w:rPr>
            </w:pPr>
            <w:r w:rsidRPr="00C32FB0">
              <w:rPr>
                <w:rFonts w:ascii="Arial" w:hAnsi="Arial" w:cs="Arial"/>
                <w:sz w:val="20"/>
              </w:rPr>
              <w:t>Kessler 10 Plus (K10+)</w:t>
            </w:r>
          </w:p>
        </w:tc>
      </w:tr>
    </w:tbl>
    <w:p w:rsidR="009C0CC3" w:rsidRPr="00C32FB0" w:rsidRDefault="00775AC6" w:rsidP="006C7939">
      <w:pPr>
        <w:pStyle w:val="Heading2"/>
        <w:rPr>
          <w:rFonts w:ascii="Arial" w:hAnsi="Arial" w:cs="Arial"/>
        </w:rPr>
      </w:pPr>
      <w:bookmarkStart w:id="36" w:name="_Toc407021947"/>
      <w:r>
        <w:rPr>
          <w:rFonts w:ascii="Arial" w:hAnsi="Arial" w:cs="Arial"/>
        </w:rPr>
        <w:t>Testing of the proposed framework through the Mental Health Costing Study</w:t>
      </w:r>
      <w:bookmarkEnd w:id="36"/>
    </w:p>
    <w:p w:rsidR="00872DA8" w:rsidRPr="000E1543" w:rsidRDefault="00872DA8" w:rsidP="006C7939">
      <w:pPr>
        <w:rPr>
          <w:rFonts w:ascii="Arial" w:hAnsi="Arial" w:cs="Arial"/>
          <w:lang w:val="en-US" w:eastAsia="ja-JP"/>
        </w:rPr>
      </w:pPr>
      <w:r w:rsidRPr="000E1543">
        <w:rPr>
          <w:rFonts w:ascii="Arial" w:hAnsi="Arial" w:cs="Arial"/>
          <w:lang w:val="en-US" w:eastAsia="ja-JP"/>
        </w:rPr>
        <w:t>The purpose of th</w:t>
      </w:r>
      <w:r w:rsidR="00055751">
        <w:rPr>
          <w:rFonts w:ascii="Arial" w:hAnsi="Arial" w:cs="Arial"/>
          <w:lang w:val="en-US" w:eastAsia="ja-JP"/>
        </w:rPr>
        <w:t>e Mental Health Costing Study i</w:t>
      </w:r>
      <w:r w:rsidRPr="000E1543">
        <w:rPr>
          <w:rFonts w:ascii="Arial" w:hAnsi="Arial" w:cs="Arial"/>
          <w:lang w:val="en-US" w:eastAsia="ja-JP"/>
        </w:rPr>
        <w:t xml:space="preserve">s </w:t>
      </w:r>
      <w:r w:rsidR="00055751">
        <w:rPr>
          <w:rFonts w:ascii="Arial" w:hAnsi="Arial" w:cs="Arial"/>
          <w:lang w:val="en-US" w:eastAsia="ja-JP"/>
        </w:rPr>
        <w:t>to</w:t>
      </w:r>
      <w:r w:rsidRPr="000E1543">
        <w:rPr>
          <w:rFonts w:ascii="Arial" w:hAnsi="Arial" w:cs="Arial"/>
          <w:lang w:val="en-US" w:eastAsia="ja-JP"/>
        </w:rPr>
        <w:t xml:space="preserve"> test the UQ framework</w:t>
      </w:r>
      <w:r w:rsidR="00775AC6">
        <w:rPr>
          <w:rFonts w:ascii="Arial" w:hAnsi="Arial" w:cs="Arial"/>
          <w:lang w:val="en-US" w:eastAsia="ja-JP"/>
        </w:rPr>
        <w:t>. As at the end of December 2014, the first tranche of</w:t>
      </w:r>
      <w:r w:rsidR="006C7939" w:rsidRPr="000E1543">
        <w:rPr>
          <w:rFonts w:ascii="Arial" w:hAnsi="Arial" w:cs="Arial"/>
          <w:lang w:val="en-US" w:eastAsia="ja-JP"/>
        </w:rPr>
        <w:t xml:space="preserve"> activity data</w:t>
      </w:r>
      <w:r w:rsidRPr="000E1543">
        <w:rPr>
          <w:rFonts w:ascii="Arial" w:hAnsi="Arial" w:cs="Arial"/>
          <w:lang w:val="en-US" w:eastAsia="ja-JP"/>
        </w:rPr>
        <w:t xml:space="preserve"> </w:t>
      </w:r>
      <w:r w:rsidR="00775AC6">
        <w:rPr>
          <w:rFonts w:ascii="Arial" w:hAnsi="Arial" w:cs="Arial"/>
          <w:lang w:val="en-US" w:eastAsia="ja-JP"/>
        </w:rPr>
        <w:t>has been received from study sites, with analysis underway.</w:t>
      </w:r>
    </w:p>
    <w:p w:rsidR="009C0CC3" w:rsidRPr="00C32FB0" w:rsidRDefault="00775AC6" w:rsidP="006C7939">
      <w:pPr>
        <w:rPr>
          <w:rFonts w:ascii="Arial" w:hAnsi="Arial" w:cs="Arial"/>
          <w:lang w:val="en-US" w:eastAsia="ja-JP"/>
        </w:rPr>
      </w:pPr>
      <w:r>
        <w:rPr>
          <w:rFonts w:ascii="Arial" w:hAnsi="Arial" w:cs="Arial"/>
          <w:lang w:val="en-US" w:eastAsia="ja-JP"/>
        </w:rPr>
        <w:t>IHPA will use the full</w:t>
      </w:r>
      <w:r w:rsidR="00872DA8" w:rsidRPr="000E1543">
        <w:rPr>
          <w:rFonts w:ascii="Arial" w:hAnsi="Arial" w:cs="Arial"/>
          <w:lang w:val="en-US" w:eastAsia="ja-JP"/>
        </w:rPr>
        <w:t xml:space="preserve"> </w:t>
      </w:r>
      <w:r w:rsidR="0062148A" w:rsidRPr="000E1543">
        <w:rPr>
          <w:rFonts w:ascii="Arial" w:hAnsi="Arial" w:cs="Arial"/>
          <w:lang w:val="en-US" w:eastAsia="ja-JP"/>
        </w:rPr>
        <w:t xml:space="preserve">activity and </w:t>
      </w:r>
      <w:r w:rsidR="00872DA8" w:rsidRPr="000E1543">
        <w:rPr>
          <w:rFonts w:ascii="Arial" w:hAnsi="Arial" w:cs="Arial"/>
          <w:lang w:val="en-US" w:eastAsia="ja-JP"/>
        </w:rPr>
        <w:t>cost data</w:t>
      </w:r>
      <w:r>
        <w:rPr>
          <w:rFonts w:ascii="Arial" w:hAnsi="Arial" w:cs="Arial"/>
          <w:lang w:val="en-US" w:eastAsia="ja-JP"/>
        </w:rPr>
        <w:t xml:space="preserve"> from the study, due to be submitted in early 2015, t</w:t>
      </w:r>
      <w:r w:rsidR="00055751">
        <w:rPr>
          <w:rFonts w:ascii="Arial" w:hAnsi="Arial" w:cs="Arial"/>
          <w:lang w:val="en-US" w:eastAsia="ja-JP"/>
        </w:rPr>
        <w:t xml:space="preserve">o test whether the new concepts can be applied in different settings and to different </w:t>
      </w:r>
      <w:r w:rsidR="00055751">
        <w:rPr>
          <w:rFonts w:ascii="Arial" w:hAnsi="Arial" w:cs="Arial"/>
          <w:lang w:val="en-US" w:eastAsia="ja-JP"/>
        </w:rPr>
        <w:lastRenderedPageBreak/>
        <w:t xml:space="preserve">consumer cohorts, and whether they are determining factors in the cost of providing mental health care. This analysis will </w:t>
      </w:r>
      <w:r w:rsidR="00872DA8" w:rsidRPr="000E1543">
        <w:rPr>
          <w:rFonts w:ascii="Arial" w:hAnsi="Arial" w:cs="Arial"/>
          <w:lang w:val="en-US" w:eastAsia="ja-JP"/>
        </w:rPr>
        <w:t>be used to inform version 1</w:t>
      </w:r>
      <w:r w:rsidR="006713A5">
        <w:rPr>
          <w:rFonts w:ascii="Arial" w:hAnsi="Arial" w:cs="Arial"/>
          <w:lang w:val="en-US" w:eastAsia="ja-JP"/>
        </w:rPr>
        <w:t>.0</w:t>
      </w:r>
      <w:r w:rsidR="00872DA8" w:rsidRPr="000E1543">
        <w:rPr>
          <w:rFonts w:ascii="Arial" w:hAnsi="Arial" w:cs="Arial"/>
          <w:lang w:val="en-US" w:eastAsia="ja-JP"/>
        </w:rPr>
        <w:t xml:space="preserve"> of the AMHCC.</w:t>
      </w:r>
    </w:p>
    <w:p w:rsidR="000D3CAB" w:rsidRPr="00C32FB0" w:rsidRDefault="000D3CAB" w:rsidP="00555274">
      <w:pPr>
        <w:pStyle w:val="Heading3"/>
        <w:pBdr>
          <w:top w:val="single" w:sz="4" w:space="1" w:color="004200" w:themeColor="text2"/>
          <w:left w:val="single" w:sz="4" w:space="4" w:color="004200" w:themeColor="text2"/>
          <w:bottom w:val="single" w:sz="4" w:space="1" w:color="004200" w:themeColor="text2"/>
          <w:right w:val="single" w:sz="4" w:space="4" w:color="004200" w:themeColor="text2"/>
        </w:pBdr>
        <w:rPr>
          <w:rFonts w:ascii="Arial" w:hAnsi="Arial" w:cs="Arial"/>
          <w:lang w:val="en-US" w:eastAsia="ja-JP"/>
        </w:rPr>
      </w:pPr>
      <w:r w:rsidRPr="00C32FB0">
        <w:rPr>
          <w:rFonts w:ascii="Arial" w:hAnsi="Arial" w:cs="Arial"/>
          <w:lang w:val="en-US" w:eastAsia="ja-JP"/>
        </w:rPr>
        <w:t>Consultation questions</w:t>
      </w:r>
    </w:p>
    <w:p w:rsidR="00C32FB0" w:rsidRPr="00C32FB0" w:rsidRDefault="00C32FB0" w:rsidP="00555274">
      <w:pPr>
        <w:pStyle w:val="ListParagraph"/>
        <w:keepNext/>
        <w:keepLines/>
        <w:numPr>
          <w:ilvl w:val="0"/>
          <w:numId w:val="4"/>
        </w:numPr>
        <w:pBdr>
          <w:top w:val="single" w:sz="4" w:space="1" w:color="004200" w:themeColor="text2"/>
          <w:left w:val="single" w:sz="4" w:space="4" w:color="004200" w:themeColor="text2"/>
          <w:bottom w:val="single" w:sz="4" w:space="1" w:color="004200" w:themeColor="text2"/>
          <w:right w:val="single" w:sz="4" w:space="4" w:color="004200" w:themeColor="text2"/>
        </w:pBdr>
        <w:ind w:left="357" w:hanging="357"/>
        <w:contextualSpacing w:val="0"/>
        <w:rPr>
          <w:rFonts w:ascii="Arial" w:hAnsi="Arial" w:cs="Arial"/>
          <w:lang w:val="en-US" w:eastAsia="ja-JP"/>
        </w:rPr>
      </w:pPr>
      <w:r w:rsidRPr="00C32FB0">
        <w:rPr>
          <w:rFonts w:ascii="Arial" w:hAnsi="Arial" w:cs="Arial"/>
          <w:lang w:val="en-US" w:eastAsia="ja-JP"/>
        </w:rPr>
        <w:t>Are there any further considerations in relation to the proposed architecture?</w:t>
      </w:r>
    </w:p>
    <w:p w:rsidR="00174CD4" w:rsidRDefault="00C32FB0" w:rsidP="00555274">
      <w:pPr>
        <w:pStyle w:val="ListParagraph"/>
        <w:keepNext/>
        <w:keepLines/>
        <w:numPr>
          <w:ilvl w:val="0"/>
          <w:numId w:val="4"/>
        </w:numPr>
        <w:pBdr>
          <w:top w:val="single" w:sz="4" w:space="1" w:color="004200" w:themeColor="text2"/>
          <w:left w:val="single" w:sz="4" w:space="4" w:color="004200" w:themeColor="text2"/>
          <w:bottom w:val="single" w:sz="4" w:space="1" w:color="004200" w:themeColor="text2"/>
          <w:right w:val="single" w:sz="4" w:space="4" w:color="004200" w:themeColor="text2"/>
        </w:pBdr>
        <w:ind w:left="357" w:hanging="357"/>
        <w:contextualSpacing w:val="0"/>
        <w:rPr>
          <w:rFonts w:ascii="Arial" w:hAnsi="Arial" w:cs="Arial"/>
          <w:lang w:val="en-US" w:eastAsia="ja-JP"/>
        </w:rPr>
      </w:pPr>
      <w:r w:rsidRPr="00C32FB0">
        <w:rPr>
          <w:rFonts w:ascii="Arial" w:hAnsi="Arial" w:cs="Arial"/>
          <w:lang w:val="en-US" w:eastAsia="ja-JP"/>
        </w:rPr>
        <w:t>Is there any further evidence that should be considered in testing the proposed architecture?</w:t>
      </w:r>
    </w:p>
    <w:p w:rsidR="00060B8C" w:rsidRPr="00C32FB0" w:rsidRDefault="00174CD4" w:rsidP="00555274">
      <w:pPr>
        <w:pStyle w:val="ListParagraph"/>
        <w:keepNext/>
        <w:keepLines/>
        <w:numPr>
          <w:ilvl w:val="0"/>
          <w:numId w:val="4"/>
        </w:numPr>
        <w:pBdr>
          <w:top w:val="single" w:sz="4" w:space="1" w:color="004200" w:themeColor="text2"/>
          <w:left w:val="single" w:sz="4" w:space="4" w:color="004200" w:themeColor="text2"/>
          <w:bottom w:val="single" w:sz="4" w:space="1" w:color="004200" w:themeColor="text2"/>
          <w:right w:val="single" w:sz="4" w:space="4" w:color="004200" w:themeColor="text2"/>
        </w:pBdr>
        <w:ind w:left="357" w:hanging="357"/>
        <w:contextualSpacing w:val="0"/>
        <w:rPr>
          <w:rFonts w:ascii="Arial" w:hAnsi="Arial" w:cs="Arial"/>
          <w:lang w:val="en-US" w:eastAsia="ja-JP"/>
        </w:rPr>
      </w:pPr>
      <w:r>
        <w:rPr>
          <w:rFonts w:ascii="Arial" w:hAnsi="Arial" w:cs="Arial"/>
          <w:lang w:val="en-US" w:eastAsia="ja-JP"/>
        </w:rPr>
        <w:t>Which psychological interventions, if any, may be of significant in understanding the cost of care?</w:t>
      </w:r>
      <w:r w:rsidR="00060B8C" w:rsidRPr="00C32FB0">
        <w:rPr>
          <w:rFonts w:ascii="Arial" w:hAnsi="Arial" w:cs="Arial"/>
          <w:lang w:val="en-US" w:eastAsia="ja-JP"/>
        </w:rPr>
        <w:br w:type="page"/>
      </w:r>
    </w:p>
    <w:p w:rsidR="00601D0B" w:rsidRPr="00C32FB0" w:rsidRDefault="00601D0B" w:rsidP="00601D0B">
      <w:pPr>
        <w:pStyle w:val="Heading1"/>
        <w:rPr>
          <w:rFonts w:ascii="Arial" w:hAnsi="Arial" w:cs="Arial"/>
          <w:lang w:val="en-US" w:eastAsia="ja-JP"/>
        </w:rPr>
      </w:pPr>
      <w:bookmarkStart w:id="37" w:name="_Toc407021948"/>
      <w:r w:rsidRPr="00C32FB0">
        <w:rPr>
          <w:rFonts w:ascii="Arial" w:hAnsi="Arial" w:cs="Arial"/>
          <w:lang w:val="en-US" w:eastAsia="ja-JP"/>
        </w:rPr>
        <w:lastRenderedPageBreak/>
        <w:t>Next steps</w:t>
      </w:r>
      <w:r w:rsidR="000E1543">
        <w:rPr>
          <w:rFonts w:ascii="Arial" w:hAnsi="Arial" w:cs="Arial"/>
          <w:lang w:val="en-US" w:eastAsia="ja-JP"/>
        </w:rPr>
        <w:t xml:space="preserve"> </w:t>
      </w:r>
      <w:r w:rsidR="000E1543" w:rsidRPr="00C32FB0">
        <w:rPr>
          <w:rFonts w:ascii="Arial" w:hAnsi="Arial" w:cs="Arial"/>
          <w:lang w:val="en-US" w:eastAsia="ja-JP"/>
        </w:rPr>
        <w:t>and further opportunities to participate</w:t>
      </w:r>
      <w:bookmarkEnd w:id="37"/>
    </w:p>
    <w:p w:rsidR="00734873" w:rsidRDefault="00734873" w:rsidP="00734873">
      <w:pPr>
        <w:rPr>
          <w:rFonts w:ascii="Arial" w:hAnsi="Arial" w:cs="Arial"/>
        </w:rPr>
      </w:pPr>
      <w:r>
        <w:rPr>
          <w:rFonts w:ascii="Arial" w:hAnsi="Arial" w:cs="Arial"/>
        </w:rPr>
        <w:t>As with other classification systems, development of the AMHCC will take time and a number of iterations. The version to be implemented in 2016</w:t>
      </w:r>
      <w:r>
        <w:rPr>
          <w:rFonts w:ascii="Arial" w:hAnsi="Arial" w:cs="Arial"/>
        </w:rPr>
        <w:noBreakHyphen/>
        <w:t>17 is unlikely to apply to all types of mental health care service settings or providers, as data to support classification development will need to be sourced over the coming years, with data collection mechanisms built up.</w:t>
      </w:r>
      <w:r w:rsidR="00BD67FA" w:rsidRPr="00BD67FA">
        <w:rPr>
          <w:rFonts w:ascii="Arial" w:hAnsi="Arial" w:cs="Arial"/>
        </w:rPr>
        <w:t xml:space="preserve"> </w:t>
      </w:r>
      <w:r w:rsidR="00BD67FA">
        <w:rPr>
          <w:rFonts w:ascii="Arial" w:hAnsi="Arial" w:cs="Arial"/>
        </w:rPr>
        <w:t>Part of the consultation processes and developmental work for the 2016-17 iteration will be identifying areas of focus for future work.</w:t>
      </w:r>
    </w:p>
    <w:p w:rsidR="00734873" w:rsidRDefault="00734873" w:rsidP="00734873">
      <w:pPr>
        <w:rPr>
          <w:rFonts w:ascii="Arial" w:hAnsi="Arial" w:cs="Arial"/>
        </w:rPr>
      </w:pPr>
      <w:r>
        <w:rPr>
          <w:rFonts w:ascii="Arial" w:hAnsi="Arial" w:cs="Arial"/>
        </w:rPr>
        <w:t>The following steps will guide the development of the 2016-17 AMHCC; however, consultation will continue on its</w:t>
      </w:r>
      <w:r w:rsidR="00BD67FA">
        <w:rPr>
          <w:rFonts w:ascii="Arial" w:hAnsi="Arial" w:cs="Arial"/>
        </w:rPr>
        <w:t xml:space="preserve"> ongoing development beyond this.</w:t>
      </w:r>
    </w:p>
    <w:p w:rsidR="00C54965" w:rsidRPr="00C32FB0" w:rsidRDefault="00C54965" w:rsidP="000E1543">
      <w:pPr>
        <w:pStyle w:val="Heading2"/>
        <w:rPr>
          <w:lang w:val="en-US" w:eastAsia="ja-JP"/>
        </w:rPr>
      </w:pPr>
      <w:bookmarkStart w:id="38" w:name="_Toc407021949"/>
      <w:r w:rsidRPr="00C32FB0">
        <w:rPr>
          <w:lang w:val="en-US" w:eastAsia="ja-JP"/>
        </w:rPr>
        <w:t xml:space="preserve">Refine and </w:t>
      </w:r>
      <w:proofErr w:type="spellStart"/>
      <w:r w:rsidRPr="00C32FB0">
        <w:rPr>
          <w:lang w:val="en-US" w:eastAsia="ja-JP"/>
        </w:rPr>
        <w:t>finalise</w:t>
      </w:r>
      <w:proofErr w:type="spellEnd"/>
      <w:r w:rsidRPr="00C32FB0">
        <w:rPr>
          <w:lang w:val="en-US" w:eastAsia="ja-JP"/>
        </w:rPr>
        <w:t xml:space="preserve"> the AMHCC framework</w:t>
      </w:r>
      <w:bookmarkEnd w:id="38"/>
    </w:p>
    <w:p w:rsidR="0075511B" w:rsidRPr="00C32FB0" w:rsidRDefault="000C156C" w:rsidP="00AC7698">
      <w:pPr>
        <w:rPr>
          <w:rFonts w:ascii="Arial" w:hAnsi="Arial" w:cs="Arial"/>
          <w:lang w:val="en-US" w:eastAsia="ja-JP"/>
        </w:rPr>
      </w:pPr>
      <w:r w:rsidRPr="00C32FB0">
        <w:rPr>
          <w:rFonts w:ascii="Arial" w:hAnsi="Arial" w:cs="Arial"/>
          <w:lang w:val="en-US" w:eastAsia="ja-JP"/>
        </w:rPr>
        <w:t xml:space="preserve">Once </w:t>
      </w:r>
      <w:r w:rsidRPr="00C32FB0">
        <w:rPr>
          <w:rStyle w:val="Strong"/>
          <w:rFonts w:ascii="Arial" w:hAnsi="Arial" w:cs="Arial"/>
        </w:rPr>
        <w:t>public consultation 1</w:t>
      </w:r>
      <w:r w:rsidR="00AC7698" w:rsidRPr="00C32FB0">
        <w:rPr>
          <w:rFonts w:ascii="Arial" w:hAnsi="Arial" w:cs="Arial"/>
          <w:lang w:val="en-US" w:eastAsia="ja-JP"/>
        </w:rPr>
        <w:t xml:space="preserve"> has concluded</w:t>
      </w:r>
      <w:r w:rsidRPr="00C32FB0">
        <w:rPr>
          <w:rFonts w:ascii="Arial" w:hAnsi="Arial" w:cs="Arial"/>
          <w:lang w:val="en-US" w:eastAsia="ja-JP"/>
        </w:rPr>
        <w:t xml:space="preserve"> in February 2015, </w:t>
      </w:r>
      <w:r w:rsidR="00AC7698" w:rsidRPr="00C32FB0">
        <w:rPr>
          <w:rFonts w:ascii="Arial" w:hAnsi="Arial" w:cs="Arial"/>
          <w:lang w:val="en-US" w:eastAsia="ja-JP"/>
        </w:rPr>
        <w:t xml:space="preserve">IHPA will consider the feedback received and publish the final framework on the </w:t>
      </w:r>
      <w:hyperlink r:id="rId23" w:history="1">
        <w:r w:rsidR="00AC7698" w:rsidRPr="00C32FB0">
          <w:rPr>
            <w:rStyle w:val="Hyperlink"/>
            <w:rFonts w:ascii="Arial" w:hAnsi="Arial" w:cs="Arial"/>
            <w:lang w:val="en-US" w:eastAsia="ja-JP"/>
          </w:rPr>
          <w:t>IHPA website</w:t>
        </w:r>
      </w:hyperlink>
      <w:r w:rsidR="00AC7698" w:rsidRPr="00C32FB0">
        <w:rPr>
          <w:rFonts w:ascii="Arial" w:hAnsi="Arial" w:cs="Arial"/>
          <w:lang w:val="en-US" w:eastAsia="ja-JP"/>
        </w:rPr>
        <w:t>.</w:t>
      </w:r>
    </w:p>
    <w:p w:rsidR="00A06C22" w:rsidRDefault="000C156C" w:rsidP="000C156C">
      <w:pPr>
        <w:rPr>
          <w:rFonts w:ascii="Arial" w:hAnsi="Arial" w:cs="Arial"/>
        </w:rPr>
      </w:pPr>
      <w:r w:rsidRPr="00C32FB0">
        <w:rPr>
          <w:rFonts w:ascii="Arial" w:hAnsi="Arial" w:cs="Arial"/>
          <w:lang w:val="en-US" w:eastAsia="ja-JP"/>
        </w:rPr>
        <w:t xml:space="preserve">IHPA will undertake further targeted consultation with </w:t>
      </w:r>
      <w:r w:rsidRPr="00C32FB0">
        <w:rPr>
          <w:rFonts w:ascii="Arial" w:hAnsi="Arial" w:cs="Arial"/>
        </w:rPr>
        <w:t>clinicians, service providers, consumer and carer groups, and classification and funding specialists on specific issues as needed throughout this process.</w:t>
      </w:r>
    </w:p>
    <w:p w:rsidR="00A06C22" w:rsidRPr="00C32FB0" w:rsidRDefault="00A06C22" w:rsidP="00A06C22">
      <w:pPr>
        <w:rPr>
          <w:rFonts w:ascii="Arial" w:hAnsi="Arial" w:cs="Arial"/>
        </w:rPr>
      </w:pPr>
      <w:r w:rsidRPr="00C32FB0">
        <w:rPr>
          <w:rFonts w:ascii="Arial" w:hAnsi="Arial" w:cs="Arial"/>
        </w:rPr>
        <w:t xml:space="preserve">The IHPA </w:t>
      </w:r>
      <w:hyperlink r:id="rId24" w:history="1">
        <w:r w:rsidRPr="00C32FB0">
          <w:rPr>
            <w:rStyle w:val="Hyperlink"/>
            <w:rFonts w:ascii="Arial" w:hAnsi="Arial" w:cs="Arial"/>
          </w:rPr>
          <w:t>Activity Based Funding Conference 2015</w:t>
        </w:r>
      </w:hyperlink>
      <w:r w:rsidRPr="00C32FB0">
        <w:rPr>
          <w:rFonts w:ascii="Arial" w:hAnsi="Arial" w:cs="Arial"/>
        </w:rPr>
        <w:t>, which will take place from 27</w:t>
      </w:r>
      <w:r w:rsidRPr="00C32FB0">
        <w:rPr>
          <w:rFonts w:ascii="Arial" w:hAnsi="Arial" w:cs="Arial"/>
        </w:rPr>
        <w:noBreakHyphen/>
        <w:t>29 May 2015, will include a workshop on the development of the AMHCC.</w:t>
      </w:r>
    </w:p>
    <w:p w:rsidR="00C54965" w:rsidRPr="00C32FB0" w:rsidRDefault="000C156C" w:rsidP="000E1543">
      <w:pPr>
        <w:pStyle w:val="Heading2"/>
        <w:rPr>
          <w:lang w:val="en-US" w:eastAsia="ja-JP"/>
        </w:rPr>
      </w:pPr>
      <w:bookmarkStart w:id="39" w:name="_Toc407021950"/>
      <w:r w:rsidRPr="00C32FB0">
        <w:rPr>
          <w:lang w:val="en-US" w:eastAsia="ja-JP"/>
        </w:rPr>
        <w:t>D</w:t>
      </w:r>
      <w:r w:rsidR="00C54965" w:rsidRPr="00C32FB0">
        <w:rPr>
          <w:lang w:val="en-US" w:eastAsia="ja-JP"/>
        </w:rPr>
        <w:t>evelop AMHCC version 1.0</w:t>
      </w:r>
      <w:bookmarkEnd w:id="39"/>
    </w:p>
    <w:p w:rsidR="00C54965" w:rsidRPr="00C32FB0" w:rsidRDefault="00C54965" w:rsidP="00C54965">
      <w:pPr>
        <w:rPr>
          <w:rFonts w:ascii="Arial" w:hAnsi="Arial" w:cs="Arial"/>
          <w:lang w:val="en-US" w:eastAsia="ja-JP"/>
        </w:rPr>
      </w:pPr>
      <w:r w:rsidRPr="00C32FB0">
        <w:rPr>
          <w:rFonts w:ascii="Arial" w:hAnsi="Arial" w:cs="Arial"/>
          <w:lang w:val="en-US" w:eastAsia="ja-JP"/>
        </w:rPr>
        <w:t>With oversight from the MHCERG, in early 2015 IHPA will commence development of version 1.0 of the AMHCC. This will be informed by the final framework incorporating feedback from this consultation paper, and the Mental Health Costing Study data and analysis.</w:t>
      </w:r>
    </w:p>
    <w:p w:rsidR="000E1543" w:rsidRPr="00C32FB0" w:rsidRDefault="000E1543" w:rsidP="000E1543">
      <w:pPr>
        <w:rPr>
          <w:rFonts w:ascii="Arial" w:hAnsi="Arial" w:cs="Arial"/>
        </w:rPr>
      </w:pPr>
      <w:r>
        <w:rPr>
          <w:rFonts w:ascii="Arial" w:hAnsi="Arial" w:cs="Arial"/>
        </w:rPr>
        <w:t>Based on the quality and breadth of the data from the Mental Health Costing Study, IHPA will consider whether there are branches of the AMHCC which require more data in order for them to further developed, for example, a particular service setting or patient cohort. IHPA will then undertake further one-off studies as required, or may propose a staged process for AMHCC development.</w:t>
      </w:r>
    </w:p>
    <w:p w:rsidR="00C54965" w:rsidRPr="00C32FB0" w:rsidRDefault="00C54965" w:rsidP="00C54965">
      <w:pPr>
        <w:rPr>
          <w:rFonts w:ascii="Arial" w:hAnsi="Arial" w:cs="Arial"/>
          <w:lang w:val="en-US" w:eastAsia="ja-JP"/>
        </w:rPr>
      </w:pPr>
      <w:r w:rsidRPr="00C32FB0">
        <w:rPr>
          <w:rFonts w:ascii="Arial" w:hAnsi="Arial" w:cs="Arial"/>
          <w:lang w:val="en-US" w:eastAsia="ja-JP"/>
        </w:rPr>
        <w:t>Version 1.0 of the AMHCC will be released f</w:t>
      </w:r>
      <w:r w:rsidR="000C156C" w:rsidRPr="00C32FB0">
        <w:rPr>
          <w:rFonts w:ascii="Arial" w:hAnsi="Arial" w:cs="Arial"/>
          <w:lang w:val="en-US" w:eastAsia="ja-JP"/>
        </w:rPr>
        <w:t xml:space="preserve">or </w:t>
      </w:r>
      <w:r w:rsidR="000C156C" w:rsidRPr="00C32FB0">
        <w:rPr>
          <w:rStyle w:val="Strong"/>
          <w:rFonts w:ascii="Arial" w:hAnsi="Arial" w:cs="Arial"/>
        </w:rPr>
        <w:t>public consultation 2</w:t>
      </w:r>
      <w:r w:rsidR="000C156C" w:rsidRPr="00C32FB0">
        <w:rPr>
          <w:rFonts w:ascii="Arial" w:hAnsi="Arial" w:cs="Arial"/>
          <w:lang w:val="en-US" w:eastAsia="ja-JP"/>
        </w:rPr>
        <w:t xml:space="preserve"> in mid-2015.</w:t>
      </w:r>
    </w:p>
    <w:p w:rsidR="00C54965" w:rsidRPr="00C32FB0" w:rsidRDefault="00C54965" w:rsidP="00C54965">
      <w:pPr>
        <w:rPr>
          <w:rFonts w:ascii="Arial" w:hAnsi="Arial" w:cs="Arial"/>
          <w:lang w:val="en-US" w:eastAsia="ja-JP"/>
        </w:rPr>
      </w:pPr>
      <w:r w:rsidRPr="00C32FB0">
        <w:rPr>
          <w:rFonts w:ascii="Arial" w:hAnsi="Arial" w:cs="Arial"/>
          <w:lang w:val="en-US" w:eastAsia="ja-JP"/>
        </w:rPr>
        <w:t>Concurrent with this, IHPA will pilot version 1.0 of the AMHCC</w:t>
      </w:r>
      <w:r w:rsidR="000C156C" w:rsidRPr="00C32FB0">
        <w:rPr>
          <w:rFonts w:ascii="Arial" w:hAnsi="Arial" w:cs="Arial"/>
          <w:lang w:val="en-US" w:eastAsia="ja-JP"/>
        </w:rPr>
        <w:t xml:space="preserve"> from mid-2015</w:t>
      </w:r>
      <w:r w:rsidRPr="00C32FB0">
        <w:rPr>
          <w:rFonts w:ascii="Arial" w:hAnsi="Arial" w:cs="Arial"/>
          <w:lang w:val="en-US" w:eastAsia="ja-JP"/>
        </w:rPr>
        <w:t>, to test the concepts and provide data to refine the classification.</w:t>
      </w:r>
    </w:p>
    <w:p w:rsidR="000C156C" w:rsidRPr="00C32FB0" w:rsidRDefault="000C156C" w:rsidP="000C156C">
      <w:pPr>
        <w:rPr>
          <w:rFonts w:ascii="Arial" w:hAnsi="Arial" w:cs="Arial"/>
        </w:rPr>
      </w:pPr>
      <w:r w:rsidRPr="00C32FB0">
        <w:rPr>
          <w:rFonts w:ascii="Arial" w:hAnsi="Arial" w:cs="Arial"/>
          <w:lang w:val="en-US" w:eastAsia="ja-JP"/>
        </w:rPr>
        <w:t xml:space="preserve">IHPA will again undertake further targeted consultation </w:t>
      </w:r>
      <w:r w:rsidRPr="00C32FB0">
        <w:rPr>
          <w:rFonts w:ascii="Arial" w:hAnsi="Arial" w:cs="Arial"/>
        </w:rPr>
        <w:t>on specific issues as needed throughout this process.</w:t>
      </w:r>
    </w:p>
    <w:p w:rsidR="00C54965" w:rsidRPr="00C32FB0" w:rsidRDefault="00C54965" w:rsidP="000E1543">
      <w:pPr>
        <w:pStyle w:val="Heading2"/>
        <w:rPr>
          <w:lang w:val="en-US" w:eastAsia="ja-JP"/>
        </w:rPr>
      </w:pPr>
      <w:bookmarkStart w:id="40" w:name="_Toc407021951"/>
      <w:r w:rsidRPr="00C32FB0">
        <w:rPr>
          <w:lang w:val="en-US" w:eastAsia="ja-JP"/>
        </w:rPr>
        <w:t xml:space="preserve">Develop </w:t>
      </w:r>
      <w:r w:rsidR="000C156C" w:rsidRPr="00C32FB0">
        <w:rPr>
          <w:lang w:val="en-US" w:eastAsia="ja-JP"/>
        </w:rPr>
        <w:t>AMHCC version 2.0</w:t>
      </w:r>
      <w:bookmarkEnd w:id="40"/>
    </w:p>
    <w:p w:rsidR="00C54965" w:rsidRPr="00C32FB0" w:rsidRDefault="000C156C" w:rsidP="00C54965">
      <w:pPr>
        <w:rPr>
          <w:rFonts w:ascii="Arial" w:hAnsi="Arial" w:cs="Arial"/>
          <w:lang w:val="en-US" w:eastAsia="ja-JP"/>
        </w:rPr>
      </w:pPr>
      <w:r w:rsidRPr="00C32FB0">
        <w:rPr>
          <w:rFonts w:ascii="Arial" w:hAnsi="Arial" w:cs="Arial"/>
          <w:lang w:val="en-US" w:eastAsia="ja-JP"/>
        </w:rPr>
        <w:t>From late 2015, g</w:t>
      </w:r>
      <w:r w:rsidR="00C54965" w:rsidRPr="00C32FB0">
        <w:rPr>
          <w:rFonts w:ascii="Arial" w:hAnsi="Arial" w:cs="Arial"/>
          <w:lang w:val="en-US" w:eastAsia="ja-JP"/>
        </w:rPr>
        <w:t xml:space="preserve">uided again by the MHCERG, </w:t>
      </w:r>
      <w:r w:rsidRPr="00C32FB0">
        <w:rPr>
          <w:rFonts w:ascii="Arial" w:hAnsi="Arial" w:cs="Arial"/>
          <w:lang w:val="en-US" w:eastAsia="ja-JP"/>
        </w:rPr>
        <w:t xml:space="preserve">IHPA will consider feedback from the public consultation on AMHCC version 1.0 and the results of the pilot to start development of </w:t>
      </w:r>
      <w:r w:rsidR="00850483" w:rsidRPr="00C32FB0">
        <w:rPr>
          <w:rFonts w:ascii="Arial" w:hAnsi="Arial" w:cs="Arial"/>
          <w:lang w:val="en-US" w:eastAsia="ja-JP"/>
        </w:rPr>
        <w:t>v</w:t>
      </w:r>
      <w:r w:rsidRPr="00C32FB0">
        <w:rPr>
          <w:rFonts w:ascii="Arial" w:hAnsi="Arial" w:cs="Arial"/>
          <w:lang w:val="en-US" w:eastAsia="ja-JP"/>
        </w:rPr>
        <w:t>ersion 2.0 of the AMHCC.</w:t>
      </w:r>
    </w:p>
    <w:p w:rsidR="000C156C" w:rsidRPr="00C32FB0" w:rsidRDefault="000C156C" w:rsidP="000C156C">
      <w:pPr>
        <w:rPr>
          <w:rFonts w:ascii="Arial" w:hAnsi="Arial" w:cs="Arial"/>
          <w:lang w:val="en-US" w:eastAsia="ja-JP"/>
        </w:rPr>
      </w:pPr>
      <w:r w:rsidRPr="00C32FB0">
        <w:rPr>
          <w:rFonts w:ascii="Arial" w:hAnsi="Arial" w:cs="Arial"/>
          <w:lang w:val="en-US" w:eastAsia="ja-JP"/>
        </w:rPr>
        <w:t xml:space="preserve">Version 2.0 of the AMHCC will be released for </w:t>
      </w:r>
      <w:r w:rsidRPr="00C32FB0">
        <w:rPr>
          <w:rStyle w:val="Strong"/>
          <w:rFonts w:ascii="Arial" w:hAnsi="Arial" w:cs="Arial"/>
        </w:rPr>
        <w:t>public consultation 3</w:t>
      </w:r>
      <w:r w:rsidRPr="00C32FB0">
        <w:rPr>
          <w:rFonts w:ascii="Arial" w:hAnsi="Arial" w:cs="Arial"/>
          <w:lang w:val="en-US" w:eastAsia="ja-JP"/>
        </w:rPr>
        <w:t xml:space="preserve"> in early 2016.</w:t>
      </w:r>
    </w:p>
    <w:p w:rsidR="000C156C" w:rsidRPr="00C32FB0" w:rsidRDefault="000C156C" w:rsidP="000C156C">
      <w:pPr>
        <w:rPr>
          <w:rFonts w:ascii="Arial" w:hAnsi="Arial" w:cs="Arial"/>
        </w:rPr>
      </w:pPr>
      <w:r w:rsidRPr="00C32FB0">
        <w:rPr>
          <w:rFonts w:ascii="Arial" w:hAnsi="Arial" w:cs="Arial"/>
          <w:lang w:val="en-US" w:eastAsia="ja-JP"/>
        </w:rPr>
        <w:lastRenderedPageBreak/>
        <w:t xml:space="preserve">IHPA will consider the feedback from this </w:t>
      </w:r>
      <w:r w:rsidR="00850483" w:rsidRPr="00C32FB0">
        <w:rPr>
          <w:rFonts w:ascii="Arial" w:hAnsi="Arial" w:cs="Arial"/>
          <w:lang w:val="en-US" w:eastAsia="ja-JP"/>
        </w:rPr>
        <w:t>consultation and</w:t>
      </w:r>
      <w:r w:rsidRPr="00C32FB0">
        <w:rPr>
          <w:rFonts w:ascii="Arial" w:hAnsi="Arial" w:cs="Arial"/>
          <w:lang w:val="en-US" w:eastAsia="ja-JP"/>
        </w:rPr>
        <w:t xml:space="preserve"> again undertake further targeted consultation </w:t>
      </w:r>
      <w:r w:rsidRPr="00C32FB0">
        <w:rPr>
          <w:rFonts w:ascii="Arial" w:hAnsi="Arial" w:cs="Arial"/>
        </w:rPr>
        <w:t>on specific issues as needed and use this to finalise AMHCC version 2.0.</w:t>
      </w:r>
    </w:p>
    <w:p w:rsidR="00850483" w:rsidRPr="00C32FB0" w:rsidRDefault="00850483" w:rsidP="000C156C">
      <w:pPr>
        <w:rPr>
          <w:rFonts w:ascii="Arial" w:hAnsi="Arial" w:cs="Arial"/>
        </w:rPr>
      </w:pPr>
      <w:r w:rsidRPr="00C32FB0">
        <w:rPr>
          <w:rFonts w:ascii="Arial" w:hAnsi="Arial" w:cs="Arial"/>
        </w:rPr>
        <w:t>The ABF MHC DSS will also be updated to reflect AMHCC version 2.0.</w:t>
      </w:r>
    </w:p>
    <w:p w:rsidR="00850483" w:rsidRPr="00C32FB0" w:rsidRDefault="00850483" w:rsidP="000C156C">
      <w:pPr>
        <w:rPr>
          <w:rFonts w:ascii="Arial" w:hAnsi="Arial" w:cs="Arial"/>
        </w:rPr>
      </w:pPr>
      <w:r w:rsidRPr="00C32FB0">
        <w:rPr>
          <w:rFonts w:ascii="Arial" w:hAnsi="Arial" w:cs="Arial"/>
        </w:rPr>
        <w:t xml:space="preserve">The final AMHCC </w:t>
      </w:r>
      <w:r w:rsidR="008E526F" w:rsidRPr="00C32FB0">
        <w:rPr>
          <w:rFonts w:ascii="Arial" w:hAnsi="Arial" w:cs="Arial"/>
        </w:rPr>
        <w:t>will then</w:t>
      </w:r>
      <w:r w:rsidRPr="00C32FB0">
        <w:rPr>
          <w:rFonts w:ascii="Arial" w:hAnsi="Arial" w:cs="Arial"/>
        </w:rPr>
        <w:t xml:space="preserve"> be released for implementation from 1 July 2016.</w:t>
      </w:r>
    </w:p>
    <w:p w:rsidR="000D3CAB" w:rsidRPr="00C32FB0" w:rsidRDefault="000D3CAB" w:rsidP="00555274">
      <w:pPr>
        <w:pStyle w:val="Heading3"/>
        <w:pBdr>
          <w:top w:val="single" w:sz="4" w:space="1" w:color="004200" w:themeColor="text2"/>
          <w:left w:val="single" w:sz="4" w:space="4" w:color="004200" w:themeColor="text2"/>
          <w:bottom w:val="single" w:sz="4" w:space="1" w:color="004200" w:themeColor="text2"/>
          <w:right w:val="single" w:sz="4" w:space="4" w:color="004200" w:themeColor="text2"/>
        </w:pBdr>
        <w:rPr>
          <w:rFonts w:ascii="Arial" w:hAnsi="Arial" w:cs="Arial"/>
          <w:lang w:val="en-US" w:eastAsia="ja-JP"/>
        </w:rPr>
      </w:pPr>
      <w:r w:rsidRPr="00C32FB0">
        <w:rPr>
          <w:rFonts w:ascii="Arial" w:hAnsi="Arial" w:cs="Arial"/>
          <w:lang w:val="en-US" w:eastAsia="ja-JP"/>
        </w:rPr>
        <w:t>Consultation questions</w:t>
      </w:r>
    </w:p>
    <w:p w:rsidR="00C32FB0" w:rsidRDefault="00C32FB0" w:rsidP="00555274">
      <w:pPr>
        <w:pStyle w:val="ListParagraph"/>
        <w:keepNext/>
        <w:keepLines/>
        <w:numPr>
          <w:ilvl w:val="0"/>
          <w:numId w:val="4"/>
        </w:numPr>
        <w:pBdr>
          <w:top w:val="single" w:sz="4" w:space="1" w:color="004200" w:themeColor="text2"/>
          <w:left w:val="single" w:sz="4" w:space="4" w:color="004200" w:themeColor="text2"/>
          <w:bottom w:val="single" w:sz="4" w:space="1" w:color="004200" w:themeColor="text2"/>
          <w:right w:val="single" w:sz="4" w:space="4" w:color="004200" w:themeColor="text2"/>
        </w:pBdr>
        <w:ind w:left="357" w:hanging="357"/>
        <w:contextualSpacing w:val="0"/>
        <w:rPr>
          <w:rFonts w:ascii="Arial" w:hAnsi="Arial" w:cs="Arial"/>
          <w:lang w:val="en-US" w:eastAsia="ja-JP"/>
        </w:rPr>
      </w:pPr>
      <w:r w:rsidRPr="000E1543">
        <w:rPr>
          <w:rFonts w:ascii="Arial" w:hAnsi="Arial" w:cs="Arial"/>
          <w:lang w:val="en-US" w:eastAsia="ja-JP"/>
        </w:rPr>
        <w:t xml:space="preserve">Are there particular aspects or areas of the AMHCC that should be </w:t>
      </w:r>
      <w:proofErr w:type="spellStart"/>
      <w:r w:rsidRPr="000E1543">
        <w:rPr>
          <w:rFonts w:ascii="Arial" w:hAnsi="Arial" w:cs="Arial"/>
          <w:lang w:val="en-US" w:eastAsia="ja-JP"/>
        </w:rPr>
        <w:t>prioriti</w:t>
      </w:r>
      <w:r w:rsidR="000E1543" w:rsidRPr="000E1543">
        <w:rPr>
          <w:rFonts w:ascii="Arial" w:hAnsi="Arial" w:cs="Arial"/>
          <w:lang w:val="en-US" w:eastAsia="ja-JP"/>
        </w:rPr>
        <w:t>s</w:t>
      </w:r>
      <w:r w:rsidRPr="000E1543">
        <w:rPr>
          <w:rFonts w:ascii="Arial" w:hAnsi="Arial" w:cs="Arial"/>
          <w:lang w:val="en-US" w:eastAsia="ja-JP"/>
        </w:rPr>
        <w:t>ed</w:t>
      </w:r>
      <w:proofErr w:type="spellEnd"/>
      <w:r w:rsidRPr="000E1543">
        <w:rPr>
          <w:rFonts w:ascii="Arial" w:hAnsi="Arial" w:cs="Arial"/>
          <w:lang w:val="en-US" w:eastAsia="ja-JP"/>
        </w:rPr>
        <w:t xml:space="preserve"> in its development</w:t>
      </w:r>
      <w:r w:rsidR="000E1543" w:rsidRPr="000E1543">
        <w:rPr>
          <w:rFonts w:ascii="Arial" w:hAnsi="Arial" w:cs="Arial"/>
          <w:lang w:val="en-US" w:eastAsia="ja-JP"/>
        </w:rPr>
        <w:t xml:space="preserve">, or aspects </w:t>
      </w:r>
      <w:r w:rsidRPr="000E1543">
        <w:rPr>
          <w:rFonts w:ascii="Arial" w:hAnsi="Arial" w:cs="Arial"/>
          <w:lang w:val="en-US" w:eastAsia="ja-JP"/>
        </w:rPr>
        <w:t>that should be developed at a later stage?</w:t>
      </w:r>
    </w:p>
    <w:p w:rsidR="00F62221" w:rsidRPr="00F62221" w:rsidRDefault="000E1543" w:rsidP="00F62221">
      <w:pPr>
        <w:pStyle w:val="ListParagraph"/>
        <w:keepNext/>
        <w:keepLines/>
        <w:numPr>
          <w:ilvl w:val="0"/>
          <w:numId w:val="4"/>
        </w:numPr>
        <w:pBdr>
          <w:top w:val="single" w:sz="4" w:space="1" w:color="004200" w:themeColor="text2"/>
          <w:left w:val="single" w:sz="4" w:space="4" w:color="004200" w:themeColor="text2"/>
          <w:bottom w:val="single" w:sz="4" w:space="1" w:color="004200" w:themeColor="text2"/>
          <w:right w:val="single" w:sz="4" w:space="4" w:color="004200" w:themeColor="text2"/>
        </w:pBdr>
        <w:ind w:left="357" w:hanging="357"/>
        <w:contextualSpacing w:val="0"/>
        <w:rPr>
          <w:rFonts w:ascii="Arial" w:hAnsi="Arial" w:cs="Arial"/>
          <w:lang w:val="en-US" w:eastAsia="ja-JP"/>
        </w:rPr>
      </w:pPr>
      <w:r>
        <w:rPr>
          <w:rFonts w:ascii="Arial" w:hAnsi="Arial" w:cs="Arial"/>
          <w:lang w:val="en-US" w:eastAsia="ja-JP"/>
        </w:rPr>
        <w:t>Are there any further considerations that should be taken into account when developing the AMHCC?</w:t>
      </w:r>
    </w:p>
    <w:sectPr w:rsidR="00F62221" w:rsidRPr="00F62221" w:rsidSect="00BB256D">
      <w:headerReference w:type="default" r:id="rId25"/>
      <w:footerReference w:type="default" r:id="rId26"/>
      <w:pgSz w:w="11906" w:h="16838"/>
      <w:pgMar w:top="158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941" w:rsidRDefault="007E6941" w:rsidP="006A55E0">
      <w:pPr>
        <w:spacing w:after="0" w:line="240" w:lineRule="auto"/>
      </w:pPr>
      <w:r>
        <w:separator/>
      </w:r>
    </w:p>
  </w:endnote>
  <w:endnote w:type="continuationSeparator" w:id="0">
    <w:p w:rsidR="007E6941" w:rsidRDefault="007E6941" w:rsidP="006A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41" w:rsidRDefault="007E6941" w:rsidP="004C15AD">
    <w:pPr>
      <w:pStyle w:val="Footer"/>
      <w:jc w:val="right"/>
    </w:pPr>
    <w:r>
      <w:t xml:space="preserve">Page </w:t>
    </w:r>
    <w:r>
      <w:fldChar w:fldCharType="begin"/>
    </w:r>
    <w:r>
      <w:instrText xml:space="preserve"> PAGE   \* MERGEFORMAT </w:instrText>
    </w:r>
    <w:r>
      <w:fldChar w:fldCharType="separate"/>
    </w:r>
    <w:r w:rsidR="00B26F52">
      <w:rPr>
        <w:noProof/>
      </w:rPr>
      <w:t>0</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B26F52">
      <w:rPr>
        <w:noProof/>
      </w:rPr>
      <w:t>0</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41" w:rsidRPr="00FB5C1E" w:rsidRDefault="007E6941" w:rsidP="00877BD5">
    <w:pPr>
      <w:pStyle w:val="Footer"/>
      <w:rPr>
        <w:sz w:val="18"/>
      </w:rPr>
    </w:pPr>
    <w:r w:rsidRPr="00FB5C1E">
      <w:rPr>
        <w:sz w:val="18"/>
      </w:rPr>
      <w:t>Independent Hospital Pricing Authority</w:t>
    </w:r>
    <w:r w:rsidRPr="00FB5C1E">
      <w:rPr>
        <w:sz w:val="18"/>
      </w:rPr>
      <w:tab/>
    </w:r>
    <w:r w:rsidRPr="00FB5C1E">
      <w:rPr>
        <w:sz w:val="18"/>
      </w:rPr>
      <w:tab/>
      <w:t xml:space="preserve">Page </w:t>
    </w:r>
    <w:r w:rsidRPr="00FB5C1E">
      <w:rPr>
        <w:sz w:val="18"/>
      </w:rPr>
      <w:fldChar w:fldCharType="begin"/>
    </w:r>
    <w:r w:rsidRPr="00FB5C1E">
      <w:rPr>
        <w:sz w:val="18"/>
      </w:rPr>
      <w:instrText xml:space="preserve"> PAGE   \* MERGEFORMAT </w:instrText>
    </w:r>
    <w:r w:rsidRPr="00FB5C1E">
      <w:rPr>
        <w:sz w:val="18"/>
      </w:rPr>
      <w:fldChar w:fldCharType="separate"/>
    </w:r>
    <w:r w:rsidR="00B26F52">
      <w:rPr>
        <w:noProof/>
        <w:sz w:val="18"/>
      </w:rPr>
      <w:t>32</w:t>
    </w:r>
    <w:r w:rsidRPr="00FB5C1E">
      <w:rPr>
        <w:noProof/>
        <w:sz w:val="18"/>
      </w:rPr>
      <w:fldChar w:fldCharType="end"/>
    </w:r>
    <w:r w:rsidRPr="00FB5C1E">
      <w:rPr>
        <w:noProof/>
        <w:sz w:val="18"/>
      </w:rPr>
      <w:t xml:space="preserve"> of </w:t>
    </w:r>
    <w:r w:rsidRPr="00FB5C1E">
      <w:rPr>
        <w:noProof/>
        <w:sz w:val="18"/>
      </w:rPr>
      <w:fldChar w:fldCharType="begin"/>
    </w:r>
    <w:r w:rsidRPr="00FB5C1E">
      <w:rPr>
        <w:noProof/>
        <w:sz w:val="18"/>
      </w:rPr>
      <w:instrText xml:space="preserve"> NUMPAGES  \* Arabic  \* MERGEFORMAT </w:instrText>
    </w:r>
    <w:r w:rsidRPr="00FB5C1E">
      <w:rPr>
        <w:noProof/>
        <w:sz w:val="18"/>
      </w:rPr>
      <w:fldChar w:fldCharType="separate"/>
    </w:r>
    <w:r w:rsidR="00B26F52">
      <w:rPr>
        <w:noProof/>
        <w:sz w:val="18"/>
      </w:rPr>
      <w:t>32</w:t>
    </w:r>
    <w:r w:rsidRPr="00FB5C1E">
      <w:rPr>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941" w:rsidRDefault="007E6941" w:rsidP="006A55E0">
      <w:pPr>
        <w:spacing w:after="0" w:line="240" w:lineRule="auto"/>
      </w:pPr>
      <w:r>
        <w:separator/>
      </w:r>
    </w:p>
  </w:footnote>
  <w:footnote w:type="continuationSeparator" w:id="0">
    <w:p w:rsidR="007E6941" w:rsidRDefault="007E6941" w:rsidP="006A55E0">
      <w:pPr>
        <w:spacing w:after="0" w:line="240" w:lineRule="auto"/>
      </w:pPr>
      <w:r>
        <w:continuationSeparator/>
      </w:r>
    </w:p>
  </w:footnote>
  <w:footnote w:id="1">
    <w:p w:rsidR="007E6941" w:rsidRPr="000D5A1E" w:rsidRDefault="007E6941" w:rsidP="008621B3">
      <w:pPr>
        <w:pStyle w:val="FootnoteText"/>
        <w:rPr>
          <w:rFonts w:asciiTheme="minorHAnsi" w:hAnsiTheme="minorHAnsi" w:cstheme="minorHAnsi"/>
          <w:sz w:val="18"/>
          <w:szCs w:val="18"/>
          <w:lang w:val="en-US"/>
        </w:rPr>
      </w:pPr>
      <w:r w:rsidRPr="000D5A1E">
        <w:rPr>
          <w:rStyle w:val="FootnoteReference"/>
          <w:rFonts w:asciiTheme="minorHAnsi" w:hAnsiTheme="minorHAnsi" w:cstheme="minorHAnsi"/>
          <w:sz w:val="18"/>
          <w:szCs w:val="18"/>
        </w:rPr>
        <w:footnoteRef/>
      </w:r>
      <w:r w:rsidRPr="000D5A1E">
        <w:rPr>
          <w:rFonts w:asciiTheme="minorHAnsi" w:hAnsiTheme="minorHAnsi" w:cstheme="minorHAnsi"/>
          <w:sz w:val="18"/>
          <w:szCs w:val="18"/>
        </w:rPr>
        <w:t xml:space="preserve"> </w:t>
      </w:r>
      <w:proofErr w:type="gramStart"/>
      <w:r w:rsidRPr="008621B3">
        <w:rPr>
          <w:rFonts w:asciiTheme="minorHAnsi" w:hAnsiTheme="minorHAnsi" w:cstheme="minorHAnsi"/>
          <w:sz w:val="18"/>
          <w:szCs w:val="18"/>
          <w:lang w:val="en-US"/>
        </w:rPr>
        <w:t>Mason</w:t>
      </w:r>
      <w:r>
        <w:rPr>
          <w:rFonts w:asciiTheme="minorHAnsi" w:hAnsiTheme="minorHAnsi" w:cstheme="minorHAnsi"/>
          <w:sz w:val="18"/>
          <w:szCs w:val="18"/>
          <w:lang w:val="en-US"/>
        </w:rPr>
        <w:t>,</w:t>
      </w:r>
      <w:r w:rsidRPr="008621B3">
        <w:rPr>
          <w:rFonts w:asciiTheme="minorHAnsi" w:hAnsiTheme="minorHAnsi" w:cstheme="minorHAnsi"/>
          <w:sz w:val="18"/>
          <w:szCs w:val="18"/>
          <w:lang w:val="en-US"/>
        </w:rPr>
        <w:t xml:space="preserve"> A, Goddard</w:t>
      </w:r>
      <w:r>
        <w:rPr>
          <w:rFonts w:asciiTheme="minorHAnsi" w:hAnsiTheme="minorHAnsi" w:cstheme="minorHAnsi"/>
          <w:sz w:val="18"/>
          <w:szCs w:val="18"/>
          <w:lang w:val="en-US"/>
        </w:rPr>
        <w:t>,</w:t>
      </w:r>
      <w:r w:rsidRPr="008621B3">
        <w:rPr>
          <w:rFonts w:asciiTheme="minorHAnsi" w:hAnsiTheme="minorHAnsi" w:cstheme="minorHAnsi"/>
          <w:sz w:val="18"/>
          <w:szCs w:val="18"/>
          <w:lang w:val="en-US"/>
        </w:rPr>
        <w:t xml:space="preserve"> M, Myers</w:t>
      </w:r>
      <w:r>
        <w:rPr>
          <w:rFonts w:asciiTheme="minorHAnsi" w:hAnsiTheme="minorHAnsi" w:cstheme="minorHAnsi"/>
          <w:sz w:val="18"/>
          <w:szCs w:val="18"/>
          <w:lang w:val="en-US"/>
        </w:rPr>
        <w:t>,</w:t>
      </w:r>
      <w:r w:rsidRPr="008621B3">
        <w:rPr>
          <w:rFonts w:asciiTheme="minorHAnsi" w:hAnsiTheme="minorHAnsi" w:cstheme="minorHAnsi"/>
          <w:sz w:val="18"/>
          <w:szCs w:val="18"/>
          <w:lang w:val="en-US"/>
        </w:rPr>
        <w:t xml:space="preserve"> L, </w:t>
      </w:r>
      <w:proofErr w:type="spellStart"/>
      <w:r w:rsidRPr="008621B3">
        <w:rPr>
          <w:rFonts w:asciiTheme="minorHAnsi" w:hAnsiTheme="minorHAnsi" w:cstheme="minorHAnsi"/>
          <w:sz w:val="18"/>
          <w:szCs w:val="18"/>
          <w:lang w:val="en-US"/>
        </w:rPr>
        <w:t>Verzulli</w:t>
      </w:r>
      <w:proofErr w:type="spellEnd"/>
      <w:r w:rsidRPr="008621B3">
        <w:rPr>
          <w:rFonts w:asciiTheme="minorHAnsi" w:hAnsiTheme="minorHAnsi" w:cstheme="minorHAnsi"/>
          <w:sz w:val="18"/>
          <w:szCs w:val="18"/>
          <w:lang w:val="en-US"/>
        </w:rPr>
        <w:t xml:space="preserve"> R</w:t>
      </w:r>
      <w:r>
        <w:rPr>
          <w:rFonts w:asciiTheme="minorHAnsi" w:hAnsiTheme="minorHAnsi" w:cstheme="minorHAnsi"/>
          <w:sz w:val="18"/>
          <w:szCs w:val="18"/>
          <w:lang w:val="en-US"/>
        </w:rPr>
        <w:t xml:space="preserve"> 2011, ‘</w:t>
      </w:r>
      <w:r w:rsidRPr="008621B3">
        <w:rPr>
          <w:rFonts w:asciiTheme="minorHAnsi" w:hAnsiTheme="minorHAnsi" w:cstheme="minorHAnsi"/>
          <w:sz w:val="18"/>
          <w:szCs w:val="18"/>
          <w:lang w:val="en-US"/>
        </w:rPr>
        <w:t>Navigating uncharted waters?</w:t>
      </w:r>
      <w:proofErr w:type="gramEnd"/>
      <w:r w:rsidRPr="008621B3">
        <w:rPr>
          <w:rFonts w:asciiTheme="minorHAnsi" w:hAnsiTheme="minorHAnsi" w:cstheme="minorHAnsi"/>
          <w:sz w:val="18"/>
          <w:szCs w:val="18"/>
          <w:lang w:val="en-US"/>
        </w:rPr>
        <w:t xml:space="preserve"> </w:t>
      </w:r>
      <w:proofErr w:type="gramStart"/>
      <w:r w:rsidRPr="008621B3">
        <w:rPr>
          <w:rFonts w:asciiTheme="minorHAnsi" w:hAnsiTheme="minorHAnsi" w:cstheme="minorHAnsi"/>
          <w:sz w:val="18"/>
          <w:szCs w:val="18"/>
          <w:lang w:val="en-US"/>
        </w:rPr>
        <w:t>How international experience can inform the funding of</w:t>
      </w:r>
      <w:r>
        <w:rPr>
          <w:rFonts w:asciiTheme="minorHAnsi" w:hAnsiTheme="minorHAnsi" w:cstheme="minorHAnsi"/>
          <w:sz w:val="18"/>
          <w:szCs w:val="18"/>
          <w:lang w:val="en-US"/>
        </w:rPr>
        <w:t xml:space="preserve"> mental health care in England’, </w:t>
      </w:r>
      <w:r w:rsidRPr="00123D10">
        <w:rPr>
          <w:rFonts w:asciiTheme="minorHAnsi" w:hAnsiTheme="minorHAnsi" w:cstheme="minorHAnsi"/>
          <w:i/>
          <w:sz w:val="18"/>
          <w:szCs w:val="18"/>
          <w:lang w:val="en-US"/>
        </w:rPr>
        <w:t>Journal of Mental Health</w:t>
      </w:r>
      <w:r>
        <w:rPr>
          <w:rFonts w:asciiTheme="minorHAnsi" w:hAnsiTheme="minorHAnsi" w:cstheme="minorHAnsi"/>
          <w:sz w:val="18"/>
          <w:szCs w:val="18"/>
          <w:lang w:val="en-US"/>
        </w:rPr>
        <w:t>, vol. 20, no. 3, pp. 234-48</w:t>
      </w:r>
      <w:r w:rsidRPr="000D5A1E">
        <w:rPr>
          <w:rFonts w:asciiTheme="minorHAnsi" w:hAnsiTheme="minorHAnsi" w:cstheme="minorHAnsi"/>
          <w:sz w:val="18"/>
          <w:szCs w:val="18"/>
          <w:lang w:val="en-US"/>
        </w:rPr>
        <w:t>.</w:t>
      </w:r>
      <w:proofErr w:type="gramEnd"/>
    </w:p>
  </w:footnote>
  <w:footnote w:id="2">
    <w:p w:rsidR="007E6941" w:rsidRPr="000D5A1E" w:rsidRDefault="007E6941" w:rsidP="008621B3">
      <w:pPr>
        <w:pStyle w:val="FootnoteText"/>
        <w:rPr>
          <w:rFonts w:asciiTheme="minorHAnsi" w:hAnsiTheme="minorHAnsi" w:cstheme="minorHAnsi"/>
          <w:sz w:val="18"/>
          <w:szCs w:val="18"/>
          <w:lang w:val="en-US"/>
        </w:rPr>
      </w:pPr>
      <w:r w:rsidRPr="000D5A1E">
        <w:rPr>
          <w:rStyle w:val="FootnoteReference"/>
          <w:rFonts w:asciiTheme="minorHAnsi" w:hAnsiTheme="minorHAnsi" w:cstheme="minorHAnsi"/>
          <w:sz w:val="18"/>
          <w:szCs w:val="18"/>
        </w:rPr>
        <w:footnoteRef/>
      </w:r>
      <w:r w:rsidRPr="000D5A1E">
        <w:rPr>
          <w:rFonts w:asciiTheme="minorHAnsi" w:hAnsiTheme="minorHAnsi" w:cstheme="minorHAnsi"/>
          <w:sz w:val="18"/>
          <w:szCs w:val="18"/>
        </w:rPr>
        <w:t xml:space="preserve"> </w:t>
      </w:r>
      <w:r>
        <w:rPr>
          <w:rFonts w:asciiTheme="minorHAnsi" w:hAnsiTheme="minorHAnsi" w:cstheme="minorHAnsi"/>
          <w:sz w:val="18"/>
          <w:szCs w:val="18"/>
        </w:rPr>
        <w:t xml:space="preserve">Gaines, P, Bower, A, Buckingham, B, Eagar, E, Burgess, P, Green, J 2003, </w:t>
      </w:r>
      <w:r w:rsidRPr="00123D10">
        <w:rPr>
          <w:rFonts w:asciiTheme="minorHAnsi" w:hAnsiTheme="minorHAnsi" w:cstheme="minorHAnsi"/>
          <w:i/>
          <w:sz w:val="18"/>
          <w:szCs w:val="18"/>
        </w:rPr>
        <w:t>New Zealand Mental Health Classification and Outcomes Study: Final Report</w:t>
      </w:r>
      <w:r w:rsidRPr="000D5A1E">
        <w:rPr>
          <w:rFonts w:asciiTheme="minorHAnsi" w:hAnsiTheme="minorHAnsi" w:cstheme="minorHAnsi"/>
          <w:sz w:val="18"/>
          <w:szCs w:val="18"/>
        </w:rPr>
        <w:t xml:space="preserve">, </w:t>
      </w:r>
      <w:r w:rsidRPr="008621B3">
        <w:rPr>
          <w:rFonts w:asciiTheme="minorHAnsi" w:hAnsiTheme="minorHAnsi" w:cstheme="minorHAnsi"/>
          <w:sz w:val="18"/>
          <w:szCs w:val="18"/>
        </w:rPr>
        <w:t xml:space="preserve">Health </w:t>
      </w:r>
      <w:r>
        <w:rPr>
          <w:rFonts w:asciiTheme="minorHAnsi" w:hAnsiTheme="minorHAnsi" w:cstheme="minorHAnsi"/>
          <w:sz w:val="18"/>
          <w:szCs w:val="18"/>
        </w:rPr>
        <w:t xml:space="preserve">Research Council of New Zealand, </w:t>
      </w:r>
      <w:r w:rsidRPr="008621B3">
        <w:rPr>
          <w:rFonts w:asciiTheme="minorHAnsi" w:hAnsiTheme="minorHAnsi" w:cstheme="minorHAnsi"/>
          <w:sz w:val="18"/>
          <w:szCs w:val="18"/>
        </w:rPr>
        <w:t xml:space="preserve">Auckland, </w:t>
      </w:r>
      <w:r w:rsidRPr="000D5A1E">
        <w:rPr>
          <w:rFonts w:asciiTheme="minorHAnsi" w:hAnsiTheme="minorHAnsi" w:cstheme="minorHAnsi"/>
          <w:sz w:val="18"/>
          <w:szCs w:val="18"/>
        </w:rPr>
        <w:t>p</w:t>
      </w:r>
      <w:r>
        <w:rPr>
          <w:rFonts w:asciiTheme="minorHAnsi" w:hAnsiTheme="minorHAnsi" w:cstheme="minorHAnsi"/>
          <w:sz w:val="18"/>
          <w:szCs w:val="18"/>
        </w:rPr>
        <w:t>. </w:t>
      </w:r>
      <w:r w:rsidRPr="000D5A1E">
        <w:rPr>
          <w:rFonts w:asciiTheme="minorHAnsi" w:hAnsiTheme="minorHAnsi" w:cstheme="minorHAnsi"/>
          <w:sz w:val="18"/>
          <w:szCs w:val="18"/>
        </w:rPr>
        <w:t>118</w:t>
      </w:r>
      <w:r>
        <w:rPr>
          <w:rFonts w:asciiTheme="minorHAnsi" w:hAnsiTheme="minorHAnsi" w:cstheme="minorHAnsi"/>
          <w:sz w:val="18"/>
          <w:szCs w:val="18"/>
        </w:rPr>
        <w:t>.</w:t>
      </w:r>
    </w:p>
  </w:footnote>
  <w:footnote w:id="3">
    <w:p w:rsidR="007E6941" w:rsidRPr="000D5A1E" w:rsidRDefault="007E6941" w:rsidP="008621B3">
      <w:pPr>
        <w:pStyle w:val="FootnoteText"/>
        <w:spacing w:before="40" w:after="40"/>
        <w:rPr>
          <w:rFonts w:asciiTheme="minorHAnsi" w:hAnsiTheme="minorHAnsi" w:cstheme="minorHAnsi"/>
          <w:sz w:val="18"/>
          <w:szCs w:val="18"/>
        </w:rPr>
      </w:pPr>
      <w:r w:rsidRPr="000D5A1E">
        <w:rPr>
          <w:rStyle w:val="FootnoteReference"/>
          <w:rFonts w:asciiTheme="minorHAnsi" w:hAnsiTheme="minorHAnsi" w:cstheme="minorHAnsi"/>
          <w:sz w:val="18"/>
          <w:szCs w:val="18"/>
        </w:rPr>
        <w:footnoteRef/>
      </w:r>
      <w:r w:rsidRPr="000D5A1E">
        <w:rPr>
          <w:rFonts w:asciiTheme="minorHAnsi" w:hAnsiTheme="minorHAnsi" w:cstheme="minorHAnsi"/>
          <w:sz w:val="18"/>
          <w:szCs w:val="18"/>
        </w:rPr>
        <w:t xml:space="preserve"> </w:t>
      </w:r>
      <w:proofErr w:type="spellStart"/>
      <w:r w:rsidRPr="008621B3">
        <w:rPr>
          <w:rFonts w:asciiTheme="minorHAnsi" w:hAnsiTheme="minorHAnsi" w:cstheme="minorHAnsi"/>
          <w:sz w:val="18"/>
          <w:szCs w:val="18"/>
        </w:rPr>
        <w:t>Saxena</w:t>
      </w:r>
      <w:proofErr w:type="spellEnd"/>
      <w:r w:rsidRPr="008621B3">
        <w:rPr>
          <w:rFonts w:asciiTheme="minorHAnsi" w:hAnsiTheme="minorHAnsi" w:cstheme="minorHAnsi"/>
          <w:sz w:val="18"/>
          <w:szCs w:val="18"/>
        </w:rPr>
        <w:t xml:space="preserve">, </w:t>
      </w:r>
      <w:r>
        <w:rPr>
          <w:rFonts w:asciiTheme="minorHAnsi" w:hAnsiTheme="minorHAnsi" w:cstheme="minorHAnsi"/>
          <w:sz w:val="18"/>
          <w:szCs w:val="18"/>
        </w:rPr>
        <w:t>S</w:t>
      </w:r>
      <w:r w:rsidRPr="008621B3">
        <w:rPr>
          <w:rFonts w:asciiTheme="minorHAnsi" w:hAnsiTheme="minorHAnsi" w:cstheme="minorHAnsi"/>
          <w:sz w:val="18"/>
          <w:szCs w:val="18"/>
        </w:rPr>
        <w:t xml:space="preserve">, Esparza, P, </w:t>
      </w:r>
      <w:proofErr w:type="spellStart"/>
      <w:r w:rsidRPr="008621B3">
        <w:rPr>
          <w:rFonts w:asciiTheme="minorHAnsi" w:hAnsiTheme="minorHAnsi" w:cstheme="minorHAnsi"/>
          <w:sz w:val="18"/>
          <w:szCs w:val="18"/>
        </w:rPr>
        <w:t>Regier</w:t>
      </w:r>
      <w:proofErr w:type="spellEnd"/>
      <w:r w:rsidRPr="008621B3">
        <w:rPr>
          <w:rFonts w:asciiTheme="minorHAnsi" w:hAnsiTheme="minorHAnsi" w:cstheme="minorHAnsi"/>
          <w:sz w:val="18"/>
          <w:szCs w:val="18"/>
        </w:rPr>
        <w:t xml:space="preserve">, </w:t>
      </w:r>
      <w:r>
        <w:rPr>
          <w:rFonts w:asciiTheme="minorHAnsi" w:hAnsiTheme="minorHAnsi" w:cstheme="minorHAnsi"/>
          <w:sz w:val="18"/>
          <w:szCs w:val="18"/>
        </w:rPr>
        <w:t>DA</w:t>
      </w:r>
      <w:r w:rsidRPr="008621B3">
        <w:rPr>
          <w:rFonts w:asciiTheme="minorHAnsi" w:hAnsiTheme="minorHAnsi" w:cstheme="minorHAnsi"/>
          <w:sz w:val="18"/>
          <w:szCs w:val="18"/>
        </w:rPr>
        <w:t xml:space="preserve">, </w:t>
      </w:r>
      <w:proofErr w:type="spellStart"/>
      <w:r w:rsidRPr="008621B3">
        <w:rPr>
          <w:rFonts w:asciiTheme="minorHAnsi" w:hAnsiTheme="minorHAnsi" w:cstheme="minorHAnsi"/>
          <w:sz w:val="18"/>
          <w:szCs w:val="18"/>
        </w:rPr>
        <w:t>Saraceno</w:t>
      </w:r>
      <w:proofErr w:type="spellEnd"/>
      <w:r w:rsidRPr="008621B3">
        <w:rPr>
          <w:rFonts w:asciiTheme="minorHAnsi" w:hAnsiTheme="minorHAnsi" w:cstheme="minorHAnsi"/>
          <w:sz w:val="18"/>
          <w:szCs w:val="18"/>
        </w:rPr>
        <w:t>,</w:t>
      </w:r>
      <w:r>
        <w:rPr>
          <w:rFonts w:asciiTheme="minorHAnsi" w:hAnsiTheme="minorHAnsi" w:cstheme="minorHAnsi"/>
          <w:sz w:val="18"/>
          <w:szCs w:val="18"/>
        </w:rPr>
        <w:t xml:space="preserve"> B, </w:t>
      </w:r>
      <w:r w:rsidRPr="008621B3">
        <w:rPr>
          <w:rFonts w:asciiTheme="minorHAnsi" w:hAnsiTheme="minorHAnsi" w:cstheme="minorHAnsi"/>
          <w:sz w:val="18"/>
          <w:szCs w:val="18"/>
        </w:rPr>
        <w:t>Sartorius</w:t>
      </w:r>
      <w:r>
        <w:rPr>
          <w:rFonts w:asciiTheme="minorHAnsi" w:hAnsiTheme="minorHAnsi" w:cstheme="minorHAnsi"/>
          <w:sz w:val="18"/>
          <w:szCs w:val="18"/>
        </w:rPr>
        <w:t xml:space="preserve"> N (</w:t>
      </w:r>
      <w:proofErr w:type="spellStart"/>
      <w:r>
        <w:rPr>
          <w:rFonts w:asciiTheme="minorHAnsi" w:hAnsiTheme="minorHAnsi" w:cstheme="minorHAnsi"/>
          <w:sz w:val="18"/>
          <w:szCs w:val="18"/>
        </w:rPr>
        <w:t>eds</w:t>
      </w:r>
      <w:proofErr w:type="spellEnd"/>
      <w:r>
        <w:rPr>
          <w:rFonts w:asciiTheme="minorHAnsi" w:hAnsiTheme="minorHAnsi" w:cstheme="minorHAnsi"/>
          <w:sz w:val="18"/>
          <w:szCs w:val="18"/>
        </w:rPr>
        <w:t xml:space="preserve">) 2012, </w:t>
      </w:r>
      <w:r w:rsidRPr="00123D10">
        <w:rPr>
          <w:rFonts w:asciiTheme="minorHAnsi" w:hAnsiTheme="minorHAnsi" w:cstheme="minorHAnsi"/>
          <w:i/>
          <w:sz w:val="18"/>
          <w:szCs w:val="18"/>
        </w:rPr>
        <w:t xml:space="preserve">Public Health Aspects of Diagnosis and Classification of Mental and </w:t>
      </w:r>
      <w:proofErr w:type="spellStart"/>
      <w:r w:rsidRPr="00123D10">
        <w:rPr>
          <w:rFonts w:asciiTheme="minorHAnsi" w:hAnsiTheme="minorHAnsi" w:cstheme="minorHAnsi"/>
          <w:i/>
          <w:sz w:val="18"/>
          <w:szCs w:val="18"/>
        </w:rPr>
        <w:t>Behavioral</w:t>
      </w:r>
      <w:proofErr w:type="spellEnd"/>
      <w:r w:rsidRPr="00123D10">
        <w:rPr>
          <w:rFonts w:asciiTheme="minorHAnsi" w:hAnsiTheme="minorHAnsi" w:cstheme="minorHAnsi"/>
          <w:i/>
          <w:sz w:val="18"/>
          <w:szCs w:val="18"/>
        </w:rPr>
        <w:t xml:space="preserve"> Disorders: Refining the Research Agenda for DSM-5 and ICD-11</w:t>
      </w:r>
      <w:r>
        <w:rPr>
          <w:rFonts w:asciiTheme="minorHAnsi" w:hAnsiTheme="minorHAnsi" w:cstheme="minorHAnsi"/>
          <w:sz w:val="18"/>
          <w:szCs w:val="18"/>
        </w:rPr>
        <w:t xml:space="preserve">, American Psychiatric Publishing, Virginia, </w:t>
      </w:r>
      <w:r w:rsidRPr="000D5A1E">
        <w:rPr>
          <w:rFonts w:asciiTheme="minorHAnsi" w:hAnsiTheme="minorHAnsi" w:cstheme="minorHAnsi"/>
          <w:sz w:val="18"/>
          <w:szCs w:val="18"/>
        </w:rPr>
        <w:t>p</w:t>
      </w:r>
      <w:r>
        <w:rPr>
          <w:rFonts w:asciiTheme="minorHAnsi" w:hAnsiTheme="minorHAnsi" w:cstheme="minorHAnsi"/>
          <w:sz w:val="18"/>
          <w:szCs w:val="18"/>
        </w:rPr>
        <w:t>. </w:t>
      </w:r>
      <w:r w:rsidRPr="000D5A1E">
        <w:rPr>
          <w:rFonts w:asciiTheme="minorHAnsi" w:hAnsiTheme="minorHAnsi" w:cstheme="minorHAnsi"/>
          <w:sz w:val="18"/>
          <w:szCs w:val="18"/>
        </w:rPr>
        <w:t>219</w:t>
      </w:r>
      <w:r>
        <w:rPr>
          <w:rFonts w:asciiTheme="minorHAnsi" w:hAnsiTheme="minorHAnsi" w:cstheme="minorHAnsi"/>
          <w:sz w:val="18"/>
          <w:szCs w:val="18"/>
        </w:rPr>
        <w:t>.</w:t>
      </w:r>
    </w:p>
  </w:footnote>
  <w:footnote w:id="4">
    <w:p w:rsidR="007E6941" w:rsidRPr="000D5A1E" w:rsidRDefault="007E6941" w:rsidP="00902DC8">
      <w:pPr>
        <w:pStyle w:val="FootnoteText"/>
        <w:spacing w:before="40" w:after="40"/>
        <w:rPr>
          <w:rFonts w:asciiTheme="minorHAnsi" w:hAnsiTheme="minorHAnsi" w:cstheme="minorHAnsi"/>
          <w:sz w:val="18"/>
          <w:szCs w:val="18"/>
        </w:rPr>
      </w:pPr>
      <w:r w:rsidRPr="000D5A1E">
        <w:rPr>
          <w:rStyle w:val="FootnoteReference"/>
          <w:rFonts w:asciiTheme="minorHAnsi" w:hAnsiTheme="minorHAnsi" w:cstheme="minorHAnsi"/>
          <w:sz w:val="18"/>
          <w:szCs w:val="18"/>
        </w:rPr>
        <w:footnoteRef/>
      </w:r>
      <w:r w:rsidRPr="000D5A1E">
        <w:rPr>
          <w:rFonts w:asciiTheme="minorHAnsi" w:hAnsiTheme="minorHAnsi" w:cstheme="minorHAnsi"/>
          <w:sz w:val="18"/>
          <w:szCs w:val="18"/>
        </w:rPr>
        <w:t xml:space="preserve"> </w:t>
      </w:r>
      <w:r>
        <w:rPr>
          <w:rFonts w:asciiTheme="minorHAnsi" w:hAnsiTheme="minorHAnsi" w:cstheme="minorHAnsi"/>
          <w:sz w:val="18"/>
          <w:szCs w:val="18"/>
        </w:rPr>
        <w:t xml:space="preserve">Federal Register 2014, </w:t>
      </w:r>
      <w:r w:rsidRPr="00123D10">
        <w:rPr>
          <w:rFonts w:asciiTheme="minorHAnsi" w:hAnsiTheme="minorHAnsi" w:cstheme="minorHAnsi"/>
          <w:i/>
          <w:sz w:val="18"/>
          <w:szCs w:val="18"/>
        </w:rPr>
        <w:t>Medicare Program; Inpatient Psychiatric Facilities Prospective Payment System-Update for Fiscal Year Beginning October 1, 2014 (FY 2015)</w:t>
      </w:r>
      <w:r>
        <w:rPr>
          <w:rFonts w:asciiTheme="minorHAnsi" w:hAnsiTheme="minorHAnsi" w:cstheme="minorHAnsi"/>
          <w:sz w:val="18"/>
          <w:szCs w:val="18"/>
        </w:rPr>
        <w:t xml:space="preserve">, vol. 79, no. 151, Washington, viewed 10 December 2013, </w:t>
      </w:r>
      <w:r w:rsidRPr="009F1E90">
        <w:rPr>
          <w:rFonts w:asciiTheme="minorHAnsi" w:hAnsiTheme="minorHAnsi" w:cstheme="minorHAnsi"/>
          <w:sz w:val="18"/>
          <w:szCs w:val="18"/>
        </w:rPr>
        <w:t>http://www.gpo.gov/fdsys/pkg/FR-2014-08-06/pdf/2014-18329.pdf</w:t>
      </w:r>
    </w:p>
  </w:footnote>
  <w:footnote w:id="5">
    <w:p w:rsidR="007E6941" w:rsidRPr="000D5A1E" w:rsidRDefault="007E6941" w:rsidP="000D5A1E">
      <w:pPr>
        <w:pStyle w:val="FootnoteText"/>
        <w:rPr>
          <w:rFonts w:asciiTheme="minorHAnsi" w:hAnsiTheme="minorHAnsi" w:cstheme="minorHAnsi"/>
          <w:sz w:val="18"/>
          <w:szCs w:val="18"/>
          <w:lang w:val="en-US"/>
        </w:rPr>
      </w:pPr>
      <w:r w:rsidRPr="000D5A1E">
        <w:rPr>
          <w:rStyle w:val="FootnoteReference"/>
          <w:rFonts w:asciiTheme="minorHAnsi" w:hAnsiTheme="minorHAnsi" w:cstheme="minorHAnsi"/>
          <w:sz w:val="18"/>
          <w:szCs w:val="18"/>
        </w:rPr>
        <w:footnoteRef/>
      </w:r>
      <w:r w:rsidRPr="000D5A1E">
        <w:rPr>
          <w:rFonts w:asciiTheme="minorHAnsi" w:hAnsiTheme="minorHAnsi" w:cstheme="minorHAnsi"/>
          <w:sz w:val="18"/>
          <w:szCs w:val="18"/>
        </w:rPr>
        <w:t xml:space="preserve"> </w:t>
      </w:r>
      <w:r w:rsidRPr="000D5A1E">
        <w:rPr>
          <w:rFonts w:asciiTheme="minorHAnsi" w:hAnsiTheme="minorHAnsi" w:cstheme="minorHAnsi"/>
          <w:sz w:val="18"/>
          <w:szCs w:val="18"/>
          <w:lang w:val="en-US"/>
        </w:rPr>
        <w:t>Buckingham</w:t>
      </w:r>
      <w:r>
        <w:rPr>
          <w:rFonts w:asciiTheme="minorHAnsi" w:hAnsiTheme="minorHAnsi" w:cstheme="minorHAnsi"/>
          <w:sz w:val="18"/>
          <w:szCs w:val="18"/>
          <w:lang w:val="en-US"/>
        </w:rPr>
        <w:t>,</w:t>
      </w:r>
      <w:r w:rsidRPr="000D5A1E">
        <w:rPr>
          <w:rFonts w:asciiTheme="minorHAnsi" w:hAnsiTheme="minorHAnsi" w:cstheme="minorHAnsi"/>
          <w:sz w:val="18"/>
          <w:szCs w:val="18"/>
          <w:lang w:val="en-US"/>
        </w:rPr>
        <w:t xml:space="preserve"> W, Burgess</w:t>
      </w:r>
      <w:r>
        <w:rPr>
          <w:rFonts w:asciiTheme="minorHAnsi" w:hAnsiTheme="minorHAnsi" w:cstheme="minorHAnsi"/>
          <w:sz w:val="18"/>
          <w:szCs w:val="18"/>
          <w:lang w:val="en-US"/>
        </w:rPr>
        <w:t>,</w:t>
      </w:r>
      <w:r w:rsidRPr="000D5A1E">
        <w:rPr>
          <w:rFonts w:asciiTheme="minorHAnsi" w:hAnsiTheme="minorHAnsi" w:cstheme="minorHAnsi"/>
          <w:sz w:val="18"/>
          <w:szCs w:val="18"/>
          <w:lang w:val="en-US"/>
        </w:rPr>
        <w:t xml:space="preserve"> P, Solomon</w:t>
      </w:r>
      <w:r>
        <w:rPr>
          <w:rFonts w:asciiTheme="minorHAnsi" w:hAnsiTheme="minorHAnsi" w:cstheme="minorHAnsi"/>
          <w:sz w:val="18"/>
          <w:szCs w:val="18"/>
          <w:lang w:val="en-US"/>
        </w:rPr>
        <w:t>,</w:t>
      </w:r>
      <w:r w:rsidRPr="000D5A1E">
        <w:rPr>
          <w:rFonts w:asciiTheme="minorHAnsi" w:hAnsiTheme="minorHAnsi" w:cstheme="minorHAnsi"/>
          <w:sz w:val="18"/>
          <w:szCs w:val="18"/>
          <w:lang w:val="en-US"/>
        </w:rPr>
        <w:t xml:space="preserve"> S, </w:t>
      </w:r>
      <w:proofErr w:type="spellStart"/>
      <w:r w:rsidRPr="000D5A1E">
        <w:rPr>
          <w:rFonts w:asciiTheme="minorHAnsi" w:hAnsiTheme="minorHAnsi" w:cstheme="minorHAnsi"/>
          <w:sz w:val="18"/>
          <w:szCs w:val="18"/>
          <w:lang w:val="en-US"/>
        </w:rPr>
        <w:t>Pirkis</w:t>
      </w:r>
      <w:proofErr w:type="spellEnd"/>
      <w:r>
        <w:rPr>
          <w:rFonts w:asciiTheme="minorHAnsi" w:hAnsiTheme="minorHAnsi" w:cstheme="minorHAnsi"/>
          <w:sz w:val="18"/>
          <w:szCs w:val="18"/>
          <w:lang w:val="en-US"/>
        </w:rPr>
        <w:t>,</w:t>
      </w:r>
      <w:r w:rsidRPr="000D5A1E">
        <w:rPr>
          <w:rFonts w:asciiTheme="minorHAnsi" w:hAnsiTheme="minorHAnsi" w:cstheme="minorHAnsi"/>
          <w:sz w:val="18"/>
          <w:szCs w:val="18"/>
          <w:lang w:val="en-US"/>
        </w:rPr>
        <w:t xml:space="preserve"> J</w:t>
      </w:r>
      <w:r>
        <w:rPr>
          <w:rFonts w:asciiTheme="minorHAnsi" w:hAnsiTheme="minorHAnsi" w:cstheme="minorHAnsi"/>
          <w:sz w:val="18"/>
          <w:szCs w:val="18"/>
          <w:lang w:val="en-US"/>
        </w:rPr>
        <w:t>,</w:t>
      </w:r>
      <w:r w:rsidRPr="000D5A1E">
        <w:rPr>
          <w:rFonts w:asciiTheme="minorHAnsi" w:hAnsiTheme="minorHAnsi" w:cstheme="minorHAnsi"/>
          <w:sz w:val="18"/>
          <w:szCs w:val="18"/>
          <w:lang w:val="en-US"/>
        </w:rPr>
        <w:t xml:space="preserve"> Eagar</w:t>
      </w:r>
      <w:r>
        <w:rPr>
          <w:rFonts w:asciiTheme="minorHAnsi" w:hAnsiTheme="minorHAnsi" w:cstheme="minorHAnsi"/>
          <w:sz w:val="18"/>
          <w:szCs w:val="18"/>
          <w:lang w:val="en-US"/>
        </w:rPr>
        <w:t>,</w:t>
      </w:r>
      <w:r w:rsidRPr="000D5A1E">
        <w:rPr>
          <w:rFonts w:asciiTheme="minorHAnsi" w:hAnsiTheme="minorHAnsi" w:cstheme="minorHAnsi"/>
          <w:sz w:val="18"/>
          <w:szCs w:val="18"/>
          <w:lang w:val="en-US"/>
        </w:rPr>
        <w:t xml:space="preserve"> K</w:t>
      </w:r>
      <w:r>
        <w:rPr>
          <w:rFonts w:asciiTheme="minorHAnsi" w:hAnsiTheme="minorHAnsi" w:cstheme="minorHAnsi"/>
          <w:sz w:val="18"/>
          <w:szCs w:val="18"/>
          <w:lang w:val="en-US"/>
        </w:rPr>
        <w:t xml:space="preserve"> </w:t>
      </w:r>
      <w:r w:rsidRPr="000D5A1E">
        <w:rPr>
          <w:rFonts w:asciiTheme="minorHAnsi" w:hAnsiTheme="minorHAnsi" w:cstheme="minorHAnsi"/>
          <w:sz w:val="18"/>
          <w:szCs w:val="18"/>
          <w:lang w:val="en-US"/>
        </w:rPr>
        <w:t>1998</w:t>
      </w:r>
      <w:r>
        <w:rPr>
          <w:rFonts w:asciiTheme="minorHAnsi" w:hAnsiTheme="minorHAnsi" w:cstheme="minorHAnsi"/>
          <w:sz w:val="18"/>
          <w:szCs w:val="18"/>
          <w:lang w:val="en-US"/>
        </w:rPr>
        <w:t>,</w:t>
      </w:r>
      <w:r w:rsidRPr="000D5A1E">
        <w:rPr>
          <w:rFonts w:asciiTheme="minorHAnsi" w:hAnsiTheme="minorHAnsi" w:cstheme="minorHAnsi"/>
          <w:sz w:val="18"/>
          <w:szCs w:val="18"/>
          <w:lang w:val="en-US"/>
        </w:rPr>
        <w:t xml:space="preserve"> </w:t>
      </w:r>
      <w:r w:rsidRPr="009F1E90">
        <w:rPr>
          <w:rFonts w:asciiTheme="minorHAnsi" w:hAnsiTheme="minorHAnsi" w:cstheme="minorHAnsi"/>
          <w:i/>
          <w:sz w:val="18"/>
          <w:szCs w:val="18"/>
          <w:lang w:val="en-US"/>
        </w:rPr>
        <w:t xml:space="preserve">Developing a </w:t>
      </w:r>
      <w:proofErr w:type="spellStart"/>
      <w:r w:rsidRPr="009F1E90">
        <w:rPr>
          <w:rFonts w:asciiTheme="minorHAnsi" w:hAnsiTheme="minorHAnsi" w:cstheme="minorHAnsi"/>
          <w:i/>
          <w:sz w:val="18"/>
          <w:szCs w:val="18"/>
          <w:lang w:val="en-US"/>
        </w:rPr>
        <w:t>Casemix</w:t>
      </w:r>
      <w:proofErr w:type="spellEnd"/>
      <w:r w:rsidRPr="009F1E90">
        <w:rPr>
          <w:rFonts w:asciiTheme="minorHAnsi" w:hAnsiTheme="minorHAnsi" w:cstheme="minorHAnsi"/>
          <w:i/>
          <w:sz w:val="18"/>
          <w:szCs w:val="18"/>
          <w:lang w:val="en-US"/>
        </w:rPr>
        <w:t xml:space="preserve"> Classification for Mental Health Services: Summary</w:t>
      </w:r>
      <w:r>
        <w:rPr>
          <w:rFonts w:asciiTheme="minorHAnsi" w:hAnsiTheme="minorHAnsi" w:cstheme="minorHAnsi"/>
          <w:sz w:val="18"/>
          <w:szCs w:val="18"/>
          <w:lang w:val="en-US"/>
        </w:rPr>
        <w:t>,</w:t>
      </w:r>
      <w:r w:rsidRPr="000D5A1E">
        <w:rPr>
          <w:rFonts w:asciiTheme="minorHAnsi" w:hAnsiTheme="minorHAnsi" w:cstheme="minorHAnsi"/>
          <w:sz w:val="18"/>
          <w:szCs w:val="18"/>
          <w:lang w:val="en-US"/>
        </w:rPr>
        <w:t xml:space="preserve"> Commonwealth Department of</w:t>
      </w:r>
      <w:r>
        <w:rPr>
          <w:rFonts w:asciiTheme="minorHAnsi" w:hAnsiTheme="minorHAnsi" w:cstheme="minorHAnsi"/>
          <w:sz w:val="18"/>
          <w:szCs w:val="18"/>
          <w:lang w:val="en-US"/>
        </w:rPr>
        <w:t xml:space="preserve"> Health and Family Services,</w:t>
      </w:r>
      <w:r w:rsidRPr="000D5A1E">
        <w:rPr>
          <w:rFonts w:asciiTheme="minorHAnsi" w:hAnsiTheme="minorHAnsi" w:cstheme="minorHAnsi"/>
          <w:sz w:val="18"/>
          <w:szCs w:val="18"/>
          <w:lang w:val="en-US"/>
        </w:rPr>
        <w:t xml:space="preserve"> Canberra, p.</w:t>
      </w:r>
      <w:r>
        <w:rPr>
          <w:rFonts w:asciiTheme="minorHAnsi" w:hAnsiTheme="minorHAnsi" w:cstheme="minorHAnsi"/>
          <w:sz w:val="18"/>
          <w:szCs w:val="18"/>
          <w:lang w:val="en-US"/>
        </w:rPr>
        <w:t> </w:t>
      </w:r>
      <w:r w:rsidRPr="000D5A1E">
        <w:rPr>
          <w:rFonts w:asciiTheme="minorHAnsi" w:hAnsiTheme="minorHAnsi" w:cstheme="minorHAnsi"/>
          <w:sz w:val="18"/>
          <w:szCs w:val="18"/>
          <w:lang w:val="en-US"/>
        </w:rPr>
        <w:t>7</w:t>
      </w:r>
      <w:r>
        <w:rPr>
          <w:rFonts w:asciiTheme="minorHAnsi" w:hAnsiTheme="minorHAnsi" w:cstheme="minorHAnsi"/>
          <w:sz w:val="18"/>
          <w:szCs w:val="18"/>
          <w:lang w:val="en-US"/>
        </w:rPr>
        <w:t>.</w:t>
      </w:r>
    </w:p>
  </w:footnote>
  <w:footnote w:id="6">
    <w:p w:rsidR="007E6941" w:rsidRPr="000D5A1E" w:rsidRDefault="007E6941" w:rsidP="004534FF">
      <w:pPr>
        <w:pStyle w:val="FootnoteText"/>
        <w:spacing w:before="40" w:after="40"/>
        <w:rPr>
          <w:rFonts w:asciiTheme="minorHAnsi" w:hAnsiTheme="minorHAnsi" w:cstheme="minorHAnsi"/>
          <w:sz w:val="18"/>
          <w:szCs w:val="18"/>
          <w:lang w:val="en-US"/>
        </w:rPr>
      </w:pPr>
      <w:r w:rsidRPr="000D5A1E">
        <w:rPr>
          <w:rStyle w:val="FootnoteReference"/>
          <w:rFonts w:asciiTheme="minorHAnsi" w:hAnsiTheme="minorHAnsi" w:cstheme="minorHAnsi"/>
          <w:sz w:val="18"/>
          <w:szCs w:val="18"/>
        </w:rPr>
        <w:footnoteRef/>
      </w:r>
      <w:r w:rsidRPr="000D5A1E">
        <w:rPr>
          <w:rFonts w:asciiTheme="minorHAnsi" w:hAnsiTheme="minorHAnsi" w:cstheme="minorHAnsi"/>
          <w:sz w:val="18"/>
          <w:szCs w:val="18"/>
        </w:rPr>
        <w:t xml:space="preserve"> </w:t>
      </w:r>
      <w:proofErr w:type="gramStart"/>
      <w:r>
        <w:rPr>
          <w:rFonts w:asciiTheme="minorHAnsi" w:hAnsiTheme="minorHAnsi" w:cstheme="minorHAnsi"/>
          <w:sz w:val="18"/>
          <w:szCs w:val="18"/>
          <w:lang w:val="en-US"/>
        </w:rPr>
        <w:t>Ibid.,</w:t>
      </w:r>
      <w:proofErr w:type="gramEnd"/>
      <w:r>
        <w:rPr>
          <w:rFonts w:asciiTheme="minorHAnsi" w:hAnsiTheme="minorHAnsi" w:cstheme="minorHAnsi"/>
          <w:sz w:val="18"/>
          <w:szCs w:val="18"/>
          <w:lang w:val="en-US"/>
        </w:rPr>
        <w:t xml:space="preserve"> p. 18.</w:t>
      </w:r>
    </w:p>
  </w:footnote>
  <w:footnote w:id="7">
    <w:p w:rsidR="007E6941" w:rsidRPr="000D5A1E" w:rsidRDefault="007E6941" w:rsidP="00A748AC">
      <w:pPr>
        <w:pStyle w:val="FootnoteText"/>
        <w:spacing w:before="40" w:after="40"/>
        <w:rPr>
          <w:rFonts w:asciiTheme="minorHAnsi" w:hAnsiTheme="minorHAnsi" w:cstheme="minorHAnsi"/>
          <w:sz w:val="18"/>
          <w:szCs w:val="18"/>
          <w:lang w:val="en-US"/>
        </w:rPr>
      </w:pPr>
      <w:r w:rsidRPr="000D5A1E">
        <w:rPr>
          <w:rStyle w:val="FootnoteReference"/>
          <w:rFonts w:asciiTheme="minorHAnsi" w:hAnsiTheme="minorHAnsi" w:cstheme="minorHAnsi"/>
          <w:sz w:val="18"/>
          <w:szCs w:val="18"/>
        </w:rPr>
        <w:footnoteRef/>
      </w:r>
      <w:r w:rsidRPr="000D5A1E">
        <w:rPr>
          <w:rFonts w:asciiTheme="minorHAnsi" w:hAnsiTheme="minorHAnsi" w:cstheme="minorHAnsi"/>
          <w:sz w:val="18"/>
          <w:szCs w:val="18"/>
        </w:rPr>
        <w:t xml:space="preserve"> </w:t>
      </w:r>
      <w:proofErr w:type="gramStart"/>
      <w:r>
        <w:rPr>
          <w:rFonts w:asciiTheme="minorHAnsi" w:hAnsiTheme="minorHAnsi" w:cstheme="minorHAnsi"/>
          <w:sz w:val="18"/>
          <w:szCs w:val="18"/>
          <w:lang w:val="en-US"/>
        </w:rPr>
        <w:t>Ibid.</w:t>
      </w:r>
      <w:r w:rsidRPr="000D5A1E">
        <w:rPr>
          <w:rFonts w:asciiTheme="minorHAnsi" w:hAnsiTheme="minorHAnsi" w:cstheme="minorHAnsi"/>
          <w:sz w:val="18"/>
          <w:szCs w:val="18"/>
          <w:lang w:val="en-US"/>
        </w:rPr>
        <w:t>,</w:t>
      </w:r>
      <w:proofErr w:type="gramEnd"/>
      <w:r w:rsidRPr="000D5A1E">
        <w:rPr>
          <w:rFonts w:asciiTheme="minorHAnsi" w:hAnsiTheme="minorHAnsi" w:cstheme="minorHAnsi"/>
          <w:sz w:val="18"/>
          <w:szCs w:val="18"/>
          <w:lang w:val="en-US"/>
        </w:rPr>
        <w:t xml:space="preserve"> p.</w:t>
      </w:r>
      <w:r>
        <w:rPr>
          <w:rFonts w:asciiTheme="minorHAnsi" w:hAnsiTheme="minorHAnsi" w:cstheme="minorHAnsi"/>
          <w:sz w:val="18"/>
          <w:szCs w:val="18"/>
          <w:lang w:val="en-US"/>
        </w:rPr>
        <w:t> </w:t>
      </w:r>
      <w:r w:rsidRPr="000D5A1E">
        <w:rPr>
          <w:rFonts w:asciiTheme="minorHAnsi" w:hAnsiTheme="minorHAnsi" w:cstheme="minorHAnsi"/>
          <w:sz w:val="18"/>
          <w:szCs w:val="18"/>
          <w:lang w:val="en-US"/>
        </w:rPr>
        <w:t>18</w:t>
      </w:r>
      <w:r>
        <w:rPr>
          <w:rFonts w:asciiTheme="minorHAnsi" w:hAnsiTheme="minorHAnsi" w:cstheme="minorHAnsi"/>
          <w:sz w:val="18"/>
          <w:szCs w:val="18"/>
          <w:lang w:val="en-US"/>
        </w:rPr>
        <w:t>.</w:t>
      </w:r>
    </w:p>
  </w:footnote>
  <w:footnote w:id="8">
    <w:p w:rsidR="007E6941" w:rsidRPr="00F80541" w:rsidRDefault="007E6941">
      <w:pPr>
        <w:pStyle w:val="FootnoteText"/>
        <w:rPr>
          <w:rFonts w:asciiTheme="minorHAnsi" w:hAnsiTheme="minorHAnsi" w:cstheme="minorHAnsi"/>
          <w:sz w:val="18"/>
          <w:szCs w:val="18"/>
          <w:lang w:val="en-US"/>
        </w:rPr>
      </w:pPr>
      <w:r w:rsidRPr="00F80541">
        <w:rPr>
          <w:rStyle w:val="FootnoteReference"/>
          <w:rFonts w:asciiTheme="minorHAnsi" w:hAnsiTheme="minorHAnsi" w:cstheme="minorHAnsi"/>
          <w:sz w:val="18"/>
          <w:szCs w:val="18"/>
        </w:rPr>
        <w:footnoteRef/>
      </w:r>
      <w:r w:rsidRPr="00F80541">
        <w:rPr>
          <w:rFonts w:asciiTheme="minorHAnsi" w:hAnsiTheme="minorHAnsi" w:cstheme="minorHAnsi"/>
          <w:sz w:val="18"/>
          <w:szCs w:val="18"/>
        </w:rPr>
        <w:t xml:space="preserve"> </w:t>
      </w:r>
      <w:r>
        <w:rPr>
          <w:rFonts w:asciiTheme="minorHAnsi" w:hAnsiTheme="minorHAnsi" w:cstheme="minorHAnsi"/>
          <w:sz w:val="18"/>
          <w:szCs w:val="18"/>
        </w:rPr>
        <w:t xml:space="preserve">Commonwealth of Australia 2009, </w:t>
      </w:r>
      <w:r w:rsidRPr="00F80541">
        <w:rPr>
          <w:rFonts w:asciiTheme="minorHAnsi" w:hAnsiTheme="minorHAnsi" w:cstheme="minorHAnsi"/>
          <w:i/>
          <w:sz w:val="18"/>
          <w:szCs w:val="18"/>
        </w:rPr>
        <w:t>Fourth national mental health plan: an agenda for collaborative government action in mental health 2009-2014</w:t>
      </w:r>
      <w:r>
        <w:rPr>
          <w:rFonts w:asciiTheme="minorHAnsi" w:hAnsiTheme="minorHAnsi" w:cstheme="minorHAnsi"/>
          <w:sz w:val="18"/>
          <w:szCs w:val="18"/>
        </w:rPr>
        <w:t>, Commonwealth of Australia, Canberra, 2009.</w:t>
      </w:r>
    </w:p>
  </w:footnote>
  <w:footnote w:id="9">
    <w:p w:rsidR="007E6941" w:rsidRPr="000D5A1E" w:rsidRDefault="007E6941">
      <w:pPr>
        <w:pStyle w:val="FootnoteText"/>
        <w:rPr>
          <w:rFonts w:asciiTheme="minorHAnsi" w:hAnsiTheme="minorHAnsi" w:cstheme="minorHAnsi"/>
          <w:sz w:val="18"/>
          <w:szCs w:val="18"/>
          <w:lang w:val="en-US"/>
        </w:rPr>
      </w:pPr>
      <w:r w:rsidRPr="00911CA1">
        <w:rPr>
          <w:rStyle w:val="FootnoteReference"/>
          <w:rFonts w:asciiTheme="minorHAnsi" w:hAnsiTheme="minorHAnsi" w:cstheme="minorHAnsi"/>
          <w:sz w:val="18"/>
          <w:szCs w:val="18"/>
        </w:rPr>
        <w:footnoteRef/>
      </w:r>
      <w:r w:rsidRPr="00911CA1">
        <w:rPr>
          <w:rFonts w:asciiTheme="minorHAnsi" w:hAnsiTheme="minorHAnsi" w:cstheme="minorHAnsi"/>
          <w:sz w:val="18"/>
          <w:szCs w:val="18"/>
        </w:rPr>
        <w:t xml:space="preserve"> </w:t>
      </w:r>
      <w:proofErr w:type="spellStart"/>
      <w:r w:rsidRPr="00911CA1">
        <w:rPr>
          <w:rFonts w:asciiTheme="minorHAnsi" w:hAnsiTheme="minorHAnsi" w:cstheme="minorHAnsi"/>
          <w:sz w:val="18"/>
          <w:szCs w:val="18"/>
        </w:rPr>
        <w:t>Whiteford</w:t>
      </w:r>
      <w:proofErr w:type="spellEnd"/>
      <w:r w:rsidRPr="00911CA1">
        <w:rPr>
          <w:rFonts w:asciiTheme="minorHAnsi" w:hAnsiTheme="minorHAnsi" w:cstheme="minorHAnsi"/>
          <w:sz w:val="18"/>
          <w:szCs w:val="18"/>
        </w:rPr>
        <w:t xml:space="preserve">, H, Eagar, K, Harris, M, </w:t>
      </w:r>
      <w:proofErr w:type="spellStart"/>
      <w:r w:rsidRPr="00911CA1">
        <w:rPr>
          <w:rFonts w:asciiTheme="minorHAnsi" w:hAnsiTheme="minorHAnsi" w:cstheme="minorHAnsi"/>
          <w:sz w:val="18"/>
          <w:szCs w:val="18"/>
        </w:rPr>
        <w:t>Diminic</w:t>
      </w:r>
      <w:proofErr w:type="spellEnd"/>
      <w:r w:rsidRPr="00911CA1">
        <w:rPr>
          <w:rFonts w:asciiTheme="minorHAnsi" w:hAnsiTheme="minorHAnsi" w:cstheme="minorHAnsi"/>
          <w:sz w:val="18"/>
          <w:szCs w:val="18"/>
        </w:rPr>
        <w:t xml:space="preserve">, S, Burgess, P, Stewart, G 2013, </w:t>
      </w:r>
      <w:r w:rsidRPr="00911CA1">
        <w:rPr>
          <w:rFonts w:asciiTheme="minorHAnsi" w:hAnsiTheme="minorHAnsi" w:cstheme="minorHAnsi"/>
          <w:i/>
          <w:sz w:val="18"/>
          <w:szCs w:val="18"/>
        </w:rPr>
        <w:t xml:space="preserve">Stage </w:t>
      </w:r>
      <w:proofErr w:type="gramStart"/>
      <w:r w:rsidRPr="00911CA1">
        <w:rPr>
          <w:rFonts w:asciiTheme="minorHAnsi" w:hAnsiTheme="minorHAnsi" w:cstheme="minorHAnsi"/>
          <w:i/>
          <w:sz w:val="18"/>
          <w:szCs w:val="18"/>
        </w:rPr>
        <w:t>A</w:t>
      </w:r>
      <w:proofErr w:type="gramEnd"/>
      <w:r w:rsidRPr="00911CA1">
        <w:rPr>
          <w:rFonts w:asciiTheme="minorHAnsi" w:hAnsiTheme="minorHAnsi" w:cstheme="minorHAnsi"/>
          <w:i/>
          <w:sz w:val="18"/>
          <w:szCs w:val="18"/>
        </w:rPr>
        <w:t xml:space="preserve"> Final Report: </w:t>
      </w:r>
      <w:r w:rsidRPr="00911CA1">
        <w:rPr>
          <w:rFonts w:asciiTheme="minorHAnsi" w:hAnsiTheme="minorHAnsi" w:cstheme="minorHAnsi"/>
          <w:i/>
          <w:sz w:val="18"/>
          <w:szCs w:val="18"/>
          <w:lang w:val="en-US"/>
        </w:rPr>
        <w:t>Defining mental health services for classification purposes for the Definition and Cost Drivers for Mental Health Services project</w:t>
      </w:r>
      <w:r w:rsidRPr="00911CA1">
        <w:rPr>
          <w:rFonts w:asciiTheme="minorHAnsi" w:hAnsiTheme="minorHAnsi" w:cstheme="minorHAnsi"/>
          <w:sz w:val="18"/>
          <w:szCs w:val="18"/>
          <w:lang w:val="en-US"/>
        </w:rPr>
        <w:t xml:space="preserve">, </w:t>
      </w:r>
      <w:r w:rsidRPr="00911CA1">
        <w:rPr>
          <w:rFonts w:asciiTheme="minorHAnsi" w:hAnsiTheme="minorHAnsi" w:cstheme="minorHAnsi"/>
          <w:sz w:val="18"/>
          <w:szCs w:val="18"/>
        </w:rPr>
        <w:t xml:space="preserve">The University of Queensland, Brisbane, </w:t>
      </w:r>
      <w:r w:rsidRPr="00911CA1">
        <w:rPr>
          <w:rFonts w:asciiTheme="minorHAnsi" w:hAnsiTheme="minorHAnsi" w:cstheme="minorHAnsi"/>
          <w:sz w:val="18"/>
          <w:szCs w:val="18"/>
          <w:lang w:val="en-US"/>
        </w:rPr>
        <w:t>p. 53.</w:t>
      </w:r>
    </w:p>
  </w:footnote>
  <w:footnote w:id="10">
    <w:p w:rsidR="007E6941" w:rsidRPr="000D5A1E" w:rsidRDefault="007E6941" w:rsidP="000D3CAB">
      <w:pPr>
        <w:pStyle w:val="FootnoteText"/>
        <w:spacing w:before="40" w:after="40"/>
        <w:rPr>
          <w:rFonts w:asciiTheme="minorHAnsi" w:hAnsiTheme="minorHAnsi" w:cstheme="minorHAnsi"/>
          <w:sz w:val="18"/>
          <w:szCs w:val="18"/>
          <w:lang w:val="en-US"/>
        </w:rPr>
      </w:pPr>
      <w:r w:rsidRPr="000D5A1E">
        <w:rPr>
          <w:rStyle w:val="FootnoteReference"/>
          <w:rFonts w:asciiTheme="minorHAnsi" w:hAnsiTheme="minorHAnsi" w:cstheme="minorHAnsi"/>
          <w:sz w:val="18"/>
          <w:szCs w:val="18"/>
        </w:rPr>
        <w:footnoteRef/>
      </w:r>
      <w:r w:rsidRPr="000D5A1E">
        <w:rPr>
          <w:rFonts w:asciiTheme="minorHAnsi" w:hAnsiTheme="minorHAnsi" w:cstheme="minorHAnsi"/>
          <w:sz w:val="18"/>
          <w:szCs w:val="18"/>
        </w:rPr>
        <w:t xml:space="preserve"> </w:t>
      </w:r>
      <w:proofErr w:type="spellStart"/>
      <w:r>
        <w:rPr>
          <w:rFonts w:asciiTheme="minorHAnsi" w:hAnsiTheme="minorHAnsi" w:cstheme="minorHAnsi"/>
          <w:sz w:val="18"/>
          <w:szCs w:val="18"/>
        </w:rPr>
        <w:t>Whiteford</w:t>
      </w:r>
      <w:proofErr w:type="spellEnd"/>
      <w:r>
        <w:rPr>
          <w:rFonts w:asciiTheme="minorHAnsi" w:hAnsiTheme="minorHAnsi" w:cstheme="minorHAnsi"/>
          <w:sz w:val="18"/>
          <w:szCs w:val="18"/>
        </w:rPr>
        <w:t xml:space="preserve">, H, Eagar, K, Harris, M, </w:t>
      </w:r>
      <w:proofErr w:type="spellStart"/>
      <w:r>
        <w:rPr>
          <w:rFonts w:asciiTheme="minorHAnsi" w:hAnsiTheme="minorHAnsi" w:cstheme="minorHAnsi"/>
          <w:sz w:val="18"/>
          <w:szCs w:val="18"/>
        </w:rPr>
        <w:t>Diminic</w:t>
      </w:r>
      <w:proofErr w:type="spellEnd"/>
      <w:r>
        <w:rPr>
          <w:rFonts w:asciiTheme="minorHAnsi" w:hAnsiTheme="minorHAnsi" w:cstheme="minorHAnsi"/>
          <w:sz w:val="18"/>
          <w:szCs w:val="18"/>
        </w:rPr>
        <w:t xml:space="preserve">, S, Burgess, P, Stewart, G 2013, </w:t>
      </w:r>
      <w:r w:rsidRPr="009F1E90">
        <w:rPr>
          <w:rFonts w:asciiTheme="minorHAnsi" w:hAnsiTheme="minorHAnsi" w:cstheme="minorHAnsi"/>
          <w:i/>
          <w:sz w:val="18"/>
          <w:szCs w:val="18"/>
        </w:rPr>
        <w:t xml:space="preserve">Stage </w:t>
      </w:r>
      <w:proofErr w:type="gramStart"/>
      <w:r w:rsidRPr="009F1E90">
        <w:rPr>
          <w:rFonts w:asciiTheme="minorHAnsi" w:hAnsiTheme="minorHAnsi" w:cstheme="minorHAnsi"/>
          <w:i/>
          <w:sz w:val="18"/>
          <w:szCs w:val="18"/>
        </w:rPr>
        <w:t>A</w:t>
      </w:r>
      <w:proofErr w:type="gramEnd"/>
      <w:r w:rsidRPr="009F1E90">
        <w:rPr>
          <w:rFonts w:asciiTheme="minorHAnsi" w:hAnsiTheme="minorHAnsi" w:cstheme="minorHAnsi"/>
          <w:i/>
          <w:sz w:val="18"/>
          <w:szCs w:val="18"/>
        </w:rPr>
        <w:t xml:space="preserve"> Final Report: </w:t>
      </w:r>
      <w:r w:rsidRPr="009F1E90">
        <w:rPr>
          <w:rFonts w:asciiTheme="minorHAnsi" w:hAnsiTheme="minorHAnsi" w:cstheme="minorHAnsi"/>
          <w:i/>
          <w:sz w:val="18"/>
          <w:szCs w:val="18"/>
          <w:lang w:val="en-US"/>
        </w:rPr>
        <w:t>Defining mental health services for classification purposes</w:t>
      </w:r>
      <w:r>
        <w:rPr>
          <w:rFonts w:asciiTheme="minorHAnsi" w:hAnsiTheme="minorHAnsi" w:cstheme="minorHAnsi"/>
          <w:i/>
          <w:sz w:val="18"/>
          <w:szCs w:val="18"/>
          <w:lang w:val="en-US"/>
        </w:rPr>
        <w:t xml:space="preserve"> for the </w:t>
      </w:r>
      <w:r w:rsidRPr="009F1E90">
        <w:rPr>
          <w:rFonts w:asciiTheme="minorHAnsi" w:hAnsiTheme="minorHAnsi" w:cstheme="minorHAnsi"/>
          <w:i/>
          <w:sz w:val="18"/>
          <w:szCs w:val="18"/>
          <w:lang w:val="en-US"/>
        </w:rPr>
        <w:t>Definition and Cost Drivers for Mental Health Services project</w:t>
      </w:r>
      <w:r w:rsidRPr="000D5A1E">
        <w:rPr>
          <w:rFonts w:asciiTheme="minorHAnsi" w:hAnsiTheme="minorHAnsi" w:cstheme="minorHAnsi"/>
          <w:sz w:val="18"/>
          <w:szCs w:val="18"/>
          <w:lang w:val="en-US"/>
        </w:rPr>
        <w:t xml:space="preserve">, </w:t>
      </w:r>
      <w:r>
        <w:rPr>
          <w:rFonts w:asciiTheme="minorHAnsi" w:hAnsiTheme="minorHAnsi" w:cstheme="minorHAnsi"/>
          <w:sz w:val="18"/>
          <w:szCs w:val="18"/>
        </w:rPr>
        <w:t xml:space="preserve">The University of Queensland, Brisbane, </w:t>
      </w:r>
      <w:r>
        <w:rPr>
          <w:rFonts w:asciiTheme="minorHAnsi" w:hAnsiTheme="minorHAnsi" w:cstheme="minorHAnsi"/>
          <w:sz w:val="18"/>
          <w:szCs w:val="18"/>
          <w:lang w:val="en-US"/>
        </w:rPr>
        <w:t>pp. </w:t>
      </w:r>
      <w:r w:rsidRPr="000D5A1E">
        <w:rPr>
          <w:rFonts w:asciiTheme="minorHAnsi" w:hAnsiTheme="minorHAnsi" w:cstheme="minorHAnsi"/>
          <w:sz w:val="18"/>
          <w:szCs w:val="18"/>
          <w:lang w:val="en-US"/>
        </w:rPr>
        <w:t>iii-iv</w:t>
      </w:r>
      <w:r>
        <w:rPr>
          <w:rFonts w:asciiTheme="minorHAnsi" w:hAnsiTheme="minorHAnsi" w:cstheme="minorHAnsi"/>
          <w:sz w:val="18"/>
          <w:szCs w:val="18"/>
          <w:lang w:val="en-US"/>
        </w:rPr>
        <w:t>.</w:t>
      </w:r>
    </w:p>
  </w:footnote>
  <w:footnote w:id="11">
    <w:p w:rsidR="007E6941" w:rsidRPr="000D5A1E" w:rsidRDefault="007E6941" w:rsidP="000D5A1E">
      <w:pPr>
        <w:pStyle w:val="FootnoteText"/>
        <w:spacing w:before="40" w:after="40"/>
        <w:rPr>
          <w:rFonts w:asciiTheme="minorHAnsi" w:hAnsiTheme="minorHAnsi" w:cstheme="minorHAnsi"/>
          <w:sz w:val="18"/>
          <w:szCs w:val="18"/>
          <w:lang w:val="en-US"/>
        </w:rPr>
      </w:pPr>
      <w:r w:rsidRPr="000D5A1E">
        <w:rPr>
          <w:rStyle w:val="FootnoteReference"/>
          <w:rFonts w:asciiTheme="minorHAnsi" w:hAnsiTheme="minorHAnsi" w:cstheme="minorHAnsi"/>
          <w:sz w:val="18"/>
          <w:szCs w:val="18"/>
        </w:rPr>
        <w:footnoteRef/>
      </w:r>
      <w:r w:rsidRPr="000D5A1E">
        <w:rPr>
          <w:rFonts w:asciiTheme="minorHAnsi" w:hAnsiTheme="minorHAnsi" w:cstheme="minorHAnsi"/>
          <w:sz w:val="18"/>
          <w:szCs w:val="18"/>
        </w:rPr>
        <w:t xml:space="preserve"> </w:t>
      </w:r>
      <w:proofErr w:type="gramStart"/>
      <w:r>
        <w:rPr>
          <w:rFonts w:asciiTheme="minorHAnsi" w:hAnsiTheme="minorHAnsi" w:cstheme="minorHAnsi"/>
          <w:sz w:val="18"/>
          <w:szCs w:val="18"/>
        </w:rPr>
        <w:t>Ibid.,</w:t>
      </w:r>
      <w:proofErr w:type="gramEnd"/>
      <w:r>
        <w:rPr>
          <w:rFonts w:asciiTheme="minorHAnsi" w:hAnsiTheme="minorHAnsi" w:cstheme="minorHAnsi"/>
          <w:sz w:val="18"/>
          <w:szCs w:val="18"/>
        </w:rPr>
        <w:t xml:space="preserve"> </w:t>
      </w:r>
      <w:r w:rsidRPr="000D5A1E">
        <w:rPr>
          <w:rFonts w:asciiTheme="minorHAnsi" w:hAnsiTheme="minorHAnsi" w:cstheme="minorHAnsi"/>
          <w:sz w:val="18"/>
          <w:szCs w:val="18"/>
          <w:lang w:val="en-US"/>
        </w:rPr>
        <w:t>pp.</w:t>
      </w:r>
      <w:r>
        <w:rPr>
          <w:rFonts w:asciiTheme="minorHAnsi" w:hAnsiTheme="minorHAnsi" w:cstheme="minorHAnsi"/>
          <w:sz w:val="18"/>
          <w:szCs w:val="18"/>
          <w:lang w:val="en-US"/>
        </w:rPr>
        <w:t> </w:t>
      </w:r>
      <w:r w:rsidRPr="000D5A1E">
        <w:rPr>
          <w:rFonts w:asciiTheme="minorHAnsi" w:hAnsiTheme="minorHAnsi" w:cstheme="minorHAnsi"/>
          <w:sz w:val="18"/>
          <w:szCs w:val="18"/>
          <w:lang w:val="en-US"/>
        </w:rPr>
        <w:t>2-3</w:t>
      </w:r>
      <w:r>
        <w:rPr>
          <w:rFonts w:asciiTheme="minorHAnsi" w:hAnsiTheme="minorHAnsi" w:cstheme="minorHAnsi"/>
          <w:sz w:val="18"/>
          <w:szCs w:val="18"/>
          <w:lang w:val="en-US"/>
        </w:rPr>
        <w:t>.</w:t>
      </w:r>
    </w:p>
  </w:footnote>
  <w:footnote w:id="12">
    <w:p w:rsidR="007E6941" w:rsidRPr="000D5A1E" w:rsidRDefault="007E6941" w:rsidP="000D5A1E">
      <w:pPr>
        <w:pStyle w:val="FootnoteText"/>
        <w:spacing w:before="40" w:after="40"/>
        <w:rPr>
          <w:rFonts w:asciiTheme="minorHAnsi" w:hAnsiTheme="minorHAnsi" w:cstheme="minorHAnsi"/>
          <w:sz w:val="18"/>
          <w:szCs w:val="18"/>
          <w:lang w:val="en-US"/>
        </w:rPr>
      </w:pPr>
      <w:r w:rsidRPr="000D5A1E">
        <w:rPr>
          <w:rStyle w:val="FootnoteReference"/>
          <w:rFonts w:asciiTheme="minorHAnsi" w:hAnsiTheme="minorHAnsi" w:cstheme="minorHAnsi"/>
          <w:sz w:val="18"/>
          <w:szCs w:val="18"/>
        </w:rPr>
        <w:footnoteRef/>
      </w:r>
      <w:r w:rsidRPr="000D5A1E">
        <w:rPr>
          <w:rFonts w:asciiTheme="minorHAnsi" w:hAnsiTheme="minorHAnsi" w:cstheme="minorHAnsi"/>
          <w:sz w:val="18"/>
          <w:szCs w:val="18"/>
        </w:rPr>
        <w:t xml:space="preserve"> </w:t>
      </w:r>
      <w:r>
        <w:rPr>
          <w:rFonts w:asciiTheme="minorHAnsi" w:hAnsiTheme="minorHAnsi" w:cstheme="minorHAnsi"/>
          <w:sz w:val="18"/>
          <w:szCs w:val="18"/>
        </w:rPr>
        <w:t xml:space="preserve">Eagar, K, Green, J, Lago, L, Blanchard, M, </w:t>
      </w:r>
      <w:proofErr w:type="spellStart"/>
      <w:r>
        <w:rPr>
          <w:rFonts w:asciiTheme="minorHAnsi" w:hAnsiTheme="minorHAnsi" w:cstheme="minorHAnsi"/>
          <w:sz w:val="18"/>
          <w:szCs w:val="18"/>
        </w:rPr>
        <w:t>Diminic</w:t>
      </w:r>
      <w:proofErr w:type="spellEnd"/>
      <w:r>
        <w:rPr>
          <w:rFonts w:asciiTheme="minorHAnsi" w:hAnsiTheme="minorHAnsi" w:cstheme="minorHAnsi"/>
          <w:sz w:val="18"/>
          <w:szCs w:val="18"/>
        </w:rPr>
        <w:t xml:space="preserve">, S, Harris, M 2013, </w:t>
      </w:r>
      <w:r w:rsidRPr="00911CA1">
        <w:rPr>
          <w:rFonts w:asciiTheme="minorHAnsi" w:hAnsiTheme="minorHAnsi" w:cstheme="minorHAnsi"/>
          <w:i/>
          <w:sz w:val="18"/>
          <w:szCs w:val="18"/>
        </w:rPr>
        <w:t>Cost Drivers and a Recommended Framework for Mental Health Classification Development: Final report for Stage B of the Definition and Cost Drivers for Mental He</w:t>
      </w:r>
      <w:r>
        <w:rPr>
          <w:rFonts w:asciiTheme="minorHAnsi" w:hAnsiTheme="minorHAnsi" w:cstheme="minorHAnsi"/>
          <w:i/>
          <w:sz w:val="18"/>
          <w:szCs w:val="18"/>
        </w:rPr>
        <w:t>alth Services project, volume 1</w:t>
      </w:r>
      <w:r w:rsidRPr="000D5A1E">
        <w:rPr>
          <w:rFonts w:asciiTheme="minorHAnsi" w:hAnsiTheme="minorHAnsi" w:cstheme="minorHAnsi"/>
          <w:sz w:val="18"/>
          <w:szCs w:val="18"/>
          <w:lang w:val="en-US"/>
        </w:rPr>
        <w:t xml:space="preserve">, </w:t>
      </w:r>
      <w:r>
        <w:rPr>
          <w:rFonts w:asciiTheme="minorHAnsi" w:hAnsiTheme="minorHAnsi" w:cstheme="minorHAnsi"/>
          <w:sz w:val="18"/>
          <w:szCs w:val="18"/>
        </w:rPr>
        <w:t xml:space="preserve">The University of Queensland, Brisbane, </w:t>
      </w:r>
      <w:r>
        <w:rPr>
          <w:rFonts w:asciiTheme="minorHAnsi" w:hAnsiTheme="minorHAnsi" w:cstheme="minorHAnsi"/>
          <w:sz w:val="18"/>
          <w:szCs w:val="18"/>
          <w:lang w:val="en-US"/>
        </w:rPr>
        <w:t>pp. 1-2.</w:t>
      </w:r>
    </w:p>
  </w:footnote>
  <w:footnote w:id="13">
    <w:p w:rsidR="007E6941" w:rsidRPr="000D5A1E" w:rsidRDefault="007E6941" w:rsidP="000D3CAB">
      <w:pPr>
        <w:pStyle w:val="FootnoteText"/>
        <w:spacing w:before="40" w:after="40"/>
        <w:rPr>
          <w:rFonts w:asciiTheme="minorHAnsi" w:hAnsiTheme="minorHAnsi" w:cstheme="minorHAnsi"/>
          <w:sz w:val="18"/>
          <w:szCs w:val="18"/>
          <w:lang w:val="en-US"/>
        </w:rPr>
      </w:pPr>
      <w:r w:rsidRPr="000D5A1E">
        <w:rPr>
          <w:rStyle w:val="FootnoteReference"/>
          <w:rFonts w:asciiTheme="minorHAnsi" w:hAnsiTheme="minorHAnsi" w:cstheme="minorHAnsi"/>
          <w:sz w:val="18"/>
          <w:szCs w:val="18"/>
        </w:rPr>
        <w:footnoteRef/>
      </w:r>
      <w:r w:rsidRPr="000D5A1E">
        <w:rPr>
          <w:rFonts w:asciiTheme="minorHAnsi" w:hAnsiTheme="minorHAnsi" w:cstheme="minorHAnsi"/>
          <w:sz w:val="18"/>
          <w:szCs w:val="18"/>
        </w:rPr>
        <w:t xml:space="preserve"> </w:t>
      </w:r>
      <w:proofErr w:type="gramStart"/>
      <w:r>
        <w:rPr>
          <w:rFonts w:asciiTheme="minorHAnsi" w:hAnsiTheme="minorHAnsi" w:cstheme="minorHAnsi"/>
          <w:sz w:val="18"/>
          <w:szCs w:val="18"/>
        </w:rPr>
        <w:t>Ibid.,</w:t>
      </w:r>
      <w:proofErr w:type="gramEnd"/>
      <w:r>
        <w:rPr>
          <w:rFonts w:asciiTheme="minorHAnsi" w:hAnsiTheme="minorHAnsi" w:cstheme="minorHAnsi"/>
          <w:sz w:val="18"/>
          <w:szCs w:val="18"/>
        </w:rPr>
        <w:t xml:space="preserve"> </w:t>
      </w:r>
      <w:r>
        <w:rPr>
          <w:rFonts w:asciiTheme="minorHAnsi" w:hAnsiTheme="minorHAnsi" w:cstheme="minorHAnsi"/>
          <w:sz w:val="18"/>
          <w:szCs w:val="18"/>
          <w:lang w:val="en-US"/>
        </w:rPr>
        <w:t>p. 39.</w:t>
      </w:r>
    </w:p>
  </w:footnote>
  <w:footnote w:id="14">
    <w:p w:rsidR="007E6941" w:rsidRPr="000D5A1E" w:rsidRDefault="007E6941" w:rsidP="00FB5C1E">
      <w:pPr>
        <w:pStyle w:val="FootnoteText"/>
        <w:spacing w:before="40" w:after="40"/>
        <w:rPr>
          <w:rFonts w:asciiTheme="minorHAnsi" w:hAnsiTheme="minorHAnsi" w:cstheme="minorHAnsi"/>
          <w:sz w:val="18"/>
          <w:szCs w:val="18"/>
          <w:lang w:val="en-US"/>
        </w:rPr>
      </w:pPr>
      <w:r w:rsidRPr="000D5A1E">
        <w:rPr>
          <w:rStyle w:val="FootnoteReference"/>
          <w:rFonts w:asciiTheme="minorHAnsi" w:hAnsiTheme="minorHAnsi" w:cstheme="minorHAnsi"/>
          <w:sz w:val="18"/>
          <w:szCs w:val="18"/>
        </w:rPr>
        <w:footnoteRef/>
      </w:r>
      <w:r w:rsidRPr="000D5A1E">
        <w:rPr>
          <w:rFonts w:asciiTheme="minorHAnsi" w:hAnsiTheme="minorHAnsi" w:cstheme="minorHAnsi"/>
          <w:sz w:val="18"/>
          <w:szCs w:val="18"/>
        </w:rPr>
        <w:t xml:space="preserve"> </w:t>
      </w:r>
      <w:r>
        <w:rPr>
          <w:rFonts w:asciiTheme="minorHAnsi" w:hAnsiTheme="minorHAnsi" w:cstheme="minorHAnsi"/>
          <w:sz w:val="18"/>
          <w:szCs w:val="18"/>
        </w:rPr>
        <w:t xml:space="preserve">Eagar, K, Green, J, Lago, L, Blanchard, M, </w:t>
      </w:r>
      <w:proofErr w:type="spellStart"/>
      <w:r>
        <w:rPr>
          <w:rFonts w:asciiTheme="minorHAnsi" w:hAnsiTheme="minorHAnsi" w:cstheme="minorHAnsi"/>
          <w:sz w:val="18"/>
          <w:szCs w:val="18"/>
        </w:rPr>
        <w:t>Diminic</w:t>
      </w:r>
      <w:proofErr w:type="spellEnd"/>
      <w:r>
        <w:rPr>
          <w:rFonts w:asciiTheme="minorHAnsi" w:hAnsiTheme="minorHAnsi" w:cstheme="minorHAnsi"/>
          <w:sz w:val="18"/>
          <w:szCs w:val="18"/>
        </w:rPr>
        <w:t xml:space="preserve">, S, Harris, M 2013, </w:t>
      </w:r>
      <w:r w:rsidRPr="00911CA1">
        <w:rPr>
          <w:rFonts w:asciiTheme="minorHAnsi" w:hAnsiTheme="minorHAnsi" w:cstheme="minorHAnsi"/>
          <w:i/>
          <w:sz w:val="18"/>
          <w:szCs w:val="18"/>
        </w:rPr>
        <w:t>Cost Drivers and a Recommended Framework for Mental Health Classification Development: Final report for Stage B of the Definition and Cost Drivers for Mental He</w:t>
      </w:r>
      <w:r>
        <w:rPr>
          <w:rFonts w:asciiTheme="minorHAnsi" w:hAnsiTheme="minorHAnsi" w:cstheme="minorHAnsi"/>
          <w:i/>
          <w:sz w:val="18"/>
          <w:szCs w:val="18"/>
        </w:rPr>
        <w:t>alth Services project, volume 1</w:t>
      </w:r>
      <w:r w:rsidRPr="000D5A1E">
        <w:rPr>
          <w:rFonts w:asciiTheme="minorHAnsi" w:hAnsiTheme="minorHAnsi" w:cstheme="minorHAnsi"/>
          <w:sz w:val="18"/>
          <w:szCs w:val="18"/>
          <w:lang w:val="en-US"/>
        </w:rPr>
        <w:t xml:space="preserve">, </w:t>
      </w:r>
      <w:r>
        <w:rPr>
          <w:rFonts w:asciiTheme="minorHAnsi" w:hAnsiTheme="minorHAnsi" w:cstheme="minorHAnsi"/>
          <w:sz w:val="18"/>
          <w:szCs w:val="18"/>
        </w:rPr>
        <w:t xml:space="preserve">The University of Queensland, Brisbane, </w:t>
      </w:r>
      <w:r>
        <w:rPr>
          <w:rFonts w:asciiTheme="minorHAnsi" w:hAnsiTheme="minorHAnsi" w:cstheme="minorHAnsi"/>
          <w:sz w:val="18"/>
          <w:szCs w:val="18"/>
          <w:lang w:val="en-US"/>
        </w:rPr>
        <w:t>p. 43.</w:t>
      </w:r>
    </w:p>
  </w:footnote>
  <w:footnote w:id="15">
    <w:p w:rsidR="007E6941" w:rsidRPr="000D5A1E" w:rsidRDefault="007E6941">
      <w:pPr>
        <w:pStyle w:val="FootnoteText"/>
        <w:rPr>
          <w:rFonts w:asciiTheme="minorHAnsi" w:hAnsiTheme="minorHAnsi" w:cstheme="minorHAnsi"/>
          <w:sz w:val="18"/>
          <w:szCs w:val="18"/>
          <w:lang w:val="en-US"/>
        </w:rPr>
      </w:pPr>
      <w:r w:rsidRPr="000D5A1E">
        <w:rPr>
          <w:rStyle w:val="FootnoteReference"/>
          <w:rFonts w:asciiTheme="minorHAnsi" w:hAnsiTheme="minorHAnsi" w:cstheme="minorHAnsi"/>
          <w:sz w:val="18"/>
          <w:szCs w:val="18"/>
        </w:rPr>
        <w:footnoteRef/>
      </w:r>
      <w:r w:rsidRPr="000D5A1E">
        <w:rPr>
          <w:rFonts w:asciiTheme="minorHAnsi" w:hAnsiTheme="minorHAnsi" w:cstheme="minorHAnsi"/>
          <w:sz w:val="18"/>
          <w:szCs w:val="18"/>
        </w:rPr>
        <w:t xml:space="preserve"> </w:t>
      </w:r>
      <w:r>
        <w:rPr>
          <w:rFonts w:asciiTheme="minorHAnsi" w:hAnsiTheme="minorHAnsi" w:cstheme="minorHAnsi"/>
          <w:sz w:val="18"/>
          <w:szCs w:val="18"/>
        </w:rPr>
        <w:t xml:space="preserve">Eagar, K, Green, J, Lago, L, Blanchard, M, </w:t>
      </w:r>
      <w:proofErr w:type="spellStart"/>
      <w:r>
        <w:rPr>
          <w:rFonts w:asciiTheme="minorHAnsi" w:hAnsiTheme="minorHAnsi" w:cstheme="minorHAnsi"/>
          <w:sz w:val="18"/>
          <w:szCs w:val="18"/>
        </w:rPr>
        <w:t>Diminic</w:t>
      </w:r>
      <w:proofErr w:type="spellEnd"/>
      <w:r>
        <w:rPr>
          <w:rFonts w:asciiTheme="minorHAnsi" w:hAnsiTheme="minorHAnsi" w:cstheme="minorHAnsi"/>
          <w:sz w:val="18"/>
          <w:szCs w:val="18"/>
        </w:rPr>
        <w:t xml:space="preserve">, S, Harris, M 2013, </w:t>
      </w:r>
      <w:r w:rsidRPr="00911CA1">
        <w:rPr>
          <w:rFonts w:asciiTheme="minorHAnsi" w:hAnsiTheme="minorHAnsi" w:cstheme="minorHAnsi"/>
          <w:i/>
          <w:sz w:val="18"/>
          <w:szCs w:val="18"/>
        </w:rPr>
        <w:t>Cost Drivers and a Recommended Framework for Mental Health Classification Development: Final report for Stage B of the Definition and Cost Drivers for Mental He</w:t>
      </w:r>
      <w:r>
        <w:rPr>
          <w:rFonts w:asciiTheme="minorHAnsi" w:hAnsiTheme="minorHAnsi" w:cstheme="minorHAnsi"/>
          <w:i/>
          <w:sz w:val="18"/>
          <w:szCs w:val="18"/>
        </w:rPr>
        <w:t>alth Services project, volume 1</w:t>
      </w:r>
      <w:r w:rsidRPr="000D5A1E">
        <w:rPr>
          <w:rFonts w:asciiTheme="minorHAnsi" w:hAnsiTheme="minorHAnsi" w:cstheme="minorHAnsi"/>
          <w:sz w:val="18"/>
          <w:szCs w:val="18"/>
          <w:lang w:val="en-US"/>
        </w:rPr>
        <w:t xml:space="preserve">, </w:t>
      </w:r>
      <w:r>
        <w:rPr>
          <w:rFonts w:asciiTheme="minorHAnsi" w:hAnsiTheme="minorHAnsi" w:cstheme="minorHAnsi"/>
          <w:sz w:val="18"/>
          <w:szCs w:val="18"/>
        </w:rPr>
        <w:t xml:space="preserve">The University of Queensland, Brisbane, </w:t>
      </w:r>
      <w:r>
        <w:rPr>
          <w:rFonts w:asciiTheme="minorHAnsi" w:hAnsiTheme="minorHAnsi" w:cstheme="minorHAnsi"/>
          <w:sz w:val="18"/>
          <w:szCs w:val="18"/>
          <w:lang w:val="en-US"/>
        </w:rPr>
        <w:t>p. 43.</w:t>
      </w:r>
    </w:p>
  </w:footnote>
  <w:footnote w:id="16">
    <w:p w:rsidR="007E6941" w:rsidRPr="000D5A1E" w:rsidRDefault="007E6941" w:rsidP="000D5A1E">
      <w:pPr>
        <w:pStyle w:val="FootnoteText"/>
        <w:rPr>
          <w:rFonts w:asciiTheme="minorHAnsi" w:hAnsiTheme="minorHAnsi" w:cstheme="minorHAnsi"/>
          <w:sz w:val="18"/>
          <w:szCs w:val="18"/>
          <w:lang w:val="en-US"/>
        </w:rPr>
      </w:pPr>
      <w:r w:rsidRPr="000D5A1E">
        <w:rPr>
          <w:rStyle w:val="FootnoteReference"/>
          <w:rFonts w:asciiTheme="minorHAnsi" w:hAnsiTheme="minorHAnsi" w:cstheme="minorHAnsi"/>
          <w:sz w:val="18"/>
          <w:szCs w:val="18"/>
        </w:rPr>
        <w:footnoteRef/>
      </w:r>
      <w:r w:rsidRPr="000D5A1E">
        <w:rPr>
          <w:rFonts w:asciiTheme="minorHAnsi" w:hAnsiTheme="minorHAnsi" w:cstheme="minorHAnsi"/>
          <w:sz w:val="18"/>
          <w:szCs w:val="18"/>
        </w:rPr>
        <w:t xml:space="preserve"> </w:t>
      </w:r>
      <w:r w:rsidRPr="000D5A1E">
        <w:rPr>
          <w:rFonts w:asciiTheme="minorHAnsi" w:hAnsiTheme="minorHAnsi" w:cstheme="minorHAnsi"/>
          <w:sz w:val="18"/>
          <w:szCs w:val="18"/>
          <w:lang w:val="en-US"/>
        </w:rPr>
        <w:t>National Mental Health Information Development Expert Advis</w:t>
      </w:r>
      <w:r>
        <w:rPr>
          <w:rFonts w:asciiTheme="minorHAnsi" w:hAnsiTheme="minorHAnsi" w:cstheme="minorHAnsi"/>
          <w:sz w:val="18"/>
          <w:szCs w:val="18"/>
          <w:lang w:val="en-US"/>
        </w:rPr>
        <w:t xml:space="preserve">ory Panel 2013, </w:t>
      </w:r>
      <w:r w:rsidRPr="00911CA1">
        <w:rPr>
          <w:rFonts w:asciiTheme="minorHAnsi" w:hAnsiTheme="minorHAnsi" w:cstheme="minorHAnsi"/>
          <w:i/>
          <w:sz w:val="18"/>
          <w:szCs w:val="18"/>
          <w:lang w:val="en-US"/>
        </w:rPr>
        <w:t xml:space="preserve">Mental Health National Outcomes and </w:t>
      </w:r>
      <w:proofErr w:type="spellStart"/>
      <w:r w:rsidRPr="00911CA1">
        <w:rPr>
          <w:rFonts w:asciiTheme="minorHAnsi" w:hAnsiTheme="minorHAnsi" w:cstheme="minorHAnsi"/>
          <w:i/>
          <w:sz w:val="18"/>
          <w:szCs w:val="18"/>
          <w:lang w:val="en-US"/>
        </w:rPr>
        <w:t>Casemix</w:t>
      </w:r>
      <w:proofErr w:type="spellEnd"/>
      <w:r w:rsidRPr="00911CA1">
        <w:rPr>
          <w:rFonts w:asciiTheme="minorHAnsi" w:hAnsiTheme="minorHAnsi" w:cstheme="minorHAnsi"/>
          <w:i/>
          <w:sz w:val="18"/>
          <w:szCs w:val="18"/>
          <w:lang w:val="en-US"/>
        </w:rPr>
        <w:t xml:space="preserve"> Collection: NOCC Strategic Directions 2014 – 2024</w:t>
      </w:r>
      <w:r>
        <w:rPr>
          <w:rFonts w:asciiTheme="minorHAnsi" w:hAnsiTheme="minorHAnsi" w:cstheme="minorHAnsi"/>
          <w:sz w:val="18"/>
          <w:szCs w:val="18"/>
          <w:lang w:val="en-US"/>
        </w:rPr>
        <w:t>,</w:t>
      </w:r>
      <w:r w:rsidRPr="000D5A1E">
        <w:rPr>
          <w:rFonts w:asciiTheme="minorHAnsi" w:hAnsiTheme="minorHAnsi" w:cstheme="minorHAnsi"/>
          <w:sz w:val="18"/>
          <w:szCs w:val="18"/>
          <w:lang w:val="en-US"/>
        </w:rPr>
        <w:t xml:space="preserve"> Comm</w:t>
      </w:r>
      <w:r>
        <w:rPr>
          <w:rFonts w:asciiTheme="minorHAnsi" w:hAnsiTheme="minorHAnsi" w:cstheme="minorHAnsi"/>
          <w:sz w:val="18"/>
          <w:szCs w:val="18"/>
          <w:lang w:val="en-US"/>
        </w:rPr>
        <w:t xml:space="preserve">onwealth of Australia, Canberra, </w:t>
      </w:r>
      <w:proofErr w:type="gramStart"/>
      <w:r>
        <w:rPr>
          <w:rFonts w:asciiTheme="minorHAnsi" w:hAnsiTheme="minorHAnsi" w:cstheme="minorHAnsi"/>
          <w:sz w:val="18"/>
          <w:szCs w:val="18"/>
          <w:lang w:val="en-US"/>
        </w:rPr>
        <w:t>p</w:t>
      </w:r>
      <w:proofErr w:type="gramEnd"/>
      <w:r>
        <w:rPr>
          <w:rFonts w:asciiTheme="minorHAnsi" w:hAnsiTheme="minorHAnsi" w:cstheme="minorHAnsi"/>
          <w:sz w:val="18"/>
          <w:szCs w:val="18"/>
          <w:lang w:val="en-US"/>
        </w:rPr>
        <w:t>.</w:t>
      </w:r>
      <w:r>
        <w:t> </w:t>
      </w:r>
      <w:r>
        <w:rPr>
          <w:rFonts w:asciiTheme="minorHAnsi" w:hAnsiTheme="minorHAnsi" w:cstheme="minorHAnsi"/>
          <w:sz w:val="18"/>
          <w:szCs w:val="18"/>
          <w:lang w:val="en-US"/>
        </w:rPr>
        <w:t>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941" w:rsidRPr="00B7008D" w:rsidRDefault="007E6941" w:rsidP="00206D1F">
    <w:pPr>
      <w:pStyle w:val="Header"/>
      <w:tabs>
        <w:tab w:val="clear" w:pos="4513"/>
        <w:tab w:val="clear" w:pos="9026"/>
      </w:tabs>
      <w:ind w:right="2930"/>
      <w:rPr>
        <w:sz w:val="18"/>
      </w:rPr>
    </w:pPr>
    <w:sdt>
      <w:sdtPr>
        <w:rPr>
          <w:sz w:val="18"/>
        </w:rPr>
        <w:alias w:val="Title"/>
        <w:tag w:val=""/>
        <w:id w:val="1774819256"/>
        <w:dataBinding w:prefixMappings="xmlns:ns0='http://purl.org/dc/elements/1.1/' xmlns:ns1='http://schemas.openxmlformats.org/package/2006/metadata/core-properties' " w:xpath="/ns1:coreProperties[1]/ns0:title[1]" w:storeItemID="{6C3C8BC8-F283-45AE-878A-BAB7291924A1}"/>
        <w:text/>
      </w:sdtPr>
      <w:sdtContent>
        <w:r>
          <w:rPr>
            <w:sz w:val="18"/>
          </w:rPr>
          <w:t>Development of the AMHCC: Public consultation paper 1</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A4E655E"/>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DC10CC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46E1A1E"/>
    <w:multiLevelType w:val="hybridMultilevel"/>
    <w:tmpl w:val="4C329DF0"/>
    <w:lvl w:ilvl="0" w:tplc="B66CE392">
      <w:start w:val="1"/>
      <w:numFmt w:val="bullet"/>
      <w:pStyle w:val="Bullet1"/>
      <w:lvlText w:val=""/>
      <w:lvlJc w:val="left"/>
      <w:pPr>
        <w:ind w:left="720" w:hanging="360"/>
      </w:pPr>
      <w:rPr>
        <w:rFonts w:ascii="Wingdings" w:hAnsi="Wingdings" w:hint="default"/>
        <w:color w:val="004200" w:themeColor="text2"/>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3E45CD"/>
    <w:multiLevelType w:val="hybridMultilevel"/>
    <w:tmpl w:val="FF34210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32C15DC4"/>
    <w:multiLevelType w:val="hybridMultilevel"/>
    <w:tmpl w:val="BF28F7B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34D16B89"/>
    <w:multiLevelType w:val="hybridMultilevel"/>
    <w:tmpl w:val="103C234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3EAB6C05"/>
    <w:multiLevelType w:val="hybridMultilevel"/>
    <w:tmpl w:val="91945F18"/>
    <w:lvl w:ilvl="0" w:tplc="481AA32E">
      <w:numFmt w:val="bullet"/>
      <w:lvlText w:val=""/>
      <w:lvlJc w:val="left"/>
      <w:pPr>
        <w:ind w:left="1080" w:hanging="360"/>
      </w:pPr>
      <w:rPr>
        <w:rFonts w:ascii="Symbol" w:eastAsiaTheme="minorHAnsi" w:hAnsi="Symbol"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431117E5"/>
    <w:multiLevelType w:val="hybridMultilevel"/>
    <w:tmpl w:val="BF28F7BA"/>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nsid w:val="4C9C50E3"/>
    <w:multiLevelType w:val="hybridMultilevel"/>
    <w:tmpl w:val="9C669F8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4E09013F"/>
    <w:multiLevelType w:val="hybridMultilevel"/>
    <w:tmpl w:val="9DAC60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89451E9"/>
    <w:multiLevelType w:val="hybridMultilevel"/>
    <w:tmpl w:val="103C234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
  </w:num>
  <w:num w:numId="2">
    <w:abstractNumId w:val="1"/>
  </w:num>
  <w:num w:numId="3">
    <w:abstractNumId w:val="9"/>
  </w:num>
  <w:num w:numId="4">
    <w:abstractNumId w:val="10"/>
  </w:num>
  <w:num w:numId="5">
    <w:abstractNumId w:val="6"/>
  </w:num>
  <w:num w:numId="6">
    <w:abstractNumId w:val="7"/>
  </w:num>
  <w:num w:numId="7">
    <w:abstractNumId w:val="5"/>
  </w:num>
  <w:num w:numId="8">
    <w:abstractNumId w:val="1"/>
  </w:num>
  <w:num w:numId="9">
    <w:abstractNumId w:val="0"/>
  </w:num>
  <w:num w:numId="10">
    <w:abstractNumId w:val="1"/>
  </w:num>
  <w:num w:numId="11">
    <w:abstractNumId w:val="1"/>
  </w:num>
  <w:num w:numId="12">
    <w:abstractNumId w:val="8"/>
  </w:num>
  <w:num w:numId="13">
    <w:abstractNumId w:val="3"/>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20"/>
    <w:rsid w:val="00004C4F"/>
    <w:rsid w:val="000141B0"/>
    <w:rsid w:val="000206DF"/>
    <w:rsid w:val="000230E2"/>
    <w:rsid w:val="00034D57"/>
    <w:rsid w:val="00035724"/>
    <w:rsid w:val="0004532A"/>
    <w:rsid w:val="000470EA"/>
    <w:rsid w:val="00051651"/>
    <w:rsid w:val="00051873"/>
    <w:rsid w:val="00055751"/>
    <w:rsid w:val="00060B8C"/>
    <w:rsid w:val="0006247B"/>
    <w:rsid w:val="0007116B"/>
    <w:rsid w:val="0007223A"/>
    <w:rsid w:val="000766BC"/>
    <w:rsid w:val="00082040"/>
    <w:rsid w:val="00083953"/>
    <w:rsid w:val="000951D6"/>
    <w:rsid w:val="00097886"/>
    <w:rsid w:val="000A5240"/>
    <w:rsid w:val="000B14DD"/>
    <w:rsid w:val="000B1EBC"/>
    <w:rsid w:val="000B7CE3"/>
    <w:rsid w:val="000C156C"/>
    <w:rsid w:val="000D2E7E"/>
    <w:rsid w:val="000D3CAB"/>
    <w:rsid w:val="000D5138"/>
    <w:rsid w:val="000D5A1E"/>
    <w:rsid w:val="000E0EF1"/>
    <w:rsid w:val="000E1543"/>
    <w:rsid w:val="000E21E0"/>
    <w:rsid w:val="000E7256"/>
    <w:rsid w:val="000F409D"/>
    <w:rsid w:val="000F5AAD"/>
    <w:rsid w:val="000F6308"/>
    <w:rsid w:val="001018C9"/>
    <w:rsid w:val="00111581"/>
    <w:rsid w:val="00115E86"/>
    <w:rsid w:val="001222C6"/>
    <w:rsid w:val="00123D10"/>
    <w:rsid w:val="00133218"/>
    <w:rsid w:val="00137AB3"/>
    <w:rsid w:val="0014011D"/>
    <w:rsid w:val="00161810"/>
    <w:rsid w:val="00166194"/>
    <w:rsid w:val="00174CD4"/>
    <w:rsid w:val="00185C14"/>
    <w:rsid w:val="0019199C"/>
    <w:rsid w:val="001A3516"/>
    <w:rsid w:val="001A6C59"/>
    <w:rsid w:val="001C15AC"/>
    <w:rsid w:val="001D789B"/>
    <w:rsid w:val="001E070E"/>
    <w:rsid w:val="001F212B"/>
    <w:rsid w:val="001F2334"/>
    <w:rsid w:val="001F2734"/>
    <w:rsid w:val="00203E1D"/>
    <w:rsid w:val="00206D1F"/>
    <w:rsid w:val="00223F52"/>
    <w:rsid w:val="00227BA9"/>
    <w:rsid w:val="00234246"/>
    <w:rsid w:val="00236475"/>
    <w:rsid w:val="00241FD2"/>
    <w:rsid w:val="0026003B"/>
    <w:rsid w:val="002607C7"/>
    <w:rsid w:val="002648A1"/>
    <w:rsid w:val="00264AE5"/>
    <w:rsid w:val="00273412"/>
    <w:rsid w:val="00273B3C"/>
    <w:rsid w:val="00282513"/>
    <w:rsid w:val="00282F67"/>
    <w:rsid w:val="00296E9B"/>
    <w:rsid w:val="002B2046"/>
    <w:rsid w:val="002C09F2"/>
    <w:rsid w:val="002D3B8B"/>
    <w:rsid w:val="002D5F3F"/>
    <w:rsid w:val="002F2BFA"/>
    <w:rsid w:val="002F3D27"/>
    <w:rsid w:val="002F464B"/>
    <w:rsid w:val="002F6059"/>
    <w:rsid w:val="002F6263"/>
    <w:rsid w:val="003029AB"/>
    <w:rsid w:val="00311148"/>
    <w:rsid w:val="003121B1"/>
    <w:rsid w:val="00320A93"/>
    <w:rsid w:val="00322C14"/>
    <w:rsid w:val="00323815"/>
    <w:rsid w:val="00325ACC"/>
    <w:rsid w:val="00326B67"/>
    <w:rsid w:val="00335A8F"/>
    <w:rsid w:val="003407C7"/>
    <w:rsid w:val="00340FBB"/>
    <w:rsid w:val="00341C4F"/>
    <w:rsid w:val="00342F69"/>
    <w:rsid w:val="00343E04"/>
    <w:rsid w:val="00356984"/>
    <w:rsid w:val="00361401"/>
    <w:rsid w:val="0036379B"/>
    <w:rsid w:val="003773F8"/>
    <w:rsid w:val="00383E61"/>
    <w:rsid w:val="00385450"/>
    <w:rsid w:val="0038580A"/>
    <w:rsid w:val="003869DF"/>
    <w:rsid w:val="00394BFD"/>
    <w:rsid w:val="00397D4D"/>
    <w:rsid w:val="003B0F46"/>
    <w:rsid w:val="003D7899"/>
    <w:rsid w:val="003F1474"/>
    <w:rsid w:val="00405586"/>
    <w:rsid w:val="00424651"/>
    <w:rsid w:val="00446C16"/>
    <w:rsid w:val="004534FF"/>
    <w:rsid w:val="004711C3"/>
    <w:rsid w:val="00475E64"/>
    <w:rsid w:val="00485873"/>
    <w:rsid w:val="004A30DF"/>
    <w:rsid w:val="004A4A32"/>
    <w:rsid w:val="004B071D"/>
    <w:rsid w:val="004B5559"/>
    <w:rsid w:val="004B5D61"/>
    <w:rsid w:val="004B7DBF"/>
    <w:rsid w:val="004C15AD"/>
    <w:rsid w:val="004C41AC"/>
    <w:rsid w:val="004C5008"/>
    <w:rsid w:val="004D244D"/>
    <w:rsid w:val="004E19F0"/>
    <w:rsid w:val="004E35DE"/>
    <w:rsid w:val="004E49FC"/>
    <w:rsid w:val="004E7543"/>
    <w:rsid w:val="00500837"/>
    <w:rsid w:val="0052204F"/>
    <w:rsid w:val="00527D8A"/>
    <w:rsid w:val="005303CF"/>
    <w:rsid w:val="00535CA0"/>
    <w:rsid w:val="00540830"/>
    <w:rsid w:val="00551692"/>
    <w:rsid w:val="00555274"/>
    <w:rsid w:val="00564920"/>
    <w:rsid w:val="005666BA"/>
    <w:rsid w:val="0057339E"/>
    <w:rsid w:val="00573FEB"/>
    <w:rsid w:val="00596AAF"/>
    <w:rsid w:val="00597285"/>
    <w:rsid w:val="005B095D"/>
    <w:rsid w:val="005C0FB0"/>
    <w:rsid w:val="005C7F41"/>
    <w:rsid w:val="005E791E"/>
    <w:rsid w:val="005F53D8"/>
    <w:rsid w:val="005F686A"/>
    <w:rsid w:val="00601D0B"/>
    <w:rsid w:val="00601EAB"/>
    <w:rsid w:val="00606F59"/>
    <w:rsid w:val="00611772"/>
    <w:rsid w:val="00614414"/>
    <w:rsid w:val="0062003A"/>
    <w:rsid w:val="0062148A"/>
    <w:rsid w:val="0062225E"/>
    <w:rsid w:val="006315FE"/>
    <w:rsid w:val="00632055"/>
    <w:rsid w:val="006407E3"/>
    <w:rsid w:val="006472C0"/>
    <w:rsid w:val="006573B7"/>
    <w:rsid w:val="00663114"/>
    <w:rsid w:val="006713A5"/>
    <w:rsid w:val="006808CD"/>
    <w:rsid w:val="00692B55"/>
    <w:rsid w:val="006A55E0"/>
    <w:rsid w:val="006B242C"/>
    <w:rsid w:val="006C7939"/>
    <w:rsid w:val="006D29CB"/>
    <w:rsid w:val="006D414D"/>
    <w:rsid w:val="006D7F4A"/>
    <w:rsid w:val="006E7F16"/>
    <w:rsid w:val="006F0A93"/>
    <w:rsid w:val="006F6892"/>
    <w:rsid w:val="006F7C2A"/>
    <w:rsid w:val="0070352F"/>
    <w:rsid w:val="007075D1"/>
    <w:rsid w:val="00725713"/>
    <w:rsid w:val="00725A1A"/>
    <w:rsid w:val="007345CD"/>
    <w:rsid w:val="00734873"/>
    <w:rsid w:val="00741A3F"/>
    <w:rsid w:val="0074518B"/>
    <w:rsid w:val="0074561C"/>
    <w:rsid w:val="00745942"/>
    <w:rsid w:val="0074681A"/>
    <w:rsid w:val="00753553"/>
    <w:rsid w:val="0075511B"/>
    <w:rsid w:val="00764F92"/>
    <w:rsid w:val="0076637F"/>
    <w:rsid w:val="00771BEE"/>
    <w:rsid w:val="00773F70"/>
    <w:rsid w:val="00775A6C"/>
    <w:rsid w:val="00775AC6"/>
    <w:rsid w:val="00792F11"/>
    <w:rsid w:val="00795B58"/>
    <w:rsid w:val="007A410F"/>
    <w:rsid w:val="007A6284"/>
    <w:rsid w:val="007B10CC"/>
    <w:rsid w:val="007C2465"/>
    <w:rsid w:val="007C426F"/>
    <w:rsid w:val="007C4F02"/>
    <w:rsid w:val="007C740F"/>
    <w:rsid w:val="007D074E"/>
    <w:rsid w:val="007D4FEC"/>
    <w:rsid w:val="007E203F"/>
    <w:rsid w:val="007E4E14"/>
    <w:rsid w:val="007E6941"/>
    <w:rsid w:val="007F1BB4"/>
    <w:rsid w:val="007F6003"/>
    <w:rsid w:val="00800E03"/>
    <w:rsid w:val="008037B8"/>
    <w:rsid w:val="00806318"/>
    <w:rsid w:val="00810EAB"/>
    <w:rsid w:val="008260EB"/>
    <w:rsid w:val="00840C49"/>
    <w:rsid w:val="00842C34"/>
    <w:rsid w:val="00850483"/>
    <w:rsid w:val="00861A65"/>
    <w:rsid w:val="008621B3"/>
    <w:rsid w:val="00872DA8"/>
    <w:rsid w:val="00877BD5"/>
    <w:rsid w:val="008A32B8"/>
    <w:rsid w:val="008A5F9A"/>
    <w:rsid w:val="008B0084"/>
    <w:rsid w:val="008B0135"/>
    <w:rsid w:val="008E0E8F"/>
    <w:rsid w:val="008E526F"/>
    <w:rsid w:val="008F22EF"/>
    <w:rsid w:val="008F5E43"/>
    <w:rsid w:val="00902DC8"/>
    <w:rsid w:val="00903F97"/>
    <w:rsid w:val="009079C0"/>
    <w:rsid w:val="00911CA1"/>
    <w:rsid w:val="00913967"/>
    <w:rsid w:val="0093302C"/>
    <w:rsid w:val="00940B71"/>
    <w:rsid w:val="00941707"/>
    <w:rsid w:val="00962F5C"/>
    <w:rsid w:val="00965A5F"/>
    <w:rsid w:val="0097213D"/>
    <w:rsid w:val="009725A1"/>
    <w:rsid w:val="0098425A"/>
    <w:rsid w:val="009932D8"/>
    <w:rsid w:val="00993D56"/>
    <w:rsid w:val="00994DBD"/>
    <w:rsid w:val="009975A1"/>
    <w:rsid w:val="00997AA1"/>
    <w:rsid w:val="00997B7E"/>
    <w:rsid w:val="009A05BD"/>
    <w:rsid w:val="009A09D7"/>
    <w:rsid w:val="009C0CC3"/>
    <w:rsid w:val="009C2769"/>
    <w:rsid w:val="009D0370"/>
    <w:rsid w:val="009E2504"/>
    <w:rsid w:val="009E3CE7"/>
    <w:rsid w:val="009E60AB"/>
    <w:rsid w:val="009E755B"/>
    <w:rsid w:val="009F1E90"/>
    <w:rsid w:val="009F69BE"/>
    <w:rsid w:val="00A04A9B"/>
    <w:rsid w:val="00A06C22"/>
    <w:rsid w:val="00A07DFA"/>
    <w:rsid w:val="00A12705"/>
    <w:rsid w:val="00A143DD"/>
    <w:rsid w:val="00A46012"/>
    <w:rsid w:val="00A46B6A"/>
    <w:rsid w:val="00A470F3"/>
    <w:rsid w:val="00A616D5"/>
    <w:rsid w:val="00A66799"/>
    <w:rsid w:val="00A66C8D"/>
    <w:rsid w:val="00A7075A"/>
    <w:rsid w:val="00A748AC"/>
    <w:rsid w:val="00A773B5"/>
    <w:rsid w:val="00A94EA3"/>
    <w:rsid w:val="00A97B0D"/>
    <w:rsid w:val="00A97C8E"/>
    <w:rsid w:val="00AA175C"/>
    <w:rsid w:val="00AA3B01"/>
    <w:rsid w:val="00AA6778"/>
    <w:rsid w:val="00AA6D98"/>
    <w:rsid w:val="00AB7A0E"/>
    <w:rsid w:val="00AC7698"/>
    <w:rsid w:val="00AF08A0"/>
    <w:rsid w:val="00AF1DB3"/>
    <w:rsid w:val="00AF355C"/>
    <w:rsid w:val="00AF4BCB"/>
    <w:rsid w:val="00AF5E6E"/>
    <w:rsid w:val="00B01A06"/>
    <w:rsid w:val="00B10F5D"/>
    <w:rsid w:val="00B26F52"/>
    <w:rsid w:val="00B3331F"/>
    <w:rsid w:val="00B3682A"/>
    <w:rsid w:val="00B36E9B"/>
    <w:rsid w:val="00B437EE"/>
    <w:rsid w:val="00B449E5"/>
    <w:rsid w:val="00B52858"/>
    <w:rsid w:val="00B66DEE"/>
    <w:rsid w:val="00B70033"/>
    <w:rsid w:val="00B7008D"/>
    <w:rsid w:val="00B74B94"/>
    <w:rsid w:val="00B8290B"/>
    <w:rsid w:val="00B87B36"/>
    <w:rsid w:val="00B901E5"/>
    <w:rsid w:val="00BB256D"/>
    <w:rsid w:val="00BB7645"/>
    <w:rsid w:val="00BC472B"/>
    <w:rsid w:val="00BC4C5F"/>
    <w:rsid w:val="00BC6A29"/>
    <w:rsid w:val="00BD2A6F"/>
    <w:rsid w:val="00BD4E82"/>
    <w:rsid w:val="00BD67FA"/>
    <w:rsid w:val="00BE204F"/>
    <w:rsid w:val="00BE7CC3"/>
    <w:rsid w:val="00BF1283"/>
    <w:rsid w:val="00BF38B0"/>
    <w:rsid w:val="00C01E62"/>
    <w:rsid w:val="00C25F7A"/>
    <w:rsid w:val="00C32FB0"/>
    <w:rsid w:val="00C37886"/>
    <w:rsid w:val="00C41C93"/>
    <w:rsid w:val="00C42B10"/>
    <w:rsid w:val="00C43D8F"/>
    <w:rsid w:val="00C46521"/>
    <w:rsid w:val="00C47E4E"/>
    <w:rsid w:val="00C54965"/>
    <w:rsid w:val="00C56D91"/>
    <w:rsid w:val="00C56E00"/>
    <w:rsid w:val="00C642D7"/>
    <w:rsid w:val="00C70CAC"/>
    <w:rsid w:val="00C71880"/>
    <w:rsid w:val="00C864ED"/>
    <w:rsid w:val="00C87CC8"/>
    <w:rsid w:val="00C917C9"/>
    <w:rsid w:val="00C94E8D"/>
    <w:rsid w:val="00C969D9"/>
    <w:rsid w:val="00C9701E"/>
    <w:rsid w:val="00CA132E"/>
    <w:rsid w:val="00CA2337"/>
    <w:rsid w:val="00CA70E9"/>
    <w:rsid w:val="00CB6C15"/>
    <w:rsid w:val="00CB710B"/>
    <w:rsid w:val="00CC4EAD"/>
    <w:rsid w:val="00CE278D"/>
    <w:rsid w:val="00CE5EE7"/>
    <w:rsid w:val="00D00395"/>
    <w:rsid w:val="00D00FC3"/>
    <w:rsid w:val="00D07729"/>
    <w:rsid w:val="00D1106D"/>
    <w:rsid w:val="00D23C0A"/>
    <w:rsid w:val="00D45095"/>
    <w:rsid w:val="00D46C37"/>
    <w:rsid w:val="00D478E8"/>
    <w:rsid w:val="00D51C6A"/>
    <w:rsid w:val="00D528F7"/>
    <w:rsid w:val="00D5297E"/>
    <w:rsid w:val="00D57CA4"/>
    <w:rsid w:val="00D648E8"/>
    <w:rsid w:val="00D75081"/>
    <w:rsid w:val="00D87F12"/>
    <w:rsid w:val="00D92909"/>
    <w:rsid w:val="00D92C6B"/>
    <w:rsid w:val="00DA0324"/>
    <w:rsid w:val="00DA6B1D"/>
    <w:rsid w:val="00DB1A38"/>
    <w:rsid w:val="00DB271A"/>
    <w:rsid w:val="00DB74FD"/>
    <w:rsid w:val="00DC6A18"/>
    <w:rsid w:val="00DE3EC2"/>
    <w:rsid w:val="00DF13BC"/>
    <w:rsid w:val="00DF3C9F"/>
    <w:rsid w:val="00DF5B38"/>
    <w:rsid w:val="00E00DEC"/>
    <w:rsid w:val="00E015CF"/>
    <w:rsid w:val="00E23C2B"/>
    <w:rsid w:val="00E26E61"/>
    <w:rsid w:val="00E30C0D"/>
    <w:rsid w:val="00E3218A"/>
    <w:rsid w:val="00E4006D"/>
    <w:rsid w:val="00E41A0A"/>
    <w:rsid w:val="00E546AB"/>
    <w:rsid w:val="00E57937"/>
    <w:rsid w:val="00E65FCC"/>
    <w:rsid w:val="00E67366"/>
    <w:rsid w:val="00E76384"/>
    <w:rsid w:val="00E91404"/>
    <w:rsid w:val="00E97FDA"/>
    <w:rsid w:val="00EA775D"/>
    <w:rsid w:val="00EB2D3D"/>
    <w:rsid w:val="00EC2393"/>
    <w:rsid w:val="00EC68AC"/>
    <w:rsid w:val="00ED6AB0"/>
    <w:rsid w:val="00EE141E"/>
    <w:rsid w:val="00EE41B4"/>
    <w:rsid w:val="00EE6E5F"/>
    <w:rsid w:val="00F006E2"/>
    <w:rsid w:val="00F06398"/>
    <w:rsid w:val="00F0775A"/>
    <w:rsid w:val="00F10328"/>
    <w:rsid w:val="00F2094F"/>
    <w:rsid w:val="00F22934"/>
    <w:rsid w:val="00F26727"/>
    <w:rsid w:val="00F32AA6"/>
    <w:rsid w:val="00F41E42"/>
    <w:rsid w:val="00F443AA"/>
    <w:rsid w:val="00F52294"/>
    <w:rsid w:val="00F54CB5"/>
    <w:rsid w:val="00F62221"/>
    <w:rsid w:val="00F63F68"/>
    <w:rsid w:val="00F70E1A"/>
    <w:rsid w:val="00F80541"/>
    <w:rsid w:val="00F838B8"/>
    <w:rsid w:val="00F91173"/>
    <w:rsid w:val="00F9257D"/>
    <w:rsid w:val="00F9304D"/>
    <w:rsid w:val="00FB4014"/>
    <w:rsid w:val="00FB5C1E"/>
    <w:rsid w:val="00FC5CC3"/>
    <w:rsid w:val="00FD13B0"/>
    <w:rsid w:val="00FD485A"/>
    <w:rsid w:val="00FE181D"/>
    <w:rsid w:val="00FE7BBE"/>
    <w:rsid w:val="00FF2944"/>
    <w:rsid w:val="00FF67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6" w:qFormat="1"/>
    <w:lsdException w:name="heading 3" w:uiPriority="7"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semiHidden="0" w:uiPriority="0" w:unhideWhenUsed="0" w:qFormat="1"/>
    <w:lsdException w:name="List Bullet 2" w:semiHidden="0" w:uiPriority="0" w:unhideWhenUsed="0" w:qFormat="1"/>
    <w:lsdException w:name="Title" w:semiHidden="0" w:uiPriority="11" w:unhideWhenUsed="0" w:qFormat="1"/>
    <w:lsdException w:name="Default Paragraph Font" w:uiPriority="1"/>
    <w:lsdException w:name="Subtitle" w:semiHidden="0" w:uiPriority="12"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locked="1"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locked="1" w:semiHidden="0" w:uiPriority="64" w:unhideWhenUsed="0"/>
    <w:lsdException w:name="Medium List 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locked="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8"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locked="1" w:semiHidden="0" w:uiPriority="64" w:unhideWhenUsed="0"/>
    <w:lsdException w:name="Medium List 1 Accent 2"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locked="1" w:semiHidden="0" w:uiPriority="64" w:unhideWhenUsed="0"/>
    <w:lsdException w:name="Medium List 1 Accent 3"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locked="1" w:semiHidden="0" w:uiPriority="64" w:unhideWhenUsed="0"/>
    <w:lsdException w:name="Medium List 1 Accent 4"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locked="1" w:semiHidden="0" w:uiPriority="64" w:unhideWhenUsed="0"/>
    <w:lsdException w:name="Medium List 1 Accent 5"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locked="1" w:semiHidden="0" w:uiPriority="64" w:unhideWhenUsed="0"/>
    <w:lsdException w:name="Medium List 1 Accent 6"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63114"/>
  </w:style>
  <w:style w:type="paragraph" w:styleId="Heading1">
    <w:name w:val="heading 1"/>
    <w:basedOn w:val="Normal"/>
    <w:next w:val="Normal"/>
    <w:link w:val="Heading1Char"/>
    <w:uiPriority w:val="4"/>
    <w:qFormat/>
    <w:rsid w:val="005F53D8"/>
    <w:pPr>
      <w:keepNext/>
      <w:keepLines/>
      <w:spacing w:before="200" w:after="60"/>
      <w:outlineLvl w:val="0"/>
    </w:pPr>
    <w:rPr>
      <w:rFonts w:asciiTheme="majorHAnsi" w:eastAsiaTheme="majorEastAsia" w:hAnsiTheme="majorHAnsi" w:cstheme="majorBidi"/>
      <w:b/>
      <w:bCs/>
      <w:color w:val="008A00" w:themeColor="background2"/>
      <w:sz w:val="32"/>
      <w:szCs w:val="28"/>
    </w:rPr>
  </w:style>
  <w:style w:type="paragraph" w:styleId="Heading2">
    <w:name w:val="heading 2"/>
    <w:basedOn w:val="Normal"/>
    <w:next w:val="Normal"/>
    <w:link w:val="Heading2Char"/>
    <w:uiPriority w:val="6"/>
    <w:qFormat/>
    <w:rsid w:val="00FD485A"/>
    <w:pPr>
      <w:keepNext/>
      <w:keepLines/>
      <w:spacing w:before="200" w:after="40"/>
      <w:outlineLvl w:val="1"/>
    </w:pPr>
    <w:rPr>
      <w:rFonts w:asciiTheme="majorHAnsi" w:eastAsiaTheme="majorEastAsia" w:hAnsiTheme="majorHAnsi" w:cstheme="majorBidi"/>
      <w:b/>
      <w:bCs/>
      <w:color w:val="008A00" w:themeColor="background2"/>
      <w:sz w:val="28"/>
      <w:szCs w:val="32"/>
    </w:rPr>
  </w:style>
  <w:style w:type="paragraph" w:styleId="Heading3">
    <w:name w:val="heading 3"/>
    <w:basedOn w:val="Normal"/>
    <w:next w:val="Normal"/>
    <w:link w:val="Heading3Char"/>
    <w:uiPriority w:val="7"/>
    <w:qFormat/>
    <w:rsid w:val="00FD485A"/>
    <w:pPr>
      <w:keepNext/>
      <w:keepLines/>
      <w:spacing w:before="200" w:after="40"/>
      <w:outlineLvl w:val="2"/>
    </w:pPr>
    <w:rPr>
      <w:rFonts w:asciiTheme="majorHAnsi" w:eastAsiaTheme="majorEastAsia" w:hAnsiTheme="majorHAnsi" w:cstheme="majorBidi"/>
      <w:b/>
      <w:bCs/>
      <w:color w:val="004200" w:themeColor="text2"/>
      <w:sz w:val="26"/>
    </w:rPr>
  </w:style>
  <w:style w:type="paragraph" w:styleId="Heading4">
    <w:name w:val="heading 4"/>
    <w:basedOn w:val="Normal"/>
    <w:next w:val="Normal"/>
    <w:link w:val="Heading4Char"/>
    <w:uiPriority w:val="8"/>
    <w:qFormat/>
    <w:rsid w:val="00FD485A"/>
    <w:pPr>
      <w:keepNext/>
      <w:keepLines/>
      <w:spacing w:before="200" w:after="0"/>
      <w:outlineLvl w:val="3"/>
    </w:pPr>
    <w:rPr>
      <w:rFonts w:asciiTheme="majorHAnsi" w:eastAsiaTheme="majorEastAsia" w:hAnsiTheme="majorHAnsi" w:cstheme="majorBidi"/>
      <w:b/>
      <w:bCs/>
      <w:iCs/>
      <w:color w:val="000000" w:themeColor="accent1"/>
    </w:rPr>
  </w:style>
  <w:style w:type="paragraph" w:styleId="Heading5">
    <w:name w:val="heading 5"/>
    <w:basedOn w:val="Normal"/>
    <w:next w:val="Normal"/>
    <w:link w:val="Heading5Char"/>
    <w:uiPriority w:val="9"/>
    <w:qFormat/>
    <w:rsid w:val="00FD485A"/>
    <w:pPr>
      <w:keepNext/>
      <w:keepLines/>
      <w:spacing w:before="200" w:after="0"/>
      <w:outlineLvl w:val="4"/>
    </w:pPr>
    <w:rPr>
      <w:rFonts w:asciiTheme="majorHAnsi" w:eastAsiaTheme="majorEastAsia" w:hAnsiTheme="majorHAnsi" w:cstheme="majorBidi"/>
      <w:color w:val="000000" w:themeColor="accent1" w:themeShade="7F"/>
    </w:rPr>
  </w:style>
  <w:style w:type="paragraph" w:styleId="Heading6">
    <w:name w:val="heading 6"/>
    <w:basedOn w:val="Normal"/>
    <w:next w:val="Normal"/>
    <w:link w:val="Heading6Char"/>
    <w:uiPriority w:val="9"/>
    <w:qFormat/>
    <w:rsid w:val="00BC472B"/>
    <w:pPr>
      <w:keepNext/>
      <w:keepLines/>
      <w:spacing w:before="200" w:after="0"/>
      <w:outlineLvl w:val="5"/>
    </w:pPr>
    <w:rPr>
      <w:rFonts w:asciiTheme="majorHAnsi" w:eastAsiaTheme="majorEastAsia" w:hAnsiTheme="majorHAnsi" w:cstheme="majorBidi"/>
      <w:i/>
      <w:iCs/>
      <w:color w:val="000000" w:themeColor="accent1" w:themeShade="7F"/>
    </w:rPr>
  </w:style>
  <w:style w:type="paragraph" w:styleId="Heading7">
    <w:name w:val="heading 7"/>
    <w:basedOn w:val="Normal"/>
    <w:next w:val="Normal"/>
    <w:link w:val="Heading7Char"/>
    <w:uiPriority w:val="9"/>
    <w:qFormat/>
    <w:rsid w:val="00223F52"/>
    <w:pPr>
      <w:keepNext/>
      <w:keepLines/>
      <w:spacing w:before="200" w:after="0"/>
      <w:outlineLvl w:val="6"/>
    </w:pPr>
    <w:rPr>
      <w:rFonts w:asciiTheme="majorHAnsi" w:eastAsiaTheme="majorEastAsia" w:hAnsiTheme="majorHAnsi" w:cstheme="majorBidi"/>
      <w:i/>
      <w:iCs/>
      <w:u w:val="single"/>
    </w:rPr>
  </w:style>
  <w:style w:type="paragraph" w:styleId="Heading8">
    <w:name w:val="heading 8"/>
    <w:basedOn w:val="Normal"/>
    <w:next w:val="Normal"/>
    <w:link w:val="Heading8Char"/>
    <w:uiPriority w:val="9"/>
    <w:unhideWhenUsed/>
    <w:qFormat/>
    <w:rsid w:val="00BC47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BC47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5F53D8"/>
    <w:rPr>
      <w:rFonts w:asciiTheme="majorHAnsi" w:eastAsiaTheme="majorEastAsia" w:hAnsiTheme="majorHAnsi" w:cstheme="majorBidi"/>
      <w:b/>
      <w:bCs/>
      <w:color w:val="008A00" w:themeColor="background2"/>
      <w:sz w:val="32"/>
      <w:szCs w:val="28"/>
    </w:rPr>
  </w:style>
  <w:style w:type="paragraph" w:styleId="Header">
    <w:name w:val="header"/>
    <w:basedOn w:val="Normal"/>
    <w:link w:val="HeaderChar"/>
    <w:unhideWhenUsed/>
    <w:rsid w:val="004B071D"/>
    <w:pPr>
      <w:tabs>
        <w:tab w:val="center" w:pos="4513"/>
        <w:tab w:val="right" w:pos="9026"/>
      </w:tabs>
      <w:spacing w:before="240" w:after="0" w:line="240" w:lineRule="auto"/>
    </w:pPr>
    <w:rPr>
      <w:noProof/>
      <w:lang w:eastAsia="en-AU"/>
    </w:rPr>
  </w:style>
  <w:style w:type="character" w:customStyle="1" w:styleId="HeaderChar">
    <w:name w:val="Header Char"/>
    <w:basedOn w:val="DefaultParagraphFont"/>
    <w:link w:val="Header"/>
    <w:rsid w:val="004B071D"/>
    <w:rPr>
      <w:noProof/>
      <w:lang w:eastAsia="en-AU"/>
    </w:rPr>
  </w:style>
  <w:style w:type="paragraph" w:styleId="Footer">
    <w:name w:val="footer"/>
    <w:basedOn w:val="Normal"/>
    <w:link w:val="FooterChar"/>
    <w:uiPriority w:val="99"/>
    <w:unhideWhenUsed/>
    <w:rsid w:val="00775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A6C"/>
  </w:style>
  <w:style w:type="character" w:customStyle="1" w:styleId="Heading2Char">
    <w:name w:val="Heading 2 Char"/>
    <w:basedOn w:val="DefaultParagraphFont"/>
    <w:link w:val="Heading2"/>
    <w:uiPriority w:val="6"/>
    <w:rsid w:val="00FD485A"/>
    <w:rPr>
      <w:rFonts w:asciiTheme="majorHAnsi" w:eastAsiaTheme="majorEastAsia" w:hAnsiTheme="majorHAnsi" w:cstheme="majorBidi"/>
      <w:b/>
      <w:bCs/>
      <w:color w:val="008A00" w:themeColor="background2"/>
      <w:sz w:val="28"/>
      <w:szCs w:val="32"/>
    </w:rPr>
  </w:style>
  <w:style w:type="character" w:customStyle="1" w:styleId="Heading3Char">
    <w:name w:val="Heading 3 Char"/>
    <w:basedOn w:val="DefaultParagraphFont"/>
    <w:link w:val="Heading3"/>
    <w:uiPriority w:val="7"/>
    <w:rsid w:val="00FD485A"/>
    <w:rPr>
      <w:rFonts w:asciiTheme="majorHAnsi" w:eastAsiaTheme="majorEastAsia" w:hAnsiTheme="majorHAnsi" w:cstheme="majorBidi"/>
      <w:b/>
      <w:bCs/>
      <w:color w:val="004200" w:themeColor="text2"/>
      <w:sz w:val="26"/>
    </w:rPr>
  </w:style>
  <w:style w:type="paragraph" w:styleId="ListParagraph">
    <w:name w:val="List Paragraph"/>
    <w:basedOn w:val="Normal"/>
    <w:link w:val="ListParagraphChar"/>
    <w:uiPriority w:val="34"/>
    <w:qFormat/>
    <w:rsid w:val="004C15AD"/>
    <w:pPr>
      <w:ind w:left="720"/>
      <w:contextualSpacing/>
    </w:pPr>
  </w:style>
  <w:style w:type="paragraph" w:styleId="Quote">
    <w:name w:val="Quote"/>
    <w:basedOn w:val="Normal"/>
    <w:next w:val="Normal"/>
    <w:link w:val="QuoteChar"/>
    <w:uiPriority w:val="28"/>
    <w:qFormat/>
    <w:rsid w:val="00335A8F"/>
    <w:rPr>
      <w:i/>
      <w:iCs/>
      <w:color w:val="000000" w:themeColor="text1"/>
    </w:rPr>
  </w:style>
  <w:style w:type="character" w:customStyle="1" w:styleId="QuoteChar">
    <w:name w:val="Quote Char"/>
    <w:basedOn w:val="DefaultParagraphFont"/>
    <w:link w:val="Quote"/>
    <w:uiPriority w:val="28"/>
    <w:rsid w:val="006D7F4A"/>
    <w:rPr>
      <w:i/>
      <w:iCs/>
      <w:color w:val="000000" w:themeColor="text1"/>
      <w:sz w:val="24"/>
    </w:rPr>
  </w:style>
  <w:style w:type="paragraph" w:customStyle="1" w:styleId="Bullet1">
    <w:name w:val="Bullet 1"/>
    <w:basedOn w:val="Normal"/>
    <w:uiPriority w:val="34"/>
    <w:semiHidden/>
    <w:rsid w:val="00800E03"/>
    <w:pPr>
      <w:numPr>
        <w:numId w:val="1"/>
      </w:numPr>
      <w:tabs>
        <w:tab w:val="num" w:pos="360"/>
      </w:tabs>
      <w:ind w:left="0" w:firstLine="0"/>
    </w:pPr>
  </w:style>
  <w:style w:type="character" w:customStyle="1" w:styleId="Act">
    <w:name w:val="Act"/>
    <w:basedOn w:val="DefaultParagraphFont"/>
    <w:uiPriority w:val="23"/>
    <w:qFormat/>
    <w:rsid w:val="00335A8F"/>
    <w:rPr>
      <w:i/>
    </w:rPr>
  </w:style>
  <w:style w:type="paragraph" w:styleId="Title">
    <w:name w:val="Title"/>
    <w:aliases w:val="Title Artwork"/>
    <w:basedOn w:val="Normal"/>
    <w:next w:val="Subtitle"/>
    <w:link w:val="TitleChar"/>
    <w:uiPriority w:val="11"/>
    <w:qFormat/>
    <w:rsid w:val="00CB710B"/>
    <w:pPr>
      <w:spacing w:before="9000" w:after="300" w:line="240" w:lineRule="auto"/>
      <w:ind w:left="6804" w:right="260"/>
      <w:contextualSpacing/>
      <w:jc w:val="right"/>
    </w:pPr>
    <w:rPr>
      <w:rFonts w:asciiTheme="majorHAnsi" w:eastAsiaTheme="majorEastAsia" w:hAnsiTheme="majorHAnsi" w:cstheme="majorBidi"/>
      <w:color w:val="000000" w:themeColor="text1"/>
      <w:spacing w:val="5"/>
      <w:kern w:val="28"/>
      <w:sz w:val="48"/>
      <w:szCs w:val="52"/>
    </w:rPr>
  </w:style>
  <w:style w:type="character" w:customStyle="1" w:styleId="TitleChar">
    <w:name w:val="Title Char"/>
    <w:aliases w:val="Title Artwork Char"/>
    <w:basedOn w:val="DefaultParagraphFont"/>
    <w:link w:val="Title"/>
    <w:uiPriority w:val="11"/>
    <w:rsid w:val="00CB710B"/>
    <w:rPr>
      <w:rFonts w:asciiTheme="majorHAnsi" w:eastAsiaTheme="majorEastAsia" w:hAnsiTheme="majorHAnsi" w:cstheme="majorBidi"/>
      <w:color w:val="000000" w:themeColor="text1"/>
      <w:spacing w:val="5"/>
      <w:kern w:val="28"/>
      <w:sz w:val="48"/>
      <w:szCs w:val="52"/>
    </w:rPr>
  </w:style>
  <w:style w:type="paragraph" w:styleId="Subtitle">
    <w:name w:val="Subtitle"/>
    <w:basedOn w:val="Normal"/>
    <w:next w:val="VersionandDate"/>
    <w:link w:val="SubtitleChar"/>
    <w:uiPriority w:val="12"/>
    <w:qFormat/>
    <w:rsid w:val="00185C14"/>
    <w:pPr>
      <w:numPr>
        <w:ilvl w:val="1"/>
      </w:numPr>
      <w:jc w:val="right"/>
    </w:pPr>
    <w:rPr>
      <w:rFonts w:asciiTheme="majorHAnsi" w:eastAsiaTheme="majorEastAsia" w:hAnsiTheme="majorHAnsi" w:cstheme="majorBidi"/>
      <w:iCs/>
      <w:color w:val="000000" w:themeColor="accent1"/>
      <w:spacing w:val="15"/>
      <w:sz w:val="40"/>
      <w:szCs w:val="40"/>
    </w:rPr>
  </w:style>
  <w:style w:type="character" w:customStyle="1" w:styleId="SubtitleChar">
    <w:name w:val="Subtitle Char"/>
    <w:basedOn w:val="DefaultParagraphFont"/>
    <w:link w:val="Subtitle"/>
    <w:uiPriority w:val="12"/>
    <w:rsid w:val="00185C14"/>
    <w:rPr>
      <w:rFonts w:asciiTheme="majorHAnsi" w:eastAsiaTheme="majorEastAsia" w:hAnsiTheme="majorHAnsi" w:cstheme="majorBidi"/>
      <w:iCs/>
      <w:color w:val="000000" w:themeColor="accent1"/>
      <w:spacing w:val="15"/>
      <w:sz w:val="40"/>
      <w:szCs w:val="40"/>
    </w:rPr>
  </w:style>
  <w:style w:type="paragraph" w:styleId="BalloonText">
    <w:name w:val="Balloon Text"/>
    <w:basedOn w:val="Normal"/>
    <w:link w:val="BalloonTextChar"/>
    <w:uiPriority w:val="99"/>
    <w:semiHidden/>
    <w:unhideWhenUsed/>
    <w:rsid w:val="008B0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084"/>
    <w:rPr>
      <w:rFonts w:ascii="Tahoma" w:hAnsi="Tahoma" w:cs="Tahoma"/>
      <w:sz w:val="16"/>
      <w:szCs w:val="16"/>
    </w:rPr>
  </w:style>
  <w:style w:type="paragraph" w:customStyle="1" w:styleId="VersionandDate">
    <w:name w:val="Version and Date"/>
    <w:basedOn w:val="Normal"/>
    <w:next w:val="Normal"/>
    <w:uiPriority w:val="13"/>
    <w:qFormat/>
    <w:rsid w:val="0007116B"/>
    <w:pPr>
      <w:ind w:left="6804" w:right="260"/>
      <w:jc w:val="right"/>
    </w:pPr>
    <w:rPr>
      <w:sz w:val="28"/>
      <w:szCs w:val="28"/>
    </w:rPr>
  </w:style>
  <w:style w:type="paragraph" w:customStyle="1" w:styleId="Covernote">
    <w:name w:val="Cover note"/>
    <w:basedOn w:val="Normal"/>
    <w:next w:val="Normal"/>
    <w:uiPriority w:val="14"/>
    <w:rsid w:val="006472C0"/>
    <w:rPr>
      <w:i/>
    </w:rPr>
  </w:style>
  <w:style w:type="character" w:customStyle="1" w:styleId="Heading4Char">
    <w:name w:val="Heading 4 Char"/>
    <w:basedOn w:val="DefaultParagraphFont"/>
    <w:link w:val="Heading4"/>
    <w:uiPriority w:val="8"/>
    <w:rsid w:val="00FD485A"/>
    <w:rPr>
      <w:rFonts w:asciiTheme="majorHAnsi" w:eastAsiaTheme="majorEastAsia" w:hAnsiTheme="majorHAnsi" w:cstheme="majorBidi"/>
      <w:b/>
      <w:bCs/>
      <w:iCs/>
      <w:color w:val="000000" w:themeColor="accent1"/>
    </w:rPr>
  </w:style>
  <w:style w:type="table" w:styleId="TableGrid">
    <w:name w:val="Table Grid"/>
    <w:basedOn w:val="TableNormal"/>
    <w:rsid w:val="000B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BEE"/>
    <w:pPr>
      <w:autoSpaceDE w:val="0"/>
      <w:autoSpaceDN w:val="0"/>
      <w:adjustRightInd w:val="0"/>
      <w:spacing w:after="0" w:line="240" w:lineRule="auto"/>
    </w:pPr>
    <w:rPr>
      <w:rFonts w:ascii="Arial" w:hAnsi="Arial" w:cs="Arial"/>
      <w:color w:val="000000"/>
      <w:sz w:val="24"/>
      <w:szCs w:val="24"/>
    </w:rPr>
  </w:style>
  <w:style w:type="table" w:styleId="LightList-Accent6">
    <w:name w:val="Light List Accent 6"/>
    <w:basedOn w:val="TableNormal"/>
    <w:uiPriority w:val="61"/>
    <w:rsid w:val="00EC68AC"/>
    <w:pPr>
      <w:spacing w:before="40" w:after="4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6"/>
      </w:tcPr>
    </w:tblStylePr>
    <w:tblStylePr w:type="lastRow">
      <w:pPr>
        <w:wordWrap/>
        <w:spacing w:beforeLines="0" w:before="40" w:beforeAutospacing="0" w:afterLines="0" w:after="40" w:afterAutospacing="0" w:line="240" w:lineRule="auto"/>
      </w:pPr>
      <w:rPr>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tcBorders>
      </w:tcPr>
    </w:tblStylePr>
    <w:tblStylePr w:type="firstCol">
      <w:rPr>
        <w:b/>
        <w:bCs/>
      </w:rPr>
    </w:tblStylePr>
    <w:tblStylePr w:type="lastCol">
      <w:rPr>
        <w:b/>
        <w:bCs/>
      </w:r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2Horz">
      <w:tblPr/>
      <w:tcPr>
        <w:shd w:val="clear" w:color="auto" w:fill="DBDCDD" w:themeFill="accent4" w:themeFillTint="66"/>
      </w:tcPr>
    </w:tblStylePr>
  </w:style>
  <w:style w:type="table" w:styleId="LightList-Accent3">
    <w:name w:val="Light List Accent 3"/>
    <w:basedOn w:val="TableNormal"/>
    <w:uiPriority w:val="61"/>
    <w:rsid w:val="00842C34"/>
    <w:pPr>
      <w:spacing w:before="40" w:after="40" w:line="240" w:lineRule="auto"/>
    </w:pPr>
    <w:tblPr>
      <w:tblStyleRowBandSize w:val="1"/>
      <w:tblStyleColBandSize w:val="1"/>
      <w:tbl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tcBorders>
      </w:tcPr>
    </w:tblStylePr>
    <w:tblStylePr w:type="firstCol">
      <w:rPr>
        <w:b/>
        <w:bCs/>
      </w:rPr>
    </w:tblStylePr>
    <w:tblStylePr w:type="lastCol">
      <w:rPr>
        <w:b/>
        <w:bCs/>
      </w:rPr>
    </w:tblStylePr>
    <w:tblStylePr w:type="band1Vert">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1Horz">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2Horz">
      <w:tblPr/>
      <w:tcPr>
        <w:tc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l2br w:val="nil"/>
          <w:tr2bl w:val="nil"/>
        </w:tcBorders>
        <w:shd w:val="clear" w:color="auto" w:fill="A7A9AC" w:themeFill="accent4"/>
      </w:tcPr>
    </w:tblStylePr>
  </w:style>
  <w:style w:type="table" w:styleId="LightShading-Accent4">
    <w:name w:val="Light Shading Accent 4"/>
    <w:basedOn w:val="TableNormal"/>
    <w:uiPriority w:val="60"/>
    <w:locked/>
    <w:rsid w:val="00DC6A18"/>
    <w:pPr>
      <w:spacing w:after="0" w:line="240" w:lineRule="auto"/>
    </w:pPr>
    <w:rPr>
      <w:color w:val="7B7E82" w:themeColor="accent4" w:themeShade="BF"/>
    </w:rPr>
    <w:tblPr>
      <w:tblStyleRowBandSize w:val="1"/>
      <w:tblStyleColBandSize w:val="1"/>
      <w:tblBorders>
        <w:top w:val="single" w:sz="8" w:space="0" w:color="A7A9AC" w:themeColor="accent4"/>
        <w:bottom w:val="single" w:sz="8" w:space="0" w:color="A7A9AC" w:themeColor="accent4"/>
      </w:tblBorders>
    </w:tblPr>
    <w:tblStylePr w:type="fir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la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character" w:styleId="Hyperlink">
    <w:name w:val="Hyperlink"/>
    <w:basedOn w:val="DefaultParagraphFont"/>
    <w:uiPriority w:val="99"/>
    <w:unhideWhenUsed/>
    <w:rsid w:val="00771BEE"/>
    <w:rPr>
      <w:color w:val="0000FF" w:themeColor="hyperlink"/>
      <w:u w:val="single"/>
    </w:rPr>
  </w:style>
  <w:style w:type="paragraph" w:styleId="ListBullet">
    <w:name w:val="List Bullet"/>
    <w:basedOn w:val="Normal"/>
    <w:qFormat/>
    <w:rsid w:val="00397D4D"/>
    <w:pPr>
      <w:numPr>
        <w:numId w:val="2"/>
      </w:numPr>
      <w:contextualSpacing/>
    </w:pPr>
  </w:style>
  <w:style w:type="paragraph" w:styleId="ListBullet2">
    <w:name w:val="List Bullet 2"/>
    <w:basedOn w:val="ListBullet"/>
    <w:qFormat/>
    <w:rsid w:val="00397D4D"/>
  </w:style>
  <w:style w:type="paragraph" w:customStyle="1" w:styleId="Reportcopyright">
    <w:name w:val="Report (copyright)"/>
    <w:basedOn w:val="Normal"/>
    <w:next w:val="Normal"/>
    <w:uiPriority w:val="15"/>
    <w:qFormat/>
    <w:rsid w:val="005F53D8"/>
    <w:pPr>
      <w:spacing w:before="4000"/>
    </w:pPr>
    <w:rPr>
      <w:b/>
    </w:rPr>
  </w:style>
  <w:style w:type="paragraph" w:customStyle="1" w:styleId="Disclaimer">
    <w:name w:val="Disclaimer"/>
    <w:basedOn w:val="Normal"/>
    <w:uiPriority w:val="16"/>
    <w:qFormat/>
    <w:rsid w:val="00663114"/>
    <w:rPr>
      <w:i/>
    </w:rPr>
  </w:style>
  <w:style w:type="character" w:styleId="Emphasis">
    <w:name w:val="Emphasis"/>
    <w:basedOn w:val="DefaultParagraphFont"/>
    <w:uiPriority w:val="20"/>
    <w:qFormat/>
    <w:rsid w:val="009E755B"/>
    <w:rPr>
      <w:i/>
      <w:iCs/>
    </w:rPr>
  </w:style>
  <w:style w:type="character" w:styleId="Strong">
    <w:name w:val="Strong"/>
    <w:basedOn w:val="DefaultParagraphFont"/>
    <w:uiPriority w:val="22"/>
    <w:qFormat/>
    <w:rsid w:val="003773F8"/>
    <w:rPr>
      <w:b/>
      <w:bCs/>
    </w:rPr>
  </w:style>
  <w:style w:type="table" w:styleId="MediumShading1">
    <w:name w:val="Medium Shading 1"/>
    <w:basedOn w:val="TableNormal"/>
    <w:uiPriority w:val="63"/>
    <w:rsid w:val="00842C34"/>
    <w:pPr>
      <w:spacing w:before="40" w:after="4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51651"/>
    <w:pPr>
      <w:outlineLvl w:val="9"/>
    </w:pPr>
    <w:rPr>
      <w:lang w:val="en-US" w:eastAsia="ja-JP"/>
    </w:rPr>
  </w:style>
  <w:style w:type="paragraph" w:styleId="TOC1">
    <w:name w:val="toc 1"/>
    <w:basedOn w:val="Normal"/>
    <w:next w:val="Normal"/>
    <w:autoRedefine/>
    <w:uiPriority w:val="39"/>
    <w:unhideWhenUsed/>
    <w:qFormat/>
    <w:rsid w:val="00741A3F"/>
    <w:pPr>
      <w:tabs>
        <w:tab w:val="left" w:pos="709"/>
        <w:tab w:val="right" w:leader="dot" w:pos="9016"/>
      </w:tabs>
      <w:spacing w:after="100"/>
    </w:pPr>
    <w:rPr>
      <w:b/>
      <w:noProof/>
      <w:color w:val="000000" w:themeColor="text1"/>
    </w:rPr>
  </w:style>
  <w:style w:type="paragraph" w:styleId="TOC2">
    <w:name w:val="toc 2"/>
    <w:basedOn w:val="Normal"/>
    <w:next w:val="Normal"/>
    <w:autoRedefine/>
    <w:uiPriority w:val="39"/>
    <w:unhideWhenUsed/>
    <w:qFormat/>
    <w:rsid w:val="007345CD"/>
    <w:pPr>
      <w:tabs>
        <w:tab w:val="left" w:pos="709"/>
        <w:tab w:val="right" w:leader="dot" w:pos="9016"/>
      </w:tabs>
      <w:spacing w:after="100"/>
    </w:pPr>
    <w:rPr>
      <w:noProof/>
      <w:color w:val="000000" w:themeColor="text1"/>
    </w:rPr>
  </w:style>
  <w:style w:type="paragraph" w:styleId="TOC4">
    <w:name w:val="toc 4"/>
    <w:basedOn w:val="Normal"/>
    <w:next w:val="Normal"/>
    <w:autoRedefine/>
    <w:uiPriority w:val="39"/>
    <w:unhideWhenUsed/>
    <w:rsid w:val="007345CD"/>
    <w:pPr>
      <w:tabs>
        <w:tab w:val="right" w:leader="dot" w:pos="9016"/>
      </w:tabs>
      <w:spacing w:after="100"/>
    </w:pPr>
    <w:rPr>
      <w:i/>
      <w:color w:val="000000" w:themeColor="text1"/>
    </w:rPr>
  </w:style>
  <w:style w:type="paragraph" w:styleId="TOC3">
    <w:name w:val="toc 3"/>
    <w:basedOn w:val="Normal"/>
    <w:next w:val="Normal"/>
    <w:autoRedefine/>
    <w:uiPriority w:val="39"/>
    <w:unhideWhenUsed/>
    <w:qFormat/>
    <w:rsid w:val="007345CD"/>
    <w:pPr>
      <w:tabs>
        <w:tab w:val="left" w:pos="709"/>
        <w:tab w:val="right" w:leader="dot" w:pos="9016"/>
      </w:tabs>
      <w:spacing w:after="100"/>
    </w:pPr>
    <w:rPr>
      <w:i/>
      <w:noProof/>
      <w:color w:val="000000" w:themeColor="text1"/>
    </w:rPr>
  </w:style>
  <w:style w:type="table" w:styleId="LightShading-Accent1">
    <w:name w:val="Light Shading Accent 1"/>
    <w:basedOn w:val="TableNormal"/>
    <w:uiPriority w:val="60"/>
    <w:locked/>
    <w:rsid w:val="004B071D"/>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
    <w:name w:val="Light Shading"/>
    <w:basedOn w:val="TableNormal"/>
    <w:uiPriority w:val="60"/>
    <w:locked/>
    <w:rsid w:val="00D23C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1">
    <w:name w:val="Light List Accent 1"/>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2">
    <w:name w:val="Light List Accent 2"/>
    <w:basedOn w:val="TableNormal"/>
    <w:uiPriority w:val="61"/>
    <w:rsid w:val="00AF1DB3"/>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58595B"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MediumShading1-Accent3">
    <w:name w:val="Medium Shading 1 Accent 3"/>
    <w:basedOn w:val="TableNormal"/>
    <w:uiPriority w:val="63"/>
    <w:rsid w:val="00842C34"/>
    <w:pPr>
      <w:spacing w:before="40" w:after="40" w:line="240" w:lineRule="auto"/>
    </w:pPr>
    <w:tblPr>
      <w:tblStyleRowBandSize w:val="1"/>
      <w:tblBorders>
        <w:top w:val="single" w:sz="8"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single" w:sz="8" w:space="0" w:color="9FA1A3"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locked/>
    <w:rsid w:val="00A07DFA"/>
    <w:pPr>
      <w:spacing w:after="0" w:line="240" w:lineRule="auto"/>
    </w:pPr>
    <w:rPr>
      <w:color w:val="FFFFFF" w:themeColor="background1"/>
    </w:rPr>
    <w:tblPr>
      <w:tblStyleRowBandSize w:val="1"/>
      <w:tblStyleColBandSize w:val="1"/>
    </w:tblPr>
    <w:tcPr>
      <w:shd w:val="clear" w:color="auto" w:fill="004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1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100" w:themeFill="accent6" w:themeFillShade="BF"/>
      </w:tcPr>
    </w:tblStylePr>
    <w:tblStylePr w:type="band1Vert">
      <w:tblPr/>
      <w:tcPr>
        <w:tcBorders>
          <w:top w:val="nil"/>
          <w:left w:val="nil"/>
          <w:bottom w:val="nil"/>
          <w:right w:val="nil"/>
          <w:insideH w:val="nil"/>
          <w:insideV w:val="nil"/>
        </w:tcBorders>
        <w:shd w:val="clear" w:color="auto" w:fill="003100" w:themeFill="accent6" w:themeFillShade="BF"/>
      </w:tcPr>
    </w:tblStylePr>
    <w:tblStylePr w:type="band1Horz">
      <w:tblPr/>
      <w:tcPr>
        <w:tcBorders>
          <w:top w:val="nil"/>
          <w:left w:val="nil"/>
          <w:bottom w:val="nil"/>
          <w:right w:val="nil"/>
          <w:insideH w:val="nil"/>
          <w:insideV w:val="nil"/>
        </w:tcBorders>
        <w:shd w:val="clear" w:color="auto" w:fill="003100" w:themeFill="accent6" w:themeFillShade="BF"/>
      </w:tcPr>
    </w:tblStylePr>
  </w:style>
  <w:style w:type="paragraph" w:customStyle="1" w:styleId="OrganisationName">
    <w:name w:val="Organisation Name"/>
    <w:basedOn w:val="Normal"/>
    <w:next w:val="Title"/>
    <w:uiPriority w:val="10"/>
    <w:qFormat/>
    <w:rsid w:val="00320A93"/>
    <w:rPr>
      <w:b/>
      <w:noProof/>
      <w:sz w:val="36"/>
      <w:szCs w:val="36"/>
      <w:lang w:eastAsia="en-AU"/>
    </w:rPr>
  </w:style>
  <w:style w:type="paragraph" w:styleId="Caption">
    <w:name w:val="caption"/>
    <w:basedOn w:val="Normal"/>
    <w:next w:val="Normal"/>
    <w:unhideWhenUsed/>
    <w:qFormat/>
    <w:rsid w:val="000F6308"/>
    <w:pPr>
      <w:spacing w:line="240" w:lineRule="auto"/>
    </w:pPr>
    <w:rPr>
      <w:bCs/>
      <w:color w:val="000000" w:themeColor="accent1"/>
      <w:szCs w:val="18"/>
    </w:rPr>
  </w:style>
  <w:style w:type="character" w:customStyle="1" w:styleId="Heading5Char">
    <w:name w:val="Heading 5 Char"/>
    <w:basedOn w:val="DefaultParagraphFont"/>
    <w:link w:val="Heading5"/>
    <w:uiPriority w:val="9"/>
    <w:rsid w:val="00FD485A"/>
    <w:rPr>
      <w:rFonts w:asciiTheme="majorHAnsi" w:eastAsiaTheme="majorEastAsia" w:hAnsiTheme="majorHAnsi" w:cstheme="majorBidi"/>
      <w:color w:val="000000" w:themeColor="accent1" w:themeShade="7F"/>
    </w:rPr>
  </w:style>
  <w:style w:type="character" w:customStyle="1" w:styleId="Heading6Char">
    <w:name w:val="Heading 6 Char"/>
    <w:basedOn w:val="DefaultParagraphFont"/>
    <w:link w:val="Heading6"/>
    <w:uiPriority w:val="9"/>
    <w:rsid w:val="00663114"/>
    <w:rPr>
      <w:rFonts w:asciiTheme="majorHAnsi" w:eastAsiaTheme="majorEastAsia" w:hAnsiTheme="majorHAnsi" w:cstheme="majorBidi"/>
      <w:i/>
      <w:iCs/>
      <w:color w:val="000000" w:themeColor="accent1" w:themeShade="7F"/>
    </w:rPr>
  </w:style>
  <w:style w:type="character" w:customStyle="1" w:styleId="Heading7Char">
    <w:name w:val="Heading 7 Char"/>
    <w:basedOn w:val="DefaultParagraphFont"/>
    <w:link w:val="Heading7"/>
    <w:uiPriority w:val="9"/>
    <w:rsid w:val="00223F52"/>
    <w:rPr>
      <w:rFonts w:asciiTheme="majorHAnsi" w:eastAsiaTheme="majorEastAsia" w:hAnsiTheme="majorHAnsi" w:cstheme="majorBidi"/>
      <w:i/>
      <w:iCs/>
      <w:u w:val="single"/>
    </w:rPr>
  </w:style>
  <w:style w:type="character" w:customStyle="1" w:styleId="Heading8Char">
    <w:name w:val="Heading 8 Char"/>
    <w:basedOn w:val="DefaultParagraphFont"/>
    <w:link w:val="Heading8"/>
    <w:uiPriority w:val="9"/>
    <w:rsid w:val="0066311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66311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741A3F"/>
    <w:rPr>
      <w:color w:val="808080"/>
    </w:rPr>
  </w:style>
  <w:style w:type="paragraph" w:styleId="NoSpacing">
    <w:name w:val="No Spacing"/>
    <w:basedOn w:val="Normal"/>
    <w:uiPriority w:val="1"/>
    <w:qFormat/>
    <w:rsid w:val="00D87F12"/>
    <w:pPr>
      <w:spacing w:after="0" w:line="240" w:lineRule="auto"/>
    </w:pPr>
    <w:rPr>
      <w:sz w:val="24"/>
    </w:rPr>
  </w:style>
  <w:style w:type="table" w:styleId="MediumShading1-Accent1">
    <w:name w:val="Medium Shading 1 Accent 1"/>
    <w:basedOn w:val="TableNormal"/>
    <w:uiPriority w:val="63"/>
    <w:rsid w:val="00842C34"/>
    <w:pPr>
      <w:spacing w:before="40" w:after="4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wordWrap/>
        <w:spacing w:beforeLines="0" w:before="40" w:beforeAutospacing="0" w:afterLines="0" w:after="40" w:afterAutospacing="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locked/>
    <w:rsid w:val="007A6284"/>
    <w:pPr>
      <w:spacing w:after="0" w:line="240" w:lineRule="auto"/>
    </w:pPr>
    <w:rPr>
      <w:color w:val="000000" w:themeColor="text1"/>
    </w:rPr>
    <w:tblPr>
      <w:tblStyleRowBandSize w:val="1"/>
      <w:tblStyleColBandSize w:val="1"/>
    </w:tblPr>
    <w:tcPr>
      <w:shd w:val="clear" w:color="auto" w:fill="D3FFD3" w:themeFill="accent6" w:themeFillTint="19"/>
    </w:tcPr>
    <w:tblStylePr w:type="firstRow">
      <w:rPr>
        <w:b/>
        <w:bCs/>
        <w:color w:val="FFFFFF" w:themeColor="background1"/>
      </w:rPr>
      <w:tblPr/>
      <w:tcPr>
        <w:tcBorders>
          <w:bottom w:val="single" w:sz="12" w:space="0" w:color="FFFFFF" w:themeColor="background1"/>
        </w:tcBorders>
        <w:shd w:val="clear" w:color="auto" w:fill="006E00" w:themeFill="accent5" w:themeFillShade="CC"/>
      </w:tcPr>
    </w:tblStylePr>
    <w:tblStylePr w:type="lastRow">
      <w:rPr>
        <w:b/>
        <w:bCs/>
        <w:color w:val="00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FF91" w:themeFill="accent6" w:themeFillTint="3F"/>
      </w:tcPr>
    </w:tblStylePr>
    <w:tblStylePr w:type="band1Horz">
      <w:tblPr/>
      <w:tcPr>
        <w:shd w:val="clear" w:color="auto" w:fill="A6FFA6" w:themeFill="accent6" w:themeFillTint="33"/>
      </w:tcPr>
    </w:tblStylePr>
  </w:style>
  <w:style w:type="table" w:styleId="LightList-Accent5">
    <w:name w:val="Light List Accent 5"/>
    <w:basedOn w:val="TableNormal"/>
    <w:uiPriority w:val="61"/>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tcBorders>
      </w:tcPr>
    </w:tblStylePr>
    <w:tblStylePr w:type="firstCol">
      <w:rPr>
        <w:b/>
        <w:bCs/>
      </w:rPr>
    </w:tblStylePr>
    <w:tblStylePr w:type="lastCol">
      <w:rPr>
        <w:b/>
        <w:bCs/>
      </w:rPr>
    </w:tblStylePr>
    <w:tblStylePr w:type="band1Vert">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1Horz">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2Horz">
      <w:tblPr/>
      <w:tcPr>
        <w:shd w:val="clear" w:color="auto" w:fill="DBDCDD" w:themeFill="accent4" w:themeFillTint="66"/>
      </w:tcPr>
    </w:tblStylePr>
  </w:style>
  <w:style w:type="table" w:styleId="MediumGrid1">
    <w:name w:val="Medium Grid 1"/>
    <w:basedOn w:val="TableNormal"/>
    <w:uiPriority w:val="67"/>
    <w:locked/>
    <w:rsid w:val="007A62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locked/>
    <w:rsid w:val="007A6284"/>
    <w:pPr>
      <w:spacing w:after="0" w:line="240" w:lineRule="auto"/>
    </w:pPr>
    <w:rPr>
      <w:color w:val="003100" w:themeColor="accent6" w:themeShade="BF"/>
    </w:rPr>
    <w:tblPr>
      <w:tblStyleRowBandSize w:val="1"/>
      <w:tblStyleColBandSize w:val="1"/>
      <w:tblBorders>
        <w:top w:val="single" w:sz="8" w:space="0" w:color="004200" w:themeColor="accent6"/>
        <w:bottom w:val="single" w:sz="8" w:space="0" w:color="004200" w:themeColor="accent6"/>
      </w:tblBorders>
    </w:tblPr>
    <w:tblStylePr w:type="fir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la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6" w:themeFillTint="3F"/>
      </w:tcPr>
    </w:tblStylePr>
    <w:tblStylePr w:type="band1Horz">
      <w:tblPr/>
      <w:tcPr>
        <w:tcBorders>
          <w:left w:val="nil"/>
          <w:right w:val="nil"/>
          <w:insideH w:val="nil"/>
          <w:insideV w:val="nil"/>
        </w:tcBorders>
        <w:shd w:val="clear" w:color="auto" w:fill="91FF91" w:themeFill="accent6" w:themeFillTint="3F"/>
      </w:tcPr>
    </w:tblStylePr>
  </w:style>
  <w:style w:type="table" w:styleId="MediumShading1-Accent2">
    <w:name w:val="Medium Shading 1 Accent 2"/>
    <w:basedOn w:val="TableNormal"/>
    <w:uiPriority w:val="63"/>
    <w:rsid w:val="00842C34"/>
    <w:pPr>
      <w:spacing w:before="40" w:after="40" w:line="240" w:lineRule="auto"/>
    </w:pPr>
    <w:tblPr>
      <w:tblStyleRowBandSize w:val="1"/>
      <w:tblStyleColBandSize w:val="1"/>
      <w:tbl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single" w:sz="8" w:space="0" w:color="808285"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shd w:val="clear" w:color="auto" w:fill="58595B" w:themeFill="accent2"/>
      </w:tcPr>
    </w:tblStylePr>
    <w:tblStylePr w:type="lastRow">
      <w:pPr>
        <w:wordWrap/>
        <w:spacing w:beforeLines="0" w:before="40" w:beforeAutospacing="0" w:afterLines="0" w:after="400" w:afterAutospacing="0" w:line="240" w:lineRule="auto"/>
      </w:pPr>
      <w:rPr>
        <w:b/>
        <w:bCs/>
      </w:rPr>
      <w:tblPr/>
      <w:tcPr>
        <w:tcBorders>
          <w:top w:val="double" w:sz="6"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2" w:themeFillTint="3F"/>
      </w:tcPr>
    </w:tblStylePr>
    <w:tblStylePr w:type="band1Horz">
      <w:tblPr/>
      <w:tcPr>
        <w:tcBorders>
          <w:insideH w:val="nil"/>
          <w:insideV w:val="nil"/>
        </w:tcBorders>
        <w:shd w:val="clear" w:color="auto" w:fill="D5D5D6"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2C34"/>
    <w:pPr>
      <w:spacing w:after="0" w:line="240" w:lineRule="auto"/>
    </w:pPr>
    <w:tblPr>
      <w:tblStyleRowBandSize w:val="1"/>
      <w:tblStyleColBandSize w:val="1"/>
      <w:tbl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single" w:sz="8" w:space="0" w:color="BCBEC0" w:themeColor="accent4" w:themeTint="BF"/>
      </w:tblBorders>
    </w:tblPr>
    <w:tblStylePr w:type="firstRow">
      <w:pPr>
        <w:spacing w:before="0" w:after="0" w:line="240" w:lineRule="auto"/>
      </w:pPr>
      <w:rPr>
        <w:b/>
        <w:bCs/>
        <w:color w:val="FFFFFF" w:themeColor="background1"/>
      </w:rPr>
      <w:tblPr/>
      <w:tcPr>
        <w:tc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shd w:val="clear" w:color="auto" w:fill="A7A9AC" w:themeFill="accent4"/>
      </w:tcPr>
    </w:tblStylePr>
    <w:tblStylePr w:type="lastRow">
      <w:pPr>
        <w:spacing w:before="0" w:after="0" w:line="240" w:lineRule="auto"/>
      </w:pPr>
      <w:rPr>
        <w:b/>
        <w:bCs/>
      </w:rPr>
      <w:tblPr/>
      <w:tcPr>
        <w:tcBorders>
          <w:top w:val="double" w:sz="6"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842C34"/>
    <w:pPr>
      <w:spacing w:after="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18" w:space="0" w:color="004200" w:themeColor="accent6"/>
          <w:right w:val="single" w:sz="8" w:space="0" w:color="004200" w:themeColor="accent6"/>
          <w:insideH w:val="nil"/>
          <w:insideV w:val="single" w:sz="8" w:space="0" w:color="004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insideH w:val="nil"/>
          <w:insideV w:val="single" w:sz="8" w:space="0" w:color="004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shd w:val="clear" w:color="auto" w:fill="91FF91" w:themeFill="accent6" w:themeFillTint="3F"/>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shd w:val="clear" w:color="auto" w:fill="91FF91" w:themeFill="accent6" w:themeFillTint="3F"/>
      </w:tcPr>
    </w:tblStylePr>
    <w:tblStylePr w:type="band2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tcPr>
    </w:tblStylePr>
  </w:style>
  <w:style w:type="table" w:styleId="MediumShading1-Accent5">
    <w:name w:val="Medium Shading 1 Accent 5"/>
    <w:basedOn w:val="TableNormal"/>
    <w:uiPriority w:val="63"/>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cBorders>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insideH w:val="nil"/>
          <w:insideV w:val="nil"/>
        </w:tcBorders>
      </w:tcPr>
    </w:tblStylePr>
    <w:tblStylePr w:type="firstCol">
      <w:rPr>
        <w:b/>
        <w:bCs/>
      </w:rPr>
    </w:tblStylePr>
    <w:tblStylePr w:type="lastCol">
      <w:rPr>
        <w:b/>
        <w:bCs/>
      </w:rPr>
    </w:tblStylePr>
    <w:tblStylePr w:type="band1Vert">
      <w:tblPr/>
      <w:tcPr>
        <w:shd w:val="clear" w:color="auto" w:fill="A3FFA3" w:themeFill="accent5" w:themeFillTint="3F"/>
      </w:tcPr>
    </w:tblStylePr>
    <w:tblStylePr w:type="band1Horz">
      <w:tblPr/>
      <w:tcPr>
        <w:tcBorders>
          <w:insideH w:val="nil"/>
          <w:insideV w:val="nil"/>
        </w:tcBorders>
        <w:shd w:val="clear" w:color="auto" w:fill="A3FFA3"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C864ED"/>
    <w:pPr>
      <w:spacing w:before="40" w:after="40" w:line="240" w:lineRule="auto"/>
    </w:pPr>
    <w:tblPr>
      <w:tblStyleRowBandSize w:val="1"/>
      <w:tblStyleColBandSize w:val="1"/>
      <w:tbl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cBorders>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insideH w:val="nil"/>
          <w:insideV w:val="single" w:sz="8" w:space="0" w:color="808285" w:themeColor="accent3"/>
          <w:tl2br w:val="nil"/>
          <w:tr2bl w:val="nil"/>
        </w:tcBorders>
      </w:tcPr>
    </w:tblStylePr>
    <w:tblStylePr w:type="firstCol">
      <w:rPr>
        <w:b/>
        <w:bCs/>
      </w:rPr>
    </w:tblStylePr>
    <w:tblStylePr w:type="lastCol">
      <w:rPr>
        <w:b/>
        <w:bCs/>
      </w:rPr>
    </w:tblStylePr>
    <w:tblStylePr w:type="band1Vert">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1Horz">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2Horz">
      <w:tblPr/>
      <w:tcPr>
        <w:shd w:val="clear" w:color="auto" w:fill="A7A9AC" w:themeFill="accent4"/>
      </w:tcPr>
    </w:tblStylePr>
  </w:style>
  <w:style w:type="paragraph" w:customStyle="1" w:styleId="TitlePlain">
    <w:name w:val="Title Plain"/>
    <w:basedOn w:val="Title"/>
    <w:link w:val="TitlePlainChar"/>
    <w:qFormat/>
    <w:rsid w:val="006F0A93"/>
    <w:pPr>
      <w:spacing w:before="6000"/>
      <w:ind w:left="0" w:right="3095"/>
      <w:jc w:val="left"/>
    </w:pPr>
    <w:rPr>
      <w:sz w:val="72"/>
      <w:szCs w:val="72"/>
      <w:lang w:eastAsia="en-AU"/>
    </w:rPr>
  </w:style>
  <w:style w:type="paragraph" w:customStyle="1" w:styleId="VersionandDatePlain">
    <w:name w:val="Version and Date Plain"/>
    <w:basedOn w:val="VersionandDate"/>
    <w:qFormat/>
    <w:rsid w:val="004C5008"/>
    <w:pPr>
      <w:ind w:left="0"/>
      <w:jc w:val="left"/>
    </w:pPr>
  </w:style>
  <w:style w:type="paragraph" w:customStyle="1" w:styleId="SubtitlePlain">
    <w:name w:val="Subtitle Plain"/>
    <w:basedOn w:val="Normal"/>
    <w:qFormat/>
    <w:rsid w:val="006F0A93"/>
    <w:pPr>
      <w:ind w:right="3095"/>
    </w:pPr>
    <w:rPr>
      <w:sz w:val="40"/>
      <w:szCs w:val="40"/>
      <w:lang w:eastAsia="en-AU"/>
    </w:rPr>
  </w:style>
  <w:style w:type="paragraph" w:customStyle="1" w:styleId="VesionanddatePlain">
    <w:name w:val="Vesion and date Plain"/>
    <w:basedOn w:val="Normal"/>
    <w:qFormat/>
    <w:rsid w:val="006F0A93"/>
    <w:pPr>
      <w:ind w:right="3095"/>
    </w:pPr>
    <w:rPr>
      <w:sz w:val="28"/>
    </w:rPr>
  </w:style>
  <w:style w:type="character" w:customStyle="1" w:styleId="TitlePlainChar">
    <w:name w:val="Title Plain Char"/>
    <w:basedOn w:val="TitleChar"/>
    <w:link w:val="TitlePlain"/>
    <w:rsid w:val="00EB2D3D"/>
    <w:rPr>
      <w:rFonts w:asciiTheme="majorHAnsi" w:eastAsiaTheme="majorEastAsia" w:hAnsiTheme="majorHAnsi" w:cstheme="majorBidi"/>
      <w:color w:val="000000" w:themeColor="text1"/>
      <w:spacing w:val="5"/>
      <w:kern w:val="28"/>
      <w:sz w:val="72"/>
      <w:szCs w:val="72"/>
      <w:lang w:eastAsia="en-AU"/>
    </w:rPr>
  </w:style>
  <w:style w:type="character" w:styleId="IntenseReference">
    <w:name w:val="Intense Reference"/>
    <w:basedOn w:val="DefaultParagraphFont"/>
    <w:uiPriority w:val="32"/>
    <w:qFormat/>
    <w:rsid w:val="00902DC8"/>
    <w:rPr>
      <w:b/>
      <w:bCs/>
      <w:i/>
      <w:smallCaps/>
      <w:color w:val="58595B" w:themeColor="accent2"/>
      <w:spacing w:val="5"/>
      <w:u w:val="none"/>
    </w:rPr>
  </w:style>
  <w:style w:type="paragraph" w:styleId="FootnoteText">
    <w:name w:val="footnote text"/>
    <w:basedOn w:val="Normal"/>
    <w:link w:val="FootnoteTextChar"/>
    <w:unhideWhenUsed/>
    <w:rsid w:val="00902DC8"/>
    <w:pPr>
      <w:tabs>
        <w:tab w:val="left" w:pos="284"/>
      </w:tabs>
      <w:kinsoku w:val="0"/>
      <w:overflowPunct w:val="0"/>
      <w:autoSpaceDE w:val="0"/>
      <w:autoSpaceDN w:val="0"/>
      <w:adjustRightInd w:val="0"/>
      <w:snapToGrid w:val="0"/>
      <w:spacing w:before="80" w:after="80" w:line="240" w:lineRule="auto"/>
      <w:ind w:left="227" w:hanging="227"/>
    </w:pPr>
    <w:rPr>
      <w:rFonts w:ascii="Georgia" w:eastAsia="Times New Roman" w:hAnsi="Georgia" w:cs="Arial"/>
      <w:sz w:val="14"/>
      <w:szCs w:val="21"/>
    </w:rPr>
  </w:style>
  <w:style w:type="character" w:customStyle="1" w:styleId="FootnoteTextChar">
    <w:name w:val="Footnote Text Char"/>
    <w:basedOn w:val="DefaultParagraphFont"/>
    <w:link w:val="FootnoteText"/>
    <w:rsid w:val="00902DC8"/>
    <w:rPr>
      <w:rFonts w:ascii="Georgia" w:eastAsia="Times New Roman" w:hAnsi="Georgia" w:cs="Arial"/>
      <w:sz w:val="14"/>
      <w:szCs w:val="21"/>
    </w:rPr>
  </w:style>
  <w:style w:type="character" w:styleId="FootnoteReference">
    <w:name w:val="footnote reference"/>
    <w:basedOn w:val="DefaultParagraphFont"/>
    <w:unhideWhenUsed/>
    <w:rsid w:val="00902DC8"/>
    <w:rPr>
      <w:rFonts w:ascii="Georgia" w:hAnsi="Georgia" w:cs="Arial" w:hint="default"/>
      <w:sz w:val="21"/>
      <w:vertAlign w:val="superscript"/>
    </w:rPr>
  </w:style>
  <w:style w:type="character" w:customStyle="1" w:styleId="ListParagraphChar">
    <w:name w:val="List Paragraph Char"/>
    <w:link w:val="ListParagraph"/>
    <w:uiPriority w:val="34"/>
    <w:locked/>
    <w:rsid w:val="000B14DD"/>
  </w:style>
  <w:style w:type="character" w:styleId="FollowedHyperlink">
    <w:name w:val="FollowedHyperlink"/>
    <w:basedOn w:val="DefaultParagraphFont"/>
    <w:uiPriority w:val="99"/>
    <w:semiHidden/>
    <w:unhideWhenUsed/>
    <w:rsid w:val="00A06C22"/>
    <w:rPr>
      <w:color w:val="800080" w:themeColor="followedHyperlink"/>
      <w:u w:val="single"/>
    </w:rPr>
  </w:style>
  <w:style w:type="character" w:styleId="CommentReference">
    <w:name w:val="annotation reference"/>
    <w:basedOn w:val="DefaultParagraphFont"/>
    <w:uiPriority w:val="99"/>
    <w:semiHidden/>
    <w:unhideWhenUsed/>
    <w:rsid w:val="00EA775D"/>
    <w:rPr>
      <w:sz w:val="16"/>
      <w:szCs w:val="16"/>
    </w:rPr>
  </w:style>
  <w:style w:type="paragraph" w:styleId="CommentText">
    <w:name w:val="annotation text"/>
    <w:basedOn w:val="Normal"/>
    <w:link w:val="CommentTextChar"/>
    <w:uiPriority w:val="99"/>
    <w:semiHidden/>
    <w:unhideWhenUsed/>
    <w:rsid w:val="00EA775D"/>
    <w:pPr>
      <w:spacing w:line="240" w:lineRule="auto"/>
    </w:pPr>
    <w:rPr>
      <w:sz w:val="20"/>
      <w:szCs w:val="20"/>
    </w:rPr>
  </w:style>
  <w:style w:type="character" w:customStyle="1" w:styleId="CommentTextChar">
    <w:name w:val="Comment Text Char"/>
    <w:basedOn w:val="DefaultParagraphFont"/>
    <w:link w:val="CommentText"/>
    <w:uiPriority w:val="99"/>
    <w:semiHidden/>
    <w:rsid w:val="00EA775D"/>
    <w:rPr>
      <w:sz w:val="20"/>
      <w:szCs w:val="20"/>
    </w:rPr>
  </w:style>
  <w:style w:type="paragraph" w:styleId="CommentSubject">
    <w:name w:val="annotation subject"/>
    <w:basedOn w:val="CommentText"/>
    <w:next w:val="CommentText"/>
    <w:link w:val="CommentSubjectChar"/>
    <w:uiPriority w:val="99"/>
    <w:semiHidden/>
    <w:unhideWhenUsed/>
    <w:rsid w:val="00EA775D"/>
    <w:rPr>
      <w:b/>
      <w:bCs/>
    </w:rPr>
  </w:style>
  <w:style w:type="character" w:customStyle="1" w:styleId="CommentSubjectChar">
    <w:name w:val="Comment Subject Char"/>
    <w:basedOn w:val="CommentTextChar"/>
    <w:link w:val="CommentSubject"/>
    <w:uiPriority w:val="99"/>
    <w:semiHidden/>
    <w:rsid w:val="00EA775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6" w:qFormat="1"/>
    <w:lsdException w:name="heading 3" w:uiPriority="7"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st Bullet" w:semiHidden="0" w:uiPriority="0" w:unhideWhenUsed="0" w:qFormat="1"/>
    <w:lsdException w:name="List Bullet 2" w:semiHidden="0" w:uiPriority="0" w:unhideWhenUsed="0" w:qFormat="1"/>
    <w:lsdException w:name="Title" w:semiHidden="0" w:uiPriority="11" w:unhideWhenUsed="0" w:qFormat="1"/>
    <w:lsdException w:name="Default Paragraph Font" w:uiPriority="1"/>
    <w:lsdException w:name="Subtitle" w:semiHidden="0" w:uiPriority="12"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locked="1"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locked="1" w:semiHidden="0" w:uiPriority="64" w:unhideWhenUsed="0"/>
    <w:lsdException w:name="Medium List 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locked="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8" w:unhideWhenUsed="0" w:qFormat="1"/>
    <w:lsdException w:name="Intense Quote"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locked="1" w:semiHidden="0" w:uiPriority="64" w:unhideWhenUsed="0"/>
    <w:lsdException w:name="Medium List 1 Accent 2"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locked="1" w:semiHidden="0" w:uiPriority="64" w:unhideWhenUsed="0"/>
    <w:lsdException w:name="Medium List 1 Accent 3"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locked="1" w:semiHidden="0" w:uiPriority="64" w:unhideWhenUsed="0"/>
    <w:lsdException w:name="Medium List 1 Accent 4"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locked="1" w:semiHidden="0" w:uiPriority="64" w:unhideWhenUsed="0"/>
    <w:lsdException w:name="Medium List 1 Accent 5"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locked="1" w:semiHidden="0" w:uiPriority="64" w:unhideWhenUsed="0"/>
    <w:lsdException w:name="Medium List 1 Accent 6"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lsdException w:name="Intense Emphasis" w:semiHidden="0" w:uiPriority="21" w:unhideWhenUsed="0"/>
    <w:lsdException w:name="Subtle Reference" w:uiPriority="31" w:unhideWhenUsed="0"/>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63114"/>
  </w:style>
  <w:style w:type="paragraph" w:styleId="Heading1">
    <w:name w:val="heading 1"/>
    <w:basedOn w:val="Normal"/>
    <w:next w:val="Normal"/>
    <w:link w:val="Heading1Char"/>
    <w:uiPriority w:val="4"/>
    <w:qFormat/>
    <w:rsid w:val="005F53D8"/>
    <w:pPr>
      <w:keepNext/>
      <w:keepLines/>
      <w:spacing w:before="200" w:after="60"/>
      <w:outlineLvl w:val="0"/>
    </w:pPr>
    <w:rPr>
      <w:rFonts w:asciiTheme="majorHAnsi" w:eastAsiaTheme="majorEastAsia" w:hAnsiTheme="majorHAnsi" w:cstheme="majorBidi"/>
      <w:b/>
      <w:bCs/>
      <w:color w:val="008A00" w:themeColor="background2"/>
      <w:sz w:val="32"/>
      <w:szCs w:val="28"/>
    </w:rPr>
  </w:style>
  <w:style w:type="paragraph" w:styleId="Heading2">
    <w:name w:val="heading 2"/>
    <w:basedOn w:val="Normal"/>
    <w:next w:val="Normal"/>
    <w:link w:val="Heading2Char"/>
    <w:uiPriority w:val="6"/>
    <w:qFormat/>
    <w:rsid w:val="00FD485A"/>
    <w:pPr>
      <w:keepNext/>
      <w:keepLines/>
      <w:spacing w:before="200" w:after="40"/>
      <w:outlineLvl w:val="1"/>
    </w:pPr>
    <w:rPr>
      <w:rFonts w:asciiTheme="majorHAnsi" w:eastAsiaTheme="majorEastAsia" w:hAnsiTheme="majorHAnsi" w:cstheme="majorBidi"/>
      <w:b/>
      <w:bCs/>
      <w:color w:val="008A00" w:themeColor="background2"/>
      <w:sz w:val="28"/>
      <w:szCs w:val="32"/>
    </w:rPr>
  </w:style>
  <w:style w:type="paragraph" w:styleId="Heading3">
    <w:name w:val="heading 3"/>
    <w:basedOn w:val="Normal"/>
    <w:next w:val="Normal"/>
    <w:link w:val="Heading3Char"/>
    <w:uiPriority w:val="7"/>
    <w:qFormat/>
    <w:rsid w:val="00FD485A"/>
    <w:pPr>
      <w:keepNext/>
      <w:keepLines/>
      <w:spacing w:before="200" w:after="40"/>
      <w:outlineLvl w:val="2"/>
    </w:pPr>
    <w:rPr>
      <w:rFonts w:asciiTheme="majorHAnsi" w:eastAsiaTheme="majorEastAsia" w:hAnsiTheme="majorHAnsi" w:cstheme="majorBidi"/>
      <w:b/>
      <w:bCs/>
      <w:color w:val="004200" w:themeColor="text2"/>
      <w:sz w:val="26"/>
    </w:rPr>
  </w:style>
  <w:style w:type="paragraph" w:styleId="Heading4">
    <w:name w:val="heading 4"/>
    <w:basedOn w:val="Normal"/>
    <w:next w:val="Normal"/>
    <w:link w:val="Heading4Char"/>
    <w:uiPriority w:val="8"/>
    <w:qFormat/>
    <w:rsid w:val="00FD485A"/>
    <w:pPr>
      <w:keepNext/>
      <w:keepLines/>
      <w:spacing w:before="200" w:after="0"/>
      <w:outlineLvl w:val="3"/>
    </w:pPr>
    <w:rPr>
      <w:rFonts w:asciiTheme="majorHAnsi" w:eastAsiaTheme="majorEastAsia" w:hAnsiTheme="majorHAnsi" w:cstheme="majorBidi"/>
      <w:b/>
      <w:bCs/>
      <w:iCs/>
      <w:color w:val="000000" w:themeColor="accent1"/>
    </w:rPr>
  </w:style>
  <w:style w:type="paragraph" w:styleId="Heading5">
    <w:name w:val="heading 5"/>
    <w:basedOn w:val="Normal"/>
    <w:next w:val="Normal"/>
    <w:link w:val="Heading5Char"/>
    <w:uiPriority w:val="9"/>
    <w:qFormat/>
    <w:rsid w:val="00FD485A"/>
    <w:pPr>
      <w:keepNext/>
      <w:keepLines/>
      <w:spacing w:before="200" w:after="0"/>
      <w:outlineLvl w:val="4"/>
    </w:pPr>
    <w:rPr>
      <w:rFonts w:asciiTheme="majorHAnsi" w:eastAsiaTheme="majorEastAsia" w:hAnsiTheme="majorHAnsi" w:cstheme="majorBidi"/>
      <w:color w:val="000000" w:themeColor="accent1" w:themeShade="7F"/>
    </w:rPr>
  </w:style>
  <w:style w:type="paragraph" w:styleId="Heading6">
    <w:name w:val="heading 6"/>
    <w:basedOn w:val="Normal"/>
    <w:next w:val="Normal"/>
    <w:link w:val="Heading6Char"/>
    <w:uiPriority w:val="9"/>
    <w:qFormat/>
    <w:rsid w:val="00BC472B"/>
    <w:pPr>
      <w:keepNext/>
      <w:keepLines/>
      <w:spacing w:before="200" w:after="0"/>
      <w:outlineLvl w:val="5"/>
    </w:pPr>
    <w:rPr>
      <w:rFonts w:asciiTheme="majorHAnsi" w:eastAsiaTheme="majorEastAsia" w:hAnsiTheme="majorHAnsi" w:cstheme="majorBidi"/>
      <w:i/>
      <w:iCs/>
      <w:color w:val="000000" w:themeColor="accent1" w:themeShade="7F"/>
    </w:rPr>
  </w:style>
  <w:style w:type="paragraph" w:styleId="Heading7">
    <w:name w:val="heading 7"/>
    <w:basedOn w:val="Normal"/>
    <w:next w:val="Normal"/>
    <w:link w:val="Heading7Char"/>
    <w:uiPriority w:val="9"/>
    <w:qFormat/>
    <w:rsid w:val="00223F52"/>
    <w:pPr>
      <w:keepNext/>
      <w:keepLines/>
      <w:spacing w:before="200" w:after="0"/>
      <w:outlineLvl w:val="6"/>
    </w:pPr>
    <w:rPr>
      <w:rFonts w:asciiTheme="majorHAnsi" w:eastAsiaTheme="majorEastAsia" w:hAnsiTheme="majorHAnsi" w:cstheme="majorBidi"/>
      <w:i/>
      <w:iCs/>
      <w:u w:val="single"/>
    </w:rPr>
  </w:style>
  <w:style w:type="paragraph" w:styleId="Heading8">
    <w:name w:val="heading 8"/>
    <w:basedOn w:val="Normal"/>
    <w:next w:val="Normal"/>
    <w:link w:val="Heading8Char"/>
    <w:uiPriority w:val="9"/>
    <w:unhideWhenUsed/>
    <w:qFormat/>
    <w:rsid w:val="00BC472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BC472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5F53D8"/>
    <w:rPr>
      <w:rFonts w:asciiTheme="majorHAnsi" w:eastAsiaTheme="majorEastAsia" w:hAnsiTheme="majorHAnsi" w:cstheme="majorBidi"/>
      <w:b/>
      <w:bCs/>
      <w:color w:val="008A00" w:themeColor="background2"/>
      <w:sz w:val="32"/>
      <w:szCs w:val="28"/>
    </w:rPr>
  </w:style>
  <w:style w:type="paragraph" w:styleId="Header">
    <w:name w:val="header"/>
    <w:basedOn w:val="Normal"/>
    <w:link w:val="HeaderChar"/>
    <w:unhideWhenUsed/>
    <w:rsid w:val="004B071D"/>
    <w:pPr>
      <w:tabs>
        <w:tab w:val="center" w:pos="4513"/>
        <w:tab w:val="right" w:pos="9026"/>
      </w:tabs>
      <w:spacing w:before="240" w:after="0" w:line="240" w:lineRule="auto"/>
    </w:pPr>
    <w:rPr>
      <w:noProof/>
      <w:lang w:eastAsia="en-AU"/>
    </w:rPr>
  </w:style>
  <w:style w:type="character" w:customStyle="1" w:styleId="HeaderChar">
    <w:name w:val="Header Char"/>
    <w:basedOn w:val="DefaultParagraphFont"/>
    <w:link w:val="Header"/>
    <w:rsid w:val="004B071D"/>
    <w:rPr>
      <w:noProof/>
      <w:lang w:eastAsia="en-AU"/>
    </w:rPr>
  </w:style>
  <w:style w:type="paragraph" w:styleId="Footer">
    <w:name w:val="footer"/>
    <w:basedOn w:val="Normal"/>
    <w:link w:val="FooterChar"/>
    <w:uiPriority w:val="99"/>
    <w:unhideWhenUsed/>
    <w:rsid w:val="00775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5A6C"/>
  </w:style>
  <w:style w:type="character" w:customStyle="1" w:styleId="Heading2Char">
    <w:name w:val="Heading 2 Char"/>
    <w:basedOn w:val="DefaultParagraphFont"/>
    <w:link w:val="Heading2"/>
    <w:uiPriority w:val="6"/>
    <w:rsid w:val="00FD485A"/>
    <w:rPr>
      <w:rFonts w:asciiTheme="majorHAnsi" w:eastAsiaTheme="majorEastAsia" w:hAnsiTheme="majorHAnsi" w:cstheme="majorBidi"/>
      <w:b/>
      <w:bCs/>
      <w:color w:val="008A00" w:themeColor="background2"/>
      <w:sz w:val="28"/>
      <w:szCs w:val="32"/>
    </w:rPr>
  </w:style>
  <w:style w:type="character" w:customStyle="1" w:styleId="Heading3Char">
    <w:name w:val="Heading 3 Char"/>
    <w:basedOn w:val="DefaultParagraphFont"/>
    <w:link w:val="Heading3"/>
    <w:uiPriority w:val="7"/>
    <w:rsid w:val="00FD485A"/>
    <w:rPr>
      <w:rFonts w:asciiTheme="majorHAnsi" w:eastAsiaTheme="majorEastAsia" w:hAnsiTheme="majorHAnsi" w:cstheme="majorBidi"/>
      <w:b/>
      <w:bCs/>
      <w:color w:val="004200" w:themeColor="text2"/>
      <w:sz w:val="26"/>
    </w:rPr>
  </w:style>
  <w:style w:type="paragraph" w:styleId="ListParagraph">
    <w:name w:val="List Paragraph"/>
    <w:basedOn w:val="Normal"/>
    <w:link w:val="ListParagraphChar"/>
    <w:uiPriority w:val="34"/>
    <w:qFormat/>
    <w:rsid w:val="004C15AD"/>
    <w:pPr>
      <w:ind w:left="720"/>
      <w:contextualSpacing/>
    </w:pPr>
  </w:style>
  <w:style w:type="paragraph" w:styleId="Quote">
    <w:name w:val="Quote"/>
    <w:basedOn w:val="Normal"/>
    <w:next w:val="Normal"/>
    <w:link w:val="QuoteChar"/>
    <w:uiPriority w:val="28"/>
    <w:qFormat/>
    <w:rsid w:val="00335A8F"/>
    <w:rPr>
      <w:i/>
      <w:iCs/>
      <w:color w:val="000000" w:themeColor="text1"/>
    </w:rPr>
  </w:style>
  <w:style w:type="character" w:customStyle="1" w:styleId="QuoteChar">
    <w:name w:val="Quote Char"/>
    <w:basedOn w:val="DefaultParagraphFont"/>
    <w:link w:val="Quote"/>
    <w:uiPriority w:val="28"/>
    <w:rsid w:val="006D7F4A"/>
    <w:rPr>
      <w:i/>
      <w:iCs/>
      <w:color w:val="000000" w:themeColor="text1"/>
      <w:sz w:val="24"/>
    </w:rPr>
  </w:style>
  <w:style w:type="paragraph" w:customStyle="1" w:styleId="Bullet1">
    <w:name w:val="Bullet 1"/>
    <w:basedOn w:val="Normal"/>
    <w:uiPriority w:val="34"/>
    <w:semiHidden/>
    <w:rsid w:val="00800E03"/>
    <w:pPr>
      <w:numPr>
        <w:numId w:val="1"/>
      </w:numPr>
      <w:tabs>
        <w:tab w:val="num" w:pos="360"/>
      </w:tabs>
      <w:ind w:left="0" w:firstLine="0"/>
    </w:pPr>
  </w:style>
  <w:style w:type="character" w:customStyle="1" w:styleId="Act">
    <w:name w:val="Act"/>
    <w:basedOn w:val="DefaultParagraphFont"/>
    <w:uiPriority w:val="23"/>
    <w:qFormat/>
    <w:rsid w:val="00335A8F"/>
    <w:rPr>
      <w:i/>
    </w:rPr>
  </w:style>
  <w:style w:type="paragraph" w:styleId="Title">
    <w:name w:val="Title"/>
    <w:aliases w:val="Title Artwork"/>
    <w:basedOn w:val="Normal"/>
    <w:next w:val="Subtitle"/>
    <w:link w:val="TitleChar"/>
    <w:uiPriority w:val="11"/>
    <w:qFormat/>
    <w:rsid w:val="00CB710B"/>
    <w:pPr>
      <w:spacing w:before="9000" w:after="300" w:line="240" w:lineRule="auto"/>
      <w:ind w:left="6804" w:right="260"/>
      <w:contextualSpacing/>
      <w:jc w:val="right"/>
    </w:pPr>
    <w:rPr>
      <w:rFonts w:asciiTheme="majorHAnsi" w:eastAsiaTheme="majorEastAsia" w:hAnsiTheme="majorHAnsi" w:cstheme="majorBidi"/>
      <w:color w:val="000000" w:themeColor="text1"/>
      <w:spacing w:val="5"/>
      <w:kern w:val="28"/>
      <w:sz w:val="48"/>
      <w:szCs w:val="52"/>
    </w:rPr>
  </w:style>
  <w:style w:type="character" w:customStyle="1" w:styleId="TitleChar">
    <w:name w:val="Title Char"/>
    <w:aliases w:val="Title Artwork Char"/>
    <w:basedOn w:val="DefaultParagraphFont"/>
    <w:link w:val="Title"/>
    <w:uiPriority w:val="11"/>
    <w:rsid w:val="00CB710B"/>
    <w:rPr>
      <w:rFonts w:asciiTheme="majorHAnsi" w:eastAsiaTheme="majorEastAsia" w:hAnsiTheme="majorHAnsi" w:cstheme="majorBidi"/>
      <w:color w:val="000000" w:themeColor="text1"/>
      <w:spacing w:val="5"/>
      <w:kern w:val="28"/>
      <w:sz w:val="48"/>
      <w:szCs w:val="52"/>
    </w:rPr>
  </w:style>
  <w:style w:type="paragraph" w:styleId="Subtitle">
    <w:name w:val="Subtitle"/>
    <w:basedOn w:val="Normal"/>
    <w:next w:val="VersionandDate"/>
    <w:link w:val="SubtitleChar"/>
    <w:uiPriority w:val="12"/>
    <w:qFormat/>
    <w:rsid w:val="00185C14"/>
    <w:pPr>
      <w:numPr>
        <w:ilvl w:val="1"/>
      </w:numPr>
      <w:jc w:val="right"/>
    </w:pPr>
    <w:rPr>
      <w:rFonts w:asciiTheme="majorHAnsi" w:eastAsiaTheme="majorEastAsia" w:hAnsiTheme="majorHAnsi" w:cstheme="majorBidi"/>
      <w:iCs/>
      <w:color w:val="000000" w:themeColor="accent1"/>
      <w:spacing w:val="15"/>
      <w:sz w:val="40"/>
      <w:szCs w:val="40"/>
    </w:rPr>
  </w:style>
  <w:style w:type="character" w:customStyle="1" w:styleId="SubtitleChar">
    <w:name w:val="Subtitle Char"/>
    <w:basedOn w:val="DefaultParagraphFont"/>
    <w:link w:val="Subtitle"/>
    <w:uiPriority w:val="12"/>
    <w:rsid w:val="00185C14"/>
    <w:rPr>
      <w:rFonts w:asciiTheme="majorHAnsi" w:eastAsiaTheme="majorEastAsia" w:hAnsiTheme="majorHAnsi" w:cstheme="majorBidi"/>
      <w:iCs/>
      <w:color w:val="000000" w:themeColor="accent1"/>
      <w:spacing w:val="15"/>
      <w:sz w:val="40"/>
      <w:szCs w:val="40"/>
    </w:rPr>
  </w:style>
  <w:style w:type="paragraph" w:styleId="BalloonText">
    <w:name w:val="Balloon Text"/>
    <w:basedOn w:val="Normal"/>
    <w:link w:val="BalloonTextChar"/>
    <w:uiPriority w:val="99"/>
    <w:semiHidden/>
    <w:unhideWhenUsed/>
    <w:rsid w:val="008B0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084"/>
    <w:rPr>
      <w:rFonts w:ascii="Tahoma" w:hAnsi="Tahoma" w:cs="Tahoma"/>
      <w:sz w:val="16"/>
      <w:szCs w:val="16"/>
    </w:rPr>
  </w:style>
  <w:style w:type="paragraph" w:customStyle="1" w:styleId="VersionandDate">
    <w:name w:val="Version and Date"/>
    <w:basedOn w:val="Normal"/>
    <w:next w:val="Normal"/>
    <w:uiPriority w:val="13"/>
    <w:qFormat/>
    <w:rsid w:val="0007116B"/>
    <w:pPr>
      <w:ind w:left="6804" w:right="260"/>
      <w:jc w:val="right"/>
    </w:pPr>
    <w:rPr>
      <w:sz w:val="28"/>
      <w:szCs w:val="28"/>
    </w:rPr>
  </w:style>
  <w:style w:type="paragraph" w:customStyle="1" w:styleId="Covernote">
    <w:name w:val="Cover note"/>
    <w:basedOn w:val="Normal"/>
    <w:next w:val="Normal"/>
    <w:uiPriority w:val="14"/>
    <w:rsid w:val="006472C0"/>
    <w:rPr>
      <w:i/>
    </w:rPr>
  </w:style>
  <w:style w:type="character" w:customStyle="1" w:styleId="Heading4Char">
    <w:name w:val="Heading 4 Char"/>
    <w:basedOn w:val="DefaultParagraphFont"/>
    <w:link w:val="Heading4"/>
    <w:uiPriority w:val="8"/>
    <w:rsid w:val="00FD485A"/>
    <w:rPr>
      <w:rFonts w:asciiTheme="majorHAnsi" w:eastAsiaTheme="majorEastAsia" w:hAnsiTheme="majorHAnsi" w:cstheme="majorBidi"/>
      <w:b/>
      <w:bCs/>
      <w:iCs/>
      <w:color w:val="000000" w:themeColor="accent1"/>
    </w:rPr>
  </w:style>
  <w:style w:type="table" w:styleId="TableGrid">
    <w:name w:val="Table Grid"/>
    <w:basedOn w:val="TableNormal"/>
    <w:rsid w:val="000B1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BEE"/>
    <w:pPr>
      <w:autoSpaceDE w:val="0"/>
      <w:autoSpaceDN w:val="0"/>
      <w:adjustRightInd w:val="0"/>
      <w:spacing w:after="0" w:line="240" w:lineRule="auto"/>
    </w:pPr>
    <w:rPr>
      <w:rFonts w:ascii="Arial" w:hAnsi="Arial" w:cs="Arial"/>
      <w:color w:val="000000"/>
      <w:sz w:val="24"/>
      <w:szCs w:val="24"/>
    </w:rPr>
  </w:style>
  <w:style w:type="table" w:styleId="LightList-Accent6">
    <w:name w:val="Light List Accent 6"/>
    <w:basedOn w:val="TableNormal"/>
    <w:uiPriority w:val="61"/>
    <w:rsid w:val="00EC68AC"/>
    <w:pPr>
      <w:spacing w:before="40" w:after="4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4200" w:themeFill="accent6"/>
      </w:tcPr>
    </w:tblStylePr>
    <w:tblStylePr w:type="lastRow">
      <w:pPr>
        <w:wordWrap/>
        <w:spacing w:beforeLines="0" w:before="40" w:beforeAutospacing="0" w:afterLines="0" w:after="40" w:afterAutospacing="0" w:line="240" w:lineRule="auto"/>
      </w:pPr>
      <w:rPr>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tcBorders>
      </w:tcPr>
    </w:tblStylePr>
    <w:tblStylePr w:type="firstCol">
      <w:rPr>
        <w:b/>
        <w:bCs/>
      </w:rPr>
    </w:tblStylePr>
    <w:tblStylePr w:type="lastCol">
      <w:rPr>
        <w:b/>
        <w:bCs/>
      </w:r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2Horz">
      <w:tblPr/>
      <w:tcPr>
        <w:shd w:val="clear" w:color="auto" w:fill="DBDCDD" w:themeFill="accent4" w:themeFillTint="66"/>
      </w:tcPr>
    </w:tblStylePr>
  </w:style>
  <w:style w:type="table" w:styleId="LightList-Accent3">
    <w:name w:val="Light List Accent 3"/>
    <w:basedOn w:val="TableNormal"/>
    <w:uiPriority w:val="61"/>
    <w:rsid w:val="00842C34"/>
    <w:pPr>
      <w:spacing w:before="40" w:after="40" w:line="240" w:lineRule="auto"/>
    </w:pPr>
    <w:tblPr>
      <w:tblStyleRowBandSize w:val="1"/>
      <w:tblStyleColBandSize w:val="1"/>
      <w:tbl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tcBorders>
      </w:tcPr>
    </w:tblStylePr>
    <w:tblStylePr w:type="firstCol">
      <w:rPr>
        <w:b/>
        <w:bCs/>
      </w:rPr>
    </w:tblStylePr>
    <w:tblStylePr w:type="lastCol">
      <w:rPr>
        <w:b/>
        <w:bCs/>
      </w:rPr>
    </w:tblStylePr>
    <w:tblStylePr w:type="band1Vert">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1Horz">
      <w:tblPr/>
      <w:tcPr>
        <w:tcBorders>
          <w:top w:val="single" w:sz="8" w:space="0" w:color="808285" w:themeColor="accent3"/>
          <w:left w:val="single" w:sz="8" w:space="0" w:color="808285" w:themeColor="accent3"/>
          <w:bottom w:val="single" w:sz="8" w:space="0" w:color="808285" w:themeColor="accent3"/>
          <w:right w:val="single" w:sz="8" w:space="0" w:color="808285" w:themeColor="accent3"/>
        </w:tcBorders>
      </w:tcPr>
    </w:tblStylePr>
    <w:tblStylePr w:type="band2Horz">
      <w:tblPr/>
      <w:tcPr>
        <w:tcBorders>
          <w:top w:val="single" w:sz="8" w:space="0" w:color="58595B" w:themeColor="accent2"/>
          <w:left w:val="single" w:sz="8" w:space="0" w:color="58595B" w:themeColor="accent2"/>
          <w:bottom w:val="single" w:sz="8" w:space="0" w:color="58595B" w:themeColor="accent2"/>
          <w:right w:val="single" w:sz="8" w:space="0" w:color="58595B" w:themeColor="accent2"/>
          <w:insideH w:val="single" w:sz="8" w:space="0" w:color="58595B" w:themeColor="accent2"/>
          <w:insideV w:val="single" w:sz="8" w:space="0" w:color="58595B" w:themeColor="accent2"/>
          <w:tl2br w:val="nil"/>
          <w:tr2bl w:val="nil"/>
        </w:tcBorders>
        <w:shd w:val="clear" w:color="auto" w:fill="A7A9AC" w:themeFill="accent4"/>
      </w:tcPr>
    </w:tblStylePr>
  </w:style>
  <w:style w:type="table" w:styleId="LightShading-Accent4">
    <w:name w:val="Light Shading Accent 4"/>
    <w:basedOn w:val="TableNormal"/>
    <w:uiPriority w:val="60"/>
    <w:locked/>
    <w:rsid w:val="00DC6A18"/>
    <w:pPr>
      <w:spacing w:after="0" w:line="240" w:lineRule="auto"/>
    </w:pPr>
    <w:rPr>
      <w:color w:val="7B7E82" w:themeColor="accent4" w:themeShade="BF"/>
    </w:rPr>
    <w:tblPr>
      <w:tblStyleRowBandSize w:val="1"/>
      <w:tblStyleColBandSize w:val="1"/>
      <w:tblBorders>
        <w:top w:val="single" w:sz="8" w:space="0" w:color="A7A9AC" w:themeColor="accent4"/>
        <w:bottom w:val="single" w:sz="8" w:space="0" w:color="A7A9AC" w:themeColor="accent4"/>
      </w:tblBorders>
    </w:tblPr>
    <w:tblStylePr w:type="fir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lastRow">
      <w:pPr>
        <w:spacing w:before="0" w:after="0" w:line="240" w:lineRule="auto"/>
      </w:pPr>
      <w:rPr>
        <w:b/>
        <w:bCs/>
      </w:rPr>
      <w:tblPr/>
      <w:tcPr>
        <w:tcBorders>
          <w:top w:val="single" w:sz="8" w:space="0" w:color="A7A9AC" w:themeColor="accent4"/>
          <w:left w:val="nil"/>
          <w:bottom w:val="single" w:sz="8" w:space="0" w:color="A7A9A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A" w:themeFill="accent4" w:themeFillTint="3F"/>
      </w:tcPr>
    </w:tblStylePr>
    <w:tblStylePr w:type="band1Horz">
      <w:tblPr/>
      <w:tcPr>
        <w:tcBorders>
          <w:left w:val="nil"/>
          <w:right w:val="nil"/>
          <w:insideH w:val="nil"/>
          <w:insideV w:val="nil"/>
        </w:tcBorders>
        <w:shd w:val="clear" w:color="auto" w:fill="E9E9EA" w:themeFill="accent4" w:themeFillTint="3F"/>
      </w:tcPr>
    </w:tblStylePr>
  </w:style>
  <w:style w:type="character" w:styleId="Hyperlink">
    <w:name w:val="Hyperlink"/>
    <w:basedOn w:val="DefaultParagraphFont"/>
    <w:uiPriority w:val="99"/>
    <w:unhideWhenUsed/>
    <w:rsid w:val="00771BEE"/>
    <w:rPr>
      <w:color w:val="0000FF" w:themeColor="hyperlink"/>
      <w:u w:val="single"/>
    </w:rPr>
  </w:style>
  <w:style w:type="paragraph" w:styleId="ListBullet">
    <w:name w:val="List Bullet"/>
    <w:basedOn w:val="Normal"/>
    <w:qFormat/>
    <w:rsid w:val="00397D4D"/>
    <w:pPr>
      <w:numPr>
        <w:numId w:val="2"/>
      </w:numPr>
      <w:contextualSpacing/>
    </w:pPr>
  </w:style>
  <w:style w:type="paragraph" w:styleId="ListBullet2">
    <w:name w:val="List Bullet 2"/>
    <w:basedOn w:val="ListBullet"/>
    <w:qFormat/>
    <w:rsid w:val="00397D4D"/>
  </w:style>
  <w:style w:type="paragraph" w:customStyle="1" w:styleId="Reportcopyright">
    <w:name w:val="Report (copyright)"/>
    <w:basedOn w:val="Normal"/>
    <w:next w:val="Normal"/>
    <w:uiPriority w:val="15"/>
    <w:qFormat/>
    <w:rsid w:val="005F53D8"/>
    <w:pPr>
      <w:spacing w:before="4000"/>
    </w:pPr>
    <w:rPr>
      <w:b/>
    </w:rPr>
  </w:style>
  <w:style w:type="paragraph" w:customStyle="1" w:styleId="Disclaimer">
    <w:name w:val="Disclaimer"/>
    <w:basedOn w:val="Normal"/>
    <w:uiPriority w:val="16"/>
    <w:qFormat/>
    <w:rsid w:val="00663114"/>
    <w:rPr>
      <w:i/>
    </w:rPr>
  </w:style>
  <w:style w:type="character" w:styleId="Emphasis">
    <w:name w:val="Emphasis"/>
    <w:basedOn w:val="DefaultParagraphFont"/>
    <w:uiPriority w:val="20"/>
    <w:qFormat/>
    <w:rsid w:val="009E755B"/>
    <w:rPr>
      <w:i/>
      <w:iCs/>
    </w:rPr>
  </w:style>
  <w:style w:type="character" w:styleId="Strong">
    <w:name w:val="Strong"/>
    <w:basedOn w:val="DefaultParagraphFont"/>
    <w:uiPriority w:val="22"/>
    <w:qFormat/>
    <w:rsid w:val="003773F8"/>
    <w:rPr>
      <w:b/>
      <w:bCs/>
    </w:rPr>
  </w:style>
  <w:style w:type="table" w:styleId="MediumShading1">
    <w:name w:val="Medium Shading 1"/>
    <w:basedOn w:val="TableNormal"/>
    <w:uiPriority w:val="63"/>
    <w:rsid w:val="00842C34"/>
    <w:pPr>
      <w:spacing w:before="40" w:after="4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TOCHeading">
    <w:name w:val="TOC Heading"/>
    <w:basedOn w:val="Heading1"/>
    <w:next w:val="Normal"/>
    <w:uiPriority w:val="39"/>
    <w:unhideWhenUsed/>
    <w:qFormat/>
    <w:rsid w:val="00051651"/>
    <w:pPr>
      <w:outlineLvl w:val="9"/>
    </w:pPr>
    <w:rPr>
      <w:lang w:val="en-US" w:eastAsia="ja-JP"/>
    </w:rPr>
  </w:style>
  <w:style w:type="paragraph" w:styleId="TOC1">
    <w:name w:val="toc 1"/>
    <w:basedOn w:val="Normal"/>
    <w:next w:val="Normal"/>
    <w:autoRedefine/>
    <w:uiPriority w:val="39"/>
    <w:unhideWhenUsed/>
    <w:qFormat/>
    <w:rsid w:val="00741A3F"/>
    <w:pPr>
      <w:tabs>
        <w:tab w:val="left" w:pos="709"/>
        <w:tab w:val="right" w:leader="dot" w:pos="9016"/>
      </w:tabs>
      <w:spacing w:after="100"/>
    </w:pPr>
    <w:rPr>
      <w:b/>
      <w:noProof/>
      <w:color w:val="000000" w:themeColor="text1"/>
    </w:rPr>
  </w:style>
  <w:style w:type="paragraph" w:styleId="TOC2">
    <w:name w:val="toc 2"/>
    <w:basedOn w:val="Normal"/>
    <w:next w:val="Normal"/>
    <w:autoRedefine/>
    <w:uiPriority w:val="39"/>
    <w:unhideWhenUsed/>
    <w:qFormat/>
    <w:rsid w:val="007345CD"/>
    <w:pPr>
      <w:tabs>
        <w:tab w:val="left" w:pos="709"/>
        <w:tab w:val="right" w:leader="dot" w:pos="9016"/>
      </w:tabs>
      <w:spacing w:after="100"/>
    </w:pPr>
    <w:rPr>
      <w:noProof/>
      <w:color w:val="000000" w:themeColor="text1"/>
    </w:rPr>
  </w:style>
  <w:style w:type="paragraph" w:styleId="TOC4">
    <w:name w:val="toc 4"/>
    <w:basedOn w:val="Normal"/>
    <w:next w:val="Normal"/>
    <w:autoRedefine/>
    <w:uiPriority w:val="39"/>
    <w:unhideWhenUsed/>
    <w:rsid w:val="007345CD"/>
    <w:pPr>
      <w:tabs>
        <w:tab w:val="right" w:leader="dot" w:pos="9016"/>
      </w:tabs>
      <w:spacing w:after="100"/>
    </w:pPr>
    <w:rPr>
      <w:i/>
      <w:color w:val="000000" w:themeColor="text1"/>
    </w:rPr>
  </w:style>
  <w:style w:type="paragraph" w:styleId="TOC3">
    <w:name w:val="toc 3"/>
    <w:basedOn w:val="Normal"/>
    <w:next w:val="Normal"/>
    <w:autoRedefine/>
    <w:uiPriority w:val="39"/>
    <w:unhideWhenUsed/>
    <w:qFormat/>
    <w:rsid w:val="007345CD"/>
    <w:pPr>
      <w:tabs>
        <w:tab w:val="left" w:pos="709"/>
        <w:tab w:val="right" w:leader="dot" w:pos="9016"/>
      </w:tabs>
      <w:spacing w:after="100"/>
    </w:pPr>
    <w:rPr>
      <w:i/>
      <w:noProof/>
      <w:color w:val="000000" w:themeColor="text1"/>
    </w:rPr>
  </w:style>
  <w:style w:type="table" w:styleId="LightShading-Accent1">
    <w:name w:val="Light Shading Accent 1"/>
    <w:basedOn w:val="TableNormal"/>
    <w:uiPriority w:val="60"/>
    <w:locked/>
    <w:rsid w:val="004B071D"/>
    <w:pPr>
      <w:spacing w:after="0" w:line="240" w:lineRule="auto"/>
    </w:pPr>
    <w:rPr>
      <w:color w:val="000000" w:themeColor="accent1" w:themeShade="BF"/>
    </w:rPr>
    <w:tblPr>
      <w:tblStyleRowBandSize w:val="1"/>
      <w:tblStyleColBandSize w:val="1"/>
      <w:tblBorders>
        <w:top w:val="single" w:sz="8" w:space="0" w:color="000000" w:themeColor="accent1"/>
        <w:bottom w:val="single" w:sz="8" w:space="0" w:color="000000" w:themeColor="accent1"/>
      </w:tblBorders>
    </w:tblPr>
    <w:tblStylePr w:type="fir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lastRow">
      <w:pPr>
        <w:spacing w:before="0" w:after="0" w:line="240" w:lineRule="auto"/>
      </w:pPr>
      <w:rPr>
        <w:b/>
        <w:bCs/>
      </w:rPr>
      <w:tblPr/>
      <w:tcPr>
        <w:tcBorders>
          <w:top w:val="single" w:sz="8" w:space="0" w:color="000000" w:themeColor="accent1"/>
          <w:left w:val="nil"/>
          <w:bottom w:val="single" w:sz="8" w:space="0" w:color="00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accent1" w:themeFillTint="3F"/>
      </w:tcPr>
    </w:tblStylePr>
    <w:tblStylePr w:type="band1Horz">
      <w:tblPr/>
      <w:tcPr>
        <w:tcBorders>
          <w:left w:val="nil"/>
          <w:right w:val="nil"/>
          <w:insideH w:val="nil"/>
          <w:insideV w:val="nil"/>
        </w:tcBorders>
        <w:shd w:val="clear" w:color="auto" w:fill="C0C0C0" w:themeFill="accent1" w:themeFillTint="3F"/>
      </w:tcPr>
    </w:tblStylePr>
  </w:style>
  <w:style w:type="table" w:styleId="LightShading">
    <w:name w:val="Light Shading"/>
    <w:basedOn w:val="TableNormal"/>
    <w:uiPriority w:val="60"/>
    <w:locked/>
    <w:rsid w:val="00D23C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1">
    <w:name w:val="Light List Accent 1"/>
    <w:basedOn w:val="TableNormal"/>
    <w:uiPriority w:val="61"/>
    <w:rsid w:val="008037B8"/>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0000" w:themeFill="accent1"/>
      </w:tcPr>
    </w:tblStylePr>
    <w:tblStylePr w:type="lastRow">
      <w:pPr>
        <w:spacing w:before="0" w:after="0" w:line="240" w:lineRule="auto"/>
      </w:pPr>
      <w:rPr>
        <w:b/>
        <w:bCs/>
      </w:rPr>
      <w:tblPr/>
      <w:tcPr>
        <w:tcBorders>
          <w:top w:val="double" w:sz="6" w:space="0" w:color="000000" w:themeColor="accent1"/>
          <w:left w:val="single" w:sz="8" w:space="0" w:color="000000" w:themeColor="accent1"/>
          <w:bottom w:val="single" w:sz="8" w:space="0" w:color="000000" w:themeColor="accent1"/>
          <w:right w:val="single" w:sz="8" w:space="0" w:color="000000" w:themeColor="accent1"/>
        </w:tcBorders>
      </w:tcPr>
    </w:tblStylePr>
    <w:tblStylePr w:type="firstCol">
      <w:rPr>
        <w:b/>
        <w:bCs/>
      </w:rPr>
    </w:tblStylePr>
    <w:tblStylePr w:type="lastCol">
      <w:rPr>
        <w:b/>
        <w:bCs/>
      </w:rPr>
    </w:tblStylePr>
    <w:tblStylePr w:type="band1Vert">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1Horz">
      <w:tblPr/>
      <w:tcPr>
        <w:tcBorders>
          <w:top w:val="single" w:sz="8" w:space="0" w:color="000000" w:themeColor="accent1"/>
          <w:left w:val="single" w:sz="8" w:space="0" w:color="000000" w:themeColor="accent1"/>
          <w:bottom w:val="single" w:sz="8" w:space="0" w:color="000000" w:themeColor="accent1"/>
          <w:right w:val="single" w:sz="8" w:space="0" w:color="000000" w:themeColor="accen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LightList-Accent2">
    <w:name w:val="Light List Accent 2"/>
    <w:basedOn w:val="TableNormal"/>
    <w:uiPriority w:val="61"/>
    <w:rsid w:val="00AF1DB3"/>
    <w:pPr>
      <w:spacing w:before="40" w:after="4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58595B" w:themeFill="accent2"/>
      </w:tcPr>
    </w:tblStylePr>
    <w:tblStylePr w:type="lastRow">
      <w:pPr>
        <w:wordWrap/>
        <w:spacing w:beforeLines="0" w:before="40" w:beforeAutospacing="0" w:afterLines="0" w:after="4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cBorders>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l2br w:val="nil"/>
          <w:tr2bl w:val="nil"/>
        </w:tcBorders>
        <w:shd w:val="clear" w:color="auto" w:fill="A7A9AC" w:themeFill="accent4"/>
      </w:tcPr>
    </w:tblStylePr>
  </w:style>
  <w:style w:type="table" w:styleId="MediumShading1-Accent3">
    <w:name w:val="Medium Shading 1 Accent 3"/>
    <w:basedOn w:val="TableNormal"/>
    <w:uiPriority w:val="63"/>
    <w:rsid w:val="00842C34"/>
    <w:pPr>
      <w:spacing w:before="40" w:after="40" w:line="240" w:lineRule="auto"/>
    </w:pPr>
    <w:tblPr>
      <w:tblStyleRowBandSize w:val="1"/>
      <w:tblBorders>
        <w:top w:val="single" w:sz="8"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single" w:sz="8" w:space="0" w:color="9FA1A3" w:themeColor="accent3" w:themeTint="BF"/>
      </w:tblBorders>
    </w:tblPr>
    <w:tcPr>
      <w:shd w:val="clear" w:color="auto" w:fill="FFFFFF" w:themeFill="background1"/>
    </w:tcPr>
    <w:tblStylePr w:type="firstRow">
      <w:pPr>
        <w:wordWrap/>
        <w:spacing w:beforeLines="0" w:before="40" w:beforeAutospacing="0" w:afterLines="0" w:after="40" w:afterAutospacing="0" w:line="240" w:lineRule="auto"/>
      </w:pPr>
      <w:rPr>
        <w:b/>
        <w:bCs/>
        <w:color w:val="FFFFFF" w:themeColor="background1"/>
      </w:rPr>
      <w:tblPr/>
      <w:tcPr>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9FA1A3" w:themeColor="accent3" w:themeTint="BF"/>
          <w:left w:val="single" w:sz="8" w:space="0" w:color="9FA1A3" w:themeColor="accent3" w:themeTint="BF"/>
          <w:bottom w:val="single" w:sz="8" w:space="0" w:color="9FA1A3" w:themeColor="accent3" w:themeTint="BF"/>
          <w:right w:val="single" w:sz="8" w:space="0" w:color="9FA1A3" w:themeColor="accent3" w:themeTint="BF"/>
          <w:insideH w:val="nil"/>
          <w:insideV w:val="nil"/>
        </w:tcBorders>
      </w:tcPr>
    </w:tblStylePr>
    <w:tblStylePr w:type="firstCol">
      <w:rPr>
        <w:b/>
        <w:bCs/>
      </w:rPr>
    </w:tblStylePr>
    <w:tblStylePr w:type="lastCol">
      <w:rPr>
        <w:b/>
        <w:bCs/>
      </w:rPr>
    </w:tblStylePr>
    <w:tblStylePr w:type="band1Horz">
      <w:tblPr/>
      <w:tcPr>
        <w:shd w:val="clear" w:color="auto" w:fill="FFFFFF" w:themeFill="background1"/>
      </w:tcPr>
    </w:tblStylePr>
    <w:tblStylePr w:type="band2Horz">
      <w:tblPr/>
      <w:tcPr>
        <w:tcBorders>
          <w:insideH w:val="nil"/>
          <w:insideV w:val="nil"/>
        </w:tcBorders>
      </w:tcPr>
    </w:tblStylePr>
  </w:style>
  <w:style w:type="table" w:styleId="DarkList-Accent6">
    <w:name w:val="Dark List Accent 6"/>
    <w:basedOn w:val="TableNormal"/>
    <w:uiPriority w:val="70"/>
    <w:locked/>
    <w:rsid w:val="00A07DFA"/>
    <w:pPr>
      <w:spacing w:after="0" w:line="240" w:lineRule="auto"/>
    </w:pPr>
    <w:rPr>
      <w:color w:val="FFFFFF" w:themeColor="background1"/>
    </w:rPr>
    <w:tblPr>
      <w:tblStyleRowBandSize w:val="1"/>
      <w:tblStyleColBandSize w:val="1"/>
    </w:tblPr>
    <w:tcPr>
      <w:shd w:val="clear" w:color="auto" w:fill="004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0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31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3100" w:themeFill="accent6" w:themeFillShade="BF"/>
      </w:tcPr>
    </w:tblStylePr>
    <w:tblStylePr w:type="band1Vert">
      <w:tblPr/>
      <w:tcPr>
        <w:tcBorders>
          <w:top w:val="nil"/>
          <w:left w:val="nil"/>
          <w:bottom w:val="nil"/>
          <w:right w:val="nil"/>
          <w:insideH w:val="nil"/>
          <w:insideV w:val="nil"/>
        </w:tcBorders>
        <w:shd w:val="clear" w:color="auto" w:fill="003100" w:themeFill="accent6" w:themeFillShade="BF"/>
      </w:tcPr>
    </w:tblStylePr>
    <w:tblStylePr w:type="band1Horz">
      <w:tblPr/>
      <w:tcPr>
        <w:tcBorders>
          <w:top w:val="nil"/>
          <w:left w:val="nil"/>
          <w:bottom w:val="nil"/>
          <w:right w:val="nil"/>
          <w:insideH w:val="nil"/>
          <w:insideV w:val="nil"/>
        </w:tcBorders>
        <w:shd w:val="clear" w:color="auto" w:fill="003100" w:themeFill="accent6" w:themeFillShade="BF"/>
      </w:tcPr>
    </w:tblStylePr>
  </w:style>
  <w:style w:type="paragraph" w:customStyle="1" w:styleId="OrganisationName">
    <w:name w:val="Organisation Name"/>
    <w:basedOn w:val="Normal"/>
    <w:next w:val="Title"/>
    <w:uiPriority w:val="10"/>
    <w:qFormat/>
    <w:rsid w:val="00320A93"/>
    <w:rPr>
      <w:b/>
      <w:noProof/>
      <w:sz w:val="36"/>
      <w:szCs w:val="36"/>
      <w:lang w:eastAsia="en-AU"/>
    </w:rPr>
  </w:style>
  <w:style w:type="paragraph" w:styleId="Caption">
    <w:name w:val="caption"/>
    <w:basedOn w:val="Normal"/>
    <w:next w:val="Normal"/>
    <w:unhideWhenUsed/>
    <w:qFormat/>
    <w:rsid w:val="000F6308"/>
    <w:pPr>
      <w:spacing w:line="240" w:lineRule="auto"/>
    </w:pPr>
    <w:rPr>
      <w:bCs/>
      <w:color w:val="000000" w:themeColor="accent1"/>
      <w:szCs w:val="18"/>
    </w:rPr>
  </w:style>
  <w:style w:type="character" w:customStyle="1" w:styleId="Heading5Char">
    <w:name w:val="Heading 5 Char"/>
    <w:basedOn w:val="DefaultParagraphFont"/>
    <w:link w:val="Heading5"/>
    <w:uiPriority w:val="9"/>
    <w:rsid w:val="00FD485A"/>
    <w:rPr>
      <w:rFonts w:asciiTheme="majorHAnsi" w:eastAsiaTheme="majorEastAsia" w:hAnsiTheme="majorHAnsi" w:cstheme="majorBidi"/>
      <w:color w:val="000000" w:themeColor="accent1" w:themeShade="7F"/>
    </w:rPr>
  </w:style>
  <w:style w:type="character" w:customStyle="1" w:styleId="Heading6Char">
    <w:name w:val="Heading 6 Char"/>
    <w:basedOn w:val="DefaultParagraphFont"/>
    <w:link w:val="Heading6"/>
    <w:uiPriority w:val="9"/>
    <w:rsid w:val="00663114"/>
    <w:rPr>
      <w:rFonts w:asciiTheme="majorHAnsi" w:eastAsiaTheme="majorEastAsia" w:hAnsiTheme="majorHAnsi" w:cstheme="majorBidi"/>
      <w:i/>
      <w:iCs/>
      <w:color w:val="000000" w:themeColor="accent1" w:themeShade="7F"/>
    </w:rPr>
  </w:style>
  <w:style w:type="character" w:customStyle="1" w:styleId="Heading7Char">
    <w:name w:val="Heading 7 Char"/>
    <w:basedOn w:val="DefaultParagraphFont"/>
    <w:link w:val="Heading7"/>
    <w:uiPriority w:val="9"/>
    <w:rsid w:val="00223F52"/>
    <w:rPr>
      <w:rFonts w:asciiTheme="majorHAnsi" w:eastAsiaTheme="majorEastAsia" w:hAnsiTheme="majorHAnsi" w:cstheme="majorBidi"/>
      <w:i/>
      <w:iCs/>
      <w:u w:val="single"/>
    </w:rPr>
  </w:style>
  <w:style w:type="character" w:customStyle="1" w:styleId="Heading8Char">
    <w:name w:val="Heading 8 Char"/>
    <w:basedOn w:val="DefaultParagraphFont"/>
    <w:link w:val="Heading8"/>
    <w:uiPriority w:val="9"/>
    <w:rsid w:val="0066311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663114"/>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741A3F"/>
    <w:rPr>
      <w:color w:val="808080"/>
    </w:rPr>
  </w:style>
  <w:style w:type="paragraph" w:styleId="NoSpacing">
    <w:name w:val="No Spacing"/>
    <w:basedOn w:val="Normal"/>
    <w:uiPriority w:val="1"/>
    <w:qFormat/>
    <w:rsid w:val="00D87F12"/>
    <w:pPr>
      <w:spacing w:after="0" w:line="240" w:lineRule="auto"/>
    </w:pPr>
    <w:rPr>
      <w:sz w:val="24"/>
    </w:rPr>
  </w:style>
  <w:style w:type="table" w:styleId="MediumShading1-Accent1">
    <w:name w:val="Medium Shading 1 Accent 1"/>
    <w:basedOn w:val="TableNormal"/>
    <w:uiPriority w:val="63"/>
    <w:rsid w:val="00842C34"/>
    <w:pPr>
      <w:spacing w:before="40" w:after="40" w:line="240" w:lineRule="auto"/>
    </w:pPr>
    <w:tblPr>
      <w:tblStyleRowBandSize w:val="1"/>
      <w:tblStyleColBandSize w:val="1"/>
      <w:tbl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single" w:sz="8" w:space="0" w:color="404040" w:themeColor="accent1"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shd w:val="clear" w:color="auto" w:fill="000000" w:themeFill="accent1"/>
      </w:tcPr>
    </w:tblStylePr>
    <w:tblStylePr w:type="lastRow">
      <w:pPr>
        <w:wordWrap/>
        <w:spacing w:beforeLines="0" w:before="40" w:beforeAutospacing="0" w:afterLines="0" w:after="40" w:afterAutospacing="0" w:line="240" w:lineRule="auto"/>
      </w:pPr>
      <w:rPr>
        <w:b/>
        <w:bCs/>
      </w:rPr>
      <w:tblPr/>
      <w:tcPr>
        <w:tcBorders>
          <w:top w:val="double" w:sz="6" w:space="0" w:color="404040" w:themeColor="accent1" w:themeTint="BF"/>
          <w:left w:val="single" w:sz="8" w:space="0" w:color="404040" w:themeColor="accent1" w:themeTint="BF"/>
          <w:bottom w:val="single" w:sz="8" w:space="0" w:color="404040" w:themeColor="accent1" w:themeTint="BF"/>
          <w:right w:val="single" w:sz="8" w:space="0" w:color="404040"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C0C0" w:themeFill="accent1" w:themeFillTint="3F"/>
      </w:tcPr>
    </w:tblStylePr>
    <w:tblStylePr w:type="band1Horz">
      <w:tblPr/>
      <w:tcPr>
        <w:tcBorders>
          <w:insideH w:val="nil"/>
          <w:insideV w:val="nil"/>
        </w:tcBorders>
        <w:shd w:val="clear" w:color="auto" w:fill="C0C0C0" w:themeFill="accent1" w:themeFillTint="3F"/>
      </w:tcPr>
    </w:tblStylePr>
    <w:tblStylePr w:type="band2Horz">
      <w:tblPr/>
      <w:tcPr>
        <w:tcBorders>
          <w:insideH w:val="nil"/>
          <w:insideV w:val="nil"/>
        </w:tcBorders>
      </w:tcPr>
    </w:tblStylePr>
  </w:style>
  <w:style w:type="table" w:styleId="ColorfulList-Accent6">
    <w:name w:val="Colorful List Accent 6"/>
    <w:basedOn w:val="TableNormal"/>
    <w:uiPriority w:val="72"/>
    <w:locked/>
    <w:rsid w:val="007A6284"/>
    <w:pPr>
      <w:spacing w:after="0" w:line="240" w:lineRule="auto"/>
    </w:pPr>
    <w:rPr>
      <w:color w:val="000000" w:themeColor="text1"/>
    </w:rPr>
    <w:tblPr>
      <w:tblStyleRowBandSize w:val="1"/>
      <w:tblStyleColBandSize w:val="1"/>
    </w:tblPr>
    <w:tcPr>
      <w:shd w:val="clear" w:color="auto" w:fill="D3FFD3" w:themeFill="accent6" w:themeFillTint="19"/>
    </w:tcPr>
    <w:tblStylePr w:type="firstRow">
      <w:rPr>
        <w:b/>
        <w:bCs/>
        <w:color w:val="FFFFFF" w:themeColor="background1"/>
      </w:rPr>
      <w:tblPr/>
      <w:tcPr>
        <w:tcBorders>
          <w:bottom w:val="single" w:sz="12" w:space="0" w:color="FFFFFF" w:themeColor="background1"/>
        </w:tcBorders>
        <w:shd w:val="clear" w:color="auto" w:fill="006E00" w:themeFill="accent5" w:themeFillShade="CC"/>
      </w:tcPr>
    </w:tblStylePr>
    <w:tblStylePr w:type="lastRow">
      <w:rPr>
        <w:b/>
        <w:bCs/>
        <w:color w:val="00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1FF91" w:themeFill="accent6" w:themeFillTint="3F"/>
      </w:tcPr>
    </w:tblStylePr>
    <w:tblStylePr w:type="band1Horz">
      <w:tblPr/>
      <w:tcPr>
        <w:shd w:val="clear" w:color="auto" w:fill="A6FFA6" w:themeFill="accent6" w:themeFillTint="33"/>
      </w:tcPr>
    </w:tblStylePr>
  </w:style>
  <w:style w:type="table" w:styleId="LightList-Accent5">
    <w:name w:val="Light List Accent 5"/>
    <w:basedOn w:val="TableNormal"/>
    <w:uiPriority w:val="61"/>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tcBorders>
      </w:tcPr>
    </w:tblStylePr>
    <w:tblStylePr w:type="firstCol">
      <w:rPr>
        <w:b/>
        <w:bCs/>
      </w:rPr>
    </w:tblStylePr>
    <w:tblStylePr w:type="lastCol">
      <w:rPr>
        <w:b/>
        <w:bCs/>
      </w:rPr>
    </w:tblStylePr>
    <w:tblStylePr w:type="band1Vert">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1Horz">
      <w:tblPr/>
      <w:tcPr>
        <w:tcBorders>
          <w:top w:val="single" w:sz="8" w:space="0" w:color="008A00" w:themeColor="accent5"/>
          <w:left w:val="single" w:sz="8" w:space="0" w:color="008A00" w:themeColor="accent5"/>
          <w:bottom w:val="single" w:sz="8" w:space="0" w:color="008A00" w:themeColor="accent5"/>
          <w:right w:val="single" w:sz="8" w:space="0" w:color="008A00" w:themeColor="accent5"/>
        </w:tcBorders>
      </w:tcPr>
    </w:tblStylePr>
    <w:tblStylePr w:type="band2Horz">
      <w:tblPr/>
      <w:tcPr>
        <w:shd w:val="clear" w:color="auto" w:fill="DBDCDD" w:themeFill="accent4" w:themeFillTint="66"/>
      </w:tcPr>
    </w:tblStylePr>
  </w:style>
  <w:style w:type="table" w:styleId="MediumGrid1">
    <w:name w:val="Medium Grid 1"/>
    <w:basedOn w:val="TableNormal"/>
    <w:uiPriority w:val="67"/>
    <w:locked/>
    <w:rsid w:val="007A628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LightShading-Accent6">
    <w:name w:val="Light Shading Accent 6"/>
    <w:basedOn w:val="TableNormal"/>
    <w:uiPriority w:val="60"/>
    <w:locked/>
    <w:rsid w:val="007A6284"/>
    <w:pPr>
      <w:spacing w:after="0" w:line="240" w:lineRule="auto"/>
    </w:pPr>
    <w:rPr>
      <w:color w:val="003100" w:themeColor="accent6" w:themeShade="BF"/>
    </w:rPr>
    <w:tblPr>
      <w:tblStyleRowBandSize w:val="1"/>
      <w:tblStyleColBandSize w:val="1"/>
      <w:tblBorders>
        <w:top w:val="single" w:sz="8" w:space="0" w:color="004200" w:themeColor="accent6"/>
        <w:bottom w:val="single" w:sz="8" w:space="0" w:color="004200" w:themeColor="accent6"/>
      </w:tblBorders>
    </w:tblPr>
    <w:tblStylePr w:type="fir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lastRow">
      <w:pPr>
        <w:spacing w:before="0" w:after="0" w:line="240" w:lineRule="auto"/>
      </w:pPr>
      <w:rPr>
        <w:b/>
        <w:bCs/>
      </w:rPr>
      <w:tblPr/>
      <w:tcPr>
        <w:tcBorders>
          <w:top w:val="single" w:sz="8" w:space="0" w:color="004200" w:themeColor="accent6"/>
          <w:left w:val="nil"/>
          <w:bottom w:val="single" w:sz="8" w:space="0" w:color="004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1FF91" w:themeFill="accent6" w:themeFillTint="3F"/>
      </w:tcPr>
    </w:tblStylePr>
    <w:tblStylePr w:type="band1Horz">
      <w:tblPr/>
      <w:tcPr>
        <w:tcBorders>
          <w:left w:val="nil"/>
          <w:right w:val="nil"/>
          <w:insideH w:val="nil"/>
          <w:insideV w:val="nil"/>
        </w:tcBorders>
        <w:shd w:val="clear" w:color="auto" w:fill="91FF91" w:themeFill="accent6" w:themeFillTint="3F"/>
      </w:tcPr>
    </w:tblStylePr>
  </w:style>
  <w:style w:type="table" w:styleId="MediumShading1-Accent2">
    <w:name w:val="Medium Shading 1 Accent 2"/>
    <w:basedOn w:val="TableNormal"/>
    <w:uiPriority w:val="63"/>
    <w:rsid w:val="00842C34"/>
    <w:pPr>
      <w:spacing w:before="40" w:after="40" w:line="240" w:lineRule="auto"/>
    </w:pPr>
    <w:tblPr>
      <w:tblStyleRowBandSize w:val="1"/>
      <w:tblStyleColBandSize w:val="1"/>
      <w:tbl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single" w:sz="8" w:space="0" w:color="808285" w:themeColor="accent2" w:themeTint="BF"/>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shd w:val="clear" w:color="auto" w:fill="58595B" w:themeFill="accent2"/>
      </w:tcPr>
    </w:tblStylePr>
    <w:tblStylePr w:type="lastRow">
      <w:pPr>
        <w:wordWrap/>
        <w:spacing w:beforeLines="0" w:before="40" w:beforeAutospacing="0" w:afterLines="0" w:after="400" w:afterAutospacing="0" w:line="240" w:lineRule="auto"/>
      </w:pPr>
      <w:rPr>
        <w:b/>
        <w:bCs/>
      </w:rPr>
      <w:tblPr/>
      <w:tcPr>
        <w:tcBorders>
          <w:top w:val="double" w:sz="6" w:space="0" w:color="808285" w:themeColor="accent2" w:themeTint="BF"/>
          <w:left w:val="single" w:sz="8" w:space="0" w:color="808285" w:themeColor="accent2" w:themeTint="BF"/>
          <w:bottom w:val="single" w:sz="8" w:space="0" w:color="808285" w:themeColor="accent2" w:themeTint="BF"/>
          <w:right w:val="single" w:sz="8" w:space="0" w:color="808285"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D5D6" w:themeFill="accent2" w:themeFillTint="3F"/>
      </w:tcPr>
    </w:tblStylePr>
    <w:tblStylePr w:type="band1Horz">
      <w:tblPr/>
      <w:tcPr>
        <w:tcBorders>
          <w:insideH w:val="nil"/>
          <w:insideV w:val="nil"/>
        </w:tcBorders>
        <w:shd w:val="clear" w:color="auto" w:fill="D5D5D6"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42C34"/>
    <w:pPr>
      <w:spacing w:after="0" w:line="240" w:lineRule="auto"/>
    </w:pPr>
    <w:tblPr>
      <w:tblStyleRowBandSize w:val="1"/>
      <w:tblStyleColBandSize w:val="1"/>
      <w:tbl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single" w:sz="8" w:space="0" w:color="BCBEC0" w:themeColor="accent4" w:themeTint="BF"/>
      </w:tblBorders>
    </w:tblPr>
    <w:tblStylePr w:type="firstRow">
      <w:pPr>
        <w:spacing w:before="0" w:after="0" w:line="240" w:lineRule="auto"/>
      </w:pPr>
      <w:rPr>
        <w:b/>
        <w:bCs/>
        <w:color w:val="FFFFFF" w:themeColor="background1"/>
      </w:rPr>
      <w:tblPr/>
      <w:tcPr>
        <w:tcBorders>
          <w:top w:val="single" w:sz="8"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shd w:val="clear" w:color="auto" w:fill="A7A9AC" w:themeFill="accent4"/>
      </w:tcPr>
    </w:tblStylePr>
    <w:tblStylePr w:type="lastRow">
      <w:pPr>
        <w:spacing w:before="0" w:after="0" w:line="240" w:lineRule="auto"/>
      </w:pPr>
      <w:rPr>
        <w:b/>
        <w:bCs/>
      </w:rPr>
      <w:tblPr/>
      <w:tcPr>
        <w:tcBorders>
          <w:top w:val="double" w:sz="6" w:space="0" w:color="BCBEC0" w:themeColor="accent4" w:themeTint="BF"/>
          <w:left w:val="single" w:sz="8" w:space="0" w:color="BCBEC0" w:themeColor="accent4" w:themeTint="BF"/>
          <w:bottom w:val="single" w:sz="8" w:space="0" w:color="BCBEC0" w:themeColor="accent4" w:themeTint="BF"/>
          <w:right w:val="single" w:sz="8" w:space="0" w:color="BCBE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9E9EA" w:themeFill="accent4" w:themeFillTint="3F"/>
      </w:tcPr>
    </w:tblStylePr>
    <w:tblStylePr w:type="band1Horz">
      <w:tblPr/>
      <w:tcPr>
        <w:tcBorders>
          <w:insideH w:val="nil"/>
          <w:insideV w:val="nil"/>
        </w:tcBorders>
        <w:shd w:val="clear" w:color="auto" w:fill="E9E9EA" w:themeFill="accent4"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842C34"/>
    <w:pPr>
      <w:spacing w:after="0" w:line="240" w:lineRule="auto"/>
    </w:pPr>
    <w:tblPr>
      <w:tblStyleRowBandSize w:val="1"/>
      <w:tblStyleColBandSize w:val="1"/>
      <w:tblBorders>
        <w:top w:val="single" w:sz="8" w:space="0" w:color="004200" w:themeColor="accent6"/>
        <w:left w:val="single" w:sz="8" w:space="0" w:color="004200" w:themeColor="accent6"/>
        <w:bottom w:val="single" w:sz="8" w:space="0" w:color="004200" w:themeColor="accent6"/>
        <w:right w:val="single" w:sz="8" w:space="0" w:color="004200" w:themeColor="accent6"/>
        <w:insideH w:val="single" w:sz="8" w:space="0" w:color="004200" w:themeColor="accent6"/>
        <w:insideV w:val="single" w:sz="8" w:space="0" w:color="004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18" w:space="0" w:color="004200" w:themeColor="accent6"/>
          <w:right w:val="single" w:sz="8" w:space="0" w:color="004200" w:themeColor="accent6"/>
          <w:insideH w:val="nil"/>
          <w:insideV w:val="single" w:sz="8" w:space="0" w:color="004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200" w:themeColor="accent6"/>
          <w:left w:val="single" w:sz="8" w:space="0" w:color="004200" w:themeColor="accent6"/>
          <w:bottom w:val="single" w:sz="8" w:space="0" w:color="004200" w:themeColor="accent6"/>
          <w:right w:val="single" w:sz="8" w:space="0" w:color="004200" w:themeColor="accent6"/>
          <w:insideH w:val="nil"/>
          <w:insideV w:val="single" w:sz="8" w:space="0" w:color="004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tcPr>
    </w:tblStylePr>
    <w:tblStylePr w:type="band1Vert">
      <w:tblPr/>
      <w:tcPr>
        <w:tcBorders>
          <w:top w:val="single" w:sz="8" w:space="0" w:color="004200" w:themeColor="accent6"/>
          <w:left w:val="single" w:sz="8" w:space="0" w:color="004200" w:themeColor="accent6"/>
          <w:bottom w:val="single" w:sz="8" w:space="0" w:color="004200" w:themeColor="accent6"/>
          <w:right w:val="single" w:sz="8" w:space="0" w:color="004200" w:themeColor="accent6"/>
        </w:tcBorders>
        <w:shd w:val="clear" w:color="auto" w:fill="91FF91" w:themeFill="accent6" w:themeFillTint="3F"/>
      </w:tcPr>
    </w:tblStylePr>
    <w:tblStylePr w:type="band1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shd w:val="clear" w:color="auto" w:fill="91FF91" w:themeFill="accent6" w:themeFillTint="3F"/>
      </w:tcPr>
    </w:tblStylePr>
    <w:tblStylePr w:type="band2Horz">
      <w:tblPr/>
      <w:tcPr>
        <w:tcBorders>
          <w:top w:val="single" w:sz="8" w:space="0" w:color="004200" w:themeColor="accent6"/>
          <w:left w:val="single" w:sz="8" w:space="0" w:color="004200" w:themeColor="accent6"/>
          <w:bottom w:val="single" w:sz="8" w:space="0" w:color="004200" w:themeColor="accent6"/>
          <w:right w:val="single" w:sz="8" w:space="0" w:color="004200" w:themeColor="accent6"/>
          <w:insideV w:val="single" w:sz="8" w:space="0" w:color="004200" w:themeColor="accent6"/>
        </w:tcBorders>
      </w:tcPr>
    </w:tblStylePr>
  </w:style>
  <w:style w:type="table" w:styleId="MediumShading1-Accent5">
    <w:name w:val="Medium Shading 1 Accent 5"/>
    <w:basedOn w:val="TableNormal"/>
    <w:uiPriority w:val="63"/>
    <w:rsid w:val="00EC68AC"/>
    <w:pPr>
      <w:spacing w:before="40" w:after="40" w:line="240" w:lineRule="auto"/>
    </w:pPr>
    <w:tblPr>
      <w:tblStyleRowBandSize w:val="1"/>
      <w:tblStyleColBandSize w:val="1"/>
      <w:tbl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008A00" w:themeColor="accent5"/>
          <w:left w:val="single" w:sz="8" w:space="0" w:color="008A00" w:themeColor="accent5"/>
          <w:bottom w:val="single" w:sz="8" w:space="0" w:color="008A00" w:themeColor="accent5"/>
          <w:right w:val="single" w:sz="8" w:space="0" w:color="008A00" w:themeColor="accent5"/>
          <w:insideH w:val="single" w:sz="8" w:space="0" w:color="008A00" w:themeColor="accent5"/>
          <w:insideV w:val="single" w:sz="8" w:space="0" w:color="008A00" w:themeColor="accent5"/>
        </w:tcBorders>
        <w:shd w:val="clear" w:color="auto" w:fill="008A00" w:themeFill="accent5"/>
      </w:tcPr>
    </w:tblStylePr>
    <w:tblStylePr w:type="lastRow">
      <w:pPr>
        <w:wordWrap/>
        <w:spacing w:beforeLines="0" w:before="40" w:beforeAutospacing="0" w:afterLines="0" w:after="40" w:afterAutospacing="0" w:line="240" w:lineRule="auto"/>
      </w:pPr>
      <w:rPr>
        <w:b/>
        <w:bCs/>
      </w:rPr>
      <w:tblPr/>
      <w:tcPr>
        <w:tcBorders>
          <w:top w:val="double" w:sz="6" w:space="0" w:color="008A00" w:themeColor="accent5"/>
          <w:left w:val="single" w:sz="8" w:space="0" w:color="008A00" w:themeColor="accent5"/>
          <w:bottom w:val="single" w:sz="8" w:space="0" w:color="008A00" w:themeColor="accent5"/>
          <w:right w:val="single" w:sz="8" w:space="0" w:color="008A00" w:themeColor="accent5"/>
          <w:insideH w:val="nil"/>
          <w:insideV w:val="nil"/>
        </w:tcBorders>
      </w:tcPr>
    </w:tblStylePr>
    <w:tblStylePr w:type="firstCol">
      <w:rPr>
        <w:b/>
        <w:bCs/>
      </w:rPr>
    </w:tblStylePr>
    <w:tblStylePr w:type="lastCol">
      <w:rPr>
        <w:b/>
        <w:bCs/>
      </w:rPr>
    </w:tblStylePr>
    <w:tblStylePr w:type="band1Vert">
      <w:tblPr/>
      <w:tcPr>
        <w:shd w:val="clear" w:color="auto" w:fill="A3FFA3" w:themeFill="accent5" w:themeFillTint="3F"/>
      </w:tcPr>
    </w:tblStylePr>
    <w:tblStylePr w:type="band1Horz">
      <w:tblPr/>
      <w:tcPr>
        <w:tcBorders>
          <w:insideH w:val="nil"/>
          <w:insideV w:val="nil"/>
        </w:tcBorders>
        <w:shd w:val="clear" w:color="auto" w:fill="A3FFA3" w:themeFill="accent5"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C864ED"/>
    <w:pPr>
      <w:spacing w:before="40" w:after="40" w:line="240" w:lineRule="auto"/>
    </w:pPr>
    <w:tblPr>
      <w:tblStyleRowBandSize w:val="1"/>
      <w:tblStyleColBandSize w:val="1"/>
      <w:tbl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blBorders>
    </w:tblPr>
    <w:tblStylePr w:type="firstRow">
      <w:pPr>
        <w:wordWrap/>
        <w:spacing w:beforeLines="0" w:before="40" w:beforeAutospacing="0" w:afterLines="0" w:after="40" w:afterAutospacing="0" w:line="240" w:lineRule="auto"/>
      </w:pPr>
      <w:rPr>
        <w:b/>
        <w:bCs/>
        <w:color w:val="FFFFFF" w:themeColor="background1"/>
      </w:rPr>
      <w:tblPr/>
      <w:tcPr>
        <w:tcBorders>
          <w:top w:val="single" w:sz="8" w:space="0" w:color="808285" w:themeColor="accent3"/>
          <w:left w:val="single" w:sz="8" w:space="0" w:color="808285" w:themeColor="accent3"/>
          <w:bottom w:val="single" w:sz="8" w:space="0" w:color="808285" w:themeColor="accent3"/>
          <w:right w:val="single" w:sz="8" w:space="0" w:color="808285" w:themeColor="accent3"/>
          <w:insideH w:val="single" w:sz="8" w:space="0" w:color="808285" w:themeColor="accent3"/>
          <w:insideV w:val="single" w:sz="8" w:space="0" w:color="808285" w:themeColor="accent3"/>
        </w:tcBorders>
        <w:shd w:val="clear" w:color="auto" w:fill="808285" w:themeFill="accent3"/>
      </w:tcPr>
    </w:tblStylePr>
    <w:tblStylePr w:type="lastRow">
      <w:pPr>
        <w:wordWrap/>
        <w:spacing w:beforeLines="0" w:before="40" w:beforeAutospacing="0" w:afterLines="0" w:after="40" w:afterAutospacing="0" w:line="240" w:lineRule="auto"/>
      </w:pPr>
      <w:rPr>
        <w:b/>
        <w:bCs/>
      </w:rPr>
      <w:tblPr/>
      <w:tcPr>
        <w:tcBorders>
          <w:top w:val="double" w:sz="6" w:space="0" w:color="808285" w:themeColor="accent3"/>
          <w:left w:val="single" w:sz="8" w:space="0" w:color="808285" w:themeColor="accent3"/>
          <w:bottom w:val="single" w:sz="8" w:space="0" w:color="808285" w:themeColor="accent3"/>
          <w:right w:val="single" w:sz="8" w:space="0" w:color="808285" w:themeColor="accent3"/>
          <w:insideH w:val="nil"/>
          <w:insideV w:val="single" w:sz="8" w:space="0" w:color="808285" w:themeColor="accent3"/>
          <w:tl2br w:val="nil"/>
          <w:tr2bl w:val="nil"/>
        </w:tcBorders>
      </w:tcPr>
    </w:tblStylePr>
    <w:tblStylePr w:type="firstCol">
      <w:rPr>
        <w:b/>
        <w:bCs/>
      </w:rPr>
    </w:tblStylePr>
    <w:tblStylePr w:type="lastCol">
      <w:rPr>
        <w:b/>
        <w:bCs/>
      </w:rPr>
    </w:tblStylePr>
    <w:tblStylePr w:type="band1Vert">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1Horz">
      <w:tblPr/>
      <w:tcPr>
        <w:tcBorders>
          <w:top w:val="single" w:sz="8" w:space="0" w:color="A7A9AC" w:themeColor="accent4"/>
          <w:left w:val="single" w:sz="8" w:space="0" w:color="A7A9AC" w:themeColor="accent4"/>
          <w:bottom w:val="single" w:sz="8" w:space="0" w:color="A7A9AC" w:themeColor="accent4"/>
          <w:right w:val="single" w:sz="8" w:space="0" w:color="A7A9AC" w:themeColor="accent4"/>
        </w:tcBorders>
      </w:tcPr>
    </w:tblStylePr>
    <w:tblStylePr w:type="band2Horz">
      <w:tblPr/>
      <w:tcPr>
        <w:shd w:val="clear" w:color="auto" w:fill="A7A9AC" w:themeFill="accent4"/>
      </w:tcPr>
    </w:tblStylePr>
  </w:style>
  <w:style w:type="paragraph" w:customStyle="1" w:styleId="TitlePlain">
    <w:name w:val="Title Plain"/>
    <w:basedOn w:val="Title"/>
    <w:link w:val="TitlePlainChar"/>
    <w:qFormat/>
    <w:rsid w:val="006F0A93"/>
    <w:pPr>
      <w:spacing w:before="6000"/>
      <w:ind w:left="0" w:right="3095"/>
      <w:jc w:val="left"/>
    </w:pPr>
    <w:rPr>
      <w:sz w:val="72"/>
      <w:szCs w:val="72"/>
      <w:lang w:eastAsia="en-AU"/>
    </w:rPr>
  </w:style>
  <w:style w:type="paragraph" w:customStyle="1" w:styleId="VersionandDatePlain">
    <w:name w:val="Version and Date Plain"/>
    <w:basedOn w:val="VersionandDate"/>
    <w:qFormat/>
    <w:rsid w:val="004C5008"/>
    <w:pPr>
      <w:ind w:left="0"/>
      <w:jc w:val="left"/>
    </w:pPr>
  </w:style>
  <w:style w:type="paragraph" w:customStyle="1" w:styleId="SubtitlePlain">
    <w:name w:val="Subtitle Plain"/>
    <w:basedOn w:val="Normal"/>
    <w:qFormat/>
    <w:rsid w:val="006F0A93"/>
    <w:pPr>
      <w:ind w:right="3095"/>
    </w:pPr>
    <w:rPr>
      <w:sz w:val="40"/>
      <w:szCs w:val="40"/>
      <w:lang w:eastAsia="en-AU"/>
    </w:rPr>
  </w:style>
  <w:style w:type="paragraph" w:customStyle="1" w:styleId="VesionanddatePlain">
    <w:name w:val="Vesion and date Plain"/>
    <w:basedOn w:val="Normal"/>
    <w:qFormat/>
    <w:rsid w:val="006F0A93"/>
    <w:pPr>
      <w:ind w:right="3095"/>
    </w:pPr>
    <w:rPr>
      <w:sz w:val="28"/>
    </w:rPr>
  </w:style>
  <w:style w:type="character" w:customStyle="1" w:styleId="TitlePlainChar">
    <w:name w:val="Title Plain Char"/>
    <w:basedOn w:val="TitleChar"/>
    <w:link w:val="TitlePlain"/>
    <w:rsid w:val="00EB2D3D"/>
    <w:rPr>
      <w:rFonts w:asciiTheme="majorHAnsi" w:eastAsiaTheme="majorEastAsia" w:hAnsiTheme="majorHAnsi" w:cstheme="majorBidi"/>
      <w:color w:val="000000" w:themeColor="text1"/>
      <w:spacing w:val="5"/>
      <w:kern w:val="28"/>
      <w:sz w:val="72"/>
      <w:szCs w:val="72"/>
      <w:lang w:eastAsia="en-AU"/>
    </w:rPr>
  </w:style>
  <w:style w:type="character" w:styleId="IntenseReference">
    <w:name w:val="Intense Reference"/>
    <w:basedOn w:val="DefaultParagraphFont"/>
    <w:uiPriority w:val="32"/>
    <w:qFormat/>
    <w:rsid w:val="00902DC8"/>
    <w:rPr>
      <w:b/>
      <w:bCs/>
      <w:i/>
      <w:smallCaps/>
      <w:color w:val="58595B" w:themeColor="accent2"/>
      <w:spacing w:val="5"/>
      <w:u w:val="none"/>
    </w:rPr>
  </w:style>
  <w:style w:type="paragraph" w:styleId="FootnoteText">
    <w:name w:val="footnote text"/>
    <w:basedOn w:val="Normal"/>
    <w:link w:val="FootnoteTextChar"/>
    <w:unhideWhenUsed/>
    <w:rsid w:val="00902DC8"/>
    <w:pPr>
      <w:tabs>
        <w:tab w:val="left" w:pos="284"/>
      </w:tabs>
      <w:kinsoku w:val="0"/>
      <w:overflowPunct w:val="0"/>
      <w:autoSpaceDE w:val="0"/>
      <w:autoSpaceDN w:val="0"/>
      <w:adjustRightInd w:val="0"/>
      <w:snapToGrid w:val="0"/>
      <w:spacing w:before="80" w:after="80" w:line="240" w:lineRule="auto"/>
      <w:ind w:left="227" w:hanging="227"/>
    </w:pPr>
    <w:rPr>
      <w:rFonts w:ascii="Georgia" w:eastAsia="Times New Roman" w:hAnsi="Georgia" w:cs="Arial"/>
      <w:sz w:val="14"/>
      <w:szCs w:val="21"/>
    </w:rPr>
  </w:style>
  <w:style w:type="character" w:customStyle="1" w:styleId="FootnoteTextChar">
    <w:name w:val="Footnote Text Char"/>
    <w:basedOn w:val="DefaultParagraphFont"/>
    <w:link w:val="FootnoteText"/>
    <w:rsid w:val="00902DC8"/>
    <w:rPr>
      <w:rFonts w:ascii="Georgia" w:eastAsia="Times New Roman" w:hAnsi="Georgia" w:cs="Arial"/>
      <w:sz w:val="14"/>
      <w:szCs w:val="21"/>
    </w:rPr>
  </w:style>
  <w:style w:type="character" w:styleId="FootnoteReference">
    <w:name w:val="footnote reference"/>
    <w:basedOn w:val="DefaultParagraphFont"/>
    <w:unhideWhenUsed/>
    <w:rsid w:val="00902DC8"/>
    <w:rPr>
      <w:rFonts w:ascii="Georgia" w:hAnsi="Georgia" w:cs="Arial" w:hint="default"/>
      <w:sz w:val="21"/>
      <w:vertAlign w:val="superscript"/>
    </w:rPr>
  </w:style>
  <w:style w:type="character" w:customStyle="1" w:styleId="ListParagraphChar">
    <w:name w:val="List Paragraph Char"/>
    <w:link w:val="ListParagraph"/>
    <w:uiPriority w:val="34"/>
    <w:locked/>
    <w:rsid w:val="000B14DD"/>
  </w:style>
  <w:style w:type="character" w:styleId="FollowedHyperlink">
    <w:name w:val="FollowedHyperlink"/>
    <w:basedOn w:val="DefaultParagraphFont"/>
    <w:uiPriority w:val="99"/>
    <w:semiHidden/>
    <w:unhideWhenUsed/>
    <w:rsid w:val="00A06C22"/>
    <w:rPr>
      <w:color w:val="800080" w:themeColor="followedHyperlink"/>
      <w:u w:val="single"/>
    </w:rPr>
  </w:style>
  <w:style w:type="character" w:styleId="CommentReference">
    <w:name w:val="annotation reference"/>
    <w:basedOn w:val="DefaultParagraphFont"/>
    <w:uiPriority w:val="99"/>
    <w:semiHidden/>
    <w:unhideWhenUsed/>
    <w:rsid w:val="00EA775D"/>
    <w:rPr>
      <w:sz w:val="16"/>
      <w:szCs w:val="16"/>
    </w:rPr>
  </w:style>
  <w:style w:type="paragraph" w:styleId="CommentText">
    <w:name w:val="annotation text"/>
    <w:basedOn w:val="Normal"/>
    <w:link w:val="CommentTextChar"/>
    <w:uiPriority w:val="99"/>
    <w:semiHidden/>
    <w:unhideWhenUsed/>
    <w:rsid w:val="00EA775D"/>
    <w:pPr>
      <w:spacing w:line="240" w:lineRule="auto"/>
    </w:pPr>
    <w:rPr>
      <w:sz w:val="20"/>
      <w:szCs w:val="20"/>
    </w:rPr>
  </w:style>
  <w:style w:type="character" w:customStyle="1" w:styleId="CommentTextChar">
    <w:name w:val="Comment Text Char"/>
    <w:basedOn w:val="DefaultParagraphFont"/>
    <w:link w:val="CommentText"/>
    <w:uiPriority w:val="99"/>
    <w:semiHidden/>
    <w:rsid w:val="00EA775D"/>
    <w:rPr>
      <w:sz w:val="20"/>
      <w:szCs w:val="20"/>
    </w:rPr>
  </w:style>
  <w:style w:type="paragraph" w:styleId="CommentSubject">
    <w:name w:val="annotation subject"/>
    <w:basedOn w:val="CommentText"/>
    <w:next w:val="CommentText"/>
    <w:link w:val="CommentSubjectChar"/>
    <w:uiPriority w:val="99"/>
    <w:semiHidden/>
    <w:unhideWhenUsed/>
    <w:rsid w:val="00EA775D"/>
    <w:rPr>
      <w:b/>
      <w:bCs/>
    </w:rPr>
  </w:style>
  <w:style w:type="character" w:customStyle="1" w:styleId="CommentSubjectChar">
    <w:name w:val="Comment Subject Char"/>
    <w:basedOn w:val="CommentTextChar"/>
    <w:link w:val="CommentSubject"/>
    <w:uiPriority w:val="99"/>
    <w:semiHidden/>
    <w:rsid w:val="00EA77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14747">
      <w:bodyDiv w:val="1"/>
      <w:marLeft w:val="0"/>
      <w:marRight w:val="0"/>
      <w:marTop w:val="0"/>
      <w:marBottom w:val="0"/>
      <w:divBdr>
        <w:top w:val="none" w:sz="0" w:space="0" w:color="auto"/>
        <w:left w:val="none" w:sz="0" w:space="0" w:color="auto"/>
        <w:bottom w:val="none" w:sz="0" w:space="0" w:color="auto"/>
        <w:right w:val="none" w:sz="0" w:space="0" w:color="auto"/>
      </w:divBdr>
    </w:div>
    <w:div w:id="626205704">
      <w:bodyDiv w:val="1"/>
      <w:marLeft w:val="0"/>
      <w:marRight w:val="0"/>
      <w:marTop w:val="0"/>
      <w:marBottom w:val="0"/>
      <w:divBdr>
        <w:top w:val="none" w:sz="0" w:space="0" w:color="auto"/>
        <w:left w:val="none" w:sz="0" w:space="0" w:color="auto"/>
        <w:bottom w:val="none" w:sz="0" w:space="0" w:color="auto"/>
        <w:right w:val="none" w:sz="0" w:space="0" w:color="auto"/>
      </w:divBdr>
    </w:div>
    <w:div w:id="652563842">
      <w:bodyDiv w:val="1"/>
      <w:marLeft w:val="0"/>
      <w:marRight w:val="0"/>
      <w:marTop w:val="0"/>
      <w:marBottom w:val="0"/>
      <w:divBdr>
        <w:top w:val="none" w:sz="0" w:space="0" w:color="auto"/>
        <w:left w:val="none" w:sz="0" w:space="0" w:color="auto"/>
        <w:bottom w:val="none" w:sz="0" w:space="0" w:color="auto"/>
        <w:right w:val="none" w:sz="0" w:space="0" w:color="auto"/>
      </w:divBdr>
    </w:div>
    <w:div w:id="780494070">
      <w:bodyDiv w:val="1"/>
      <w:marLeft w:val="0"/>
      <w:marRight w:val="0"/>
      <w:marTop w:val="0"/>
      <w:marBottom w:val="0"/>
      <w:divBdr>
        <w:top w:val="none" w:sz="0" w:space="0" w:color="auto"/>
        <w:left w:val="none" w:sz="0" w:space="0" w:color="auto"/>
        <w:bottom w:val="none" w:sz="0" w:space="0" w:color="auto"/>
        <w:right w:val="none" w:sz="0" w:space="0" w:color="auto"/>
      </w:divBdr>
    </w:div>
    <w:div w:id="1043016096">
      <w:bodyDiv w:val="1"/>
      <w:marLeft w:val="0"/>
      <w:marRight w:val="0"/>
      <w:marTop w:val="0"/>
      <w:marBottom w:val="0"/>
      <w:divBdr>
        <w:top w:val="none" w:sz="0" w:space="0" w:color="auto"/>
        <w:left w:val="none" w:sz="0" w:space="0" w:color="auto"/>
        <w:bottom w:val="none" w:sz="0" w:space="0" w:color="auto"/>
        <w:right w:val="none" w:sz="0" w:space="0" w:color="auto"/>
      </w:divBdr>
      <w:divsChild>
        <w:div w:id="1597136041">
          <w:marLeft w:val="0"/>
          <w:marRight w:val="0"/>
          <w:marTop w:val="0"/>
          <w:marBottom w:val="0"/>
          <w:divBdr>
            <w:top w:val="none" w:sz="0" w:space="0" w:color="auto"/>
            <w:left w:val="none" w:sz="0" w:space="0" w:color="auto"/>
            <w:bottom w:val="none" w:sz="0" w:space="0" w:color="auto"/>
            <w:right w:val="none" w:sz="0" w:space="0" w:color="auto"/>
          </w:divBdr>
        </w:div>
        <w:div w:id="1837837152">
          <w:marLeft w:val="0"/>
          <w:marRight w:val="0"/>
          <w:marTop w:val="0"/>
          <w:marBottom w:val="0"/>
          <w:divBdr>
            <w:top w:val="none" w:sz="0" w:space="0" w:color="auto"/>
            <w:left w:val="none" w:sz="0" w:space="0" w:color="auto"/>
            <w:bottom w:val="none" w:sz="0" w:space="0" w:color="auto"/>
            <w:right w:val="none" w:sz="0" w:space="0" w:color="auto"/>
          </w:divBdr>
        </w:div>
        <w:div w:id="102238642">
          <w:marLeft w:val="0"/>
          <w:marRight w:val="0"/>
          <w:marTop w:val="0"/>
          <w:marBottom w:val="0"/>
          <w:divBdr>
            <w:top w:val="none" w:sz="0" w:space="0" w:color="auto"/>
            <w:left w:val="none" w:sz="0" w:space="0" w:color="auto"/>
            <w:bottom w:val="none" w:sz="0" w:space="0" w:color="auto"/>
            <w:right w:val="none" w:sz="0" w:space="0" w:color="auto"/>
          </w:divBdr>
        </w:div>
        <w:div w:id="58333017">
          <w:marLeft w:val="0"/>
          <w:marRight w:val="0"/>
          <w:marTop w:val="0"/>
          <w:marBottom w:val="0"/>
          <w:divBdr>
            <w:top w:val="none" w:sz="0" w:space="0" w:color="auto"/>
            <w:left w:val="none" w:sz="0" w:space="0" w:color="auto"/>
            <w:bottom w:val="none" w:sz="0" w:space="0" w:color="auto"/>
            <w:right w:val="none" w:sz="0" w:space="0" w:color="auto"/>
          </w:divBdr>
        </w:div>
        <w:div w:id="984237947">
          <w:marLeft w:val="0"/>
          <w:marRight w:val="0"/>
          <w:marTop w:val="0"/>
          <w:marBottom w:val="0"/>
          <w:divBdr>
            <w:top w:val="none" w:sz="0" w:space="0" w:color="auto"/>
            <w:left w:val="none" w:sz="0" w:space="0" w:color="auto"/>
            <w:bottom w:val="none" w:sz="0" w:space="0" w:color="auto"/>
            <w:right w:val="none" w:sz="0" w:space="0" w:color="auto"/>
          </w:divBdr>
        </w:div>
        <w:div w:id="1587348545">
          <w:marLeft w:val="0"/>
          <w:marRight w:val="0"/>
          <w:marTop w:val="0"/>
          <w:marBottom w:val="0"/>
          <w:divBdr>
            <w:top w:val="none" w:sz="0" w:space="0" w:color="auto"/>
            <w:left w:val="none" w:sz="0" w:space="0" w:color="auto"/>
            <w:bottom w:val="none" w:sz="0" w:space="0" w:color="auto"/>
            <w:right w:val="none" w:sz="0" w:space="0" w:color="auto"/>
          </w:divBdr>
        </w:div>
        <w:div w:id="1037586069">
          <w:marLeft w:val="0"/>
          <w:marRight w:val="0"/>
          <w:marTop w:val="0"/>
          <w:marBottom w:val="0"/>
          <w:divBdr>
            <w:top w:val="none" w:sz="0" w:space="0" w:color="auto"/>
            <w:left w:val="none" w:sz="0" w:space="0" w:color="auto"/>
            <w:bottom w:val="none" w:sz="0" w:space="0" w:color="auto"/>
            <w:right w:val="none" w:sz="0" w:space="0" w:color="auto"/>
          </w:divBdr>
        </w:div>
        <w:div w:id="1518814095">
          <w:marLeft w:val="0"/>
          <w:marRight w:val="0"/>
          <w:marTop w:val="0"/>
          <w:marBottom w:val="0"/>
          <w:divBdr>
            <w:top w:val="none" w:sz="0" w:space="0" w:color="auto"/>
            <w:left w:val="none" w:sz="0" w:space="0" w:color="auto"/>
            <w:bottom w:val="none" w:sz="0" w:space="0" w:color="auto"/>
            <w:right w:val="none" w:sz="0" w:space="0" w:color="auto"/>
          </w:divBdr>
        </w:div>
        <w:div w:id="1368025216">
          <w:marLeft w:val="0"/>
          <w:marRight w:val="0"/>
          <w:marTop w:val="0"/>
          <w:marBottom w:val="0"/>
          <w:divBdr>
            <w:top w:val="none" w:sz="0" w:space="0" w:color="auto"/>
            <w:left w:val="none" w:sz="0" w:space="0" w:color="auto"/>
            <w:bottom w:val="none" w:sz="0" w:space="0" w:color="auto"/>
            <w:right w:val="none" w:sz="0" w:space="0" w:color="auto"/>
          </w:divBdr>
        </w:div>
        <w:div w:id="283970248">
          <w:marLeft w:val="0"/>
          <w:marRight w:val="0"/>
          <w:marTop w:val="0"/>
          <w:marBottom w:val="0"/>
          <w:divBdr>
            <w:top w:val="none" w:sz="0" w:space="0" w:color="auto"/>
            <w:left w:val="none" w:sz="0" w:space="0" w:color="auto"/>
            <w:bottom w:val="none" w:sz="0" w:space="0" w:color="auto"/>
            <w:right w:val="none" w:sz="0" w:space="0" w:color="auto"/>
          </w:divBdr>
        </w:div>
        <w:div w:id="437022254">
          <w:marLeft w:val="0"/>
          <w:marRight w:val="0"/>
          <w:marTop w:val="0"/>
          <w:marBottom w:val="0"/>
          <w:divBdr>
            <w:top w:val="none" w:sz="0" w:space="0" w:color="auto"/>
            <w:left w:val="none" w:sz="0" w:space="0" w:color="auto"/>
            <w:bottom w:val="none" w:sz="0" w:space="0" w:color="auto"/>
            <w:right w:val="none" w:sz="0" w:space="0" w:color="auto"/>
          </w:divBdr>
        </w:div>
        <w:div w:id="1944266732">
          <w:marLeft w:val="0"/>
          <w:marRight w:val="0"/>
          <w:marTop w:val="0"/>
          <w:marBottom w:val="0"/>
          <w:divBdr>
            <w:top w:val="none" w:sz="0" w:space="0" w:color="auto"/>
            <w:left w:val="none" w:sz="0" w:space="0" w:color="auto"/>
            <w:bottom w:val="none" w:sz="0" w:space="0" w:color="auto"/>
            <w:right w:val="none" w:sz="0" w:space="0" w:color="auto"/>
          </w:divBdr>
        </w:div>
        <w:div w:id="213155157">
          <w:marLeft w:val="0"/>
          <w:marRight w:val="0"/>
          <w:marTop w:val="0"/>
          <w:marBottom w:val="0"/>
          <w:divBdr>
            <w:top w:val="none" w:sz="0" w:space="0" w:color="auto"/>
            <w:left w:val="none" w:sz="0" w:space="0" w:color="auto"/>
            <w:bottom w:val="none" w:sz="0" w:space="0" w:color="auto"/>
            <w:right w:val="none" w:sz="0" w:space="0" w:color="auto"/>
          </w:divBdr>
        </w:div>
        <w:div w:id="1211040498">
          <w:marLeft w:val="0"/>
          <w:marRight w:val="0"/>
          <w:marTop w:val="0"/>
          <w:marBottom w:val="0"/>
          <w:divBdr>
            <w:top w:val="none" w:sz="0" w:space="0" w:color="auto"/>
            <w:left w:val="none" w:sz="0" w:space="0" w:color="auto"/>
            <w:bottom w:val="none" w:sz="0" w:space="0" w:color="auto"/>
            <w:right w:val="none" w:sz="0" w:space="0" w:color="auto"/>
          </w:divBdr>
        </w:div>
        <w:div w:id="1963539240">
          <w:marLeft w:val="0"/>
          <w:marRight w:val="0"/>
          <w:marTop w:val="0"/>
          <w:marBottom w:val="0"/>
          <w:divBdr>
            <w:top w:val="none" w:sz="0" w:space="0" w:color="auto"/>
            <w:left w:val="none" w:sz="0" w:space="0" w:color="auto"/>
            <w:bottom w:val="none" w:sz="0" w:space="0" w:color="auto"/>
            <w:right w:val="none" w:sz="0" w:space="0" w:color="auto"/>
          </w:divBdr>
        </w:div>
        <w:div w:id="337512382">
          <w:marLeft w:val="0"/>
          <w:marRight w:val="0"/>
          <w:marTop w:val="0"/>
          <w:marBottom w:val="0"/>
          <w:divBdr>
            <w:top w:val="none" w:sz="0" w:space="0" w:color="auto"/>
            <w:left w:val="none" w:sz="0" w:space="0" w:color="auto"/>
            <w:bottom w:val="none" w:sz="0" w:space="0" w:color="auto"/>
            <w:right w:val="none" w:sz="0" w:space="0" w:color="auto"/>
          </w:divBdr>
        </w:div>
        <w:div w:id="114908513">
          <w:marLeft w:val="0"/>
          <w:marRight w:val="0"/>
          <w:marTop w:val="0"/>
          <w:marBottom w:val="0"/>
          <w:divBdr>
            <w:top w:val="none" w:sz="0" w:space="0" w:color="auto"/>
            <w:left w:val="none" w:sz="0" w:space="0" w:color="auto"/>
            <w:bottom w:val="none" w:sz="0" w:space="0" w:color="auto"/>
            <w:right w:val="none" w:sz="0" w:space="0" w:color="auto"/>
          </w:divBdr>
        </w:div>
        <w:div w:id="1697534098">
          <w:marLeft w:val="0"/>
          <w:marRight w:val="0"/>
          <w:marTop w:val="0"/>
          <w:marBottom w:val="0"/>
          <w:divBdr>
            <w:top w:val="none" w:sz="0" w:space="0" w:color="auto"/>
            <w:left w:val="none" w:sz="0" w:space="0" w:color="auto"/>
            <w:bottom w:val="none" w:sz="0" w:space="0" w:color="auto"/>
            <w:right w:val="none" w:sz="0" w:space="0" w:color="auto"/>
          </w:divBdr>
        </w:div>
        <w:div w:id="426776993">
          <w:marLeft w:val="0"/>
          <w:marRight w:val="0"/>
          <w:marTop w:val="0"/>
          <w:marBottom w:val="0"/>
          <w:divBdr>
            <w:top w:val="none" w:sz="0" w:space="0" w:color="auto"/>
            <w:left w:val="none" w:sz="0" w:space="0" w:color="auto"/>
            <w:bottom w:val="none" w:sz="0" w:space="0" w:color="auto"/>
            <w:right w:val="none" w:sz="0" w:space="0" w:color="auto"/>
          </w:divBdr>
        </w:div>
        <w:div w:id="1452281202">
          <w:marLeft w:val="0"/>
          <w:marRight w:val="0"/>
          <w:marTop w:val="0"/>
          <w:marBottom w:val="0"/>
          <w:divBdr>
            <w:top w:val="none" w:sz="0" w:space="0" w:color="auto"/>
            <w:left w:val="none" w:sz="0" w:space="0" w:color="auto"/>
            <w:bottom w:val="none" w:sz="0" w:space="0" w:color="auto"/>
            <w:right w:val="none" w:sz="0" w:space="0" w:color="auto"/>
          </w:divBdr>
        </w:div>
        <w:div w:id="1244686789">
          <w:marLeft w:val="0"/>
          <w:marRight w:val="0"/>
          <w:marTop w:val="0"/>
          <w:marBottom w:val="0"/>
          <w:divBdr>
            <w:top w:val="none" w:sz="0" w:space="0" w:color="auto"/>
            <w:left w:val="none" w:sz="0" w:space="0" w:color="auto"/>
            <w:bottom w:val="none" w:sz="0" w:space="0" w:color="auto"/>
            <w:right w:val="none" w:sz="0" w:space="0" w:color="auto"/>
          </w:divBdr>
        </w:div>
        <w:div w:id="1322543759">
          <w:marLeft w:val="0"/>
          <w:marRight w:val="0"/>
          <w:marTop w:val="0"/>
          <w:marBottom w:val="0"/>
          <w:divBdr>
            <w:top w:val="none" w:sz="0" w:space="0" w:color="auto"/>
            <w:left w:val="none" w:sz="0" w:space="0" w:color="auto"/>
            <w:bottom w:val="none" w:sz="0" w:space="0" w:color="auto"/>
            <w:right w:val="none" w:sz="0" w:space="0" w:color="auto"/>
          </w:divBdr>
        </w:div>
        <w:div w:id="412510324">
          <w:marLeft w:val="0"/>
          <w:marRight w:val="0"/>
          <w:marTop w:val="0"/>
          <w:marBottom w:val="0"/>
          <w:divBdr>
            <w:top w:val="none" w:sz="0" w:space="0" w:color="auto"/>
            <w:left w:val="none" w:sz="0" w:space="0" w:color="auto"/>
            <w:bottom w:val="none" w:sz="0" w:space="0" w:color="auto"/>
            <w:right w:val="none" w:sz="0" w:space="0" w:color="auto"/>
          </w:divBdr>
        </w:div>
        <w:div w:id="1251162309">
          <w:marLeft w:val="0"/>
          <w:marRight w:val="0"/>
          <w:marTop w:val="0"/>
          <w:marBottom w:val="0"/>
          <w:divBdr>
            <w:top w:val="none" w:sz="0" w:space="0" w:color="auto"/>
            <w:left w:val="none" w:sz="0" w:space="0" w:color="auto"/>
            <w:bottom w:val="none" w:sz="0" w:space="0" w:color="auto"/>
            <w:right w:val="none" w:sz="0" w:space="0" w:color="auto"/>
          </w:divBdr>
        </w:div>
        <w:div w:id="93332197">
          <w:marLeft w:val="0"/>
          <w:marRight w:val="0"/>
          <w:marTop w:val="0"/>
          <w:marBottom w:val="0"/>
          <w:divBdr>
            <w:top w:val="none" w:sz="0" w:space="0" w:color="auto"/>
            <w:left w:val="none" w:sz="0" w:space="0" w:color="auto"/>
            <w:bottom w:val="none" w:sz="0" w:space="0" w:color="auto"/>
            <w:right w:val="none" w:sz="0" w:space="0" w:color="auto"/>
          </w:divBdr>
        </w:div>
        <w:div w:id="767118247">
          <w:marLeft w:val="0"/>
          <w:marRight w:val="0"/>
          <w:marTop w:val="0"/>
          <w:marBottom w:val="0"/>
          <w:divBdr>
            <w:top w:val="none" w:sz="0" w:space="0" w:color="auto"/>
            <w:left w:val="none" w:sz="0" w:space="0" w:color="auto"/>
            <w:bottom w:val="none" w:sz="0" w:space="0" w:color="auto"/>
            <w:right w:val="none" w:sz="0" w:space="0" w:color="auto"/>
          </w:divBdr>
        </w:div>
        <w:div w:id="1827210154">
          <w:marLeft w:val="0"/>
          <w:marRight w:val="0"/>
          <w:marTop w:val="0"/>
          <w:marBottom w:val="0"/>
          <w:divBdr>
            <w:top w:val="none" w:sz="0" w:space="0" w:color="auto"/>
            <w:left w:val="none" w:sz="0" w:space="0" w:color="auto"/>
            <w:bottom w:val="none" w:sz="0" w:space="0" w:color="auto"/>
            <w:right w:val="none" w:sz="0" w:space="0" w:color="auto"/>
          </w:divBdr>
        </w:div>
        <w:div w:id="454064972">
          <w:marLeft w:val="0"/>
          <w:marRight w:val="0"/>
          <w:marTop w:val="0"/>
          <w:marBottom w:val="0"/>
          <w:divBdr>
            <w:top w:val="none" w:sz="0" w:space="0" w:color="auto"/>
            <w:left w:val="none" w:sz="0" w:space="0" w:color="auto"/>
            <w:bottom w:val="none" w:sz="0" w:space="0" w:color="auto"/>
            <w:right w:val="none" w:sz="0" w:space="0" w:color="auto"/>
          </w:divBdr>
        </w:div>
        <w:div w:id="1088228798">
          <w:marLeft w:val="0"/>
          <w:marRight w:val="0"/>
          <w:marTop w:val="0"/>
          <w:marBottom w:val="0"/>
          <w:divBdr>
            <w:top w:val="none" w:sz="0" w:space="0" w:color="auto"/>
            <w:left w:val="none" w:sz="0" w:space="0" w:color="auto"/>
            <w:bottom w:val="none" w:sz="0" w:space="0" w:color="auto"/>
            <w:right w:val="none" w:sz="0" w:space="0" w:color="auto"/>
          </w:divBdr>
        </w:div>
        <w:div w:id="1262254157">
          <w:marLeft w:val="0"/>
          <w:marRight w:val="0"/>
          <w:marTop w:val="0"/>
          <w:marBottom w:val="0"/>
          <w:divBdr>
            <w:top w:val="none" w:sz="0" w:space="0" w:color="auto"/>
            <w:left w:val="none" w:sz="0" w:space="0" w:color="auto"/>
            <w:bottom w:val="none" w:sz="0" w:space="0" w:color="auto"/>
            <w:right w:val="none" w:sz="0" w:space="0" w:color="auto"/>
          </w:divBdr>
        </w:div>
        <w:div w:id="1327242298">
          <w:marLeft w:val="0"/>
          <w:marRight w:val="0"/>
          <w:marTop w:val="0"/>
          <w:marBottom w:val="0"/>
          <w:divBdr>
            <w:top w:val="none" w:sz="0" w:space="0" w:color="auto"/>
            <w:left w:val="none" w:sz="0" w:space="0" w:color="auto"/>
            <w:bottom w:val="none" w:sz="0" w:space="0" w:color="auto"/>
            <w:right w:val="none" w:sz="0" w:space="0" w:color="auto"/>
          </w:divBdr>
        </w:div>
        <w:div w:id="2092583312">
          <w:marLeft w:val="0"/>
          <w:marRight w:val="0"/>
          <w:marTop w:val="0"/>
          <w:marBottom w:val="0"/>
          <w:divBdr>
            <w:top w:val="none" w:sz="0" w:space="0" w:color="auto"/>
            <w:left w:val="none" w:sz="0" w:space="0" w:color="auto"/>
            <w:bottom w:val="none" w:sz="0" w:space="0" w:color="auto"/>
            <w:right w:val="none" w:sz="0" w:space="0" w:color="auto"/>
          </w:divBdr>
        </w:div>
        <w:div w:id="1057162345">
          <w:marLeft w:val="0"/>
          <w:marRight w:val="0"/>
          <w:marTop w:val="0"/>
          <w:marBottom w:val="0"/>
          <w:divBdr>
            <w:top w:val="none" w:sz="0" w:space="0" w:color="auto"/>
            <w:left w:val="none" w:sz="0" w:space="0" w:color="auto"/>
            <w:bottom w:val="none" w:sz="0" w:space="0" w:color="auto"/>
            <w:right w:val="none" w:sz="0" w:space="0" w:color="auto"/>
          </w:divBdr>
        </w:div>
        <w:div w:id="1218204777">
          <w:marLeft w:val="0"/>
          <w:marRight w:val="0"/>
          <w:marTop w:val="0"/>
          <w:marBottom w:val="0"/>
          <w:divBdr>
            <w:top w:val="none" w:sz="0" w:space="0" w:color="auto"/>
            <w:left w:val="none" w:sz="0" w:space="0" w:color="auto"/>
            <w:bottom w:val="none" w:sz="0" w:space="0" w:color="auto"/>
            <w:right w:val="none" w:sz="0" w:space="0" w:color="auto"/>
          </w:divBdr>
        </w:div>
        <w:div w:id="1550071873">
          <w:marLeft w:val="0"/>
          <w:marRight w:val="0"/>
          <w:marTop w:val="0"/>
          <w:marBottom w:val="0"/>
          <w:divBdr>
            <w:top w:val="none" w:sz="0" w:space="0" w:color="auto"/>
            <w:left w:val="none" w:sz="0" w:space="0" w:color="auto"/>
            <w:bottom w:val="none" w:sz="0" w:space="0" w:color="auto"/>
            <w:right w:val="none" w:sz="0" w:space="0" w:color="auto"/>
          </w:divBdr>
        </w:div>
        <w:div w:id="706611803">
          <w:marLeft w:val="0"/>
          <w:marRight w:val="0"/>
          <w:marTop w:val="0"/>
          <w:marBottom w:val="0"/>
          <w:divBdr>
            <w:top w:val="none" w:sz="0" w:space="0" w:color="auto"/>
            <w:left w:val="none" w:sz="0" w:space="0" w:color="auto"/>
            <w:bottom w:val="none" w:sz="0" w:space="0" w:color="auto"/>
            <w:right w:val="none" w:sz="0" w:space="0" w:color="auto"/>
          </w:divBdr>
        </w:div>
        <w:div w:id="1479302086">
          <w:marLeft w:val="0"/>
          <w:marRight w:val="0"/>
          <w:marTop w:val="0"/>
          <w:marBottom w:val="0"/>
          <w:divBdr>
            <w:top w:val="none" w:sz="0" w:space="0" w:color="auto"/>
            <w:left w:val="none" w:sz="0" w:space="0" w:color="auto"/>
            <w:bottom w:val="none" w:sz="0" w:space="0" w:color="auto"/>
            <w:right w:val="none" w:sz="0" w:space="0" w:color="auto"/>
          </w:divBdr>
        </w:div>
        <w:div w:id="1373311093">
          <w:marLeft w:val="0"/>
          <w:marRight w:val="0"/>
          <w:marTop w:val="0"/>
          <w:marBottom w:val="0"/>
          <w:divBdr>
            <w:top w:val="none" w:sz="0" w:space="0" w:color="auto"/>
            <w:left w:val="none" w:sz="0" w:space="0" w:color="auto"/>
            <w:bottom w:val="none" w:sz="0" w:space="0" w:color="auto"/>
            <w:right w:val="none" w:sz="0" w:space="0" w:color="auto"/>
          </w:divBdr>
        </w:div>
        <w:div w:id="1807576786">
          <w:marLeft w:val="0"/>
          <w:marRight w:val="0"/>
          <w:marTop w:val="0"/>
          <w:marBottom w:val="0"/>
          <w:divBdr>
            <w:top w:val="none" w:sz="0" w:space="0" w:color="auto"/>
            <w:left w:val="none" w:sz="0" w:space="0" w:color="auto"/>
            <w:bottom w:val="none" w:sz="0" w:space="0" w:color="auto"/>
            <w:right w:val="none" w:sz="0" w:space="0" w:color="auto"/>
          </w:divBdr>
        </w:div>
        <w:div w:id="507330149">
          <w:marLeft w:val="0"/>
          <w:marRight w:val="0"/>
          <w:marTop w:val="0"/>
          <w:marBottom w:val="0"/>
          <w:divBdr>
            <w:top w:val="none" w:sz="0" w:space="0" w:color="auto"/>
            <w:left w:val="none" w:sz="0" w:space="0" w:color="auto"/>
            <w:bottom w:val="none" w:sz="0" w:space="0" w:color="auto"/>
            <w:right w:val="none" w:sz="0" w:space="0" w:color="auto"/>
          </w:divBdr>
        </w:div>
        <w:div w:id="1075474887">
          <w:marLeft w:val="0"/>
          <w:marRight w:val="0"/>
          <w:marTop w:val="0"/>
          <w:marBottom w:val="0"/>
          <w:divBdr>
            <w:top w:val="none" w:sz="0" w:space="0" w:color="auto"/>
            <w:left w:val="none" w:sz="0" w:space="0" w:color="auto"/>
            <w:bottom w:val="none" w:sz="0" w:space="0" w:color="auto"/>
            <w:right w:val="none" w:sz="0" w:space="0" w:color="auto"/>
          </w:divBdr>
        </w:div>
        <w:div w:id="322247939">
          <w:marLeft w:val="0"/>
          <w:marRight w:val="0"/>
          <w:marTop w:val="0"/>
          <w:marBottom w:val="0"/>
          <w:divBdr>
            <w:top w:val="none" w:sz="0" w:space="0" w:color="auto"/>
            <w:left w:val="none" w:sz="0" w:space="0" w:color="auto"/>
            <w:bottom w:val="none" w:sz="0" w:space="0" w:color="auto"/>
            <w:right w:val="none" w:sz="0" w:space="0" w:color="auto"/>
          </w:divBdr>
        </w:div>
        <w:div w:id="485585905">
          <w:marLeft w:val="0"/>
          <w:marRight w:val="0"/>
          <w:marTop w:val="0"/>
          <w:marBottom w:val="0"/>
          <w:divBdr>
            <w:top w:val="none" w:sz="0" w:space="0" w:color="auto"/>
            <w:left w:val="none" w:sz="0" w:space="0" w:color="auto"/>
            <w:bottom w:val="none" w:sz="0" w:space="0" w:color="auto"/>
            <w:right w:val="none" w:sz="0" w:space="0" w:color="auto"/>
          </w:divBdr>
        </w:div>
        <w:div w:id="2105110979">
          <w:marLeft w:val="0"/>
          <w:marRight w:val="0"/>
          <w:marTop w:val="0"/>
          <w:marBottom w:val="0"/>
          <w:divBdr>
            <w:top w:val="none" w:sz="0" w:space="0" w:color="auto"/>
            <w:left w:val="none" w:sz="0" w:space="0" w:color="auto"/>
            <w:bottom w:val="none" w:sz="0" w:space="0" w:color="auto"/>
            <w:right w:val="none" w:sz="0" w:space="0" w:color="auto"/>
          </w:divBdr>
        </w:div>
        <w:div w:id="2106262176">
          <w:marLeft w:val="0"/>
          <w:marRight w:val="0"/>
          <w:marTop w:val="0"/>
          <w:marBottom w:val="0"/>
          <w:divBdr>
            <w:top w:val="none" w:sz="0" w:space="0" w:color="auto"/>
            <w:left w:val="none" w:sz="0" w:space="0" w:color="auto"/>
            <w:bottom w:val="none" w:sz="0" w:space="0" w:color="auto"/>
            <w:right w:val="none" w:sz="0" w:space="0" w:color="auto"/>
          </w:divBdr>
        </w:div>
        <w:div w:id="713386910">
          <w:marLeft w:val="0"/>
          <w:marRight w:val="0"/>
          <w:marTop w:val="0"/>
          <w:marBottom w:val="0"/>
          <w:divBdr>
            <w:top w:val="none" w:sz="0" w:space="0" w:color="auto"/>
            <w:left w:val="none" w:sz="0" w:space="0" w:color="auto"/>
            <w:bottom w:val="none" w:sz="0" w:space="0" w:color="auto"/>
            <w:right w:val="none" w:sz="0" w:space="0" w:color="auto"/>
          </w:divBdr>
        </w:div>
        <w:div w:id="920455642">
          <w:marLeft w:val="0"/>
          <w:marRight w:val="0"/>
          <w:marTop w:val="0"/>
          <w:marBottom w:val="0"/>
          <w:divBdr>
            <w:top w:val="none" w:sz="0" w:space="0" w:color="auto"/>
            <w:left w:val="none" w:sz="0" w:space="0" w:color="auto"/>
            <w:bottom w:val="none" w:sz="0" w:space="0" w:color="auto"/>
            <w:right w:val="none" w:sz="0" w:space="0" w:color="auto"/>
          </w:divBdr>
        </w:div>
        <w:div w:id="1974208860">
          <w:marLeft w:val="0"/>
          <w:marRight w:val="0"/>
          <w:marTop w:val="0"/>
          <w:marBottom w:val="0"/>
          <w:divBdr>
            <w:top w:val="none" w:sz="0" w:space="0" w:color="auto"/>
            <w:left w:val="none" w:sz="0" w:space="0" w:color="auto"/>
            <w:bottom w:val="none" w:sz="0" w:space="0" w:color="auto"/>
            <w:right w:val="none" w:sz="0" w:space="0" w:color="auto"/>
          </w:divBdr>
        </w:div>
        <w:div w:id="157380261">
          <w:marLeft w:val="0"/>
          <w:marRight w:val="0"/>
          <w:marTop w:val="0"/>
          <w:marBottom w:val="0"/>
          <w:divBdr>
            <w:top w:val="none" w:sz="0" w:space="0" w:color="auto"/>
            <w:left w:val="none" w:sz="0" w:space="0" w:color="auto"/>
            <w:bottom w:val="none" w:sz="0" w:space="0" w:color="auto"/>
            <w:right w:val="none" w:sz="0" w:space="0" w:color="auto"/>
          </w:divBdr>
        </w:div>
        <w:div w:id="1515150264">
          <w:marLeft w:val="0"/>
          <w:marRight w:val="0"/>
          <w:marTop w:val="0"/>
          <w:marBottom w:val="0"/>
          <w:divBdr>
            <w:top w:val="none" w:sz="0" w:space="0" w:color="auto"/>
            <w:left w:val="none" w:sz="0" w:space="0" w:color="auto"/>
            <w:bottom w:val="none" w:sz="0" w:space="0" w:color="auto"/>
            <w:right w:val="none" w:sz="0" w:space="0" w:color="auto"/>
          </w:divBdr>
        </w:div>
        <w:div w:id="1322391837">
          <w:marLeft w:val="0"/>
          <w:marRight w:val="0"/>
          <w:marTop w:val="0"/>
          <w:marBottom w:val="0"/>
          <w:divBdr>
            <w:top w:val="none" w:sz="0" w:space="0" w:color="auto"/>
            <w:left w:val="none" w:sz="0" w:space="0" w:color="auto"/>
            <w:bottom w:val="none" w:sz="0" w:space="0" w:color="auto"/>
            <w:right w:val="none" w:sz="0" w:space="0" w:color="auto"/>
          </w:divBdr>
        </w:div>
        <w:div w:id="141435736">
          <w:marLeft w:val="0"/>
          <w:marRight w:val="0"/>
          <w:marTop w:val="0"/>
          <w:marBottom w:val="0"/>
          <w:divBdr>
            <w:top w:val="none" w:sz="0" w:space="0" w:color="auto"/>
            <w:left w:val="none" w:sz="0" w:space="0" w:color="auto"/>
            <w:bottom w:val="none" w:sz="0" w:space="0" w:color="auto"/>
            <w:right w:val="none" w:sz="0" w:space="0" w:color="auto"/>
          </w:divBdr>
        </w:div>
        <w:div w:id="2112505729">
          <w:marLeft w:val="0"/>
          <w:marRight w:val="0"/>
          <w:marTop w:val="0"/>
          <w:marBottom w:val="0"/>
          <w:divBdr>
            <w:top w:val="none" w:sz="0" w:space="0" w:color="auto"/>
            <w:left w:val="none" w:sz="0" w:space="0" w:color="auto"/>
            <w:bottom w:val="none" w:sz="0" w:space="0" w:color="auto"/>
            <w:right w:val="none" w:sz="0" w:space="0" w:color="auto"/>
          </w:divBdr>
        </w:div>
        <w:div w:id="981541785">
          <w:marLeft w:val="0"/>
          <w:marRight w:val="0"/>
          <w:marTop w:val="0"/>
          <w:marBottom w:val="0"/>
          <w:divBdr>
            <w:top w:val="none" w:sz="0" w:space="0" w:color="auto"/>
            <w:left w:val="none" w:sz="0" w:space="0" w:color="auto"/>
            <w:bottom w:val="none" w:sz="0" w:space="0" w:color="auto"/>
            <w:right w:val="none" w:sz="0" w:space="0" w:color="auto"/>
          </w:divBdr>
        </w:div>
        <w:div w:id="795296335">
          <w:marLeft w:val="0"/>
          <w:marRight w:val="0"/>
          <w:marTop w:val="0"/>
          <w:marBottom w:val="0"/>
          <w:divBdr>
            <w:top w:val="none" w:sz="0" w:space="0" w:color="auto"/>
            <w:left w:val="none" w:sz="0" w:space="0" w:color="auto"/>
            <w:bottom w:val="none" w:sz="0" w:space="0" w:color="auto"/>
            <w:right w:val="none" w:sz="0" w:space="0" w:color="auto"/>
          </w:divBdr>
        </w:div>
        <w:div w:id="2107534785">
          <w:marLeft w:val="0"/>
          <w:marRight w:val="0"/>
          <w:marTop w:val="0"/>
          <w:marBottom w:val="0"/>
          <w:divBdr>
            <w:top w:val="none" w:sz="0" w:space="0" w:color="auto"/>
            <w:left w:val="none" w:sz="0" w:space="0" w:color="auto"/>
            <w:bottom w:val="none" w:sz="0" w:space="0" w:color="auto"/>
            <w:right w:val="none" w:sz="0" w:space="0" w:color="auto"/>
          </w:divBdr>
        </w:div>
        <w:div w:id="505562633">
          <w:marLeft w:val="0"/>
          <w:marRight w:val="0"/>
          <w:marTop w:val="0"/>
          <w:marBottom w:val="0"/>
          <w:divBdr>
            <w:top w:val="none" w:sz="0" w:space="0" w:color="auto"/>
            <w:left w:val="none" w:sz="0" w:space="0" w:color="auto"/>
            <w:bottom w:val="none" w:sz="0" w:space="0" w:color="auto"/>
            <w:right w:val="none" w:sz="0" w:space="0" w:color="auto"/>
          </w:divBdr>
        </w:div>
        <w:div w:id="1406683258">
          <w:marLeft w:val="0"/>
          <w:marRight w:val="0"/>
          <w:marTop w:val="0"/>
          <w:marBottom w:val="0"/>
          <w:divBdr>
            <w:top w:val="none" w:sz="0" w:space="0" w:color="auto"/>
            <w:left w:val="none" w:sz="0" w:space="0" w:color="auto"/>
            <w:bottom w:val="none" w:sz="0" w:space="0" w:color="auto"/>
            <w:right w:val="none" w:sz="0" w:space="0" w:color="auto"/>
          </w:divBdr>
        </w:div>
        <w:div w:id="177156715">
          <w:marLeft w:val="0"/>
          <w:marRight w:val="0"/>
          <w:marTop w:val="0"/>
          <w:marBottom w:val="0"/>
          <w:divBdr>
            <w:top w:val="none" w:sz="0" w:space="0" w:color="auto"/>
            <w:left w:val="none" w:sz="0" w:space="0" w:color="auto"/>
            <w:bottom w:val="none" w:sz="0" w:space="0" w:color="auto"/>
            <w:right w:val="none" w:sz="0" w:space="0" w:color="auto"/>
          </w:divBdr>
        </w:div>
        <w:div w:id="1089232997">
          <w:marLeft w:val="0"/>
          <w:marRight w:val="0"/>
          <w:marTop w:val="0"/>
          <w:marBottom w:val="0"/>
          <w:divBdr>
            <w:top w:val="none" w:sz="0" w:space="0" w:color="auto"/>
            <w:left w:val="none" w:sz="0" w:space="0" w:color="auto"/>
            <w:bottom w:val="none" w:sz="0" w:space="0" w:color="auto"/>
            <w:right w:val="none" w:sz="0" w:space="0" w:color="auto"/>
          </w:divBdr>
        </w:div>
        <w:div w:id="542837332">
          <w:marLeft w:val="0"/>
          <w:marRight w:val="0"/>
          <w:marTop w:val="0"/>
          <w:marBottom w:val="0"/>
          <w:divBdr>
            <w:top w:val="none" w:sz="0" w:space="0" w:color="auto"/>
            <w:left w:val="none" w:sz="0" w:space="0" w:color="auto"/>
            <w:bottom w:val="none" w:sz="0" w:space="0" w:color="auto"/>
            <w:right w:val="none" w:sz="0" w:space="0" w:color="auto"/>
          </w:divBdr>
        </w:div>
        <w:div w:id="1278172194">
          <w:marLeft w:val="0"/>
          <w:marRight w:val="0"/>
          <w:marTop w:val="0"/>
          <w:marBottom w:val="0"/>
          <w:divBdr>
            <w:top w:val="none" w:sz="0" w:space="0" w:color="auto"/>
            <w:left w:val="none" w:sz="0" w:space="0" w:color="auto"/>
            <w:bottom w:val="none" w:sz="0" w:space="0" w:color="auto"/>
            <w:right w:val="none" w:sz="0" w:space="0" w:color="auto"/>
          </w:divBdr>
        </w:div>
        <w:div w:id="654837276">
          <w:marLeft w:val="0"/>
          <w:marRight w:val="0"/>
          <w:marTop w:val="0"/>
          <w:marBottom w:val="0"/>
          <w:divBdr>
            <w:top w:val="none" w:sz="0" w:space="0" w:color="auto"/>
            <w:left w:val="none" w:sz="0" w:space="0" w:color="auto"/>
            <w:bottom w:val="none" w:sz="0" w:space="0" w:color="auto"/>
            <w:right w:val="none" w:sz="0" w:space="0" w:color="auto"/>
          </w:divBdr>
        </w:div>
        <w:div w:id="1763067310">
          <w:marLeft w:val="0"/>
          <w:marRight w:val="0"/>
          <w:marTop w:val="0"/>
          <w:marBottom w:val="0"/>
          <w:divBdr>
            <w:top w:val="none" w:sz="0" w:space="0" w:color="auto"/>
            <w:left w:val="none" w:sz="0" w:space="0" w:color="auto"/>
            <w:bottom w:val="none" w:sz="0" w:space="0" w:color="auto"/>
            <w:right w:val="none" w:sz="0" w:space="0" w:color="auto"/>
          </w:divBdr>
        </w:div>
        <w:div w:id="1023361116">
          <w:marLeft w:val="0"/>
          <w:marRight w:val="0"/>
          <w:marTop w:val="0"/>
          <w:marBottom w:val="0"/>
          <w:divBdr>
            <w:top w:val="none" w:sz="0" w:space="0" w:color="auto"/>
            <w:left w:val="none" w:sz="0" w:space="0" w:color="auto"/>
            <w:bottom w:val="none" w:sz="0" w:space="0" w:color="auto"/>
            <w:right w:val="none" w:sz="0" w:space="0" w:color="auto"/>
          </w:divBdr>
        </w:div>
        <w:div w:id="615255863">
          <w:marLeft w:val="0"/>
          <w:marRight w:val="0"/>
          <w:marTop w:val="0"/>
          <w:marBottom w:val="0"/>
          <w:divBdr>
            <w:top w:val="none" w:sz="0" w:space="0" w:color="auto"/>
            <w:left w:val="none" w:sz="0" w:space="0" w:color="auto"/>
            <w:bottom w:val="none" w:sz="0" w:space="0" w:color="auto"/>
            <w:right w:val="none" w:sz="0" w:space="0" w:color="auto"/>
          </w:divBdr>
        </w:div>
        <w:div w:id="1312061500">
          <w:marLeft w:val="0"/>
          <w:marRight w:val="0"/>
          <w:marTop w:val="0"/>
          <w:marBottom w:val="0"/>
          <w:divBdr>
            <w:top w:val="none" w:sz="0" w:space="0" w:color="auto"/>
            <w:left w:val="none" w:sz="0" w:space="0" w:color="auto"/>
            <w:bottom w:val="none" w:sz="0" w:space="0" w:color="auto"/>
            <w:right w:val="none" w:sz="0" w:space="0" w:color="auto"/>
          </w:divBdr>
        </w:div>
        <w:div w:id="1219633579">
          <w:marLeft w:val="0"/>
          <w:marRight w:val="0"/>
          <w:marTop w:val="0"/>
          <w:marBottom w:val="0"/>
          <w:divBdr>
            <w:top w:val="none" w:sz="0" w:space="0" w:color="auto"/>
            <w:left w:val="none" w:sz="0" w:space="0" w:color="auto"/>
            <w:bottom w:val="none" w:sz="0" w:space="0" w:color="auto"/>
            <w:right w:val="none" w:sz="0" w:space="0" w:color="auto"/>
          </w:divBdr>
        </w:div>
        <w:div w:id="485245922">
          <w:marLeft w:val="0"/>
          <w:marRight w:val="0"/>
          <w:marTop w:val="0"/>
          <w:marBottom w:val="0"/>
          <w:divBdr>
            <w:top w:val="none" w:sz="0" w:space="0" w:color="auto"/>
            <w:left w:val="none" w:sz="0" w:space="0" w:color="auto"/>
            <w:bottom w:val="none" w:sz="0" w:space="0" w:color="auto"/>
            <w:right w:val="none" w:sz="0" w:space="0" w:color="auto"/>
          </w:divBdr>
        </w:div>
        <w:div w:id="1590577242">
          <w:marLeft w:val="0"/>
          <w:marRight w:val="0"/>
          <w:marTop w:val="0"/>
          <w:marBottom w:val="0"/>
          <w:divBdr>
            <w:top w:val="none" w:sz="0" w:space="0" w:color="auto"/>
            <w:left w:val="none" w:sz="0" w:space="0" w:color="auto"/>
            <w:bottom w:val="none" w:sz="0" w:space="0" w:color="auto"/>
            <w:right w:val="none" w:sz="0" w:space="0" w:color="auto"/>
          </w:divBdr>
        </w:div>
      </w:divsChild>
    </w:div>
    <w:div w:id="1130628810">
      <w:bodyDiv w:val="1"/>
      <w:marLeft w:val="0"/>
      <w:marRight w:val="0"/>
      <w:marTop w:val="0"/>
      <w:marBottom w:val="0"/>
      <w:divBdr>
        <w:top w:val="none" w:sz="0" w:space="0" w:color="auto"/>
        <w:left w:val="none" w:sz="0" w:space="0" w:color="auto"/>
        <w:bottom w:val="none" w:sz="0" w:space="0" w:color="auto"/>
        <w:right w:val="none" w:sz="0" w:space="0" w:color="auto"/>
      </w:divBdr>
    </w:div>
    <w:div w:id="1206717164">
      <w:bodyDiv w:val="1"/>
      <w:marLeft w:val="0"/>
      <w:marRight w:val="0"/>
      <w:marTop w:val="0"/>
      <w:marBottom w:val="0"/>
      <w:divBdr>
        <w:top w:val="none" w:sz="0" w:space="0" w:color="auto"/>
        <w:left w:val="none" w:sz="0" w:space="0" w:color="auto"/>
        <w:bottom w:val="none" w:sz="0" w:space="0" w:color="auto"/>
        <w:right w:val="none" w:sz="0" w:space="0" w:color="auto"/>
      </w:divBdr>
      <w:divsChild>
        <w:div w:id="178929447">
          <w:marLeft w:val="0"/>
          <w:marRight w:val="0"/>
          <w:marTop w:val="0"/>
          <w:marBottom w:val="0"/>
          <w:divBdr>
            <w:top w:val="none" w:sz="0" w:space="0" w:color="auto"/>
            <w:left w:val="none" w:sz="0" w:space="0" w:color="auto"/>
            <w:bottom w:val="none" w:sz="0" w:space="0" w:color="auto"/>
            <w:right w:val="none" w:sz="0" w:space="0" w:color="auto"/>
          </w:divBdr>
        </w:div>
        <w:div w:id="1478690931">
          <w:marLeft w:val="0"/>
          <w:marRight w:val="0"/>
          <w:marTop w:val="0"/>
          <w:marBottom w:val="0"/>
          <w:divBdr>
            <w:top w:val="none" w:sz="0" w:space="0" w:color="auto"/>
            <w:left w:val="none" w:sz="0" w:space="0" w:color="auto"/>
            <w:bottom w:val="none" w:sz="0" w:space="0" w:color="auto"/>
            <w:right w:val="none" w:sz="0" w:space="0" w:color="auto"/>
          </w:divBdr>
        </w:div>
        <w:div w:id="692997394">
          <w:marLeft w:val="0"/>
          <w:marRight w:val="0"/>
          <w:marTop w:val="0"/>
          <w:marBottom w:val="0"/>
          <w:divBdr>
            <w:top w:val="none" w:sz="0" w:space="0" w:color="auto"/>
            <w:left w:val="none" w:sz="0" w:space="0" w:color="auto"/>
            <w:bottom w:val="none" w:sz="0" w:space="0" w:color="auto"/>
            <w:right w:val="none" w:sz="0" w:space="0" w:color="auto"/>
          </w:divBdr>
        </w:div>
        <w:div w:id="1220701879">
          <w:marLeft w:val="0"/>
          <w:marRight w:val="0"/>
          <w:marTop w:val="0"/>
          <w:marBottom w:val="0"/>
          <w:divBdr>
            <w:top w:val="none" w:sz="0" w:space="0" w:color="auto"/>
            <w:left w:val="none" w:sz="0" w:space="0" w:color="auto"/>
            <w:bottom w:val="none" w:sz="0" w:space="0" w:color="auto"/>
            <w:right w:val="none" w:sz="0" w:space="0" w:color="auto"/>
          </w:divBdr>
        </w:div>
        <w:div w:id="474837759">
          <w:marLeft w:val="0"/>
          <w:marRight w:val="0"/>
          <w:marTop w:val="0"/>
          <w:marBottom w:val="0"/>
          <w:divBdr>
            <w:top w:val="none" w:sz="0" w:space="0" w:color="auto"/>
            <w:left w:val="none" w:sz="0" w:space="0" w:color="auto"/>
            <w:bottom w:val="none" w:sz="0" w:space="0" w:color="auto"/>
            <w:right w:val="none" w:sz="0" w:space="0" w:color="auto"/>
          </w:divBdr>
        </w:div>
        <w:div w:id="1271358039">
          <w:marLeft w:val="0"/>
          <w:marRight w:val="0"/>
          <w:marTop w:val="0"/>
          <w:marBottom w:val="0"/>
          <w:divBdr>
            <w:top w:val="none" w:sz="0" w:space="0" w:color="auto"/>
            <w:left w:val="none" w:sz="0" w:space="0" w:color="auto"/>
            <w:bottom w:val="none" w:sz="0" w:space="0" w:color="auto"/>
            <w:right w:val="none" w:sz="0" w:space="0" w:color="auto"/>
          </w:divBdr>
        </w:div>
        <w:div w:id="1008949084">
          <w:marLeft w:val="0"/>
          <w:marRight w:val="0"/>
          <w:marTop w:val="0"/>
          <w:marBottom w:val="0"/>
          <w:divBdr>
            <w:top w:val="none" w:sz="0" w:space="0" w:color="auto"/>
            <w:left w:val="none" w:sz="0" w:space="0" w:color="auto"/>
            <w:bottom w:val="none" w:sz="0" w:space="0" w:color="auto"/>
            <w:right w:val="none" w:sz="0" w:space="0" w:color="auto"/>
          </w:divBdr>
        </w:div>
        <w:div w:id="167214304">
          <w:marLeft w:val="0"/>
          <w:marRight w:val="0"/>
          <w:marTop w:val="0"/>
          <w:marBottom w:val="0"/>
          <w:divBdr>
            <w:top w:val="none" w:sz="0" w:space="0" w:color="auto"/>
            <w:left w:val="none" w:sz="0" w:space="0" w:color="auto"/>
            <w:bottom w:val="none" w:sz="0" w:space="0" w:color="auto"/>
            <w:right w:val="none" w:sz="0" w:space="0" w:color="auto"/>
          </w:divBdr>
        </w:div>
        <w:div w:id="1484271692">
          <w:marLeft w:val="0"/>
          <w:marRight w:val="0"/>
          <w:marTop w:val="0"/>
          <w:marBottom w:val="0"/>
          <w:divBdr>
            <w:top w:val="none" w:sz="0" w:space="0" w:color="auto"/>
            <w:left w:val="none" w:sz="0" w:space="0" w:color="auto"/>
            <w:bottom w:val="none" w:sz="0" w:space="0" w:color="auto"/>
            <w:right w:val="none" w:sz="0" w:space="0" w:color="auto"/>
          </w:divBdr>
        </w:div>
        <w:div w:id="1782412661">
          <w:marLeft w:val="0"/>
          <w:marRight w:val="0"/>
          <w:marTop w:val="0"/>
          <w:marBottom w:val="0"/>
          <w:divBdr>
            <w:top w:val="none" w:sz="0" w:space="0" w:color="auto"/>
            <w:left w:val="none" w:sz="0" w:space="0" w:color="auto"/>
            <w:bottom w:val="none" w:sz="0" w:space="0" w:color="auto"/>
            <w:right w:val="none" w:sz="0" w:space="0" w:color="auto"/>
          </w:divBdr>
        </w:div>
        <w:div w:id="1072699758">
          <w:marLeft w:val="0"/>
          <w:marRight w:val="0"/>
          <w:marTop w:val="0"/>
          <w:marBottom w:val="0"/>
          <w:divBdr>
            <w:top w:val="none" w:sz="0" w:space="0" w:color="auto"/>
            <w:left w:val="none" w:sz="0" w:space="0" w:color="auto"/>
            <w:bottom w:val="none" w:sz="0" w:space="0" w:color="auto"/>
            <w:right w:val="none" w:sz="0" w:space="0" w:color="auto"/>
          </w:divBdr>
        </w:div>
        <w:div w:id="823619337">
          <w:marLeft w:val="0"/>
          <w:marRight w:val="0"/>
          <w:marTop w:val="0"/>
          <w:marBottom w:val="0"/>
          <w:divBdr>
            <w:top w:val="none" w:sz="0" w:space="0" w:color="auto"/>
            <w:left w:val="none" w:sz="0" w:space="0" w:color="auto"/>
            <w:bottom w:val="none" w:sz="0" w:space="0" w:color="auto"/>
            <w:right w:val="none" w:sz="0" w:space="0" w:color="auto"/>
          </w:divBdr>
        </w:div>
      </w:divsChild>
    </w:div>
    <w:div w:id="1222445356">
      <w:bodyDiv w:val="1"/>
      <w:marLeft w:val="0"/>
      <w:marRight w:val="0"/>
      <w:marTop w:val="0"/>
      <w:marBottom w:val="0"/>
      <w:divBdr>
        <w:top w:val="none" w:sz="0" w:space="0" w:color="auto"/>
        <w:left w:val="none" w:sz="0" w:space="0" w:color="auto"/>
        <w:bottom w:val="none" w:sz="0" w:space="0" w:color="auto"/>
        <w:right w:val="none" w:sz="0" w:space="0" w:color="auto"/>
      </w:divBdr>
    </w:div>
    <w:div w:id="1368144217">
      <w:bodyDiv w:val="1"/>
      <w:marLeft w:val="0"/>
      <w:marRight w:val="0"/>
      <w:marTop w:val="0"/>
      <w:marBottom w:val="0"/>
      <w:divBdr>
        <w:top w:val="none" w:sz="0" w:space="0" w:color="auto"/>
        <w:left w:val="none" w:sz="0" w:space="0" w:color="auto"/>
        <w:bottom w:val="none" w:sz="0" w:space="0" w:color="auto"/>
        <w:right w:val="none" w:sz="0" w:space="0" w:color="auto"/>
      </w:divBdr>
    </w:div>
    <w:div w:id="1572038580">
      <w:bodyDiv w:val="1"/>
      <w:marLeft w:val="0"/>
      <w:marRight w:val="0"/>
      <w:marTop w:val="0"/>
      <w:marBottom w:val="0"/>
      <w:divBdr>
        <w:top w:val="none" w:sz="0" w:space="0" w:color="auto"/>
        <w:left w:val="none" w:sz="0" w:space="0" w:color="auto"/>
        <w:bottom w:val="none" w:sz="0" w:space="0" w:color="auto"/>
        <w:right w:val="none" w:sz="0" w:space="0" w:color="auto"/>
      </w:divBdr>
      <w:divsChild>
        <w:div w:id="1319842775">
          <w:marLeft w:val="0"/>
          <w:marRight w:val="0"/>
          <w:marTop w:val="0"/>
          <w:marBottom w:val="0"/>
          <w:divBdr>
            <w:top w:val="none" w:sz="0" w:space="0" w:color="auto"/>
            <w:left w:val="none" w:sz="0" w:space="0" w:color="auto"/>
            <w:bottom w:val="none" w:sz="0" w:space="0" w:color="auto"/>
            <w:right w:val="none" w:sz="0" w:space="0" w:color="auto"/>
          </w:divBdr>
        </w:div>
        <w:div w:id="1521821317">
          <w:marLeft w:val="0"/>
          <w:marRight w:val="0"/>
          <w:marTop w:val="0"/>
          <w:marBottom w:val="0"/>
          <w:divBdr>
            <w:top w:val="none" w:sz="0" w:space="0" w:color="auto"/>
            <w:left w:val="none" w:sz="0" w:space="0" w:color="auto"/>
            <w:bottom w:val="none" w:sz="0" w:space="0" w:color="auto"/>
            <w:right w:val="none" w:sz="0" w:space="0" w:color="auto"/>
          </w:divBdr>
        </w:div>
        <w:div w:id="1401978808">
          <w:marLeft w:val="0"/>
          <w:marRight w:val="0"/>
          <w:marTop w:val="0"/>
          <w:marBottom w:val="0"/>
          <w:divBdr>
            <w:top w:val="none" w:sz="0" w:space="0" w:color="auto"/>
            <w:left w:val="none" w:sz="0" w:space="0" w:color="auto"/>
            <w:bottom w:val="none" w:sz="0" w:space="0" w:color="auto"/>
            <w:right w:val="none" w:sz="0" w:space="0" w:color="auto"/>
          </w:divBdr>
        </w:div>
        <w:div w:id="1918055270">
          <w:marLeft w:val="0"/>
          <w:marRight w:val="0"/>
          <w:marTop w:val="0"/>
          <w:marBottom w:val="0"/>
          <w:divBdr>
            <w:top w:val="none" w:sz="0" w:space="0" w:color="auto"/>
            <w:left w:val="none" w:sz="0" w:space="0" w:color="auto"/>
            <w:bottom w:val="none" w:sz="0" w:space="0" w:color="auto"/>
            <w:right w:val="none" w:sz="0" w:space="0" w:color="auto"/>
          </w:divBdr>
        </w:div>
        <w:div w:id="1473212992">
          <w:marLeft w:val="0"/>
          <w:marRight w:val="0"/>
          <w:marTop w:val="0"/>
          <w:marBottom w:val="0"/>
          <w:divBdr>
            <w:top w:val="none" w:sz="0" w:space="0" w:color="auto"/>
            <w:left w:val="none" w:sz="0" w:space="0" w:color="auto"/>
            <w:bottom w:val="none" w:sz="0" w:space="0" w:color="auto"/>
            <w:right w:val="none" w:sz="0" w:space="0" w:color="auto"/>
          </w:divBdr>
        </w:div>
        <w:div w:id="671219950">
          <w:marLeft w:val="0"/>
          <w:marRight w:val="0"/>
          <w:marTop w:val="0"/>
          <w:marBottom w:val="0"/>
          <w:divBdr>
            <w:top w:val="none" w:sz="0" w:space="0" w:color="auto"/>
            <w:left w:val="none" w:sz="0" w:space="0" w:color="auto"/>
            <w:bottom w:val="none" w:sz="0" w:space="0" w:color="auto"/>
            <w:right w:val="none" w:sz="0" w:space="0" w:color="auto"/>
          </w:divBdr>
        </w:div>
        <w:div w:id="866018665">
          <w:marLeft w:val="0"/>
          <w:marRight w:val="0"/>
          <w:marTop w:val="0"/>
          <w:marBottom w:val="0"/>
          <w:divBdr>
            <w:top w:val="none" w:sz="0" w:space="0" w:color="auto"/>
            <w:left w:val="none" w:sz="0" w:space="0" w:color="auto"/>
            <w:bottom w:val="none" w:sz="0" w:space="0" w:color="auto"/>
            <w:right w:val="none" w:sz="0" w:space="0" w:color="auto"/>
          </w:divBdr>
        </w:div>
        <w:div w:id="159588465">
          <w:marLeft w:val="0"/>
          <w:marRight w:val="0"/>
          <w:marTop w:val="0"/>
          <w:marBottom w:val="0"/>
          <w:divBdr>
            <w:top w:val="none" w:sz="0" w:space="0" w:color="auto"/>
            <w:left w:val="none" w:sz="0" w:space="0" w:color="auto"/>
            <w:bottom w:val="none" w:sz="0" w:space="0" w:color="auto"/>
            <w:right w:val="none" w:sz="0" w:space="0" w:color="auto"/>
          </w:divBdr>
        </w:div>
        <w:div w:id="226305188">
          <w:marLeft w:val="0"/>
          <w:marRight w:val="0"/>
          <w:marTop w:val="0"/>
          <w:marBottom w:val="0"/>
          <w:divBdr>
            <w:top w:val="none" w:sz="0" w:space="0" w:color="auto"/>
            <w:left w:val="none" w:sz="0" w:space="0" w:color="auto"/>
            <w:bottom w:val="none" w:sz="0" w:space="0" w:color="auto"/>
            <w:right w:val="none" w:sz="0" w:space="0" w:color="auto"/>
          </w:divBdr>
        </w:div>
        <w:div w:id="1005598864">
          <w:marLeft w:val="0"/>
          <w:marRight w:val="0"/>
          <w:marTop w:val="0"/>
          <w:marBottom w:val="0"/>
          <w:divBdr>
            <w:top w:val="none" w:sz="0" w:space="0" w:color="auto"/>
            <w:left w:val="none" w:sz="0" w:space="0" w:color="auto"/>
            <w:bottom w:val="none" w:sz="0" w:space="0" w:color="auto"/>
            <w:right w:val="none" w:sz="0" w:space="0" w:color="auto"/>
          </w:divBdr>
        </w:div>
        <w:div w:id="2112506477">
          <w:marLeft w:val="0"/>
          <w:marRight w:val="0"/>
          <w:marTop w:val="0"/>
          <w:marBottom w:val="0"/>
          <w:divBdr>
            <w:top w:val="none" w:sz="0" w:space="0" w:color="auto"/>
            <w:left w:val="none" w:sz="0" w:space="0" w:color="auto"/>
            <w:bottom w:val="none" w:sz="0" w:space="0" w:color="auto"/>
            <w:right w:val="none" w:sz="0" w:space="0" w:color="auto"/>
          </w:divBdr>
        </w:div>
        <w:div w:id="1479569960">
          <w:marLeft w:val="0"/>
          <w:marRight w:val="0"/>
          <w:marTop w:val="0"/>
          <w:marBottom w:val="0"/>
          <w:divBdr>
            <w:top w:val="none" w:sz="0" w:space="0" w:color="auto"/>
            <w:left w:val="none" w:sz="0" w:space="0" w:color="auto"/>
            <w:bottom w:val="none" w:sz="0" w:space="0" w:color="auto"/>
            <w:right w:val="none" w:sz="0" w:space="0" w:color="auto"/>
          </w:divBdr>
        </w:div>
        <w:div w:id="444160275">
          <w:marLeft w:val="0"/>
          <w:marRight w:val="0"/>
          <w:marTop w:val="0"/>
          <w:marBottom w:val="0"/>
          <w:divBdr>
            <w:top w:val="none" w:sz="0" w:space="0" w:color="auto"/>
            <w:left w:val="none" w:sz="0" w:space="0" w:color="auto"/>
            <w:bottom w:val="none" w:sz="0" w:space="0" w:color="auto"/>
            <w:right w:val="none" w:sz="0" w:space="0" w:color="auto"/>
          </w:divBdr>
        </w:div>
        <w:div w:id="1634479706">
          <w:marLeft w:val="0"/>
          <w:marRight w:val="0"/>
          <w:marTop w:val="0"/>
          <w:marBottom w:val="0"/>
          <w:divBdr>
            <w:top w:val="none" w:sz="0" w:space="0" w:color="auto"/>
            <w:left w:val="none" w:sz="0" w:space="0" w:color="auto"/>
            <w:bottom w:val="none" w:sz="0" w:space="0" w:color="auto"/>
            <w:right w:val="none" w:sz="0" w:space="0" w:color="auto"/>
          </w:divBdr>
        </w:div>
        <w:div w:id="1044063206">
          <w:marLeft w:val="0"/>
          <w:marRight w:val="0"/>
          <w:marTop w:val="0"/>
          <w:marBottom w:val="0"/>
          <w:divBdr>
            <w:top w:val="none" w:sz="0" w:space="0" w:color="auto"/>
            <w:left w:val="none" w:sz="0" w:space="0" w:color="auto"/>
            <w:bottom w:val="none" w:sz="0" w:space="0" w:color="auto"/>
            <w:right w:val="none" w:sz="0" w:space="0" w:color="auto"/>
          </w:divBdr>
        </w:div>
        <w:div w:id="873231975">
          <w:marLeft w:val="0"/>
          <w:marRight w:val="0"/>
          <w:marTop w:val="0"/>
          <w:marBottom w:val="0"/>
          <w:divBdr>
            <w:top w:val="none" w:sz="0" w:space="0" w:color="auto"/>
            <w:left w:val="none" w:sz="0" w:space="0" w:color="auto"/>
            <w:bottom w:val="none" w:sz="0" w:space="0" w:color="auto"/>
            <w:right w:val="none" w:sz="0" w:space="0" w:color="auto"/>
          </w:divBdr>
        </w:div>
        <w:div w:id="1959682340">
          <w:marLeft w:val="0"/>
          <w:marRight w:val="0"/>
          <w:marTop w:val="0"/>
          <w:marBottom w:val="0"/>
          <w:divBdr>
            <w:top w:val="none" w:sz="0" w:space="0" w:color="auto"/>
            <w:left w:val="none" w:sz="0" w:space="0" w:color="auto"/>
            <w:bottom w:val="none" w:sz="0" w:space="0" w:color="auto"/>
            <w:right w:val="none" w:sz="0" w:space="0" w:color="auto"/>
          </w:divBdr>
        </w:div>
        <w:div w:id="1359812545">
          <w:marLeft w:val="0"/>
          <w:marRight w:val="0"/>
          <w:marTop w:val="0"/>
          <w:marBottom w:val="0"/>
          <w:divBdr>
            <w:top w:val="none" w:sz="0" w:space="0" w:color="auto"/>
            <w:left w:val="none" w:sz="0" w:space="0" w:color="auto"/>
            <w:bottom w:val="none" w:sz="0" w:space="0" w:color="auto"/>
            <w:right w:val="none" w:sz="0" w:space="0" w:color="auto"/>
          </w:divBdr>
        </w:div>
        <w:div w:id="1474953759">
          <w:marLeft w:val="0"/>
          <w:marRight w:val="0"/>
          <w:marTop w:val="0"/>
          <w:marBottom w:val="0"/>
          <w:divBdr>
            <w:top w:val="none" w:sz="0" w:space="0" w:color="auto"/>
            <w:left w:val="none" w:sz="0" w:space="0" w:color="auto"/>
            <w:bottom w:val="none" w:sz="0" w:space="0" w:color="auto"/>
            <w:right w:val="none" w:sz="0" w:space="0" w:color="auto"/>
          </w:divBdr>
        </w:div>
        <w:div w:id="1870100993">
          <w:marLeft w:val="0"/>
          <w:marRight w:val="0"/>
          <w:marTop w:val="0"/>
          <w:marBottom w:val="0"/>
          <w:divBdr>
            <w:top w:val="none" w:sz="0" w:space="0" w:color="auto"/>
            <w:left w:val="none" w:sz="0" w:space="0" w:color="auto"/>
            <w:bottom w:val="none" w:sz="0" w:space="0" w:color="auto"/>
            <w:right w:val="none" w:sz="0" w:space="0" w:color="auto"/>
          </w:divBdr>
        </w:div>
        <w:div w:id="801774842">
          <w:marLeft w:val="0"/>
          <w:marRight w:val="0"/>
          <w:marTop w:val="0"/>
          <w:marBottom w:val="0"/>
          <w:divBdr>
            <w:top w:val="none" w:sz="0" w:space="0" w:color="auto"/>
            <w:left w:val="none" w:sz="0" w:space="0" w:color="auto"/>
            <w:bottom w:val="none" w:sz="0" w:space="0" w:color="auto"/>
            <w:right w:val="none" w:sz="0" w:space="0" w:color="auto"/>
          </w:divBdr>
        </w:div>
        <w:div w:id="950553525">
          <w:marLeft w:val="0"/>
          <w:marRight w:val="0"/>
          <w:marTop w:val="0"/>
          <w:marBottom w:val="0"/>
          <w:divBdr>
            <w:top w:val="none" w:sz="0" w:space="0" w:color="auto"/>
            <w:left w:val="none" w:sz="0" w:space="0" w:color="auto"/>
            <w:bottom w:val="none" w:sz="0" w:space="0" w:color="auto"/>
            <w:right w:val="none" w:sz="0" w:space="0" w:color="auto"/>
          </w:divBdr>
        </w:div>
        <w:div w:id="1869023786">
          <w:marLeft w:val="0"/>
          <w:marRight w:val="0"/>
          <w:marTop w:val="0"/>
          <w:marBottom w:val="0"/>
          <w:divBdr>
            <w:top w:val="none" w:sz="0" w:space="0" w:color="auto"/>
            <w:left w:val="none" w:sz="0" w:space="0" w:color="auto"/>
            <w:bottom w:val="none" w:sz="0" w:space="0" w:color="auto"/>
            <w:right w:val="none" w:sz="0" w:space="0" w:color="auto"/>
          </w:divBdr>
        </w:div>
        <w:div w:id="1998875874">
          <w:marLeft w:val="0"/>
          <w:marRight w:val="0"/>
          <w:marTop w:val="0"/>
          <w:marBottom w:val="0"/>
          <w:divBdr>
            <w:top w:val="none" w:sz="0" w:space="0" w:color="auto"/>
            <w:left w:val="none" w:sz="0" w:space="0" w:color="auto"/>
            <w:bottom w:val="none" w:sz="0" w:space="0" w:color="auto"/>
            <w:right w:val="none" w:sz="0" w:space="0" w:color="auto"/>
          </w:divBdr>
        </w:div>
        <w:div w:id="1132285364">
          <w:marLeft w:val="0"/>
          <w:marRight w:val="0"/>
          <w:marTop w:val="0"/>
          <w:marBottom w:val="0"/>
          <w:divBdr>
            <w:top w:val="none" w:sz="0" w:space="0" w:color="auto"/>
            <w:left w:val="none" w:sz="0" w:space="0" w:color="auto"/>
            <w:bottom w:val="none" w:sz="0" w:space="0" w:color="auto"/>
            <w:right w:val="none" w:sz="0" w:space="0" w:color="auto"/>
          </w:divBdr>
        </w:div>
        <w:div w:id="70927959">
          <w:marLeft w:val="0"/>
          <w:marRight w:val="0"/>
          <w:marTop w:val="0"/>
          <w:marBottom w:val="0"/>
          <w:divBdr>
            <w:top w:val="none" w:sz="0" w:space="0" w:color="auto"/>
            <w:left w:val="none" w:sz="0" w:space="0" w:color="auto"/>
            <w:bottom w:val="none" w:sz="0" w:space="0" w:color="auto"/>
            <w:right w:val="none" w:sz="0" w:space="0" w:color="auto"/>
          </w:divBdr>
        </w:div>
        <w:div w:id="365107429">
          <w:marLeft w:val="0"/>
          <w:marRight w:val="0"/>
          <w:marTop w:val="0"/>
          <w:marBottom w:val="0"/>
          <w:divBdr>
            <w:top w:val="none" w:sz="0" w:space="0" w:color="auto"/>
            <w:left w:val="none" w:sz="0" w:space="0" w:color="auto"/>
            <w:bottom w:val="none" w:sz="0" w:space="0" w:color="auto"/>
            <w:right w:val="none" w:sz="0" w:space="0" w:color="auto"/>
          </w:divBdr>
        </w:div>
        <w:div w:id="416097189">
          <w:marLeft w:val="0"/>
          <w:marRight w:val="0"/>
          <w:marTop w:val="0"/>
          <w:marBottom w:val="0"/>
          <w:divBdr>
            <w:top w:val="none" w:sz="0" w:space="0" w:color="auto"/>
            <w:left w:val="none" w:sz="0" w:space="0" w:color="auto"/>
            <w:bottom w:val="none" w:sz="0" w:space="0" w:color="auto"/>
            <w:right w:val="none" w:sz="0" w:space="0" w:color="auto"/>
          </w:divBdr>
        </w:div>
        <w:div w:id="2086679037">
          <w:marLeft w:val="0"/>
          <w:marRight w:val="0"/>
          <w:marTop w:val="0"/>
          <w:marBottom w:val="0"/>
          <w:divBdr>
            <w:top w:val="none" w:sz="0" w:space="0" w:color="auto"/>
            <w:left w:val="none" w:sz="0" w:space="0" w:color="auto"/>
            <w:bottom w:val="none" w:sz="0" w:space="0" w:color="auto"/>
            <w:right w:val="none" w:sz="0" w:space="0" w:color="auto"/>
          </w:divBdr>
        </w:div>
        <w:div w:id="1191452186">
          <w:marLeft w:val="0"/>
          <w:marRight w:val="0"/>
          <w:marTop w:val="0"/>
          <w:marBottom w:val="0"/>
          <w:divBdr>
            <w:top w:val="none" w:sz="0" w:space="0" w:color="auto"/>
            <w:left w:val="none" w:sz="0" w:space="0" w:color="auto"/>
            <w:bottom w:val="none" w:sz="0" w:space="0" w:color="auto"/>
            <w:right w:val="none" w:sz="0" w:space="0" w:color="auto"/>
          </w:divBdr>
        </w:div>
        <w:div w:id="1381786889">
          <w:marLeft w:val="0"/>
          <w:marRight w:val="0"/>
          <w:marTop w:val="0"/>
          <w:marBottom w:val="0"/>
          <w:divBdr>
            <w:top w:val="none" w:sz="0" w:space="0" w:color="auto"/>
            <w:left w:val="none" w:sz="0" w:space="0" w:color="auto"/>
            <w:bottom w:val="none" w:sz="0" w:space="0" w:color="auto"/>
            <w:right w:val="none" w:sz="0" w:space="0" w:color="auto"/>
          </w:divBdr>
        </w:div>
        <w:div w:id="892497950">
          <w:marLeft w:val="0"/>
          <w:marRight w:val="0"/>
          <w:marTop w:val="0"/>
          <w:marBottom w:val="0"/>
          <w:divBdr>
            <w:top w:val="none" w:sz="0" w:space="0" w:color="auto"/>
            <w:left w:val="none" w:sz="0" w:space="0" w:color="auto"/>
            <w:bottom w:val="none" w:sz="0" w:space="0" w:color="auto"/>
            <w:right w:val="none" w:sz="0" w:space="0" w:color="auto"/>
          </w:divBdr>
        </w:div>
        <w:div w:id="1679842654">
          <w:marLeft w:val="0"/>
          <w:marRight w:val="0"/>
          <w:marTop w:val="0"/>
          <w:marBottom w:val="0"/>
          <w:divBdr>
            <w:top w:val="none" w:sz="0" w:space="0" w:color="auto"/>
            <w:left w:val="none" w:sz="0" w:space="0" w:color="auto"/>
            <w:bottom w:val="none" w:sz="0" w:space="0" w:color="auto"/>
            <w:right w:val="none" w:sz="0" w:space="0" w:color="auto"/>
          </w:divBdr>
        </w:div>
        <w:div w:id="165092299">
          <w:marLeft w:val="0"/>
          <w:marRight w:val="0"/>
          <w:marTop w:val="0"/>
          <w:marBottom w:val="0"/>
          <w:divBdr>
            <w:top w:val="none" w:sz="0" w:space="0" w:color="auto"/>
            <w:left w:val="none" w:sz="0" w:space="0" w:color="auto"/>
            <w:bottom w:val="none" w:sz="0" w:space="0" w:color="auto"/>
            <w:right w:val="none" w:sz="0" w:space="0" w:color="auto"/>
          </w:divBdr>
        </w:div>
        <w:div w:id="1400133298">
          <w:marLeft w:val="0"/>
          <w:marRight w:val="0"/>
          <w:marTop w:val="0"/>
          <w:marBottom w:val="0"/>
          <w:divBdr>
            <w:top w:val="none" w:sz="0" w:space="0" w:color="auto"/>
            <w:left w:val="none" w:sz="0" w:space="0" w:color="auto"/>
            <w:bottom w:val="none" w:sz="0" w:space="0" w:color="auto"/>
            <w:right w:val="none" w:sz="0" w:space="0" w:color="auto"/>
          </w:divBdr>
        </w:div>
        <w:div w:id="136338566">
          <w:marLeft w:val="0"/>
          <w:marRight w:val="0"/>
          <w:marTop w:val="0"/>
          <w:marBottom w:val="0"/>
          <w:divBdr>
            <w:top w:val="none" w:sz="0" w:space="0" w:color="auto"/>
            <w:left w:val="none" w:sz="0" w:space="0" w:color="auto"/>
            <w:bottom w:val="none" w:sz="0" w:space="0" w:color="auto"/>
            <w:right w:val="none" w:sz="0" w:space="0" w:color="auto"/>
          </w:divBdr>
        </w:div>
        <w:div w:id="417412227">
          <w:marLeft w:val="0"/>
          <w:marRight w:val="0"/>
          <w:marTop w:val="0"/>
          <w:marBottom w:val="0"/>
          <w:divBdr>
            <w:top w:val="none" w:sz="0" w:space="0" w:color="auto"/>
            <w:left w:val="none" w:sz="0" w:space="0" w:color="auto"/>
            <w:bottom w:val="none" w:sz="0" w:space="0" w:color="auto"/>
            <w:right w:val="none" w:sz="0" w:space="0" w:color="auto"/>
          </w:divBdr>
        </w:div>
        <w:div w:id="764686877">
          <w:marLeft w:val="0"/>
          <w:marRight w:val="0"/>
          <w:marTop w:val="0"/>
          <w:marBottom w:val="0"/>
          <w:divBdr>
            <w:top w:val="none" w:sz="0" w:space="0" w:color="auto"/>
            <w:left w:val="none" w:sz="0" w:space="0" w:color="auto"/>
            <w:bottom w:val="none" w:sz="0" w:space="0" w:color="auto"/>
            <w:right w:val="none" w:sz="0" w:space="0" w:color="auto"/>
          </w:divBdr>
        </w:div>
        <w:div w:id="340742080">
          <w:marLeft w:val="0"/>
          <w:marRight w:val="0"/>
          <w:marTop w:val="0"/>
          <w:marBottom w:val="0"/>
          <w:divBdr>
            <w:top w:val="none" w:sz="0" w:space="0" w:color="auto"/>
            <w:left w:val="none" w:sz="0" w:space="0" w:color="auto"/>
            <w:bottom w:val="none" w:sz="0" w:space="0" w:color="auto"/>
            <w:right w:val="none" w:sz="0" w:space="0" w:color="auto"/>
          </w:divBdr>
        </w:div>
        <w:div w:id="207961855">
          <w:marLeft w:val="0"/>
          <w:marRight w:val="0"/>
          <w:marTop w:val="0"/>
          <w:marBottom w:val="0"/>
          <w:divBdr>
            <w:top w:val="none" w:sz="0" w:space="0" w:color="auto"/>
            <w:left w:val="none" w:sz="0" w:space="0" w:color="auto"/>
            <w:bottom w:val="none" w:sz="0" w:space="0" w:color="auto"/>
            <w:right w:val="none" w:sz="0" w:space="0" w:color="auto"/>
          </w:divBdr>
        </w:div>
        <w:div w:id="1663464691">
          <w:marLeft w:val="0"/>
          <w:marRight w:val="0"/>
          <w:marTop w:val="0"/>
          <w:marBottom w:val="0"/>
          <w:divBdr>
            <w:top w:val="none" w:sz="0" w:space="0" w:color="auto"/>
            <w:left w:val="none" w:sz="0" w:space="0" w:color="auto"/>
            <w:bottom w:val="none" w:sz="0" w:space="0" w:color="auto"/>
            <w:right w:val="none" w:sz="0" w:space="0" w:color="auto"/>
          </w:divBdr>
        </w:div>
        <w:div w:id="666833046">
          <w:marLeft w:val="0"/>
          <w:marRight w:val="0"/>
          <w:marTop w:val="0"/>
          <w:marBottom w:val="0"/>
          <w:divBdr>
            <w:top w:val="none" w:sz="0" w:space="0" w:color="auto"/>
            <w:left w:val="none" w:sz="0" w:space="0" w:color="auto"/>
            <w:bottom w:val="none" w:sz="0" w:space="0" w:color="auto"/>
            <w:right w:val="none" w:sz="0" w:space="0" w:color="auto"/>
          </w:divBdr>
        </w:div>
        <w:div w:id="1751585120">
          <w:marLeft w:val="0"/>
          <w:marRight w:val="0"/>
          <w:marTop w:val="0"/>
          <w:marBottom w:val="0"/>
          <w:divBdr>
            <w:top w:val="none" w:sz="0" w:space="0" w:color="auto"/>
            <w:left w:val="none" w:sz="0" w:space="0" w:color="auto"/>
            <w:bottom w:val="none" w:sz="0" w:space="0" w:color="auto"/>
            <w:right w:val="none" w:sz="0" w:space="0" w:color="auto"/>
          </w:divBdr>
        </w:div>
        <w:div w:id="384985535">
          <w:marLeft w:val="0"/>
          <w:marRight w:val="0"/>
          <w:marTop w:val="0"/>
          <w:marBottom w:val="0"/>
          <w:divBdr>
            <w:top w:val="none" w:sz="0" w:space="0" w:color="auto"/>
            <w:left w:val="none" w:sz="0" w:space="0" w:color="auto"/>
            <w:bottom w:val="none" w:sz="0" w:space="0" w:color="auto"/>
            <w:right w:val="none" w:sz="0" w:space="0" w:color="auto"/>
          </w:divBdr>
        </w:div>
        <w:div w:id="1844932970">
          <w:marLeft w:val="0"/>
          <w:marRight w:val="0"/>
          <w:marTop w:val="0"/>
          <w:marBottom w:val="0"/>
          <w:divBdr>
            <w:top w:val="none" w:sz="0" w:space="0" w:color="auto"/>
            <w:left w:val="none" w:sz="0" w:space="0" w:color="auto"/>
            <w:bottom w:val="none" w:sz="0" w:space="0" w:color="auto"/>
            <w:right w:val="none" w:sz="0" w:space="0" w:color="auto"/>
          </w:divBdr>
        </w:div>
        <w:div w:id="607201387">
          <w:marLeft w:val="0"/>
          <w:marRight w:val="0"/>
          <w:marTop w:val="0"/>
          <w:marBottom w:val="0"/>
          <w:divBdr>
            <w:top w:val="none" w:sz="0" w:space="0" w:color="auto"/>
            <w:left w:val="none" w:sz="0" w:space="0" w:color="auto"/>
            <w:bottom w:val="none" w:sz="0" w:space="0" w:color="auto"/>
            <w:right w:val="none" w:sz="0" w:space="0" w:color="auto"/>
          </w:divBdr>
        </w:div>
        <w:div w:id="332537735">
          <w:marLeft w:val="0"/>
          <w:marRight w:val="0"/>
          <w:marTop w:val="0"/>
          <w:marBottom w:val="0"/>
          <w:divBdr>
            <w:top w:val="none" w:sz="0" w:space="0" w:color="auto"/>
            <w:left w:val="none" w:sz="0" w:space="0" w:color="auto"/>
            <w:bottom w:val="none" w:sz="0" w:space="0" w:color="auto"/>
            <w:right w:val="none" w:sz="0" w:space="0" w:color="auto"/>
          </w:divBdr>
        </w:div>
        <w:div w:id="231736622">
          <w:marLeft w:val="0"/>
          <w:marRight w:val="0"/>
          <w:marTop w:val="0"/>
          <w:marBottom w:val="0"/>
          <w:divBdr>
            <w:top w:val="none" w:sz="0" w:space="0" w:color="auto"/>
            <w:left w:val="none" w:sz="0" w:space="0" w:color="auto"/>
            <w:bottom w:val="none" w:sz="0" w:space="0" w:color="auto"/>
            <w:right w:val="none" w:sz="0" w:space="0" w:color="auto"/>
          </w:divBdr>
        </w:div>
        <w:div w:id="815607671">
          <w:marLeft w:val="0"/>
          <w:marRight w:val="0"/>
          <w:marTop w:val="0"/>
          <w:marBottom w:val="0"/>
          <w:divBdr>
            <w:top w:val="none" w:sz="0" w:space="0" w:color="auto"/>
            <w:left w:val="none" w:sz="0" w:space="0" w:color="auto"/>
            <w:bottom w:val="none" w:sz="0" w:space="0" w:color="auto"/>
            <w:right w:val="none" w:sz="0" w:space="0" w:color="auto"/>
          </w:divBdr>
        </w:div>
        <w:div w:id="124273699">
          <w:marLeft w:val="0"/>
          <w:marRight w:val="0"/>
          <w:marTop w:val="0"/>
          <w:marBottom w:val="0"/>
          <w:divBdr>
            <w:top w:val="none" w:sz="0" w:space="0" w:color="auto"/>
            <w:left w:val="none" w:sz="0" w:space="0" w:color="auto"/>
            <w:bottom w:val="none" w:sz="0" w:space="0" w:color="auto"/>
            <w:right w:val="none" w:sz="0" w:space="0" w:color="auto"/>
          </w:divBdr>
        </w:div>
        <w:div w:id="368143844">
          <w:marLeft w:val="0"/>
          <w:marRight w:val="0"/>
          <w:marTop w:val="0"/>
          <w:marBottom w:val="0"/>
          <w:divBdr>
            <w:top w:val="none" w:sz="0" w:space="0" w:color="auto"/>
            <w:left w:val="none" w:sz="0" w:space="0" w:color="auto"/>
            <w:bottom w:val="none" w:sz="0" w:space="0" w:color="auto"/>
            <w:right w:val="none" w:sz="0" w:space="0" w:color="auto"/>
          </w:divBdr>
        </w:div>
        <w:div w:id="1956519654">
          <w:marLeft w:val="0"/>
          <w:marRight w:val="0"/>
          <w:marTop w:val="0"/>
          <w:marBottom w:val="0"/>
          <w:divBdr>
            <w:top w:val="none" w:sz="0" w:space="0" w:color="auto"/>
            <w:left w:val="none" w:sz="0" w:space="0" w:color="auto"/>
            <w:bottom w:val="none" w:sz="0" w:space="0" w:color="auto"/>
            <w:right w:val="none" w:sz="0" w:space="0" w:color="auto"/>
          </w:divBdr>
        </w:div>
        <w:div w:id="1575973278">
          <w:marLeft w:val="0"/>
          <w:marRight w:val="0"/>
          <w:marTop w:val="0"/>
          <w:marBottom w:val="0"/>
          <w:divBdr>
            <w:top w:val="none" w:sz="0" w:space="0" w:color="auto"/>
            <w:left w:val="none" w:sz="0" w:space="0" w:color="auto"/>
            <w:bottom w:val="none" w:sz="0" w:space="0" w:color="auto"/>
            <w:right w:val="none" w:sz="0" w:space="0" w:color="auto"/>
          </w:divBdr>
        </w:div>
        <w:div w:id="1739866174">
          <w:marLeft w:val="0"/>
          <w:marRight w:val="0"/>
          <w:marTop w:val="0"/>
          <w:marBottom w:val="0"/>
          <w:divBdr>
            <w:top w:val="none" w:sz="0" w:space="0" w:color="auto"/>
            <w:left w:val="none" w:sz="0" w:space="0" w:color="auto"/>
            <w:bottom w:val="none" w:sz="0" w:space="0" w:color="auto"/>
            <w:right w:val="none" w:sz="0" w:space="0" w:color="auto"/>
          </w:divBdr>
        </w:div>
        <w:div w:id="869494316">
          <w:marLeft w:val="0"/>
          <w:marRight w:val="0"/>
          <w:marTop w:val="0"/>
          <w:marBottom w:val="0"/>
          <w:divBdr>
            <w:top w:val="none" w:sz="0" w:space="0" w:color="auto"/>
            <w:left w:val="none" w:sz="0" w:space="0" w:color="auto"/>
            <w:bottom w:val="none" w:sz="0" w:space="0" w:color="auto"/>
            <w:right w:val="none" w:sz="0" w:space="0" w:color="auto"/>
          </w:divBdr>
        </w:div>
        <w:div w:id="1017461181">
          <w:marLeft w:val="0"/>
          <w:marRight w:val="0"/>
          <w:marTop w:val="0"/>
          <w:marBottom w:val="0"/>
          <w:divBdr>
            <w:top w:val="none" w:sz="0" w:space="0" w:color="auto"/>
            <w:left w:val="none" w:sz="0" w:space="0" w:color="auto"/>
            <w:bottom w:val="none" w:sz="0" w:space="0" w:color="auto"/>
            <w:right w:val="none" w:sz="0" w:space="0" w:color="auto"/>
          </w:divBdr>
        </w:div>
        <w:div w:id="665061394">
          <w:marLeft w:val="0"/>
          <w:marRight w:val="0"/>
          <w:marTop w:val="0"/>
          <w:marBottom w:val="0"/>
          <w:divBdr>
            <w:top w:val="none" w:sz="0" w:space="0" w:color="auto"/>
            <w:left w:val="none" w:sz="0" w:space="0" w:color="auto"/>
            <w:bottom w:val="none" w:sz="0" w:space="0" w:color="auto"/>
            <w:right w:val="none" w:sz="0" w:space="0" w:color="auto"/>
          </w:divBdr>
        </w:div>
        <w:div w:id="861941576">
          <w:marLeft w:val="0"/>
          <w:marRight w:val="0"/>
          <w:marTop w:val="0"/>
          <w:marBottom w:val="0"/>
          <w:divBdr>
            <w:top w:val="none" w:sz="0" w:space="0" w:color="auto"/>
            <w:left w:val="none" w:sz="0" w:space="0" w:color="auto"/>
            <w:bottom w:val="none" w:sz="0" w:space="0" w:color="auto"/>
            <w:right w:val="none" w:sz="0" w:space="0" w:color="auto"/>
          </w:divBdr>
        </w:div>
        <w:div w:id="1837500189">
          <w:marLeft w:val="0"/>
          <w:marRight w:val="0"/>
          <w:marTop w:val="0"/>
          <w:marBottom w:val="0"/>
          <w:divBdr>
            <w:top w:val="none" w:sz="0" w:space="0" w:color="auto"/>
            <w:left w:val="none" w:sz="0" w:space="0" w:color="auto"/>
            <w:bottom w:val="none" w:sz="0" w:space="0" w:color="auto"/>
            <w:right w:val="none" w:sz="0" w:space="0" w:color="auto"/>
          </w:divBdr>
        </w:div>
        <w:div w:id="1820226454">
          <w:marLeft w:val="0"/>
          <w:marRight w:val="0"/>
          <w:marTop w:val="0"/>
          <w:marBottom w:val="0"/>
          <w:divBdr>
            <w:top w:val="none" w:sz="0" w:space="0" w:color="auto"/>
            <w:left w:val="none" w:sz="0" w:space="0" w:color="auto"/>
            <w:bottom w:val="none" w:sz="0" w:space="0" w:color="auto"/>
            <w:right w:val="none" w:sz="0" w:space="0" w:color="auto"/>
          </w:divBdr>
        </w:div>
        <w:div w:id="1893299054">
          <w:marLeft w:val="0"/>
          <w:marRight w:val="0"/>
          <w:marTop w:val="0"/>
          <w:marBottom w:val="0"/>
          <w:divBdr>
            <w:top w:val="none" w:sz="0" w:space="0" w:color="auto"/>
            <w:left w:val="none" w:sz="0" w:space="0" w:color="auto"/>
            <w:bottom w:val="none" w:sz="0" w:space="0" w:color="auto"/>
            <w:right w:val="none" w:sz="0" w:space="0" w:color="auto"/>
          </w:divBdr>
        </w:div>
        <w:div w:id="2085686116">
          <w:marLeft w:val="0"/>
          <w:marRight w:val="0"/>
          <w:marTop w:val="0"/>
          <w:marBottom w:val="0"/>
          <w:divBdr>
            <w:top w:val="none" w:sz="0" w:space="0" w:color="auto"/>
            <w:left w:val="none" w:sz="0" w:space="0" w:color="auto"/>
            <w:bottom w:val="none" w:sz="0" w:space="0" w:color="auto"/>
            <w:right w:val="none" w:sz="0" w:space="0" w:color="auto"/>
          </w:divBdr>
        </w:div>
        <w:div w:id="324623999">
          <w:marLeft w:val="0"/>
          <w:marRight w:val="0"/>
          <w:marTop w:val="0"/>
          <w:marBottom w:val="0"/>
          <w:divBdr>
            <w:top w:val="none" w:sz="0" w:space="0" w:color="auto"/>
            <w:left w:val="none" w:sz="0" w:space="0" w:color="auto"/>
            <w:bottom w:val="none" w:sz="0" w:space="0" w:color="auto"/>
            <w:right w:val="none" w:sz="0" w:space="0" w:color="auto"/>
          </w:divBdr>
        </w:div>
        <w:div w:id="1363093167">
          <w:marLeft w:val="0"/>
          <w:marRight w:val="0"/>
          <w:marTop w:val="0"/>
          <w:marBottom w:val="0"/>
          <w:divBdr>
            <w:top w:val="none" w:sz="0" w:space="0" w:color="auto"/>
            <w:left w:val="none" w:sz="0" w:space="0" w:color="auto"/>
            <w:bottom w:val="none" w:sz="0" w:space="0" w:color="auto"/>
            <w:right w:val="none" w:sz="0" w:space="0" w:color="auto"/>
          </w:divBdr>
        </w:div>
        <w:div w:id="630021188">
          <w:marLeft w:val="0"/>
          <w:marRight w:val="0"/>
          <w:marTop w:val="0"/>
          <w:marBottom w:val="0"/>
          <w:divBdr>
            <w:top w:val="none" w:sz="0" w:space="0" w:color="auto"/>
            <w:left w:val="none" w:sz="0" w:space="0" w:color="auto"/>
            <w:bottom w:val="none" w:sz="0" w:space="0" w:color="auto"/>
            <w:right w:val="none" w:sz="0" w:space="0" w:color="auto"/>
          </w:divBdr>
        </w:div>
        <w:div w:id="760416749">
          <w:marLeft w:val="0"/>
          <w:marRight w:val="0"/>
          <w:marTop w:val="0"/>
          <w:marBottom w:val="0"/>
          <w:divBdr>
            <w:top w:val="none" w:sz="0" w:space="0" w:color="auto"/>
            <w:left w:val="none" w:sz="0" w:space="0" w:color="auto"/>
            <w:bottom w:val="none" w:sz="0" w:space="0" w:color="auto"/>
            <w:right w:val="none" w:sz="0" w:space="0" w:color="auto"/>
          </w:divBdr>
        </w:div>
        <w:div w:id="1727290667">
          <w:marLeft w:val="0"/>
          <w:marRight w:val="0"/>
          <w:marTop w:val="0"/>
          <w:marBottom w:val="0"/>
          <w:divBdr>
            <w:top w:val="none" w:sz="0" w:space="0" w:color="auto"/>
            <w:left w:val="none" w:sz="0" w:space="0" w:color="auto"/>
            <w:bottom w:val="none" w:sz="0" w:space="0" w:color="auto"/>
            <w:right w:val="none" w:sz="0" w:space="0" w:color="auto"/>
          </w:divBdr>
        </w:div>
        <w:div w:id="1599555292">
          <w:marLeft w:val="0"/>
          <w:marRight w:val="0"/>
          <w:marTop w:val="0"/>
          <w:marBottom w:val="0"/>
          <w:divBdr>
            <w:top w:val="none" w:sz="0" w:space="0" w:color="auto"/>
            <w:left w:val="none" w:sz="0" w:space="0" w:color="auto"/>
            <w:bottom w:val="none" w:sz="0" w:space="0" w:color="auto"/>
            <w:right w:val="none" w:sz="0" w:space="0" w:color="auto"/>
          </w:divBdr>
        </w:div>
        <w:div w:id="1919561764">
          <w:marLeft w:val="0"/>
          <w:marRight w:val="0"/>
          <w:marTop w:val="0"/>
          <w:marBottom w:val="0"/>
          <w:divBdr>
            <w:top w:val="none" w:sz="0" w:space="0" w:color="auto"/>
            <w:left w:val="none" w:sz="0" w:space="0" w:color="auto"/>
            <w:bottom w:val="none" w:sz="0" w:space="0" w:color="auto"/>
            <w:right w:val="none" w:sz="0" w:space="0" w:color="auto"/>
          </w:divBdr>
        </w:div>
        <w:div w:id="1966037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hpa.gov.au/internet/ihpa/publishing.nsf" TargetMode="External"/><Relationship Id="rId18" Type="http://schemas.openxmlformats.org/officeDocument/2006/relationships/hyperlink" Target="http://www.health.gov.au/internet/publications/publishing.nsf/Content/mental-pubs-f-plan09-toc~mental-pubs-f-plan09-pla"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yperlink" Target="mailto:submissions.ihpa@ihpa.gov.au" TargetMode="External"/><Relationship Id="rId17" Type="http://schemas.openxmlformats.org/officeDocument/2006/relationships/image" Target="media/image3.gi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hpa.gov.au/internet/ihpa/publishing.nsf/Content/subs-recieved-work-program-2014-16-html" TargetMode="External"/><Relationship Id="rId20" Type="http://schemas.openxmlformats.org/officeDocument/2006/relationships/hyperlink" Target="http://meteor.aihw.gov.au/content/index.phtml/itemId/57501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abfconference.com.au/" TargetMode="External"/><Relationship Id="rId5" Type="http://schemas.openxmlformats.org/officeDocument/2006/relationships/settings" Target="settings.xml"/><Relationship Id="rId15" Type="http://schemas.openxmlformats.org/officeDocument/2006/relationships/hyperlink" Target="http://www.ihpa.gov.au/internet/ihpa/publishing.nsf/Content/pricing-framework-lp" TargetMode="External"/><Relationship Id="rId23" Type="http://schemas.openxmlformats.org/officeDocument/2006/relationships/hyperlink" Target="http://www.ihpa.gov.au/internet/ihpa/publishing.nsf" TargetMode="External"/><Relationship Id="rId28" Type="http://schemas.openxmlformats.org/officeDocument/2006/relationships/theme" Target="theme/theme1.xml"/><Relationship Id="rId10" Type="http://schemas.openxmlformats.org/officeDocument/2006/relationships/image" Target="media/image2.gif"/><Relationship Id="rId19" Type="http://schemas.openxmlformats.org/officeDocument/2006/relationships/hyperlink" Target="http://www.healthconsult.com.au/overview/"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hpa.gov.au/internet/ihpa/publishing.nsf/Content/mental-health" TargetMode="External"/><Relationship Id="rId22" Type="http://schemas.openxmlformats.org/officeDocument/2006/relationships/hyperlink" Target="http://www.aihw.gov.au/publication-detail/?id=6012954268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IHPA brand colours">
      <a:dk1>
        <a:sysClr val="windowText" lastClr="000000"/>
      </a:dk1>
      <a:lt1>
        <a:sysClr val="window" lastClr="FFFFFF"/>
      </a:lt1>
      <a:dk2>
        <a:srgbClr val="004200"/>
      </a:dk2>
      <a:lt2>
        <a:srgbClr val="008A00"/>
      </a:lt2>
      <a:accent1>
        <a:srgbClr val="000000"/>
      </a:accent1>
      <a:accent2>
        <a:srgbClr val="58595B"/>
      </a:accent2>
      <a:accent3>
        <a:srgbClr val="808285"/>
      </a:accent3>
      <a:accent4>
        <a:srgbClr val="A7A9AC"/>
      </a:accent4>
      <a:accent5>
        <a:srgbClr val="008A00"/>
      </a:accent5>
      <a:accent6>
        <a:srgbClr val="00420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00F47-BFB9-490D-BF12-8333F9BBE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10214</Words>
  <Characters>58223</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Development of the AMHCC: Public consultation paper 1</vt:lpstr>
    </vt:vector>
  </TitlesOfParts>
  <LinksUpToDate>false</LinksUpToDate>
  <CharactersWithSpaces>68301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the AMHCC: Public consultation paper 1</dc:title>
  <dc:subject>Public consultation paper</dc:subject>
  <dc:creator/>
  <cp:keywords>consultation</cp:keywords>
  <cp:lastModifiedBy/>
  <cp:revision>1</cp:revision>
  <dcterms:created xsi:type="dcterms:W3CDTF">2015-01-05T02:44:00Z</dcterms:created>
  <dcterms:modified xsi:type="dcterms:W3CDTF">2015-01-05T02:44:00Z</dcterms:modified>
  <cp:contentStatus>Final</cp:contentStatus>
</cp:coreProperties>
</file>