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86D" w:rsidRPr="0047601C" w:rsidRDefault="00B36652" w:rsidP="0047601C">
      <w:pPr>
        <w:pStyle w:val="Organisationname"/>
      </w:pPr>
      <w:bookmarkStart w:id="0" w:name="_GoBack"/>
      <w:bookmarkEnd w:id="0"/>
      <w:r w:rsidRPr="0047601C">
        <w:drawing>
          <wp:anchor distT="0" distB="0" distL="114300" distR="114300" simplePos="0" relativeHeight="251652094" behindDoc="1" locked="0" layoutInCell="0" allowOverlap="1" wp14:anchorId="348CEC0B" wp14:editId="1D4823DC">
            <wp:simplePos x="0" y="0"/>
            <wp:positionH relativeFrom="page">
              <wp:align>left</wp:align>
            </wp:positionH>
            <wp:positionV relativeFrom="page">
              <wp:align>top</wp:align>
            </wp:positionV>
            <wp:extent cx="7560000" cy="10692000"/>
            <wp:effectExtent l="0" t="0" r="3175" b="0"/>
            <wp:wrapNone/>
            <wp:docPr id="5" name="Picture 5" descr="The logo for the Independent Hospital Pricing Autho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_Cov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anchor>
        </w:drawing>
      </w:r>
      <w:r w:rsidR="00CC586D" w:rsidRPr="0047601C">
        <w:t>Independent Hospital Pricing Authority</w:t>
      </w:r>
    </w:p>
    <w:p w:rsidR="00F93566" w:rsidRPr="000C09DD" w:rsidRDefault="00F93566" w:rsidP="00F93566">
      <w:pPr>
        <w:pStyle w:val="Title"/>
        <w:rPr>
          <w:sz w:val="68"/>
          <w:szCs w:val="68"/>
        </w:rPr>
      </w:pPr>
      <w:bookmarkStart w:id="1" w:name="_Toc494105861"/>
      <w:bookmarkStart w:id="2" w:name="_Toc494105945"/>
      <w:r>
        <w:t xml:space="preserve">Australian </w:t>
      </w:r>
      <w:r w:rsidR="009D4804">
        <w:br/>
      </w:r>
      <w:r>
        <w:t>Non-Admitted Care Classification Development</w:t>
      </w:r>
      <w:bookmarkEnd w:id="1"/>
      <w:bookmarkEnd w:id="2"/>
    </w:p>
    <w:p w:rsidR="00102824" w:rsidRPr="002445A1" w:rsidRDefault="00102824" w:rsidP="002445A1">
      <w:pPr>
        <w:pStyle w:val="Title"/>
      </w:pPr>
    </w:p>
    <w:p w:rsidR="00E15D40" w:rsidRPr="00E15D40" w:rsidRDefault="00C0216F" w:rsidP="00E15D40">
      <w:pPr>
        <w:pStyle w:val="Subtitle"/>
        <w:rPr>
          <w:szCs w:val="40"/>
        </w:rPr>
      </w:pPr>
      <w:r>
        <w:rPr>
          <w:szCs w:val="40"/>
        </w:rPr>
        <w:t>Stakeholder</w:t>
      </w:r>
      <w:r w:rsidR="00A87A5E">
        <w:rPr>
          <w:szCs w:val="40"/>
        </w:rPr>
        <w:t xml:space="preserve"> c</w:t>
      </w:r>
      <w:r w:rsidR="00F93566">
        <w:rPr>
          <w:szCs w:val="40"/>
        </w:rPr>
        <w:t>onsultation</w:t>
      </w:r>
      <w:r w:rsidR="00A87A5E">
        <w:rPr>
          <w:szCs w:val="40"/>
        </w:rPr>
        <w:t xml:space="preserve"> paper</w:t>
      </w:r>
    </w:p>
    <w:p w:rsidR="0035219F" w:rsidRPr="00E15D40" w:rsidRDefault="00DA7C06" w:rsidP="00E15D40">
      <w:pPr>
        <w:pStyle w:val="Versionanddate"/>
      </w:pPr>
      <w:r>
        <w:t>February</w:t>
      </w:r>
      <w:r w:rsidR="00F574CE">
        <w:t xml:space="preserve"> </w:t>
      </w:r>
      <w:r w:rsidR="00F93566">
        <w:t xml:space="preserve">– </w:t>
      </w:r>
      <w:r>
        <w:t>April</w:t>
      </w:r>
      <w:r w:rsidR="00F574CE">
        <w:t xml:space="preserve"> </w:t>
      </w:r>
      <w:r w:rsidR="00A5280B">
        <w:t>2018</w:t>
      </w:r>
    </w:p>
    <w:p w:rsidR="0035219F" w:rsidRDefault="0035219F" w:rsidP="0035219F">
      <w:r>
        <w:br w:type="page"/>
      </w:r>
    </w:p>
    <w:p w:rsidR="00EC2C42" w:rsidRDefault="00EC2C42" w:rsidP="00EC2C42">
      <w:pPr>
        <w:pStyle w:val="Versionanddate"/>
        <w:rPr>
          <w:color w:val="004200" w:themeColor="accent1"/>
        </w:rPr>
        <w:sectPr w:rsidR="00EC2C42" w:rsidSect="00D463AF">
          <w:headerReference w:type="default" r:id="rId10"/>
          <w:pgSz w:w="11906" w:h="16838" w:code="9"/>
          <w:pgMar w:top="2041" w:right="3232" w:bottom="1021" w:left="1021" w:header="680" w:footer="510" w:gutter="0"/>
          <w:pgNumType w:start="1"/>
          <w:cols w:space="708"/>
          <w:docGrid w:linePitch="360"/>
        </w:sectPr>
      </w:pPr>
      <w:bookmarkStart w:id="3" w:name="_Toc432437392"/>
    </w:p>
    <w:bookmarkEnd w:id="3"/>
    <w:p w:rsidR="002A4C1B" w:rsidRPr="00EC2C42" w:rsidRDefault="00B04A18" w:rsidP="00EC2C42">
      <w:pPr>
        <w:pStyle w:val="Report"/>
      </w:pPr>
      <w:r>
        <w:lastRenderedPageBreak/>
        <w:t>Australian Non-Admitted Care Classification Development</w:t>
      </w:r>
      <w:r w:rsidR="002A4C1B" w:rsidRPr="00EC2C42">
        <w:t xml:space="preserve"> – </w:t>
      </w:r>
      <w:r>
        <w:t>Consultation</w:t>
      </w:r>
    </w:p>
    <w:p w:rsidR="002A4C1B" w:rsidRDefault="002A4C1B" w:rsidP="002A4C1B"/>
    <w:p w:rsidR="002A4C1B" w:rsidRDefault="002A4C1B" w:rsidP="002A4C1B">
      <w:r>
        <w:t>© Independent Hospital Pricing Authority 201</w:t>
      </w:r>
      <w:r w:rsidR="00322F54">
        <w:t>8</w:t>
      </w:r>
    </w:p>
    <w:p w:rsidR="002A4C1B" w:rsidRDefault="002A4C1B" w:rsidP="002A4C1B">
      <w:r>
        <w:t xml:space="preserve">This publication is available for your use under a </w:t>
      </w:r>
      <w:hyperlink r:id="rId11" w:history="1">
        <w:r w:rsidRPr="002A4C1B">
          <w:rPr>
            <w:rStyle w:val="Hyperlink"/>
          </w:rPr>
          <w:t>Creative Commons BY Attribution 3.0 Australia</w:t>
        </w:r>
      </w:hyperlink>
      <w:r>
        <w:t xml:space="preserve"> licence, with the exception of the Independent Hospital Pricing Authority logo, photographs, images, signatures and where otherwise stated. The full licence terms are available from </w:t>
      </w:r>
      <w:hyperlink r:id="rId12" w:history="1">
        <w:r w:rsidRPr="002A4C1B">
          <w:rPr>
            <w:rStyle w:val="Hyperlink"/>
          </w:rPr>
          <w:t>the Creative Commons website</w:t>
        </w:r>
      </w:hyperlink>
      <w:r>
        <w:t>.</w:t>
      </w:r>
    </w:p>
    <w:p w:rsidR="002A4C1B" w:rsidRDefault="002A4C1B" w:rsidP="002A4C1B">
      <w:r w:rsidRPr="006150B7">
        <w:rPr>
          <w:rFonts w:cs="Calibri"/>
          <w:noProof/>
          <w:sz w:val="24"/>
        </w:rPr>
        <w:drawing>
          <wp:inline distT="0" distB="0" distL="0" distR="0" wp14:anchorId="73947BCC" wp14:editId="225E28E3">
            <wp:extent cx="809625" cy="285750"/>
            <wp:effectExtent l="0" t="0" r="9525" b="0"/>
            <wp:docPr id="10" name="Picture 10" descr="CC by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 by_gre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p w:rsidR="002A4C1B" w:rsidRDefault="002A4C1B" w:rsidP="002A4C1B">
      <w:r>
        <w:t xml:space="preserve">Use of Independent Hospital Pricing Authority material under a </w:t>
      </w:r>
      <w:hyperlink r:id="rId14" w:history="1">
        <w:r w:rsidRPr="002A4C1B">
          <w:rPr>
            <w:rStyle w:val="Hyperlink"/>
          </w:rPr>
          <w:t>Creative Commons BY Attribution 3.0 Australia</w:t>
        </w:r>
      </w:hyperlink>
      <w:r>
        <w:t xml:space="preserve"> licence requires you to attribute the work (but not in any way that suggests that the Independent Hospital Pricing Authority endorses you or your use of the work).</w:t>
      </w:r>
    </w:p>
    <w:p w:rsidR="002A4C1B" w:rsidRPr="002A4C1B" w:rsidRDefault="002A4C1B" w:rsidP="002A4C1B">
      <w:pPr>
        <w:rPr>
          <w:i/>
        </w:rPr>
      </w:pPr>
      <w:r w:rsidRPr="002A4C1B">
        <w:rPr>
          <w:i/>
        </w:rPr>
        <w:t>Independent Hospital Pricing Authority material used 'as supplied'.</w:t>
      </w:r>
    </w:p>
    <w:p w:rsidR="002A4C1B" w:rsidRDefault="002A4C1B" w:rsidP="002A4C1B">
      <w:r>
        <w:t>Provided you have not modified or transformed Independent Hospital Pricing Authority material in any way including, for example, by changing Independent Hospital Pricing Authority text – then the Independent Hospital Pricing Authority prefers the following attribution:</w:t>
      </w:r>
    </w:p>
    <w:p w:rsidR="002A4C1B" w:rsidRPr="002A4C1B" w:rsidRDefault="002A4C1B" w:rsidP="006C74B4">
      <w:pPr>
        <w:pStyle w:val="NormalIndent"/>
        <w:ind w:left="0"/>
        <w:rPr>
          <w:i/>
        </w:rPr>
      </w:pPr>
      <w:r w:rsidRPr="002A4C1B">
        <w:rPr>
          <w:i/>
        </w:rPr>
        <w:t>Source: The Independent Hospital Pricing Authority</w:t>
      </w:r>
      <w:r w:rsidRPr="002A4C1B">
        <w:rPr>
          <w:i/>
        </w:rPr>
        <w:br w:type="page"/>
      </w:r>
    </w:p>
    <w:sdt>
      <w:sdtPr>
        <w:rPr>
          <w:rFonts w:ascii="Arial" w:eastAsia="Times New Roman" w:hAnsi="Arial" w:cs="Times New Roman"/>
          <w:b w:val="0"/>
          <w:bCs w:val="0"/>
          <w:sz w:val="22"/>
          <w:szCs w:val="24"/>
        </w:rPr>
        <w:id w:val="-924104450"/>
        <w:docPartObj>
          <w:docPartGallery w:val="Table of Contents"/>
          <w:docPartUnique/>
        </w:docPartObj>
      </w:sdtPr>
      <w:sdtEndPr>
        <w:rPr>
          <w:noProof/>
        </w:rPr>
      </w:sdtEndPr>
      <w:sdtContent>
        <w:p w:rsidR="00333996" w:rsidRDefault="00333996">
          <w:pPr>
            <w:pStyle w:val="TOCHeading"/>
          </w:pPr>
          <w:r>
            <w:t xml:space="preserve">Table of </w:t>
          </w:r>
          <w:r w:rsidR="00004932">
            <w:t>c</w:t>
          </w:r>
          <w:r>
            <w:t>ontents</w:t>
          </w:r>
        </w:p>
        <w:p w:rsidR="00C30658" w:rsidRDefault="003A3171">
          <w:pPr>
            <w:pStyle w:val="TOC1"/>
            <w:rPr>
              <w:rFonts w:asciiTheme="minorHAnsi" w:eastAsiaTheme="minorEastAsia" w:hAnsiTheme="minorHAnsi" w:cstheme="minorBidi"/>
              <w:szCs w:val="22"/>
            </w:rPr>
          </w:pPr>
          <w:r>
            <w:fldChar w:fldCharType="begin"/>
          </w:r>
          <w:r w:rsidR="00333996">
            <w:instrText xml:space="preserve"> TOC \o "1-3" \h \z \u </w:instrText>
          </w:r>
          <w:r>
            <w:fldChar w:fldCharType="separate"/>
          </w:r>
          <w:hyperlink w:anchor="_Toc494105946" w:history="1">
            <w:r w:rsidR="00C30658" w:rsidRPr="00700B3A">
              <w:rPr>
                <w:rStyle w:val="Hyperlink"/>
              </w:rPr>
              <w:t>Acronyms</w:t>
            </w:r>
            <w:r w:rsidR="00C30658">
              <w:rPr>
                <w:webHidden/>
              </w:rPr>
              <w:tab/>
            </w:r>
            <w:r>
              <w:rPr>
                <w:webHidden/>
              </w:rPr>
              <w:fldChar w:fldCharType="begin"/>
            </w:r>
            <w:r w:rsidR="00C30658">
              <w:rPr>
                <w:webHidden/>
              </w:rPr>
              <w:instrText xml:space="preserve"> PAGEREF _Toc494105946 \h </w:instrText>
            </w:r>
            <w:r>
              <w:rPr>
                <w:webHidden/>
              </w:rPr>
            </w:r>
            <w:r>
              <w:rPr>
                <w:webHidden/>
              </w:rPr>
              <w:fldChar w:fldCharType="separate"/>
            </w:r>
            <w:r w:rsidR="00F82B87">
              <w:rPr>
                <w:webHidden/>
              </w:rPr>
              <w:t>3</w:t>
            </w:r>
            <w:r>
              <w:rPr>
                <w:webHidden/>
              </w:rPr>
              <w:fldChar w:fldCharType="end"/>
            </w:r>
          </w:hyperlink>
        </w:p>
        <w:p w:rsidR="00C30658" w:rsidRDefault="00A9090B">
          <w:pPr>
            <w:pStyle w:val="TOC1"/>
            <w:rPr>
              <w:rFonts w:asciiTheme="minorHAnsi" w:eastAsiaTheme="minorEastAsia" w:hAnsiTheme="minorHAnsi" w:cstheme="minorBidi"/>
              <w:szCs w:val="22"/>
            </w:rPr>
          </w:pPr>
          <w:hyperlink w:anchor="_Toc494105947" w:history="1">
            <w:r w:rsidR="00C30658" w:rsidRPr="00700B3A">
              <w:rPr>
                <w:rStyle w:val="Hyperlink"/>
              </w:rPr>
              <w:t>1.</w:t>
            </w:r>
            <w:r w:rsidR="00C30658">
              <w:rPr>
                <w:rFonts w:asciiTheme="minorHAnsi" w:eastAsiaTheme="minorEastAsia" w:hAnsiTheme="minorHAnsi" w:cstheme="minorBidi"/>
                <w:szCs w:val="22"/>
              </w:rPr>
              <w:tab/>
            </w:r>
            <w:r w:rsidR="00C30658" w:rsidRPr="00700B3A">
              <w:rPr>
                <w:rStyle w:val="Hyperlink"/>
              </w:rPr>
              <w:t>Executive Summary</w:t>
            </w:r>
            <w:r w:rsidR="00C30658">
              <w:rPr>
                <w:webHidden/>
              </w:rPr>
              <w:tab/>
            </w:r>
            <w:r w:rsidR="003A3171">
              <w:rPr>
                <w:webHidden/>
              </w:rPr>
              <w:fldChar w:fldCharType="begin"/>
            </w:r>
            <w:r w:rsidR="00C30658">
              <w:rPr>
                <w:webHidden/>
              </w:rPr>
              <w:instrText xml:space="preserve"> PAGEREF _Toc494105947 \h </w:instrText>
            </w:r>
            <w:r w:rsidR="003A3171">
              <w:rPr>
                <w:webHidden/>
              </w:rPr>
            </w:r>
            <w:r w:rsidR="003A3171">
              <w:rPr>
                <w:webHidden/>
              </w:rPr>
              <w:fldChar w:fldCharType="separate"/>
            </w:r>
            <w:r w:rsidR="00F82B87">
              <w:rPr>
                <w:webHidden/>
              </w:rPr>
              <w:t>5</w:t>
            </w:r>
            <w:r w:rsidR="003A3171">
              <w:rPr>
                <w:webHidden/>
              </w:rPr>
              <w:fldChar w:fldCharType="end"/>
            </w:r>
          </w:hyperlink>
        </w:p>
        <w:p w:rsidR="00C30658" w:rsidRDefault="00A9090B">
          <w:pPr>
            <w:pStyle w:val="TOC1"/>
            <w:rPr>
              <w:rFonts w:asciiTheme="minorHAnsi" w:eastAsiaTheme="minorEastAsia" w:hAnsiTheme="minorHAnsi" w:cstheme="minorBidi"/>
              <w:szCs w:val="22"/>
            </w:rPr>
          </w:pPr>
          <w:hyperlink w:anchor="_Toc494105950" w:history="1">
            <w:r w:rsidR="00C30658" w:rsidRPr="00700B3A">
              <w:rPr>
                <w:rStyle w:val="Hyperlink"/>
              </w:rPr>
              <w:t>Summary of Consultation questions</w:t>
            </w:r>
            <w:r w:rsidR="00C30658">
              <w:rPr>
                <w:webHidden/>
              </w:rPr>
              <w:tab/>
            </w:r>
            <w:r w:rsidR="003A3171">
              <w:rPr>
                <w:webHidden/>
              </w:rPr>
              <w:fldChar w:fldCharType="begin"/>
            </w:r>
            <w:r w:rsidR="00C30658">
              <w:rPr>
                <w:webHidden/>
              </w:rPr>
              <w:instrText xml:space="preserve"> PAGEREF _Toc494105950 \h </w:instrText>
            </w:r>
            <w:r w:rsidR="003A3171">
              <w:rPr>
                <w:webHidden/>
              </w:rPr>
            </w:r>
            <w:r w:rsidR="003A3171">
              <w:rPr>
                <w:webHidden/>
              </w:rPr>
              <w:fldChar w:fldCharType="separate"/>
            </w:r>
            <w:r w:rsidR="00F82B87">
              <w:rPr>
                <w:webHidden/>
              </w:rPr>
              <w:t>7</w:t>
            </w:r>
            <w:r w:rsidR="003A3171">
              <w:rPr>
                <w:webHidden/>
              </w:rPr>
              <w:fldChar w:fldCharType="end"/>
            </w:r>
          </w:hyperlink>
        </w:p>
        <w:p w:rsidR="00C30658" w:rsidRDefault="00A9090B">
          <w:pPr>
            <w:pStyle w:val="TOC1"/>
            <w:rPr>
              <w:rFonts w:asciiTheme="minorHAnsi" w:eastAsiaTheme="minorEastAsia" w:hAnsiTheme="minorHAnsi" w:cstheme="minorBidi"/>
              <w:szCs w:val="22"/>
            </w:rPr>
          </w:pPr>
          <w:hyperlink w:anchor="_Toc494105951" w:history="1">
            <w:r w:rsidR="00C30658" w:rsidRPr="00700B3A">
              <w:rPr>
                <w:rStyle w:val="Hyperlink"/>
              </w:rPr>
              <w:t>2.</w:t>
            </w:r>
            <w:r w:rsidR="00C30658">
              <w:rPr>
                <w:rFonts w:asciiTheme="minorHAnsi" w:eastAsiaTheme="minorEastAsia" w:hAnsiTheme="minorHAnsi" w:cstheme="minorBidi"/>
                <w:szCs w:val="22"/>
              </w:rPr>
              <w:tab/>
            </w:r>
            <w:r w:rsidR="00C30658" w:rsidRPr="00700B3A">
              <w:rPr>
                <w:rStyle w:val="Hyperlink"/>
              </w:rPr>
              <w:t>Introduction</w:t>
            </w:r>
            <w:r w:rsidR="00C30658">
              <w:rPr>
                <w:webHidden/>
              </w:rPr>
              <w:tab/>
            </w:r>
            <w:r w:rsidR="003A3171">
              <w:rPr>
                <w:webHidden/>
              </w:rPr>
              <w:fldChar w:fldCharType="begin"/>
            </w:r>
            <w:r w:rsidR="00C30658">
              <w:rPr>
                <w:webHidden/>
              </w:rPr>
              <w:instrText xml:space="preserve"> PAGEREF _Toc494105951 \h </w:instrText>
            </w:r>
            <w:r w:rsidR="003A3171">
              <w:rPr>
                <w:webHidden/>
              </w:rPr>
            </w:r>
            <w:r w:rsidR="003A3171">
              <w:rPr>
                <w:webHidden/>
              </w:rPr>
              <w:fldChar w:fldCharType="separate"/>
            </w:r>
            <w:r w:rsidR="00F82B87">
              <w:rPr>
                <w:webHidden/>
              </w:rPr>
              <w:t>8</w:t>
            </w:r>
            <w:r w:rsidR="003A3171">
              <w:rPr>
                <w:webHidden/>
              </w:rPr>
              <w:fldChar w:fldCharType="end"/>
            </w:r>
          </w:hyperlink>
        </w:p>
        <w:p w:rsidR="00C30658" w:rsidRDefault="00A9090B">
          <w:pPr>
            <w:pStyle w:val="TOC2"/>
            <w:rPr>
              <w:rFonts w:asciiTheme="minorHAnsi" w:eastAsiaTheme="minorEastAsia" w:hAnsiTheme="minorHAnsi" w:cstheme="minorBidi"/>
              <w:szCs w:val="22"/>
            </w:rPr>
          </w:pPr>
          <w:hyperlink w:anchor="_Toc494105952" w:history="1">
            <w:r w:rsidR="00C30658" w:rsidRPr="00700B3A">
              <w:rPr>
                <w:rStyle w:val="Hyperlink"/>
              </w:rPr>
              <w:t>2.1</w:t>
            </w:r>
            <w:r w:rsidR="00C30658">
              <w:rPr>
                <w:rFonts w:asciiTheme="minorHAnsi" w:eastAsiaTheme="minorEastAsia" w:hAnsiTheme="minorHAnsi" w:cstheme="minorBidi"/>
                <w:szCs w:val="22"/>
              </w:rPr>
              <w:tab/>
            </w:r>
            <w:r w:rsidR="00C30658" w:rsidRPr="00700B3A">
              <w:rPr>
                <w:rStyle w:val="Hyperlink"/>
              </w:rPr>
              <w:t>IHPA’s role</w:t>
            </w:r>
            <w:r w:rsidR="00C30658">
              <w:rPr>
                <w:webHidden/>
              </w:rPr>
              <w:tab/>
            </w:r>
            <w:r w:rsidR="003A3171">
              <w:rPr>
                <w:webHidden/>
              </w:rPr>
              <w:fldChar w:fldCharType="begin"/>
            </w:r>
            <w:r w:rsidR="00C30658">
              <w:rPr>
                <w:webHidden/>
              </w:rPr>
              <w:instrText xml:space="preserve"> PAGEREF _Toc494105952 \h </w:instrText>
            </w:r>
            <w:r w:rsidR="003A3171">
              <w:rPr>
                <w:webHidden/>
              </w:rPr>
            </w:r>
            <w:r w:rsidR="003A3171">
              <w:rPr>
                <w:webHidden/>
              </w:rPr>
              <w:fldChar w:fldCharType="separate"/>
            </w:r>
            <w:r w:rsidR="00F82B87">
              <w:rPr>
                <w:webHidden/>
              </w:rPr>
              <w:t>8</w:t>
            </w:r>
            <w:r w:rsidR="003A3171">
              <w:rPr>
                <w:webHidden/>
              </w:rPr>
              <w:fldChar w:fldCharType="end"/>
            </w:r>
          </w:hyperlink>
        </w:p>
        <w:p w:rsidR="00C30658" w:rsidRDefault="00A9090B">
          <w:pPr>
            <w:pStyle w:val="TOC2"/>
            <w:rPr>
              <w:rFonts w:asciiTheme="minorHAnsi" w:eastAsiaTheme="minorEastAsia" w:hAnsiTheme="minorHAnsi" w:cstheme="minorBidi"/>
              <w:szCs w:val="22"/>
            </w:rPr>
          </w:pPr>
          <w:hyperlink w:anchor="_Toc494105953" w:history="1">
            <w:r w:rsidR="00C30658" w:rsidRPr="00700B3A">
              <w:rPr>
                <w:rStyle w:val="Hyperlink"/>
              </w:rPr>
              <w:t>2.2</w:t>
            </w:r>
            <w:r w:rsidR="00C30658">
              <w:rPr>
                <w:rFonts w:asciiTheme="minorHAnsi" w:eastAsiaTheme="minorEastAsia" w:hAnsiTheme="minorHAnsi" w:cstheme="minorBidi"/>
                <w:szCs w:val="22"/>
              </w:rPr>
              <w:tab/>
            </w:r>
            <w:r w:rsidR="00C30658" w:rsidRPr="00700B3A">
              <w:rPr>
                <w:rStyle w:val="Hyperlink"/>
              </w:rPr>
              <w:t>Classification of non-admitted care patients</w:t>
            </w:r>
            <w:r w:rsidR="00C30658">
              <w:rPr>
                <w:webHidden/>
              </w:rPr>
              <w:tab/>
            </w:r>
            <w:r w:rsidR="003A3171">
              <w:rPr>
                <w:webHidden/>
              </w:rPr>
              <w:fldChar w:fldCharType="begin"/>
            </w:r>
            <w:r w:rsidR="00C30658">
              <w:rPr>
                <w:webHidden/>
              </w:rPr>
              <w:instrText xml:space="preserve"> PAGEREF _Toc494105953 \h </w:instrText>
            </w:r>
            <w:r w:rsidR="003A3171">
              <w:rPr>
                <w:webHidden/>
              </w:rPr>
            </w:r>
            <w:r w:rsidR="003A3171">
              <w:rPr>
                <w:webHidden/>
              </w:rPr>
              <w:fldChar w:fldCharType="separate"/>
            </w:r>
            <w:r w:rsidR="00F82B87">
              <w:rPr>
                <w:webHidden/>
              </w:rPr>
              <w:t>8</w:t>
            </w:r>
            <w:r w:rsidR="003A3171">
              <w:rPr>
                <w:webHidden/>
              </w:rPr>
              <w:fldChar w:fldCharType="end"/>
            </w:r>
          </w:hyperlink>
        </w:p>
        <w:p w:rsidR="00C30658" w:rsidRDefault="00A9090B">
          <w:pPr>
            <w:pStyle w:val="TOC2"/>
            <w:rPr>
              <w:rFonts w:asciiTheme="minorHAnsi" w:eastAsiaTheme="minorEastAsia" w:hAnsiTheme="minorHAnsi" w:cstheme="minorBidi"/>
              <w:szCs w:val="22"/>
            </w:rPr>
          </w:pPr>
          <w:hyperlink w:anchor="_Toc494105956" w:history="1">
            <w:r w:rsidR="00C30658" w:rsidRPr="00700B3A">
              <w:rPr>
                <w:rStyle w:val="Hyperlink"/>
              </w:rPr>
              <w:t>2.3</w:t>
            </w:r>
            <w:r w:rsidR="00C30658">
              <w:rPr>
                <w:rFonts w:asciiTheme="minorHAnsi" w:eastAsiaTheme="minorEastAsia" w:hAnsiTheme="minorHAnsi" w:cstheme="minorBidi"/>
                <w:szCs w:val="22"/>
              </w:rPr>
              <w:tab/>
            </w:r>
            <w:r w:rsidR="00C30658" w:rsidRPr="00700B3A">
              <w:rPr>
                <w:rStyle w:val="Hyperlink"/>
              </w:rPr>
              <w:t>Project objectives</w:t>
            </w:r>
            <w:r w:rsidR="00C30658">
              <w:rPr>
                <w:webHidden/>
              </w:rPr>
              <w:tab/>
            </w:r>
            <w:r w:rsidR="003A3171">
              <w:rPr>
                <w:webHidden/>
              </w:rPr>
              <w:fldChar w:fldCharType="begin"/>
            </w:r>
            <w:r w:rsidR="00C30658">
              <w:rPr>
                <w:webHidden/>
              </w:rPr>
              <w:instrText xml:space="preserve"> PAGEREF _Toc494105956 \h </w:instrText>
            </w:r>
            <w:r w:rsidR="003A3171">
              <w:rPr>
                <w:webHidden/>
              </w:rPr>
            </w:r>
            <w:r w:rsidR="003A3171">
              <w:rPr>
                <w:webHidden/>
              </w:rPr>
              <w:fldChar w:fldCharType="separate"/>
            </w:r>
            <w:r w:rsidR="00F82B87">
              <w:rPr>
                <w:webHidden/>
              </w:rPr>
              <w:t>10</w:t>
            </w:r>
            <w:r w:rsidR="003A3171">
              <w:rPr>
                <w:webHidden/>
              </w:rPr>
              <w:fldChar w:fldCharType="end"/>
            </w:r>
          </w:hyperlink>
        </w:p>
        <w:p w:rsidR="00C30658" w:rsidRDefault="00A9090B">
          <w:pPr>
            <w:pStyle w:val="TOC2"/>
            <w:rPr>
              <w:rFonts w:asciiTheme="minorHAnsi" w:eastAsiaTheme="minorEastAsia" w:hAnsiTheme="minorHAnsi" w:cstheme="minorBidi"/>
              <w:szCs w:val="22"/>
            </w:rPr>
          </w:pPr>
          <w:hyperlink w:anchor="_Toc494105957" w:history="1">
            <w:r w:rsidR="00C30658" w:rsidRPr="00700B3A">
              <w:rPr>
                <w:rStyle w:val="Hyperlink"/>
              </w:rPr>
              <w:t>2.4</w:t>
            </w:r>
            <w:r w:rsidR="00C30658">
              <w:rPr>
                <w:rFonts w:asciiTheme="minorHAnsi" w:eastAsiaTheme="minorEastAsia" w:hAnsiTheme="minorHAnsi" w:cstheme="minorBidi"/>
                <w:szCs w:val="22"/>
              </w:rPr>
              <w:tab/>
            </w:r>
            <w:r w:rsidR="00C30658" w:rsidRPr="00700B3A">
              <w:rPr>
                <w:rStyle w:val="Hyperlink"/>
              </w:rPr>
              <w:t>Project phases</w:t>
            </w:r>
            <w:r w:rsidR="00C30658">
              <w:rPr>
                <w:webHidden/>
              </w:rPr>
              <w:tab/>
            </w:r>
            <w:r w:rsidR="003A3171">
              <w:rPr>
                <w:webHidden/>
              </w:rPr>
              <w:fldChar w:fldCharType="begin"/>
            </w:r>
            <w:r w:rsidR="00C30658">
              <w:rPr>
                <w:webHidden/>
              </w:rPr>
              <w:instrText xml:space="preserve"> PAGEREF _Toc494105957 \h </w:instrText>
            </w:r>
            <w:r w:rsidR="003A3171">
              <w:rPr>
                <w:webHidden/>
              </w:rPr>
            </w:r>
            <w:r w:rsidR="003A3171">
              <w:rPr>
                <w:webHidden/>
              </w:rPr>
              <w:fldChar w:fldCharType="separate"/>
            </w:r>
            <w:r w:rsidR="00F82B87">
              <w:rPr>
                <w:webHidden/>
              </w:rPr>
              <w:t>10</w:t>
            </w:r>
            <w:r w:rsidR="003A3171">
              <w:rPr>
                <w:webHidden/>
              </w:rPr>
              <w:fldChar w:fldCharType="end"/>
            </w:r>
          </w:hyperlink>
        </w:p>
        <w:p w:rsidR="00C30658" w:rsidRDefault="00A9090B">
          <w:pPr>
            <w:pStyle w:val="TOC2"/>
            <w:rPr>
              <w:rFonts w:asciiTheme="minorHAnsi" w:eastAsiaTheme="minorEastAsia" w:hAnsiTheme="minorHAnsi" w:cstheme="minorBidi"/>
              <w:szCs w:val="22"/>
            </w:rPr>
          </w:pPr>
          <w:hyperlink w:anchor="_Toc494105958" w:history="1">
            <w:r w:rsidR="00C30658" w:rsidRPr="00700B3A">
              <w:rPr>
                <w:rStyle w:val="Hyperlink"/>
              </w:rPr>
              <w:t>2.5</w:t>
            </w:r>
            <w:r w:rsidR="00C30658">
              <w:rPr>
                <w:rFonts w:asciiTheme="minorHAnsi" w:eastAsiaTheme="minorEastAsia" w:hAnsiTheme="minorHAnsi" w:cstheme="minorBidi"/>
                <w:szCs w:val="22"/>
              </w:rPr>
              <w:tab/>
            </w:r>
            <w:r w:rsidR="00C30658" w:rsidRPr="00700B3A">
              <w:rPr>
                <w:rStyle w:val="Hyperlink"/>
              </w:rPr>
              <w:t>Project governance</w:t>
            </w:r>
            <w:r w:rsidR="00C30658">
              <w:rPr>
                <w:webHidden/>
              </w:rPr>
              <w:tab/>
            </w:r>
            <w:r w:rsidR="003A3171">
              <w:rPr>
                <w:webHidden/>
              </w:rPr>
              <w:fldChar w:fldCharType="begin"/>
            </w:r>
            <w:r w:rsidR="00C30658">
              <w:rPr>
                <w:webHidden/>
              </w:rPr>
              <w:instrText xml:space="preserve"> PAGEREF _Toc494105958 \h </w:instrText>
            </w:r>
            <w:r w:rsidR="003A3171">
              <w:rPr>
                <w:webHidden/>
              </w:rPr>
            </w:r>
            <w:r w:rsidR="003A3171">
              <w:rPr>
                <w:webHidden/>
              </w:rPr>
              <w:fldChar w:fldCharType="separate"/>
            </w:r>
            <w:r w:rsidR="00F82B87">
              <w:rPr>
                <w:webHidden/>
              </w:rPr>
              <w:t>10</w:t>
            </w:r>
            <w:r w:rsidR="003A3171">
              <w:rPr>
                <w:webHidden/>
              </w:rPr>
              <w:fldChar w:fldCharType="end"/>
            </w:r>
          </w:hyperlink>
        </w:p>
        <w:p w:rsidR="00C30658" w:rsidRDefault="00A9090B">
          <w:pPr>
            <w:pStyle w:val="TOC1"/>
            <w:rPr>
              <w:rFonts w:asciiTheme="minorHAnsi" w:eastAsiaTheme="minorEastAsia" w:hAnsiTheme="minorHAnsi" w:cstheme="minorBidi"/>
              <w:szCs w:val="22"/>
            </w:rPr>
          </w:pPr>
          <w:hyperlink w:anchor="_Toc494105959" w:history="1">
            <w:r w:rsidR="00C30658" w:rsidRPr="00700B3A">
              <w:rPr>
                <w:rStyle w:val="Hyperlink"/>
              </w:rPr>
              <w:t>3.</w:t>
            </w:r>
            <w:r w:rsidR="00C30658">
              <w:rPr>
                <w:rFonts w:asciiTheme="minorHAnsi" w:eastAsiaTheme="minorEastAsia" w:hAnsiTheme="minorHAnsi" w:cstheme="minorBidi"/>
                <w:szCs w:val="22"/>
              </w:rPr>
              <w:tab/>
            </w:r>
            <w:r w:rsidR="00C30658" w:rsidRPr="00700B3A">
              <w:rPr>
                <w:rStyle w:val="Hyperlink"/>
              </w:rPr>
              <w:t>The non-admitted care landscape in Australia</w:t>
            </w:r>
            <w:r w:rsidR="00C30658">
              <w:rPr>
                <w:webHidden/>
              </w:rPr>
              <w:tab/>
            </w:r>
            <w:r w:rsidR="003A3171">
              <w:rPr>
                <w:webHidden/>
              </w:rPr>
              <w:fldChar w:fldCharType="begin"/>
            </w:r>
            <w:r w:rsidR="00C30658">
              <w:rPr>
                <w:webHidden/>
              </w:rPr>
              <w:instrText xml:space="preserve"> PAGEREF _Toc494105959 \h </w:instrText>
            </w:r>
            <w:r w:rsidR="003A3171">
              <w:rPr>
                <w:webHidden/>
              </w:rPr>
            </w:r>
            <w:r w:rsidR="003A3171">
              <w:rPr>
                <w:webHidden/>
              </w:rPr>
              <w:fldChar w:fldCharType="separate"/>
            </w:r>
            <w:r w:rsidR="00F82B87">
              <w:rPr>
                <w:webHidden/>
              </w:rPr>
              <w:t>12</w:t>
            </w:r>
            <w:r w:rsidR="003A3171">
              <w:rPr>
                <w:webHidden/>
              </w:rPr>
              <w:fldChar w:fldCharType="end"/>
            </w:r>
          </w:hyperlink>
        </w:p>
        <w:p w:rsidR="00C30658" w:rsidRDefault="00A9090B">
          <w:pPr>
            <w:pStyle w:val="TOC2"/>
            <w:rPr>
              <w:rFonts w:asciiTheme="minorHAnsi" w:eastAsiaTheme="minorEastAsia" w:hAnsiTheme="minorHAnsi" w:cstheme="minorBidi"/>
              <w:szCs w:val="22"/>
            </w:rPr>
          </w:pPr>
          <w:hyperlink w:anchor="_Toc494105960" w:history="1">
            <w:r w:rsidR="00C30658" w:rsidRPr="00700B3A">
              <w:rPr>
                <w:rStyle w:val="Hyperlink"/>
              </w:rPr>
              <w:t>3.1</w:t>
            </w:r>
            <w:r w:rsidR="00C30658">
              <w:rPr>
                <w:rFonts w:asciiTheme="minorHAnsi" w:eastAsiaTheme="minorEastAsia" w:hAnsiTheme="minorHAnsi" w:cstheme="minorBidi"/>
                <w:szCs w:val="22"/>
              </w:rPr>
              <w:tab/>
            </w:r>
            <w:r w:rsidR="00C30658" w:rsidRPr="00700B3A">
              <w:rPr>
                <w:rStyle w:val="Hyperlink"/>
              </w:rPr>
              <w:t>Health system trends</w:t>
            </w:r>
            <w:r w:rsidR="00C30658">
              <w:rPr>
                <w:webHidden/>
              </w:rPr>
              <w:tab/>
            </w:r>
            <w:r w:rsidR="003A3171">
              <w:rPr>
                <w:webHidden/>
              </w:rPr>
              <w:fldChar w:fldCharType="begin"/>
            </w:r>
            <w:r w:rsidR="00C30658">
              <w:rPr>
                <w:webHidden/>
              </w:rPr>
              <w:instrText xml:space="preserve"> PAGEREF _Toc494105960 \h </w:instrText>
            </w:r>
            <w:r w:rsidR="003A3171">
              <w:rPr>
                <w:webHidden/>
              </w:rPr>
            </w:r>
            <w:r w:rsidR="003A3171">
              <w:rPr>
                <w:webHidden/>
              </w:rPr>
              <w:fldChar w:fldCharType="separate"/>
            </w:r>
            <w:r w:rsidR="00F82B87">
              <w:rPr>
                <w:webHidden/>
              </w:rPr>
              <w:t>12</w:t>
            </w:r>
            <w:r w:rsidR="003A3171">
              <w:rPr>
                <w:webHidden/>
              </w:rPr>
              <w:fldChar w:fldCharType="end"/>
            </w:r>
          </w:hyperlink>
        </w:p>
        <w:p w:rsidR="00C30658" w:rsidRDefault="00A9090B">
          <w:pPr>
            <w:pStyle w:val="TOC2"/>
            <w:rPr>
              <w:rFonts w:asciiTheme="minorHAnsi" w:eastAsiaTheme="minorEastAsia" w:hAnsiTheme="minorHAnsi" w:cstheme="minorBidi"/>
              <w:szCs w:val="22"/>
            </w:rPr>
          </w:pPr>
          <w:hyperlink w:anchor="_Toc494105963" w:history="1">
            <w:r w:rsidR="00C30658" w:rsidRPr="00700B3A">
              <w:rPr>
                <w:rStyle w:val="Hyperlink"/>
              </w:rPr>
              <w:t>3.2</w:t>
            </w:r>
            <w:r w:rsidR="00C30658">
              <w:rPr>
                <w:rFonts w:asciiTheme="minorHAnsi" w:eastAsiaTheme="minorEastAsia" w:hAnsiTheme="minorHAnsi" w:cstheme="minorBidi"/>
                <w:szCs w:val="22"/>
              </w:rPr>
              <w:tab/>
            </w:r>
            <w:r w:rsidR="00C30658" w:rsidRPr="00700B3A">
              <w:rPr>
                <w:rStyle w:val="Hyperlink"/>
              </w:rPr>
              <w:t>Digital transformation</w:t>
            </w:r>
            <w:r w:rsidR="00C30658">
              <w:rPr>
                <w:webHidden/>
              </w:rPr>
              <w:tab/>
            </w:r>
            <w:r w:rsidR="003A3171">
              <w:rPr>
                <w:webHidden/>
              </w:rPr>
              <w:fldChar w:fldCharType="begin"/>
            </w:r>
            <w:r w:rsidR="00C30658">
              <w:rPr>
                <w:webHidden/>
              </w:rPr>
              <w:instrText xml:space="preserve"> PAGEREF _Toc494105963 \h </w:instrText>
            </w:r>
            <w:r w:rsidR="003A3171">
              <w:rPr>
                <w:webHidden/>
              </w:rPr>
            </w:r>
            <w:r w:rsidR="003A3171">
              <w:rPr>
                <w:webHidden/>
              </w:rPr>
              <w:fldChar w:fldCharType="separate"/>
            </w:r>
            <w:r w:rsidR="00F82B87">
              <w:rPr>
                <w:webHidden/>
              </w:rPr>
              <w:t>15</w:t>
            </w:r>
            <w:r w:rsidR="003A3171">
              <w:rPr>
                <w:webHidden/>
              </w:rPr>
              <w:fldChar w:fldCharType="end"/>
            </w:r>
          </w:hyperlink>
        </w:p>
        <w:p w:rsidR="00C30658" w:rsidRDefault="00A9090B">
          <w:pPr>
            <w:pStyle w:val="TOC1"/>
            <w:rPr>
              <w:rFonts w:asciiTheme="minorHAnsi" w:eastAsiaTheme="minorEastAsia" w:hAnsiTheme="minorHAnsi" w:cstheme="minorBidi"/>
              <w:szCs w:val="22"/>
            </w:rPr>
          </w:pPr>
          <w:hyperlink w:anchor="_Toc494105968" w:history="1">
            <w:r w:rsidR="00C30658" w:rsidRPr="00700B3A">
              <w:rPr>
                <w:rStyle w:val="Hyperlink"/>
              </w:rPr>
              <w:t>4.</w:t>
            </w:r>
            <w:r w:rsidR="00C30658">
              <w:rPr>
                <w:rFonts w:asciiTheme="minorHAnsi" w:eastAsiaTheme="minorEastAsia" w:hAnsiTheme="minorHAnsi" w:cstheme="minorBidi"/>
                <w:szCs w:val="22"/>
              </w:rPr>
              <w:tab/>
            </w:r>
            <w:r w:rsidR="00C30658" w:rsidRPr="00700B3A">
              <w:rPr>
                <w:rStyle w:val="Hyperlink"/>
              </w:rPr>
              <w:t>Creating an appropriate non-admitted care classification</w:t>
            </w:r>
            <w:r w:rsidR="00C30658">
              <w:rPr>
                <w:webHidden/>
              </w:rPr>
              <w:tab/>
            </w:r>
            <w:r w:rsidR="003A3171">
              <w:rPr>
                <w:webHidden/>
              </w:rPr>
              <w:fldChar w:fldCharType="begin"/>
            </w:r>
            <w:r w:rsidR="00C30658">
              <w:rPr>
                <w:webHidden/>
              </w:rPr>
              <w:instrText xml:space="preserve"> PAGEREF _Toc494105968 \h </w:instrText>
            </w:r>
            <w:r w:rsidR="003A3171">
              <w:rPr>
                <w:webHidden/>
              </w:rPr>
            </w:r>
            <w:r w:rsidR="003A3171">
              <w:rPr>
                <w:webHidden/>
              </w:rPr>
              <w:fldChar w:fldCharType="separate"/>
            </w:r>
            <w:r w:rsidR="00F82B87">
              <w:rPr>
                <w:webHidden/>
              </w:rPr>
              <w:t>19</w:t>
            </w:r>
            <w:r w:rsidR="003A3171">
              <w:rPr>
                <w:webHidden/>
              </w:rPr>
              <w:fldChar w:fldCharType="end"/>
            </w:r>
          </w:hyperlink>
        </w:p>
        <w:p w:rsidR="00C30658" w:rsidRDefault="00A9090B">
          <w:pPr>
            <w:pStyle w:val="TOC2"/>
            <w:rPr>
              <w:rFonts w:asciiTheme="minorHAnsi" w:eastAsiaTheme="minorEastAsia" w:hAnsiTheme="minorHAnsi" w:cstheme="minorBidi"/>
              <w:szCs w:val="22"/>
            </w:rPr>
          </w:pPr>
          <w:hyperlink w:anchor="_Toc494105969" w:history="1">
            <w:r w:rsidR="00C30658" w:rsidRPr="00700B3A">
              <w:rPr>
                <w:rStyle w:val="Hyperlink"/>
              </w:rPr>
              <w:t>4.1</w:t>
            </w:r>
            <w:r w:rsidR="00C30658">
              <w:rPr>
                <w:rFonts w:asciiTheme="minorHAnsi" w:eastAsiaTheme="minorEastAsia" w:hAnsiTheme="minorHAnsi" w:cstheme="minorBidi"/>
                <w:szCs w:val="22"/>
              </w:rPr>
              <w:tab/>
            </w:r>
            <w:r w:rsidR="00C30658" w:rsidRPr="00700B3A">
              <w:rPr>
                <w:rStyle w:val="Hyperlink"/>
              </w:rPr>
              <w:t>Classification principles</w:t>
            </w:r>
            <w:r w:rsidR="00C30658">
              <w:rPr>
                <w:webHidden/>
              </w:rPr>
              <w:tab/>
            </w:r>
            <w:r w:rsidR="003A3171">
              <w:rPr>
                <w:webHidden/>
              </w:rPr>
              <w:fldChar w:fldCharType="begin"/>
            </w:r>
            <w:r w:rsidR="00C30658">
              <w:rPr>
                <w:webHidden/>
              </w:rPr>
              <w:instrText xml:space="preserve"> PAGEREF _Toc494105969 \h </w:instrText>
            </w:r>
            <w:r w:rsidR="003A3171">
              <w:rPr>
                <w:webHidden/>
              </w:rPr>
            </w:r>
            <w:r w:rsidR="003A3171">
              <w:rPr>
                <w:webHidden/>
              </w:rPr>
              <w:fldChar w:fldCharType="separate"/>
            </w:r>
            <w:r w:rsidR="00F82B87">
              <w:rPr>
                <w:webHidden/>
              </w:rPr>
              <w:t>19</w:t>
            </w:r>
            <w:r w:rsidR="003A3171">
              <w:rPr>
                <w:webHidden/>
              </w:rPr>
              <w:fldChar w:fldCharType="end"/>
            </w:r>
          </w:hyperlink>
        </w:p>
        <w:p w:rsidR="00C30658" w:rsidRDefault="00A9090B">
          <w:pPr>
            <w:pStyle w:val="TOC2"/>
            <w:rPr>
              <w:rFonts w:asciiTheme="minorHAnsi" w:eastAsiaTheme="minorEastAsia" w:hAnsiTheme="minorHAnsi" w:cstheme="minorBidi"/>
              <w:szCs w:val="22"/>
            </w:rPr>
          </w:pPr>
          <w:hyperlink w:anchor="_Toc494105970" w:history="1">
            <w:r w:rsidR="00C30658" w:rsidRPr="00700B3A">
              <w:rPr>
                <w:rStyle w:val="Hyperlink"/>
              </w:rPr>
              <w:t>4.2</w:t>
            </w:r>
            <w:r w:rsidR="00C30658">
              <w:rPr>
                <w:rFonts w:asciiTheme="minorHAnsi" w:eastAsiaTheme="minorEastAsia" w:hAnsiTheme="minorHAnsi" w:cstheme="minorBidi"/>
                <w:szCs w:val="22"/>
              </w:rPr>
              <w:tab/>
            </w:r>
            <w:r w:rsidR="00C30658" w:rsidRPr="00700B3A">
              <w:rPr>
                <w:rStyle w:val="Hyperlink"/>
              </w:rPr>
              <w:t>Key considerations in designing the ANACC system</w:t>
            </w:r>
            <w:r w:rsidR="00C30658">
              <w:rPr>
                <w:webHidden/>
              </w:rPr>
              <w:tab/>
            </w:r>
            <w:r w:rsidR="003A3171">
              <w:rPr>
                <w:webHidden/>
              </w:rPr>
              <w:fldChar w:fldCharType="begin"/>
            </w:r>
            <w:r w:rsidR="00C30658">
              <w:rPr>
                <w:webHidden/>
              </w:rPr>
              <w:instrText xml:space="preserve"> PAGEREF _Toc494105970 \h </w:instrText>
            </w:r>
            <w:r w:rsidR="003A3171">
              <w:rPr>
                <w:webHidden/>
              </w:rPr>
            </w:r>
            <w:r w:rsidR="003A3171">
              <w:rPr>
                <w:webHidden/>
              </w:rPr>
              <w:fldChar w:fldCharType="separate"/>
            </w:r>
            <w:r w:rsidR="00F82B87">
              <w:rPr>
                <w:webHidden/>
              </w:rPr>
              <w:t>21</w:t>
            </w:r>
            <w:r w:rsidR="003A3171">
              <w:rPr>
                <w:webHidden/>
              </w:rPr>
              <w:fldChar w:fldCharType="end"/>
            </w:r>
          </w:hyperlink>
        </w:p>
        <w:p w:rsidR="00C30658" w:rsidRDefault="00A9090B">
          <w:pPr>
            <w:pStyle w:val="TOC2"/>
            <w:rPr>
              <w:rFonts w:asciiTheme="minorHAnsi" w:eastAsiaTheme="minorEastAsia" w:hAnsiTheme="minorHAnsi" w:cstheme="minorBidi"/>
              <w:szCs w:val="22"/>
            </w:rPr>
          </w:pPr>
          <w:hyperlink w:anchor="_Toc494105971" w:history="1">
            <w:r w:rsidR="00C30658" w:rsidRPr="00700B3A">
              <w:rPr>
                <w:rStyle w:val="Hyperlink"/>
              </w:rPr>
              <w:t>4.3</w:t>
            </w:r>
            <w:r w:rsidR="00C30658">
              <w:rPr>
                <w:rFonts w:asciiTheme="minorHAnsi" w:eastAsiaTheme="minorEastAsia" w:hAnsiTheme="minorHAnsi" w:cstheme="minorBidi"/>
                <w:szCs w:val="22"/>
              </w:rPr>
              <w:tab/>
            </w:r>
            <w:r w:rsidR="00C30658" w:rsidRPr="00700B3A">
              <w:rPr>
                <w:rStyle w:val="Hyperlink"/>
              </w:rPr>
              <w:t>Integration of the non-admitted care classification with other classifications</w:t>
            </w:r>
            <w:r w:rsidR="00C30658">
              <w:rPr>
                <w:webHidden/>
              </w:rPr>
              <w:tab/>
            </w:r>
            <w:r w:rsidR="003A3171">
              <w:rPr>
                <w:webHidden/>
              </w:rPr>
              <w:fldChar w:fldCharType="begin"/>
            </w:r>
            <w:r w:rsidR="00C30658">
              <w:rPr>
                <w:webHidden/>
              </w:rPr>
              <w:instrText xml:space="preserve"> PAGEREF _Toc494105971 \h </w:instrText>
            </w:r>
            <w:r w:rsidR="003A3171">
              <w:rPr>
                <w:webHidden/>
              </w:rPr>
            </w:r>
            <w:r w:rsidR="003A3171">
              <w:rPr>
                <w:webHidden/>
              </w:rPr>
              <w:fldChar w:fldCharType="separate"/>
            </w:r>
            <w:r w:rsidR="00F82B87">
              <w:rPr>
                <w:webHidden/>
              </w:rPr>
              <w:t>21</w:t>
            </w:r>
            <w:r w:rsidR="003A3171">
              <w:rPr>
                <w:webHidden/>
              </w:rPr>
              <w:fldChar w:fldCharType="end"/>
            </w:r>
          </w:hyperlink>
        </w:p>
        <w:p w:rsidR="00C30658" w:rsidRDefault="00A9090B">
          <w:pPr>
            <w:pStyle w:val="TOC1"/>
            <w:rPr>
              <w:rFonts w:asciiTheme="minorHAnsi" w:eastAsiaTheme="minorEastAsia" w:hAnsiTheme="minorHAnsi" w:cstheme="minorBidi"/>
              <w:szCs w:val="22"/>
            </w:rPr>
          </w:pPr>
          <w:hyperlink w:anchor="_Toc494105973" w:history="1">
            <w:r w:rsidR="00C30658" w:rsidRPr="00700B3A">
              <w:rPr>
                <w:rStyle w:val="Hyperlink"/>
              </w:rPr>
              <w:t>5.</w:t>
            </w:r>
            <w:r w:rsidR="00C30658">
              <w:rPr>
                <w:rFonts w:asciiTheme="minorHAnsi" w:eastAsiaTheme="minorEastAsia" w:hAnsiTheme="minorHAnsi" w:cstheme="minorBidi"/>
                <w:szCs w:val="22"/>
              </w:rPr>
              <w:tab/>
            </w:r>
            <w:r w:rsidR="00C30658" w:rsidRPr="00700B3A">
              <w:rPr>
                <w:rStyle w:val="Hyperlink"/>
              </w:rPr>
              <w:t>Proposed classification concepts and variables</w:t>
            </w:r>
            <w:r w:rsidR="00C30658">
              <w:rPr>
                <w:webHidden/>
              </w:rPr>
              <w:tab/>
            </w:r>
            <w:r w:rsidR="003A3171">
              <w:rPr>
                <w:webHidden/>
              </w:rPr>
              <w:fldChar w:fldCharType="begin"/>
            </w:r>
            <w:r w:rsidR="00C30658">
              <w:rPr>
                <w:webHidden/>
              </w:rPr>
              <w:instrText xml:space="preserve"> PAGEREF _Toc494105973 \h </w:instrText>
            </w:r>
            <w:r w:rsidR="003A3171">
              <w:rPr>
                <w:webHidden/>
              </w:rPr>
            </w:r>
            <w:r w:rsidR="003A3171">
              <w:rPr>
                <w:webHidden/>
              </w:rPr>
              <w:fldChar w:fldCharType="separate"/>
            </w:r>
            <w:r w:rsidR="00F82B87">
              <w:rPr>
                <w:webHidden/>
              </w:rPr>
              <w:t>23</w:t>
            </w:r>
            <w:r w:rsidR="003A3171">
              <w:rPr>
                <w:webHidden/>
              </w:rPr>
              <w:fldChar w:fldCharType="end"/>
            </w:r>
          </w:hyperlink>
        </w:p>
        <w:p w:rsidR="00C30658" w:rsidRDefault="00A9090B">
          <w:pPr>
            <w:pStyle w:val="TOC2"/>
            <w:rPr>
              <w:rFonts w:asciiTheme="minorHAnsi" w:eastAsiaTheme="minorEastAsia" w:hAnsiTheme="minorHAnsi" w:cstheme="minorBidi"/>
              <w:szCs w:val="22"/>
            </w:rPr>
          </w:pPr>
          <w:hyperlink w:anchor="_Toc494105974" w:history="1">
            <w:r w:rsidR="00C30658" w:rsidRPr="00700B3A">
              <w:rPr>
                <w:rStyle w:val="Hyperlink"/>
              </w:rPr>
              <w:t>5.1</w:t>
            </w:r>
            <w:r w:rsidR="00C30658">
              <w:rPr>
                <w:rFonts w:asciiTheme="minorHAnsi" w:eastAsiaTheme="minorEastAsia" w:hAnsiTheme="minorHAnsi" w:cstheme="minorBidi"/>
                <w:szCs w:val="22"/>
              </w:rPr>
              <w:tab/>
            </w:r>
            <w:r w:rsidR="00C30658" w:rsidRPr="00700B3A">
              <w:rPr>
                <w:rStyle w:val="Hyperlink"/>
              </w:rPr>
              <w:t>Unit of count / activity</w:t>
            </w:r>
            <w:r w:rsidR="00C30658">
              <w:rPr>
                <w:webHidden/>
              </w:rPr>
              <w:tab/>
            </w:r>
            <w:r w:rsidR="003A3171">
              <w:rPr>
                <w:webHidden/>
              </w:rPr>
              <w:fldChar w:fldCharType="begin"/>
            </w:r>
            <w:r w:rsidR="00C30658">
              <w:rPr>
                <w:webHidden/>
              </w:rPr>
              <w:instrText xml:space="preserve"> PAGEREF _Toc494105974 \h </w:instrText>
            </w:r>
            <w:r w:rsidR="003A3171">
              <w:rPr>
                <w:webHidden/>
              </w:rPr>
            </w:r>
            <w:r w:rsidR="003A3171">
              <w:rPr>
                <w:webHidden/>
              </w:rPr>
              <w:fldChar w:fldCharType="separate"/>
            </w:r>
            <w:r w:rsidR="00F82B87">
              <w:rPr>
                <w:webHidden/>
              </w:rPr>
              <w:t>23</w:t>
            </w:r>
            <w:r w:rsidR="003A3171">
              <w:rPr>
                <w:webHidden/>
              </w:rPr>
              <w:fldChar w:fldCharType="end"/>
            </w:r>
          </w:hyperlink>
        </w:p>
        <w:p w:rsidR="00C30658" w:rsidRDefault="00A9090B">
          <w:pPr>
            <w:pStyle w:val="TOC2"/>
            <w:rPr>
              <w:rFonts w:asciiTheme="minorHAnsi" w:eastAsiaTheme="minorEastAsia" w:hAnsiTheme="minorHAnsi" w:cstheme="minorBidi"/>
              <w:szCs w:val="22"/>
            </w:rPr>
          </w:pPr>
          <w:hyperlink w:anchor="_Toc494105977" w:history="1">
            <w:r w:rsidR="00C30658" w:rsidRPr="00700B3A">
              <w:rPr>
                <w:rStyle w:val="Hyperlink"/>
              </w:rPr>
              <w:t>5.2</w:t>
            </w:r>
            <w:r w:rsidR="00C30658">
              <w:rPr>
                <w:rFonts w:asciiTheme="minorHAnsi" w:eastAsiaTheme="minorEastAsia" w:hAnsiTheme="minorHAnsi" w:cstheme="minorBidi"/>
                <w:szCs w:val="22"/>
              </w:rPr>
              <w:tab/>
            </w:r>
            <w:r w:rsidR="00C30658" w:rsidRPr="00700B3A">
              <w:rPr>
                <w:rStyle w:val="Hyperlink"/>
              </w:rPr>
              <w:t>Diagnosis-type and intervention-type variables</w:t>
            </w:r>
            <w:r w:rsidR="00C30658">
              <w:rPr>
                <w:webHidden/>
              </w:rPr>
              <w:tab/>
            </w:r>
            <w:r w:rsidR="003A3171">
              <w:rPr>
                <w:webHidden/>
              </w:rPr>
              <w:fldChar w:fldCharType="begin"/>
            </w:r>
            <w:r w:rsidR="00C30658">
              <w:rPr>
                <w:webHidden/>
              </w:rPr>
              <w:instrText xml:space="preserve"> PAGEREF _Toc494105977 \h </w:instrText>
            </w:r>
            <w:r w:rsidR="003A3171">
              <w:rPr>
                <w:webHidden/>
              </w:rPr>
            </w:r>
            <w:r w:rsidR="003A3171">
              <w:rPr>
                <w:webHidden/>
              </w:rPr>
              <w:fldChar w:fldCharType="separate"/>
            </w:r>
            <w:r w:rsidR="00F82B87">
              <w:rPr>
                <w:webHidden/>
              </w:rPr>
              <w:t>26</w:t>
            </w:r>
            <w:r w:rsidR="003A3171">
              <w:rPr>
                <w:webHidden/>
              </w:rPr>
              <w:fldChar w:fldCharType="end"/>
            </w:r>
          </w:hyperlink>
        </w:p>
        <w:p w:rsidR="00C30658" w:rsidRDefault="00A9090B">
          <w:pPr>
            <w:pStyle w:val="TOC2"/>
            <w:rPr>
              <w:rFonts w:asciiTheme="minorHAnsi" w:eastAsiaTheme="minorEastAsia" w:hAnsiTheme="minorHAnsi" w:cstheme="minorBidi"/>
              <w:szCs w:val="22"/>
            </w:rPr>
          </w:pPr>
          <w:hyperlink w:anchor="_Toc494105982" w:history="1">
            <w:r w:rsidR="00C30658" w:rsidRPr="00700B3A">
              <w:rPr>
                <w:rStyle w:val="Hyperlink"/>
              </w:rPr>
              <w:t>5.3</w:t>
            </w:r>
            <w:r w:rsidR="00C30658">
              <w:rPr>
                <w:rFonts w:asciiTheme="minorHAnsi" w:eastAsiaTheme="minorEastAsia" w:hAnsiTheme="minorHAnsi" w:cstheme="minorBidi"/>
                <w:szCs w:val="22"/>
              </w:rPr>
              <w:tab/>
            </w:r>
            <w:r w:rsidR="00C30658" w:rsidRPr="00700B3A">
              <w:rPr>
                <w:rStyle w:val="Hyperlink"/>
              </w:rPr>
              <w:t>Complexity variables</w:t>
            </w:r>
            <w:r w:rsidR="00C30658">
              <w:rPr>
                <w:webHidden/>
              </w:rPr>
              <w:tab/>
            </w:r>
            <w:r w:rsidR="003A3171">
              <w:rPr>
                <w:webHidden/>
              </w:rPr>
              <w:fldChar w:fldCharType="begin"/>
            </w:r>
            <w:r w:rsidR="00C30658">
              <w:rPr>
                <w:webHidden/>
              </w:rPr>
              <w:instrText xml:space="preserve"> PAGEREF _Toc494105982 \h </w:instrText>
            </w:r>
            <w:r w:rsidR="003A3171">
              <w:rPr>
                <w:webHidden/>
              </w:rPr>
            </w:r>
            <w:r w:rsidR="003A3171">
              <w:rPr>
                <w:webHidden/>
              </w:rPr>
              <w:fldChar w:fldCharType="separate"/>
            </w:r>
            <w:r w:rsidR="00F82B87">
              <w:rPr>
                <w:webHidden/>
              </w:rPr>
              <w:t>29</w:t>
            </w:r>
            <w:r w:rsidR="003A3171">
              <w:rPr>
                <w:webHidden/>
              </w:rPr>
              <w:fldChar w:fldCharType="end"/>
            </w:r>
          </w:hyperlink>
        </w:p>
        <w:p w:rsidR="00C30658" w:rsidRDefault="00A9090B">
          <w:pPr>
            <w:pStyle w:val="TOC1"/>
            <w:rPr>
              <w:rFonts w:asciiTheme="minorHAnsi" w:eastAsiaTheme="minorEastAsia" w:hAnsiTheme="minorHAnsi" w:cstheme="minorBidi"/>
              <w:szCs w:val="22"/>
            </w:rPr>
          </w:pPr>
          <w:hyperlink w:anchor="_Toc494105984" w:history="1">
            <w:r w:rsidR="00C30658" w:rsidRPr="00700B3A">
              <w:rPr>
                <w:rStyle w:val="Hyperlink"/>
              </w:rPr>
              <w:t>6.</w:t>
            </w:r>
            <w:r w:rsidR="00C30658">
              <w:rPr>
                <w:rFonts w:asciiTheme="minorHAnsi" w:eastAsiaTheme="minorEastAsia" w:hAnsiTheme="minorHAnsi" w:cstheme="minorBidi"/>
                <w:szCs w:val="22"/>
              </w:rPr>
              <w:tab/>
            </w:r>
            <w:r w:rsidR="00C30658" w:rsidRPr="00700B3A">
              <w:rPr>
                <w:rStyle w:val="Hyperlink"/>
              </w:rPr>
              <w:t>Next steps</w:t>
            </w:r>
            <w:r w:rsidR="00C30658">
              <w:rPr>
                <w:webHidden/>
              </w:rPr>
              <w:tab/>
            </w:r>
            <w:r w:rsidR="003A3171">
              <w:rPr>
                <w:webHidden/>
              </w:rPr>
              <w:fldChar w:fldCharType="begin"/>
            </w:r>
            <w:r w:rsidR="00C30658">
              <w:rPr>
                <w:webHidden/>
              </w:rPr>
              <w:instrText xml:space="preserve"> PAGEREF _Toc494105984 \h </w:instrText>
            </w:r>
            <w:r w:rsidR="003A3171">
              <w:rPr>
                <w:webHidden/>
              </w:rPr>
            </w:r>
            <w:r w:rsidR="003A3171">
              <w:rPr>
                <w:webHidden/>
              </w:rPr>
              <w:fldChar w:fldCharType="separate"/>
            </w:r>
            <w:r w:rsidR="00F82B87">
              <w:rPr>
                <w:webHidden/>
              </w:rPr>
              <w:t>32</w:t>
            </w:r>
            <w:r w:rsidR="003A3171">
              <w:rPr>
                <w:webHidden/>
              </w:rPr>
              <w:fldChar w:fldCharType="end"/>
            </w:r>
          </w:hyperlink>
        </w:p>
        <w:p w:rsidR="00C30658" w:rsidRDefault="00A9090B">
          <w:pPr>
            <w:pStyle w:val="TOC2"/>
            <w:rPr>
              <w:rFonts w:asciiTheme="minorHAnsi" w:eastAsiaTheme="minorEastAsia" w:hAnsiTheme="minorHAnsi" w:cstheme="minorBidi"/>
              <w:szCs w:val="22"/>
            </w:rPr>
          </w:pPr>
          <w:hyperlink w:anchor="_Toc494105985" w:history="1">
            <w:r w:rsidR="00C30658" w:rsidRPr="00700B3A">
              <w:rPr>
                <w:rStyle w:val="Hyperlink"/>
              </w:rPr>
              <w:t>6.1</w:t>
            </w:r>
            <w:r w:rsidR="00C30658">
              <w:rPr>
                <w:rFonts w:asciiTheme="minorHAnsi" w:eastAsiaTheme="minorEastAsia" w:hAnsiTheme="minorHAnsi" w:cstheme="minorBidi"/>
                <w:szCs w:val="22"/>
              </w:rPr>
              <w:tab/>
            </w:r>
            <w:r w:rsidR="00C30658" w:rsidRPr="00700B3A">
              <w:rPr>
                <w:rStyle w:val="Hyperlink"/>
              </w:rPr>
              <w:t>Consultation submissions</w:t>
            </w:r>
            <w:r w:rsidR="00C30658">
              <w:rPr>
                <w:webHidden/>
              </w:rPr>
              <w:tab/>
            </w:r>
            <w:r w:rsidR="003A3171">
              <w:rPr>
                <w:webHidden/>
              </w:rPr>
              <w:fldChar w:fldCharType="begin"/>
            </w:r>
            <w:r w:rsidR="00C30658">
              <w:rPr>
                <w:webHidden/>
              </w:rPr>
              <w:instrText xml:space="preserve"> PAGEREF _Toc494105985 \h </w:instrText>
            </w:r>
            <w:r w:rsidR="003A3171">
              <w:rPr>
                <w:webHidden/>
              </w:rPr>
            </w:r>
            <w:r w:rsidR="003A3171">
              <w:rPr>
                <w:webHidden/>
              </w:rPr>
              <w:fldChar w:fldCharType="separate"/>
            </w:r>
            <w:r w:rsidR="00F82B87">
              <w:rPr>
                <w:webHidden/>
              </w:rPr>
              <w:t>32</w:t>
            </w:r>
            <w:r w:rsidR="003A3171">
              <w:rPr>
                <w:webHidden/>
              </w:rPr>
              <w:fldChar w:fldCharType="end"/>
            </w:r>
          </w:hyperlink>
        </w:p>
        <w:p w:rsidR="00C30658" w:rsidRDefault="00A9090B">
          <w:pPr>
            <w:pStyle w:val="TOC1"/>
            <w:rPr>
              <w:rFonts w:asciiTheme="minorHAnsi" w:eastAsiaTheme="minorEastAsia" w:hAnsiTheme="minorHAnsi" w:cstheme="minorBidi"/>
              <w:szCs w:val="22"/>
            </w:rPr>
          </w:pPr>
          <w:hyperlink w:anchor="_Toc494105986" w:history="1">
            <w:r w:rsidR="00C30658" w:rsidRPr="00700B3A">
              <w:rPr>
                <w:rStyle w:val="Hyperlink"/>
              </w:rPr>
              <w:t>Appendix A: Proposed ANACC Groupings</w:t>
            </w:r>
            <w:r w:rsidR="00C30658">
              <w:rPr>
                <w:webHidden/>
              </w:rPr>
              <w:tab/>
            </w:r>
            <w:r w:rsidR="003A3171">
              <w:rPr>
                <w:webHidden/>
              </w:rPr>
              <w:fldChar w:fldCharType="begin"/>
            </w:r>
            <w:r w:rsidR="00C30658">
              <w:rPr>
                <w:webHidden/>
              </w:rPr>
              <w:instrText xml:space="preserve"> PAGEREF _Toc494105986 \h </w:instrText>
            </w:r>
            <w:r w:rsidR="003A3171">
              <w:rPr>
                <w:webHidden/>
              </w:rPr>
            </w:r>
            <w:r w:rsidR="003A3171">
              <w:rPr>
                <w:webHidden/>
              </w:rPr>
              <w:fldChar w:fldCharType="separate"/>
            </w:r>
            <w:r w:rsidR="00F82B87">
              <w:rPr>
                <w:webHidden/>
              </w:rPr>
              <w:t>33</w:t>
            </w:r>
            <w:r w:rsidR="003A3171">
              <w:rPr>
                <w:webHidden/>
              </w:rPr>
              <w:fldChar w:fldCharType="end"/>
            </w:r>
          </w:hyperlink>
        </w:p>
        <w:p w:rsidR="00333996" w:rsidRDefault="003A3171">
          <w:r>
            <w:rPr>
              <w:b/>
              <w:bCs/>
              <w:noProof/>
            </w:rPr>
            <w:fldChar w:fldCharType="end"/>
          </w:r>
        </w:p>
      </w:sdtContent>
    </w:sdt>
    <w:p w:rsidR="00333996" w:rsidRPr="003260B2" w:rsidRDefault="00333996" w:rsidP="003260B2">
      <w:r>
        <w:br w:type="page"/>
      </w:r>
    </w:p>
    <w:p w:rsidR="00721B06" w:rsidRPr="00721B06" w:rsidRDefault="00721B06" w:rsidP="00A360CE">
      <w:pPr>
        <w:pStyle w:val="Heading1"/>
      </w:pPr>
      <w:bookmarkStart w:id="4" w:name="_Toc494105946"/>
      <w:r>
        <w:lastRenderedPageBreak/>
        <w:t>Acronyms</w:t>
      </w:r>
      <w:bookmarkEnd w:id="4"/>
    </w:p>
    <w:p w:rsidR="00721B06" w:rsidRPr="00A40BF5" w:rsidRDefault="00251EE8" w:rsidP="00721B06">
      <w:pPr>
        <w:rPr>
          <w:rFonts w:cs="Arial"/>
        </w:rPr>
      </w:pPr>
      <w:r w:rsidRPr="00251EE8">
        <w:rPr>
          <w:rFonts w:cs="Arial"/>
          <w:b/>
        </w:rPr>
        <w:t>ABF</w:t>
      </w:r>
      <w:r>
        <w:rPr>
          <w:rFonts w:cs="Arial"/>
        </w:rPr>
        <w:tab/>
      </w:r>
      <w:r>
        <w:rPr>
          <w:rFonts w:cs="Arial"/>
        </w:rPr>
        <w:tab/>
      </w:r>
      <w:r>
        <w:rPr>
          <w:rFonts w:cs="Arial"/>
        </w:rPr>
        <w:tab/>
      </w:r>
      <w:r w:rsidR="00721B06" w:rsidRPr="00A40BF5">
        <w:rPr>
          <w:rFonts w:cs="Arial"/>
        </w:rPr>
        <w:t>Activity Based Funding</w:t>
      </w:r>
    </w:p>
    <w:p w:rsidR="00F010E2" w:rsidRDefault="00251EE8" w:rsidP="00721B06">
      <w:pPr>
        <w:rPr>
          <w:rFonts w:cs="Arial"/>
        </w:rPr>
      </w:pPr>
      <w:r w:rsidRPr="00251EE8">
        <w:rPr>
          <w:rFonts w:cs="Arial"/>
          <w:b/>
        </w:rPr>
        <w:t>ACT</w:t>
      </w:r>
      <w:r>
        <w:rPr>
          <w:rFonts w:cs="Arial"/>
        </w:rPr>
        <w:tab/>
      </w:r>
      <w:r>
        <w:rPr>
          <w:rFonts w:cs="Arial"/>
        </w:rPr>
        <w:tab/>
      </w:r>
      <w:r>
        <w:rPr>
          <w:rFonts w:cs="Arial"/>
        </w:rPr>
        <w:tab/>
      </w:r>
      <w:r w:rsidR="00F010E2">
        <w:rPr>
          <w:rFonts w:cs="Arial"/>
        </w:rPr>
        <w:t>Australian Capital Territory</w:t>
      </w:r>
    </w:p>
    <w:p w:rsidR="001401BF" w:rsidRPr="00A40BF5" w:rsidRDefault="001401BF" w:rsidP="00721B06">
      <w:pPr>
        <w:rPr>
          <w:rFonts w:cs="Arial"/>
        </w:rPr>
      </w:pPr>
      <w:r w:rsidRPr="00251EE8">
        <w:rPr>
          <w:rFonts w:cs="Arial"/>
          <w:b/>
        </w:rPr>
        <w:t>ADRG</w:t>
      </w:r>
      <w:r w:rsidR="00251EE8">
        <w:rPr>
          <w:rFonts w:cs="Arial"/>
          <w:b/>
        </w:rPr>
        <w:tab/>
      </w:r>
      <w:r w:rsidR="00251EE8">
        <w:rPr>
          <w:rFonts w:cs="Arial"/>
          <w:b/>
        </w:rPr>
        <w:tab/>
      </w:r>
      <w:r w:rsidR="00251EE8">
        <w:rPr>
          <w:rFonts w:cs="Arial"/>
          <w:b/>
        </w:rPr>
        <w:tab/>
      </w:r>
      <w:r>
        <w:rPr>
          <w:rFonts w:cs="Arial"/>
        </w:rPr>
        <w:t>Adjacent Diagnostic Related Group</w:t>
      </w:r>
    </w:p>
    <w:p w:rsidR="00073C2E" w:rsidRDefault="00251EE8" w:rsidP="00721B06">
      <w:pPr>
        <w:rPr>
          <w:rFonts w:cs="Arial"/>
        </w:rPr>
      </w:pPr>
      <w:r w:rsidRPr="00251EE8">
        <w:rPr>
          <w:rFonts w:cs="Arial"/>
          <w:b/>
        </w:rPr>
        <w:t>AIHW</w:t>
      </w:r>
      <w:r>
        <w:rPr>
          <w:rFonts w:cs="Arial"/>
        </w:rPr>
        <w:tab/>
      </w:r>
      <w:r>
        <w:rPr>
          <w:rFonts w:cs="Arial"/>
        </w:rPr>
        <w:tab/>
      </w:r>
      <w:r>
        <w:rPr>
          <w:rFonts w:cs="Arial"/>
        </w:rPr>
        <w:tab/>
      </w:r>
      <w:r w:rsidR="00E646B8">
        <w:rPr>
          <w:rFonts w:cs="Arial"/>
        </w:rPr>
        <w:t>Australian Institute of Health and Welfare</w:t>
      </w:r>
    </w:p>
    <w:p w:rsidR="00073C2E" w:rsidRDefault="00073C2E" w:rsidP="00721B06">
      <w:pPr>
        <w:rPr>
          <w:rFonts w:cs="Arial"/>
        </w:rPr>
      </w:pPr>
      <w:r w:rsidRPr="00251EE8">
        <w:rPr>
          <w:rFonts w:cs="Arial"/>
          <w:b/>
        </w:rPr>
        <w:t>AMHCC</w:t>
      </w:r>
      <w:r w:rsidR="00251EE8">
        <w:rPr>
          <w:rFonts w:cs="Arial"/>
          <w:b/>
        </w:rPr>
        <w:tab/>
      </w:r>
      <w:r w:rsidR="00251EE8">
        <w:rPr>
          <w:rFonts w:cs="Arial"/>
          <w:b/>
        </w:rPr>
        <w:tab/>
      </w:r>
      <w:r w:rsidR="00E646B8">
        <w:rPr>
          <w:rFonts w:cs="Arial"/>
        </w:rPr>
        <w:t>Australian Mental Health Care Classification</w:t>
      </w:r>
    </w:p>
    <w:p w:rsidR="00E646B8" w:rsidRPr="00A40BF5" w:rsidRDefault="00073C2E" w:rsidP="00721B06">
      <w:pPr>
        <w:rPr>
          <w:rFonts w:cs="Arial"/>
        </w:rPr>
      </w:pPr>
      <w:r w:rsidRPr="00251EE8">
        <w:rPr>
          <w:rFonts w:cs="Arial"/>
          <w:b/>
        </w:rPr>
        <w:t>AN-SNAP</w:t>
      </w:r>
      <w:r w:rsidR="00251EE8">
        <w:rPr>
          <w:rFonts w:cs="Arial"/>
        </w:rPr>
        <w:tab/>
      </w:r>
      <w:r w:rsidR="00251EE8">
        <w:rPr>
          <w:rFonts w:cs="Arial"/>
        </w:rPr>
        <w:tab/>
        <w:t>A</w:t>
      </w:r>
      <w:r w:rsidR="00E646B8">
        <w:rPr>
          <w:rFonts w:cs="Arial"/>
        </w:rPr>
        <w:t xml:space="preserve">ustralian </w:t>
      </w:r>
      <w:r w:rsidR="00E646B8" w:rsidRPr="00620238">
        <w:rPr>
          <w:rFonts w:cs="Arial"/>
          <w:iCs/>
          <w:szCs w:val="20"/>
        </w:rPr>
        <w:t>National Subacute and Non-Acute Patient</w:t>
      </w:r>
    </w:p>
    <w:p w:rsidR="00073C2E" w:rsidRDefault="00451460" w:rsidP="00721B06">
      <w:pPr>
        <w:rPr>
          <w:rFonts w:cs="Arial"/>
        </w:rPr>
      </w:pPr>
      <w:r w:rsidRPr="00251EE8">
        <w:rPr>
          <w:rFonts w:cs="Arial"/>
          <w:b/>
        </w:rPr>
        <w:t>AN</w:t>
      </w:r>
      <w:r w:rsidR="00251EE8" w:rsidRPr="00251EE8">
        <w:rPr>
          <w:rFonts w:cs="Arial"/>
          <w:b/>
        </w:rPr>
        <w:t>ACC</w:t>
      </w:r>
      <w:r w:rsidR="00251EE8">
        <w:rPr>
          <w:rFonts w:cs="Arial"/>
        </w:rPr>
        <w:tab/>
      </w:r>
      <w:r w:rsidR="00251EE8">
        <w:rPr>
          <w:rFonts w:cs="Arial"/>
        </w:rPr>
        <w:tab/>
      </w:r>
      <w:r>
        <w:rPr>
          <w:rFonts w:cs="Arial"/>
        </w:rPr>
        <w:t>Australian Non-Admitted Care Classification</w:t>
      </w:r>
    </w:p>
    <w:p w:rsidR="00721B06" w:rsidRPr="00A40BF5" w:rsidRDefault="00721B06" w:rsidP="00721B06">
      <w:pPr>
        <w:rPr>
          <w:rFonts w:cs="Arial"/>
        </w:rPr>
      </w:pPr>
      <w:r w:rsidRPr="00251EE8">
        <w:rPr>
          <w:rFonts w:cs="Arial"/>
          <w:b/>
        </w:rPr>
        <w:t>AR-DRG</w:t>
      </w:r>
      <w:r w:rsidR="00251EE8">
        <w:rPr>
          <w:rFonts w:cs="Arial"/>
          <w:b/>
        </w:rPr>
        <w:tab/>
      </w:r>
      <w:r w:rsidR="00251EE8">
        <w:rPr>
          <w:rFonts w:cs="Arial"/>
          <w:b/>
        </w:rPr>
        <w:tab/>
      </w:r>
      <w:r w:rsidRPr="00A40BF5">
        <w:rPr>
          <w:rFonts w:cs="Arial"/>
        </w:rPr>
        <w:t>Australian Refined Diagnosis Related Groups</w:t>
      </w:r>
    </w:p>
    <w:p w:rsidR="00451460" w:rsidRDefault="00451460" w:rsidP="00721B06">
      <w:pPr>
        <w:rPr>
          <w:rFonts w:cs="Arial"/>
        </w:rPr>
      </w:pPr>
      <w:r w:rsidRPr="00251EE8">
        <w:rPr>
          <w:rFonts w:cs="Arial"/>
          <w:b/>
        </w:rPr>
        <w:t>CAC</w:t>
      </w:r>
      <w:r w:rsidR="00251EE8">
        <w:rPr>
          <w:rFonts w:cs="Arial"/>
          <w:b/>
        </w:rPr>
        <w:tab/>
      </w:r>
      <w:r w:rsidR="00251EE8">
        <w:rPr>
          <w:rFonts w:cs="Arial"/>
          <w:b/>
        </w:rPr>
        <w:tab/>
      </w:r>
      <w:r w:rsidR="00251EE8">
        <w:rPr>
          <w:rFonts w:cs="Arial"/>
          <w:b/>
        </w:rPr>
        <w:tab/>
      </w:r>
      <w:r>
        <w:rPr>
          <w:rFonts w:cs="Arial"/>
        </w:rPr>
        <w:t>Clinical Advisory Committee</w:t>
      </w:r>
    </w:p>
    <w:p w:rsidR="00073C2E" w:rsidRDefault="00D32671" w:rsidP="00721B06">
      <w:pPr>
        <w:rPr>
          <w:rFonts w:cs="Arial"/>
        </w:rPr>
      </w:pPr>
      <w:r w:rsidRPr="00251EE8">
        <w:rPr>
          <w:rFonts w:cs="Arial"/>
          <w:b/>
        </w:rPr>
        <w:t>DVA</w:t>
      </w:r>
      <w:r w:rsidR="00251EE8">
        <w:rPr>
          <w:rFonts w:cs="Arial"/>
          <w:b/>
        </w:rPr>
        <w:tab/>
      </w:r>
      <w:r w:rsidR="00251EE8">
        <w:rPr>
          <w:rFonts w:cs="Arial"/>
          <w:b/>
        </w:rPr>
        <w:tab/>
      </w:r>
      <w:r w:rsidR="00251EE8">
        <w:rPr>
          <w:rFonts w:cs="Arial"/>
          <w:b/>
        </w:rPr>
        <w:tab/>
      </w:r>
      <w:r>
        <w:rPr>
          <w:rFonts w:cs="Arial"/>
        </w:rPr>
        <w:t>Department of Veteran</w:t>
      </w:r>
      <w:r w:rsidR="00073C2E">
        <w:rPr>
          <w:rFonts w:cs="Arial"/>
        </w:rPr>
        <w:t>s</w:t>
      </w:r>
      <w:r>
        <w:rPr>
          <w:rFonts w:cs="Arial"/>
        </w:rPr>
        <w:t>’</w:t>
      </w:r>
      <w:r w:rsidR="00073C2E">
        <w:rPr>
          <w:rFonts w:cs="Arial"/>
        </w:rPr>
        <w:t xml:space="preserve"> Affairs</w:t>
      </w:r>
    </w:p>
    <w:p w:rsidR="00073C2E" w:rsidRDefault="00073C2E" w:rsidP="00721B06">
      <w:pPr>
        <w:rPr>
          <w:rFonts w:cs="Arial"/>
        </w:rPr>
      </w:pPr>
      <w:r w:rsidRPr="00251EE8">
        <w:rPr>
          <w:rFonts w:cs="Arial"/>
          <w:b/>
        </w:rPr>
        <w:t>ED</w:t>
      </w:r>
      <w:r w:rsidR="00251EE8">
        <w:rPr>
          <w:rFonts w:cs="Arial"/>
          <w:b/>
        </w:rPr>
        <w:tab/>
      </w:r>
      <w:r w:rsidR="00251EE8">
        <w:rPr>
          <w:rFonts w:cs="Arial"/>
          <w:b/>
        </w:rPr>
        <w:tab/>
      </w:r>
      <w:r w:rsidR="00251EE8">
        <w:rPr>
          <w:rFonts w:cs="Arial"/>
          <w:b/>
        </w:rPr>
        <w:tab/>
      </w:r>
      <w:r>
        <w:rPr>
          <w:rFonts w:cs="Arial"/>
        </w:rPr>
        <w:t>Emergency Department</w:t>
      </w:r>
    </w:p>
    <w:p w:rsidR="00EC4921" w:rsidRDefault="00EC4921" w:rsidP="00721B06">
      <w:pPr>
        <w:rPr>
          <w:rFonts w:cs="Arial"/>
          <w:b/>
        </w:rPr>
      </w:pPr>
      <w:r>
        <w:rPr>
          <w:rFonts w:cs="Arial"/>
          <w:b/>
        </w:rPr>
        <w:t>eHRs</w:t>
      </w:r>
      <w:r>
        <w:rPr>
          <w:rFonts w:cs="Arial"/>
          <w:b/>
        </w:rPr>
        <w:tab/>
      </w:r>
      <w:r>
        <w:rPr>
          <w:rFonts w:cs="Arial"/>
          <w:b/>
        </w:rPr>
        <w:tab/>
      </w:r>
      <w:r>
        <w:rPr>
          <w:rFonts w:cs="Arial"/>
          <w:b/>
        </w:rPr>
        <w:tab/>
      </w:r>
      <w:r w:rsidRPr="00EC4921">
        <w:rPr>
          <w:rFonts w:cs="Arial"/>
        </w:rPr>
        <w:t>Electronic Health Records</w:t>
      </w:r>
    </w:p>
    <w:p w:rsidR="00721B06" w:rsidRDefault="00451460" w:rsidP="00721B06">
      <w:pPr>
        <w:rPr>
          <w:rFonts w:cs="Arial"/>
        </w:rPr>
      </w:pPr>
      <w:r w:rsidRPr="00251EE8">
        <w:rPr>
          <w:rFonts w:cs="Arial"/>
          <w:b/>
        </w:rPr>
        <w:t>e</w:t>
      </w:r>
      <w:r w:rsidR="00721B06" w:rsidRPr="00251EE8">
        <w:rPr>
          <w:rFonts w:cs="Arial"/>
          <w:b/>
        </w:rPr>
        <w:t>MRs</w:t>
      </w:r>
      <w:r w:rsidR="00251EE8">
        <w:rPr>
          <w:rFonts w:cs="Arial"/>
          <w:b/>
        </w:rPr>
        <w:tab/>
      </w:r>
      <w:r w:rsidR="00251EE8">
        <w:rPr>
          <w:rFonts w:cs="Arial"/>
          <w:b/>
        </w:rPr>
        <w:tab/>
      </w:r>
      <w:r w:rsidR="00251EE8">
        <w:rPr>
          <w:rFonts w:cs="Arial"/>
          <w:b/>
        </w:rPr>
        <w:tab/>
      </w:r>
      <w:r w:rsidR="00721B06" w:rsidRPr="00A40BF5">
        <w:rPr>
          <w:rFonts w:cs="Arial"/>
        </w:rPr>
        <w:t>Electronic Medical Records</w:t>
      </w:r>
    </w:p>
    <w:p w:rsidR="00073C2E" w:rsidRPr="00A40BF5" w:rsidRDefault="00073C2E" w:rsidP="00721B06">
      <w:pPr>
        <w:rPr>
          <w:rFonts w:cs="Arial"/>
        </w:rPr>
      </w:pPr>
      <w:r w:rsidRPr="00251EE8">
        <w:rPr>
          <w:rFonts w:cs="Arial"/>
          <w:b/>
        </w:rPr>
        <w:t>ePIP</w:t>
      </w:r>
      <w:r w:rsidR="00251EE8">
        <w:rPr>
          <w:rFonts w:cs="Arial"/>
          <w:b/>
        </w:rPr>
        <w:tab/>
      </w:r>
      <w:r w:rsidR="00251EE8">
        <w:rPr>
          <w:rFonts w:cs="Arial"/>
          <w:b/>
        </w:rPr>
        <w:tab/>
      </w:r>
      <w:r w:rsidR="00251EE8">
        <w:rPr>
          <w:rFonts w:cs="Arial"/>
          <w:b/>
        </w:rPr>
        <w:tab/>
      </w:r>
      <w:r w:rsidRPr="00343BDF">
        <w:rPr>
          <w:rFonts w:cstheme="minorHAnsi"/>
        </w:rPr>
        <w:t>Practice Incentives Program</w:t>
      </w:r>
      <w:r>
        <w:rPr>
          <w:rFonts w:cstheme="minorHAnsi"/>
        </w:rPr>
        <w:t xml:space="preserve"> </w:t>
      </w:r>
    </w:p>
    <w:p w:rsidR="00073C2E" w:rsidRDefault="00073C2E" w:rsidP="00721B06">
      <w:pPr>
        <w:rPr>
          <w:rFonts w:cs="Arial"/>
        </w:rPr>
      </w:pPr>
      <w:r w:rsidRPr="00251EE8">
        <w:rPr>
          <w:rFonts w:cs="Arial"/>
          <w:b/>
        </w:rPr>
        <w:t>EY</w:t>
      </w:r>
      <w:r w:rsidR="00251EE8">
        <w:rPr>
          <w:rFonts w:cs="Arial"/>
          <w:b/>
        </w:rPr>
        <w:tab/>
      </w:r>
      <w:r w:rsidR="00251EE8">
        <w:rPr>
          <w:rFonts w:cs="Arial"/>
        </w:rPr>
        <w:tab/>
      </w:r>
      <w:r w:rsidR="00251EE8">
        <w:rPr>
          <w:rFonts w:cs="Arial"/>
        </w:rPr>
        <w:tab/>
        <w:t>E</w:t>
      </w:r>
      <w:r>
        <w:rPr>
          <w:rFonts w:cs="Arial"/>
        </w:rPr>
        <w:t xml:space="preserve">rnst &amp; Young </w:t>
      </w:r>
    </w:p>
    <w:p w:rsidR="00073C2E" w:rsidRDefault="00073C2E" w:rsidP="00721B06">
      <w:pPr>
        <w:rPr>
          <w:rFonts w:cs="Arial"/>
        </w:rPr>
      </w:pPr>
      <w:r w:rsidRPr="00251EE8">
        <w:rPr>
          <w:rFonts w:cs="Arial"/>
          <w:b/>
        </w:rPr>
        <w:t>GP</w:t>
      </w:r>
      <w:r w:rsidR="00251EE8">
        <w:rPr>
          <w:rFonts w:cs="Arial"/>
          <w:b/>
        </w:rPr>
        <w:tab/>
      </w:r>
      <w:r w:rsidR="00251EE8">
        <w:rPr>
          <w:rFonts w:cs="Arial"/>
          <w:b/>
        </w:rPr>
        <w:tab/>
      </w:r>
      <w:r w:rsidR="00251EE8">
        <w:rPr>
          <w:rFonts w:cs="Arial"/>
          <w:b/>
        </w:rPr>
        <w:tab/>
      </w:r>
      <w:r>
        <w:rPr>
          <w:rFonts w:cs="Arial"/>
        </w:rPr>
        <w:t xml:space="preserve">General </w:t>
      </w:r>
      <w:r w:rsidR="00E646B8">
        <w:rPr>
          <w:rFonts w:cs="Arial"/>
        </w:rPr>
        <w:t>Practitioner</w:t>
      </w:r>
    </w:p>
    <w:p w:rsidR="00451460" w:rsidRDefault="00251EE8" w:rsidP="00721B06">
      <w:pPr>
        <w:rPr>
          <w:rFonts w:cs="Arial"/>
        </w:rPr>
      </w:pPr>
      <w:r w:rsidRPr="00251EE8">
        <w:rPr>
          <w:rFonts w:cs="Arial"/>
          <w:b/>
        </w:rPr>
        <w:t>HITH</w:t>
      </w:r>
      <w:r>
        <w:rPr>
          <w:rFonts w:cs="Arial"/>
        </w:rPr>
        <w:tab/>
      </w:r>
      <w:r>
        <w:rPr>
          <w:rFonts w:cs="Arial"/>
        </w:rPr>
        <w:tab/>
      </w:r>
      <w:r>
        <w:rPr>
          <w:rFonts w:cs="Arial"/>
        </w:rPr>
        <w:tab/>
      </w:r>
      <w:r w:rsidR="00451460">
        <w:rPr>
          <w:rFonts w:cs="Arial"/>
        </w:rPr>
        <w:t>Hospital in the Home</w:t>
      </w:r>
    </w:p>
    <w:p w:rsidR="00721B06" w:rsidRPr="00A40BF5" w:rsidRDefault="00721B06" w:rsidP="00251EE8">
      <w:pPr>
        <w:ind w:left="2205" w:hanging="2205"/>
        <w:rPr>
          <w:rFonts w:cs="Arial"/>
        </w:rPr>
      </w:pPr>
      <w:r w:rsidRPr="00251EE8">
        <w:rPr>
          <w:rFonts w:cs="Arial"/>
          <w:b/>
        </w:rPr>
        <w:t>ICD-10-AM</w:t>
      </w:r>
      <w:r w:rsidR="00251EE8">
        <w:rPr>
          <w:rFonts w:cs="Arial"/>
        </w:rPr>
        <w:tab/>
      </w:r>
      <w:r w:rsidR="00251EE8">
        <w:rPr>
          <w:rFonts w:cs="Arial"/>
        </w:rPr>
        <w:tab/>
      </w:r>
      <w:r w:rsidRPr="00A40BF5">
        <w:rPr>
          <w:rFonts w:cs="Arial"/>
        </w:rPr>
        <w:t>The International Statistical</w:t>
      </w:r>
      <w:r>
        <w:rPr>
          <w:rFonts w:cs="Arial"/>
        </w:rPr>
        <w:t xml:space="preserve"> Classification of Diseases and </w:t>
      </w:r>
      <w:r w:rsidRPr="00A40BF5">
        <w:rPr>
          <w:rFonts w:cs="Arial"/>
        </w:rPr>
        <w:t>Related Health Problems, Tenth Revision, Australian Modification</w:t>
      </w:r>
    </w:p>
    <w:p w:rsidR="00721B06" w:rsidRPr="00A40BF5" w:rsidRDefault="00251EE8" w:rsidP="00251EE8">
      <w:pPr>
        <w:ind w:left="2205" w:hanging="2205"/>
        <w:rPr>
          <w:rFonts w:cs="Arial"/>
        </w:rPr>
      </w:pPr>
      <w:r w:rsidRPr="00251EE8">
        <w:rPr>
          <w:rFonts w:cs="Arial"/>
          <w:b/>
        </w:rPr>
        <w:t>ICD-11</w:t>
      </w:r>
      <w:r w:rsidRPr="00251EE8">
        <w:rPr>
          <w:rFonts w:cs="Arial"/>
          <w:b/>
        </w:rPr>
        <w:tab/>
      </w:r>
      <w:r>
        <w:rPr>
          <w:rFonts w:cs="Arial"/>
        </w:rPr>
        <w:tab/>
      </w:r>
      <w:r w:rsidR="00721B06" w:rsidRPr="00A40BF5">
        <w:rPr>
          <w:rFonts w:cs="Arial"/>
        </w:rPr>
        <w:t xml:space="preserve">The International Statistical Classification </w:t>
      </w:r>
      <w:r w:rsidR="00721B06">
        <w:rPr>
          <w:rFonts w:cs="Arial"/>
        </w:rPr>
        <w:t xml:space="preserve">of Diseases and Related Health </w:t>
      </w:r>
      <w:r w:rsidR="00721B06" w:rsidRPr="00A40BF5">
        <w:rPr>
          <w:rFonts w:cs="Arial"/>
        </w:rPr>
        <w:t>Problems, Eleventh Revision (Draft)</w:t>
      </w:r>
    </w:p>
    <w:p w:rsidR="00451460" w:rsidRDefault="00451460" w:rsidP="00721B06">
      <w:pPr>
        <w:rPr>
          <w:rFonts w:cs="Arial"/>
        </w:rPr>
      </w:pPr>
      <w:r w:rsidRPr="00251EE8">
        <w:rPr>
          <w:rFonts w:cs="Arial"/>
          <w:b/>
        </w:rPr>
        <w:t>IHPA</w:t>
      </w:r>
      <w:r w:rsidR="00251EE8">
        <w:rPr>
          <w:rFonts w:cs="Arial"/>
        </w:rPr>
        <w:tab/>
      </w:r>
      <w:r w:rsidR="00251EE8">
        <w:rPr>
          <w:rFonts w:cs="Arial"/>
        </w:rPr>
        <w:tab/>
      </w:r>
      <w:r w:rsidR="00251EE8">
        <w:rPr>
          <w:rFonts w:cs="Arial"/>
        </w:rPr>
        <w:tab/>
      </w:r>
      <w:r>
        <w:rPr>
          <w:rFonts w:cs="Arial"/>
        </w:rPr>
        <w:t>Independent Hospital Pricing Authority</w:t>
      </w:r>
    </w:p>
    <w:p w:rsidR="00451460" w:rsidRDefault="00451460" w:rsidP="00721B06">
      <w:pPr>
        <w:rPr>
          <w:rFonts w:cs="Arial"/>
        </w:rPr>
      </w:pPr>
      <w:r w:rsidRPr="00251EE8">
        <w:rPr>
          <w:rFonts w:cs="Arial"/>
          <w:b/>
        </w:rPr>
        <w:t>JAC</w:t>
      </w:r>
      <w:r w:rsidR="00251EE8">
        <w:rPr>
          <w:rFonts w:cs="Arial"/>
          <w:b/>
        </w:rPr>
        <w:tab/>
      </w:r>
      <w:r w:rsidR="00251EE8">
        <w:rPr>
          <w:rFonts w:cs="Arial"/>
          <w:b/>
        </w:rPr>
        <w:tab/>
      </w:r>
      <w:r w:rsidR="00251EE8">
        <w:rPr>
          <w:rFonts w:cs="Arial"/>
          <w:b/>
        </w:rPr>
        <w:tab/>
      </w:r>
      <w:r>
        <w:rPr>
          <w:rFonts w:cs="Arial"/>
        </w:rPr>
        <w:t>Jurisdictional Advisory Committee</w:t>
      </w:r>
    </w:p>
    <w:p w:rsidR="00451460" w:rsidRDefault="00451460" w:rsidP="00721B06">
      <w:pPr>
        <w:rPr>
          <w:rFonts w:cs="Arial"/>
        </w:rPr>
      </w:pPr>
      <w:r w:rsidRPr="00251EE8">
        <w:rPr>
          <w:rFonts w:cs="Arial"/>
          <w:b/>
        </w:rPr>
        <w:t>LHN</w:t>
      </w:r>
      <w:r w:rsidR="00251EE8">
        <w:rPr>
          <w:rFonts w:cs="Arial"/>
          <w:b/>
        </w:rPr>
        <w:tab/>
      </w:r>
      <w:r w:rsidR="00251EE8">
        <w:rPr>
          <w:rFonts w:cs="Arial"/>
          <w:b/>
        </w:rPr>
        <w:tab/>
      </w:r>
      <w:r w:rsidR="00251EE8">
        <w:rPr>
          <w:rFonts w:cs="Arial"/>
          <w:b/>
        </w:rPr>
        <w:tab/>
      </w:r>
      <w:r>
        <w:rPr>
          <w:rFonts w:cs="Arial"/>
        </w:rPr>
        <w:t>Local Hospital Network</w:t>
      </w:r>
    </w:p>
    <w:p w:rsidR="001401BF" w:rsidRDefault="001401BF" w:rsidP="00721B06">
      <w:pPr>
        <w:rPr>
          <w:rFonts w:cs="Arial"/>
        </w:rPr>
      </w:pPr>
      <w:r w:rsidRPr="00251EE8">
        <w:rPr>
          <w:rFonts w:cs="Arial"/>
          <w:b/>
        </w:rPr>
        <w:t>MDCs</w:t>
      </w:r>
      <w:r w:rsidR="00251EE8">
        <w:rPr>
          <w:rFonts w:cs="Arial"/>
          <w:b/>
        </w:rPr>
        <w:tab/>
      </w:r>
      <w:r w:rsidR="00251EE8">
        <w:rPr>
          <w:rFonts w:cs="Arial"/>
          <w:b/>
        </w:rPr>
        <w:tab/>
      </w:r>
      <w:r w:rsidR="00251EE8">
        <w:rPr>
          <w:rFonts w:cs="Arial"/>
          <w:b/>
        </w:rPr>
        <w:tab/>
      </w:r>
      <w:r>
        <w:rPr>
          <w:rFonts w:cs="Arial"/>
        </w:rPr>
        <w:t>Major Diagnostic Categories</w:t>
      </w:r>
    </w:p>
    <w:p w:rsidR="00451460" w:rsidRDefault="00451460" w:rsidP="00721B06">
      <w:pPr>
        <w:rPr>
          <w:rFonts w:cs="Arial"/>
        </w:rPr>
      </w:pPr>
      <w:r w:rsidRPr="00251EE8">
        <w:rPr>
          <w:rFonts w:cs="Arial"/>
          <w:b/>
        </w:rPr>
        <w:t>NACAWG</w:t>
      </w:r>
      <w:r w:rsidR="00251EE8">
        <w:rPr>
          <w:rFonts w:cs="Arial"/>
          <w:b/>
        </w:rPr>
        <w:tab/>
      </w:r>
      <w:r w:rsidR="00251EE8">
        <w:rPr>
          <w:rFonts w:cs="Arial"/>
          <w:b/>
        </w:rPr>
        <w:tab/>
      </w:r>
      <w:r>
        <w:rPr>
          <w:rFonts w:cs="Arial"/>
        </w:rPr>
        <w:t>Non-Admitted Care Advisory Working Group</w:t>
      </w:r>
    </w:p>
    <w:p w:rsidR="00073C2E" w:rsidRDefault="00073C2E" w:rsidP="00721B06">
      <w:pPr>
        <w:rPr>
          <w:rFonts w:cs="Arial"/>
        </w:rPr>
      </w:pPr>
      <w:r w:rsidRPr="00251EE8">
        <w:rPr>
          <w:rFonts w:cs="Arial"/>
          <w:b/>
        </w:rPr>
        <w:t>NEC</w:t>
      </w:r>
      <w:r w:rsidR="00251EE8">
        <w:rPr>
          <w:rFonts w:cs="Arial"/>
          <w:b/>
        </w:rPr>
        <w:tab/>
      </w:r>
      <w:r w:rsidR="00251EE8">
        <w:rPr>
          <w:rFonts w:cs="Arial"/>
          <w:b/>
        </w:rPr>
        <w:tab/>
      </w:r>
      <w:r w:rsidR="00251EE8">
        <w:rPr>
          <w:rFonts w:cs="Arial"/>
          <w:b/>
        </w:rPr>
        <w:tab/>
      </w:r>
      <w:r>
        <w:rPr>
          <w:rFonts w:cs="Arial"/>
        </w:rPr>
        <w:t xml:space="preserve">National Efficient Cost </w:t>
      </w:r>
    </w:p>
    <w:p w:rsidR="00073C2E" w:rsidRDefault="00251EE8" w:rsidP="00721B06">
      <w:pPr>
        <w:rPr>
          <w:rFonts w:cs="Arial"/>
        </w:rPr>
      </w:pPr>
      <w:r w:rsidRPr="00251EE8">
        <w:rPr>
          <w:rFonts w:cs="Arial"/>
          <w:b/>
        </w:rPr>
        <w:t>NEP</w:t>
      </w:r>
      <w:r>
        <w:rPr>
          <w:rFonts w:cs="Arial"/>
        </w:rPr>
        <w:tab/>
      </w:r>
      <w:r>
        <w:rPr>
          <w:rFonts w:cs="Arial"/>
        </w:rPr>
        <w:tab/>
      </w:r>
      <w:r>
        <w:rPr>
          <w:rFonts w:cs="Arial"/>
        </w:rPr>
        <w:tab/>
      </w:r>
      <w:r w:rsidR="00073C2E">
        <w:rPr>
          <w:rFonts w:cs="Arial"/>
        </w:rPr>
        <w:t>National Efficient Price</w:t>
      </w:r>
    </w:p>
    <w:p w:rsidR="00451460" w:rsidRDefault="00451460" w:rsidP="00721B06">
      <w:pPr>
        <w:rPr>
          <w:rFonts w:cs="Arial"/>
        </w:rPr>
      </w:pPr>
      <w:r w:rsidRPr="00251EE8">
        <w:rPr>
          <w:rFonts w:cs="Arial"/>
          <w:b/>
        </w:rPr>
        <w:t>NHCDC</w:t>
      </w:r>
      <w:r w:rsidR="00251EE8">
        <w:rPr>
          <w:rFonts w:cs="Arial"/>
          <w:b/>
        </w:rPr>
        <w:tab/>
      </w:r>
      <w:r w:rsidR="00251EE8">
        <w:rPr>
          <w:rFonts w:cs="Arial"/>
          <w:b/>
        </w:rPr>
        <w:tab/>
      </w:r>
      <w:r>
        <w:rPr>
          <w:rFonts w:cs="Arial"/>
        </w:rPr>
        <w:t>N</w:t>
      </w:r>
      <w:r>
        <w:t xml:space="preserve">ational Hospital Cost Data Collection </w:t>
      </w:r>
    </w:p>
    <w:p w:rsidR="00451460" w:rsidRDefault="00251EE8" w:rsidP="00721B06">
      <w:pPr>
        <w:rPr>
          <w:rFonts w:cs="Arial"/>
        </w:rPr>
      </w:pPr>
      <w:r w:rsidRPr="00251EE8">
        <w:rPr>
          <w:rFonts w:cs="Arial"/>
          <w:b/>
        </w:rPr>
        <w:t>NHRA</w:t>
      </w:r>
      <w:r>
        <w:rPr>
          <w:rFonts w:cs="Arial"/>
        </w:rPr>
        <w:tab/>
      </w:r>
      <w:r>
        <w:rPr>
          <w:rFonts w:cs="Arial"/>
        </w:rPr>
        <w:tab/>
      </w:r>
      <w:r>
        <w:rPr>
          <w:rFonts w:cs="Arial"/>
        </w:rPr>
        <w:tab/>
      </w:r>
      <w:r w:rsidR="00451460" w:rsidRPr="00194908">
        <w:t>National Health Reform Agreement</w:t>
      </w:r>
    </w:p>
    <w:p w:rsidR="00721B06" w:rsidRPr="00A40BF5" w:rsidRDefault="00721B06" w:rsidP="00721B06">
      <w:pPr>
        <w:rPr>
          <w:rFonts w:cs="Arial"/>
        </w:rPr>
      </w:pPr>
      <w:r w:rsidRPr="00251EE8">
        <w:rPr>
          <w:rFonts w:cs="Arial"/>
          <w:b/>
        </w:rPr>
        <w:t>NSW</w:t>
      </w:r>
      <w:r w:rsidR="00251EE8">
        <w:rPr>
          <w:rFonts w:cs="Arial"/>
          <w:b/>
        </w:rPr>
        <w:tab/>
      </w:r>
      <w:r w:rsidR="00251EE8">
        <w:rPr>
          <w:rFonts w:cs="Arial"/>
          <w:b/>
        </w:rPr>
        <w:tab/>
      </w:r>
      <w:r w:rsidR="00251EE8">
        <w:rPr>
          <w:rFonts w:cs="Arial"/>
          <w:b/>
        </w:rPr>
        <w:tab/>
      </w:r>
      <w:r w:rsidRPr="00A40BF5">
        <w:rPr>
          <w:rFonts w:cs="Arial"/>
        </w:rPr>
        <w:t>New South Wales</w:t>
      </w:r>
    </w:p>
    <w:p w:rsidR="00F010E2" w:rsidRDefault="00F010E2" w:rsidP="00721B06">
      <w:pPr>
        <w:rPr>
          <w:rFonts w:cs="Arial"/>
        </w:rPr>
      </w:pPr>
      <w:r w:rsidRPr="00251EE8">
        <w:rPr>
          <w:rFonts w:cs="Arial"/>
          <w:b/>
        </w:rPr>
        <w:t>NT</w:t>
      </w:r>
      <w:r w:rsidR="00251EE8">
        <w:rPr>
          <w:rFonts w:cs="Arial"/>
          <w:b/>
        </w:rPr>
        <w:tab/>
      </w:r>
      <w:r w:rsidR="00251EE8">
        <w:rPr>
          <w:rFonts w:cs="Arial"/>
          <w:b/>
        </w:rPr>
        <w:tab/>
      </w:r>
      <w:r w:rsidR="00251EE8">
        <w:rPr>
          <w:rFonts w:cs="Arial"/>
          <w:b/>
        </w:rPr>
        <w:tab/>
      </w:r>
      <w:r>
        <w:rPr>
          <w:rFonts w:cs="Arial"/>
        </w:rPr>
        <w:t>Northern Territory</w:t>
      </w:r>
    </w:p>
    <w:p w:rsidR="00721B06" w:rsidRPr="00A40BF5" w:rsidRDefault="00251EE8" w:rsidP="00721B06">
      <w:pPr>
        <w:rPr>
          <w:rFonts w:cs="Arial"/>
        </w:rPr>
      </w:pPr>
      <w:r w:rsidRPr="00251EE8">
        <w:rPr>
          <w:rFonts w:cs="Arial"/>
          <w:b/>
        </w:rPr>
        <w:lastRenderedPageBreak/>
        <w:t>Qld</w:t>
      </w:r>
      <w:r>
        <w:rPr>
          <w:rFonts w:cs="Arial"/>
        </w:rPr>
        <w:tab/>
      </w:r>
      <w:r>
        <w:rPr>
          <w:rFonts w:cs="Arial"/>
        </w:rPr>
        <w:tab/>
      </w:r>
      <w:r>
        <w:rPr>
          <w:rFonts w:cs="Arial"/>
        </w:rPr>
        <w:tab/>
      </w:r>
      <w:r w:rsidR="00721B06" w:rsidRPr="00A40BF5">
        <w:rPr>
          <w:rFonts w:cs="Arial"/>
        </w:rPr>
        <w:t>Queensland</w:t>
      </w:r>
    </w:p>
    <w:p w:rsidR="001401BF" w:rsidRDefault="001401BF" w:rsidP="00721B06">
      <w:pPr>
        <w:rPr>
          <w:rFonts w:cs="Arial"/>
        </w:rPr>
      </w:pPr>
      <w:r w:rsidRPr="00251EE8">
        <w:rPr>
          <w:rFonts w:cs="Arial"/>
          <w:b/>
        </w:rPr>
        <w:t>RfE</w:t>
      </w:r>
      <w:r w:rsidR="00251EE8">
        <w:rPr>
          <w:rFonts w:cs="Arial"/>
        </w:rPr>
        <w:tab/>
      </w:r>
      <w:r w:rsidR="00251EE8">
        <w:rPr>
          <w:rFonts w:cs="Arial"/>
        </w:rPr>
        <w:tab/>
      </w:r>
      <w:r w:rsidR="00251EE8">
        <w:rPr>
          <w:rFonts w:cs="Arial"/>
        </w:rPr>
        <w:tab/>
      </w:r>
      <w:r>
        <w:rPr>
          <w:rFonts w:cs="Arial"/>
        </w:rPr>
        <w:t xml:space="preserve">Reason for Encounter </w:t>
      </w:r>
    </w:p>
    <w:p w:rsidR="00721B06" w:rsidRDefault="00721B06" w:rsidP="00721B06">
      <w:pPr>
        <w:rPr>
          <w:rFonts w:cs="Arial"/>
        </w:rPr>
      </w:pPr>
      <w:r w:rsidRPr="00251EE8">
        <w:rPr>
          <w:rFonts w:cs="Arial"/>
          <w:b/>
        </w:rPr>
        <w:t>SA</w:t>
      </w:r>
      <w:r w:rsidR="00251EE8">
        <w:rPr>
          <w:rFonts w:cs="Arial"/>
        </w:rPr>
        <w:tab/>
      </w:r>
      <w:r w:rsidR="00251EE8">
        <w:rPr>
          <w:rFonts w:cs="Arial"/>
        </w:rPr>
        <w:tab/>
      </w:r>
      <w:r w:rsidR="00251EE8">
        <w:rPr>
          <w:rFonts w:cs="Arial"/>
        </w:rPr>
        <w:tab/>
      </w:r>
      <w:r w:rsidRPr="00A40BF5">
        <w:rPr>
          <w:rFonts w:cs="Arial"/>
        </w:rPr>
        <w:t>South Australia</w:t>
      </w:r>
    </w:p>
    <w:p w:rsidR="0076574B" w:rsidRPr="0076574B" w:rsidRDefault="0076574B" w:rsidP="00721B06">
      <w:pPr>
        <w:rPr>
          <w:rFonts w:cs="Arial"/>
        </w:rPr>
      </w:pPr>
      <w:r>
        <w:rPr>
          <w:b/>
        </w:rPr>
        <w:t>SNOMED CT-AU</w:t>
      </w:r>
      <w:r>
        <w:rPr>
          <w:b/>
        </w:rPr>
        <w:tab/>
      </w:r>
      <w:r w:rsidRPr="0076574B">
        <w:t>Systemised Nomenclature of Medicine</w:t>
      </w:r>
      <w:r w:rsidR="00040F0F">
        <w:t xml:space="preserve"> – Clinical Terms – Australia</w:t>
      </w:r>
    </w:p>
    <w:p w:rsidR="00451460" w:rsidRPr="00A40BF5" w:rsidRDefault="00451460" w:rsidP="00721B06">
      <w:pPr>
        <w:rPr>
          <w:rFonts w:cs="Arial"/>
        </w:rPr>
      </w:pPr>
      <w:r w:rsidRPr="00251EE8">
        <w:rPr>
          <w:rFonts w:cs="Arial"/>
          <w:b/>
        </w:rPr>
        <w:t>TAC</w:t>
      </w:r>
      <w:r w:rsidR="00251EE8">
        <w:rPr>
          <w:rFonts w:cs="Arial"/>
          <w:b/>
        </w:rPr>
        <w:tab/>
      </w:r>
      <w:r w:rsidR="00251EE8">
        <w:rPr>
          <w:rFonts w:cs="Arial"/>
          <w:b/>
        </w:rPr>
        <w:tab/>
      </w:r>
      <w:r w:rsidR="00251EE8">
        <w:rPr>
          <w:rFonts w:cs="Arial"/>
          <w:b/>
        </w:rPr>
        <w:tab/>
      </w:r>
      <w:r>
        <w:rPr>
          <w:rFonts w:cs="Arial"/>
        </w:rPr>
        <w:t>Technical Advisory Committee</w:t>
      </w:r>
    </w:p>
    <w:p w:rsidR="00721B06" w:rsidRDefault="00721B06" w:rsidP="00721B06">
      <w:pPr>
        <w:rPr>
          <w:rFonts w:cs="Arial"/>
        </w:rPr>
      </w:pPr>
      <w:r w:rsidRPr="00252F84">
        <w:rPr>
          <w:rFonts w:cs="Arial"/>
          <w:b/>
        </w:rPr>
        <w:t>Tas</w:t>
      </w:r>
      <w:r w:rsidR="00252F84">
        <w:rPr>
          <w:rFonts w:cs="Arial"/>
          <w:b/>
        </w:rPr>
        <w:tab/>
      </w:r>
      <w:r w:rsidR="00252F84">
        <w:rPr>
          <w:rFonts w:cs="Arial"/>
          <w:b/>
        </w:rPr>
        <w:tab/>
      </w:r>
      <w:r w:rsidR="00252F84">
        <w:rPr>
          <w:rFonts w:cs="Arial"/>
          <w:b/>
        </w:rPr>
        <w:tab/>
      </w:r>
      <w:r w:rsidRPr="00A40BF5">
        <w:rPr>
          <w:rFonts w:cs="Arial"/>
        </w:rPr>
        <w:t>Tasmania</w:t>
      </w:r>
    </w:p>
    <w:p w:rsidR="00451460" w:rsidRPr="00A40BF5" w:rsidRDefault="00451460" w:rsidP="00721B06">
      <w:pPr>
        <w:rPr>
          <w:rFonts w:cs="Arial"/>
        </w:rPr>
      </w:pPr>
      <w:r w:rsidRPr="00252F84">
        <w:rPr>
          <w:rFonts w:cs="Arial"/>
          <w:b/>
        </w:rPr>
        <w:t>Tier 2</w:t>
      </w:r>
      <w:r w:rsidR="00252F84">
        <w:rPr>
          <w:rFonts w:cs="Arial"/>
          <w:b/>
        </w:rPr>
        <w:tab/>
      </w:r>
      <w:r w:rsidR="00252F84">
        <w:rPr>
          <w:rFonts w:cs="Arial"/>
          <w:b/>
        </w:rPr>
        <w:tab/>
      </w:r>
      <w:r w:rsidR="00252F84">
        <w:rPr>
          <w:rFonts w:cs="Arial"/>
          <w:b/>
        </w:rPr>
        <w:tab/>
      </w:r>
      <w:r>
        <w:rPr>
          <w:rFonts w:cs="Arial"/>
        </w:rPr>
        <w:t xml:space="preserve">Tier 2 Non-Admitted </w:t>
      </w:r>
      <w:r w:rsidR="00A87A5E">
        <w:rPr>
          <w:rFonts w:cs="Arial"/>
        </w:rPr>
        <w:t xml:space="preserve">Care </w:t>
      </w:r>
      <w:r>
        <w:rPr>
          <w:rFonts w:cs="Arial"/>
        </w:rPr>
        <w:t>Services Classification</w:t>
      </w:r>
    </w:p>
    <w:p w:rsidR="00073C2E" w:rsidRDefault="00252F84" w:rsidP="00721B06">
      <w:pPr>
        <w:rPr>
          <w:rFonts w:cs="Arial"/>
        </w:rPr>
      </w:pPr>
      <w:r>
        <w:rPr>
          <w:rFonts w:cs="Arial"/>
          <w:b/>
        </w:rPr>
        <w:t>UDGs</w:t>
      </w:r>
      <w:r>
        <w:rPr>
          <w:rFonts w:cs="Arial"/>
          <w:b/>
        </w:rPr>
        <w:tab/>
      </w:r>
      <w:r>
        <w:rPr>
          <w:rFonts w:cs="Arial"/>
          <w:b/>
        </w:rPr>
        <w:tab/>
      </w:r>
      <w:r>
        <w:rPr>
          <w:rFonts w:cs="Arial"/>
          <w:b/>
        </w:rPr>
        <w:tab/>
      </w:r>
      <w:r w:rsidR="00073C2E">
        <w:rPr>
          <w:rFonts w:cs="Arial"/>
        </w:rPr>
        <w:t>Urgency Disposition Groups</w:t>
      </w:r>
    </w:p>
    <w:p w:rsidR="00073C2E" w:rsidRDefault="00073C2E" w:rsidP="00721B06">
      <w:pPr>
        <w:rPr>
          <w:rFonts w:cs="Arial"/>
        </w:rPr>
      </w:pPr>
      <w:r w:rsidRPr="00252F84">
        <w:rPr>
          <w:rFonts w:cs="Arial"/>
          <w:b/>
        </w:rPr>
        <w:t>URGs</w:t>
      </w:r>
      <w:r w:rsidR="00252F84">
        <w:rPr>
          <w:rFonts w:cs="Arial"/>
        </w:rPr>
        <w:tab/>
      </w:r>
      <w:r w:rsidR="00252F84">
        <w:rPr>
          <w:rFonts w:cs="Arial"/>
        </w:rPr>
        <w:tab/>
      </w:r>
      <w:r w:rsidR="00252F84">
        <w:rPr>
          <w:rFonts w:cs="Arial"/>
        </w:rPr>
        <w:tab/>
      </w:r>
      <w:r>
        <w:rPr>
          <w:rFonts w:cs="Arial"/>
        </w:rPr>
        <w:t>Urgency Related Groups</w:t>
      </w:r>
    </w:p>
    <w:p w:rsidR="00721B06" w:rsidRPr="00A40BF5" w:rsidRDefault="00721B06" w:rsidP="00721B06">
      <w:pPr>
        <w:rPr>
          <w:rFonts w:cs="Arial"/>
        </w:rPr>
      </w:pPr>
      <w:r w:rsidRPr="00252F84">
        <w:rPr>
          <w:rFonts w:cs="Arial"/>
          <w:b/>
        </w:rPr>
        <w:t>Vic</w:t>
      </w:r>
      <w:r w:rsidR="00252F84">
        <w:rPr>
          <w:rFonts w:cs="Arial"/>
        </w:rPr>
        <w:tab/>
      </w:r>
      <w:r w:rsidR="00252F84">
        <w:rPr>
          <w:rFonts w:cs="Arial"/>
        </w:rPr>
        <w:tab/>
      </w:r>
      <w:r w:rsidR="00252F84">
        <w:rPr>
          <w:rFonts w:cs="Arial"/>
        </w:rPr>
        <w:tab/>
      </w:r>
      <w:r w:rsidRPr="00A40BF5">
        <w:rPr>
          <w:rFonts w:cs="Arial"/>
        </w:rPr>
        <w:t xml:space="preserve">Victoria </w:t>
      </w:r>
    </w:p>
    <w:p w:rsidR="00451460" w:rsidRPr="00A40BF5" w:rsidRDefault="00721B06" w:rsidP="00721B06">
      <w:pPr>
        <w:rPr>
          <w:rFonts w:cs="Arial"/>
        </w:rPr>
      </w:pPr>
      <w:r w:rsidRPr="00252F84">
        <w:rPr>
          <w:rFonts w:cs="Arial"/>
          <w:b/>
        </w:rPr>
        <w:t>WA</w:t>
      </w:r>
      <w:r w:rsidR="00252F84">
        <w:rPr>
          <w:rFonts w:cs="Arial"/>
          <w:b/>
        </w:rPr>
        <w:tab/>
      </w:r>
      <w:r w:rsidR="00252F84">
        <w:rPr>
          <w:rFonts w:cs="Arial"/>
          <w:b/>
        </w:rPr>
        <w:tab/>
      </w:r>
      <w:r w:rsidR="00252F84">
        <w:rPr>
          <w:rFonts w:cs="Arial"/>
          <w:b/>
        </w:rPr>
        <w:tab/>
      </w:r>
      <w:r w:rsidRPr="00A40BF5">
        <w:rPr>
          <w:rFonts w:cs="Arial"/>
        </w:rPr>
        <w:t>Western Australia</w:t>
      </w:r>
    </w:p>
    <w:p w:rsidR="00721B06" w:rsidRDefault="00721B06">
      <w:pPr>
        <w:spacing w:before="0" w:after="0" w:line="240" w:lineRule="auto"/>
        <w:rPr>
          <w:rFonts w:asciiTheme="majorHAnsi" w:hAnsiTheme="majorHAnsi"/>
          <w:b/>
          <w:sz w:val="64"/>
          <w:szCs w:val="44"/>
        </w:rPr>
      </w:pPr>
      <w:r>
        <w:br w:type="page"/>
      </w:r>
    </w:p>
    <w:p w:rsidR="004B4BC0" w:rsidRPr="00A360CE" w:rsidRDefault="00B04A18" w:rsidP="00A360CE">
      <w:pPr>
        <w:pStyle w:val="Heading1"/>
        <w:numPr>
          <w:ilvl w:val="0"/>
          <w:numId w:val="69"/>
        </w:numPr>
      </w:pPr>
      <w:bookmarkStart w:id="5" w:name="_Toc494105947"/>
      <w:r w:rsidRPr="00A360CE">
        <w:lastRenderedPageBreak/>
        <w:t xml:space="preserve">Executive </w:t>
      </w:r>
      <w:r w:rsidR="00004932">
        <w:t>s</w:t>
      </w:r>
      <w:r w:rsidRPr="00A360CE">
        <w:t>ummary</w:t>
      </w:r>
      <w:bookmarkEnd w:id="5"/>
    </w:p>
    <w:p w:rsidR="0073424C" w:rsidRDefault="0073424C" w:rsidP="006C74B4">
      <w:pPr>
        <w:rPr>
          <w:rFonts w:cs="Arial"/>
          <w:color w:val="000000"/>
        </w:rPr>
      </w:pPr>
      <w:r w:rsidRPr="006C74B4">
        <w:rPr>
          <w:rFonts w:cs="Arial"/>
          <w:color w:val="000000"/>
        </w:rPr>
        <w:t xml:space="preserve">The Independent Hospital Pricing Authority (IHPA) is an independent government agency established by the Commonwealth as part of the implementation of the National Health Reform Agreement 2011 (NHRA). The NHRA requires that IHPA, amongst other functions, develop and specify the classifications for services provided by public hospitals to be funded under an </w:t>
      </w:r>
      <w:r w:rsidR="006C74B4">
        <w:rPr>
          <w:rFonts w:cs="Arial"/>
          <w:color w:val="000000"/>
        </w:rPr>
        <w:br/>
        <w:t>a</w:t>
      </w:r>
      <w:r w:rsidRPr="006C74B4">
        <w:rPr>
          <w:rFonts w:cs="Arial"/>
          <w:color w:val="000000"/>
        </w:rPr>
        <w:t>ctivity</w:t>
      </w:r>
      <w:r w:rsidR="006C74B4">
        <w:rPr>
          <w:rFonts w:cs="Arial"/>
          <w:color w:val="000000"/>
        </w:rPr>
        <w:t>-b</w:t>
      </w:r>
      <w:r w:rsidRPr="006C74B4">
        <w:rPr>
          <w:rFonts w:cs="Arial"/>
          <w:color w:val="000000"/>
        </w:rPr>
        <w:t xml:space="preserve">ased </w:t>
      </w:r>
      <w:r w:rsidR="006C74B4">
        <w:rPr>
          <w:rFonts w:cs="Arial"/>
          <w:color w:val="000000"/>
        </w:rPr>
        <w:t>f</w:t>
      </w:r>
      <w:r w:rsidRPr="006C74B4">
        <w:rPr>
          <w:rFonts w:cs="Arial"/>
          <w:color w:val="000000"/>
        </w:rPr>
        <w:t>unding (ABF) arrangement. IHPA undertakes reviews and updates of existing classifications and is also responsible for introducing new classifications.</w:t>
      </w:r>
    </w:p>
    <w:p w:rsidR="00C1446A" w:rsidRDefault="00C1446A" w:rsidP="00C1446A">
      <w:pPr>
        <w:rPr>
          <w:rFonts w:cs="Arial"/>
          <w:color w:val="000000"/>
        </w:rPr>
      </w:pPr>
      <w:r>
        <w:rPr>
          <w:rFonts w:cs="Arial"/>
          <w:color w:val="000000"/>
        </w:rPr>
        <w:t xml:space="preserve">The Australian Non-Admitted Care Classification (ANACC) is a new activity based classification being developed by IHPA to replace the existing Tier 2 Non-Admitted Services Classification system (Tier 2). The ANACC system </w:t>
      </w:r>
      <w:r w:rsidR="00A565B9">
        <w:rPr>
          <w:rFonts w:cs="Arial"/>
          <w:color w:val="000000"/>
        </w:rPr>
        <w:t>is being developed to</w:t>
      </w:r>
      <w:r>
        <w:rPr>
          <w:rFonts w:cs="Arial"/>
          <w:color w:val="000000"/>
        </w:rPr>
        <w:t xml:space="preserve"> provide an evidence-based classification system for non-admitted care services and</w:t>
      </w:r>
      <w:r w:rsidR="00347ECF">
        <w:rPr>
          <w:rFonts w:cs="Arial"/>
          <w:color w:val="000000"/>
        </w:rPr>
        <w:t xml:space="preserve"> </w:t>
      </w:r>
      <w:r w:rsidRPr="002716FA">
        <w:rPr>
          <w:rFonts w:cs="Arial"/>
          <w:color w:val="000000"/>
        </w:rPr>
        <w:t xml:space="preserve">IHPA’s role is to ensure it has the capacity to take account of structural and technological changes, and </w:t>
      </w:r>
      <w:r w:rsidR="00A565B9">
        <w:rPr>
          <w:rFonts w:cs="Arial"/>
          <w:color w:val="000000"/>
        </w:rPr>
        <w:t>supports</w:t>
      </w:r>
      <w:r w:rsidRPr="002716FA">
        <w:rPr>
          <w:rFonts w:cs="Arial"/>
          <w:color w:val="000000"/>
        </w:rPr>
        <w:t xml:space="preserve"> funding and deliver</w:t>
      </w:r>
      <w:r>
        <w:rPr>
          <w:rFonts w:cs="Arial"/>
          <w:color w:val="000000"/>
        </w:rPr>
        <w:t>y of</w:t>
      </w:r>
      <w:r w:rsidRPr="002716FA">
        <w:rPr>
          <w:rFonts w:cs="Arial"/>
          <w:color w:val="000000"/>
        </w:rPr>
        <w:t xml:space="preserve"> high quality care.</w:t>
      </w:r>
      <w:r>
        <w:rPr>
          <w:rFonts w:cs="Arial"/>
          <w:color w:val="000000"/>
        </w:rPr>
        <w:t xml:space="preserve"> </w:t>
      </w:r>
    </w:p>
    <w:p w:rsidR="00C1446A" w:rsidRDefault="001D4F22" w:rsidP="00C1446A">
      <w:pPr>
        <w:spacing w:before="0" w:after="240" w:line="240" w:lineRule="auto"/>
      </w:pPr>
      <w:r>
        <w:rPr>
          <w:rFonts w:cs="Arial"/>
          <w:color w:val="000000"/>
        </w:rPr>
        <w:t>This stakeholder</w:t>
      </w:r>
      <w:r w:rsidR="00C1446A" w:rsidRPr="006C74B4">
        <w:rPr>
          <w:rFonts w:cs="Arial"/>
          <w:color w:val="000000"/>
        </w:rPr>
        <w:t xml:space="preserve"> consultation paper seeks stakeholders’ views </w:t>
      </w:r>
      <w:r w:rsidR="00C1446A">
        <w:t>on the potential characteristics of the ANACC system</w:t>
      </w:r>
      <w:r w:rsidR="00273D9B">
        <w:t>, i</w:t>
      </w:r>
      <w:r w:rsidR="0075754D">
        <w:t>ncluding</w:t>
      </w:r>
      <w:r w:rsidR="00A565B9">
        <w:t xml:space="preserve"> </w:t>
      </w:r>
      <w:r w:rsidR="00214CBE">
        <w:t xml:space="preserve">the </w:t>
      </w:r>
      <w:r w:rsidR="00A565B9">
        <w:t>patient condition and intervention characteristics</w:t>
      </w:r>
      <w:r w:rsidR="00C1446A">
        <w:t xml:space="preserve"> that </w:t>
      </w:r>
      <w:r w:rsidR="00214CBE">
        <w:t xml:space="preserve">will form </w:t>
      </w:r>
      <w:r w:rsidR="009D1CF3">
        <w:t xml:space="preserve">the key concepts </w:t>
      </w:r>
      <w:r w:rsidR="00B272E0">
        <w:t>in</w:t>
      </w:r>
      <w:r w:rsidR="00214CBE">
        <w:t xml:space="preserve"> the classification</w:t>
      </w:r>
      <w:r w:rsidR="00B272E0">
        <w:t xml:space="preserve"> hierarchy</w:t>
      </w:r>
      <w:r w:rsidR="00C56FBE">
        <w:t xml:space="preserve">. </w:t>
      </w:r>
      <w:r w:rsidR="00C1446A">
        <w:t xml:space="preserve">The paper describes the changing non-admitted care landscape in Australia. Issues considered include Australia’s demographic challenges and how this is impacting healthcare and service delivery, </w:t>
      </w:r>
      <w:r w:rsidR="00C56FBE">
        <w:t xml:space="preserve">changes to the types of services provided in the </w:t>
      </w:r>
      <w:r w:rsidR="00C1446A">
        <w:t>admitted, non-admitted and primary care</w:t>
      </w:r>
      <w:r w:rsidR="00C56FBE">
        <w:t xml:space="preserve"> settings</w:t>
      </w:r>
      <w:r w:rsidR="00C1446A">
        <w:t>, innovations in models of care including chronic disease management and the impacts of digital transformation on data reporting and patient services.</w:t>
      </w:r>
      <w:r w:rsidR="006A7110">
        <w:t xml:space="preserve"> </w:t>
      </w:r>
      <w:r w:rsidR="006A7110" w:rsidRPr="00F2449B">
        <w:rPr>
          <w:lang w:val="en-US" w:eastAsia="ja-JP"/>
        </w:rPr>
        <w:t xml:space="preserve">IHPA is seeking </w:t>
      </w:r>
      <w:r w:rsidR="006A7110">
        <w:rPr>
          <w:lang w:val="en-US" w:eastAsia="ja-JP"/>
        </w:rPr>
        <w:t xml:space="preserve">written </w:t>
      </w:r>
      <w:r w:rsidR="006A7110" w:rsidRPr="00F2449B">
        <w:rPr>
          <w:lang w:val="en-US" w:eastAsia="ja-JP"/>
        </w:rPr>
        <w:t xml:space="preserve">comments on </w:t>
      </w:r>
      <w:r w:rsidR="006A7110">
        <w:rPr>
          <w:lang w:val="en-US" w:eastAsia="ja-JP"/>
        </w:rPr>
        <w:t>a</w:t>
      </w:r>
      <w:r w:rsidR="006A7110">
        <w:t xml:space="preserve"> series of questions posed throughout the paper. </w:t>
      </w:r>
    </w:p>
    <w:p w:rsidR="00221822" w:rsidRPr="006C74B4" w:rsidRDefault="00221822" w:rsidP="006C74B4">
      <w:pPr>
        <w:rPr>
          <w:rFonts w:cs="Arial"/>
          <w:color w:val="000000"/>
        </w:rPr>
      </w:pPr>
      <w:r w:rsidRPr="006C74B4">
        <w:rPr>
          <w:rFonts w:cs="Arial"/>
          <w:color w:val="000000"/>
        </w:rPr>
        <w:t xml:space="preserve">Non-admitted services play an integral role within the health care continuum, supporting providers to seek alternative methods of </w:t>
      </w:r>
      <w:r w:rsidR="001372BF">
        <w:rPr>
          <w:rFonts w:cs="Arial"/>
          <w:color w:val="000000"/>
        </w:rPr>
        <w:t xml:space="preserve">patient </w:t>
      </w:r>
      <w:r w:rsidRPr="006C74B4">
        <w:rPr>
          <w:rFonts w:cs="Arial"/>
          <w:color w:val="000000"/>
        </w:rPr>
        <w:t xml:space="preserve">care </w:t>
      </w:r>
      <w:r w:rsidR="001372BF">
        <w:rPr>
          <w:rFonts w:cs="Arial"/>
          <w:color w:val="000000"/>
        </w:rPr>
        <w:t>delivery</w:t>
      </w:r>
      <w:r w:rsidR="001372BF" w:rsidRPr="006C74B4">
        <w:rPr>
          <w:rFonts w:cs="Arial"/>
          <w:color w:val="000000"/>
        </w:rPr>
        <w:t xml:space="preserve"> </w:t>
      </w:r>
      <w:r w:rsidRPr="006C74B4">
        <w:rPr>
          <w:rFonts w:cs="Arial"/>
          <w:color w:val="000000"/>
        </w:rPr>
        <w:t xml:space="preserve">outside the admitted patient hospital setting. Better aligning and integrating community-based programs to support discharge from admitted services and to prevent or substitute </w:t>
      </w:r>
      <w:r w:rsidR="006613DC">
        <w:rPr>
          <w:rFonts w:cs="Arial"/>
          <w:color w:val="000000"/>
        </w:rPr>
        <w:t xml:space="preserve">the need for an individual to be </w:t>
      </w:r>
      <w:r w:rsidRPr="006C74B4">
        <w:rPr>
          <w:rFonts w:cs="Arial"/>
          <w:color w:val="000000"/>
        </w:rPr>
        <w:t>hospitalis</w:t>
      </w:r>
      <w:r w:rsidR="006613DC">
        <w:rPr>
          <w:rFonts w:cs="Arial"/>
          <w:color w:val="000000"/>
        </w:rPr>
        <w:t>ed</w:t>
      </w:r>
      <w:r w:rsidRPr="006C74B4">
        <w:rPr>
          <w:rFonts w:cs="Arial"/>
          <w:color w:val="000000"/>
        </w:rPr>
        <w:t xml:space="preserve"> is a key focus of policy and program development across Australia.</w:t>
      </w:r>
      <w:r w:rsidR="006A7110">
        <w:rPr>
          <w:rFonts w:cs="Arial"/>
          <w:color w:val="000000"/>
        </w:rPr>
        <w:t xml:space="preserve"> Such a focus</w:t>
      </w:r>
      <w:r w:rsidR="006A7110">
        <w:t xml:space="preserve"> underlines the importance of ensuring that classification systems do not create a barrier for innovation or create artificial provider-centric boundaries.</w:t>
      </w:r>
    </w:p>
    <w:p w:rsidR="001372BF" w:rsidRDefault="00A565B9" w:rsidP="007D043D">
      <w:pPr>
        <w:rPr>
          <w:rFonts w:cs="Arial"/>
          <w:color w:val="000000"/>
        </w:rPr>
      </w:pPr>
      <w:r>
        <w:rPr>
          <w:rFonts w:cs="Arial"/>
          <w:color w:val="000000"/>
        </w:rPr>
        <w:t>Currently, n</w:t>
      </w:r>
      <w:r w:rsidR="007D043D">
        <w:rPr>
          <w:rFonts w:cs="Arial"/>
          <w:color w:val="000000"/>
        </w:rPr>
        <w:t xml:space="preserve">on-admitted </w:t>
      </w:r>
      <w:r w:rsidR="00C277F6">
        <w:rPr>
          <w:rFonts w:cs="Arial"/>
          <w:color w:val="000000"/>
        </w:rPr>
        <w:t xml:space="preserve">hospital </w:t>
      </w:r>
      <w:r w:rsidR="007D043D">
        <w:rPr>
          <w:rFonts w:cs="Arial"/>
          <w:color w:val="000000"/>
        </w:rPr>
        <w:t xml:space="preserve">care services are classified using Tier 2. It has been widely recognised that Tier 2 is not an ideal classification system for non-admitted care services for the purposes of ABF, research and broader support of policy objectives in the longer term, and </w:t>
      </w:r>
      <w:r w:rsidR="005175F1">
        <w:rPr>
          <w:rFonts w:cs="Arial"/>
          <w:color w:val="000000"/>
        </w:rPr>
        <w:t xml:space="preserve">was introduced as an interim measure for activity funding given </w:t>
      </w:r>
      <w:r w:rsidR="007D043D">
        <w:rPr>
          <w:rFonts w:cs="Arial"/>
          <w:color w:val="000000"/>
        </w:rPr>
        <w:t>that there are no suitable classification systems for non-admitted care services available nationally or internationally.</w:t>
      </w:r>
      <w:r w:rsidR="001372BF">
        <w:rPr>
          <w:rFonts w:cs="Arial"/>
          <w:color w:val="000000"/>
        </w:rPr>
        <w:t xml:space="preserve"> </w:t>
      </w:r>
      <w:r w:rsidR="005175F1">
        <w:rPr>
          <w:rFonts w:cs="Arial"/>
          <w:color w:val="000000"/>
        </w:rPr>
        <w:t>F</w:t>
      </w:r>
      <w:r w:rsidR="001372BF">
        <w:rPr>
          <w:rFonts w:cs="Arial"/>
          <w:color w:val="000000"/>
        </w:rPr>
        <w:t xml:space="preserve">ollowing a </w:t>
      </w:r>
      <w:r w:rsidR="007D043D">
        <w:rPr>
          <w:rFonts w:cs="Arial"/>
          <w:color w:val="000000"/>
        </w:rPr>
        <w:t xml:space="preserve">review of </w:t>
      </w:r>
      <w:r w:rsidR="00710EBC">
        <w:rPr>
          <w:rFonts w:cs="Arial"/>
          <w:color w:val="000000"/>
        </w:rPr>
        <w:t xml:space="preserve">Tier 2 </w:t>
      </w:r>
      <w:r w:rsidR="007D043D">
        <w:rPr>
          <w:rFonts w:cs="Arial"/>
          <w:color w:val="000000"/>
        </w:rPr>
        <w:t>in 2014</w:t>
      </w:r>
      <w:r w:rsidR="001372BF">
        <w:rPr>
          <w:rFonts w:cs="Arial"/>
          <w:color w:val="000000"/>
        </w:rPr>
        <w:t xml:space="preserve">, </w:t>
      </w:r>
      <w:r>
        <w:rPr>
          <w:rFonts w:cs="Arial"/>
          <w:color w:val="000000"/>
        </w:rPr>
        <w:t>it was</w:t>
      </w:r>
      <w:r w:rsidR="001372BF">
        <w:rPr>
          <w:rFonts w:cs="Arial"/>
          <w:color w:val="000000"/>
        </w:rPr>
        <w:t xml:space="preserve"> recommend</w:t>
      </w:r>
      <w:r>
        <w:rPr>
          <w:rFonts w:cs="Arial"/>
          <w:color w:val="000000"/>
        </w:rPr>
        <w:t>ed</w:t>
      </w:r>
      <w:r w:rsidR="001372BF">
        <w:rPr>
          <w:rFonts w:cs="Arial"/>
          <w:color w:val="000000"/>
        </w:rPr>
        <w:t xml:space="preserve"> </w:t>
      </w:r>
      <w:r w:rsidR="00A65B76">
        <w:rPr>
          <w:rFonts w:cs="Arial"/>
          <w:color w:val="000000"/>
        </w:rPr>
        <w:t>that IHPA</w:t>
      </w:r>
      <w:r w:rsidR="001372BF">
        <w:rPr>
          <w:rFonts w:cs="Arial"/>
          <w:color w:val="000000"/>
        </w:rPr>
        <w:t xml:space="preserve"> commence the</w:t>
      </w:r>
      <w:r w:rsidR="00214CBE">
        <w:rPr>
          <w:rFonts w:cs="Arial"/>
          <w:color w:val="000000"/>
        </w:rPr>
        <w:t xml:space="preserve"> </w:t>
      </w:r>
      <w:r w:rsidR="007D043D">
        <w:t>develop</w:t>
      </w:r>
      <w:r w:rsidR="001372BF">
        <w:t>ment of</w:t>
      </w:r>
      <w:r w:rsidR="007D043D">
        <w:t xml:space="preserve"> a new non-admitted care classification system. This recommendation was supported by states and territories</w:t>
      </w:r>
      <w:r w:rsidR="001372BF">
        <w:t xml:space="preserve"> and subsequently, </w:t>
      </w:r>
      <w:r w:rsidR="001372BF">
        <w:rPr>
          <w:rFonts w:cs="Arial"/>
          <w:color w:val="000000"/>
        </w:rPr>
        <w:t>i</w:t>
      </w:r>
      <w:r w:rsidR="007D043D">
        <w:rPr>
          <w:rFonts w:cs="Arial"/>
          <w:color w:val="000000"/>
        </w:rPr>
        <w:t>n Mar</w:t>
      </w:r>
      <w:r w:rsidR="00A5280B">
        <w:rPr>
          <w:rFonts w:cs="Arial"/>
          <w:color w:val="000000"/>
        </w:rPr>
        <w:t xml:space="preserve">ch 2014, the Pricing Authority </w:t>
      </w:r>
      <w:r w:rsidR="007D043D">
        <w:rPr>
          <w:rFonts w:cs="Arial"/>
          <w:color w:val="000000"/>
        </w:rPr>
        <w:t>approved the development of the ANACC system.</w:t>
      </w:r>
    </w:p>
    <w:p w:rsidR="002165A1" w:rsidRPr="006C74B4" w:rsidRDefault="006C6082" w:rsidP="002165A1">
      <w:r>
        <w:t>The ANACC system is being developed</w:t>
      </w:r>
      <w:r w:rsidR="00C277F6">
        <w:t xml:space="preserve"> </w:t>
      </w:r>
      <w:r>
        <w:t xml:space="preserve">as a long-term classification for non-admitted care. It is intended to be a patient-based classification and, </w:t>
      </w:r>
      <w:r w:rsidRPr="00D45DD7">
        <w:t>where possible</w:t>
      </w:r>
      <w:r>
        <w:t>, will</w:t>
      </w:r>
      <w:r w:rsidRPr="00D45DD7">
        <w:t xml:space="preserve"> be based on data elements that reflect the characteristic</w:t>
      </w:r>
      <w:r>
        <w:t>s</w:t>
      </w:r>
      <w:r w:rsidRPr="00D45DD7">
        <w:t xml:space="preserve"> of patients rather than characteristics of the service provider or inputs to care</w:t>
      </w:r>
      <w:r>
        <w:t xml:space="preserve">. </w:t>
      </w:r>
      <w:r w:rsidR="00710EBC">
        <w:t>Introducing a patient-based classification</w:t>
      </w:r>
      <w:r w:rsidR="00C277F6">
        <w:t xml:space="preserve"> </w:t>
      </w:r>
      <w:r>
        <w:t>is</w:t>
      </w:r>
      <w:r w:rsidR="00C277F6">
        <w:t xml:space="preserve"> </w:t>
      </w:r>
      <w:r>
        <w:t>a significant departure from the current, provider-centric, Tier 2 classification</w:t>
      </w:r>
      <w:r w:rsidR="009D1CF3">
        <w:t xml:space="preserve"> and is an approach to classifying non admitted care which will be flexible enough to</w:t>
      </w:r>
      <w:r w:rsidR="008D48EF">
        <w:t xml:space="preserve"> </w:t>
      </w:r>
      <w:r w:rsidR="009D1CF3">
        <w:t xml:space="preserve">grow with the changing </w:t>
      </w:r>
      <w:r w:rsidR="00C277F6">
        <w:t xml:space="preserve">care delivery </w:t>
      </w:r>
      <w:r w:rsidR="009D1CF3">
        <w:t>models</w:t>
      </w:r>
      <w:r>
        <w:t>.</w:t>
      </w:r>
      <w:r w:rsidR="002165A1" w:rsidRPr="002165A1">
        <w:t xml:space="preserve"> </w:t>
      </w:r>
      <w:r w:rsidR="002165A1">
        <w:t xml:space="preserve">IHPA proposes to </w:t>
      </w:r>
      <w:r w:rsidR="002165A1">
        <w:lastRenderedPageBreak/>
        <w:t xml:space="preserve">use a set of general classification principles to ensure the classification is meaningful for patients, clinicians and jurisdictions. The ANACC system will be designed to allow for </w:t>
      </w:r>
      <w:r w:rsidR="002165A1" w:rsidRPr="006C74B4">
        <w:t xml:space="preserve">the collection and analysis of crucial data to </w:t>
      </w:r>
      <w:r w:rsidR="002165A1">
        <w:t>support</w:t>
      </w:r>
      <w:r w:rsidR="002165A1" w:rsidRPr="006C74B4">
        <w:t xml:space="preserve"> policies on </w:t>
      </w:r>
      <w:r w:rsidR="002165A1" w:rsidRPr="00C30658">
        <w:t>funding, budgeting</w:t>
      </w:r>
      <w:r w:rsidR="002165A1">
        <w:t>,</w:t>
      </w:r>
      <w:r w:rsidR="002165A1" w:rsidRPr="006C74B4">
        <w:t xml:space="preserve"> cost</w:t>
      </w:r>
      <w:r w:rsidR="002165A1">
        <w:t xml:space="preserve"> analysis and models of care</w:t>
      </w:r>
      <w:r w:rsidR="002165A1" w:rsidRPr="006C74B4">
        <w:t xml:space="preserve"> in the non-admitted care sector. </w:t>
      </w:r>
    </w:p>
    <w:p w:rsidR="00DC6598" w:rsidRPr="006C74B4" w:rsidRDefault="00221822" w:rsidP="00221822">
      <w:pPr>
        <w:rPr>
          <w:rFonts w:cs="Arial"/>
          <w:color w:val="000000"/>
        </w:rPr>
      </w:pPr>
      <w:r>
        <w:t xml:space="preserve">A wide range of non-admitted care services </w:t>
      </w:r>
      <w:r w:rsidR="00401CFB">
        <w:t>are</w:t>
      </w:r>
      <w:r>
        <w:t xml:space="preserve"> considered to be in-scope for ANACC, such as hospital outpatient clinics, community-based clinics, services provided in patients’ homes and non-admitted subacute services. Mental health care is considered out of scope for non-admitted care a</w:t>
      </w:r>
      <w:r w:rsidR="002165A1">
        <w:t xml:space="preserve">nd will be </w:t>
      </w:r>
      <w:r>
        <w:t>classified through the Australian Mental Health Care Classification (AMHCC).</w:t>
      </w:r>
    </w:p>
    <w:p w:rsidR="0073424C" w:rsidRPr="006C74B4" w:rsidRDefault="0073424C" w:rsidP="006C74B4">
      <w:pPr>
        <w:rPr>
          <w:rFonts w:cs="Arial"/>
          <w:color w:val="000000"/>
        </w:rPr>
      </w:pPr>
      <w:r w:rsidRPr="006C74B4">
        <w:rPr>
          <w:rFonts w:cs="Arial"/>
          <w:color w:val="000000"/>
        </w:rPr>
        <w:t>Pricing of</w:t>
      </w:r>
      <w:r w:rsidR="008E5FE6" w:rsidRPr="006C74B4">
        <w:rPr>
          <w:rFonts w:cs="Arial"/>
          <w:color w:val="000000"/>
        </w:rPr>
        <w:t xml:space="preserve"> non-admitted care services</w:t>
      </w:r>
      <w:r w:rsidRPr="006C74B4">
        <w:rPr>
          <w:rFonts w:cs="Arial"/>
          <w:color w:val="000000"/>
        </w:rPr>
        <w:t xml:space="preserve"> is a separate matter. IHPA consults on approaches to pricing public hospital services through its annual consultation on the Pricing Framework for Australian Public Hospital Services. Following development of </w:t>
      </w:r>
      <w:r w:rsidR="008E5FE6">
        <w:rPr>
          <w:rFonts w:cs="Arial"/>
          <w:color w:val="000000"/>
        </w:rPr>
        <w:t xml:space="preserve">ANACC </w:t>
      </w:r>
      <w:r w:rsidRPr="006C74B4">
        <w:rPr>
          <w:rFonts w:cs="Arial"/>
          <w:color w:val="000000"/>
        </w:rPr>
        <w:t>and the availability of activity and cost data through the ongoing ABF data collection, IHPA will seek views on a pricing approach.</w:t>
      </w:r>
    </w:p>
    <w:p w:rsidR="0073424C" w:rsidRPr="0064379C" w:rsidRDefault="0073424C" w:rsidP="0073424C">
      <w:pPr>
        <w:pStyle w:val="Heading2"/>
      </w:pPr>
      <w:bookmarkStart w:id="6" w:name="_Toc488332243"/>
      <w:bookmarkStart w:id="7" w:name="_Toc494105864"/>
      <w:bookmarkStart w:id="8" w:name="_Toc494105948"/>
      <w:r w:rsidRPr="0064379C">
        <w:t>Submissions</w:t>
      </w:r>
      <w:bookmarkEnd w:id="6"/>
      <w:bookmarkEnd w:id="7"/>
      <w:bookmarkEnd w:id="8"/>
    </w:p>
    <w:p w:rsidR="0073424C" w:rsidRDefault="0073424C" w:rsidP="006C74B4">
      <w:pPr>
        <w:rPr>
          <w:rStyle w:val="Strong"/>
          <w:rFonts w:asciiTheme="majorHAnsi" w:hAnsiTheme="majorHAnsi"/>
          <w:b w:val="0"/>
          <w:sz w:val="28"/>
          <w:szCs w:val="44"/>
        </w:rPr>
      </w:pPr>
      <w:r w:rsidRPr="00943CAC">
        <w:rPr>
          <w:rFonts w:cs="Arial"/>
          <w:lang w:val="en-US" w:eastAsia="ja-JP"/>
        </w:rPr>
        <w:t xml:space="preserve">Submissions </w:t>
      </w:r>
      <w:r w:rsidRPr="0062739B">
        <w:rPr>
          <w:rFonts w:cs="Arial"/>
        </w:rPr>
        <w:t>should</w:t>
      </w:r>
      <w:r w:rsidRPr="00943CAC">
        <w:rPr>
          <w:rFonts w:cs="Arial"/>
          <w:lang w:val="en-US" w:eastAsia="ja-JP"/>
        </w:rPr>
        <w:t xml:space="preserve"> be sent as an accessible Word document to </w:t>
      </w:r>
      <w:hyperlink r:id="rId15" w:history="1">
        <w:r w:rsidRPr="0098440A">
          <w:rPr>
            <w:rStyle w:val="Hyperlink"/>
            <w:rFonts w:cs="Arial"/>
            <w:lang w:val="en-US" w:eastAsia="ja-JP"/>
          </w:rPr>
          <w:t>submissions.ihpa@ihpa.gov.au</w:t>
        </w:r>
      </w:hyperlink>
      <w:r w:rsidRPr="00943CAC">
        <w:rPr>
          <w:rFonts w:cs="Arial"/>
          <w:lang w:val="en-US" w:eastAsia="ja-JP"/>
        </w:rPr>
        <w:t xml:space="preserve"> or posted to “Submissions” PO BOX 483 Darlinghurst NSW 1300. </w:t>
      </w:r>
      <w:r w:rsidR="00644F6B" w:rsidRPr="00943CAC">
        <w:rPr>
          <w:rStyle w:val="Strong"/>
        </w:rPr>
        <w:t xml:space="preserve">Submissions close at 5pm </w:t>
      </w:r>
      <w:r w:rsidR="00644F6B">
        <w:rPr>
          <w:rStyle w:val="Strong"/>
        </w:rPr>
        <w:t>on Friday 6 April 2018.</w:t>
      </w:r>
    </w:p>
    <w:p w:rsidR="0073424C" w:rsidRDefault="0073424C">
      <w:pPr>
        <w:rPr>
          <w:rFonts w:cs="Arial"/>
          <w:color w:val="000000"/>
        </w:rPr>
      </w:pPr>
      <w:r w:rsidRPr="00A40960">
        <w:rPr>
          <w:rFonts w:cs="Arial"/>
          <w:color w:val="000000"/>
        </w:rPr>
        <w:t>All submissions will be published on IHPA’s website unless respondents specifically identify sections that they believe should be kept confidential due to commercial or other reasons.</w:t>
      </w:r>
    </w:p>
    <w:p w:rsidR="0073424C" w:rsidRPr="000B1758" w:rsidRDefault="0073424C" w:rsidP="0073424C">
      <w:pPr>
        <w:pStyle w:val="Heading2"/>
      </w:pPr>
      <w:bookmarkStart w:id="9" w:name="_Toc407021923"/>
      <w:bookmarkStart w:id="10" w:name="_Toc488332244"/>
      <w:bookmarkStart w:id="11" w:name="_Toc494105865"/>
      <w:bookmarkStart w:id="12" w:name="_Toc494105949"/>
      <w:r w:rsidRPr="000B1758">
        <w:t>More information</w:t>
      </w:r>
      <w:bookmarkEnd w:id="9"/>
      <w:bookmarkEnd w:id="10"/>
      <w:bookmarkEnd w:id="11"/>
      <w:bookmarkEnd w:id="12"/>
    </w:p>
    <w:p w:rsidR="0073424C" w:rsidRPr="008E4799" w:rsidRDefault="0073424C" w:rsidP="006C74B4">
      <w:pPr>
        <w:rPr>
          <w:rFonts w:cs="Arial"/>
          <w:lang w:val="en-US" w:eastAsia="ja-JP"/>
        </w:rPr>
      </w:pPr>
      <w:r w:rsidRPr="000B1758">
        <w:rPr>
          <w:lang w:eastAsia="ja-JP"/>
        </w:rPr>
        <w:t xml:space="preserve">The </w:t>
      </w:r>
      <w:hyperlink r:id="rId16" w:history="1">
        <w:r w:rsidRPr="000B1758">
          <w:rPr>
            <w:rStyle w:val="Hyperlink"/>
            <w:lang w:eastAsia="ja-JP"/>
          </w:rPr>
          <w:t>IHPA website</w:t>
        </w:r>
      </w:hyperlink>
      <w:r w:rsidRPr="000B1758">
        <w:rPr>
          <w:lang w:eastAsia="ja-JP"/>
        </w:rPr>
        <w:t xml:space="preserve"> provides up to date inform</w:t>
      </w:r>
      <w:r>
        <w:rPr>
          <w:lang w:eastAsia="ja-JP"/>
        </w:rPr>
        <w:t>ation on the development of ANACC</w:t>
      </w:r>
      <w:r w:rsidRPr="000B1758">
        <w:rPr>
          <w:lang w:eastAsia="ja-JP"/>
        </w:rPr>
        <w:t>, including links to key documents referred to in</w:t>
      </w:r>
      <w:r>
        <w:rPr>
          <w:lang w:eastAsia="ja-JP"/>
        </w:rPr>
        <w:t xml:space="preserve"> </w:t>
      </w:r>
      <w:r w:rsidRPr="0062739B">
        <w:rPr>
          <w:rFonts w:cs="Arial"/>
        </w:rPr>
        <w:t>this</w:t>
      </w:r>
      <w:r w:rsidR="00105C34">
        <w:rPr>
          <w:lang w:eastAsia="ja-JP"/>
        </w:rPr>
        <w:t xml:space="preserve"> stakeholder</w:t>
      </w:r>
      <w:r>
        <w:rPr>
          <w:lang w:eastAsia="ja-JP"/>
        </w:rPr>
        <w:t xml:space="preserve"> consultation paper</w:t>
      </w:r>
      <w:r>
        <w:rPr>
          <w:rFonts w:cs="Arial"/>
          <w:lang w:val="en-US" w:eastAsia="ja-JP"/>
        </w:rPr>
        <w:t xml:space="preserve">: </w:t>
      </w:r>
      <w:hyperlink r:id="rId17" w:history="1">
        <w:r w:rsidRPr="004C1972">
          <w:rPr>
            <w:rFonts w:cs="Arial"/>
            <w:lang w:val="en-US"/>
          </w:rPr>
          <w:t>www.ihpa.gov.au</w:t>
        </w:r>
      </w:hyperlink>
      <w:r w:rsidRPr="004C1972">
        <w:rPr>
          <w:rFonts w:cs="Arial"/>
          <w:lang w:val="en-US" w:eastAsia="ja-JP"/>
        </w:rPr>
        <w:t>.</w:t>
      </w:r>
    </w:p>
    <w:p w:rsidR="0073424C" w:rsidRDefault="0073424C" w:rsidP="006C74B4">
      <w:pPr>
        <w:rPr>
          <w:b/>
          <w:caps/>
          <w:color w:val="0000FF"/>
          <w:lang w:eastAsia="ja-JP"/>
        </w:rPr>
      </w:pPr>
      <w:r>
        <w:rPr>
          <w:lang w:eastAsia="ja-JP"/>
        </w:rPr>
        <w:t>This document</w:t>
      </w:r>
      <w:r w:rsidRPr="00925A96">
        <w:rPr>
          <w:lang w:eastAsia="ja-JP"/>
        </w:rPr>
        <w:t xml:space="preserve"> </w:t>
      </w:r>
      <w:r w:rsidRPr="0062739B">
        <w:rPr>
          <w:rFonts w:cs="Arial"/>
        </w:rPr>
        <w:t>assumes</w:t>
      </w:r>
      <w:r w:rsidRPr="00925A96">
        <w:rPr>
          <w:lang w:eastAsia="ja-JP"/>
        </w:rPr>
        <w:t xml:space="preserve"> some knowledge of classification development. IHPA recognises the importance of a broader audience engaging in this consultation process. Should your organisation require further resources to assist in explaining the classification development process, please contact IHPA at </w:t>
      </w:r>
      <w:hyperlink r:id="rId18" w:history="1">
        <w:r w:rsidRPr="00C219A5">
          <w:rPr>
            <w:rStyle w:val="Hyperlink"/>
            <w:lang w:eastAsia="ja-JP"/>
          </w:rPr>
          <w:t>enquiries.ihpa@health.gov.au.</w:t>
        </w:r>
      </w:hyperlink>
    </w:p>
    <w:p w:rsidR="0073424C" w:rsidRDefault="0073424C" w:rsidP="0073424C">
      <w:pPr>
        <w:spacing w:before="0" w:after="0" w:line="240" w:lineRule="auto"/>
      </w:pPr>
      <w:r>
        <w:br w:type="page"/>
      </w:r>
    </w:p>
    <w:p w:rsidR="0073424C" w:rsidRDefault="0073424C" w:rsidP="006C74B4">
      <w:pPr>
        <w:pStyle w:val="Heading1"/>
        <w:spacing w:after="1000"/>
      </w:pPr>
      <w:bookmarkStart w:id="13" w:name="_Toc488332245"/>
      <w:bookmarkStart w:id="14" w:name="_Toc494105950"/>
      <w:r>
        <w:lastRenderedPageBreak/>
        <w:t xml:space="preserve">Summary of </w:t>
      </w:r>
      <w:r w:rsidR="00F908AC">
        <w:t>c</w:t>
      </w:r>
      <w:r>
        <w:t>onsultation questions</w:t>
      </w:r>
      <w:bookmarkEnd w:id="13"/>
      <w:bookmarkEnd w:id="14"/>
    </w:p>
    <w:p w:rsidR="0073424C" w:rsidRDefault="0073424C" w:rsidP="006C74B4">
      <w:pPr>
        <w:spacing w:after="240"/>
        <w:rPr>
          <w:lang w:val="en-US" w:eastAsia="ja-JP"/>
        </w:rPr>
      </w:pPr>
      <w:r w:rsidRPr="00F2449B">
        <w:rPr>
          <w:lang w:val="en-US" w:eastAsia="ja-JP"/>
        </w:rPr>
        <w:t xml:space="preserve">IHPA is seeking </w:t>
      </w:r>
      <w:r>
        <w:rPr>
          <w:lang w:val="en-US" w:eastAsia="ja-JP"/>
        </w:rPr>
        <w:t xml:space="preserve">written </w:t>
      </w:r>
      <w:r w:rsidRPr="00F2449B">
        <w:rPr>
          <w:lang w:val="en-US" w:eastAsia="ja-JP"/>
        </w:rPr>
        <w:t xml:space="preserve">comments on the following </w:t>
      </w:r>
      <w:r>
        <w:rPr>
          <w:lang w:val="en-US" w:eastAsia="ja-JP"/>
        </w:rPr>
        <w:t>questions</w:t>
      </w:r>
      <w:r w:rsidRPr="00F2449B">
        <w:rPr>
          <w:lang w:val="en-US" w:eastAsia="ja-JP"/>
        </w:rPr>
        <w:t>:</w:t>
      </w:r>
    </w:p>
    <w:p w:rsidR="0073424C" w:rsidRDefault="00256474" w:rsidP="006C74B4">
      <w:pPr>
        <w:pStyle w:val="ListParagraph"/>
        <w:numPr>
          <w:ilvl w:val="0"/>
          <w:numId w:val="4"/>
        </w:numPr>
      </w:pPr>
      <w:r>
        <w:t>S</w:t>
      </w:r>
      <w:r w:rsidR="00AB6EDE">
        <w:t xml:space="preserve">hould </w:t>
      </w:r>
      <w:r w:rsidR="0073424C">
        <w:t xml:space="preserve">the </w:t>
      </w:r>
      <w:r w:rsidR="0073424C" w:rsidRPr="007B70DA">
        <w:t xml:space="preserve">new classification </w:t>
      </w:r>
      <w:r w:rsidR="0073424C">
        <w:t xml:space="preserve">for non-admitted care support the </w:t>
      </w:r>
      <w:r w:rsidR="0073424C" w:rsidRPr="007B70DA">
        <w:t>delivery of integrated care between health care settings</w:t>
      </w:r>
      <w:r w:rsidR="0073424C">
        <w:t>?</w:t>
      </w:r>
      <w:r>
        <w:t xml:space="preserve"> If yes, how?</w:t>
      </w:r>
    </w:p>
    <w:p w:rsidR="0073424C" w:rsidRDefault="00256474" w:rsidP="006C74B4">
      <w:pPr>
        <w:pStyle w:val="ListParagraph"/>
        <w:numPr>
          <w:ilvl w:val="0"/>
          <w:numId w:val="4"/>
        </w:numPr>
      </w:pPr>
      <w:r>
        <w:t>S</w:t>
      </w:r>
      <w:r w:rsidR="00AB6EDE">
        <w:t>hould</w:t>
      </w:r>
      <w:r w:rsidR="0073424C">
        <w:t xml:space="preserve"> the </w:t>
      </w:r>
      <w:r w:rsidR="0073424C" w:rsidRPr="007B70DA">
        <w:t xml:space="preserve">new classification </w:t>
      </w:r>
      <w:r w:rsidR="0073424C">
        <w:t xml:space="preserve">for non-admitted care services account </w:t>
      </w:r>
      <w:r w:rsidR="0073424C" w:rsidRPr="007B70DA">
        <w:t>for and adapt to newer models of care and technology</w:t>
      </w:r>
      <w:r w:rsidR="0073424C">
        <w:t>?</w:t>
      </w:r>
      <w:r>
        <w:t xml:space="preserve"> If yes, how?</w:t>
      </w:r>
    </w:p>
    <w:p w:rsidR="00A327D4" w:rsidRDefault="00122840" w:rsidP="00A327D4">
      <w:pPr>
        <w:pStyle w:val="ListParagraph"/>
        <w:numPr>
          <w:ilvl w:val="0"/>
          <w:numId w:val="4"/>
        </w:numPr>
      </w:pPr>
      <w:r w:rsidRPr="00D445D0">
        <w:t xml:space="preserve">As </w:t>
      </w:r>
      <w:r w:rsidR="00BE4BDC">
        <w:t>the type</w:t>
      </w:r>
      <w:r w:rsidR="006A7110">
        <w:t>s</w:t>
      </w:r>
      <w:r w:rsidR="00BE4BDC">
        <w:t xml:space="preserve"> of care delivered in</w:t>
      </w:r>
      <w:r w:rsidRPr="00D445D0">
        <w:t xml:space="preserve"> admitted, non-admitted and primary care are challenged, how can the future ANACC system account for these changes?</w:t>
      </w:r>
    </w:p>
    <w:p w:rsidR="0073424C" w:rsidRDefault="0073424C" w:rsidP="006C74B4">
      <w:pPr>
        <w:pStyle w:val="ListParagraph"/>
        <w:numPr>
          <w:ilvl w:val="0"/>
          <w:numId w:val="4"/>
        </w:numPr>
      </w:pPr>
      <w:r>
        <w:t>The classification principles have been designed to guide and support the development of the future classification, do you agree with these and/or are there other principles that should be considered in developing ANACC?</w:t>
      </w:r>
    </w:p>
    <w:p w:rsidR="007D043D" w:rsidRDefault="00AB6EDE" w:rsidP="00C62D42">
      <w:pPr>
        <w:pStyle w:val="ListParagraph"/>
        <w:numPr>
          <w:ilvl w:val="0"/>
          <w:numId w:val="4"/>
        </w:numPr>
      </w:pPr>
      <w:r>
        <w:t xml:space="preserve">Should IHPA </w:t>
      </w:r>
      <w:r w:rsidR="007D043D">
        <w:t xml:space="preserve">continue </w:t>
      </w:r>
      <w:r>
        <w:t xml:space="preserve">to </w:t>
      </w:r>
      <w:r w:rsidR="007D043D">
        <w:t>use service event as the ANACC unit of count?</w:t>
      </w:r>
      <w:r w:rsidR="005E4680">
        <w:t xml:space="preserve"> I</w:t>
      </w:r>
      <w:r w:rsidR="007A4D0E">
        <w:t>f</w:t>
      </w:r>
      <w:r w:rsidR="005E4680">
        <w:t xml:space="preserve"> yes, d</w:t>
      </w:r>
      <w:r w:rsidR="007D043D">
        <w:t>o you agree with the proposed revised definition of a service event? How could it be improved?</w:t>
      </w:r>
    </w:p>
    <w:p w:rsidR="007D043D" w:rsidRDefault="007D043D" w:rsidP="006C74B4">
      <w:pPr>
        <w:pStyle w:val="ListParagraph"/>
        <w:numPr>
          <w:ilvl w:val="0"/>
          <w:numId w:val="4"/>
        </w:numPr>
      </w:pPr>
      <w:r>
        <w:t xml:space="preserve">Should an episode </w:t>
      </w:r>
      <w:r w:rsidR="000609C8">
        <w:t xml:space="preserve">be considered as a unit </w:t>
      </w:r>
      <w:r w:rsidR="00753E41">
        <w:t xml:space="preserve">of </w:t>
      </w:r>
      <w:r>
        <w:t xml:space="preserve">count </w:t>
      </w:r>
      <w:r w:rsidR="00C675A1">
        <w:t>in</w:t>
      </w:r>
      <w:r>
        <w:t xml:space="preserve"> the new ANACC?</w:t>
      </w:r>
      <w:r w:rsidR="00C675A1" w:rsidRPr="00C675A1">
        <w:t xml:space="preserve"> </w:t>
      </w:r>
      <w:r w:rsidR="00C675A1">
        <w:t>If not for all conditions, th</w:t>
      </w:r>
      <w:r w:rsidR="000609C8">
        <w:t>e</w:t>
      </w:r>
      <w:r w:rsidR="00C675A1">
        <w:t>n for</w:t>
      </w:r>
      <w:r w:rsidR="000609C8">
        <w:t xml:space="preserve"> which </w:t>
      </w:r>
      <w:r w:rsidR="00C675A1">
        <w:t>specific conditions?</w:t>
      </w:r>
    </w:p>
    <w:p w:rsidR="00451704" w:rsidRDefault="00451704" w:rsidP="003F2A07">
      <w:pPr>
        <w:pStyle w:val="ListParagraph"/>
        <w:numPr>
          <w:ilvl w:val="0"/>
          <w:numId w:val="4"/>
        </w:numPr>
      </w:pPr>
      <w:r>
        <w:t>Non-admitted patients often present with multiple comorbidities, and may be treated under a chronic disease management model. Should the future ANACC system have a separate path for classifying chronic disease patients?</w:t>
      </w:r>
    </w:p>
    <w:p w:rsidR="007D043D" w:rsidRDefault="007D043D" w:rsidP="003F2A07">
      <w:pPr>
        <w:pStyle w:val="ListParagraph"/>
        <w:numPr>
          <w:ilvl w:val="0"/>
          <w:numId w:val="4"/>
        </w:numPr>
      </w:pPr>
      <w:r>
        <w:t xml:space="preserve">What implementation timeframe is required for jurisdictions to transition </w:t>
      </w:r>
      <w:r w:rsidR="004D56D9">
        <w:t xml:space="preserve">to </w:t>
      </w:r>
      <w:r>
        <w:t>a patient-based non-admitted care classification system?</w:t>
      </w:r>
    </w:p>
    <w:p w:rsidR="00E967BC" w:rsidRDefault="00E45AEC">
      <w:pPr>
        <w:pStyle w:val="ListParagraph"/>
        <w:numPr>
          <w:ilvl w:val="0"/>
          <w:numId w:val="4"/>
        </w:numPr>
      </w:pPr>
      <w:r>
        <w:t xml:space="preserve">What considerations should be made in relation to including a </w:t>
      </w:r>
      <w:r w:rsidR="007D043D">
        <w:t xml:space="preserve">diagnosis-type variable </w:t>
      </w:r>
      <w:r>
        <w:t>in</w:t>
      </w:r>
      <w:r w:rsidR="007D043D">
        <w:t xml:space="preserve"> the future ANACC system?</w:t>
      </w:r>
      <w:r w:rsidR="00505D56">
        <w:t xml:space="preserve"> </w:t>
      </w:r>
    </w:p>
    <w:p w:rsidR="00E967BC" w:rsidRDefault="00E967BC" w:rsidP="009768EE">
      <w:pPr>
        <w:pStyle w:val="ListParagraph"/>
        <w:numPr>
          <w:ilvl w:val="0"/>
          <w:numId w:val="4"/>
        </w:numPr>
      </w:pPr>
      <w:r>
        <w:t>Should presenting problem be used as the diagnosis type variable? If yes, do you agree with the proposed definition of ‘presenting problem’?</w:t>
      </w:r>
    </w:p>
    <w:p w:rsidR="007D043D" w:rsidRDefault="00AB6EDE" w:rsidP="006C74B4">
      <w:pPr>
        <w:pStyle w:val="ListParagraph"/>
        <w:numPr>
          <w:ilvl w:val="0"/>
          <w:numId w:val="4"/>
        </w:numPr>
      </w:pPr>
      <w:r>
        <w:t xml:space="preserve">What are your views on </w:t>
      </w:r>
      <w:r w:rsidR="007D043D" w:rsidRPr="00D445D0">
        <w:t xml:space="preserve">the </w:t>
      </w:r>
      <w:r>
        <w:t>proposed</w:t>
      </w:r>
      <w:r w:rsidRPr="00D445D0">
        <w:t xml:space="preserve"> </w:t>
      </w:r>
      <w:r w:rsidR="007D043D" w:rsidRPr="00D445D0">
        <w:t xml:space="preserve">list of initial </w:t>
      </w:r>
      <w:r w:rsidR="007D043D">
        <w:t>presenting problem/</w:t>
      </w:r>
      <w:r w:rsidR="007D043D" w:rsidRPr="00D445D0">
        <w:t>diagnosis</w:t>
      </w:r>
      <w:r w:rsidR="007D043D">
        <w:t>-type</w:t>
      </w:r>
      <w:r w:rsidR="007D043D" w:rsidRPr="00D445D0">
        <w:t xml:space="preserve"> and intervention</w:t>
      </w:r>
      <w:r w:rsidR="007D043D">
        <w:t>-type</w:t>
      </w:r>
      <w:r w:rsidR="007D043D" w:rsidRPr="00D445D0">
        <w:t xml:space="preserve"> groups presented at Appendix A?</w:t>
      </w:r>
      <w:r w:rsidR="007D043D">
        <w:t xml:space="preserve"> What refinements should be considered?</w:t>
      </w:r>
    </w:p>
    <w:p w:rsidR="00505D56" w:rsidRPr="00D445D0" w:rsidRDefault="00505D56" w:rsidP="00B63903">
      <w:pPr>
        <w:pStyle w:val="ListParagraph"/>
        <w:numPr>
          <w:ilvl w:val="0"/>
          <w:numId w:val="4"/>
        </w:numPr>
      </w:pPr>
      <w:r>
        <w:t xml:space="preserve">Do you agree with the list of complexity variables presented in Section 5.3? </w:t>
      </w:r>
      <w:r w:rsidR="0047219F">
        <w:t>What</w:t>
      </w:r>
      <w:r w:rsidR="007D043D">
        <w:t xml:space="preserve"> other variables should be consider</w:t>
      </w:r>
      <w:r w:rsidR="0047219F">
        <w:t>ed</w:t>
      </w:r>
      <w:r w:rsidR="007D043D">
        <w:t xml:space="preserve"> for the new ANACC system?</w:t>
      </w:r>
    </w:p>
    <w:p w:rsidR="00526C8C" w:rsidRDefault="00526C8C" w:rsidP="009768EE"/>
    <w:p w:rsidR="00526C8C" w:rsidRDefault="00526C8C" w:rsidP="009768EE"/>
    <w:p w:rsidR="00526C8C" w:rsidRDefault="00B04A18" w:rsidP="009768EE">
      <w:r>
        <w:br w:type="page"/>
      </w:r>
    </w:p>
    <w:p w:rsidR="00B04A18" w:rsidRPr="00A360CE" w:rsidRDefault="00B04A18" w:rsidP="00A360CE">
      <w:pPr>
        <w:pStyle w:val="Heading1"/>
        <w:numPr>
          <w:ilvl w:val="0"/>
          <w:numId w:val="69"/>
        </w:numPr>
      </w:pPr>
      <w:bookmarkStart w:id="15" w:name="_Toc494105951"/>
      <w:r w:rsidRPr="00A360CE">
        <w:lastRenderedPageBreak/>
        <w:t>Introduction</w:t>
      </w:r>
      <w:bookmarkEnd w:id="15"/>
    </w:p>
    <w:p w:rsidR="00107B94" w:rsidRPr="00107B94" w:rsidRDefault="00107B94" w:rsidP="00107B94">
      <w:pPr>
        <w:rPr>
          <w:color w:val="008A00"/>
          <w:szCs w:val="30"/>
        </w:rPr>
      </w:pPr>
      <w:r w:rsidRPr="00107B94">
        <w:rPr>
          <w:color w:val="008A00"/>
          <w:szCs w:val="30"/>
        </w:rPr>
        <w:t>IHPA is currently developing a new classification system for non-admitted health care to replace the current ‘Tier 2’ clinic-based system. There have been significant shifts and developments in non-admitted care in recent years, with this trend set to continue. A new classification system needs to respond to and anticipate these changes.</w:t>
      </w:r>
    </w:p>
    <w:p w:rsidR="00B04A18" w:rsidRPr="00A360CE" w:rsidRDefault="0034019B" w:rsidP="00A360CE">
      <w:pPr>
        <w:pStyle w:val="Heading2"/>
        <w:numPr>
          <w:ilvl w:val="1"/>
          <w:numId w:val="69"/>
        </w:numPr>
      </w:pPr>
      <w:bookmarkStart w:id="16" w:name="_Toc494105952"/>
      <w:r>
        <w:t>IHPA’s role</w:t>
      </w:r>
      <w:bookmarkEnd w:id="16"/>
    </w:p>
    <w:p w:rsidR="00D11ACB" w:rsidRPr="00194908" w:rsidRDefault="00D11ACB" w:rsidP="006C74B4">
      <w:r w:rsidRPr="00194908">
        <w:t>IHPA was established as part of the implementation of the N</w:t>
      </w:r>
      <w:r w:rsidR="006C74B4">
        <w:t>HRA</w:t>
      </w:r>
      <w:r w:rsidRPr="00194908">
        <w:t xml:space="preserve">. Under the NHRA, the Council of Australian Governments unanimously agreed to the establishment of ABF as the primary funding methodology for public hospitals throughout Australia. The aim of a national ABF system is to improve the efficiency and transparency in the delivery and funding of Australian public hospital services. IHPA’s overall functions and performance </w:t>
      </w:r>
      <w:r w:rsidR="00A277B7">
        <w:t>are</w:t>
      </w:r>
      <w:r w:rsidRPr="00194908">
        <w:t xml:space="preserve"> governed by the Pricing Authority. </w:t>
      </w:r>
    </w:p>
    <w:p w:rsidR="00D11ACB" w:rsidRPr="00194908" w:rsidRDefault="00D11ACB" w:rsidP="00D11ACB">
      <w:r w:rsidRPr="00194908">
        <w:t xml:space="preserve">IHPA has a number of determinative functions as specified by the NHRA. IHPA’s primary role is to determine the national efficient price and national efficient cost for public hospital services. </w:t>
      </w:r>
    </w:p>
    <w:p w:rsidR="00D11ACB" w:rsidRPr="00194908" w:rsidRDefault="00D11ACB" w:rsidP="00D11ACB">
      <w:r w:rsidRPr="00194908">
        <w:t>Other functions IHPA has responsibility for include determining adjustments to the national efficient price to reflect legitimate and unavoidable variations in the cost of delivering health services, determining data requirements and developing and specifying the classifications for services provided by public hospitals. IHPA undertakes reviews and updates of existing classifications and is also responsible for introducing new classifications.</w:t>
      </w:r>
    </w:p>
    <w:p w:rsidR="00B04A18" w:rsidRDefault="00B04A18" w:rsidP="00A360CE">
      <w:pPr>
        <w:pStyle w:val="Heading2"/>
        <w:numPr>
          <w:ilvl w:val="1"/>
          <w:numId w:val="69"/>
        </w:numPr>
      </w:pPr>
      <w:bookmarkStart w:id="17" w:name="_Toc494105953"/>
      <w:r w:rsidRPr="00B04A18">
        <w:t>Classification of non-admitted care patients</w:t>
      </w:r>
      <w:bookmarkEnd w:id="17"/>
    </w:p>
    <w:p w:rsidR="008671C5" w:rsidRPr="006709CE" w:rsidRDefault="00F141B5" w:rsidP="008671C5">
      <w:pPr>
        <w:pStyle w:val="Heading3"/>
        <w:numPr>
          <w:ilvl w:val="2"/>
          <w:numId w:val="69"/>
        </w:numPr>
      </w:pPr>
      <w:bookmarkStart w:id="18" w:name="_Toc494105954"/>
      <w:r>
        <w:t>Purpose</w:t>
      </w:r>
      <w:bookmarkEnd w:id="18"/>
    </w:p>
    <w:p w:rsidR="00D11ACB" w:rsidRDefault="00A327D4" w:rsidP="00D11ACB">
      <w:r>
        <w:t>Patient c</w:t>
      </w:r>
      <w:r w:rsidR="00333996">
        <w:t xml:space="preserve">lassifications aim to provide the health care sector with a nationally consistent method of classifying all types of patients, their treatment and associated costs, resulting in improved management, measurement and funding. </w:t>
      </w:r>
      <w:r w:rsidR="00D11ACB">
        <w:t>Non-admitted care encompasses services provided to patients who do not undergo a formal admission process</w:t>
      </w:r>
      <w:r w:rsidR="00641C11">
        <w:rPr>
          <w:rStyle w:val="FootnoteReference"/>
        </w:rPr>
        <w:footnoteReference w:id="1"/>
      </w:r>
      <w:r w:rsidR="00D11ACB">
        <w:t xml:space="preserve"> and do not occupy a hospital bed. For example, non-admitted care may be provided in: </w:t>
      </w:r>
    </w:p>
    <w:p w:rsidR="00D11ACB" w:rsidRDefault="00D11ACB" w:rsidP="009768EE">
      <w:pPr>
        <w:pStyle w:val="ListParagraph"/>
        <w:numPr>
          <w:ilvl w:val="0"/>
          <w:numId w:val="6"/>
        </w:numPr>
        <w:spacing w:before="0"/>
        <w:ind w:left="714" w:hanging="357"/>
      </w:pPr>
      <w:r>
        <w:t xml:space="preserve">hospital outpatient clinics </w:t>
      </w:r>
    </w:p>
    <w:p w:rsidR="00D11ACB" w:rsidRDefault="00D11ACB" w:rsidP="009768EE">
      <w:pPr>
        <w:pStyle w:val="ListParagraph"/>
        <w:numPr>
          <w:ilvl w:val="0"/>
          <w:numId w:val="6"/>
        </w:numPr>
        <w:spacing w:before="0"/>
        <w:ind w:left="714" w:hanging="357"/>
      </w:pPr>
      <w:r>
        <w:t>community</w:t>
      </w:r>
      <w:r w:rsidR="003260B2">
        <w:t>-</w:t>
      </w:r>
      <w:r>
        <w:t xml:space="preserve">based clinics </w:t>
      </w:r>
    </w:p>
    <w:p w:rsidR="0048406E" w:rsidRDefault="00D11ACB" w:rsidP="009768EE">
      <w:pPr>
        <w:pStyle w:val="ListParagraph"/>
        <w:numPr>
          <w:ilvl w:val="0"/>
          <w:numId w:val="6"/>
        </w:numPr>
        <w:spacing w:before="0"/>
        <w:ind w:left="714" w:hanging="357"/>
      </w:pPr>
      <w:r>
        <w:t>patients</w:t>
      </w:r>
      <w:r w:rsidR="00A277B7">
        <w:t>’</w:t>
      </w:r>
      <w:r>
        <w:t xml:space="preserve"> homes.</w:t>
      </w:r>
    </w:p>
    <w:p w:rsidR="0048406E" w:rsidRDefault="0048406E" w:rsidP="00F166F9">
      <w:r w:rsidRPr="00C12114">
        <w:t>For ABF purposes, non-admitted care services that are considered to be</w:t>
      </w:r>
      <w:r>
        <w:t xml:space="preserve"> </w:t>
      </w:r>
      <w:r w:rsidRPr="00C12114">
        <w:t>‘in-scope’ are independent of the service setting in which they are provided (e.g. at a hospital, in the community or in a person's home). This means that in-scope services can be</w:t>
      </w:r>
      <w:r>
        <w:t xml:space="preserve"> provided on an outreach basis.</w:t>
      </w:r>
    </w:p>
    <w:p w:rsidR="00D11ACB" w:rsidRDefault="00D11ACB" w:rsidP="00D11ACB">
      <w:r>
        <w:lastRenderedPageBreak/>
        <w:t>Under the current Australian ABF arrangement, non-admitted services are classified using Tier 2.</w:t>
      </w:r>
    </w:p>
    <w:p w:rsidR="00D11ACB" w:rsidRDefault="00D11ACB" w:rsidP="00D11ACB">
      <w:r>
        <w:t>Tier 2 is used to classify a non-admitted care clinic to a single class, where all non-admitted patient service events provided by that clinic are subsequently classified to that Tier 2 class.</w:t>
      </w:r>
      <w:r w:rsidRPr="007C5472">
        <w:t xml:space="preserve"> </w:t>
      </w:r>
      <w:r>
        <w:t>Tier</w:t>
      </w:r>
      <w:r w:rsidR="00974539">
        <w:t> </w:t>
      </w:r>
      <w:r>
        <w:t>2 is not a patient-centric classification system.</w:t>
      </w:r>
    </w:p>
    <w:p w:rsidR="002F15FC" w:rsidRDefault="00D11ACB" w:rsidP="00573BF2">
      <w:r>
        <w:t>In 2014, IHPA conducted a review of non-admitted care classification systems. The review found that Tier 2 was undesirable for ABF purposes in the longer term</w:t>
      </w:r>
      <w:r w:rsidR="00B15DD2">
        <w:t xml:space="preserve"> due to the classification’s clinic centric nature</w:t>
      </w:r>
      <w:r w:rsidR="00020046">
        <w:t>,</w:t>
      </w:r>
      <w:r>
        <w:t xml:space="preserve"> and that no other classification was recommended as suitable for use in the Australian setting.</w:t>
      </w:r>
      <w:r w:rsidR="00020046">
        <w:t xml:space="preserve"> A desirable new classification will be </w:t>
      </w:r>
      <w:r w:rsidR="00020046" w:rsidRPr="00314064">
        <w:rPr>
          <w:lang w:val="en-US" w:eastAsia="ja-JP"/>
        </w:rPr>
        <w:t>setting agnostic and be based on data elements that reflect the characteristic of patients</w:t>
      </w:r>
      <w:r w:rsidR="00A277B7">
        <w:rPr>
          <w:lang w:val="en-US" w:eastAsia="ja-JP"/>
        </w:rPr>
        <w:t>.</w:t>
      </w:r>
      <w:r>
        <w:t xml:space="preserve"> The primary recommendation of the review was the requirement to develop a new non-admitted care classification system.</w:t>
      </w:r>
    </w:p>
    <w:p w:rsidR="006709CE" w:rsidRDefault="00403E40" w:rsidP="00C30658">
      <w:r>
        <w:t>The non-admitted classification system needs to be able to interface with the other classification systems in play within the health system. Patients may frequently move between settings, presenting a challenge for classification and funding. Some commonality in classification variables between settings will assist in delivering on classification principles and purpose. Other classifications that the non-admitted care will need to interact with are</w:t>
      </w:r>
      <w:r w:rsidR="000F180F">
        <w:t xml:space="preserve"> </w:t>
      </w:r>
      <w:r w:rsidR="00B8457F">
        <w:t>the Australian Refined Diagnosis Related Groups (AR-DRG) for admitted care, the Urgency Related Groups (URGs) or Urgency Disposition Groups (UDGs) for emergency care, the Australian National Subacute and Non-Acute Patient (AN-SNAP) classification for subacute and non-acute care</w:t>
      </w:r>
      <w:r w:rsidR="009444B3">
        <w:t xml:space="preserve">, the </w:t>
      </w:r>
      <w:r w:rsidR="009444B3">
        <w:rPr>
          <w:rFonts w:cs="Arial"/>
        </w:rPr>
        <w:t>Australian Mental Health Care Classification (AMHCC) for mental health care and</w:t>
      </w:r>
      <w:r w:rsidR="00B8457F">
        <w:t xml:space="preserve"> in primary care, the Medicare Benefits Schedule (MBS</w:t>
      </w:r>
      <w:r w:rsidR="00B8457F" w:rsidRPr="00B8457F">
        <w:t>)</w:t>
      </w:r>
      <w:r w:rsidR="00B8457F" w:rsidRPr="009444B3">
        <w:t>. The interaction between non-admitted care and other classifications is further explained in section 4.3.</w:t>
      </w:r>
    </w:p>
    <w:p w:rsidR="006709CE" w:rsidRPr="006709CE" w:rsidRDefault="006709CE" w:rsidP="00C30658">
      <w:pPr>
        <w:pStyle w:val="Heading3"/>
        <w:numPr>
          <w:ilvl w:val="2"/>
          <w:numId w:val="69"/>
        </w:numPr>
      </w:pPr>
      <w:bookmarkStart w:id="19" w:name="_Toc494105955"/>
      <w:r w:rsidRPr="007D043D">
        <w:t>Classification supporting reform</w:t>
      </w:r>
      <w:bookmarkEnd w:id="19"/>
    </w:p>
    <w:p w:rsidR="006709CE" w:rsidRPr="006E347C" w:rsidRDefault="006709CE" w:rsidP="006709CE">
      <w:pPr>
        <w:rPr>
          <w:rFonts w:cs="Arial"/>
          <w:szCs w:val="22"/>
        </w:rPr>
      </w:pPr>
      <w:r w:rsidRPr="006E347C">
        <w:rPr>
          <w:rFonts w:cs="Arial"/>
          <w:szCs w:val="22"/>
        </w:rPr>
        <w:t xml:space="preserve">Classifications </w:t>
      </w:r>
      <w:r w:rsidR="006E1E3B">
        <w:rPr>
          <w:rFonts w:cs="Arial"/>
          <w:szCs w:val="22"/>
        </w:rPr>
        <w:t xml:space="preserve">adopted in healthcare </w:t>
      </w:r>
      <w:r w:rsidRPr="006E347C">
        <w:rPr>
          <w:rFonts w:cs="Arial"/>
          <w:szCs w:val="22"/>
        </w:rPr>
        <w:t xml:space="preserve">are comprised of codes that provide clinically meaningful ways of relating the types of patients treated by a hospital to the resources required. They enable hospital and health service provider performances to be measured by creating a link between the patients treated and the resources consumed for providing those treatments. </w:t>
      </w:r>
      <w:r w:rsidR="00460CF8">
        <w:rPr>
          <w:rFonts w:cs="Arial"/>
          <w:szCs w:val="22"/>
        </w:rPr>
        <w:t>Understanding the relationship between patient treatment and resource consumption</w:t>
      </w:r>
      <w:r w:rsidRPr="006E347C">
        <w:rPr>
          <w:rFonts w:cs="Arial"/>
          <w:szCs w:val="22"/>
        </w:rPr>
        <w:t xml:space="preserve"> allows hospital and health service provider output to be measured, which forms the crucial data for policies on funding, budgeting and </w:t>
      </w:r>
      <w:r w:rsidR="000609C8">
        <w:rPr>
          <w:rFonts w:cs="Arial"/>
          <w:szCs w:val="22"/>
        </w:rPr>
        <w:t>measuring</w:t>
      </w:r>
      <w:r w:rsidR="000609C8" w:rsidRPr="006E347C">
        <w:rPr>
          <w:rFonts w:cs="Arial"/>
          <w:szCs w:val="22"/>
        </w:rPr>
        <w:t xml:space="preserve"> </w:t>
      </w:r>
      <w:r w:rsidRPr="006E347C">
        <w:rPr>
          <w:rFonts w:cs="Arial"/>
          <w:szCs w:val="22"/>
        </w:rPr>
        <w:t>costs.</w:t>
      </w:r>
    </w:p>
    <w:p w:rsidR="006709CE" w:rsidRDefault="00460CF8" w:rsidP="006709CE">
      <w:r>
        <w:t>Patient c</w:t>
      </w:r>
      <w:r w:rsidR="006709CE">
        <w:t>lassification systems have a role to support health system trends and enable innovation. They</w:t>
      </w:r>
      <w:r w:rsidR="00753E41">
        <w:t xml:space="preserve"> aim to:</w:t>
      </w:r>
    </w:p>
    <w:p w:rsidR="006709CE" w:rsidRDefault="006709CE" w:rsidP="006709CE">
      <w:pPr>
        <w:pStyle w:val="ListParagraph"/>
        <w:numPr>
          <w:ilvl w:val="0"/>
          <w:numId w:val="73"/>
        </w:numPr>
        <w:spacing w:before="0"/>
      </w:pPr>
      <w:r>
        <w:t>Support the measurement of health outcomes</w:t>
      </w:r>
      <w:r w:rsidR="00A12411">
        <w:t>.</w:t>
      </w:r>
    </w:p>
    <w:p w:rsidR="006709CE" w:rsidRDefault="006709CE" w:rsidP="006709CE">
      <w:pPr>
        <w:pStyle w:val="ListParagraph"/>
        <w:numPr>
          <w:ilvl w:val="0"/>
          <w:numId w:val="73"/>
        </w:numPr>
        <w:spacing w:before="0"/>
      </w:pPr>
      <w:r>
        <w:t>Assist in identifying patients with chronic and complex needs</w:t>
      </w:r>
      <w:r w:rsidR="00A12411">
        <w:t>.</w:t>
      </w:r>
      <w:r>
        <w:t xml:space="preserve"> </w:t>
      </w:r>
    </w:p>
    <w:p w:rsidR="006709CE" w:rsidRDefault="006709CE" w:rsidP="006709CE">
      <w:pPr>
        <w:pStyle w:val="ListParagraph"/>
        <w:numPr>
          <w:ilvl w:val="0"/>
          <w:numId w:val="73"/>
        </w:numPr>
        <w:spacing w:before="0"/>
      </w:pPr>
      <w:r>
        <w:t xml:space="preserve">Enable service integration through continuity between acute, non-admitted and primary care settings – ability to map </w:t>
      </w:r>
      <w:r w:rsidR="00460CF8">
        <w:t xml:space="preserve">information </w:t>
      </w:r>
      <w:r>
        <w:t>between classification systems</w:t>
      </w:r>
      <w:r w:rsidR="00A12411">
        <w:t>.</w:t>
      </w:r>
    </w:p>
    <w:p w:rsidR="006709CE" w:rsidRDefault="006709CE" w:rsidP="006709CE">
      <w:pPr>
        <w:pStyle w:val="ListParagraph"/>
        <w:numPr>
          <w:ilvl w:val="0"/>
          <w:numId w:val="73"/>
        </w:numPr>
        <w:spacing w:before="0"/>
      </w:pPr>
      <w:r>
        <w:t>Maximise the benefits of investment (</w:t>
      </w:r>
      <w:r w:rsidR="00460CF8">
        <w:t>resources</w:t>
      </w:r>
      <w:r>
        <w:t xml:space="preserve"> and clinician time) in eMR and </w:t>
      </w:r>
      <w:r w:rsidR="000B1A36">
        <w:t xml:space="preserve">the Australian Digital Health Agency’s </w:t>
      </w:r>
      <w:r>
        <w:t>My Health Record</w:t>
      </w:r>
      <w:r w:rsidR="00A12411">
        <w:t>.</w:t>
      </w:r>
      <w:r>
        <w:t xml:space="preserve"> </w:t>
      </w:r>
    </w:p>
    <w:p w:rsidR="006709CE" w:rsidRDefault="006709CE" w:rsidP="006709CE">
      <w:pPr>
        <w:pStyle w:val="ListParagraph"/>
        <w:numPr>
          <w:ilvl w:val="0"/>
          <w:numId w:val="73"/>
        </w:numPr>
        <w:spacing w:before="0"/>
      </w:pPr>
      <w:r>
        <w:t>Improve clinic</w:t>
      </w:r>
      <w:r w:rsidR="00460CF8">
        <w:t>ian</w:t>
      </w:r>
      <w:r>
        <w:t xml:space="preserve"> communication </w:t>
      </w:r>
      <w:r w:rsidR="00460CF8">
        <w:t xml:space="preserve">with </w:t>
      </w:r>
      <w:r>
        <w:t>patient</w:t>
      </w:r>
      <w:r w:rsidR="00460CF8">
        <w:t>s</w:t>
      </w:r>
      <w:r>
        <w:t xml:space="preserve"> </w:t>
      </w:r>
      <w:r w:rsidR="00EF51DC">
        <w:t>through better documentation</w:t>
      </w:r>
      <w:r w:rsidR="00A12411">
        <w:t>.</w:t>
      </w:r>
    </w:p>
    <w:p w:rsidR="006709CE" w:rsidRDefault="00D24419" w:rsidP="006709CE">
      <w:pPr>
        <w:pStyle w:val="ListParagraph"/>
        <w:numPr>
          <w:ilvl w:val="0"/>
          <w:numId w:val="73"/>
        </w:numPr>
        <w:spacing w:before="0"/>
      </w:pPr>
      <w:r>
        <w:t xml:space="preserve">Expand </w:t>
      </w:r>
      <w:r w:rsidR="006709CE">
        <w:t>clinical department and system level information to improve quality of care and inform resourc</w:t>
      </w:r>
      <w:r>
        <w:t>e allocation</w:t>
      </w:r>
      <w:r w:rsidR="00A12411">
        <w:t>.</w:t>
      </w:r>
    </w:p>
    <w:p w:rsidR="006709CE" w:rsidRPr="006B1086" w:rsidRDefault="006709CE" w:rsidP="006709CE">
      <w:pPr>
        <w:pStyle w:val="ListParagraph"/>
        <w:numPr>
          <w:ilvl w:val="0"/>
          <w:numId w:val="73"/>
        </w:numPr>
        <w:spacing w:before="0"/>
      </w:pPr>
      <w:r>
        <w:t>Enable i</w:t>
      </w:r>
      <w:r w:rsidRPr="006B1086">
        <w:t>nnovative funding (capitation models, pricing for safety and quality)</w:t>
      </w:r>
      <w:r w:rsidR="00A12411">
        <w:t>.</w:t>
      </w:r>
    </w:p>
    <w:p w:rsidR="006709CE" w:rsidRPr="000A04D3" w:rsidRDefault="006709CE" w:rsidP="006709CE">
      <w:pPr>
        <w:pStyle w:val="ListParagraph"/>
        <w:numPr>
          <w:ilvl w:val="0"/>
          <w:numId w:val="73"/>
        </w:numPr>
        <w:spacing w:before="0"/>
      </w:pPr>
      <w:r>
        <w:t>Support performance management.</w:t>
      </w:r>
    </w:p>
    <w:p w:rsidR="006709CE" w:rsidRDefault="006709CE" w:rsidP="006709CE">
      <w:pPr>
        <w:rPr>
          <w:rFonts w:cs="Arial"/>
          <w:szCs w:val="22"/>
        </w:rPr>
      </w:pPr>
      <w:r w:rsidRPr="006E347C">
        <w:rPr>
          <w:rFonts w:cs="Arial"/>
          <w:szCs w:val="22"/>
        </w:rPr>
        <w:t xml:space="preserve">These </w:t>
      </w:r>
      <w:r w:rsidR="00C02F2E">
        <w:rPr>
          <w:rFonts w:cs="Arial"/>
          <w:szCs w:val="22"/>
        </w:rPr>
        <w:t>characteristics</w:t>
      </w:r>
      <w:r w:rsidR="00C02F2E" w:rsidRPr="006E347C">
        <w:rPr>
          <w:rFonts w:cs="Arial"/>
          <w:szCs w:val="22"/>
        </w:rPr>
        <w:t xml:space="preserve"> </w:t>
      </w:r>
      <w:r>
        <w:rPr>
          <w:rFonts w:cs="Arial"/>
          <w:szCs w:val="22"/>
        </w:rPr>
        <w:t xml:space="preserve">aim to </w:t>
      </w:r>
      <w:r w:rsidRPr="006E347C">
        <w:rPr>
          <w:rFonts w:cs="Arial"/>
          <w:szCs w:val="22"/>
        </w:rPr>
        <w:t xml:space="preserve">ensure that information from health classifications can be used by </w:t>
      </w:r>
      <w:r w:rsidRPr="006E347C">
        <w:rPr>
          <w:rFonts w:cs="Arial"/>
        </w:rPr>
        <w:t>jurisdictions, health services, clinicians and researchers for a variety of purposes</w:t>
      </w:r>
      <w:r w:rsidRPr="006E347C">
        <w:rPr>
          <w:rFonts w:cs="Arial"/>
          <w:szCs w:val="22"/>
        </w:rPr>
        <w:t xml:space="preserve"> including </w:t>
      </w:r>
      <w:r w:rsidRPr="006E347C">
        <w:rPr>
          <w:rFonts w:cs="Arial"/>
          <w:szCs w:val="22"/>
        </w:rPr>
        <w:lastRenderedPageBreak/>
        <w:t>clinical management, benchmarking, health services planning, research and epidemiological studies, budgeting</w:t>
      </w:r>
      <w:r w:rsidR="00460CF8">
        <w:rPr>
          <w:rFonts w:cs="Arial"/>
          <w:szCs w:val="22"/>
        </w:rPr>
        <w:t xml:space="preserve">, </w:t>
      </w:r>
      <w:r w:rsidRPr="006E347C">
        <w:rPr>
          <w:rFonts w:cs="Arial"/>
          <w:szCs w:val="22"/>
        </w:rPr>
        <w:t>funding</w:t>
      </w:r>
      <w:r w:rsidR="00460CF8">
        <w:rPr>
          <w:rFonts w:cs="Arial"/>
          <w:szCs w:val="22"/>
        </w:rPr>
        <w:t xml:space="preserve"> and improve patient care</w:t>
      </w:r>
      <w:r w:rsidRPr="006E347C">
        <w:rPr>
          <w:rFonts w:cs="Arial"/>
          <w:szCs w:val="22"/>
        </w:rPr>
        <w:t>.</w:t>
      </w:r>
    </w:p>
    <w:p w:rsidR="00753E41" w:rsidRDefault="00753E41" w:rsidP="00753E41">
      <w:r>
        <w:t>Although c</w:t>
      </w:r>
      <w:r w:rsidRPr="00055214">
        <w:t>lassification systems are a critical element of ABF system</w:t>
      </w:r>
      <w:r>
        <w:t xml:space="preserve">s, they have a multitude of uses beyond funding </w:t>
      </w:r>
      <w:r w:rsidR="00F30C6D">
        <w:t>system</w:t>
      </w:r>
      <w:r>
        <w:t>s</w:t>
      </w:r>
      <w:r w:rsidR="00F908AC">
        <w:t>,</w:t>
      </w:r>
      <w:r>
        <w:t xml:space="preserve"> including for research and shaping policy objectives. In developing the ANACC system, IHPA intends to ensure that health care service</w:t>
      </w:r>
      <w:r w:rsidR="00A93D36">
        <w:t xml:space="preserve"> providers</w:t>
      </w:r>
      <w:r>
        <w:t xml:space="preserve"> will be able to use the classification in the following ways: </w:t>
      </w:r>
    </w:p>
    <w:p w:rsidR="00753E41" w:rsidRDefault="00753E41" w:rsidP="009768EE">
      <w:pPr>
        <w:pStyle w:val="ListParagraph"/>
        <w:numPr>
          <w:ilvl w:val="0"/>
          <w:numId w:val="6"/>
        </w:numPr>
        <w:spacing w:before="0"/>
        <w:ind w:left="714" w:hanging="357"/>
      </w:pPr>
      <w:r>
        <w:t>assist with the clinical management of patients, such as facilitating improved reporting of the types of patients seen, services provided and outcomes of treatment</w:t>
      </w:r>
    </w:p>
    <w:p w:rsidR="00753E41" w:rsidRDefault="00753E41" w:rsidP="009768EE">
      <w:pPr>
        <w:pStyle w:val="ListParagraph"/>
        <w:numPr>
          <w:ilvl w:val="0"/>
          <w:numId w:val="6"/>
        </w:numPr>
        <w:spacing w:before="0"/>
        <w:ind w:left="714" w:hanging="357"/>
      </w:pPr>
      <w:r>
        <w:t>assist with the administrative management of patients and services</w:t>
      </w:r>
    </w:p>
    <w:p w:rsidR="00753E41" w:rsidRDefault="00753E41" w:rsidP="009768EE">
      <w:pPr>
        <w:pStyle w:val="ListParagraph"/>
        <w:numPr>
          <w:ilvl w:val="0"/>
          <w:numId w:val="6"/>
        </w:numPr>
        <w:spacing w:before="0"/>
        <w:ind w:left="714" w:hanging="357"/>
      </w:pPr>
      <w:r>
        <w:t>statistical reporting purposes</w:t>
      </w:r>
    </w:p>
    <w:p w:rsidR="00526C8C" w:rsidRDefault="00753E41" w:rsidP="009768EE">
      <w:pPr>
        <w:pStyle w:val="ListParagraph"/>
        <w:numPr>
          <w:ilvl w:val="0"/>
          <w:numId w:val="6"/>
        </w:numPr>
        <w:spacing w:before="0"/>
        <w:ind w:left="714" w:hanging="357"/>
      </w:pPr>
      <w:r>
        <w:t>quality improvement initiatives, such as enabling</w:t>
      </w:r>
      <w:r w:rsidRPr="00216CE9">
        <w:t xml:space="preserve"> benchmarking across similar services</w:t>
      </w:r>
    </w:p>
    <w:p w:rsidR="00753E41" w:rsidRDefault="00526C8C" w:rsidP="009768EE">
      <w:pPr>
        <w:pStyle w:val="ListParagraph"/>
        <w:numPr>
          <w:ilvl w:val="0"/>
          <w:numId w:val="6"/>
        </w:numPr>
        <w:spacing w:before="0"/>
        <w:ind w:left="714" w:hanging="357"/>
      </w:pPr>
      <w:r>
        <w:t>develop innovative and integrated models of care</w:t>
      </w:r>
      <w:r w:rsidR="00753E41" w:rsidRPr="00216CE9">
        <w:t>.</w:t>
      </w:r>
    </w:p>
    <w:p w:rsidR="00753E41" w:rsidRDefault="00753E41" w:rsidP="00753E41">
      <w:r>
        <w:t xml:space="preserve">IHPA </w:t>
      </w:r>
      <w:r w:rsidR="00A12411">
        <w:t xml:space="preserve">understands </w:t>
      </w:r>
      <w:r>
        <w:t>the scope of the classification beyond ABF</w:t>
      </w:r>
      <w:r w:rsidR="00A12411">
        <w:t xml:space="preserve"> and future </w:t>
      </w:r>
      <w:r>
        <w:t xml:space="preserve">use of ANACC will not be limited to the funding of non-admitted care services. </w:t>
      </w:r>
    </w:p>
    <w:p w:rsidR="00F141B5" w:rsidRPr="004D750E" w:rsidRDefault="00F141B5" w:rsidP="009768EE">
      <w:pPr>
        <w:pStyle w:val="Heading2"/>
        <w:numPr>
          <w:ilvl w:val="1"/>
          <w:numId w:val="69"/>
        </w:numPr>
        <w:ind w:left="1094" w:hanging="737"/>
        <w:contextualSpacing w:val="0"/>
      </w:pPr>
      <w:bookmarkStart w:id="20" w:name="_Toc494105956"/>
      <w:r w:rsidRPr="004D750E">
        <w:t>Project objectives</w:t>
      </w:r>
      <w:bookmarkEnd w:id="20"/>
    </w:p>
    <w:p w:rsidR="00F141B5" w:rsidRDefault="00F141B5" w:rsidP="00F141B5">
      <w:r>
        <w:t xml:space="preserve">The ANACC system is being developed in-house by IHPA as a long-term classification for the non-admitted care sector to replace the existing Tier 2 classification. It is intended to be a patient-based classification and, </w:t>
      </w:r>
      <w:r w:rsidRPr="00D45DD7">
        <w:t>where possible</w:t>
      </w:r>
      <w:r>
        <w:t>, will</w:t>
      </w:r>
      <w:r w:rsidRPr="00D45DD7">
        <w:t xml:space="preserve"> </w:t>
      </w:r>
      <w:r w:rsidR="00A93D36">
        <w:t xml:space="preserve">include </w:t>
      </w:r>
      <w:r w:rsidRPr="00D45DD7">
        <w:t>data elements that reflect the characteristic</w:t>
      </w:r>
      <w:r>
        <w:t>s</w:t>
      </w:r>
      <w:r w:rsidRPr="00D45DD7">
        <w:t xml:space="preserve"> of patients</w:t>
      </w:r>
      <w:r w:rsidR="00540A15">
        <w:t>.</w:t>
      </w:r>
    </w:p>
    <w:p w:rsidR="00F141B5" w:rsidRPr="004D750E" w:rsidRDefault="00F141B5" w:rsidP="009768EE">
      <w:pPr>
        <w:pStyle w:val="Heading2"/>
        <w:numPr>
          <w:ilvl w:val="1"/>
          <w:numId w:val="69"/>
        </w:numPr>
        <w:ind w:left="1094" w:hanging="737"/>
      </w:pPr>
      <w:bookmarkStart w:id="21" w:name="_Toc494105957"/>
      <w:r w:rsidRPr="004D750E">
        <w:t xml:space="preserve">Project </w:t>
      </w:r>
      <w:r w:rsidR="00C30658">
        <w:t>phases</w:t>
      </w:r>
      <w:bookmarkEnd w:id="21"/>
    </w:p>
    <w:p w:rsidR="006709CE" w:rsidRDefault="00F30C6D" w:rsidP="006709CE">
      <w:r>
        <w:t>T</w:t>
      </w:r>
      <w:r w:rsidR="006709CE">
        <w:t>he ANACC system is being developed by IHPA to provide an evidence-based classification system for non-admitted care services. Developing the classification includes:</w:t>
      </w:r>
    </w:p>
    <w:p w:rsidR="006709CE" w:rsidRDefault="006709CE" w:rsidP="009768EE">
      <w:pPr>
        <w:pStyle w:val="ListParagraph"/>
        <w:numPr>
          <w:ilvl w:val="0"/>
          <w:numId w:val="6"/>
        </w:numPr>
        <w:spacing w:before="0"/>
        <w:ind w:left="714" w:hanging="357"/>
      </w:pPr>
      <w:r>
        <w:t xml:space="preserve">A comprehensive </w:t>
      </w:r>
      <w:r w:rsidRPr="00DB4307">
        <w:t>review</w:t>
      </w:r>
      <w:r>
        <w:t xml:space="preserve"> </w:t>
      </w:r>
      <w:r w:rsidRPr="00DB4307">
        <w:t>of both national and international non-admitted classification systems to identify various data elements, cost drivers, classification structures and units of count</w:t>
      </w:r>
      <w:r>
        <w:t xml:space="preserve"> (completed).</w:t>
      </w:r>
    </w:p>
    <w:p w:rsidR="006709CE" w:rsidRDefault="006709CE" w:rsidP="009768EE">
      <w:pPr>
        <w:pStyle w:val="ListParagraph"/>
        <w:numPr>
          <w:ilvl w:val="0"/>
          <w:numId w:val="6"/>
        </w:numPr>
        <w:spacing w:before="0"/>
        <w:ind w:left="714" w:hanging="357"/>
      </w:pPr>
      <w:r>
        <w:t>A statistical data analysis of non-admitted care data to identify cost drivers and key data trends (completed).</w:t>
      </w:r>
    </w:p>
    <w:p w:rsidR="006709CE" w:rsidRDefault="006709CE" w:rsidP="009768EE">
      <w:pPr>
        <w:pStyle w:val="ListParagraph"/>
        <w:numPr>
          <w:ilvl w:val="0"/>
          <w:numId w:val="6"/>
        </w:numPr>
        <w:spacing w:before="0"/>
        <w:ind w:left="714" w:hanging="357"/>
      </w:pPr>
      <w:r>
        <w:t>A national consultation to seek non-admitted stakeholders’ views on the future characteristics of the ANACC system (underway).</w:t>
      </w:r>
    </w:p>
    <w:p w:rsidR="006709CE" w:rsidRDefault="006709CE" w:rsidP="009768EE">
      <w:pPr>
        <w:pStyle w:val="ListParagraph"/>
        <w:numPr>
          <w:ilvl w:val="0"/>
          <w:numId w:val="6"/>
        </w:numPr>
        <w:spacing w:before="0"/>
        <w:ind w:left="714" w:hanging="357"/>
      </w:pPr>
      <w:r>
        <w:t>The development of a recommended classification system for non-admitted care services (2018-19).</w:t>
      </w:r>
    </w:p>
    <w:p w:rsidR="006709CE" w:rsidDel="00753E41" w:rsidRDefault="006709CE" w:rsidP="007A018E">
      <w:pPr>
        <w:pStyle w:val="ListParagraph"/>
        <w:numPr>
          <w:ilvl w:val="0"/>
          <w:numId w:val="6"/>
        </w:numPr>
        <w:spacing w:before="0"/>
        <w:ind w:left="714" w:hanging="357"/>
      </w:pPr>
      <w:r>
        <w:t>Reference documents necessary to support the implementation of the ANACC system for ABF purposes (2018-19).</w:t>
      </w:r>
    </w:p>
    <w:p w:rsidR="00B04A18" w:rsidRPr="006C74B4" w:rsidRDefault="00B04A18" w:rsidP="009768EE">
      <w:pPr>
        <w:pStyle w:val="Heading2"/>
        <w:numPr>
          <w:ilvl w:val="1"/>
          <w:numId w:val="69"/>
        </w:numPr>
        <w:ind w:left="1094" w:hanging="737"/>
        <w:contextualSpacing w:val="0"/>
      </w:pPr>
      <w:bookmarkStart w:id="22" w:name="_Toc494105958"/>
      <w:r w:rsidRPr="006C74B4">
        <w:t>Project governance</w:t>
      </w:r>
      <w:bookmarkEnd w:id="22"/>
      <w:r w:rsidRPr="006C74B4">
        <w:t xml:space="preserve"> </w:t>
      </w:r>
    </w:p>
    <w:p w:rsidR="00D11ACB" w:rsidRDefault="00D11ACB" w:rsidP="00D11ACB">
      <w:r w:rsidRPr="00FB0D53">
        <w:t xml:space="preserve">The </w:t>
      </w:r>
      <w:r>
        <w:t xml:space="preserve">development of the ANACC system </w:t>
      </w:r>
      <w:r w:rsidR="005E0C9D">
        <w:t xml:space="preserve">is managed by IHPA </w:t>
      </w:r>
      <w:r>
        <w:t>and supported</w:t>
      </w:r>
      <w:r w:rsidRPr="00FB0D53">
        <w:t xml:space="preserve"> by the </w:t>
      </w:r>
      <w:r w:rsidR="00A277B7">
        <w:br/>
      </w:r>
      <w:r>
        <w:t>Non-Admitted Care Advisory Working Group (NACAWG)</w:t>
      </w:r>
      <w:r w:rsidR="00A277B7">
        <w:t xml:space="preserve"> and specialist clinical and classification advisors</w:t>
      </w:r>
      <w:r>
        <w:t>.</w:t>
      </w:r>
    </w:p>
    <w:p w:rsidR="00D11ACB" w:rsidRDefault="00D11ACB" w:rsidP="00D11ACB">
      <w:r>
        <w:t xml:space="preserve">NACAWG </w:t>
      </w:r>
      <w:r w:rsidRPr="00CF6F5A">
        <w:t>includes</w:t>
      </w:r>
      <w:r>
        <w:t xml:space="preserve"> </w:t>
      </w:r>
      <w:r w:rsidRPr="00CF6F5A">
        <w:t xml:space="preserve">jurisdictional representatives from state, territory and </w:t>
      </w:r>
      <w:r>
        <w:t xml:space="preserve">Commonwealth health departments and representatives from </w:t>
      </w:r>
      <w:r w:rsidRPr="00F20125">
        <w:t>IHPA</w:t>
      </w:r>
      <w:r>
        <w:t>’s</w:t>
      </w:r>
      <w:r w:rsidRPr="00F20125">
        <w:t xml:space="preserve"> Clinical Advisory Committee</w:t>
      </w:r>
      <w:r>
        <w:t xml:space="preserve"> (CAC). NACAWG also includes representatives from the following organisations:</w:t>
      </w:r>
    </w:p>
    <w:p w:rsidR="00D11ACB" w:rsidRDefault="00D11ACB" w:rsidP="009768EE">
      <w:pPr>
        <w:pStyle w:val="ListParagraph"/>
        <w:numPr>
          <w:ilvl w:val="0"/>
          <w:numId w:val="6"/>
        </w:numPr>
        <w:spacing w:before="0"/>
        <w:ind w:left="714" w:hanging="357"/>
      </w:pPr>
      <w:r>
        <w:lastRenderedPageBreak/>
        <w:t>Allied Health Professions Australia</w:t>
      </w:r>
    </w:p>
    <w:p w:rsidR="00D11ACB" w:rsidRDefault="00D11ACB" w:rsidP="009768EE">
      <w:pPr>
        <w:pStyle w:val="ListParagraph"/>
        <w:numPr>
          <w:ilvl w:val="0"/>
          <w:numId w:val="6"/>
        </w:numPr>
        <w:spacing w:before="0"/>
        <w:ind w:left="714" w:hanging="357"/>
      </w:pPr>
      <w:r>
        <w:t>Australian College of Nursing</w:t>
      </w:r>
    </w:p>
    <w:p w:rsidR="00D11ACB" w:rsidRDefault="00D11ACB" w:rsidP="009768EE">
      <w:pPr>
        <w:pStyle w:val="ListParagraph"/>
        <w:numPr>
          <w:ilvl w:val="0"/>
          <w:numId w:val="6"/>
        </w:numPr>
        <w:spacing w:before="0"/>
        <w:ind w:left="714" w:hanging="357"/>
      </w:pPr>
      <w:r>
        <w:t>Private Healthcare Australia</w:t>
      </w:r>
    </w:p>
    <w:p w:rsidR="00D11ACB" w:rsidRDefault="00D11ACB" w:rsidP="009768EE">
      <w:pPr>
        <w:pStyle w:val="ListParagraph"/>
        <w:numPr>
          <w:ilvl w:val="0"/>
          <w:numId w:val="6"/>
        </w:numPr>
        <w:spacing w:before="0"/>
        <w:ind w:left="714" w:hanging="357"/>
      </w:pPr>
      <w:r>
        <w:t xml:space="preserve">National Health Funding Body </w:t>
      </w:r>
    </w:p>
    <w:p w:rsidR="00D11ACB" w:rsidRDefault="00D11ACB" w:rsidP="009768EE">
      <w:pPr>
        <w:pStyle w:val="ListParagraph"/>
        <w:numPr>
          <w:ilvl w:val="0"/>
          <w:numId w:val="6"/>
        </w:numPr>
        <w:spacing w:before="0"/>
        <w:ind w:left="714" w:hanging="357"/>
      </w:pPr>
      <w:r>
        <w:t>Royal Australian College of Physicians.</w:t>
      </w:r>
    </w:p>
    <w:p w:rsidR="007E6E56" w:rsidRDefault="007E6E56" w:rsidP="00D11ACB">
      <w:r>
        <w:t>Once developed and approved by IHPA’s committees and the Pricing Authority, the draft ANACC system version 1.0 will be presented to Health Ministers for final review and endorsement.</w:t>
      </w:r>
    </w:p>
    <w:p w:rsidR="00B04A18" w:rsidRDefault="00B04A18">
      <w:pPr>
        <w:spacing w:before="0" w:after="0" w:line="240" w:lineRule="auto"/>
      </w:pPr>
    </w:p>
    <w:p w:rsidR="00C91BFB" w:rsidRPr="00C91BFB" w:rsidRDefault="00C91BFB" w:rsidP="00C91BFB">
      <w:pPr>
        <w:spacing w:before="0" w:after="0" w:line="240" w:lineRule="auto"/>
      </w:pPr>
      <w:r>
        <w:br w:type="page"/>
      </w:r>
    </w:p>
    <w:p w:rsidR="003C2734" w:rsidRPr="00B7234C" w:rsidRDefault="00B7234C" w:rsidP="00C30658">
      <w:pPr>
        <w:pStyle w:val="Heading1"/>
        <w:numPr>
          <w:ilvl w:val="0"/>
          <w:numId w:val="69"/>
        </w:numPr>
      </w:pPr>
      <w:bookmarkStart w:id="23" w:name="_Toc494105959"/>
      <w:r>
        <w:lastRenderedPageBreak/>
        <w:t>The non-admitted c</w:t>
      </w:r>
      <w:r w:rsidR="003C2734" w:rsidRPr="00B7234C">
        <w:t>are landscape in Australia</w:t>
      </w:r>
      <w:bookmarkEnd w:id="23"/>
    </w:p>
    <w:p w:rsidR="00BB2656" w:rsidRPr="00BB2656" w:rsidRDefault="00BB2656" w:rsidP="00BB2656">
      <w:pPr>
        <w:rPr>
          <w:color w:val="008A00"/>
          <w:szCs w:val="30"/>
        </w:rPr>
      </w:pPr>
      <w:r w:rsidRPr="00BB2656">
        <w:rPr>
          <w:color w:val="008A00"/>
          <w:szCs w:val="30"/>
        </w:rPr>
        <w:t xml:space="preserve">The health of our population is critical to the social and economic wellbeing of the country. Like other developed countries Australia is facing challenges to address the pressure of demand growth from an ageing population, increasing consumer expectations, </w:t>
      </w:r>
      <w:r w:rsidR="00362CD9">
        <w:rPr>
          <w:color w:val="008A00"/>
          <w:szCs w:val="30"/>
        </w:rPr>
        <w:t xml:space="preserve">the </w:t>
      </w:r>
      <w:r w:rsidRPr="00BB2656">
        <w:rPr>
          <w:color w:val="008A00"/>
          <w:szCs w:val="30"/>
        </w:rPr>
        <w:t>rising burden of chronic disease and obesity and an explosion of high cost health technologies and treatments.</w:t>
      </w:r>
    </w:p>
    <w:p w:rsidR="00BB2656" w:rsidRDefault="00BB2656" w:rsidP="00BB2656">
      <w:pPr>
        <w:rPr>
          <w:color w:val="008A00"/>
          <w:szCs w:val="30"/>
        </w:rPr>
      </w:pPr>
      <w:r w:rsidRPr="00BB2656">
        <w:rPr>
          <w:color w:val="008A00"/>
          <w:szCs w:val="30"/>
        </w:rPr>
        <w:t>Common themes in strategies to design the future state health system look to address access, quality and financial sustainability through improving appropriateness, efficiency and minimising low value care. At a fundamental level the health system of the future needs to be designed to deliver the right care, in the right place, at the right time.</w:t>
      </w:r>
    </w:p>
    <w:p w:rsidR="0034019B" w:rsidRPr="00BB2656" w:rsidRDefault="0034019B" w:rsidP="00BB2656">
      <w:pPr>
        <w:rPr>
          <w:color w:val="008A00"/>
          <w:szCs w:val="30"/>
        </w:rPr>
      </w:pPr>
      <w:r>
        <w:rPr>
          <w:color w:val="008A00"/>
          <w:szCs w:val="30"/>
        </w:rPr>
        <w:t xml:space="preserve">IHPA’s role in developing a new classification is to ensure that it has the capacity to take account of structural and technological changes, and does not act as an impediment to funding and delivering high quality care. </w:t>
      </w:r>
    </w:p>
    <w:p w:rsidR="003C2734" w:rsidRPr="00B7234C" w:rsidRDefault="003C2734" w:rsidP="00C30658">
      <w:pPr>
        <w:pStyle w:val="Heading2"/>
        <w:numPr>
          <w:ilvl w:val="1"/>
          <w:numId w:val="69"/>
        </w:numPr>
      </w:pPr>
      <w:bookmarkStart w:id="24" w:name="_Toc494105960"/>
      <w:r w:rsidRPr="00B7234C">
        <w:t>Health system trends</w:t>
      </w:r>
      <w:bookmarkEnd w:id="24"/>
    </w:p>
    <w:p w:rsidR="00BB2656" w:rsidRDefault="001B1DE5" w:rsidP="00BB2656">
      <w:r>
        <w:t xml:space="preserve">The last decade in Australia has been characterised by </w:t>
      </w:r>
      <w:r w:rsidR="00BB2656" w:rsidRPr="009E5A26">
        <w:t>a strong focus on improving efficiency</w:t>
      </w:r>
      <w:r w:rsidR="0034019B">
        <w:t xml:space="preserve"> in hospital care, including </w:t>
      </w:r>
      <w:r w:rsidR="00BB2656" w:rsidRPr="009E5A26">
        <w:t>through the reduction in hospital length of stay which has been decreasing steadily</w:t>
      </w:r>
      <w:r w:rsidR="0034019B">
        <w:t>,</w:t>
      </w:r>
      <w:r w:rsidR="00BB2656" w:rsidRPr="009E5A26">
        <w:t xml:space="preserve"> and an increase in the percentage of inpatient activity managed on a same day basis</w:t>
      </w:r>
      <w:r w:rsidR="00BB2656" w:rsidRPr="00A83032">
        <w:t xml:space="preserve">. </w:t>
      </w:r>
      <w:r w:rsidR="0034019B" w:rsidRPr="00A83032">
        <w:t>In addition, there has</w:t>
      </w:r>
      <w:r w:rsidR="00A83032" w:rsidRPr="001B1DE5">
        <w:t xml:space="preserve"> been increasing attention on improving</w:t>
      </w:r>
      <w:r w:rsidR="00BB2656">
        <w:t xml:space="preserve"> safety and quality</w:t>
      </w:r>
      <w:r w:rsidR="007C0F9C">
        <w:t xml:space="preserve"> in hospitals</w:t>
      </w:r>
      <w:r w:rsidR="00BB2656">
        <w:t xml:space="preserve"> and a maturing of performance management frameworks to provide a better balance between financial and clinical care performance.  </w:t>
      </w:r>
    </w:p>
    <w:p w:rsidR="00BB2656" w:rsidRDefault="00BB2656" w:rsidP="00BB2656">
      <w:r>
        <w:t>As hospitals and health system managers drive improved efficiency</w:t>
      </w:r>
      <w:r w:rsidR="001E0E34">
        <w:t>,</w:t>
      </w:r>
      <w:r>
        <w:t xml:space="preserve"> the boundaries between the traditional care silos of admitted acute, non-admitted, subacute and primary care are being questioned and tested. Strategies to reduce length of stay and waste</w:t>
      </w:r>
      <w:r w:rsidR="006138EF">
        <w:t xml:space="preserve"> in the system</w:t>
      </w:r>
      <w:r>
        <w:t xml:space="preserve"> focus on streamlining processes to eliminate any activities that do not add value to patient care. This has led to a number of practices including</w:t>
      </w:r>
      <w:r w:rsidR="00362CD9">
        <w:t>:</w:t>
      </w:r>
    </w:p>
    <w:p w:rsidR="00BB2656" w:rsidRDefault="00BB2656" w:rsidP="009768EE">
      <w:pPr>
        <w:pStyle w:val="ListParagraph"/>
        <w:numPr>
          <w:ilvl w:val="0"/>
          <w:numId w:val="6"/>
        </w:numPr>
        <w:spacing w:before="0"/>
        <w:ind w:left="714" w:hanging="357"/>
      </w:pPr>
      <w:r>
        <w:t xml:space="preserve">rehabilitation in-reach to acute care programs </w:t>
      </w:r>
    </w:p>
    <w:p w:rsidR="00BB2656" w:rsidRDefault="00BB2656" w:rsidP="009768EE">
      <w:pPr>
        <w:pStyle w:val="ListParagraph"/>
        <w:numPr>
          <w:ilvl w:val="0"/>
          <w:numId w:val="6"/>
        </w:numPr>
        <w:spacing w:before="0"/>
        <w:ind w:left="714" w:hanging="357"/>
      </w:pPr>
      <w:r>
        <w:t>increasing day only models</w:t>
      </w:r>
    </w:p>
    <w:p w:rsidR="00BB2656" w:rsidRDefault="00BB2656" w:rsidP="009768EE">
      <w:pPr>
        <w:pStyle w:val="ListParagraph"/>
        <w:numPr>
          <w:ilvl w:val="0"/>
          <w:numId w:val="6"/>
        </w:numPr>
        <w:spacing w:before="0"/>
        <w:ind w:left="714" w:hanging="357"/>
      </w:pPr>
      <w:r>
        <w:t>expanding criteria for ambulatory care moving admitted to non-admitted care</w:t>
      </w:r>
    </w:p>
    <w:p w:rsidR="00BB2656" w:rsidRDefault="00BB2656" w:rsidP="009768EE">
      <w:pPr>
        <w:pStyle w:val="ListParagraph"/>
        <w:numPr>
          <w:ilvl w:val="0"/>
          <w:numId w:val="6"/>
        </w:numPr>
        <w:spacing w:before="0"/>
        <w:ind w:left="714" w:hanging="357"/>
      </w:pPr>
      <w:r>
        <w:t xml:space="preserve">Hospital in the Home (HITH) services. </w:t>
      </w:r>
    </w:p>
    <w:p w:rsidR="00BB2656" w:rsidRDefault="00BB2656" w:rsidP="007D043D">
      <w:r>
        <w:t xml:space="preserve">Care which has traditionally been </w:t>
      </w:r>
      <w:r w:rsidR="007C0F9C">
        <w:t xml:space="preserve">provided in the </w:t>
      </w:r>
      <w:r>
        <w:t>admitted</w:t>
      </w:r>
      <w:r w:rsidR="007C0F9C">
        <w:t xml:space="preserve"> setting is increasingly delivered through non-admitted services for example </w:t>
      </w:r>
      <w:r>
        <w:t xml:space="preserve">day procedures such as cataract extraction or radiotherapy. </w:t>
      </w:r>
    </w:p>
    <w:p w:rsidR="00BB2656" w:rsidRDefault="00216E8E" w:rsidP="00BB2656">
      <w:r>
        <w:t>Local Health Networks (</w:t>
      </w:r>
      <w:r w:rsidR="00BB2656">
        <w:t>LHNs</w:t>
      </w:r>
      <w:r>
        <w:t>)</w:t>
      </w:r>
      <w:r w:rsidR="00BB2656">
        <w:t xml:space="preserve"> </w:t>
      </w:r>
      <w:r w:rsidR="00DE4B73">
        <w:t>are</w:t>
      </w:r>
      <w:r w:rsidR="00BB2656">
        <w:t xml:space="preserve"> redesign</w:t>
      </w:r>
      <w:r w:rsidR="00DE4B73">
        <w:t>ing</w:t>
      </w:r>
      <w:r w:rsidR="00BB2656">
        <w:t xml:space="preserve"> their community health services, changing their goals and function to better manage the acute hospital community interface. HITH are becoming business as usual however challenges remain in true primary and specialist care integration to manage complex patient health needs outside hospital walls. </w:t>
      </w:r>
    </w:p>
    <w:p w:rsidR="00050FC1" w:rsidRDefault="00050FC1" w:rsidP="00BB2656"/>
    <w:p w:rsidR="00050FC1" w:rsidRDefault="00050FC1" w:rsidP="00BB2656">
      <w:r>
        <w:lastRenderedPageBreak/>
        <w:t>There has been an increasing trend to evaluate the effectiveness of care delivery and dis</w:t>
      </w:r>
      <w:r w:rsidR="005F4C49">
        <w:t>i</w:t>
      </w:r>
      <w:r>
        <w:t>ncentivi</w:t>
      </w:r>
      <w:r w:rsidR="00974539">
        <w:t>s</w:t>
      </w:r>
      <w:r>
        <w:t xml:space="preserve">e the provision of “low value care”.  There is an ongoing need to ensure that the health care delivered ensures the desired results and </w:t>
      </w:r>
      <w:r w:rsidR="00CE3914">
        <w:t xml:space="preserve">thus </w:t>
      </w:r>
      <w:r>
        <w:t>improves patient outcomes.</w:t>
      </w:r>
    </w:p>
    <w:p w:rsidR="001B1DE5" w:rsidRDefault="001B1DE5" w:rsidP="00BB2656">
      <w:r>
        <w:t xml:space="preserve">In designing a new classification for non-admitted care services, IHPA is </w:t>
      </w:r>
      <w:r w:rsidR="00992C0E">
        <w:t>considering t</w:t>
      </w:r>
      <w:r>
        <w:t xml:space="preserve">hese trends and </w:t>
      </w:r>
      <w:r w:rsidR="00992C0E">
        <w:t xml:space="preserve">the </w:t>
      </w:r>
      <w:r>
        <w:t xml:space="preserve">shifts of </w:t>
      </w:r>
      <w:r w:rsidR="00992C0E">
        <w:t>activity between the admitted, non-admitted and primary care sectors. The first version of the classification will include a list of intervention-type variables reflecting current and future models of care. The list will be developed in close consultation with non</w:t>
      </w:r>
      <w:r w:rsidR="00974539">
        <w:noBreakHyphen/>
      </w:r>
      <w:r w:rsidR="00992C0E">
        <w:t>admitted care specialists and clinicians.</w:t>
      </w:r>
    </w:p>
    <w:p w:rsidR="00BB2656" w:rsidRPr="00B7234C" w:rsidRDefault="00BB2656" w:rsidP="00C30658">
      <w:pPr>
        <w:pStyle w:val="Heading3"/>
        <w:numPr>
          <w:ilvl w:val="2"/>
          <w:numId w:val="69"/>
        </w:numPr>
      </w:pPr>
      <w:bookmarkStart w:id="25" w:name="_Toc475455676"/>
      <w:bookmarkStart w:id="26" w:name="_Toc494105961"/>
      <w:r w:rsidRPr="00B7234C">
        <w:t>Primary care boundaries with public hospital services</w:t>
      </w:r>
      <w:bookmarkEnd w:id="25"/>
      <w:bookmarkEnd w:id="26"/>
    </w:p>
    <w:p w:rsidR="00BB2656" w:rsidRDefault="00BB2656" w:rsidP="00BB2656">
      <w:r>
        <w:t xml:space="preserve">Historically there has been a divide between acute hospital and primary care services with interaction largely limited to referral and discharge communications. The exception to this is small </w:t>
      </w:r>
      <w:r w:rsidR="003F3F89">
        <w:t>general practitioner</w:t>
      </w:r>
      <w:r w:rsidR="007C0F9C">
        <w:t xml:space="preserve"> (GP)</w:t>
      </w:r>
      <w:r>
        <w:t>-led hospitals in rural and remote areas.</w:t>
      </w:r>
      <w:r w:rsidR="005F4C49">
        <w:t xml:space="preserve"> </w:t>
      </w:r>
      <w:r w:rsidR="007C0F9C">
        <w:t>In recent years</w:t>
      </w:r>
      <w:r w:rsidR="00A93D36">
        <w:t xml:space="preserve"> the </w:t>
      </w:r>
      <w:r>
        <w:t xml:space="preserve">boundaries between acute </w:t>
      </w:r>
      <w:r w:rsidR="00A93D36">
        <w:t xml:space="preserve">hospital </w:t>
      </w:r>
      <w:r>
        <w:t>and primary care</w:t>
      </w:r>
      <w:r w:rsidR="00A93D36">
        <w:t xml:space="preserve"> have changed in terms of the patients and types of treatment offered in the different settings</w:t>
      </w:r>
      <w:r>
        <w:t>. Services which have traditionally sat with hospital specialist services such as management of anticoagulation treatment for Deep Vein Thrombosis or Pulmonary Embolism</w:t>
      </w:r>
      <w:r w:rsidR="006B5250">
        <w:t>,</w:t>
      </w:r>
      <w:r>
        <w:t xml:space="preserve"> may be safely transferred to </w:t>
      </w:r>
      <w:r w:rsidR="00CE3914">
        <w:t xml:space="preserve">a </w:t>
      </w:r>
      <w:r w:rsidR="003F3F89">
        <w:t xml:space="preserve">GP </w:t>
      </w:r>
      <w:r>
        <w:t xml:space="preserve">with support if needed from medical specialists. These trends underline the importance of ensuring that classification systems do not create a barrier for innovation or create artificial provider-centric boundaries. </w:t>
      </w:r>
    </w:p>
    <w:p w:rsidR="00BB2656" w:rsidRDefault="00BB2656" w:rsidP="00BB2656">
      <w:r>
        <w:t xml:space="preserve">Other strategies </w:t>
      </w:r>
      <w:r w:rsidR="00A93D36">
        <w:t xml:space="preserve">to improve access to care </w:t>
      </w:r>
      <w:r w:rsidR="00DF3E8D">
        <w:t xml:space="preserve">have been the </w:t>
      </w:r>
      <w:r w:rsidR="00A83032">
        <w:t>integration</w:t>
      </w:r>
      <w:r w:rsidR="00DF3E8D">
        <w:t xml:space="preserve"> of </w:t>
      </w:r>
      <w:r>
        <w:t>preventative medicine with acute care</w:t>
      </w:r>
      <w:r w:rsidR="00DF3E8D">
        <w:t>,</w:t>
      </w:r>
      <w:r>
        <w:t xml:space="preserve"> </w:t>
      </w:r>
      <w:r w:rsidR="00DF3E8D">
        <w:t>for example</w:t>
      </w:r>
      <w:r>
        <w:t xml:space="preserve"> musculoskeletal clinics to manage obesity prior to elective surgery listing for joint replacement surgery.</w:t>
      </w:r>
      <w:r w:rsidR="00DF3E8D">
        <w:t xml:space="preserve"> In addition, m</w:t>
      </w:r>
      <w:r>
        <w:t xml:space="preserve">aternity care models are also bridging the divide between acute and primary care with inter-professional teams, midwife management with obstetrician and GP support for low risk births. </w:t>
      </w:r>
    </w:p>
    <w:p w:rsidR="006B5250" w:rsidRDefault="006B5250" w:rsidP="006B5250">
      <w:bookmarkStart w:id="27" w:name="_Toc475455677"/>
      <w:r>
        <w:t xml:space="preserve">Models that may be found in managed care organisations and healthcare hubs offer integrated primary and specialist services working as a team. Patients are triaged and risk-stratified to the most appropriate health care professional. </w:t>
      </w:r>
      <w:r w:rsidR="00CE3914">
        <w:t>Managed care models a</w:t>
      </w:r>
      <w:r>
        <w:t xml:space="preserve">re most often </w:t>
      </w:r>
      <w:r w:rsidR="00CE3914">
        <w:t xml:space="preserve">suitable </w:t>
      </w:r>
      <w:r>
        <w:t>for</w:t>
      </w:r>
      <w:r w:rsidR="00CE3914">
        <w:t xml:space="preserve"> the</w:t>
      </w:r>
      <w:r>
        <w:t xml:space="preserve"> management of </w:t>
      </w:r>
      <w:r w:rsidR="00CE3914">
        <w:t xml:space="preserve">people with </w:t>
      </w:r>
      <w:r>
        <w:t xml:space="preserve">chronic diseases including diabetes and respiratory disease. The models require common healthcare records, </w:t>
      </w:r>
      <w:r w:rsidR="0060395E">
        <w:t xml:space="preserve">shared </w:t>
      </w:r>
      <w:r>
        <w:t xml:space="preserve">models of care, </w:t>
      </w:r>
      <w:r w:rsidR="00526C8C">
        <w:t xml:space="preserve">care coordination and </w:t>
      </w:r>
      <w:r>
        <w:t>referral and funding systems that allow flexibility to direct patients to deliver th</w:t>
      </w:r>
      <w:r w:rsidR="00F30C6D">
        <w:t>e</w:t>
      </w:r>
      <w:r>
        <w:t xml:space="preserve"> right level of care and the right provider.</w:t>
      </w:r>
    </w:p>
    <w:p w:rsidR="00443733" w:rsidRDefault="00CE3914" w:rsidP="00443733">
      <w:r>
        <w:t>Managed care models</w:t>
      </w:r>
      <w:r w:rsidR="00443733">
        <w:t xml:space="preserve"> provide many opportunities for </w:t>
      </w:r>
      <w:r w:rsidR="0060395E">
        <w:t>improvements in</w:t>
      </w:r>
      <w:r w:rsidR="00443733">
        <w:t xml:space="preserve"> care but they also </w:t>
      </w:r>
      <w:r w:rsidR="00443733" w:rsidRPr="004D75B2">
        <w:t>provide</w:t>
      </w:r>
      <w:r w:rsidR="00443733">
        <w:t xml:space="preserve"> challenges for data and classification systems which remain focused on traditional care settings.</w:t>
      </w:r>
    </w:p>
    <w:p w:rsidR="000B6DB6" w:rsidRDefault="000B6DB6" w:rsidP="006B5250">
      <w:r>
        <w:t xml:space="preserve">The new classification will </w:t>
      </w:r>
      <w:r w:rsidR="006566C1">
        <w:t xml:space="preserve">need to </w:t>
      </w:r>
      <w:r w:rsidR="006F0178">
        <w:t>encompass</w:t>
      </w:r>
      <w:r>
        <w:t xml:space="preserve"> these new models and should not create a barrier for innovation. In addition, IHPA will aim to align terminology with other classifications so </w:t>
      </w:r>
      <w:r w:rsidR="0060395E">
        <w:t>patient</w:t>
      </w:r>
      <w:r w:rsidR="006F0178">
        <w:t xml:space="preserve"> care</w:t>
      </w:r>
      <w:r w:rsidR="0060395E">
        <w:t xml:space="preserve"> </w:t>
      </w:r>
      <w:r w:rsidR="006F0178">
        <w:t xml:space="preserve">can </w:t>
      </w:r>
      <w:r w:rsidR="0060395E">
        <w:t xml:space="preserve">be </w:t>
      </w:r>
      <w:r w:rsidR="006F0178">
        <w:t xml:space="preserve">managed </w:t>
      </w:r>
      <w:r>
        <w:t>across settings.</w:t>
      </w:r>
    </w:p>
    <w:p w:rsidR="00832DB5" w:rsidRPr="00832DB5" w:rsidRDefault="00BB2656" w:rsidP="00832DB5">
      <w:pPr>
        <w:pStyle w:val="Heading3"/>
        <w:numPr>
          <w:ilvl w:val="2"/>
          <w:numId w:val="69"/>
        </w:numPr>
      </w:pPr>
      <w:bookmarkStart w:id="28" w:name="_Toc494105962"/>
      <w:r w:rsidRPr="00B7234C">
        <w:t>Chronic disease models</w:t>
      </w:r>
      <w:bookmarkEnd w:id="27"/>
      <w:bookmarkEnd w:id="28"/>
    </w:p>
    <w:p w:rsidR="00BB2656" w:rsidRDefault="0060395E" w:rsidP="00BB2656">
      <w:r>
        <w:t xml:space="preserve">There is </w:t>
      </w:r>
      <w:r w:rsidR="00BB2656">
        <w:t xml:space="preserve">increasing understanding </w:t>
      </w:r>
      <w:r w:rsidR="00C0401D">
        <w:t xml:space="preserve">by health care providers and policy makers </w:t>
      </w:r>
      <w:r w:rsidR="00BB2656">
        <w:t xml:space="preserve">of the systems that are required to improve care for patients with chronic disease and complex needs. </w:t>
      </w:r>
      <w:r w:rsidR="008F3813">
        <w:t>Some of the b</w:t>
      </w:r>
      <w:r w:rsidR="00BB2656">
        <w:t xml:space="preserve">est practice models </w:t>
      </w:r>
      <w:r w:rsidR="002E310C">
        <w:t xml:space="preserve">show the </w:t>
      </w:r>
      <w:r w:rsidR="00BB2656">
        <w:t>following c</w:t>
      </w:r>
      <w:r w:rsidR="008F3813">
        <w:t>ommon c</w:t>
      </w:r>
      <w:r w:rsidR="00BB2656">
        <w:t>haracteristics:</w:t>
      </w:r>
    </w:p>
    <w:p w:rsidR="00BB2656" w:rsidRDefault="00BB2656" w:rsidP="009768EE">
      <w:pPr>
        <w:pStyle w:val="ListParagraph"/>
        <w:numPr>
          <w:ilvl w:val="0"/>
          <w:numId w:val="6"/>
        </w:numPr>
        <w:spacing w:before="0"/>
        <w:ind w:left="714" w:hanging="357"/>
      </w:pPr>
      <w:r>
        <w:t xml:space="preserve">There is a process to identify </w:t>
      </w:r>
      <w:r w:rsidRPr="001E479B">
        <w:t xml:space="preserve">patients with </w:t>
      </w:r>
      <w:r>
        <w:t xml:space="preserve">chronic and </w:t>
      </w:r>
      <w:r w:rsidRPr="001E479B">
        <w:t xml:space="preserve">complex </w:t>
      </w:r>
      <w:r>
        <w:t xml:space="preserve">health </w:t>
      </w:r>
      <w:r w:rsidRPr="001E479B">
        <w:t xml:space="preserve">needs </w:t>
      </w:r>
      <w:r>
        <w:t xml:space="preserve">who are </w:t>
      </w:r>
      <w:r w:rsidRPr="001E479B">
        <w:t>at risk of poor outcomes</w:t>
      </w:r>
      <w:r>
        <w:t xml:space="preserve"> </w:t>
      </w:r>
    </w:p>
    <w:p w:rsidR="00BB2656" w:rsidRDefault="00BB2656" w:rsidP="009768EE">
      <w:pPr>
        <w:pStyle w:val="ListParagraph"/>
        <w:numPr>
          <w:ilvl w:val="0"/>
          <w:numId w:val="6"/>
        </w:numPr>
        <w:spacing w:before="0"/>
        <w:ind w:left="714" w:hanging="357"/>
      </w:pPr>
      <w:r>
        <w:t xml:space="preserve">Care coordination is </w:t>
      </w:r>
      <w:r w:rsidRPr="00F675CD">
        <w:t>high priority</w:t>
      </w:r>
      <w:r>
        <w:t xml:space="preserve"> as</w:t>
      </w:r>
      <w:r w:rsidRPr="00F675CD">
        <w:t xml:space="preserve"> patients receive treatment from a wide range</w:t>
      </w:r>
      <w:r>
        <w:t xml:space="preserve"> of providers. One person is responsible for coordinating care.</w:t>
      </w:r>
    </w:p>
    <w:p w:rsidR="00BB2656" w:rsidRDefault="00BB2656" w:rsidP="009768EE">
      <w:pPr>
        <w:pStyle w:val="ListParagraph"/>
        <w:numPr>
          <w:ilvl w:val="0"/>
          <w:numId w:val="6"/>
        </w:numPr>
        <w:spacing w:before="0"/>
        <w:ind w:left="714" w:hanging="357"/>
      </w:pPr>
      <w:r>
        <w:t xml:space="preserve">There is support for </w:t>
      </w:r>
      <w:r w:rsidR="002E310C">
        <w:t xml:space="preserve">patients and </w:t>
      </w:r>
      <w:r>
        <w:t>care givers to manage their own health needs and access respite care</w:t>
      </w:r>
    </w:p>
    <w:p w:rsidR="00526C8C" w:rsidRDefault="00526C8C" w:rsidP="009768EE">
      <w:pPr>
        <w:pStyle w:val="ListParagraph"/>
        <w:numPr>
          <w:ilvl w:val="0"/>
          <w:numId w:val="6"/>
        </w:numPr>
        <w:spacing w:before="0"/>
        <w:ind w:left="714" w:hanging="357"/>
      </w:pPr>
      <w:r>
        <w:lastRenderedPageBreak/>
        <w:t>There is consideration of the role of care givers in the management of these patients and the requirement for their participation in patient communication</w:t>
      </w:r>
    </w:p>
    <w:p w:rsidR="00BB2656" w:rsidRDefault="00BB2656" w:rsidP="009768EE">
      <w:pPr>
        <w:pStyle w:val="ListParagraph"/>
        <w:numPr>
          <w:ilvl w:val="0"/>
          <w:numId w:val="6"/>
        </w:numPr>
        <w:spacing w:before="0"/>
        <w:ind w:left="714" w:hanging="357"/>
      </w:pPr>
      <w:r>
        <w:t>One integrated medical record that is shared with the whole healthcare team across primary, acute and subacute care</w:t>
      </w:r>
    </w:p>
    <w:p w:rsidR="00BB2656" w:rsidRPr="00307B20" w:rsidRDefault="006B5250" w:rsidP="009768EE">
      <w:pPr>
        <w:pStyle w:val="ListParagraph"/>
        <w:numPr>
          <w:ilvl w:val="0"/>
          <w:numId w:val="6"/>
        </w:numPr>
        <w:spacing w:before="0"/>
        <w:ind w:left="714" w:hanging="357"/>
        <w:rPr>
          <w:rFonts w:cs="Arial"/>
        </w:rPr>
      </w:pPr>
      <w:r>
        <w:t xml:space="preserve">Payments systems are designed </w:t>
      </w:r>
      <w:r w:rsidR="006F0178">
        <w:t xml:space="preserve">to </w:t>
      </w:r>
      <w:r>
        <w:t xml:space="preserve">reduce barriers to care coordination, collaboration, adequately compensate for the complexity of cases treated, incentivise hospitals to work with community providers and exclude fee </w:t>
      </w:r>
      <w:r w:rsidR="00BB2656">
        <w:t>for service payment mechanisms.</w:t>
      </w:r>
      <w:r w:rsidR="00BB2656" w:rsidRPr="00307B20">
        <w:rPr>
          <w:rStyle w:val="FootnoteReference"/>
          <w:rFonts w:cs="Arial"/>
        </w:rPr>
        <w:footnoteReference w:id="2"/>
      </w:r>
      <w:r w:rsidR="00EA568E">
        <w:rPr>
          <w:rFonts w:cs="Arial"/>
        </w:rPr>
        <w:t xml:space="preserve"> </w:t>
      </w:r>
      <w:r w:rsidR="00BB2656" w:rsidRPr="00307B20">
        <w:rPr>
          <w:rStyle w:val="FootnoteReference"/>
          <w:rFonts w:cs="Arial"/>
        </w:rPr>
        <w:footnoteReference w:id="3"/>
      </w:r>
      <w:r w:rsidR="00BB2656" w:rsidRPr="00307B20">
        <w:rPr>
          <w:rFonts w:cs="Arial"/>
        </w:rPr>
        <w:t xml:space="preserve"> </w:t>
      </w:r>
    </w:p>
    <w:p w:rsidR="00BB2656" w:rsidRPr="00B87E5A" w:rsidRDefault="00BB2656" w:rsidP="008F3813">
      <w:r>
        <w:t>The Health Care Homes initiative is one model seeking to redesign care for people with chronic disease. P</w:t>
      </w:r>
      <w:r w:rsidRPr="00B87E5A">
        <w:t xml:space="preserve">art of the </w:t>
      </w:r>
      <w:r w:rsidR="00181C65">
        <w:t xml:space="preserve">Australian Government’s </w:t>
      </w:r>
      <w:r w:rsidRPr="00B87E5A">
        <w:t>Health Medicare reform package</w:t>
      </w:r>
      <w:r>
        <w:t>, the Health Care Homes</w:t>
      </w:r>
      <w:r w:rsidRPr="00B87E5A">
        <w:t xml:space="preserve"> model is trialling a capitated local governance model designed to support integrated care teams and move away from the doctor throughput models of the existing fee-for-service system. The program targets people with chronic disease and features</w:t>
      </w:r>
      <w:r w:rsidR="00181C65">
        <w:t xml:space="preserve"> v</w:t>
      </w:r>
      <w:r w:rsidRPr="00B87E5A">
        <w:t>oluntary patient enrolment with a GP practice or health care provider</w:t>
      </w:r>
      <w:r w:rsidR="008F3813">
        <w:t xml:space="preserve">. The </w:t>
      </w:r>
      <w:r w:rsidR="00181C65">
        <w:t>t</w:t>
      </w:r>
      <w:r w:rsidRPr="00B87E5A">
        <w:t>eam</w:t>
      </w:r>
      <w:r w:rsidR="008F3813">
        <w:t>-</w:t>
      </w:r>
      <w:r w:rsidRPr="00B87E5A">
        <w:t xml:space="preserve">based integrated care </w:t>
      </w:r>
      <w:r w:rsidR="008F3813">
        <w:t xml:space="preserve">model spans </w:t>
      </w:r>
      <w:r w:rsidRPr="00B87E5A">
        <w:t xml:space="preserve">across all </w:t>
      </w:r>
      <w:r>
        <w:t xml:space="preserve">acute and primary care </w:t>
      </w:r>
      <w:r w:rsidRPr="00B87E5A">
        <w:t>sectors with shared information and evidenced</w:t>
      </w:r>
      <w:r w:rsidR="008F3813">
        <w:t>-</w:t>
      </w:r>
      <w:r w:rsidRPr="00B87E5A">
        <w:t>based pathways tailored to the individual patient needs</w:t>
      </w:r>
      <w:r w:rsidR="008F3813">
        <w:t xml:space="preserve">. The care is recorded using the </w:t>
      </w:r>
      <w:r w:rsidRPr="00B87E5A">
        <w:t xml:space="preserve">My Health </w:t>
      </w:r>
      <w:r>
        <w:t>R</w:t>
      </w:r>
      <w:r w:rsidRPr="00B87E5A">
        <w:t>ecord for data collection and sharing to measure health outcomes and improve performance</w:t>
      </w:r>
      <w:r w:rsidR="00EC4921">
        <w:t xml:space="preserve"> (see section 3.2.1 for more information on My Health Record)</w:t>
      </w:r>
      <w:r w:rsidRPr="00B87E5A">
        <w:t>.</w:t>
      </w:r>
    </w:p>
    <w:p w:rsidR="00BB2656" w:rsidRDefault="00BB2656" w:rsidP="007D043D">
      <w:r>
        <w:t xml:space="preserve">A bundled payment is made monthly to the practice based on three tiers of patient complexity and need. All services associated with the patient’s chronic conditions </w:t>
      </w:r>
      <w:r w:rsidR="00333EC5">
        <w:t>are</w:t>
      </w:r>
      <w:r>
        <w:t xml:space="preserve"> funded through the bundled payment with fee-for service billing available for episodic care (not associated with their chronic conditions).</w:t>
      </w:r>
      <w:r w:rsidRPr="007D043D">
        <w:rPr>
          <w:vertAlign w:val="superscript"/>
        </w:rPr>
        <w:footnoteReference w:id="4"/>
      </w:r>
      <w:r>
        <w:t xml:space="preserve"> </w:t>
      </w:r>
      <w:r w:rsidRPr="007D043D">
        <w:rPr>
          <w:vertAlign w:val="superscript"/>
        </w:rPr>
        <w:footnoteReference w:id="5"/>
      </w:r>
    </w:p>
    <w:p w:rsidR="00BB2656" w:rsidRDefault="00BB2656" w:rsidP="00BB2656">
      <w:r>
        <w:t>Other innovative Australian models of care in chronic disease management include acute inpatient teams outreaching to communit</w:t>
      </w:r>
      <w:r w:rsidR="009724C3">
        <w:t>ies</w:t>
      </w:r>
      <w:r>
        <w:t xml:space="preserve"> to support chronic disease patients with a self-management plan. These models provide subspecialty medical, nursing and allied health expertise in a format that can respond to medical “emergencies” in a setting other than the emergency department</w:t>
      </w:r>
      <w:r w:rsidR="00333EC5">
        <w:t xml:space="preserve"> (ED)</w:t>
      </w:r>
      <w:r>
        <w:t xml:space="preserve"> or inpatient ward. These programs will often include telephone support (clinician or patient initiated) and outpatient clinic visits where diagnostic parameters fall outside limits agreed in pathways. They effectively support the generalist skills of the GP and primary care team while extending specialist expertise for emergent medical issues beyond the hospital walls. </w:t>
      </w:r>
    </w:p>
    <w:p w:rsidR="00277F04" w:rsidRDefault="009724C3" w:rsidP="00277F04">
      <w:r w:rsidRPr="00277F04">
        <w:t>In additio</w:t>
      </w:r>
      <w:r w:rsidR="00277F04" w:rsidRPr="000F180F">
        <w:t>n,</w:t>
      </w:r>
      <w:r w:rsidR="00277F04">
        <w:t xml:space="preserve"> some state and territory governments are developing new funding models for </w:t>
      </w:r>
      <w:r w:rsidR="006F0178">
        <w:t>selected</w:t>
      </w:r>
      <w:r w:rsidR="00277F04">
        <w:t xml:space="preserve"> patient groups to drive the adoption of patient-centred models of care. In particular, separate funding models are in place for patients with chronic disease due to their frequency of admission to hospital and evidence that they would benefit from more integrated health service delivery </w:t>
      </w:r>
      <w:r w:rsidR="000D61CD">
        <w:t>allowing them to be</w:t>
      </w:r>
      <w:r w:rsidR="00277F04">
        <w:t xml:space="preserve"> treat</w:t>
      </w:r>
      <w:r w:rsidR="000D61CD">
        <w:t>ed</w:t>
      </w:r>
      <w:r w:rsidR="00277F04">
        <w:t xml:space="preserve"> in a community setting.</w:t>
      </w:r>
    </w:p>
    <w:p w:rsidR="00277F04" w:rsidRDefault="00277F04" w:rsidP="00277F04">
      <w:r>
        <w:t>For example, the Victorian HealthLinks: Chronic Care Pilot Program uses a capitation payment model to direct funding programs in the community for chronic care patients at high risk of hospital admission, to avoid these admissions, and presentations to emergency departments.</w:t>
      </w:r>
    </w:p>
    <w:p w:rsidR="00277F04" w:rsidRDefault="00277F04" w:rsidP="00277F04">
      <w:r>
        <w:lastRenderedPageBreak/>
        <w:t>Under such a funding model, the amount of funding per patient usually reflects the existing cost of delivering hospital services to these patients and allows health services the flexibility to use the funding in primary and community services to reduce total per patient expenditure over time.</w:t>
      </w:r>
    </w:p>
    <w:p w:rsidR="00277F04" w:rsidRDefault="00277F04" w:rsidP="00BB2656">
      <w:r>
        <w:t xml:space="preserve">IHPA acknowledges that the future classification should identify chronic care patients to allow for research and </w:t>
      </w:r>
      <w:r w:rsidR="006566C1">
        <w:t>consideration of a range of treatment and funding models.</w:t>
      </w:r>
    </w:p>
    <w:p w:rsidR="00FD7413" w:rsidRDefault="00151EBD" w:rsidP="00FD7413">
      <w:r>
        <w:t xml:space="preserve">In developing an approach for classifying non-admitted patients, IHPA </w:t>
      </w:r>
      <w:r w:rsidR="008F3813">
        <w:t>recognises that</w:t>
      </w:r>
      <w:r>
        <w:t xml:space="preserve"> some emerging funding models</w:t>
      </w:r>
      <w:r w:rsidR="00CF5E15">
        <w:t>,</w:t>
      </w:r>
      <w:r>
        <w:t xml:space="preserve"> such as capitation funding</w:t>
      </w:r>
      <w:r w:rsidR="00CF5E15">
        <w:t>,</w:t>
      </w:r>
      <w:r>
        <w:t xml:space="preserve"> provide a single risk-adjusted prospective funding amount per patient for a fixed period of time</w:t>
      </w:r>
      <w:r w:rsidR="00CF5E15">
        <w:t>,</w:t>
      </w:r>
      <w:r>
        <w:t xml:space="preserve"> which is in contrast with ABF that ties funding to the volume and type of services provided. </w:t>
      </w:r>
      <w:r w:rsidR="008F3813">
        <w:t xml:space="preserve"> IHPA is currently investigating how these emerging funding models can </w:t>
      </w:r>
      <w:r w:rsidR="00FD7413">
        <w:t xml:space="preserve">be incorporated into an ABF environment as such approaches </w:t>
      </w:r>
      <w:r w:rsidR="00FD7413" w:rsidRPr="009E2B11">
        <w:t>might offer improve</w:t>
      </w:r>
      <w:r w:rsidR="00FD7413">
        <w:t>d</w:t>
      </w:r>
      <w:r w:rsidR="00FD7413" w:rsidRPr="009E2B11">
        <w:t xml:space="preserve"> efficiency and health outcomes for </w:t>
      </w:r>
      <w:r w:rsidR="00FD7413">
        <w:t>patients as</w:t>
      </w:r>
      <w:r w:rsidR="00FD7413" w:rsidRPr="009E2B11">
        <w:t xml:space="preserve"> health services will be incentivised to more routinely identify ‘at risk’ patients and deliver a more active management approach</w:t>
      </w:r>
      <w:r w:rsidR="00BF635B">
        <w:t xml:space="preserve"> </w:t>
      </w:r>
      <w:r w:rsidR="00656035">
        <w:t>reducing the need for</w:t>
      </w:r>
      <w:r w:rsidR="00FD7413" w:rsidRPr="009E2B11">
        <w:t xml:space="preserve"> admitted services.</w:t>
      </w:r>
    </w:p>
    <w:p w:rsidR="008F3813" w:rsidRDefault="00FD7413" w:rsidP="00FD7413">
      <w:r>
        <w:t xml:space="preserve">The ANACC system will take into account these developments and will be informed by the feedback received on the </w:t>
      </w:r>
      <w:r w:rsidRPr="00151EBD">
        <w:rPr>
          <w:i/>
        </w:rPr>
        <w:t>Pricing Framework Consultation Paper 2018-19.</w:t>
      </w:r>
    </w:p>
    <w:p w:rsidR="003C2734" w:rsidRPr="00B7234C" w:rsidRDefault="003C2734" w:rsidP="00C30658">
      <w:pPr>
        <w:pStyle w:val="Heading2"/>
        <w:numPr>
          <w:ilvl w:val="1"/>
          <w:numId w:val="69"/>
        </w:numPr>
      </w:pPr>
      <w:bookmarkStart w:id="29" w:name="_Toc494105963"/>
      <w:r w:rsidRPr="00B7234C">
        <w:t>Digital transformation</w:t>
      </w:r>
      <w:bookmarkEnd w:id="29"/>
    </w:p>
    <w:p w:rsidR="00E92926" w:rsidRDefault="0054707E" w:rsidP="00BB2656">
      <w:r>
        <w:t>Digital</w:t>
      </w:r>
      <w:r w:rsidR="00DD0149" w:rsidRPr="00DD0149">
        <w:t xml:space="preserve"> transformation, particularly </w:t>
      </w:r>
      <w:r w:rsidR="00DD0149">
        <w:t>e-health, is an impo</w:t>
      </w:r>
      <w:r>
        <w:t xml:space="preserve">rtant </w:t>
      </w:r>
      <w:r w:rsidR="00263A5F">
        <w:t>practice</w:t>
      </w:r>
      <w:r>
        <w:t xml:space="preserve"> to consider in the development of </w:t>
      </w:r>
      <w:r w:rsidR="00DD0149">
        <w:t>classifications.</w:t>
      </w:r>
      <w:r>
        <w:t xml:space="preserve"> Advancements in technology impact both service delivery and data collection, creating efficiencies and fluidity in </w:t>
      </w:r>
      <w:r w:rsidR="00443733">
        <w:t>the provision of care.</w:t>
      </w:r>
      <w:r w:rsidR="00E92926">
        <w:t xml:space="preserve"> </w:t>
      </w:r>
      <w:r w:rsidR="00BE4BDC">
        <w:t>Furthermore, t</w:t>
      </w:r>
      <w:r w:rsidR="00016907">
        <w:t xml:space="preserve">he </w:t>
      </w:r>
      <w:r w:rsidR="00BE4BDC">
        <w:t>capacity</w:t>
      </w:r>
      <w:r w:rsidR="00016907">
        <w:t xml:space="preserve"> to house and process massive amounts of data provides the </w:t>
      </w:r>
      <w:r w:rsidR="00BE4BDC">
        <w:t xml:space="preserve">opportunity to use information in new ways for health care delivery. </w:t>
      </w:r>
      <w:r w:rsidR="00016907">
        <w:t xml:space="preserve">  </w:t>
      </w:r>
      <w:r w:rsidR="00E92926">
        <w:t xml:space="preserve"> </w:t>
      </w:r>
    </w:p>
    <w:p w:rsidR="00443733" w:rsidRPr="00443733" w:rsidRDefault="00CF5E15" w:rsidP="00443733">
      <w:pPr>
        <w:pStyle w:val="Intro"/>
        <w:rPr>
          <w:color w:val="auto"/>
          <w:szCs w:val="24"/>
        </w:rPr>
      </w:pPr>
      <w:r>
        <w:rPr>
          <w:color w:val="auto"/>
          <w:szCs w:val="24"/>
        </w:rPr>
        <w:t>The development of a c</w:t>
      </w:r>
      <w:r w:rsidR="000A30E6" w:rsidRPr="00443733">
        <w:rPr>
          <w:color w:val="auto"/>
          <w:szCs w:val="24"/>
        </w:rPr>
        <w:t xml:space="preserve">lassification </w:t>
      </w:r>
      <w:r>
        <w:rPr>
          <w:color w:val="auto"/>
          <w:szCs w:val="24"/>
        </w:rPr>
        <w:t xml:space="preserve">system </w:t>
      </w:r>
      <w:r w:rsidR="000A30E6" w:rsidRPr="00443733">
        <w:rPr>
          <w:color w:val="auto"/>
          <w:szCs w:val="24"/>
        </w:rPr>
        <w:t>is dependent on high quality clinical, activity and financial data at the patient service event level</w:t>
      </w:r>
      <w:r>
        <w:rPr>
          <w:color w:val="auto"/>
          <w:szCs w:val="24"/>
        </w:rPr>
        <w:t xml:space="preserve"> and a clear </w:t>
      </w:r>
      <w:r w:rsidR="00016907">
        <w:rPr>
          <w:color w:val="auto"/>
          <w:szCs w:val="24"/>
        </w:rPr>
        <w:t xml:space="preserve">statement </w:t>
      </w:r>
      <w:r>
        <w:rPr>
          <w:color w:val="auto"/>
          <w:szCs w:val="24"/>
        </w:rPr>
        <w:t>of purpose</w:t>
      </w:r>
      <w:r w:rsidR="000A30E6" w:rsidRPr="00443733">
        <w:rPr>
          <w:color w:val="auto"/>
          <w:szCs w:val="24"/>
        </w:rPr>
        <w:t>. A lack of quality costing data for non-admitted patients has historically prohibited any non-admitted classification development to</w:t>
      </w:r>
      <w:r w:rsidR="00E92926" w:rsidRPr="00443733">
        <w:rPr>
          <w:color w:val="auto"/>
          <w:szCs w:val="24"/>
        </w:rPr>
        <w:t xml:space="preserve"> occur for the purposes of ABF.</w:t>
      </w:r>
      <w:r w:rsidR="0054707E" w:rsidRPr="00443733">
        <w:rPr>
          <w:color w:val="auto"/>
          <w:szCs w:val="24"/>
        </w:rPr>
        <w:t xml:space="preserve"> </w:t>
      </w:r>
      <w:r w:rsidR="00443733" w:rsidRPr="00443733">
        <w:rPr>
          <w:color w:val="auto"/>
          <w:szCs w:val="24"/>
        </w:rPr>
        <w:t xml:space="preserve">The digital transformation </w:t>
      </w:r>
      <w:r w:rsidR="00196D07">
        <w:rPr>
          <w:color w:val="auto"/>
          <w:szCs w:val="24"/>
        </w:rPr>
        <w:t xml:space="preserve">including the </w:t>
      </w:r>
      <w:r w:rsidR="0077366F">
        <w:rPr>
          <w:color w:val="auto"/>
          <w:szCs w:val="24"/>
        </w:rPr>
        <w:t xml:space="preserve">transition to </w:t>
      </w:r>
      <w:r w:rsidR="00196D07">
        <w:rPr>
          <w:color w:val="auto"/>
          <w:szCs w:val="24"/>
        </w:rPr>
        <w:t xml:space="preserve">eMR </w:t>
      </w:r>
      <w:r w:rsidR="00443733" w:rsidRPr="00443733">
        <w:rPr>
          <w:color w:val="auto"/>
          <w:szCs w:val="24"/>
        </w:rPr>
        <w:t>will create new opportunities for the capture of non-admitted care data. The ANACC system will need to</w:t>
      </w:r>
      <w:r w:rsidR="00E86C34">
        <w:rPr>
          <w:color w:val="auto"/>
          <w:szCs w:val="24"/>
        </w:rPr>
        <w:t xml:space="preserve"> be able to adapt to</w:t>
      </w:r>
      <w:r w:rsidR="005F4C49">
        <w:rPr>
          <w:color w:val="auto"/>
          <w:szCs w:val="24"/>
        </w:rPr>
        <w:t xml:space="preserve"> </w:t>
      </w:r>
      <w:r w:rsidR="00443733" w:rsidRPr="00443733">
        <w:rPr>
          <w:color w:val="auto"/>
          <w:szCs w:val="24"/>
        </w:rPr>
        <w:t xml:space="preserve">these advances. </w:t>
      </w:r>
    </w:p>
    <w:p w:rsidR="00BB2656" w:rsidRDefault="00BB2656" w:rsidP="00BB2656">
      <w:r>
        <w:t xml:space="preserve">Technology and the digital health infrastructure have a number of important functions within the </w:t>
      </w:r>
      <w:r w:rsidR="00E92926">
        <w:t xml:space="preserve">broader </w:t>
      </w:r>
      <w:r>
        <w:t>health system</w:t>
      </w:r>
      <w:r w:rsidR="00333EC5">
        <w:t>:</w:t>
      </w:r>
      <w:r>
        <w:t xml:space="preserve"> </w:t>
      </w:r>
    </w:p>
    <w:p w:rsidR="00E5021B" w:rsidRDefault="00E5021B" w:rsidP="00E5021B">
      <w:pPr>
        <w:pStyle w:val="ListParagraph"/>
        <w:numPr>
          <w:ilvl w:val="0"/>
          <w:numId w:val="6"/>
        </w:numPr>
        <w:spacing w:before="0"/>
        <w:ind w:left="714" w:hanging="357"/>
      </w:pPr>
      <w:r>
        <w:t>Decision support functionality and knowledge databases to support clinicians in their practice</w:t>
      </w:r>
    </w:p>
    <w:p w:rsidR="006B5250" w:rsidRDefault="006B5250" w:rsidP="009768EE">
      <w:pPr>
        <w:pStyle w:val="ListParagraph"/>
        <w:numPr>
          <w:ilvl w:val="0"/>
          <w:numId w:val="6"/>
        </w:numPr>
        <w:spacing w:before="0"/>
        <w:ind w:left="714" w:hanging="357"/>
      </w:pPr>
      <w:r>
        <w:t>As an enabler of service integration, electronic referral, sharing clinical information and evidence based treatment pathways between providers across sectors professions and disciplines</w:t>
      </w:r>
    </w:p>
    <w:p w:rsidR="00BB2656" w:rsidRDefault="00BB2656" w:rsidP="009768EE">
      <w:pPr>
        <w:pStyle w:val="ListParagraph"/>
        <w:numPr>
          <w:ilvl w:val="0"/>
          <w:numId w:val="6"/>
        </w:numPr>
        <w:spacing w:before="0"/>
        <w:ind w:left="714" w:hanging="357"/>
      </w:pPr>
      <w:r>
        <w:t>To support safety and quality improvement through evidence based care pathways</w:t>
      </w:r>
      <w:r w:rsidR="00994333">
        <w:t xml:space="preserve"> and models of care</w:t>
      </w:r>
    </w:p>
    <w:p w:rsidR="00BB2656" w:rsidRDefault="00BB2656" w:rsidP="009768EE">
      <w:pPr>
        <w:pStyle w:val="ListParagraph"/>
        <w:numPr>
          <w:ilvl w:val="0"/>
          <w:numId w:val="6"/>
        </w:numPr>
        <w:spacing w:before="0"/>
        <w:ind w:left="714" w:hanging="357"/>
      </w:pPr>
      <w:r>
        <w:t xml:space="preserve">To enable measurement of service process and health outcomes </w:t>
      </w:r>
    </w:p>
    <w:p w:rsidR="00BB2656" w:rsidRDefault="00BB2656" w:rsidP="009768EE">
      <w:pPr>
        <w:pStyle w:val="ListParagraph"/>
        <w:numPr>
          <w:ilvl w:val="0"/>
          <w:numId w:val="6"/>
        </w:numPr>
        <w:spacing w:before="0"/>
        <w:ind w:left="714" w:hanging="357"/>
      </w:pPr>
      <w:r>
        <w:t xml:space="preserve">As an information deliverer to build patients, families and their carers knowledge </w:t>
      </w:r>
      <w:r w:rsidR="00553D08">
        <w:t xml:space="preserve">and </w:t>
      </w:r>
      <w:r>
        <w:t xml:space="preserve">to enable </w:t>
      </w:r>
      <w:r w:rsidR="007A018E">
        <w:t>self-management</w:t>
      </w:r>
      <w:r>
        <w:t xml:space="preserve"> of their health</w:t>
      </w:r>
    </w:p>
    <w:p w:rsidR="00BB2656" w:rsidRDefault="00BB2656" w:rsidP="009768EE">
      <w:pPr>
        <w:pStyle w:val="ListParagraph"/>
        <w:numPr>
          <w:ilvl w:val="0"/>
          <w:numId w:val="6"/>
        </w:numPr>
        <w:spacing w:before="0"/>
        <w:ind w:left="714" w:hanging="357"/>
      </w:pPr>
      <w:r>
        <w:t>Digital clinical monitoring and communication between patients in the community and their healthcare team</w:t>
      </w:r>
    </w:p>
    <w:p w:rsidR="00E92926" w:rsidRDefault="00BB2656" w:rsidP="009768EE">
      <w:pPr>
        <w:pStyle w:val="ListParagraph"/>
        <w:numPr>
          <w:ilvl w:val="0"/>
          <w:numId w:val="6"/>
        </w:numPr>
        <w:spacing w:before="0"/>
        <w:ind w:left="714" w:hanging="357"/>
      </w:pPr>
      <w:r>
        <w:t xml:space="preserve">Measuring and reporting service activity for </w:t>
      </w:r>
      <w:r w:rsidR="00994333">
        <w:t xml:space="preserve">benchmarking and </w:t>
      </w:r>
      <w:r>
        <w:t>funding purposes.</w:t>
      </w:r>
    </w:p>
    <w:p w:rsidR="00E92926" w:rsidRDefault="00E92926" w:rsidP="00974539">
      <w:pPr>
        <w:keepLines/>
        <w:rPr>
          <w:rFonts w:cstheme="minorHAnsi"/>
        </w:rPr>
      </w:pPr>
      <w:r>
        <w:rPr>
          <w:rFonts w:cstheme="minorHAnsi"/>
        </w:rPr>
        <w:lastRenderedPageBreak/>
        <w:t>In t</w:t>
      </w:r>
      <w:r w:rsidRPr="00E92926">
        <w:rPr>
          <w:rFonts w:cstheme="minorHAnsi"/>
        </w:rPr>
        <w:t>he non-admitted care setting there has been considerable increase in use of digital health technology, ranging from the use of mobile applications in the management of cardiac rehabilitation, insulin stabilisation in diabetes, and self-management of chronic obstructive pulmonary disease, to telehealth services for stroke, wounds, emergency care, physiotherapy, and diabetic retinopathy.</w:t>
      </w:r>
    </w:p>
    <w:p w:rsidR="00EC4921" w:rsidRDefault="00EC4921" w:rsidP="00EC4921">
      <w:r>
        <w:t xml:space="preserve">The terms Electronic Medical Record (EMR), Electronic Health Record (EHR) and Personal Health Record (PHR) are often used interchangeably as each of these health records can contain similar information. However, each record type differs in terms of interoperability, record custodian and whether they engage individuals. </w:t>
      </w:r>
    </w:p>
    <w:p w:rsidR="00EC4921" w:rsidRDefault="00EC4921" w:rsidP="00EC4921">
      <w:pPr>
        <w:pStyle w:val="ListParagraph"/>
        <w:numPr>
          <w:ilvl w:val="0"/>
          <w:numId w:val="87"/>
        </w:numPr>
        <w:spacing w:before="0" w:after="160" w:line="259" w:lineRule="auto"/>
        <w:contextualSpacing/>
      </w:pPr>
      <w:r>
        <w:t xml:space="preserve">EMRs contain health-related information that is created and managed by authorised clinicians within a </w:t>
      </w:r>
      <w:r w:rsidRPr="00425247">
        <w:t>single healthcare organisation</w:t>
      </w:r>
      <w:r>
        <w:t xml:space="preserve">. EMRs cannot be electronically shared electronically beyond the managing organisation.  </w:t>
      </w:r>
    </w:p>
    <w:p w:rsidR="00EC4921" w:rsidRDefault="00EC4921" w:rsidP="00EC4921">
      <w:pPr>
        <w:pStyle w:val="ListParagraph"/>
        <w:numPr>
          <w:ilvl w:val="0"/>
          <w:numId w:val="87"/>
        </w:numPr>
        <w:spacing w:before="0" w:after="160" w:line="259" w:lineRule="auto"/>
        <w:contextualSpacing/>
      </w:pPr>
      <w:r>
        <w:t xml:space="preserve">EHRs contain health-related information that can be created, managed and accessed by authorised clinicians across </w:t>
      </w:r>
      <w:r w:rsidRPr="00425247">
        <w:t>multiple healthcare organisations</w:t>
      </w:r>
      <w:r>
        <w:t xml:space="preserve">. EHRs are tools for healthcare providers. </w:t>
      </w:r>
    </w:p>
    <w:p w:rsidR="00EC4921" w:rsidRDefault="00EC4921" w:rsidP="00EC4921">
      <w:pPr>
        <w:pStyle w:val="ListParagraph"/>
        <w:numPr>
          <w:ilvl w:val="0"/>
          <w:numId w:val="87"/>
        </w:numPr>
        <w:spacing w:before="0" w:after="160" w:line="259" w:lineRule="auto"/>
        <w:contextualSpacing/>
      </w:pPr>
      <w:r>
        <w:t xml:space="preserve">PHRs contain health-related information that can be created by multiple sources and is controlled by the </w:t>
      </w:r>
      <w:r w:rsidRPr="00425247">
        <w:t>individual owner</w:t>
      </w:r>
      <w:r>
        <w:t xml:space="preserve"> of the record. PHRs are tools for individuals. </w:t>
      </w:r>
    </w:p>
    <w:p w:rsidR="00EC4921" w:rsidRPr="00767B42" w:rsidRDefault="00263A5F" w:rsidP="00EC4921">
      <w:r>
        <w:t xml:space="preserve">The </w:t>
      </w:r>
      <w:r w:rsidR="00040F0F" w:rsidRPr="00425247">
        <w:t>Systemised Nomenclature of Medicine – Clinical Terms – Australia (</w:t>
      </w:r>
      <w:r w:rsidR="00EC4921" w:rsidRPr="00425247">
        <w:t>SNOMED CT-AU</w:t>
      </w:r>
      <w:r w:rsidR="00040F0F" w:rsidRPr="00425247">
        <w:t>)</w:t>
      </w:r>
      <w:r w:rsidR="00EC4921" w:rsidRPr="00766482">
        <w:t xml:space="preserve"> is</w:t>
      </w:r>
      <w:r w:rsidR="00EC4921">
        <w:t xml:space="preserve"> the Australian extension of SNOMED CT, a comprehensive multilingual health terminology. SNOMED CT is designed to underpin clinical data recording and meaning-based retrieval and use. SNOMED includes more than 350,000 active concepts with unique meanings and formal logic based definitions, organised in hierarchies with multiple levels of granularity. The hierarchies include: clinical findings, procedures, observables, body structures, organisms, substances and pharmaceutical/biologic products. </w:t>
      </w:r>
    </w:p>
    <w:p w:rsidR="00EC4921" w:rsidRDefault="00EC4921" w:rsidP="00EC4921">
      <w:r>
        <w:t>Australian Medicines Terminology (AMT) is the national terminology that delivers unique codes to unambiguously identify originator and generic brands of medicines commonly used in Australia. The AMT is a subset of SNOMED CT-AU. AMT was developed to support electronic medication management, including the following activities:</w:t>
      </w:r>
    </w:p>
    <w:p w:rsidR="00EC4921" w:rsidRDefault="00EC4921" w:rsidP="00EC4921">
      <w:pPr>
        <w:pStyle w:val="ListParagraph"/>
        <w:numPr>
          <w:ilvl w:val="0"/>
          <w:numId w:val="88"/>
        </w:numPr>
        <w:spacing w:before="0" w:after="160" w:line="259" w:lineRule="auto"/>
        <w:contextualSpacing/>
      </w:pPr>
      <w:r>
        <w:t>Prescribe</w:t>
      </w:r>
    </w:p>
    <w:p w:rsidR="00EC4921" w:rsidRDefault="00EC4921" w:rsidP="00EC4921">
      <w:pPr>
        <w:pStyle w:val="ListParagraph"/>
        <w:numPr>
          <w:ilvl w:val="0"/>
          <w:numId w:val="88"/>
        </w:numPr>
        <w:spacing w:before="0" w:after="160" w:line="259" w:lineRule="auto"/>
        <w:contextualSpacing/>
      </w:pPr>
      <w:r>
        <w:t>Record</w:t>
      </w:r>
    </w:p>
    <w:p w:rsidR="00EC4921" w:rsidRDefault="00EC4921" w:rsidP="00EC4921">
      <w:pPr>
        <w:pStyle w:val="ListParagraph"/>
        <w:numPr>
          <w:ilvl w:val="0"/>
          <w:numId w:val="88"/>
        </w:numPr>
        <w:spacing w:before="0" w:after="160" w:line="259" w:lineRule="auto"/>
        <w:contextualSpacing/>
      </w:pPr>
      <w:r>
        <w:t>Review</w:t>
      </w:r>
    </w:p>
    <w:p w:rsidR="00EC4921" w:rsidRDefault="00EC4921" w:rsidP="00EC4921">
      <w:pPr>
        <w:pStyle w:val="ListParagraph"/>
        <w:numPr>
          <w:ilvl w:val="0"/>
          <w:numId w:val="88"/>
        </w:numPr>
        <w:spacing w:before="0" w:after="160" w:line="259" w:lineRule="auto"/>
        <w:contextualSpacing/>
      </w:pPr>
      <w:r>
        <w:t>Issue including dispense</w:t>
      </w:r>
    </w:p>
    <w:p w:rsidR="00EC4921" w:rsidRDefault="00EC4921" w:rsidP="00EC4921">
      <w:pPr>
        <w:pStyle w:val="ListParagraph"/>
        <w:numPr>
          <w:ilvl w:val="0"/>
          <w:numId w:val="88"/>
        </w:numPr>
        <w:spacing w:before="0" w:after="160" w:line="259" w:lineRule="auto"/>
        <w:contextualSpacing/>
      </w:pPr>
      <w:r>
        <w:t>Administer</w:t>
      </w:r>
    </w:p>
    <w:p w:rsidR="00EC4921" w:rsidRPr="00EC4921" w:rsidRDefault="00EC4921" w:rsidP="00EC4921">
      <w:pPr>
        <w:pStyle w:val="ListParagraph"/>
        <w:numPr>
          <w:ilvl w:val="0"/>
          <w:numId w:val="88"/>
        </w:numPr>
        <w:spacing w:before="0" w:after="160" w:line="259" w:lineRule="auto"/>
        <w:contextualSpacing/>
      </w:pPr>
      <w:r>
        <w:t>Transfer of information</w:t>
      </w:r>
    </w:p>
    <w:p w:rsidR="00BB2656" w:rsidRPr="00B7234C" w:rsidRDefault="00BB2656" w:rsidP="00C30658">
      <w:pPr>
        <w:pStyle w:val="Heading3"/>
        <w:numPr>
          <w:ilvl w:val="2"/>
          <w:numId w:val="69"/>
        </w:numPr>
      </w:pPr>
      <w:bookmarkStart w:id="30" w:name="_Toc475455680"/>
      <w:bookmarkStart w:id="31" w:name="_Toc494105964"/>
      <w:r w:rsidRPr="00B7234C">
        <w:t>Electronic</w:t>
      </w:r>
      <w:r w:rsidR="00EC4921">
        <w:t xml:space="preserve"> health</w:t>
      </w:r>
      <w:r w:rsidRPr="00B7234C">
        <w:t xml:space="preserve"> records</w:t>
      </w:r>
      <w:bookmarkEnd w:id="30"/>
      <w:r w:rsidR="00F539C1" w:rsidRPr="00B7234C">
        <w:t xml:space="preserve"> (e</w:t>
      </w:r>
      <w:r w:rsidR="00EC4921">
        <w:t>H</w:t>
      </w:r>
      <w:r w:rsidR="00F539C1" w:rsidRPr="00B7234C">
        <w:t>R)</w:t>
      </w:r>
      <w:bookmarkEnd w:id="31"/>
    </w:p>
    <w:p w:rsidR="00BB2656" w:rsidRPr="00343BDF" w:rsidRDefault="00BB2656" w:rsidP="00BB2656">
      <w:pPr>
        <w:rPr>
          <w:rFonts w:cstheme="minorHAnsi"/>
        </w:rPr>
      </w:pPr>
      <w:r w:rsidRPr="00343BDF">
        <w:rPr>
          <w:rFonts w:cstheme="minorHAnsi"/>
        </w:rPr>
        <w:t xml:space="preserve">There is significant variation in the maturity of electronic </w:t>
      </w:r>
      <w:r w:rsidR="00EC4921">
        <w:rPr>
          <w:rFonts w:cstheme="minorHAnsi"/>
        </w:rPr>
        <w:t>health</w:t>
      </w:r>
      <w:r w:rsidR="00EC4921" w:rsidRPr="00343BDF">
        <w:rPr>
          <w:rFonts w:cstheme="minorHAnsi"/>
        </w:rPr>
        <w:t xml:space="preserve"> </w:t>
      </w:r>
      <w:r w:rsidRPr="00343BDF">
        <w:rPr>
          <w:rFonts w:cstheme="minorHAnsi"/>
        </w:rPr>
        <w:t xml:space="preserve">records across Australia between sectors, between and within jurisdictions and organisations. </w:t>
      </w:r>
      <w:r w:rsidRPr="00E86C34">
        <w:rPr>
          <w:rFonts w:cstheme="minorHAnsi"/>
        </w:rPr>
        <w:t>A</w:t>
      </w:r>
      <w:r w:rsidR="003E1130" w:rsidRPr="00E86C34">
        <w:rPr>
          <w:rFonts w:cstheme="minorHAnsi"/>
        </w:rPr>
        <w:t>n e</w:t>
      </w:r>
      <w:r w:rsidR="00EC4921" w:rsidRPr="00E86C34">
        <w:rPr>
          <w:rFonts w:cstheme="minorHAnsi"/>
        </w:rPr>
        <w:t>H</w:t>
      </w:r>
      <w:r w:rsidRPr="00E86C34">
        <w:rPr>
          <w:rFonts w:cstheme="minorHAnsi"/>
        </w:rPr>
        <w:t>R with all clinical information in digital format is still rare.</w:t>
      </w:r>
    </w:p>
    <w:p w:rsidR="00BB2656" w:rsidRDefault="00BB2656" w:rsidP="00BB2656">
      <w:pPr>
        <w:rPr>
          <w:rFonts w:cstheme="minorHAnsi"/>
        </w:rPr>
      </w:pPr>
      <w:r w:rsidRPr="00343BDF">
        <w:rPr>
          <w:rFonts w:cstheme="minorHAnsi"/>
        </w:rPr>
        <w:t xml:space="preserve">The progressive implementation of an </w:t>
      </w:r>
      <w:r>
        <w:rPr>
          <w:rFonts w:cstheme="minorHAnsi"/>
        </w:rPr>
        <w:t>e</w:t>
      </w:r>
      <w:r w:rsidR="00EC4921">
        <w:rPr>
          <w:rFonts w:cstheme="minorHAnsi"/>
        </w:rPr>
        <w:t>H</w:t>
      </w:r>
      <w:r w:rsidRPr="00343BDF">
        <w:rPr>
          <w:rFonts w:cstheme="minorHAnsi"/>
        </w:rPr>
        <w:t xml:space="preserve">R will facilitate the collection of patient data and will </w:t>
      </w:r>
      <w:r>
        <w:rPr>
          <w:rFonts w:cstheme="minorHAnsi"/>
        </w:rPr>
        <w:t>allow for</w:t>
      </w:r>
      <w:r w:rsidRPr="00343BDF">
        <w:rPr>
          <w:rFonts w:cstheme="minorHAnsi"/>
        </w:rPr>
        <w:t xml:space="preserve"> links</w:t>
      </w:r>
      <w:r>
        <w:rPr>
          <w:rFonts w:cstheme="minorHAnsi"/>
        </w:rPr>
        <w:t xml:space="preserve"> to be established</w:t>
      </w:r>
      <w:r w:rsidRPr="00343BDF">
        <w:rPr>
          <w:rFonts w:cstheme="minorHAnsi"/>
        </w:rPr>
        <w:t xml:space="preserve"> between different episodes of care across admitted, </w:t>
      </w:r>
      <w:r w:rsidR="001F3EF6">
        <w:rPr>
          <w:rFonts w:cstheme="minorHAnsi"/>
        </w:rPr>
        <w:br/>
      </w:r>
      <w:r w:rsidRPr="00343BDF">
        <w:rPr>
          <w:rFonts w:cstheme="minorHAnsi"/>
        </w:rPr>
        <w:t>non-admitted and subacute phases. e</w:t>
      </w:r>
      <w:r w:rsidR="00EC4921">
        <w:rPr>
          <w:rFonts w:cstheme="minorHAnsi"/>
        </w:rPr>
        <w:t>H</w:t>
      </w:r>
      <w:r w:rsidRPr="00343BDF">
        <w:rPr>
          <w:rFonts w:cstheme="minorHAnsi"/>
        </w:rPr>
        <w:t>R</w:t>
      </w:r>
      <w:r w:rsidR="00F539C1">
        <w:rPr>
          <w:rFonts w:cstheme="minorHAnsi"/>
        </w:rPr>
        <w:t>s</w:t>
      </w:r>
      <w:r w:rsidRPr="00343BDF">
        <w:rPr>
          <w:rFonts w:cstheme="minorHAnsi"/>
        </w:rPr>
        <w:t xml:space="preserve"> ha</w:t>
      </w:r>
      <w:r w:rsidR="00F539C1">
        <w:rPr>
          <w:rFonts w:cstheme="minorHAnsi"/>
        </w:rPr>
        <w:t>ve</w:t>
      </w:r>
      <w:r w:rsidRPr="00343BDF">
        <w:rPr>
          <w:rFonts w:cstheme="minorHAnsi"/>
        </w:rPr>
        <w:t xml:space="preserve"> made communication with primary care easier with automated reminders and functions to decrease errors of omission such as not communicating admission or discharge information to GPs and other community service providers.</w:t>
      </w:r>
    </w:p>
    <w:p w:rsidR="00EC4921" w:rsidRPr="00343BDF" w:rsidRDefault="00EC4921" w:rsidP="00974539">
      <w:pPr>
        <w:keepLines/>
        <w:rPr>
          <w:rFonts w:cstheme="minorHAnsi"/>
        </w:rPr>
      </w:pPr>
      <w:r>
        <w:rPr>
          <w:rFonts w:cstheme="minorHAnsi"/>
        </w:rPr>
        <w:lastRenderedPageBreak/>
        <w:t xml:space="preserve">Electronic health information is also becoming available to patients themselves. My Health Record, is a national platform that provides secure online access to a person’s health information. My Health Record allows individuals to enter their own health notes and advanced care information. Individuals are also able to control which documents in their record are visible to healthcare providers. A range of healthcare provider organisations including public hospitals, general practices, pharmacies, and aged care providers are linked to the My Health Record system. A wide range of health information can be held within My Health Record including medication summaries, prescription records, dispense records, health summaries, discharge records as well as pathology and diagnostic testing results. </w:t>
      </w:r>
    </w:p>
    <w:p w:rsidR="00B93AB9" w:rsidRDefault="00C35F4A" w:rsidP="00BB2656">
      <w:pPr>
        <w:rPr>
          <w:rFonts w:cstheme="minorHAnsi"/>
        </w:rPr>
      </w:pPr>
      <w:r>
        <w:rPr>
          <w:rFonts w:cstheme="minorHAnsi"/>
        </w:rPr>
        <w:t xml:space="preserve">Centralising patient medical information in an electronic medical record will provide significant opportunities for the future non-admitted care classification as the information </w:t>
      </w:r>
      <w:r w:rsidR="00B93AB9">
        <w:rPr>
          <w:rFonts w:cstheme="minorHAnsi"/>
        </w:rPr>
        <w:t xml:space="preserve">recorded would span different </w:t>
      </w:r>
      <w:r>
        <w:rPr>
          <w:rFonts w:cstheme="minorHAnsi"/>
        </w:rPr>
        <w:t>settings</w:t>
      </w:r>
      <w:r w:rsidR="00B93AB9">
        <w:rPr>
          <w:rFonts w:cstheme="minorHAnsi"/>
        </w:rPr>
        <w:t xml:space="preserve">. </w:t>
      </w:r>
      <w:r>
        <w:rPr>
          <w:rFonts w:cstheme="minorHAnsi"/>
        </w:rPr>
        <w:t xml:space="preserve">The future ANACC will be implemented at a time where the information is increasingly captured electronically and where patients are </w:t>
      </w:r>
      <w:r w:rsidR="00B93AB9">
        <w:rPr>
          <w:rFonts w:cstheme="minorHAnsi"/>
        </w:rPr>
        <w:t>able to record and keep their information in a national repository. The terminology used and its comparability across different classification systems will be a key consideration in the development of ANACC.</w:t>
      </w:r>
    </w:p>
    <w:p w:rsidR="00480209" w:rsidRDefault="00480209" w:rsidP="00480209">
      <w:pPr>
        <w:rPr>
          <w:rFonts w:cstheme="minorHAnsi"/>
        </w:rPr>
      </w:pPr>
      <w:r>
        <w:rPr>
          <w:rFonts w:cstheme="minorHAnsi"/>
        </w:rPr>
        <w:t xml:space="preserve">IHPA recently foreshadowed in the </w:t>
      </w:r>
      <w:r w:rsidRPr="00480209">
        <w:rPr>
          <w:rFonts w:cstheme="minorHAnsi"/>
          <w:i/>
        </w:rPr>
        <w:t xml:space="preserve">Pricing Framework for Australian Public Hospital Services 2018-19 </w:t>
      </w:r>
      <w:r>
        <w:rPr>
          <w:rFonts w:cstheme="minorHAnsi"/>
        </w:rPr>
        <w:t xml:space="preserve">that it will </w:t>
      </w:r>
      <w:r>
        <w:t>work with jurisdictions, national data committees, the Commonwealth and the Australian Digital Health Agency to consider the appropriateness of introducing</w:t>
      </w:r>
      <w:r w:rsidR="00E73420">
        <w:t xml:space="preserve"> the</w:t>
      </w:r>
      <w:r>
        <w:t xml:space="preserve"> Individual Healthcare Identifier in national data sets</w:t>
      </w:r>
      <w:r w:rsidR="00E73420">
        <w:t>.</w:t>
      </w:r>
      <w:r>
        <w:t xml:space="preserve"> The Individual Healthcare Identifier is an existing person identifier which can provide a rich data set across settings of hospital and primary care in future years. Currently, all Australians with a Medicare number have the identifier which underpins the My Health Record program administered by the Australian Digital Health Agency.</w:t>
      </w:r>
      <w:r w:rsidR="00E73420">
        <w:t xml:space="preserve"> The</w:t>
      </w:r>
      <w:r>
        <w:t xml:space="preserve"> single patient identifier </w:t>
      </w:r>
      <w:r w:rsidR="00E73420">
        <w:t>will facilitate</w:t>
      </w:r>
      <w:r>
        <w:t xml:space="preserve"> the accurate identification of service delivery to patients across settings of care, financial years and hospital establishments</w:t>
      </w:r>
      <w:r w:rsidR="00E73420">
        <w:t>, and will support the introduction of innovative funding models and better understand</w:t>
      </w:r>
      <w:r w:rsidR="00E877CE">
        <w:t>ing of</w:t>
      </w:r>
      <w:r w:rsidR="00E73420">
        <w:t xml:space="preserve"> service delivery trends.</w:t>
      </w:r>
    </w:p>
    <w:p w:rsidR="00BB2656" w:rsidRPr="00B7234C" w:rsidRDefault="00BB2656" w:rsidP="00C30658">
      <w:pPr>
        <w:pStyle w:val="Heading3"/>
        <w:numPr>
          <w:ilvl w:val="2"/>
          <w:numId w:val="69"/>
        </w:numPr>
      </w:pPr>
      <w:bookmarkStart w:id="32" w:name="_Toc475455681"/>
      <w:bookmarkStart w:id="33" w:name="_Toc494105965"/>
      <w:r w:rsidRPr="00B7234C">
        <w:t>Patient information systems</w:t>
      </w:r>
      <w:bookmarkEnd w:id="32"/>
      <w:bookmarkEnd w:id="33"/>
      <w:r w:rsidRPr="00B7234C">
        <w:t xml:space="preserve"> </w:t>
      </w:r>
    </w:p>
    <w:p w:rsidR="006B5250" w:rsidRDefault="006B5250" w:rsidP="006B5250">
      <w:bookmarkStart w:id="34" w:name="_Toc475455682"/>
      <w:r w:rsidRPr="00CB7A37">
        <w:t xml:space="preserve">Although there is a drive to move care out of an inpatient setting, generally information systems are lagging behind this change. In most </w:t>
      </w:r>
      <w:r>
        <w:t>non-admitted settings,</w:t>
      </w:r>
      <w:r w:rsidRPr="00CB7A37">
        <w:t xml:space="preserve"> activity is captured through ag</w:t>
      </w:r>
      <w:r>
        <w:t>e</w:t>
      </w:r>
      <w:r w:rsidRPr="00CB7A37">
        <w:t>ing appointment systems, with a reliance on paper</w:t>
      </w:r>
      <w:r>
        <w:t>-</w:t>
      </w:r>
      <w:r w:rsidRPr="00CB7A37">
        <w:t xml:space="preserve">based medical records. Patient information may be disseminated across multiple </w:t>
      </w:r>
      <w:r>
        <w:t xml:space="preserve">information </w:t>
      </w:r>
      <w:r w:rsidRPr="00CB7A37">
        <w:t>systems</w:t>
      </w:r>
      <w:r>
        <w:t>. S</w:t>
      </w:r>
      <w:r w:rsidRPr="00CB7A37">
        <w:t xml:space="preserve">ignificant variability in e-referral and information systems </w:t>
      </w:r>
      <w:r>
        <w:t xml:space="preserve">exists </w:t>
      </w:r>
      <w:r w:rsidRPr="00CB7A37">
        <w:t>across jurisdictions, within jurisdictions and even within individual hospitals.</w:t>
      </w:r>
    </w:p>
    <w:p w:rsidR="004A759A" w:rsidRPr="00CB7A37" w:rsidRDefault="004A759A" w:rsidP="006B5250">
      <w:r>
        <w:t>Another challenge in the capture of non-admitted care data is the absence of a dedicated coding workforce. IHPA acknowledges that the information to be captured for the purpose of classifying non-admitted care should not require a separate coding workforce</w:t>
      </w:r>
      <w:r w:rsidR="00766482">
        <w:t xml:space="preserve"> and will need to occur using existing capabilities</w:t>
      </w:r>
      <w:r>
        <w:t>.</w:t>
      </w:r>
    </w:p>
    <w:p w:rsidR="006B5250" w:rsidRPr="00CB7A37" w:rsidRDefault="006B5250" w:rsidP="006B5250">
      <w:r w:rsidRPr="00CB7A37">
        <w:t>The non-admitted care landscape is evolving rapidly</w:t>
      </w:r>
      <w:r w:rsidR="0075630D">
        <w:t>, yet</w:t>
      </w:r>
      <w:r w:rsidRPr="00CB7A37">
        <w:t xml:space="preserve"> information systems capturing the broad scope </w:t>
      </w:r>
      <w:r>
        <w:t xml:space="preserve">of </w:t>
      </w:r>
      <w:r w:rsidRPr="00CB7A37">
        <w:t>non-admitted care data are in their infancy. There are examples of condition</w:t>
      </w:r>
      <w:r>
        <w:t>-</w:t>
      </w:r>
      <w:r w:rsidRPr="00CB7A37">
        <w:t>specific information systems in areas such as cancer services or transplantation centres that are more advanced</w:t>
      </w:r>
      <w:r w:rsidR="0075630D">
        <w:t>,</w:t>
      </w:r>
      <w:r w:rsidRPr="00CB7A37">
        <w:t xml:space="preserve"> offering an </w:t>
      </w:r>
      <w:r w:rsidR="00CF715B">
        <w:t>Electronic Medical Record (</w:t>
      </w:r>
      <w:r w:rsidRPr="00CB7A37">
        <w:t>eMR</w:t>
      </w:r>
      <w:r w:rsidR="00CF715B">
        <w:t>)</w:t>
      </w:r>
      <w:r w:rsidRPr="00CB7A37">
        <w:t xml:space="preserve"> that </w:t>
      </w:r>
      <w:r w:rsidR="0075630D">
        <w:t xml:space="preserve">captures </w:t>
      </w:r>
      <w:r w:rsidRPr="00CB7A37">
        <w:t xml:space="preserve">admitted and </w:t>
      </w:r>
      <w:r w:rsidR="00CF715B">
        <w:br/>
      </w:r>
      <w:r w:rsidRPr="00CB7A37">
        <w:t xml:space="preserve">non-admitted </w:t>
      </w:r>
      <w:r w:rsidR="0075630D">
        <w:t>information about the patient</w:t>
      </w:r>
      <w:r w:rsidRPr="00CB7A37">
        <w:t>. However</w:t>
      </w:r>
      <w:r w:rsidR="0075630D">
        <w:t>,</w:t>
      </w:r>
      <w:r w:rsidRPr="00CB7A37">
        <w:t xml:space="preserve"> these represent a small percentage of the existing non-admitted activity.</w:t>
      </w:r>
    </w:p>
    <w:p w:rsidR="000E506B" w:rsidRDefault="000E506B" w:rsidP="006B5250">
      <w:r>
        <w:t>IHPA recognises that developing and implementing a new classification for non-admitted care services is a significant departure from the current provider-centric classification and will require an adequate implementation period for states and territories.</w:t>
      </w:r>
    </w:p>
    <w:p w:rsidR="006B5250" w:rsidRPr="00CB7A37" w:rsidRDefault="006B5250" w:rsidP="006B5250">
      <w:r>
        <w:t>As more hospital-</w:t>
      </w:r>
      <w:r w:rsidRPr="00CB7A37">
        <w:t xml:space="preserve">based clinical records become electronic many of the current constraints around data capture in the non-admitted setting will </w:t>
      </w:r>
      <w:r>
        <w:t>diminish</w:t>
      </w:r>
      <w:r w:rsidRPr="00CB7A37">
        <w:t xml:space="preserve">. Identification and reporting of the main diagnosis or intervention will most likely occur via clinicians entering data directly into an </w:t>
      </w:r>
      <w:r w:rsidRPr="00CB7A37">
        <w:lastRenderedPageBreak/>
        <w:t>information system or through a clinician completing a paper form which is later input into an information system by an administrative officer. Voice recognition software may provide other options to manual data entry.</w:t>
      </w:r>
    </w:p>
    <w:bookmarkEnd w:id="34"/>
    <w:p w:rsidR="00050FC1" w:rsidRDefault="00050FC1" w:rsidP="00BE4BDC">
      <w:pPr>
        <w:pStyle w:val="Heading3"/>
        <w:numPr>
          <w:ilvl w:val="2"/>
          <w:numId w:val="69"/>
        </w:numPr>
      </w:pPr>
      <w:r>
        <w:t xml:space="preserve"> Health System innovation</w:t>
      </w:r>
    </w:p>
    <w:p w:rsidR="00050FC1" w:rsidRPr="00493A70" w:rsidRDefault="00050FC1" w:rsidP="00050FC1">
      <w:r>
        <w:t xml:space="preserve">The delivery of patient services in the current health system remains provider dependent, and is defined as a “face to face” interaction. </w:t>
      </w:r>
      <w:r w:rsidR="0075630D">
        <w:t>In n</w:t>
      </w:r>
      <w:r>
        <w:t>ew models of care, the use of digital technology and decision support, and the declining availability of heath care professionals is resulting in new care models that rely on technology and innovations in patient devices and equipment.  Examples of this include remote monitoring without “face to face” interactions with health care providers.</w:t>
      </w:r>
    </w:p>
    <w:p w:rsidR="00050FC1" w:rsidRDefault="00050FC1" w:rsidP="00050FC1">
      <w:r>
        <w:t xml:space="preserve">The development of telehealth and home monitoring technology has allowed a fundamental change to the face-to-face patient clinician consultations, once considered the gold standard. Examples include Skype or Videolink consultations occurring in primary care and hospital settings, for rural and remote areas as well as urban. Home monitoring studies are starting to demonstrate reduced mortality for chronic disease management. </w:t>
      </w:r>
      <w:r w:rsidRPr="0025634A">
        <w:t>In Queensland, NetHealth have developed a software platform called HealthData which can integrate quantified self-data (e.g.</w:t>
      </w:r>
      <w:r w:rsidR="00974539">
        <w:t> </w:t>
      </w:r>
      <w:r w:rsidRPr="0025634A">
        <w:t xml:space="preserve">vital signs) from various self-tracking sources (e.g. Fitbit®, glucometers, oximeters), and </w:t>
      </w:r>
      <w:r>
        <w:t>may also</w:t>
      </w:r>
      <w:r w:rsidRPr="0025634A">
        <w:t xml:space="preserve"> link it to medical records.</w:t>
      </w:r>
    </w:p>
    <w:p w:rsidR="00050FC1" w:rsidRDefault="00050FC1" w:rsidP="00050FC1">
      <w:r>
        <w:t>The NSW Integrated Care Program includes innovation grants for models to roll out innovative care models including home monitoring – some of which rely on simple vital signs monitors and mobile phone communication.</w:t>
      </w:r>
    </w:p>
    <w:p w:rsidR="00050FC1" w:rsidRPr="00BA5380" w:rsidDel="0077366F" w:rsidRDefault="00050FC1" w:rsidP="00050FC1">
      <w:r>
        <w:rPr>
          <w:rFonts w:cstheme="minorHAnsi"/>
        </w:rPr>
        <w:t>Understanding and acknowledgement of these changes needs to be carefully considered in the establishment of ANACC, to ensure these services are recognised and accurately funded within the classification.</w:t>
      </w:r>
    </w:p>
    <w:p w:rsidR="003C2734" w:rsidRDefault="003C2734" w:rsidP="00BB2656">
      <w:pPr>
        <w:spacing w:after="0" w:line="240" w:lineRule="auto"/>
        <w:rPr>
          <w:rFonts w:cstheme="minorHAnsi"/>
        </w:rPr>
      </w:pPr>
    </w:p>
    <w:p w:rsidR="005A4147" w:rsidRDefault="005A4147" w:rsidP="005A4147">
      <w:pPr>
        <w:pStyle w:val="Heading3"/>
      </w:pPr>
      <w:bookmarkStart w:id="35" w:name="_Toc494105967"/>
      <w:r>
        <w:t>Consultation questions</w:t>
      </w:r>
      <w:bookmarkEnd w:id="35"/>
    </w:p>
    <w:p w:rsidR="00E1638E" w:rsidRDefault="000B55F1" w:rsidP="006C74B4">
      <w:pPr>
        <w:pStyle w:val="ListParagraph"/>
        <w:numPr>
          <w:ilvl w:val="0"/>
          <w:numId w:val="72"/>
        </w:numPr>
        <w:pBdr>
          <w:top w:val="single" w:sz="18" w:space="1" w:color="008A00"/>
          <w:left w:val="single" w:sz="18" w:space="4" w:color="008A00"/>
          <w:bottom w:val="single" w:sz="18" w:space="1" w:color="008A00"/>
          <w:right w:val="single" w:sz="18" w:space="4" w:color="008A00"/>
        </w:pBdr>
        <w:spacing w:before="240" w:after="240" w:line="276" w:lineRule="auto"/>
      </w:pPr>
      <w:r>
        <w:t>S</w:t>
      </w:r>
      <w:r w:rsidR="00A957B7">
        <w:t xml:space="preserve">hould </w:t>
      </w:r>
      <w:r w:rsidR="00E1638E">
        <w:t xml:space="preserve">the </w:t>
      </w:r>
      <w:r w:rsidR="00E1638E" w:rsidRPr="007B70DA">
        <w:t xml:space="preserve">new classification </w:t>
      </w:r>
      <w:r w:rsidR="00E1638E">
        <w:t xml:space="preserve">for non-admitted care support the </w:t>
      </w:r>
      <w:r w:rsidR="00E1638E" w:rsidRPr="007B70DA">
        <w:t>delivery of integrated care between health care settings</w:t>
      </w:r>
      <w:r w:rsidR="00E1638E">
        <w:t>?</w:t>
      </w:r>
      <w:r>
        <w:t xml:space="preserve"> If yes, how?</w:t>
      </w:r>
    </w:p>
    <w:p w:rsidR="00D74EF9" w:rsidRDefault="000B55F1" w:rsidP="0073424C">
      <w:pPr>
        <w:pStyle w:val="ListParagraph"/>
        <w:numPr>
          <w:ilvl w:val="0"/>
          <w:numId w:val="72"/>
        </w:numPr>
        <w:pBdr>
          <w:top w:val="single" w:sz="18" w:space="1" w:color="008A00"/>
          <w:left w:val="single" w:sz="18" w:space="4" w:color="008A00"/>
          <w:bottom w:val="single" w:sz="18" w:space="1" w:color="008A00"/>
          <w:right w:val="single" w:sz="18" w:space="4" w:color="008A00"/>
        </w:pBdr>
        <w:spacing w:before="240" w:after="240" w:line="276" w:lineRule="auto"/>
      </w:pPr>
      <w:r>
        <w:t>S</w:t>
      </w:r>
      <w:r w:rsidR="00A957B7">
        <w:t xml:space="preserve">hould the </w:t>
      </w:r>
      <w:r w:rsidR="00D74EF9" w:rsidRPr="007B70DA">
        <w:t xml:space="preserve">new classification </w:t>
      </w:r>
      <w:r w:rsidR="00D74EF9">
        <w:t xml:space="preserve">for non-admitted care services account </w:t>
      </w:r>
      <w:r w:rsidR="00D74EF9" w:rsidRPr="007B70DA">
        <w:t>for and adapt to newer models of care and technology</w:t>
      </w:r>
      <w:r w:rsidR="00D74EF9">
        <w:t>?</w:t>
      </w:r>
      <w:r>
        <w:t xml:space="preserve"> If yes, how?</w:t>
      </w:r>
    </w:p>
    <w:p w:rsidR="003C2734" w:rsidRPr="00CF715B" w:rsidRDefault="00122840" w:rsidP="00CF715B">
      <w:pPr>
        <w:pStyle w:val="ListParagraph"/>
        <w:numPr>
          <w:ilvl w:val="0"/>
          <w:numId w:val="72"/>
        </w:numPr>
        <w:pBdr>
          <w:top w:val="single" w:sz="18" w:space="1" w:color="008A00"/>
          <w:left w:val="single" w:sz="18" w:space="4" w:color="008A00"/>
          <w:bottom w:val="single" w:sz="18" w:space="1" w:color="008A00"/>
          <w:right w:val="single" w:sz="18" w:space="4" w:color="008A00"/>
        </w:pBdr>
        <w:spacing w:before="240" w:after="240" w:line="276" w:lineRule="auto"/>
      </w:pPr>
      <w:r w:rsidRPr="00D445D0">
        <w:t xml:space="preserve">As </w:t>
      </w:r>
      <w:r w:rsidR="0075630D">
        <w:t xml:space="preserve">the type of care delivered in </w:t>
      </w:r>
      <w:r w:rsidRPr="00D445D0">
        <w:t>admitted, non-admitted and primary care are challenged, how can the future ANACC system account for these changes?</w:t>
      </w:r>
      <w:r w:rsidR="003C2734" w:rsidRPr="00CF715B">
        <w:rPr>
          <w:rFonts w:cstheme="minorHAnsi"/>
        </w:rPr>
        <w:br w:type="page"/>
      </w:r>
    </w:p>
    <w:p w:rsidR="003C2734" w:rsidRPr="00B7234C" w:rsidRDefault="003C2734" w:rsidP="00C30658">
      <w:pPr>
        <w:pStyle w:val="Heading1"/>
        <w:numPr>
          <w:ilvl w:val="0"/>
          <w:numId w:val="69"/>
        </w:numPr>
      </w:pPr>
      <w:bookmarkStart w:id="36" w:name="_Toc494105968"/>
      <w:r w:rsidRPr="00B7234C">
        <w:lastRenderedPageBreak/>
        <w:t>Creating an appropriate non-admitted</w:t>
      </w:r>
      <w:r w:rsidR="00E15039">
        <w:t xml:space="preserve"> care</w:t>
      </w:r>
      <w:r w:rsidRPr="00B7234C">
        <w:t xml:space="preserve"> classification</w:t>
      </w:r>
      <w:bookmarkEnd w:id="36"/>
      <w:r w:rsidRPr="00B7234C">
        <w:t xml:space="preserve"> </w:t>
      </w:r>
    </w:p>
    <w:p w:rsidR="007B70DA" w:rsidRPr="007B70DA" w:rsidRDefault="007B70DA" w:rsidP="007B70DA">
      <w:pPr>
        <w:pStyle w:val="Intro"/>
      </w:pPr>
      <w:r w:rsidRPr="007B70DA">
        <w:t>In developing the ANACC</w:t>
      </w:r>
      <w:r>
        <w:t xml:space="preserve"> system, </w:t>
      </w:r>
      <w:r w:rsidRPr="007B70DA">
        <w:t>IHPA needs to account for trends in e-health and the expected landscape in ten years’ time with advances in the use</w:t>
      </w:r>
      <w:r>
        <w:t xml:space="preserve"> of electronic medical records </w:t>
      </w:r>
      <w:r w:rsidRPr="007B70DA">
        <w:t>and developments in health terminologies such as the growing use of SNOMED across disciplines.</w:t>
      </w:r>
    </w:p>
    <w:p w:rsidR="007B70DA" w:rsidRPr="007B70DA" w:rsidRDefault="007B70DA" w:rsidP="007B70DA">
      <w:pPr>
        <w:pStyle w:val="Intro"/>
      </w:pPr>
      <w:r w:rsidRPr="007B70DA">
        <w:t>The new classification needs to take advantage of these advances and be relevant to them, as well as have longevity, with updates required over the years rather than whole scale revisions. As such, classification development will need to be informed by the opportunities of the future landscape, rather than restricted by current reporting requirements and limitations.</w:t>
      </w:r>
    </w:p>
    <w:p w:rsidR="00A11C5F" w:rsidRDefault="00A11C5F" w:rsidP="00C30658">
      <w:pPr>
        <w:pStyle w:val="Heading2"/>
        <w:numPr>
          <w:ilvl w:val="1"/>
          <w:numId w:val="69"/>
        </w:numPr>
      </w:pPr>
      <w:bookmarkStart w:id="37" w:name="_Toc494102164"/>
      <w:bookmarkStart w:id="38" w:name="_Toc475455687"/>
      <w:bookmarkStart w:id="39" w:name="_Toc494105969"/>
      <w:bookmarkEnd w:id="37"/>
      <w:r w:rsidRPr="00211D71">
        <w:t>Classification principles</w:t>
      </w:r>
      <w:bookmarkEnd w:id="38"/>
      <w:bookmarkEnd w:id="39"/>
    </w:p>
    <w:p w:rsidR="00E86C34" w:rsidRPr="00E86C34" w:rsidRDefault="005D04F8" w:rsidP="00462231">
      <w:pPr>
        <w:rPr>
          <w:i/>
        </w:rPr>
      </w:pPr>
      <w:r>
        <w:t xml:space="preserve">IHPA has developed a </w:t>
      </w:r>
      <w:r w:rsidR="00985B86">
        <w:t xml:space="preserve">set of </w:t>
      </w:r>
      <w:r w:rsidR="00642C1A">
        <w:t xml:space="preserve">general </w:t>
      </w:r>
      <w:r w:rsidR="00985B86">
        <w:t>c</w:t>
      </w:r>
      <w:r w:rsidR="0037056E">
        <w:t>lassification principles to guide classification development and refinement</w:t>
      </w:r>
      <w:r w:rsidR="00FC4E09">
        <w:t xml:space="preserve"> </w:t>
      </w:r>
      <w:r>
        <w:t>across all care streams. IHPA will apply these principles in developing the ANACC system</w:t>
      </w:r>
      <w:r w:rsidR="001F3C9B">
        <w:t>:</w:t>
      </w:r>
      <w:r>
        <w:t xml:space="preserve"> </w:t>
      </w:r>
    </w:p>
    <w:p w:rsidR="00A11C5F" w:rsidRPr="008F53CC" w:rsidRDefault="00A11C5F" w:rsidP="00A11C5F">
      <w:pPr>
        <w:rPr>
          <w:i/>
        </w:rPr>
      </w:pPr>
      <w:r w:rsidRPr="008F53CC">
        <w:rPr>
          <w:i/>
        </w:rPr>
        <w:t>Comprehensive, mutually exclusive and consistent</w:t>
      </w:r>
    </w:p>
    <w:p w:rsidR="00A11C5F" w:rsidRDefault="007D7183" w:rsidP="009768EE">
      <w:pPr>
        <w:pStyle w:val="ListParagraph"/>
        <w:numPr>
          <w:ilvl w:val="0"/>
          <w:numId w:val="6"/>
        </w:numPr>
        <w:spacing w:before="0"/>
        <w:ind w:left="714" w:hanging="357"/>
      </w:pPr>
      <w:r>
        <w:t>T</w:t>
      </w:r>
      <w:r w:rsidR="00A11C5F">
        <w:t>he classification is comprehensive, with all possible cases (episodes) within the scope of the classification able to be grouped to a class</w:t>
      </w:r>
    </w:p>
    <w:p w:rsidR="00A11C5F" w:rsidDel="00E86C34" w:rsidRDefault="007D7183" w:rsidP="009768EE">
      <w:pPr>
        <w:pStyle w:val="ListParagraph"/>
        <w:numPr>
          <w:ilvl w:val="0"/>
          <w:numId w:val="6"/>
        </w:numPr>
        <w:spacing w:before="0"/>
        <w:ind w:left="714" w:hanging="357"/>
      </w:pPr>
      <w:r w:rsidDel="00E86C34">
        <w:t>S</w:t>
      </w:r>
      <w:r w:rsidR="00A11C5F" w:rsidDel="00E86C34">
        <w:t xml:space="preserve">hould be able to be applied to all non-admitted care services in scope of </w:t>
      </w:r>
      <w:r w:rsidR="00A87A5E" w:rsidDel="00E86C34">
        <w:t>ABF</w:t>
      </w:r>
      <w:r w:rsidR="00A11C5F" w:rsidDel="00E86C34">
        <w:t xml:space="preserve"> and perform similarly (clinically and statistically) when applied to different models and / or settings of care</w:t>
      </w:r>
    </w:p>
    <w:p w:rsidR="00A11C5F" w:rsidRDefault="007D7183" w:rsidP="009768EE">
      <w:pPr>
        <w:pStyle w:val="ListParagraph"/>
        <w:numPr>
          <w:ilvl w:val="0"/>
          <w:numId w:val="6"/>
        </w:numPr>
        <w:spacing w:before="0"/>
        <w:ind w:left="714" w:hanging="357"/>
      </w:pPr>
      <w:r>
        <w:t>C</w:t>
      </w:r>
      <w:r w:rsidR="00A11C5F">
        <w:t>lasses within the classification are mutually exclusive, with every case (episode) in scope able to be grouped to a single class</w:t>
      </w:r>
    </w:p>
    <w:p w:rsidR="00A11C5F" w:rsidRDefault="007D7183" w:rsidP="009768EE">
      <w:pPr>
        <w:pStyle w:val="ListParagraph"/>
        <w:numPr>
          <w:ilvl w:val="0"/>
          <w:numId w:val="6"/>
        </w:numPr>
        <w:spacing w:before="0"/>
        <w:ind w:left="714" w:hanging="357"/>
      </w:pPr>
      <w:r>
        <w:t>C</w:t>
      </w:r>
      <w:r w:rsidR="00A11C5F">
        <w:t>lass definitions and assignment to classes are clear, consistent and unambiguous.</w:t>
      </w:r>
    </w:p>
    <w:p w:rsidR="00A11C5F" w:rsidRPr="008F53CC" w:rsidRDefault="00A11C5F" w:rsidP="00A11C5F">
      <w:pPr>
        <w:rPr>
          <w:i/>
        </w:rPr>
      </w:pPr>
      <w:r w:rsidRPr="008F53CC">
        <w:rPr>
          <w:i/>
        </w:rPr>
        <w:t>Clinical meaning</w:t>
      </w:r>
    </w:p>
    <w:p w:rsidR="00A11C5F" w:rsidRDefault="007D7183" w:rsidP="009768EE">
      <w:pPr>
        <w:pStyle w:val="ListParagraph"/>
        <w:numPr>
          <w:ilvl w:val="0"/>
          <w:numId w:val="6"/>
        </w:numPr>
        <w:spacing w:before="0"/>
        <w:ind w:left="714" w:hanging="357"/>
      </w:pPr>
      <w:r>
        <w:t>T</w:t>
      </w:r>
      <w:r w:rsidR="00A11C5F">
        <w:t>he underlying data elements are useful for clinical management purposes in addition to funding purposes should group patients with similar clinical and other characteristics</w:t>
      </w:r>
      <w:r w:rsidR="00A87A5E">
        <w:br/>
      </w:r>
      <w:r w:rsidR="00A11C5F">
        <w:t xml:space="preserve">and / or requiring similar treatment </w:t>
      </w:r>
    </w:p>
    <w:p w:rsidR="00A11C5F" w:rsidRDefault="007D7183" w:rsidP="009768EE">
      <w:pPr>
        <w:pStyle w:val="ListParagraph"/>
        <w:numPr>
          <w:ilvl w:val="0"/>
          <w:numId w:val="6"/>
        </w:numPr>
        <w:spacing w:before="0"/>
        <w:ind w:left="714" w:hanging="357"/>
      </w:pPr>
      <w:r>
        <w:t>T</w:t>
      </w:r>
      <w:r w:rsidR="00A11C5F">
        <w:t xml:space="preserve">he </w:t>
      </w:r>
      <w:r w:rsidR="00A11C5F" w:rsidRPr="00AE5B67">
        <w:t>data element</w:t>
      </w:r>
      <w:r w:rsidR="00A11C5F">
        <w:t xml:space="preserve"> makes sense to clinicians, and aligns with the language used by clinicians for clinical management of their patients.</w:t>
      </w:r>
    </w:p>
    <w:p w:rsidR="00A11C5F" w:rsidRPr="008F53CC" w:rsidRDefault="00A11C5F" w:rsidP="00A11C5F">
      <w:pPr>
        <w:rPr>
          <w:i/>
        </w:rPr>
      </w:pPr>
      <w:r w:rsidRPr="008F53CC">
        <w:rPr>
          <w:i/>
        </w:rPr>
        <w:t>Resource use homogeneity</w:t>
      </w:r>
    </w:p>
    <w:p w:rsidR="00A11C5F" w:rsidRDefault="007D7183" w:rsidP="009768EE">
      <w:pPr>
        <w:pStyle w:val="ListParagraph"/>
        <w:numPr>
          <w:ilvl w:val="0"/>
          <w:numId w:val="6"/>
        </w:numPr>
        <w:spacing w:before="0"/>
        <w:ind w:left="714" w:hanging="357"/>
      </w:pPr>
      <w:r>
        <w:t>E</w:t>
      </w:r>
      <w:r w:rsidR="00A11C5F">
        <w:t>vents (episodes) should be assigned to classes with similar levels of resource use</w:t>
      </w:r>
    </w:p>
    <w:p w:rsidR="00A11C5F" w:rsidRDefault="007D7183" w:rsidP="009768EE">
      <w:pPr>
        <w:pStyle w:val="ListParagraph"/>
        <w:numPr>
          <w:ilvl w:val="0"/>
          <w:numId w:val="6"/>
        </w:numPr>
        <w:spacing w:before="0"/>
        <w:ind w:left="714" w:hanging="357"/>
      </w:pPr>
      <w:r>
        <w:t>E</w:t>
      </w:r>
      <w:r w:rsidR="00A11C5F">
        <w:t>stimates of resource use within classes should be stable over time</w:t>
      </w:r>
    </w:p>
    <w:p w:rsidR="00A11C5F" w:rsidRDefault="007D7183" w:rsidP="009768EE">
      <w:pPr>
        <w:pStyle w:val="ListParagraph"/>
        <w:numPr>
          <w:ilvl w:val="0"/>
          <w:numId w:val="6"/>
        </w:numPr>
        <w:spacing w:before="0"/>
        <w:ind w:left="714" w:hanging="357"/>
      </w:pPr>
      <w:r>
        <w:t>W</w:t>
      </w:r>
      <w:r w:rsidR="00A11C5F">
        <w:t>hen applied prospectively, the classification should explain a substantial level of the cost variation between classes, while minimising the variability of costs within each class</w:t>
      </w:r>
    </w:p>
    <w:p w:rsidR="00A11C5F" w:rsidRDefault="007D7183" w:rsidP="009768EE">
      <w:pPr>
        <w:pStyle w:val="ListParagraph"/>
        <w:numPr>
          <w:ilvl w:val="0"/>
          <w:numId w:val="6"/>
        </w:numPr>
        <w:spacing w:before="0"/>
        <w:ind w:left="714" w:hanging="357"/>
      </w:pPr>
      <w:r>
        <w:lastRenderedPageBreak/>
        <w:t>W</w:t>
      </w:r>
      <w:r w:rsidR="00A11C5F">
        <w:t>hen assessing an individual data element for its inclusion in the classification, there is strong evidence that the data element explains variation in costs over and above other cost drivers.</w:t>
      </w:r>
    </w:p>
    <w:p w:rsidR="00A11C5F" w:rsidRPr="008F53CC" w:rsidRDefault="008F53CC" w:rsidP="00A11C5F">
      <w:pPr>
        <w:rPr>
          <w:i/>
        </w:rPr>
      </w:pPr>
      <w:r>
        <w:rPr>
          <w:i/>
        </w:rPr>
        <w:t>Patient-</w:t>
      </w:r>
      <w:r w:rsidR="00A11C5F" w:rsidRPr="008F53CC">
        <w:rPr>
          <w:i/>
        </w:rPr>
        <w:t>based</w:t>
      </w:r>
    </w:p>
    <w:p w:rsidR="00A11C5F" w:rsidRDefault="007D7183" w:rsidP="009768EE">
      <w:pPr>
        <w:pStyle w:val="ListParagraph"/>
        <w:numPr>
          <w:ilvl w:val="0"/>
          <w:numId w:val="6"/>
        </w:numPr>
        <w:spacing w:before="0"/>
        <w:ind w:left="714" w:hanging="357"/>
      </w:pPr>
      <w:r>
        <w:t>S</w:t>
      </w:r>
      <w:r w:rsidR="00A11C5F">
        <w:t>hould be based on data elements that reflect the characteristic of patients, rather than characteristics of the service provider or inputs to care</w:t>
      </w:r>
    </w:p>
    <w:p w:rsidR="00A11C5F" w:rsidRDefault="007D7183" w:rsidP="009768EE">
      <w:pPr>
        <w:pStyle w:val="ListParagraph"/>
        <w:numPr>
          <w:ilvl w:val="0"/>
          <w:numId w:val="6"/>
        </w:numPr>
        <w:spacing w:before="0"/>
        <w:ind w:left="714" w:hanging="357"/>
      </w:pPr>
      <w:r>
        <w:t>C</w:t>
      </w:r>
      <w:r w:rsidR="00A11C5F">
        <w:t>lassification should be able to be applied consistently across different settings.</w:t>
      </w:r>
    </w:p>
    <w:p w:rsidR="00A11C5F" w:rsidRPr="008F53CC" w:rsidRDefault="00A11C5F" w:rsidP="00A11C5F">
      <w:pPr>
        <w:rPr>
          <w:i/>
        </w:rPr>
      </w:pPr>
      <w:r w:rsidRPr="008F53CC">
        <w:rPr>
          <w:i/>
        </w:rPr>
        <w:t>Simple and transparent</w:t>
      </w:r>
    </w:p>
    <w:p w:rsidR="00A11C5F" w:rsidRDefault="007D7183" w:rsidP="009768EE">
      <w:pPr>
        <w:pStyle w:val="ListParagraph"/>
        <w:numPr>
          <w:ilvl w:val="0"/>
          <w:numId w:val="6"/>
        </w:numPr>
        <w:spacing w:before="0"/>
        <w:ind w:left="714" w:hanging="357"/>
      </w:pPr>
      <w:r>
        <w:t>T</w:t>
      </w:r>
      <w:r w:rsidR="00A11C5F">
        <w:t>he classification has as many classes as are needed for its purpose and no more</w:t>
      </w:r>
    </w:p>
    <w:p w:rsidR="00A11C5F" w:rsidRDefault="007D7183" w:rsidP="009768EE">
      <w:pPr>
        <w:pStyle w:val="ListParagraph"/>
        <w:numPr>
          <w:ilvl w:val="0"/>
          <w:numId w:val="6"/>
        </w:numPr>
        <w:spacing w:before="0"/>
        <w:ind w:left="714" w:hanging="357"/>
      </w:pPr>
      <w:r>
        <w:t>A</w:t>
      </w:r>
      <w:r w:rsidR="00A11C5F">
        <w:t>ssignment of cases to classes should occur through a process that is transparent and able to be understood by clinicians and health service managers.</w:t>
      </w:r>
    </w:p>
    <w:p w:rsidR="00A11C5F" w:rsidRPr="008F53CC" w:rsidRDefault="00A11C5F" w:rsidP="00A11C5F">
      <w:pPr>
        <w:rPr>
          <w:i/>
        </w:rPr>
      </w:pPr>
      <w:r w:rsidRPr="008F53CC">
        <w:rPr>
          <w:i/>
        </w:rPr>
        <w:t>Minimising undesirable and inadvertent consequences</w:t>
      </w:r>
    </w:p>
    <w:p w:rsidR="00A11C5F" w:rsidRDefault="007D7183" w:rsidP="009768EE">
      <w:pPr>
        <w:pStyle w:val="ListParagraph"/>
        <w:numPr>
          <w:ilvl w:val="0"/>
          <w:numId w:val="6"/>
        </w:numPr>
        <w:spacing w:before="0"/>
        <w:ind w:left="714" w:hanging="357"/>
      </w:pPr>
      <w:r>
        <w:t>T</w:t>
      </w:r>
      <w:r w:rsidR="00A11C5F">
        <w:t>he classification relies on data elements that are collected consistently and uniformly</w:t>
      </w:r>
    </w:p>
    <w:p w:rsidR="00A11C5F" w:rsidRDefault="007D7183" w:rsidP="009768EE">
      <w:pPr>
        <w:pStyle w:val="ListParagraph"/>
        <w:numPr>
          <w:ilvl w:val="0"/>
          <w:numId w:val="6"/>
        </w:numPr>
        <w:spacing w:before="0"/>
        <w:ind w:left="714" w:hanging="357"/>
      </w:pPr>
      <w:r>
        <w:t>T</w:t>
      </w:r>
      <w:r w:rsidR="00A11C5F">
        <w:t>he classification minimises the reliance on data elements that are open to local interpretation and / or provide incentives to change reporting to optimise funding</w:t>
      </w:r>
    </w:p>
    <w:p w:rsidR="00A11C5F" w:rsidRDefault="007D7183" w:rsidP="009768EE">
      <w:pPr>
        <w:pStyle w:val="ListParagraph"/>
        <w:numPr>
          <w:ilvl w:val="0"/>
          <w:numId w:val="6"/>
        </w:numPr>
        <w:spacing w:before="0"/>
        <w:ind w:left="714" w:hanging="357"/>
      </w:pPr>
      <w:r>
        <w:t>T</w:t>
      </w:r>
      <w:r w:rsidR="00A11C5F">
        <w:t>he classification should minimise susceptibility to gaming, inappropriate rewards and perverse incentives</w:t>
      </w:r>
    </w:p>
    <w:p w:rsidR="00A11C5F" w:rsidRDefault="007D7183" w:rsidP="009768EE">
      <w:pPr>
        <w:pStyle w:val="ListParagraph"/>
        <w:numPr>
          <w:ilvl w:val="0"/>
          <w:numId w:val="6"/>
        </w:numPr>
        <w:spacing w:before="0"/>
        <w:ind w:left="714" w:hanging="357"/>
      </w:pPr>
      <w:r>
        <w:t>T</w:t>
      </w:r>
      <w:r w:rsidR="00A11C5F">
        <w:t>he underlying data contributing to the classification are able to be audited.</w:t>
      </w:r>
    </w:p>
    <w:p w:rsidR="00A11C5F" w:rsidRPr="008F53CC" w:rsidRDefault="00A11C5F" w:rsidP="00A11C5F">
      <w:pPr>
        <w:rPr>
          <w:i/>
        </w:rPr>
      </w:pPr>
      <w:r w:rsidRPr="008F53CC">
        <w:rPr>
          <w:i/>
        </w:rPr>
        <w:t>Capacity for improvement</w:t>
      </w:r>
    </w:p>
    <w:p w:rsidR="00A11C5F" w:rsidRDefault="007D7183" w:rsidP="009768EE">
      <w:pPr>
        <w:pStyle w:val="ListParagraph"/>
        <w:numPr>
          <w:ilvl w:val="0"/>
          <w:numId w:val="6"/>
        </w:numPr>
        <w:spacing w:before="0"/>
        <w:ind w:left="714" w:hanging="357"/>
      </w:pPr>
      <w:r>
        <w:t>T</w:t>
      </w:r>
      <w:r w:rsidR="00A11C5F">
        <w:t>he classification and the underlying data elements should provide information of sufficient granularity to facilitate improvement in the classification over time, for example, to reflect changes in practice patterns and technological advances, and to incorporate emerging knowledge about cost drivers</w:t>
      </w:r>
    </w:p>
    <w:p w:rsidR="00A11C5F" w:rsidRDefault="007D7183" w:rsidP="009768EE">
      <w:pPr>
        <w:pStyle w:val="ListParagraph"/>
        <w:numPr>
          <w:ilvl w:val="0"/>
          <w:numId w:val="6"/>
        </w:numPr>
        <w:spacing w:before="0"/>
        <w:ind w:left="714" w:hanging="357"/>
      </w:pPr>
      <w:r>
        <w:t>T</w:t>
      </w:r>
      <w:r w:rsidR="00A11C5F">
        <w:t>he system should be sufficiently flexible to adapt to such change without requiring major restructuring.</w:t>
      </w:r>
    </w:p>
    <w:p w:rsidR="00A11C5F" w:rsidRPr="008F53CC" w:rsidRDefault="00A11C5F" w:rsidP="00A11C5F">
      <w:pPr>
        <w:rPr>
          <w:i/>
        </w:rPr>
      </w:pPr>
      <w:r w:rsidRPr="008F53CC">
        <w:rPr>
          <w:i/>
        </w:rPr>
        <w:t>Utility beyond</w:t>
      </w:r>
      <w:r w:rsidR="00A87A5E">
        <w:rPr>
          <w:i/>
        </w:rPr>
        <w:t xml:space="preserve"> ABF</w:t>
      </w:r>
    </w:p>
    <w:p w:rsidR="00A11C5F" w:rsidRDefault="007D7183" w:rsidP="009768EE">
      <w:pPr>
        <w:pStyle w:val="ListParagraph"/>
        <w:numPr>
          <w:ilvl w:val="0"/>
          <w:numId w:val="6"/>
        </w:numPr>
        <w:spacing w:before="0"/>
        <w:ind w:left="714" w:hanging="357"/>
      </w:pPr>
      <w:r>
        <w:t>T</w:t>
      </w:r>
      <w:r w:rsidR="00A11C5F">
        <w:t>he classification and the underlying data elements should allow the analysis of best practice and facilitate benchmarking</w:t>
      </w:r>
    </w:p>
    <w:p w:rsidR="00A11C5F" w:rsidRDefault="007D7183" w:rsidP="009768EE">
      <w:pPr>
        <w:pStyle w:val="ListParagraph"/>
        <w:numPr>
          <w:ilvl w:val="0"/>
          <w:numId w:val="6"/>
        </w:numPr>
        <w:spacing w:before="0"/>
        <w:ind w:left="714" w:hanging="357"/>
      </w:pPr>
      <w:r>
        <w:t>T</w:t>
      </w:r>
      <w:r w:rsidR="00A11C5F">
        <w:t>he data elements required for the classification are useful for purposes other than funding. These may include health services management, monitoring of quality and safety, epidemiological monitoring, understanding practice and cost variation, health services planning and performance reporting.</w:t>
      </w:r>
    </w:p>
    <w:p w:rsidR="00A11C5F" w:rsidRPr="008F53CC" w:rsidRDefault="00A11C5F" w:rsidP="00A11C5F">
      <w:pPr>
        <w:rPr>
          <w:i/>
        </w:rPr>
      </w:pPr>
      <w:r w:rsidRPr="008F53CC">
        <w:rPr>
          <w:i/>
        </w:rPr>
        <w:t>Administrative and operational feasibility</w:t>
      </w:r>
    </w:p>
    <w:p w:rsidR="00A11C5F" w:rsidRDefault="007D7183" w:rsidP="009768EE">
      <w:pPr>
        <w:pStyle w:val="ListParagraph"/>
        <w:numPr>
          <w:ilvl w:val="0"/>
          <w:numId w:val="6"/>
        </w:numPr>
        <w:spacing w:before="0"/>
        <w:ind w:left="714" w:hanging="357"/>
      </w:pPr>
      <w:r>
        <w:t>T</w:t>
      </w:r>
      <w:r w:rsidR="00A11C5F">
        <w:t>he benefits of the data collected for the classification outweigh the administrative cost and burden of collection</w:t>
      </w:r>
    </w:p>
    <w:p w:rsidR="00A11C5F" w:rsidRDefault="007D7183" w:rsidP="009768EE">
      <w:pPr>
        <w:pStyle w:val="ListParagraph"/>
        <w:numPr>
          <w:ilvl w:val="0"/>
          <w:numId w:val="6"/>
        </w:numPr>
        <w:spacing w:before="0"/>
        <w:ind w:left="714" w:hanging="357"/>
      </w:pPr>
      <w:r>
        <w:t>T</w:t>
      </w:r>
      <w:r w:rsidR="00A11C5F">
        <w:t>he collection of data utilises approaches that assist with or are consistent with the implementation of the electronic health / medical record</w:t>
      </w:r>
    </w:p>
    <w:p w:rsidR="005D04F8" w:rsidRDefault="007D7183" w:rsidP="009768EE">
      <w:pPr>
        <w:pStyle w:val="ListParagraph"/>
        <w:numPr>
          <w:ilvl w:val="0"/>
          <w:numId w:val="6"/>
        </w:numPr>
        <w:spacing w:before="0"/>
        <w:ind w:left="714" w:hanging="357"/>
      </w:pPr>
      <w:r>
        <w:t>T</w:t>
      </w:r>
      <w:r w:rsidR="00A11C5F">
        <w:t>he cost to establish / purchase and maintain the classification system is balanced by the benefits that it offers, and is affordable to the health system relative to other priorities.</w:t>
      </w:r>
    </w:p>
    <w:p w:rsidR="00642C1A" w:rsidRPr="00B7234C" w:rsidRDefault="00642C1A" w:rsidP="00C30658">
      <w:pPr>
        <w:pStyle w:val="Heading2"/>
        <w:numPr>
          <w:ilvl w:val="1"/>
          <w:numId w:val="69"/>
        </w:numPr>
      </w:pPr>
      <w:bookmarkStart w:id="40" w:name="_Toc494105970"/>
      <w:bookmarkStart w:id="41" w:name="_Toc475455688"/>
      <w:r w:rsidRPr="00B7234C">
        <w:lastRenderedPageBreak/>
        <w:t>Key considerations in designing the ANACC system</w:t>
      </w:r>
      <w:bookmarkEnd w:id="40"/>
    </w:p>
    <w:p w:rsidR="00642C1A" w:rsidRDefault="00E877CE" w:rsidP="00642C1A">
      <w:r>
        <w:t>N</w:t>
      </w:r>
      <w:r w:rsidR="00A57FA8">
        <w:t xml:space="preserve">oting the </w:t>
      </w:r>
      <w:r w:rsidR="00631F44">
        <w:t xml:space="preserve">health system trends (refer to Section 3) </w:t>
      </w:r>
      <w:r w:rsidR="00A57FA8">
        <w:t xml:space="preserve">and intention to </w:t>
      </w:r>
      <w:r w:rsidR="00631F44">
        <w:t xml:space="preserve">develop </w:t>
      </w:r>
      <w:r w:rsidR="00A57FA8">
        <w:t xml:space="preserve">ANACC for </w:t>
      </w:r>
      <w:r w:rsidR="00631F44">
        <w:t xml:space="preserve">clinical, research, policy and </w:t>
      </w:r>
      <w:r w:rsidR="00A57FA8">
        <w:t xml:space="preserve">ABF </w:t>
      </w:r>
      <w:r w:rsidR="00A57FA8" w:rsidRPr="008413C2">
        <w:t xml:space="preserve">purposes, </w:t>
      </w:r>
      <w:r w:rsidR="001F0264" w:rsidRPr="008413C2">
        <w:t>t</w:t>
      </w:r>
      <w:r w:rsidR="00642C1A" w:rsidRPr="008413C2">
        <w:t>he following</w:t>
      </w:r>
      <w:r w:rsidR="008413C2">
        <w:t xml:space="preserve"> considerations are proposed</w:t>
      </w:r>
      <w:r w:rsidR="001F0264" w:rsidRPr="008413C2">
        <w:t xml:space="preserve"> in developing the ANACC sys</w:t>
      </w:r>
      <w:r w:rsidR="001F0264" w:rsidRPr="00C30658">
        <w:t>t</w:t>
      </w:r>
      <w:r w:rsidR="001F0264" w:rsidRPr="008413C2">
        <w:t>em:</w:t>
      </w:r>
    </w:p>
    <w:p w:rsidR="004D75B2" w:rsidRDefault="00642C1A" w:rsidP="009768EE">
      <w:pPr>
        <w:pStyle w:val="ListParagraph"/>
        <w:numPr>
          <w:ilvl w:val="0"/>
          <w:numId w:val="6"/>
        </w:numPr>
        <w:spacing w:before="0"/>
        <w:ind w:left="714" w:hanging="357"/>
      </w:pPr>
      <w:r w:rsidRPr="00617450">
        <w:t>The ANACC system is being developed for use by hospital outpatient clinics, community</w:t>
      </w:r>
      <w:r>
        <w:t>-</w:t>
      </w:r>
      <w:r w:rsidRPr="00617450">
        <w:t xml:space="preserve">based clinics and services provided in patient’s homes whether they are currently considered in-scope or out-of-scope for the purposes of </w:t>
      </w:r>
      <w:r>
        <w:t>ABF</w:t>
      </w:r>
      <w:r w:rsidRPr="00617450">
        <w:t>, noting that</w:t>
      </w:r>
      <w:r w:rsidR="006E3613">
        <w:t xml:space="preserve"> </w:t>
      </w:r>
      <w:r w:rsidR="004D75B2">
        <w:t xml:space="preserve">there are different classification systems used for each of those settings. The new classification will </w:t>
      </w:r>
      <w:r w:rsidR="00631F44">
        <w:t xml:space="preserve">therefore </w:t>
      </w:r>
      <w:r w:rsidR="004D75B2">
        <w:t xml:space="preserve">need to be able to interact with other classification systems. </w:t>
      </w:r>
    </w:p>
    <w:p w:rsidR="00120C31" w:rsidRDefault="00120C31" w:rsidP="009768EE">
      <w:pPr>
        <w:pStyle w:val="ListParagraph"/>
        <w:numPr>
          <w:ilvl w:val="0"/>
          <w:numId w:val="6"/>
        </w:numPr>
        <w:spacing w:before="0"/>
        <w:ind w:left="714" w:hanging="357"/>
      </w:pPr>
      <w:r>
        <w:t>Patients with chronic disease do not use health services in a linear fashion and management of</w:t>
      </w:r>
      <w:r w:rsidR="000B55F1">
        <w:t xml:space="preserve"> </w:t>
      </w:r>
      <w:r w:rsidR="00E73420">
        <w:t>patients with</w:t>
      </w:r>
      <w:r>
        <w:t xml:space="preserve"> chronic condition</w:t>
      </w:r>
      <w:r w:rsidR="00E73420">
        <w:t>s</w:t>
      </w:r>
      <w:r>
        <w:t xml:space="preserve"> </w:t>
      </w:r>
      <w:r w:rsidR="00E73420">
        <w:t>consists of</w:t>
      </w:r>
      <w:r>
        <w:t xml:space="preserve"> multiple treatment types for multiple diseases at the same time. </w:t>
      </w:r>
    </w:p>
    <w:p w:rsidR="00642C1A" w:rsidRPr="00617450" w:rsidRDefault="004D75B2" w:rsidP="009768EE">
      <w:pPr>
        <w:pStyle w:val="ListParagraph"/>
        <w:numPr>
          <w:ilvl w:val="0"/>
          <w:numId w:val="6"/>
        </w:numPr>
        <w:spacing w:before="0"/>
        <w:ind w:left="714" w:hanging="357"/>
      </w:pPr>
      <w:r>
        <w:t>F</w:t>
      </w:r>
      <w:r w:rsidR="006E3613">
        <w:t>or the first iteration of the classification,</w:t>
      </w:r>
      <w:r w:rsidR="00642C1A" w:rsidRPr="00617450">
        <w:t xml:space="preserve"> the incorporation of some specialties will be dependent on limitations of the data available for analysis</w:t>
      </w:r>
      <w:r w:rsidR="00EE5636">
        <w:t>.</w:t>
      </w:r>
    </w:p>
    <w:p w:rsidR="00642C1A" w:rsidRPr="00E666CA" w:rsidRDefault="00642C1A" w:rsidP="009768EE">
      <w:pPr>
        <w:pStyle w:val="ListParagraph"/>
        <w:numPr>
          <w:ilvl w:val="0"/>
          <w:numId w:val="6"/>
        </w:numPr>
        <w:spacing w:before="0"/>
        <w:ind w:left="714" w:hanging="357"/>
      </w:pPr>
      <w:r w:rsidRPr="00617450">
        <w:t xml:space="preserve">All non-admitted care services will be classified within the ANACC system, including </w:t>
      </w:r>
      <w:r w:rsidR="0029187F">
        <w:br/>
      </w:r>
      <w:r w:rsidRPr="00617450">
        <w:t xml:space="preserve">non-admitted subacute care. </w:t>
      </w:r>
      <w:r w:rsidR="006E3613">
        <w:t>Specialised m</w:t>
      </w:r>
      <w:r w:rsidRPr="00617450">
        <w:t xml:space="preserve">ental health care services </w:t>
      </w:r>
      <w:r w:rsidR="006E3613">
        <w:t>(</w:t>
      </w:r>
      <w:r w:rsidRPr="00617450">
        <w:t xml:space="preserve">where the patient </w:t>
      </w:r>
      <w:r w:rsidRPr="00641D5A">
        <w:t>has a mental health care type</w:t>
      </w:r>
      <w:r w:rsidR="006E3613" w:rsidRPr="00E666CA">
        <w:t>)</w:t>
      </w:r>
      <w:r w:rsidRPr="00E666CA">
        <w:t xml:space="preserve"> will be classified using the AMHCC</w:t>
      </w:r>
      <w:r w:rsidR="00EE5636">
        <w:t>.</w:t>
      </w:r>
    </w:p>
    <w:p w:rsidR="00642C1A" w:rsidRDefault="00642C1A" w:rsidP="00BF635B">
      <w:pPr>
        <w:pStyle w:val="ListParagraph"/>
        <w:numPr>
          <w:ilvl w:val="0"/>
          <w:numId w:val="6"/>
        </w:numPr>
        <w:spacing w:before="0"/>
        <w:ind w:left="714" w:hanging="357"/>
      </w:pPr>
      <w:r w:rsidRPr="00E666CA">
        <w:t xml:space="preserve">IHPA will not consider a ‘fee-for-service’ </w:t>
      </w:r>
      <w:r w:rsidRPr="008B567C">
        <w:t>based classification model</w:t>
      </w:r>
      <w:r w:rsidR="00641D5A" w:rsidRPr="007D043D">
        <w:t xml:space="preserve"> where services are unbundled and funded separately, as is the case in the current Tier 2 classification. Such funding models tend to create gaming incentives </w:t>
      </w:r>
      <w:r w:rsidR="00641D5A" w:rsidRPr="00641D5A">
        <w:t>rather than focussing on efficient and effective service delivery.</w:t>
      </w:r>
    </w:p>
    <w:p w:rsidR="00642C1A" w:rsidRPr="00617450" w:rsidRDefault="00642C1A" w:rsidP="009768EE">
      <w:pPr>
        <w:pStyle w:val="ListParagraph"/>
        <w:numPr>
          <w:ilvl w:val="0"/>
          <w:numId w:val="6"/>
        </w:numPr>
        <w:spacing w:before="0"/>
        <w:ind w:left="714" w:hanging="357"/>
      </w:pPr>
      <w:r w:rsidRPr="008B567C">
        <w:t>Based on the classification principles</w:t>
      </w:r>
      <w:r w:rsidRPr="00617450">
        <w:t>, the ANACC system should</w:t>
      </w:r>
      <w:r w:rsidR="00101374">
        <w:t>,</w:t>
      </w:r>
      <w:r w:rsidRPr="00617450">
        <w:t xml:space="preserve"> where possible</w:t>
      </w:r>
      <w:r w:rsidR="00101374">
        <w:t>,</w:t>
      </w:r>
      <w:r w:rsidRPr="00617450">
        <w:t xml:space="preserve"> be based on data elements that reflect the characteristics of patients rather than characteristics of the service provider or inputs to care</w:t>
      </w:r>
      <w:r w:rsidR="0029187F">
        <w:t xml:space="preserve"> to ensure the classification accumulates meaningful data that can be used for ABF and beyond</w:t>
      </w:r>
      <w:r w:rsidRPr="00617450">
        <w:t>.</w:t>
      </w:r>
    </w:p>
    <w:p w:rsidR="00A11C5F" w:rsidRPr="00B7234C" w:rsidRDefault="00D54C4B" w:rsidP="00C30658">
      <w:pPr>
        <w:pStyle w:val="Heading2"/>
        <w:numPr>
          <w:ilvl w:val="1"/>
          <w:numId w:val="69"/>
        </w:numPr>
      </w:pPr>
      <w:bookmarkStart w:id="42" w:name="_Toc494105971"/>
      <w:r w:rsidRPr="00B7234C">
        <w:t>Integration of the n</w:t>
      </w:r>
      <w:r w:rsidR="00A11C5F" w:rsidRPr="00B7234C">
        <w:t>on-admitted care classification</w:t>
      </w:r>
      <w:r w:rsidRPr="00B7234C">
        <w:t xml:space="preserve"> with other classifications</w:t>
      </w:r>
      <w:bookmarkEnd w:id="42"/>
      <w:r w:rsidR="00A11C5F" w:rsidRPr="00B7234C">
        <w:t xml:space="preserve"> </w:t>
      </w:r>
      <w:bookmarkEnd w:id="41"/>
    </w:p>
    <w:p w:rsidR="00631F44" w:rsidRDefault="0029187F" w:rsidP="00A11C5F">
      <w:r>
        <w:t xml:space="preserve">Noting that care is becoming more integrated across </w:t>
      </w:r>
      <w:r w:rsidR="00631F44">
        <w:t>settings</w:t>
      </w:r>
      <w:r>
        <w:t>, t</w:t>
      </w:r>
      <w:r w:rsidR="00A11C5F">
        <w:t xml:space="preserve">he </w:t>
      </w:r>
      <w:r w:rsidR="00631F44">
        <w:t xml:space="preserve">new </w:t>
      </w:r>
      <w:r w:rsidR="00A11C5F">
        <w:t>non-admitted classification system needs to be able to interface with the other classification systems in play within the health system.</w:t>
      </w:r>
      <w:r w:rsidR="00E666CA">
        <w:t xml:space="preserve"> </w:t>
      </w:r>
      <w:r w:rsidR="00631F44">
        <w:t>This means the ANACC system will encompass services provided in patient’s homes whether they are currently considered in scope or ou</w:t>
      </w:r>
      <w:r w:rsidR="00E666CA">
        <w:t>t</w:t>
      </w:r>
      <w:r w:rsidR="00631F44">
        <w:t xml:space="preserve"> of scope for the purposes of ABF.</w:t>
      </w:r>
    </w:p>
    <w:p w:rsidR="00A11C5F" w:rsidRDefault="00631F44" w:rsidP="00A11C5F">
      <w:r>
        <w:t>In addition, p</w:t>
      </w:r>
      <w:r w:rsidR="00A11C5F">
        <w:t>atients may frequently move between settings</w:t>
      </w:r>
      <w:r w:rsidR="006F3888">
        <w:t>, presenting a challenge for classification and funding.</w:t>
      </w:r>
      <w:r w:rsidR="00A11C5F">
        <w:t xml:space="preserve"> </w:t>
      </w:r>
      <w:r w:rsidR="0029187F">
        <w:t>IHPA proposes s</w:t>
      </w:r>
      <w:r w:rsidR="00A11C5F">
        <w:t xml:space="preserve">ome commonality in classification variables between settings will assist in delivering on classification principles and purpose. While </w:t>
      </w:r>
      <w:r w:rsidR="0029187F">
        <w:br/>
      </w:r>
      <w:r w:rsidR="00A11C5F">
        <w:t>n</w:t>
      </w:r>
      <w:r w:rsidR="00A11C5F" w:rsidRPr="00620238">
        <w:t xml:space="preserve">on-admitted patients may move in and out of </w:t>
      </w:r>
      <w:r w:rsidR="00A11C5F">
        <w:t xml:space="preserve">different care types </w:t>
      </w:r>
      <w:r w:rsidR="00A11C5F" w:rsidRPr="00620238">
        <w:t>they cannot be synchronous</w:t>
      </w:r>
      <w:r w:rsidR="00A11C5F">
        <w:t xml:space="preserve">ly reported, providing a barrier for care integration. Variables </w:t>
      </w:r>
      <w:r w:rsidR="0029187F">
        <w:t xml:space="preserve">that are </w:t>
      </w:r>
      <w:r w:rsidR="00A11C5F">
        <w:t>used in other classifications</w:t>
      </w:r>
      <w:r w:rsidR="0029187F">
        <w:t xml:space="preserve"> include</w:t>
      </w:r>
      <w:r w:rsidR="007D7183">
        <w:t>:</w:t>
      </w:r>
      <w:r w:rsidR="00A11C5F">
        <w:t xml:space="preserve"> </w:t>
      </w:r>
    </w:p>
    <w:p w:rsidR="00A11C5F" w:rsidRPr="001D4FFE" w:rsidRDefault="00A11C5F" w:rsidP="00A360CE">
      <w:pPr>
        <w:pStyle w:val="ListParagraph"/>
        <w:numPr>
          <w:ilvl w:val="0"/>
          <w:numId w:val="3"/>
        </w:numPr>
        <w:spacing w:before="0"/>
        <w:contextualSpacing/>
      </w:pPr>
      <w:r w:rsidRPr="001D4FFE">
        <w:rPr>
          <w:rFonts w:cs="Arial"/>
          <w:b/>
          <w:iCs/>
          <w:szCs w:val="20"/>
        </w:rPr>
        <w:t xml:space="preserve">Admitted </w:t>
      </w:r>
      <w:r>
        <w:rPr>
          <w:rFonts w:cs="Arial"/>
          <w:b/>
          <w:iCs/>
          <w:szCs w:val="20"/>
        </w:rPr>
        <w:t>–</w:t>
      </w:r>
      <w:r>
        <w:rPr>
          <w:rFonts w:cs="Arial"/>
          <w:iCs/>
          <w:szCs w:val="20"/>
        </w:rPr>
        <w:t xml:space="preserve"> Hospital admissions use </w:t>
      </w:r>
      <w:r w:rsidR="00B8457F">
        <w:rPr>
          <w:rFonts w:cs="Arial"/>
          <w:iCs/>
          <w:szCs w:val="20"/>
        </w:rPr>
        <w:t xml:space="preserve">the </w:t>
      </w:r>
      <w:r w:rsidRPr="002A2441">
        <w:rPr>
          <w:rFonts w:cs="Arial"/>
          <w:iCs/>
          <w:szCs w:val="20"/>
        </w:rPr>
        <w:t xml:space="preserve">AR-DRG </w:t>
      </w:r>
      <w:r>
        <w:rPr>
          <w:rFonts w:cs="Arial"/>
          <w:iCs/>
          <w:szCs w:val="20"/>
        </w:rPr>
        <w:t xml:space="preserve">classification based on </w:t>
      </w:r>
      <w:r w:rsidRPr="001D4FFE">
        <w:rPr>
          <w:rFonts w:cs="Arial"/>
          <w:iCs/>
          <w:szCs w:val="20"/>
        </w:rPr>
        <w:t>diagnoses, interventions and other routinely collected data</w:t>
      </w:r>
      <w:r>
        <w:rPr>
          <w:rFonts w:cs="Arial"/>
          <w:iCs/>
          <w:szCs w:val="20"/>
        </w:rPr>
        <w:t xml:space="preserve"> such as age. </w:t>
      </w:r>
    </w:p>
    <w:p w:rsidR="00A11C5F" w:rsidRPr="00620238" w:rsidRDefault="00A11C5F" w:rsidP="00A360CE">
      <w:pPr>
        <w:pStyle w:val="ListParagraph"/>
        <w:numPr>
          <w:ilvl w:val="0"/>
          <w:numId w:val="3"/>
        </w:numPr>
        <w:spacing w:before="0"/>
        <w:contextualSpacing/>
      </w:pPr>
      <w:r>
        <w:rPr>
          <w:rFonts w:cs="Arial"/>
          <w:b/>
          <w:iCs/>
          <w:szCs w:val="20"/>
        </w:rPr>
        <w:t xml:space="preserve">Emergency </w:t>
      </w:r>
      <w:r w:rsidR="007D7183">
        <w:rPr>
          <w:rFonts w:cs="Arial"/>
          <w:b/>
          <w:iCs/>
          <w:szCs w:val="20"/>
        </w:rPr>
        <w:t xml:space="preserve">care </w:t>
      </w:r>
      <w:r>
        <w:rPr>
          <w:rFonts w:cs="Arial"/>
          <w:b/>
          <w:iCs/>
          <w:szCs w:val="20"/>
        </w:rPr>
        <w:t xml:space="preserve">– </w:t>
      </w:r>
      <w:r w:rsidRPr="00620238">
        <w:rPr>
          <w:rFonts w:cs="Arial"/>
          <w:iCs/>
          <w:szCs w:val="20"/>
        </w:rPr>
        <w:t xml:space="preserve">presentations to emergency care services </w:t>
      </w:r>
      <w:r>
        <w:rPr>
          <w:rFonts w:cs="Arial"/>
          <w:iCs/>
          <w:szCs w:val="20"/>
        </w:rPr>
        <w:t>use</w:t>
      </w:r>
      <w:r w:rsidRPr="00620238">
        <w:rPr>
          <w:rFonts w:cs="Arial"/>
          <w:iCs/>
          <w:szCs w:val="20"/>
        </w:rPr>
        <w:t xml:space="preserve"> URGs or UDGs classification systems</w:t>
      </w:r>
      <w:r>
        <w:rPr>
          <w:rFonts w:cs="Arial"/>
          <w:iCs/>
          <w:szCs w:val="20"/>
        </w:rPr>
        <w:t xml:space="preserve">, based on visit type, triage category, diagnosis (URGs only) and disposition. </w:t>
      </w:r>
    </w:p>
    <w:p w:rsidR="00A11C5F" w:rsidRPr="006E3613" w:rsidRDefault="0013655C" w:rsidP="00974539">
      <w:pPr>
        <w:pStyle w:val="ListParagraph"/>
        <w:keepLines/>
        <w:numPr>
          <w:ilvl w:val="0"/>
          <w:numId w:val="3"/>
        </w:numPr>
        <w:spacing w:before="0"/>
        <w:ind w:left="714" w:hanging="357"/>
        <w:contextualSpacing/>
      </w:pPr>
      <w:r>
        <w:rPr>
          <w:rFonts w:cs="Arial"/>
          <w:b/>
          <w:iCs/>
          <w:szCs w:val="20"/>
        </w:rPr>
        <w:lastRenderedPageBreak/>
        <w:t xml:space="preserve">Sub-acute and non-acute – </w:t>
      </w:r>
      <w:r w:rsidR="00A11C5F" w:rsidRPr="00620238">
        <w:rPr>
          <w:rFonts w:cs="Arial"/>
          <w:iCs/>
          <w:szCs w:val="20"/>
        </w:rPr>
        <w:t>AN-SNAP classifies episodes of subacute and non-acute patient care that are provided in inpatient, outpatient and community settings. Patients are classified on the basis of setting, care type, phase of care, assessment of functional impairments, age and other measures.</w:t>
      </w:r>
    </w:p>
    <w:p w:rsidR="006E3613" w:rsidRPr="00EE0FF5" w:rsidRDefault="006E3613" w:rsidP="00A360CE">
      <w:pPr>
        <w:pStyle w:val="ListParagraph"/>
        <w:numPr>
          <w:ilvl w:val="0"/>
          <w:numId w:val="3"/>
        </w:numPr>
        <w:spacing w:before="0"/>
        <w:contextualSpacing/>
        <w:rPr>
          <w:b/>
        </w:rPr>
      </w:pPr>
      <w:r w:rsidRPr="00EE0FF5">
        <w:rPr>
          <w:rFonts w:cs="Arial"/>
          <w:b/>
          <w:iCs/>
          <w:szCs w:val="20"/>
        </w:rPr>
        <w:t xml:space="preserve">Mental health care </w:t>
      </w:r>
      <w:r w:rsidR="000E506B" w:rsidRPr="00EE0FF5">
        <w:rPr>
          <w:rFonts w:cs="Arial"/>
          <w:b/>
          <w:iCs/>
          <w:szCs w:val="20"/>
        </w:rPr>
        <w:t>–</w:t>
      </w:r>
      <w:r w:rsidRPr="00EE0FF5">
        <w:rPr>
          <w:b/>
        </w:rPr>
        <w:t xml:space="preserve"> </w:t>
      </w:r>
      <w:r w:rsidR="000E506B" w:rsidRPr="00EE0FF5">
        <w:t xml:space="preserve">the AMHCC classifies episodes of mental health </w:t>
      </w:r>
      <w:r w:rsidR="00034BDB" w:rsidRPr="00EE0FF5">
        <w:t xml:space="preserve">that are provided in the admitted and community settings. Patients are classified on the phase of care, age, mental health legal status (admitted only), Health of the Nation Outcome Scale complexity, and </w:t>
      </w:r>
      <w:r w:rsidR="00034BDB">
        <w:t xml:space="preserve">the </w:t>
      </w:r>
      <w:r w:rsidR="00034BDB" w:rsidRPr="00EE0FF5">
        <w:t>Life Skills Profile</w:t>
      </w:r>
      <w:r w:rsidR="00034BDB">
        <w:t xml:space="preserve"> -</w:t>
      </w:r>
      <w:r w:rsidR="00034BDB" w:rsidRPr="00EE0FF5">
        <w:t>16 complexity.</w:t>
      </w:r>
    </w:p>
    <w:p w:rsidR="00A11C5F" w:rsidRPr="00074977" w:rsidRDefault="00A11C5F" w:rsidP="00A360CE">
      <w:pPr>
        <w:pStyle w:val="ListParagraph"/>
        <w:numPr>
          <w:ilvl w:val="0"/>
          <w:numId w:val="3"/>
        </w:numPr>
        <w:spacing w:before="0"/>
        <w:contextualSpacing/>
      </w:pPr>
      <w:r>
        <w:rPr>
          <w:rFonts w:cs="Arial"/>
          <w:b/>
          <w:iCs/>
          <w:szCs w:val="20"/>
        </w:rPr>
        <w:t xml:space="preserve">Primary </w:t>
      </w:r>
      <w:r w:rsidR="00D628F9">
        <w:rPr>
          <w:rFonts w:cs="Arial"/>
          <w:b/>
          <w:iCs/>
          <w:szCs w:val="20"/>
        </w:rPr>
        <w:t>c</w:t>
      </w:r>
      <w:r>
        <w:rPr>
          <w:rFonts w:cs="Arial"/>
          <w:b/>
          <w:iCs/>
          <w:szCs w:val="20"/>
        </w:rPr>
        <w:t xml:space="preserve">are – </w:t>
      </w:r>
      <w:r w:rsidR="000F4088" w:rsidRPr="00496ED1">
        <w:rPr>
          <w:rFonts w:cs="Arial"/>
          <w:iCs/>
          <w:szCs w:val="20"/>
        </w:rPr>
        <w:t>Commonwealth Medicare Benefits Schedule</w:t>
      </w:r>
      <w:r>
        <w:rPr>
          <w:rFonts w:cs="Arial"/>
          <w:iCs/>
          <w:szCs w:val="20"/>
        </w:rPr>
        <w:t xml:space="preserve"> </w:t>
      </w:r>
      <w:r w:rsidR="000F4088">
        <w:rPr>
          <w:rFonts w:cs="Arial"/>
          <w:iCs/>
          <w:szCs w:val="20"/>
        </w:rPr>
        <w:t>I</w:t>
      </w:r>
      <w:r>
        <w:rPr>
          <w:rFonts w:cs="Arial"/>
          <w:iCs/>
          <w:szCs w:val="20"/>
        </w:rPr>
        <w:t xml:space="preserve">tems are used primarily for classification and funding which includes procedure information but no diagnosis. </w:t>
      </w:r>
      <w:r w:rsidR="00EA47CA">
        <w:rPr>
          <w:rFonts w:cs="Arial"/>
          <w:iCs/>
          <w:szCs w:val="20"/>
        </w:rPr>
        <w:t>Where possible, ANACC terminology will be aligned with existing MBS terminology.</w:t>
      </w:r>
    </w:p>
    <w:p w:rsidR="00074977" w:rsidRPr="009E2B11" w:rsidRDefault="00074977" w:rsidP="00074977">
      <w:pPr>
        <w:ind w:right="-171"/>
      </w:pPr>
      <w:r>
        <w:t xml:space="preserve">ANACC should </w:t>
      </w:r>
      <w:r w:rsidR="00101374">
        <w:t>support</w:t>
      </w:r>
      <w:r>
        <w:t xml:space="preserve"> </w:t>
      </w:r>
      <w:r w:rsidRPr="009E2B11">
        <w:t>the potential to better align pricing incentives across settings for care pathways for some hospital services</w:t>
      </w:r>
      <w:r w:rsidR="00101374">
        <w:t xml:space="preserve"> and</w:t>
      </w:r>
      <w:r w:rsidR="005D4305">
        <w:t xml:space="preserve"> </w:t>
      </w:r>
      <w:r w:rsidRPr="009E2B11">
        <w:t xml:space="preserve">provide greater room to develop innovative models of care, without being deterred by pricing models based around traditional care settings. </w:t>
      </w:r>
      <w:r w:rsidR="00F908AC">
        <w:t xml:space="preserve">Over 2016 and 2017 </w:t>
      </w:r>
      <w:r>
        <w:t xml:space="preserve">IHPA </w:t>
      </w:r>
      <w:r w:rsidR="00F908AC">
        <w:t xml:space="preserve">undertook a </w:t>
      </w:r>
      <w:r>
        <w:t>program of</w:t>
      </w:r>
      <w:r w:rsidR="00F908AC">
        <w:t xml:space="preserve"> investigative</w:t>
      </w:r>
      <w:r>
        <w:t xml:space="preserve"> work around b</w:t>
      </w:r>
      <w:r w:rsidRPr="009E2B11">
        <w:t>undled pricing</w:t>
      </w:r>
      <w:r w:rsidR="00F908AC">
        <w:t xml:space="preserve">. </w:t>
      </w:r>
      <w:r w:rsidR="00101374">
        <w:t>Bundled pricing</w:t>
      </w:r>
      <w:r>
        <w:t xml:space="preserve"> </w:t>
      </w:r>
      <w:r w:rsidRPr="009E2B11">
        <w:t>involves determining a single price</w:t>
      </w:r>
      <w:r w:rsidR="00E73420">
        <w:t xml:space="preserve"> for an episode or a bundle of service interactions,</w:t>
      </w:r>
      <w:r w:rsidRPr="009E2B11">
        <w:t xml:space="preserve"> which reflects the cost of care for treatment of a condition </w:t>
      </w:r>
      <w:r w:rsidR="00E73420">
        <w:t>occur</w:t>
      </w:r>
      <w:r w:rsidR="00F908AC">
        <w:t>r</w:t>
      </w:r>
      <w:r w:rsidR="00E73420">
        <w:t>ing across</w:t>
      </w:r>
      <w:r w:rsidRPr="009E2B11">
        <w:t xml:space="preserve"> multiple episodes and settings. </w:t>
      </w:r>
      <w:r w:rsidR="00E73420">
        <w:t>For example, bundled pricing would provide one b</w:t>
      </w:r>
      <w:r w:rsidR="00B73392">
        <w:t xml:space="preserve">undled </w:t>
      </w:r>
      <w:r w:rsidR="00E73420">
        <w:t xml:space="preserve">price for </w:t>
      </w:r>
      <w:r w:rsidRPr="009E2B11">
        <w:t>all of a patient’s admitted and non-admitted care for a particular condition.</w:t>
      </w:r>
    </w:p>
    <w:p w:rsidR="00987A01" w:rsidRDefault="00074977" w:rsidP="000D47DA">
      <w:pPr>
        <w:ind w:right="-171"/>
      </w:pPr>
      <w:r w:rsidRPr="009E2B11">
        <w:t xml:space="preserve">A precondition to introducing a bundled pricing approach is the ability to map the service delivery patterns across multiple episodes and settings of care. </w:t>
      </w:r>
      <w:r w:rsidR="00101374">
        <w:t xml:space="preserve">A bundled pricing approach </w:t>
      </w:r>
      <w:r w:rsidR="005D4305">
        <w:t xml:space="preserve">could be achieved through the consistent use of a unique patient identifier (discussed in Section 3.2.1). </w:t>
      </w:r>
      <w:r>
        <w:t xml:space="preserve">For example, </w:t>
      </w:r>
      <w:r w:rsidRPr="009E2B11">
        <w:t>IHPA</w:t>
      </w:r>
      <w:r w:rsidR="00F908AC">
        <w:t xml:space="preserve">’s investigative work focused on </w:t>
      </w:r>
      <w:r w:rsidRPr="009E2B11">
        <w:t>developing a bundled pricing approach for maternity care. Maternity care spans the non-admitted and admitted settings for nearly all patients, with some also requiring emergency care.</w:t>
      </w:r>
      <w:r w:rsidR="00F908AC">
        <w:t xml:space="preserve"> </w:t>
      </w:r>
      <w:r w:rsidR="001D7421">
        <w:t>Where possible, there should</w:t>
      </w:r>
      <w:r w:rsidR="000D47DA" w:rsidRPr="007C4E5A">
        <w:t xml:space="preserve"> be alignment between </w:t>
      </w:r>
      <w:r w:rsidR="001D7421">
        <w:t>ANACC and the national classification systems to allow for the mapping of patients across settings, and enable innovative funding models such as bundled pricing.</w:t>
      </w:r>
    </w:p>
    <w:p w:rsidR="000F4088" w:rsidRDefault="000F4088" w:rsidP="000D47DA">
      <w:pPr>
        <w:ind w:right="-171"/>
      </w:pPr>
      <w:r>
        <w:t>Consideration should</w:t>
      </w:r>
      <w:r w:rsidR="007A018E">
        <w:t xml:space="preserve"> also</w:t>
      </w:r>
      <w:r>
        <w:t xml:space="preserve"> be given to the fundamentals of a population based classification that allows the grouping of all int</w:t>
      </w:r>
      <w:r w:rsidR="007A018E">
        <w:t xml:space="preserve">erventions for the population. </w:t>
      </w:r>
      <w:r>
        <w:t>Population classifications are gaining recognition in international jurisdictions to identify the clinical characteristics and resource requirements for the population.</w:t>
      </w:r>
    </w:p>
    <w:p w:rsidR="00E977F6" w:rsidRDefault="00E977F6" w:rsidP="007B2298">
      <w:pPr>
        <w:pStyle w:val="Heading3"/>
      </w:pPr>
      <w:bookmarkStart w:id="43" w:name="_Toc494105972"/>
      <w:r>
        <w:t>Consultation questions</w:t>
      </w:r>
      <w:bookmarkEnd w:id="43"/>
    </w:p>
    <w:p w:rsidR="00E666CA" w:rsidRDefault="00E666CA" w:rsidP="007D043D">
      <w:pPr>
        <w:pStyle w:val="ListParagraph"/>
        <w:numPr>
          <w:ilvl w:val="0"/>
          <w:numId w:val="72"/>
        </w:numPr>
        <w:pBdr>
          <w:top w:val="single" w:sz="18" w:space="1" w:color="008A00"/>
          <w:left w:val="single" w:sz="18" w:space="4" w:color="008A00"/>
          <w:bottom w:val="single" w:sz="18" w:space="1" w:color="008A00"/>
          <w:right w:val="single" w:sz="18" w:space="4" w:color="008A00"/>
        </w:pBdr>
        <w:spacing w:before="240" w:after="240" w:line="276" w:lineRule="auto"/>
      </w:pPr>
      <w:r>
        <w:t>The classification principles have been designed to guide and support the development of the future classification, do you agree with these and/or are there other principles that should be considered in developing ANACC?</w:t>
      </w:r>
    </w:p>
    <w:p w:rsidR="00C8705D" w:rsidRDefault="00C8705D" w:rsidP="00E977F6">
      <w:pPr>
        <w:spacing w:before="0" w:after="0" w:line="240" w:lineRule="auto"/>
      </w:pPr>
      <w:r>
        <w:br w:type="page"/>
      </w:r>
    </w:p>
    <w:p w:rsidR="003C2734" w:rsidRPr="00B7234C" w:rsidRDefault="003C2734" w:rsidP="00C30658">
      <w:pPr>
        <w:pStyle w:val="Heading1"/>
        <w:numPr>
          <w:ilvl w:val="0"/>
          <w:numId w:val="69"/>
        </w:numPr>
      </w:pPr>
      <w:bookmarkStart w:id="44" w:name="_Toc494105973"/>
      <w:r w:rsidRPr="00B7234C">
        <w:lastRenderedPageBreak/>
        <w:t>Proposed classification concepts and variables</w:t>
      </w:r>
      <w:bookmarkEnd w:id="44"/>
    </w:p>
    <w:p w:rsidR="00C02C49" w:rsidRDefault="00C02C49" w:rsidP="00C02C49">
      <w:pPr>
        <w:pStyle w:val="Intro"/>
      </w:pPr>
      <w:r>
        <w:t>A move away from the provider-based Tier 2 classification as the primary splitting variable for the classification opens the opportunity to revise all aspects of the unit of count</w:t>
      </w:r>
      <w:r w:rsidR="005C1A96">
        <w:t>.</w:t>
      </w:r>
      <w:r>
        <w:t xml:space="preserve"> </w:t>
      </w:r>
      <w:r w:rsidR="005C1A96">
        <w:t>This includes</w:t>
      </w:r>
      <w:r>
        <w:t xml:space="preserve"> introducing an episode of care unit of count and revising the current service event definition and counting rules to address elements that are not aligned to the new classification and ABF principles.</w:t>
      </w:r>
    </w:p>
    <w:p w:rsidR="007D3639" w:rsidRDefault="007D3639" w:rsidP="00C02C49">
      <w:pPr>
        <w:pStyle w:val="Intro"/>
      </w:pPr>
      <w:r>
        <w:t xml:space="preserve">This section of the consultation paper proposes a set of variables to be included in the classification. Once variables are agreed, a classification </w:t>
      </w:r>
      <w:r w:rsidR="005A7F62">
        <w:t>hierarchy</w:t>
      </w:r>
      <w:r>
        <w:t xml:space="preserve"> will be developed based on clinical advice and statistical analysis. </w:t>
      </w:r>
    </w:p>
    <w:p w:rsidR="003C2734" w:rsidRPr="00A6766C" w:rsidRDefault="003C2734" w:rsidP="00C30658">
      <w:pPr>
        <w:pStyle w:val="Heading2"/>
        <w:numPr>
          <w:ilvl w:val="1"/>
          <w:numId w:val="69"/>
        </w:numPr>
      </w:pPr>
      <w:bookmarkStart w:id="45" w:name="_Toc494105974"/>
      <w:r w:rsidRPr="00A6766C">
        <w:t xml:space="preserve">Unit of count / </w:t>
      </w:r>
      <w:r w:rsidR="00C02C49" w:rsidRPr="00A6766C">
        <w:t>a</w:t>
      </w:r>
      <w:r w:rsidRPr="00A6766C">
        <w:t>ctivity</w:t>
      </w:r>
      <w:bookmarkEnd w:id="45"/>
    </w:p>
    <w:p w:rsidR="00222799" w:rsidRDefault="00222799" w:rsidP="00C30658">
      <w:pPr>
        <w:pStyle w:val="Heading3"/>
        <w:numPr>
          <w:ilvl w:val="2"/>
          <w:numId w:val="69"/>
        </w:numPr>
      </w:pPr>
      <w:bookmarkStart w:id="46" w:name="_Toc494105975"/>
      <w:r>
        <w:t>Proposed approach for the ANACC unit of count</w:t>
      </w:r>
      <w:bookmarkEnd w:id="46"/>
    </w:p>
    <w:p w:rsidR="00956426" w:rsidRDefault="00956426" w:rsidP="00956426">
      <w:r>
        <w:t>The unit of count is integral to any</w:t>
      </w:r>
      <w:r w:rsidRPr="00F94F90">
        <w:t xml:space="preserve"> classification system</w:t>
      </w:r>
      <w:r>
        <w:t>. There is an opportunity to incorporate a revised system of counting into the new classification. The 2014 review of existing non-admitted patient care classification identified two units of count that are applicable to non-admitted care:</w:t>
      </w:r>
      <w:r w:rsidR="002275FB" w:rsidRPr="002275FB">
        <w:rPr>
          <w:rStyle w:val="FootnoteReference"/>
        </w:rPr>
        <w:t xml:space="preserve"> </w:t>
      </w:r>
      <w:r w:rsidR="002275FB">
        <w:rPr>
          <w:rStyle w:val="FootnoteReference"/>
        </w:rPr>
        <w:footnoteReference w:id="6"/>
      </w:r>
    </w:p>
    <w:p w:rsidR="00956426" w:rsidRDefault="00956426" w:rsidP="009768EE">
      <w:pPr>
        <w:pStyle w:val="ListParagraph"/>
        <w:numPr>
          <w:ilvl w:val="0"/>
          <w:numId w:val="6"/>
        </w:numPr>
        <w:spacing w:before="0"/>
        <w:ind w:left="714" w:hanging="357"/>
      </w:pPr>
      <w:r>
        <w:t>Service event: generally one patient attendance is classified as one unit of count.</w:t>
      </w:r>
    </w:p>
    <w:p w:rsidR="00956426" w:rsidRDefault="00956426" w:rsidP="009768EE">
      <w:pPr>
        <w:pStyle w:val="ListParagraph"/>
        <w:numPr>
          <w:ilvl w:val="0"/>
          <w:numId w:val="6"/>
        </w:numPr>
        <w:spacing w:before="0"/>
        <w:ind w:left="714" w:hanging="357"/>
      </w:pPr>
      <w:r>
        <w:t>Episode of care: all care and treatment within a defined period of time is considered one unit of count</w:t>
      </w:r>
      <w:r w:rsidR="002275FB">
        <w:t>.</w:t>
      </w:r>
    </w:p>
    <w:p w:rsidR="00956426" w:rsidRDefault="00956426" w:rsidP="00956426">
      <w:r>
        <w:t xml:space="preserve">Currently a </w:t>
      </w:r>
      <w:r w:rsidRPr="004530CD">
        <w:rPr>
          <w:i/>
        </w:rPr>
        <w:t>service event</w:t>
      </w:r>
      <w:r>
        <w:t xml:space="preserve"> is the unit of count used to measure healthcare services delivered to non-admitted patients by the public hospital system for ABF</w:t>
      </w:r>
      <w:r w:rsidR="00642C1A">
        <w:t xml:space="preserve"> </w:t>
      </w:r>
      <w:r>
        <w:t>purposes. The current service event definition specifies four elements:</w:t>
      </w:r>
    </w:p>
    <w:p w:rsidR="00956426" w:rsidRDefault="00956426" w:rsidP="009768EE">
      <w:pPr>
        <w:pStyle w:val="ListParagraph"/>
        <w:numPr>
          <w:ilvl w:val="0"/>
          <w:numId w:val="6"/>
        </w:numPr>
        <w:spacing w:before="0"/>
        <w:ind w:left="714" w:hanging="357"/>
      </w:pPr>
      <w:r>
        <w:t>the number of providers</w:t>
      </w:r>
    </w:p>
    <w:p w:rsidR="00956426" w:rsidRDefault="00956426" w:rsidP="009768EE">
      <w:pPr>
        <w:pStyle w:val="ListParagraph"/>
        <w:numPr>
          <w:ilvl w:val="0"/>
          <w:numId w:val="6"/>
        </w:numPr>
        <w:spacing w:before="0"/>
        <w:ind w:left="714" w:hanging="357"/>
      </w:pPr>
      <w:r>
        <w:t>the patient’s admission status</w:t>
      </w:r>
    </w:p>
    <w:p w:rsidR="00956426" w:rsidRDefault="00956426" w:rsidP="009768EE">
      <w:pPr>
        <w:pStyle w:val="ListParagraph"/>
        <w:numPr>
          <w:ilvl w:val="0"/>
          <w:numId w:val="6"/>
        </w:numPr>
        <w:spacing w:before="0"/>
        <w:ind w:left="714" w:hanging="357"/>
      </w:pPr>
      <w:r>
        <w:t xml:space="preserve">the type or intent of the interaction </w:t>
      </w:r>
    </w:p>
    <w:p w:rsidR="00956426" w:rsidRDefault="00956426" w:rsidP="009768EE">
      <w:pPr>
        <w:pStyle w:val="ListParagraph"/>
        <w:numPr>
          <w:ilvl w:val="0"/>
          <w:numId w:val="6"/>
        </w:numPr>
        <w:spacing w:before="0"/>
        <w:ind w:left="714" w:hanging="357"/>
      </w:pPr>
      <w:r>
        <w:t>documentation of the interaction.</w:t>
      </w:r>
    </w:p>
    <w:p w:rsidR="00956426" w:rsidRDefault="00956426" w:rsidP="00956426">
      <w:r>
        <w:t>A non-admitted patient service event is defined as:</w:t>
      </w:r>
    </w:p>
    <w:p w:rsidR="00956426" w:rsidRPr="004530CD" w:rsidRDefault="00956426" w:rsidP="00956426">
      <w:pPr>
        <w:ind w:left="720"/>
        <w:rPr>
          <w:i/>
        </w:rPr>
      </w:pPr>
      <w:r>
        <w:rPr>
          <w:i/>
        </w:rPr>
        <w:t>“..</w:t>
      </w:r>
      <w:r w:rsidRPr="004530CD">
        <w:rPr>
          <w:i/>
        </w:rPr>
        <w:t xml:space="preserve"> an interaction between one or more health care provider(s) with one non-admitted patient, which must contain therapeutic/clinical content and result in a dated entry in the patient’s medical record.</w:t>
      </w:r>
    </w:p>
    <w:p w:rsidR="00956426" w:rsidRPr="004530CD" w:rsidRDefault="00956426" w:rsidP="00956426">
      <w:pPr>
        <w:ind w:left="720"/>
        <w:rPr>
          <w:i/>
        </w:rPr>
      </w:pPr>
      <w:r w:rsidRPr="004530CD">
        <w:rPr>
          <w:i/>
        </w:rPr>
        <w:t>The interaction may be for assessment, examination, consultation, treatment and/or education.</w:t>
      </w:r>
      <w:r>
        <w:rPr>
          <w:i/>
        </w:rPr>
        <w:t>”</w:t>
      </w:r>
      <w:r>
        <w:rPr>
          <w:rStyle w:val="FootnoteReference"/>
          <w:i/>
        </w:rPr>
        <w:footnoteReference w:id="7"/>
      </w:r>
    </w:p>
    <w:p w:rsidR="00956426" w:rsidRDefault="00956426" w:rsidP="00956426">
      <w:pPr>
        <w:rPr>
          <w:rStyle w:val="tgc"/>
        </w:rPr>
      </w:pPr>
      <w:r w:rsidRPr="002275FB">
        <w:lastRenderedPageBreak/>
        <w:t>Service events may be classified and counted at the most granular level or bundled together based on a series of business rules. Under the Tier 2 classification f</w:t>
      </w:r>
      <w:r w:rsidRPr="002275FB">
        <w:rPr>
          <w:rFonts w:cs="Arial"/>
        </w:rPr>
        <w:t>or ABF purposes, diagnostic clinics (30 series) are not counted as service events</w:t>
      </w:r>
      <w:r w:rsidRPr="002275FB">
        <w:t xml:space="preserve"> and are instead bundled to associated 10, 20 and 40 series service events. </w:t>
      </w:r>
      <w:r w:rsidRPr="002275FB">
        <w:rPr>
          <w:rStyle w:val="tgc"/>
          <w:rFonts w:cs="Arial"/>
        </w:rPr>
        <w:t>Temporal care bundled price weights for Home Enteral Nutrition, Total Parenteral Nutrition, home-delivered dialysis and home ventilation were introduced in the 2015-16 National Efficient Price (NEP) with one month of non-admitted care in these classes counted as one service event.</w:t>
      </w:r>
    </w:p>
    <w:p w:rsidR="00C91455" w:rsidRPr="002275FB" w:rsidRDefault="00C91455" w:rsidP="00956426">
      <w:r>
        <w:rPr>
          <w:rStyle w:val="tgc"/>
          <w:rFonts w:cs="Arial"/>
        </w:rPr>
        <w:t xml:space="preserve">Some activity can be reported as a service event even if not meeting the service event definition. </w:t>
      </w:r>
      <w:r w:rsidR="00617D0B">
        <w:t>M</w:t>
      </w:r>
      <w:r>
        <w:t>u</w:t>
      </w:r>
      <w:r w:rsidR="00D0321D">
        <w:t>ltidisciplinary case conference</w:t>
      </w:r>
      <w:r w:rsidR="00617D0B">
        <w:t>s</w:t>
      </w:r>
      <w:r w:rsidR="00BF2938">
        <w:t xml:space="preserve"> where the patient is not present</w:t>
      </w:r>
      <w:r>
        <w:t xml:space="preserve"> </w:t>
      </w:r>
      <w:r w:rsidR="00FD22B1">
        <w:t>do not meet the service event definition</w:t>
      </w:r>
      <w:r w:rsidR="009A3AD9">
        <w:t xml:space="preserve">, although </w:t>
      </w:r>
      <w:r>
        <w:t xml:space="preserve">there is a clear exception rule in the national data collections </w:t>
      </w:r>
      <w:r w:rsidR="00FD22B1">
        <w:t>allowing it to</w:t>
      </w:r>
      <w:r>
        <w:t xml:space="preserve"> be reported</w:t>
      </w:r>
      <w:r w:rsidR="00FD22B1">
        <w:t>.</w:t>
      </w:r>
      <w:r>
        <w:t xml:space="preserve"> Th</w:t>
      </w:r>
      <w:r w:rsidR="009A3AD9">
        <w:t xml:space="preserve">ere </w:t>
      </w:r>
      <w:r>
        <w:t>is strong clinical support that</w:t>
      </w:r>
      <w:r w:rsidR="00617D0B">
        <w:t xml:space="preserve"> </w:t>
      </w:r>
      <w:r>
        <w:t>multidisciplinary case conferences are an important part of the care provided in non-admitted care settings.</w:t>
      </w:r>
    </w:p>
    <w:p w:rsidR="00956426" w:rsidRPr="002275FB" w:rsidRDefault="00956426" w:rsidP="00956426">
      <w:r w:rsidRPr="002275FB">
        <w:t>There is a high level of interest in the introduction of an episode based unit of count into the ANACC. Identified benefits of an episode based unit of count include:</w:t>
      </w:r>
    </w:p>
    <w:p w:rsidR="00956426" w:rsidRDefault="00956426" w:rsidP="009768EE">
      <w:pPr>
        <w:pStyle w:val="ListParagraph"/>
        <w:numPr>
          <w:ilvl w:val="0"/>
          <w:numId w:val="6"/>
        </w:numPr>
        <w:spacing w:before="0"/>
        <w:ind w:left="714" w:hanging="357"/>
      </w:pPr>
      <w:r>
        <w:t>better reflects the patient experience</w:t>
      </w:r>
      <w:r w:rsidRPr="00CA44A0">
        <w:t xml:space="preserve"> </w:t>
      </w:r>
      <w:r>
        <w:t>for many conditions</w:t>
      </w:r>
    </w:p>
    <w:p w:rsidR="00956426" w:rsidRDefault="00956426" w:rsidP="009768EE">
      <w:pPr>
        <w:pStyle w:val="ListParagraph"/>
        <w:numPr>
          <w:ilvl w:val="0"/>
          <w:numId w:val="6"/>
        </w:numPr>
        <w:spacing w:before="0"/>
        <w:ind w:left="714" w:hanging="357"/>
      </w:pPr>
      <w:r>
        <w:t>may</w:t>
      </w:r>
      <w:r w:rsidRPr="00CA44A0">
        <w:t xml:space="preserve"> be preferred by clinicians as resources and </w:t>
      </w:r>
      <w:r>
        <w:t>funding are easier to manage</w:t>
      </w:r>
      <w:r w:rsidRPr="00CA44A0">
        <w:t xml:space="preserve"> </w:t>
      </w:r>
      <w:r>
        <w:t>with</w:t>
      </w:r>
      <w:r w:rsidRPr="00CA44A0">
        <w:t xml:space="preserve"> less administrative burden on </w:t>
      </w:r>
      <w:r>
        <w:t>the clinical team</w:t>
      </w:r>
      <w:r w:rsidRPr="00CA44A0">
        <w:t xml:space="preserve"> </w:t>
      </w:r>
    </w:p>
    <w:p w:rsidR="00956426" w:rsidRDefault="00956426" w:rsidP="009768EE">
      <w:pPr>
        <w:pStyle w:val="ListParagraph"/>
        <w:numPr>
          <w:ilvl w:val="0"/>
          <w:numId w:val="6"/>
        </w:numPr>
        <w:spacing w:before="0"/>
        <w:ind w:left="714" w:hanging="357"/>
      </w:pPr>
      <w:r w:rsidRPr="00CA44A0">
        <w:t>more resource homogeneous than service events</w:t>
      </w:r>
    </w:p>
    <w:p w:rsidR="00956426" w:rsidRDefault="00956426" w:rsidP="009768EE">
      <w:pPr>
        <w:pStyle w:val="ListParagraph"/>
        <w:numPr>
          <w:ilvl w:val="0"/>
          <w:numId w:val="6"/>
        </w:numPr>
        <w:spacing w:before="0"/>
        <w:ind w:left="714" w:hanging="357"/>
      </w:pPr>
      <w:r w:rsidRPr="00CA44A0">
        <w:t xml:space="preserve">better able to drive efficiency in the longer term </w:t>
      </w:r>
      <w:r>
        <w:t>and</w:t>
      </w:r>
      <w:r w:rsidRPr="00CA44A0">
        <w:t xml:space="preserve"> encourage clinicians to take a long term view of good p</w:t>
      </w:r>
      <w:r>
        <w:t>ractice care for their patients</w:t>
      </w:r>
    </w:p>
    <w:p w:rsidR="00956426" w:rsidRDefault="00956426" w:rsidP="009768EE">
      <w:pPr>
        <w:pStyle w:val="ListParagraph"/>
        <w:numPr>
          <w:ilvl w:val="0"/>
          <w:numId w:val="6"/>
        </w:numPr>
        <w:spacing w:before="0"/>
        <w:ind w:left="714" w:hanging="357"/>
      </w:pPr>
      <w:r w:rsidRPr="00CA44A0">
        <w:t xml:space="preserve">less likely than service events to encourage ‘over servicing’. </w:t>
      </w:r>
    </w:p>
    <w:p w:rsidR="00956426" w:rsidRDefault="00956426" w:rsidP="00956426">
      <w:r>
        <w:t>Use of an episode of care unit of count may have greater applicability for some types of non-admitted care such as:</w:t>
      </w:r>
    </w:p>
    <w:p w:rsidR="00956426" w:rsidRDefault="005C1A96" w:rsidP="009768EE">
      <w:pPr>
        <w:pStyle w:val="ListParagraph"/>
        <w:numPr>
          <w:ilvl w:val="0"/>
          <w:numId w:val="6"/>
        </w:numPr>
        <w:spacing w:before="0"/>
        <w:ind w:left="714" w:hanging="357"/>
      </w:pPr>
      <w:r>
        <w:t>W</w:t>
      </w:r>
      <w:r w:rsidR="00956426">
        <w:t>here there is a diagnosis of chronic or persistent conditions</w:t>
      </w:r>
      <w:r w:rsidR="002275FB">
        <w:t>:</w:t>
      </w:r>
    </w:p>
    <w:p w:rsidR="00956426" w:rsidRDefault="00956426" w:rsidP="008130D3">
      <w:pPr>
        <w:pStyle w:val="ListParagraph"/>
        <w:numPr>
          <w:ilvl w:val="1"/>
          <w:numId w:val="6"/>
        </w:numPr>
        <w:spacing w:before="0"/>
      </w:pPr>
      <w:r>
        <w:t>allows innovations in service delivery and models of care rather than creating an incentive to count more activity</w:t>
      </w:r>
    </w:p>
    <w:p w:rsidR="00956426" w:rsidRDefault="00956426" w:rsidP="008130D3">
      <w:pPr>
        <w:pStyle w:val="ListParagraph"/>
        <w:numPr>
          <w:ilvl w:val="1"/>
          <w:numId w:val="6"/>
        </w:numPr>
        <w:spacing w:before="0"/>
      </w:pPr>
      <w:r>
        <w:t>Australian I</w:t>
      </w:r>
      <w:r w:rsidR="008401D1">
        <w:t xml:space="preserve">nstitute of Health and Welfare </w:t>
      </w:r>
      <w:r>
        <w:t>chronic conditions list could be used to identify classes appropriate for longer episodes of care</w:t>
      </w:r>
    </w:p>
    <w:p w:rsidR="00956426" w:rsidRDefault="005C1A96" w:rsidP="009768EE">
      <w:pPr>
        <w:pStyle w:val="ListParagraph"/>
        <w:numPr>
          <w:ilvl w:val="0"/>
          <w:numId w:val="6"/>
        </w:numPr>
        <w:spacing w:before="0"/>
        <w:ind w:left="714" w:hanging="357"/>
      </w:pPr>
      <w:r>
        <w:t>C</w:t>
      </w:r>
      <w:r w:rsidR="00956426">
        <w:t xml:space="preserve">ases with a frequent number of service events over a defined period of time, such as palliative care or rehabilitation care </w:t>
      </w:r>
    </w:p>
    <w:p w:rsidR="00956426" w:rsidRDefault="005C1A96" w:rsidP="009768EE">
      <w:pPr>
        <w:pStyle w:val="ListParagraph"/>
        <w:numPr>
          <w:ilvl w:val="0"/>
          <w:numId w:val="6"/>
        </w:numPr>
        <w:spacing w:before="0"/>
        <w:ind w:left="714" w:hanging="357"/>
      </w:pPr>
      <w:r>
        <w:t xml:space="preserve">A </w:t>
      </w:r>
      <w:r w:rsidR="00956426">
        <w:t>period of aftercare subsequent to an inpatient admission</w:t>
      </w:r>
    </w:p>
    <w:p w:rsidR="00956426" w:rsidRDefault="005C1A96" w:rsidP="009768EE">
      <w:pPr>
        <w:pStyle w:val="ListParagraph"/>
        <w:numPr>
          <w:ilvl w:val="0"/>
          <w:numId w:val="6"/>
        </w:numPr>
        <w:spacing w:before="0"/>
        <w:ind w:left="714" w:hanging="357"/>
      </w:pPr>
      <w:r>
        <w:t>P</w:t>
      </w:r>
      <w:r w:rsidR="00956426">
        <w:t>rocedures or services with a set protocol of treatment or pathway such as cancer care, chemotherapy or radiation oncology</w:t>
      </w:r>
    </w:p>
    <w:p w:rsidR="00956426" w:rsidRDefault="005C1A96" w:rsidP="009768EE">
      <w:pPr>
        <w:pStyle w:val="ListParagraph"/>
        <w:numPr>
          <w:ilvl w:val="0"/>
          <w:numId w:val="6"/>
        </w:numPr>
        <w:spacing w:before="0"/>
        <w:ind w:left="714" w:hanging="357"/>
      </w:pPr>
      <w:r>
        <w:t>S</w:t>
      </w:r>
      <w:r w:rsidR="00956426">
        <w:t xml:space="preserve">ome types of </w:t>
      </w:r>
      <w:r w:rsidR="00100640">
        <w:t xml:space="preserve">non-admitted care which is provided by integrated </w:t>
      </w:r>
      <w:r w:rsidR="00956426">
        <w:t>multidisciplinary care where larger number of inputs go into service delivery, such as post organ transplantation.</w:t>
      </w:r>
    </w:p>
    <w:p w:rsidR="00956426" w:rsidRDefault="00956426" w:rsidP="00956426">
      <w:r>
        <w:t>International no</w:t>
      </w:r>
      <w:r w:rsidR="002275FB">
        <w:t>n-admitted classifications u</w:t>
      </w:r>
      <w:r>
        <w:t>sed for funding have predetermined time period episodes. For example the Irish Tier 2 system uses a period of 28 days to bundle non-admitted services post inpatient admission. While length of stay is a cost driver for admitted patients</w:t>
      </w:r>
      <w:r w:rsidR="00100640">
        <w:t xml:space="preserve"> this is not the case</w:t>
      </w:r>
      <w:r>
        <w:t xml:space="preserve"> for non-admitted episodes </w:t>
      </w:r>
      <w:r w:rsidR="00100640">
        <w:t>where</w:t>
      </w:r>
      <w:r>
        <w:t xml:space="preserve"> the number of services</w:t>
      </w:r>
      <w:r w:rsidR="00B73392">
        <w:t xml:space="preserve"> or the time per service event</w:t>
      </w:r>
      <w:r>
        <w:t xml:space="preserve"> drive cost rather than the length of time of the episode. </w:t>
      </w:r>
    </w:p>
    <w:p w:rsidR="008E7D06" w:rsidRDefault="008E7D06">
      <w:pPr>
        <w:spacing w:before="0" w:after="0" w:line="240" w:lineRule="auto"/>
      </w:pPr>
      <w:r>
        <w:br w:type="page"/>
      </w:r>
    </w:p>
    <w:p w:rsidR="00956426" w:rsidRDefault="00956426" w:rsidP="00956426">
      <w:r>
        <w:lastRenderedPageBreak/>
        <w:t xml:space="preserve">Key </w:t>
      </w:r>
      <w:r w:rsidRPr="00CA44A0">
        <w:t xml:space="preserve">limitations </w:t>
      </w:r>
      <w:r>
        <w:t xml:space="preserve">and challenges in </w:t>
      </w:r>
      <w:r w:rsidR="002275FB">
        <w:t>using a time-</w:t>
      </w:r>
      <w:r w:rsidRPr="00CA44A0">
        <w:t>based ep</w:t>
      </w:r>
      <w:r>
        <w:t>isode as a unit of count include:</w:t>
      </w:r>
    </w:p>
    <w:p w:rsidR="00956426" w:rsidRDefault="005C1A96" w:rsidP="009768EE">
      <w:pPr>
        <w:pStyle w:val="ListParagraph"/>
        <w:numPr>
          <w:ilvl w:val="0"/>
          <w:numId w:val="6"/>
        </w:numPr>
        <w:spacing w:before="0"/>
        <w:ind w:left="714" w:hanging="357"/>
      </w:pPr>
      <w:r>
        <w:t>I</w:t>
      </w:r>
      <w:r w:rsidR="00956426" w:rsidRPr="00976219">
        <w:t xml:space="preserve">ntroduction </w:t>
      </w:r>
      <w:r w:rsidR="00956426">
        <w:t xml:space="preserve">in </w:t>
      </w:r>
      <w:r w:rsidR="00956426" w:rsidRPr="00976219">
        <w:t xml:space="preserve">the early phases of development and maturation of the classification will lose data granularity </w:t>
      </w:r>
      <w:r w:rsidR="00956426">
        <w:t>which will in turn:</w:t>
      </w:r>
    </w:p>
    <w:p w:rsidR="00956426" w:rsidRDefault="00956426" w:rsidP="008130D3">
      <w:pPr>
        <w:pStyle w:val="ListParagraph"/>
        <w:numPr>
          <w:ilvl w:val="1"/>
          <w:numId w:val="6"/>
        </w:numPr>
        <w:spacing w:before="0"/>
      </w:pPr>
      <w:r>
        <w:t>undermine classification development</w:t>
      </w:r>
    </w:p>
    <w:p w:rsidR="00956426" w:rsidRDefault="00956426" w:rsidP="008130D3">
      <w:pPr>
        <w:pStyle w:val="ListParagraph"/>
        <w:numPr>
          <w:ilvl w:val="1"/>
          <w:numId w:val="6"/>
        </w:numPr>
        <w:spacing w:before="0"/>
      </w:pPr>
      <w:r w:rsidRPr="00976219">
        <w:t>reduce the resource homogeneity of the developing classes</w:t>
      </w:r>
    </w:p>
    <w:p w:rsidR="00956426" w:rsidRDefault="00956426" w:rsidP="008130D3">
      <w:pPr>
        <w:pStyle w:val="ListParagraph"/>
        <w:numPr>
          <w:ilvl w:val="1"/>
          <w:numId w:val="6"/>
        </w:numPr>
        <w:spacing w:before="0"/>
      </w:pPr>
      <w:r>
        <w:t>inhibit robust benchmarking</w:t>
      </w:r>
    </w:p>
    <w:p w:rsidR="00956426" w:rsidRDefault="005C1A96" w:rsidP="009768EE">
      <w:pPr>
        <w:pStyle w:val="ListParagraph"/>
        <w:numPr>
          <w:ilvl w:val="0"/>
          <w:numId w:val="6"/>
        </w:numPr>
        <w:spacing w:before="0"/>
        <w:ind w:left="714" w:hanging="357"/>
      </w:pPr>
      <w:r>
        <w:t>A</w:t>
      </w:r>
      <w:r w:rsidR="00956426">
        <w:t>dded complexity to data collection and reporting particularly if both service event and episode counts are used with</w:t>
      </w:r>
    </w:p>
    <w:p w:rsidR="00956426" w:rsidRDefault="00956426" w:rsidP="008130D3">
      <w:pPr>
        <w:pStyle w:val="ListParagraph"/>
        <w:numPr>
          <w:ilvl w:val="1"/>
          <w:numId w:val="6"/>
        </w:numPr>
        <w:spacing w:before="0"/>
      </w:pPr>
      <w:r w:rsidRPr="008C0227">
        <w:t>further work required to identify the types of care for which it would be appropria</w:t>
      </w:r>
      <w:r>
        <w:t>te</w:t>
      </w:r>
    </w:p>
    <w:p w:rsidR="00956426" w:rsidRDefault="00956426" w:rsidP="008130D3">
      <w:pPr>
        <w:pStyle w:val="ListParagraph"/>
        <w:numPr>
          <w:ilvl w:val="1"/>
          <w:numId w:val="6"/>
        </w:numPr>
        <w:spacing w:before="0"/>
      </w:pPr>
      <w:r>
        <w:t>potential requirement for two levels of bundling, the first to service event and the second to episode of care</w:t>
      </w:r>
      <w:r w:rsidR="000A04D3">
        <w:t>.</w:t>
      </w:r>
    </w:p>
    <w:p w:rsidR="00956426" w:rsidRDefault="005C1A96" w:rsidP="009768EE">
      <w:pPr>
        <w:pStyle w:val="ListParagraph"/>
        <w:numPr>
          <w:ilvl w:val="0"/>
          <w:numId w:val="6"/>
        </w:numPr>
        <w:spacing w:before="0"/>
        <w:ind w:left="714" w:hanging="357"/>
      </w:pPr>
      <w:r>
        <w:t>E</w:t>
      </w:r>
      <w:r w:rsidR="00956426">
        <w:t>pisode start and end points are less clear than for other care types</w:t>
      </w:r>
    </w:p>
    <w:p w:rsidR="00956426" w:rsidRDefault="005C1A96" w:rsidP="009768EE">
      <w:pPr>
        <w:pStyle w:val="ListParagraph"/>
        <w:numPr>
          <w:ilvl w:val="0"/>
          <w:numId w:val="6"/>
        </w:numPr>
        <w:spacing w:before="0"/>
        <w:ind w:left="714" w:hanging="357"/>
      </w:pPr>
      <w:r>
        <w:t>L</w:t>
      </w:r>
      <w:r w:rsidR="00956426">
        <w:t>ittle understanding of variation in episode length and resource usage within a non-admitted class due to the poor quality of non-admitted patient level data and limitations in the ability to link patients across data submissions</w:t>
      </w:r>
    </w:p>
    <w:p w:rsidR="00956426" w:rsidRDefault="005C1A96" w:rsidP="009768EE">
      <w:pPr>
        <w:pStyle w:val="ListParagraph"/>
        <w:numPr>
          <w:ilvl w:val="0"/>
          <w:numId w:val="6"/>
        </w:numPr>
        <w:spacing w:before="0"/>
        <w:ind w:left="714" w:hanging="357"/>
      </w:pPr>
      <w:r>
        <w:t>M</w:t>
      </w:r>
      <w:r w:rsidR="00956426">
        <w:t xml:space="preserve">any health services and jurisdictions are undergoing significant change in processes and IT systems. </w:t>
      </w:r>
    </w:p>
    <w:p w:rsidR="004936FA" w:rsidRDefault="00956426" w:rsidP="00956426">
      <w:r>
        <w:t xml:space="preserve">As indicated by the evidence above, </w:t>
      </w:r>
      <w:r w:rsidR="00B73392">
        <w:t>it may be</w:t>
      </w:r>
      <w:r>
        <w:t xml:space="preserve"> premature to introduce a</w:t>
      </w:r>
      <w:r w:rsidR="00B73392">
        <w:t xml:space="preserve"> time-based</w:t>
      </w:r>
      <w:r>
        <w:t xml:space="preserve"> episode unit of count for non-admitted care.</w:t>
      </w:r>
      <w:r w:rsidR="00B73392">
        <w:t xml:space="preserve"> However, other options could be considered such as </w:t>
      </w:r>
      <w:r w:rsidR="004936FA">
        <w:t xml:space="preserve">clustering service events into meaningful groups associated with treatment of the condition. This could work in collaboration with the bundled pricing program of work (as discussed in Section 4.3), and could build on the current unit of count of the national data collections. </w:t>
      </w:r>
    </w:p>
    <w:p w:rsidR="00FB28F4" w:rsidRDefault="002275FB" w:rsidP="00956426">
      <w:r>
        <w:t xml:space="preserve">IHPA proposes that the first version of the </w:t>
      </w:r>
      <w:r w:rsidR="00956426">
        <w:t>ANACC</w:t>
      </w:r>
      <w:r>
        <w:t xml:space="preserve"> system</w:t>
      </w:r>
      <w:r w:rsidR="00956426">
        <w:t xml:space="preserve"> continues to use service event as the basic unit of count</w:t>
      </w:r>
      <w:r w:rsidR="00956426" w:rsidRPr="00B525B5">
        <w:t xml:space="preserve"> </w:t>
      </w:r>
      <w:r w:rsidR="00956426">
        <w:t>for the purposes of data collection to allow time for patient</w:t>
      </w:r>
      <w:r>
        <w:t>-</w:t>
      </w:r>
      <w:r w:rsidR="00956426">
        <w:t xml:space="preserve">level data collection under the new classification. However, a revision of the current service event definition </w:t>
      </w:r>
      <w:r w:rsidR="00F244B6">
        <w:t>is</w:t>
      </w:r>
      <w:r w:rsidR="00956426">
        <w:t xml:space="preserve"> required to address elements that are not aligned to the new classification and ABF principles.</w:t>
      </w:r>
    </w:p>
    <w:p w:rsidR="00222799" w:rsidRPr="0032404C" w:rsidRDefault="00222799" w:rsidP="00C30658">
      <w:pPr>
        <w:pStyle w:val="Heading3"/>
        <w:numPr>
          <w:ilvl w:val="2"/>
          <w:numId w:val="69"/>
        </w:numPr>
      </w:pPr>
      <w:bookmarkStart w:id="47" w:name="_Toc494105976"/>
      <w:r w:rsidRPr="0032404C">
        <w:t xml:space="preserve">Proposed </w:t>
      </w:r>
      <w:r>
        <w:t>revised service event definition</w:t>
      </w:r>
      <w:bookmarkEnd w:id="47"/>
    </w:p>
    <w:p w:rsidR="00FB28F4" w:rsidRDefault="00FB28F4" w:rsidP="00956426">
      <w:r>
        <w:t>IHPA proposes the following revised service event definition:</w:t>
      </w:r>
    </w:p>
    <w:p w:rsidR="00FB28F4" w:rsidRDefault="00FB28F4" w:rsidP="00FB28F4">
      <w:r>
        <w:t>A non-admitted patient service event is defined as:</w:t>
      </w:r>
    </w:p>
    <w:p w:rsidR="00FB28F4" w:rsidRPr="00FB28F4" w:rsidRDefault="00FB28F4" w:rsidP="00FB28F4">
      <w:pPr>
        <w:ind w:left="720"/>
        <w:rPr>
          <w:i/>
        </w:rPr>
      </w:pPr>
      <w:r w:rsidRPr="00FB28F4">
        <w:rPr>
          <w:i/>
        </w:rPr>
        <w:t>“.. an interaction between one or more health care provider(s) with one non-admitted patient, which must contain therapeutic/clinical content and result in a dated entry in the patient’s medical record.</w:t>
      </w:r>
    </w:p>
    <w:p w:rsidR="00FB28F4" w:rsidRPr="00FB28F4" w:rsidRDefault="00FB28F4" w:rsidP="00FB28F4">
      <w:pPr>
        <w:rPr>
          <w:i/>
        </w:rPr>
      </w:pPr>
      <w:r w:rsidRPr="00FB28F4">
        <w:rPr>
          <w:i/>
        </w:rPr>
        <w:t xml:space="preserve">The interaction </w:t>
      </w:r>
      <w:r w:rsidR="00C8599F">
        <w:rPr>
          <w:i/>
        </w:rPr>
        <w:t>may</w:t>
      </w:r>
      <w:r w:rsidRPr="00FB28F4">
        <w:rPr>
          <w:i/>
        </w:rPr>
        <w:t>:</w:t>
      </w:r>
    </w:p>
    <w:p w:rsidR="00956426" w:rsidRPr="008130D3" w:rsidRDefault="00FB28F4" w:rsidP="009768EE">
      <w:pPr>
        <w:pStyle w:val="ListParagraph"/>
        <w:numPr>
          <w:ilvl w:val="0"/>
          <w:numId w:val="6"/>
        </w:numPr>
        <w:spacing w:before="0"/>
        <w:ind w:left="714" w:hanging="357"/>
        <w:rPr>
          <w:i/>
        </w:rPr>
      </w:pPr>
      <w:r w:rsidRPr="000A04D3">
        <w:rPr>
          <w:i/>
        </w:rPr>
        <w:t>be for assessment, examination, consultat</w:t>
      </w:r>
      <w:r w:rsidR="00C8599F" w:rsidRPr="000A04D3">
        <w:rPr>
          <w:i/>
        </w:rPr>
        <w:t>ion, treatment and/or education</w:t>
      </w:r>
    </w:p>
    <w:p w:rsidR="00C8599F" w:rsidRPr="008130D3" w:rsidRDefault="00C8599F" w:rsidP="009768EE">
      <w:pPr>
        <w:pStyle w:val="ListParagraph"/>
        <w:numPr>
          <w:ilvl w:val="0"/>
          <w:numId w:val="6"/>
        </w:numPr>
        <w:spacing w:before="0"/>
        <w:ind w:left="714" w:hanging="357"/>
        <w:rPr>
          <w:i/>
        </w:rPr>
      </w:pPr>
      <w:r w:rsidRPr="008130D3">
        <w:rPr>
          <w:i/>
        </w:rPr>
        <w:t>be provided on behalf of the patient during a non-admitted multidisciplinary case conference (MDCC)</w:t>
      </w:r>
      <w:r w:rsidR="00D0321D">
        <w:rPr>
          <w:i/>
        </w:rPr>
        <w:t xml:space="preserve"> where the patient is not present</w:t>
      </w:r>
    </w:p>
    <w:p w:rsidR="00C8599F" w:rsidRPr="008130D3" w:rsidRDefault="00C8599F" w:rsidP="009768EE">
      <w:pPr>
        <w:pStyle w:val="ListParagraph"/>
        <w:numPr>
          <w:ilvl w:val="0"/>
          <w:numId w:val="6"/>
        </w:numPr>
        <w:spacing w:before="0"/>
        <w:ind w:left="714" w:hanging="357"/>
        <w:rPr>
          <w:i/>
        </w:rPr>
      </w:pPr>
      <w:r w:rsidRPr="008130D3">
        <w:rPr>
          <w:i/>
        </w:rPr>
        <w:t>be provided by the patient in their own environment without the presence of a healthcare provider.</w:t>
      </w:r>
      <w:r w:rsidR="00AF1162" w:rsidRPr="008130D3">
        <w:rPr>
          <w:i/>
        </w:rPr>
        <w:t>”</w:t>
      </w:r>
    </w:p>
    <w:p w:rsidR="00956426" w:rsidRDefault="00956426" w:rsidP="00956426">
      <w:r>
        <w:t xml:space="preserve">The advantage of this approach is to limit the amount of change for health services and jurisdictions while still ensuring data collection remains at a relatively granular level. </w:t>
      </w:r>
      <w:r w:rsidR="00392A3F">
        <w:t>It also ensures there is flexibility for changes in future funding models, such as bundled pricing or population</w:t>
      </w:r>
      <w:r w:rsidR="00F244B6">
        <w:t>-</w:t>
      </w:r>
      <w:r w:rsidR="00392A3F">
        <w:t xml:space="preserve">based models. </w:t>
      </w:r>
      <w:r>
        <w:t>As patient</w:t>
      </w:r>
      <w:r w:rsidR="0074327F">
        <w:t>-</w:t>
      </w:r>
      <w:r>
        <w:t xml:space="preserve">level data under the new classification becomes available, </w:t>
      </w:r>
      <w:r>
        <w:lastRenderedPageBreak/>
        <w:t>classes that routinely involve multiple service interactions over multiple days may be identified and transitioned to an episode of care unit of count.</w:t>
      </w:r>
    </w:p>
    <w:p w:rsidR="00122840" w:rsidRDefault="00122840" w:rsidP="00122840">
      <w:pPr>
        <w:pStyle w:val="Heading3"/>
      </w:pPr>
      <w:r>
        <w:t>Consultation questions</w:t>
      </w:r>
    </w:p>
    <w:p w:rsidR="00122840" w:rsidRDefault="00122840" w:rsidP="00122840">
      <w:pPr>
        <w:pStyle w:val="ListParagraph"/>
        <w:numPr>
          <w:ilvl w:val="0"/>
          <w:numId w:val="72"/>
        </w:numPr>
        <w:pBdr>
          <w:top w:val="single" w:sz="18" w:space="1" w:color="008A00"/>
          <w:left w:val="single" w:sz="18" w:space="4" w:color="008A00"/>
          <w:bottom w:val="single" w:sz="18" w:space="1" w:color="008A00"/>
          <w:right w:val="single" w:sz="18" w:space="4" w:color="008A00"/>
        </w:pBdr>
        <w:spacing w:before="240" w:after="240" w:line="276" w:lineRule="auto"/>
      </w:pPr>
      <w:r>
        <w:t xml:space="preserve">Should IHPA continue to use service event as the ANACC unit of count? If yes, do you agree with the proposed revised definition of a service event? How could it be improved? </w:t>
      </w:r>
    </w:p>
    <w:p w:rsidR="00122840" w:rsidRDefault="00122840" w:rsidP="00122840">
      <w:pPr>
        <w:pStyle w:val="ListParagraph"/>
        <w:numPr>
          <w:ilvl w:val="0"/>
          <w:numId w:val="72"/>
        </w:numPr>
        <w:pBdr>
          <w:top w:val="single" w:sz="18" w:space="1" w:color="008A00"/>
          <w:left w:val="single" w:sz="18" w:space="4" w:color="008A00"/>
          <w:bottom w:val="single" w:sz="18" w:space="1" w:color="008A00"/>
          <w:right w:val="single" w:sz="18" w:space="4" w:color="008A00"/>
        </w:pBdr>
        <w:spacing w:before="240" w:after="240" w:line="276" w:lineRule="auto"/>
      </w:pPr>
      <w:r>
        <w:t xml:space="preserve">Should an episode be </w:t>
      </w:r>
      <w:r w:rsidR="004936FA">
        <w:t xml:space="preserve">considered </w:t>
      </w:r>
      <w:r w:rsidR="00295776">
        <w:t xml:space="preserve">as a unit of count </w:t>
      </w:r>
      <w:r w:rsidR="004936FA">
        <w:t>in</w:t>
      </w:r>
      <w:r>
        <w:t xml:space="preserve"> the new ANACC?</w:t>
      </w:r>
      <w:r w:rsidR="004936FA">
        <w:t xml:space="preserve"> If not for all conditions, th</w:t>
      </w:r>
      <w:r w:rsidR="001B08FD">
        <w:t>e</w:t>
      </w:r>
      <w:r w:rsidR="004936FA">
        <w:t xml:space="preserve">n for </w:t>
      </w:r>
      <w:r w:rsidR="00295776">
        <w:t xml:space="preserve">which </w:t>
      </w:r>
      <w:r w:rsidR="004936FA">
        <w:t>specific conditions?</w:t>
      </w:r>
      <w:r>
        <w:t xml:space="preserve"> </w:t>
      </w:r>
    </w:p>
    <w:p w:rsidR="009F49FB" w:rsidRDefault="003C2734" w:rsidP="008413C2">
      <w:pPr>
        <w:pStyle w:val="Heading2"/>
        <w:numPr>
          <w:ilvl w:val="1"/>
          <w:numId w:val="69"/>
        </w:numPr>
      </w:pPr>
      <w:bookmarkStart w:id="48" w:name="_Toc494105977"/>
      <w:r w:rsidRPr="00A6766C">
        <w:t>Diagnosis</w:t>
      </w:r>
      <w:r w:rsidR="005F38D0">
        <w:t>-type</w:t>
      </w:r>
      <w:r w:rsidRPr="00A6766C">
        <w:t xml:space="preserve"> and intervention</w:t>
      </w:r>
      <w:r w:rsidR="005F38D0">
        <w:t>-type variables</w:t>
      </w:r>
      <w:bookmarkEnd w:id="48"/>
    </w:p>
    <w:p w:rsidR="00721B06" w:rsidRPr="00721B06" w:rsidRDefault="00721B06" w:rsidP="00721B06">
      <w:r>
        <w:t xml:space="preserve">In consulting with stakeholders, a majority expressed </w:t>
      </w:r>
      <w:r w:rsidRPr="00721B06">
        <w:t xml:space="preserve">a preference for a patient-level classification </w:t>
      </w:r>
      <w:r>
        <w:t xml:space="preserve">system. </w:t>
      </w:r>
      <w:r w:rsidR="001105E4">
        <w:t>Stakeholders reported that such a classification would:</w:t>
      </w:r>
    </w:p>
    <w:p w:rsidR="00721B06" w:rsidRPr="00721B06" w:rsidRDefault="00721B06" w:rsidP="009768EE">
      <w:pPr>
        <w:pStyle w:val="ListParagraph"/>
        <w:numPr>
          <w:ilvl w:val="0"/>
          <w:numId w:val="6"/>
        </w:numPr>
        <w:spacing w:before="0"/>
        <w:ind w:left="714" w:hanging="357"/>
      </w:pPr>
      <w:r w:rsidRPr="00721B06">
        <w:t>build</w:t>
      </w:r>
      <w:r w:rsidR="001105E4">
        <w:t xml:space="preserve"> </w:t>
      </w:r>
      <w:r w:rsidRPr="00721B06">
        <w:t>the ability to track patient journeys across service settings and eventually health sectors to inform research, policy and funding</w:t>
      </w:r>
    </w:p>
    <w:p w:rsidR="00721B06" w:rsidRPr="00721B06" w:rsidRDefault="00721B06" w:rsidP="009768EE">
      <w:pPr>
        <w:pStyle w:val="ListParagraph"/>
        <w:numPr>
          <w:ilvl w:val="0"/>
          <w:numId w:val="6"/>
        </w:numPr>
        <w:spacing w:before="0"/>
        <w:ind w:left="714" w:hanging="357"/>
      </w:pPr>
      <w:r w:rsidRPr="00721B06">
        <w:t>creat</w:t>
      </w:r>
      <w:r w:rsidR="001105E4">
        <w:t>e</w:t>
      </w:r>
      <w:r w:rsidRPr="00721B06">
        <w:t xml:space="preserve"> transparency around the type of interaction in outpatient clinics</w:t>
      </w:r>
    </w:p>
    <w:p w:rsidR="00721B06" w:rsidRPr="00721B06" w:rsidRDefault="00721B06" w:rsidP="009768EE">
      <w:pPr>
        <w:pStyle w:val="ListParagraph"/>
        <w:numPr>
          <w:ilvl w:val="0"/>
          <w:numId w:val="6"/>
        </w:numPr>
        <w:spacing w:before="0"/>
        <w:ind w:left="714" w:hanging="357"/>
      </w:pPr>
      <w:r w:rsidRPr="00721B06">
        <w:t>reflect patient complexity and associated resource use.</w:t>
      </w:r>
    </w:p>
    <w:p w:rsidR="00496B9C" w:rsidRDefault="00AF1162" w:rsidP="00222799">
      <w:r>
        <w:t xml:space="preserve">Stakeholders </w:t>
      </w:r>
      <w:r w:rsidR="009A3AD9">
        <w:t xml:space="preserve">did </w:t>
      </w:r>
      <w:r>
        <w:t xml:space="preserve">report that such large changes in the way of classifying non-admitted services, whilst desirable, would </w:t>
      </w:r>
      <w:r w:rsidR="00496B9C">
        <w:t>cause significant burden on health services collecting and reporting non-admitted data. IHPA acknowledges that diagnosis-type data is not routinely collected in the sector</w:t>
      </w:r>
      <w:r w:rsidR="009A3AD9">
        <w:t xml:space="preserve"> but </w:t>
      </w:r>
      <w:r w:rsidR="00496B9C">
        <w:t xml:space="preserve"> notes the current digital transformation (e.g. eMRs) will certainly provide an opportunity in the future for health services to use the information collected for reporting purposes.</w:t>
      </w:r>
    </w:p>
    <w:p w:rsidR="00D025AA" w:rsidRPr="00B7234C" w:rsidRDefault="00D025AA" w:rsidP="005F54FD">
      <w:pPr>
        <w:pStyle w:val="Heading3"/>
        <w:numPr>
          <w:ilvl w:val="2"/>
          <w:numId w:val="71"/>
        </w:numPr>
      </w:pPr>
      <w:bookmarkStart w:id="49" w:name="_Toc494105978"/>
      <w:r w:rsidRPr="00B7234C">
        <w:t xml:space="preserve">Data </w:t>
      </w:r>
      <w:r>
        <w:t>a</w:t>
      </w:r>
      <w:r w:rsidRPr="00B7234C">
        <w:t xml:space="preserve">nalysis to inform </w:t>
      </w:r>
      <w:r w:rsidR="005F54FD">
        <w:t>future variables</w:t>
      </w:r>
      <w:bookmarkEnd w:id="49"/>
    </w:p>
    <w:p w:rsidR="00D025AA" w:rsidRDefault="00D025AA" w:rsidP="00D025AA">
      <w:r>
        <w:t xml:space="preserve">IHPA undertook a review of existing data </w:t>
      </w:r>
      <w:r w:rsidR="004E2D9C">
        <w:t>to determine potential cost drivers and inform an initial list of variables to be used for the future classification.</w:t>
      </w:r>
    </w:p>
    <w:p w:rsidR="00D025AA" w:rsidRDefault="00D025AA" w:rsidP="00D025AA">
      <w:r>
        <w:t>The data used for the</w:t>
      </w:r>
      <w:r w:rsidRPr="00943A20">
        <w:t xml:space="preserve"> analysi</w:t>
      </w:r>
      <w:r>
        <w:t xml:space="preserve">s was primarily </w:t>
      </w:r>
      <w:r w:rsidRPr="00943A20">
        <w:t>the data</w:t>
      </w:r>
      <w:r>
        <w:t xml:space="preserve"> collection undertaken </w:t>
      </w:r>
      <w:r w:rsidR="005F54FD">
        <w:t xml:space="preserve">in 2013 for the </w:t>
      </w:r>
      <w:r w:rsidRPr="00C30658">
        <w:rPr>
          <w:i/>
        </w:rPr>
        <w:t>Non</w:t>
      </w:r>
      <w:r w:rsidR="00974539">
        <w:rPr>
          <w:i/>
        </w:rPr>
        <w:noBreakHyphen/>
      </w:r>
      <w:r w:rsidRPr="00C30658">
        <w:rPr>
          <w:i/>
        </w:rPr>
        <w:t>Admitted and Subacute Admitted Costing Study</w:t>
      </w:r>
      <w:r>
        <w:t xml:space="preserve"> </w:t>
      </w:r>
      <w:r w:rsidRPr="00943A20">
        <w:t xml:space="preserve">which was refined </w:t>
      </w:r>
      <w:r w:rsidR="005F54FD">
        <w:t xml:space="preserve">in 2015 as part of the </w:t>
      </w:r>
      <w:r w:rsidR="005F54FD" w:rsidRPr="00C30658">
        <w:rPr>
          <w:i/>
        </w:rPr>
        <w:t>C</w:t>
      </w:r>
      <w:r w:rsidRPr="00C30658">
        <w:rPr>
          <w:i/>
        </w:rPr>
        <w:t>oding of Diagnoses and Procedures</w:t>
      </w:r>
      <w:r w:rsidR="005F54FD">
        <w:t xml:space="preserve"> s</w:t>
      </w:r>
      <w:r w:rsidRPr="00943A20">
        <w:t>tudy. The datasets used re</w:t>
      </w:r>
      <w:r>
        <w:t>flect the period 1 June 2013 to</w:t>
      </w:r>
      <w:r w:rsidRPr="00943A20">
        <w:t xml:space="preserve"> 30 November 2013.</w:t>
      </w:r>
      <w:r>
        <w:t xml:space="preserve"> The Non-Admitted and Subacute Costing Study data w</w:t>
      </w:r>
      <w:r w:rsidR="009A3AD9">
        <w:t>ere</w:t>
      </w:r>
      <w:r>
        <w:t xml:space="preserve"> compared with the 2013-14 National Hospital Cost Data Collection (NHCDC) to assess how reflective the costing study data set was of the overall non-admitted cost data population. </w:t>
      </w:r>
      <w:r w:rsidRPr="00C30658">
        <w:rPr>
          <w:i/>
        </w:rPr>
        <w:t>The Non-Admitted and Subacute Costing Study</w:t>
      </w:r>
      <w:r>
        <w:t xml:space="preserve"> was selected as the dataset contained coded diagnosis and procedure data as well as service information, provider details and time.   </w:t>
      </w:r>
    </w:p>
    <w:p w:rsidR="00D025AA" w:rsidRDefault="00D025AA" w:rsidP="00D025AA">
      <w:pPr>
        <w:pStyle w:val="ListBullet"/>
        <w:numPr>
          <w:ilvl w:val="0"/>
          <w:numId w:val="0"/>
        </w:numPr>
        <w:spacing w:before="40" w:after="40"/>
      </w:pPr>
      <w:r>
        <w:t>The variables used in the analysis included clinic, diagnosis, procedure, gender, age, location of visit, reason for visit, support for visit and multidisciplinary.</w:t>
      </w:r>
    </w:p>
    <w:p w:rsidR="00D025AA" w:rsidRPr="00FE0F16" w:rsidRDefault="00D025AA" w:rsidP="00D025AA">
      <w:pPr>
        <w:spacing w:before="0" w:line="240" w:lineRule="auto"/>
      </w:pPr>
      <w:r>
        <w:t>The data analysis report provided the following findings:</w:t>
      </w:r>
    </w:p>
    <w:p w:rsidR="00D025AA" w:rsidRPr="009742D9" w:rsidRDefault="00D025AA" w:rsidP="00D025AA">
      <w:pPr>
        <w:pStyle w:val="ListParagraph"/>
        <w:numPr>
          <w:ilvl w:val="0"/>
          <w:numId w:val="6"/>
        </w:numPr>
        <w:spacing w:before="0" w:line="240" w:lineRule="auto"/>
      </w:pPr>
      <w:r>
        <w:t xml:space="preserve">The results showed a strong </w:t>
      </w:r>
      <w:r w:rsidR="00836842">
        <w:t>association</w:t>
      </w:r>
      <w:r>
        <w:t xml:space="preserve"> between certain clinic types and the corresponding diagnosis</w:t>
      </w:r>
      <w:r w:rsidR="009A3AD9">
        <w:t xml:space="preserve">, </w:t>
      </w:r>
      <w:r>
        <w:t>illustrat</w:t>
      </w:r>
      <w:r w:rsidR="009A3AD9">
        <w:t>ing</w:t>
      </w:r>
      <w:r w:rsidRPr="009742D9">
        <w:t xml:space="preserve"> </w:t>
      </w:r>
      <w:r>
        <w:t xml:space="preserve">that </w:t>
      </w:r>
      <w:r w:rsidRPr="009742D9">
        <w:t>in certain areas of care</w:t>
      </w:r>
      <w:r w:rsidR="009A3AD9">
        <w:t>,</w:t>
      </w:r>
      <w:r w:rsidRPr="009742D9">
        <w:t xml:space="preserve"> the patient’s diagnosis reflects the services received. For example 38.9% of service events fro</w:t>
      </w:r>
      <w:r>
        <w:t xml:space="preserve">m Clinic 20.17 – Ophthalmology were </w:t>
      </w:r>
      <w:r w:rsidRPr="009742D9">
        <w:t xml:space="preserve">within the Diagnosis Chapter 07: Eye and Adnexa. </w:t>
      </w:r>
    </w:p>
    <w:p w:rsidR="00D025AA" w:rsidRPr="009742D9" w:rsidRDefault="00D025AA" w:rsidP="00D025AA">
      <w:pPr>
        <w:pStyle w:val="ListParagraph"/>
        <w:numPr>
          <w:ilvl w:val="0"/>
          <w:numId w:val="6"/>
        </w:numPr>
        <w:spacing w:before="0" w:line="240" w:lineRule="auto"/>
      </w:pPr>
      <w:r w:rsidRPr="009742D9">
        <w:t>Across the majority of clinics, there was a small sample of service events that were spread across a wi</w:t>
      </w:r>
      <w:r>
        <w:t>de range of diagnoses c</w:t>
      </w:r>
      <w:r w:rsidRPr="009742D9">
        <w:t>hapters with varying costs</w:t>
      </w:r>
      <w:r w:rsidR="00A646C2">
        <w:t xml:space="preserve">, </w:t>
      </w:r>
      <w:r w:rsidRPr="009742D9">
        <w:t>highlight</w:t>
      </w:r>
      <w:r w:rsidR="00A646C2">
        <w:t>ing</w:t>
      </w:r>
      <w:r w:rsidRPr="009742D9">
        <w:t xml:space="preserve"> potential scope to refine the non-admitted classification using diagnosis information. </w:t>
      </w:r>
    </w:p>
    <w:p w:rsidR="00D025AA" w:rsidRPr="009742D9" w:rsidRDefault="00D025AA" w:rsidP="00D025AA">
      <w:pPr>
        <w:pStyle w:val="ListParagraph"/>
        <w:numPr>
          <w:ilvl w:val="0"/>
          <w:numId w:val="6"/>
        </w:numPr>
        <w:spacing w:before="0" w:line="240" w:lineRule="auto"/>
      </w:pPr>
      <w:r w:rsidRPr="009742D9">
        <w:lastRenderedPageBreak/>
        <w:t>Across the majori</w:t>
      </w:r>
      <w:r>
        <w:t>ty of clinics examined, there was</w:t>
      </w:r>
      <w:r w:rsidRPr="009742D9">
        <w:t xml:space="preserve"> a large portion of service events with missing diagnosis information. If </w:t>
      </w:r>
      <w:r w:rsidR="00A646C2">
        <w:t xml:space="preserve">missing information </w:t>
      </w:r>
      <w:r w:rsidRPr="009742D9">
        <w:t xml:space="preserve">reflects the difficulty of collecting diagnostic information within this form of care, a candidate classification system should allow </w:t>
      </w:r>
      <w:r>
        <w:t>for incomplete diagnosis data in the early stages of development.</w:t>
      </w:r>
      <w:r w:rsidRPr="009742D9">
        <w:t xml:space="preserve"> </w:t>
      </w:r>
    </w:p>
    <w:p w:rsidR="00D025AA" w:rsidRPr="009742D9" w:rsidRDefault="00D025AA" w:rsidP="00D025AA">
      <w:pPr>
        <w:pStyle w:val="ListParagraph"/>
        <w:numPr>
          <w:ilvl w:val="0"/>
          <w:numId w:val="6"/>
        </w:numPr>
        <w:spacing w:before="0" w:after="240" w:line="240" w:lineRule="auto"/>
      </w:pPr>
      <w:r w:rsidRPr="009742D9">
        <w:t>Among the pregnancy services (20.40 and 40.28) only a small portion of services were captured within Diagnosis Chapter 15: Pregnancy. Th</w:t>
      </w:r>
      <w:r w:rsidR="00A646C2">
        <w:t>e finding</w:t>
      </w:r>
      <w:r w:rsidRPr="009742D9">
        <w:t xml:space="preserve"> may reflect the way the </w:t>
      </w:r>
      <w:r>
        <w:t>d</w:t>
      </w:r>
      <w:r w:rsidRPr="009742D9">
        <w:t xml:space="preserve">iagnosis and procedure information </w:t>
      </w:r>
      <w:r>
        <w:t xml:space="preserve">was </w:t>
      </w:r>
      <w:r w:rsidRPr="009742D9">
        <w:t xml:space="preserve">collected </w:t>
      </w:r>
      <w:r>
        <w:t>during the costing study</w:t>
      </w:r>
      <w:r w:rsidRPr="009742D9">
        <w:t>.</w:t>
      </w:r>
    </w:p>
    <w:p w:rsidR="00D025AA" w:rsidRPr="009742D9" w:rsidRDefault="00D025AA" w:rsidP="00D025AA">
      <w:pPr>
        <w:pStyle w:val="ListParagraph"/>
        <w:numPr>
          <w:ilvl w:val="0"/>
          <w:numId w:val="6"/>
        </w:numPr>
        <w:spacing w:before="0" w:line="240" w:lineRule="auto"/>
      </w:pPr>
      <w:r>
        <w:t>Non-</w:t>
      </w:r>
      <w:r w:rsidRPr="009742D9">
        <w:t>admitted care is primarily focused around a specific number of diagnosis chapters</w:t>
      </w:r>
      <w:r w:rsidR="00A646C2">
        <w:t xml:space="preserve"> in the ICD-10-AM</w:t>
      </w:r>
      <w:r w:rsidRPr="009742D9">
        <w:t xml:space="preserve">. </w:t>
      </w:r>
      <w:r w:rsidRPr="00443C49">
        <w:t>Four diagnosis chapters capture 65.5% of the costing study</w:t>
      </w:r>
      <w:r>
        <w:t xml:space="preserve"> activity</w:t>
      </w:r>
      <w:r w:rsidRPr="009742D9">
        <w:t xml:space="preserve">. Therefore a candidate classification system that adopts diagnosis may only need to include a selected scope of diagnosis instead of the entire range.  </w:t>
      </w:r>
    </w:p>
    <w:p w:rsidR="00D025AA" w:rsidRPr="009742D9" w:rsidRDefault="00D025AA" w:rsidP="00D025AA">
      <w:pPr>
        <w:pStyle w:val="ListParagraph"/>
        <w:numPr>
          <w:ilvl w:val="0"/>
          <w:numId w:val="6"/>
        </w:numPr>
        <w:spacing w:before="0" w:line="240" w:lineRule="auto"/>
      </w:pPr>
      <w:r w:rsidRPr="009742D9">
        <w:t xml:space="preserve">Other patient characteristics </w:t>
      </w:r>
      <w:r>
        <w:t>could</w:t>
      </w:r>
      <w:r w:rsidRPr="009742D9">
        <w:t xml:space="preserve"> be incorporated togeth</w:t>
      </w:r>
      <w:r>
        <w:t>er with diagnosis. For example</w:t>
      </w:r>
      <w:r w:rsidR="00836842">
        <w:t>,</w:t>
      </w:r>
      <w:r>
        <w:t xml:space="preserve"> n</w:t>
      </w:r>
      <w:r w:rsidRPr="009742D9">
        <w:t xml:space="preserve">eoplasm paediatrics service events are on </w:t>
      </w:r>
      <w:r w:rsidR="00A646C2">
        <w:t>average</w:t>
      </w:r>
      <w:r w:rsidRPr="009742D9">
        <w:t xml:space="preserve"> 85% more expensive than the adult cohort</w:t>
      </w:r>
      <w:r>
        <w:t>, with both cohorts currently treated within the same Tier 2 clinic</w:t>
      </w:r>
      <w:r w:rsidRPr="009742D9">
        <w:t>.</w:t>
      </w:r>
    </w:p>
    <w:p w:rsidR="00D025AA" w:rsidRPr="009742D9" w:rsidRDefault="00A646C2" w:rsidP="00D025AA">
      <w:pPr>
        <w:pStyle w:val="ListParagraph"/>
        <w:numPr>
          <w:ilvl w:val="0"/>
          <w:numId w:val="6"/>
        </w:numPr>
        <w:spacing w:before="0" w:line="240" w:lineRule="auto"/>
      </w:pPr>
      <w:r>
        <w:t xml:space="preserve">It was found that </w:t>
      </w:r>
      <w:r w:rsidR="00D025AA">
        <w:t>22% of service events had</w:t>
      </w:r>
      <w:r w:rsidR="00D025AA" w:rsidRPr="009742D9">
        <w:t xml:space="preserve"> a valid procedure recorded</w:t>
      </w:r>
      <w:r>
        <w:t xml:space="preserve"> which</w:t>
      </w:r>
      <w:r w:rsidR="005F4C49">
        <w:t xml:space="preserve"> </w:t>
      </w:r>
      <w:r w:rsidR="00D025AA" w:rsidRPr="009742D9">
        <w:t xml:space="preserve">may reflect the way the </w:t>
      </w:r>
      <w:r w:rsidR="00D025AA">
        <w:t>d</w:t>
      </w:r>
      <w:r w:rsidR="00D025AA" w:rsidRPr="009742D9">
        <w:t xml:space="preserve">iagnosis and procedure information </w:t>
      </w:r>
      <w:r w:rsidR="00D025AA">
        <w:t xml:space="preserve">was </w:t>
      </w:r>
      <w:r w:rsidR="00D025AA" w:rsidRPr="009742D9">
        <w:t xml:space="preserve">collected </w:t>
      </w:r>
      <w:r w:rsidR="00D025AA">
        <w:t>during the costing study</w:t>
      </w:r>
      <w:r w:rsidR="00D025AA" w:rsidRPr="009742D9">
        <w:t>.</w:t>
      </w:r>
    </w:p>
    <w:p w:rsidR="00D025AA" w:rsidRPr="009742D9" w:rsidRDefault="00D025AA" w:rsidP="00D025AA">
      <w:pPr>
        <w:pStyle w:val="ListParagraph"/>
        <w:numPr>
          <w:ilvl w:val="0"/>
          <w:numId w:val="6"/>
        </w:numPr>
        <w:spacing w:before="0" w:line="240" w:lineRule="auto"/>
      </w:pPr>
      <w:r>
        <w:t xml:space="preserve">Just over </w:t>
      </w:r>
      <w:r w:rsidRPr="009742D9">
        <w:t>70% of service even</w:t>
      </w:r>
      <w:r>
        <w:t>ts with a valid procedure were</w:t>
      </w:r>
      <w:r w:rsidRPr="009742D9">
        <w:t xml:space="preserve"> recorded under Chapter 19: Non-invasive, </w:t>
      </w:r>
      <w:r>
        <w:t>c</w:t>
      </w:r>
      <w:r w:rsidRPr="009742D9">
        <w:t>ognitive and other interventions</w:t>
      </w:r>
      <w:r w:rsidR="00A646C2">
        <w:t xml:space="preserve"> in ACHI</w:t>
      </w:r>
      <w:r w:rsidRPr="009742D9">
        <w:t xml:space="preserve">. </w:t>
      </w:r>
      <w:r w:rsidR="00A646C2">
        <w:t xml:space="preserve">A </w:t>
      </w:r>
      <w:r w:rsidRPr="009742D9">
        <w:t>candidate classification system that adopts procedures may only need to include a selected scope of procedures instead of the entire range</w:t>
      </w:r>
      <w:r>
        <w:t>.</w:t>
      </w:r>
    </w:p>
    <w:p w:rsidR="00D025AA" w:rsidRDefault="00D025AA" w:rsidP="00D025AA">
      <w:pPr>
        <w:pStyle w:val="ListParagraph"/>
        <w:numPr>
          <w:ilvl w:val="0"/>
          <w:numId w:val="6"/>
        </w:numPr>
        <w:spacing w:before="0" w:after="240" w:line="240" w:lineRule="auto"/>
      </w:pPr>
      <w:r w:rsidRPr="009742D9">
        <w:t>Age alone does not present as a driving factor for</w:t>
      </w:r>
      <w:r>
        <w:t xml:space="preserve"> resource consumption</w:t>
      </w:r>
      <w:r w:rsidR="00A646C2">
        <w:t xml:space="preserve"> yet</w:t>
      </w:r>
      <w:r w:rsidRPr="009742D9">
        <w:t xml:space="preserve"> there </w:t>
      </w:r>
      <w:r>
        <w:t>were</w:t>
      </w:r>
      <w:r w:rsidRPr="009742D9">
        <w:t xml:space="preserve"> prominent cost discrepancies with age in conjunction with </w:t>
      </w:r>
      <w:r>
        <w:t xml:space="preserve">some diagnosis </w:t>
      </w:r>
      <w:r w:rsidRPr="009742D9">
        <w:t xml:space="preserve">profiles.  </w:t>
      </w:r>
    </w:p>
    <w:p w:rsidR="00AD1708" w:rsidRPr="009F49FB" w:rsidRDefault="00D025AA" w:rsidP="007336CF">
      <w:pPr>
        <w:pStyle w:val="ListParagraph"/>
        <w:numPr>
          <w:ilvl w:val="0"/>
          <w:numId w:val="6"/>
        </w:numPr>
        <w:spacing w:before="0" w:after="240" w:line="240" w:lineRule="auto"/>
      </w:pPr>
      <w:r>
        <w:t>The data illustrated that there was</w:t>
      </w:r>
      <w:r w:rsidRPr="009742D9">
        <w:t xml:space="preserve"> a clear trend between resource consumption and a service event’s multidisciplinary status, therefore </w:t>
      </w:r>
      <w:r>
        <w:t xml:space="preserve">its inclusion as a variable </w:t>
      </w:r>
      <w:r w:rsidRPr="009742D9">
        <w:t>is a viable option within the candidate classification system</w:t>
      </w:r>
      <w:r>
        <w:t>s</w:t>
      </w:r>
      <w:r w:rsidRPr="009742D9">
        <w:t>.</w:t>
      </w:r>
    </w:p>
    <w:p w:rsidR="005F54FD" w:rsidRDefault="005F54FD" w:rsidP="005F54FD">
      <w:pPr>
        <w:pStyle w:val="Heading3"/>
        <w:numPr>
          <w:ilvl w:val="2"/>
          <w:numId w:val="71"/>
        </w:numPr>
      </w:pPr>
      <w:bookmarkStart w:id="50" w:name="_Toc494105979"/>
      <w:r>
        <w:t>Diagnosis-type</w:t>
      </w:r>
      <w:bookmarkEnd w:id="50"/>
    </w:p>
    <w:p w:rsidR="005F54FD" w:rsidRDefault="005F54FD" w:rsidP="00C30658">
      <w:r>
        <w:t>If the long-term vision of ANACC is to be a patient-based classification system as opposed to the current clinic-based classification, the first variable should reflect the main reason for the patient to receive a non-admitted care service.</w:t>
      </w:r>
    </w:p>
    <w:p w:rsidR="001105E4" w:rsidRDefault="005F54FD" w:rsidP="007336CF">
      <w:r>
        <w:t>Such</w:t>
      </w:r>
      <w:r w:rsidR="00F70551">
        <w:t xml:space="preserve"> a</w:t>
      </w:r>
      <w:r>
        <w:t xml:space="preserve"> variable </w:t>
      </w:r>
      <w:r w:rsidR="00EE3ED2">
        <w:t xml:space="preserve">would fall within the category of </w:t>
      </w:r>
      <w:r w:rsidR="007336CF">
        <w:t xml:space="preserve">a </w:t>
      </w:r>
      <w:r w:rsidR="00EE3ED2">
        <w:t>‘diagnosis-type’ variable and could include:</w:t>
      </w:r>
    </w:p>
    <w:p w:rsidR="00EE3ED2" w:rsidRDefault="00EE3ED2" w:rsidP="00A360CE">
      <w:pPr>
        <w:pStyle w:val="ListParagraph"/>
        <w:numPr>
          <w:ilvl w:val="0"/>
          <w:numId w:val="6"/>
        </w:numPr>
        <w:spacing w:before="0" w:line="240" w:lineRule="auto"/>
      </w:pPr>
      <w:r>
        <w:rPr>
          <w:b/>
        </w:rPr>
        <w:t>d</w:t>
      </w:r>
      <w:r w:rsidR="001105E4" w:rsidRPr="00EE3ED2">
        <w:rPr>
          <w:b/>
        </w:rPr>
        <w:t>iagnosis</w:t>
      </w:r>
      <w:r w:rsidR="001105E4">
        <w:t xml:space="preserve"> – </w:t>
      </w:r>
      <w:r>
        <w:t>further reinforced by the findings of the data analysis that across the majority of clinics, service events were spread across a wide range of diagnoses chapters with varying costs.</w:t>
      </w:r>
    </w:p>
    <w:p w:rsidR="00EE3ED2" w:rsidRDefault="00EE3ED2" w:rsidP="00EE3ED2">
      <w:pPr>
        <w:pStyle w:val="ListParagraph"/>
        <w:spacing w:before="0" w:line="240" w:lineRule="auto"/>
      </w:pPr>
      <w:r>
        <w:t xml:space="preserve">Inclusion of diagnosis creates comparability across classifications and settings to enable future development of classification and funding models at the patient population level, rather than building a system which compartmentalises care according to setting. </w:t>
      </w:r>
    </w:p>
    <w:p w:rsidR="00EE3ED2" w:rsidRDefault="00EE3ED2" w:rsidP="00EE3ED2">
      <w:pPr>
        <w:pStyle w:val="ListParagraph"/>
        <w:spacing w:before="0" w:line="240" w:lineRule="auto"/>
      </w:pPr>
      <w:r>
        <w:t xml:space="preserve">Notwithstanding the limitations of the data, four diagnosis chapters were found to capture just over 65% of the service events. </w:t>
      </w:r>
      <w:r w:rsidR="00A646C2">
        <w:t>F</w:t>
      </w:r>
      <w:r>
        <w:t>or the non-admitted care setting, grouping and/or selecting certain diagnosis might be more appropriate.</w:t>
      </w:r>
    </w:p>
    <w:p w:rsidR="001105E4" w:rsidRDefault="001105E4" w:rsidP="00EE3ED2">
      <w:pPr>
        <w:pStyle w:val="ListParagraph"/>
      </w:pPr>
      <w:r>
        <w:t xml:space="preserve">Stakeholders have expressed </w:t>
      </w:r>
      <w:r w:rsidRPr="00721B06">
        <w:t>concerns that, with the increasing involvement of non-medical providers (e.g. allied health professionals), the main reason for attendance of a patient may not always be linked to the patient’s primary diagnosis.</w:t>
      </w:r>
    </w:p>
    <w:p w:rsidR="001105E4" w:rsidRDefault="001105E4" w:rsidP="0007270D">
      <w:pPr>
        <w:pStyle w:val="ListParagraph"/>
        <w:numPr>
          <w:ilvl w:val="0"/>
          <w:numId w:val="5"/>
        </w:numPr>
      </w:pPr>
      <w:r w:rsidRPr="00EE3ED2">
        <w:rPr>
          <w:b/>
        </w:rPr>
        <w:lastRenderedPageBreak/>
        <w:t>reason for encounter</w:t>
      </w:r>
      <w:r>
        <w:t xml:space="preserve"> – </w:t>
      </w:r>
      <w:r w:rsidR="001E4C63">
        <w:t>a</w:t>
      </w:r>
      <w:r w:rsidR="001E4C63" w:rsidRPr="003C669E">
        <w:t xml:space="preserve"> pa</w:t>
      </w:r>
      <w:r w:rsidR="001E4C63">
        <w:t>tient’s reason for encounter (Rf</w:t>
      </w:r>
      <w:r w:rsidR="001E4C63" w:rsidRPr="003C669E">
        <w:t>E)</w:t>
      </w:r>
      <w:r w:rsidR="001E4C63">
        <w:t xml:space="preserve"> can reflect the </w:t>
      </w:r>
      <w:r w:rsidR="001E4C63" w:rsidRPr="003C669E">
        <w:t>patient’s demand for care and can provide an indication of service use patterns</w:t>
      </w:r>
      <w:r w:rsidR="001E4C63">
        <w:t>.</w:t>
      </w:r>
      <w:r w:rsidR="001E4C63">
        <w:rPr>
          <w:rStyle w:val="FootnoteReference"/>
        </w:rPr>
        <w:footnoteReference w:id="8"/>
      </w:r>
      <w:r w:rsidR="001E4C63" w:rsidRPr="003C669E">
        <w:t xml:space="preserve"> </w:t>
      </w:r>
      <w:r w:rsidR="001E4C63">
        <w:t>RfEs can be expressed as symptoms (e.g. ‘itchy skin’, ‘back pain’), diagnosis (e.g. ‘about my diabetes’, ‘for my hypertension’), a request for a service (‘I need more scripts’, ‘I want a referral’), or a need for a check-up.</w:t>
      </w:r>
      <w:r w:rsidR="001E4C63">
        <w:rPr>
          <w:rStyle w:val="FootnoteReference"/>
        </w:rPr>
        <w:footnoteReference w:id="9"/>
      </w:r>
      <w:r w:rsidR="001E4C63">
        <w:t xml:space="preserve"> </w:t>
      </w:r>
      <w:r w:rsidR="001E4C63" w:rsidRPr="003C669E">
        <w:t>The R</w:t>
      </w:r>
      <w:r w:rsidR="001E4C63">
        <w:t>fE</w:t>
      </w:r>
      <w:r w:rsidR="001E4C63" w:rsidRPr="003C669E">
        <w:t xml:space="preserve"> is defined as </w:t>
      </w:r>
      <w:r w:rsidR="0007270D">
        <w:t xml:space="preserve">the reasons </w:t>
      </w:r>
      <w:r w:rsidR="0007270D" w:rsidRPr="0007270D">
        <w:t>given by the patient before the physician or other health worker makes any judgement as to their validity or accuracy</w:t>
      </w:r>
      <w:r w:rsidR="0007270D">
        <w:t>, or before a diagnosis is made</w:t>
      </w:r>
      <w:r w:rsidR="001E4C63" w:rsidRPr="003C669E">
        <w:t>.</w:t>
      </w:r>
      <w:r w:rsidR="001E4C63">
        <w:rPr>
          <w:rStyle w:val="FootnoteReference"/>
        </w:rPr>
        <w:footnoteReference w:id="10"/>
      </w:r>
    </w:p>
    <w:p w:rsidR="00FB28F4" w:rsidRDefault="00FB28F4" w:rsidP="00A360CE">
      <w:pPr>
        <w:pStyle w:val="ListParagraph"/>
        <w:numPr>
          <w:ilvl w:val="0"/>
          <w:numId w:val="5"/>
        </w:numPr>
      </w:pPr>
      <w:r w:rsidRPr="00EE3ED2">
        <w:rPr>
          <w:b/>
        </w:rPr>
        <w:t>presenting problem</w:t>
      </w:r>
      <w:r>
        <w:rPr>
          <w:b/>
        </w:rPr>
        <w:t xml:space="preserve"> (preferred)</w:t>
      </w:r>
      <w:r>
        <w:t xml:space="preserve"> – previous research has suggested that presenting problem may be a more </w:t>
      </w:r>
      <w:r w:rsidRPr="00EA6317">
        <w:t>important predictor o</w:t>
      </w:r>
      <w:r>
        <w:t xml:space="preserve">f costs than principal diagnosis as it may utilise </w:t>
      </w:r>
      <w:r w:rsidRPr="00036D04">
        <w:t>a similar level of resources for the diagnostic component of an episode. It was acknowledged that once a particular diagnosis had been established, treatment pathways will diverge, and consequently, costs will vary</w:t>
      </w:r>
      <w:r>
        <w:t>.</w:t>
      </w:r>
      <w:r>
        <w:rPr>
          <w:rStyle w:val="FootnoteReference"/>
        </w:rPr>
        <w:footnoteReference w:id="11"/>
      </w:r>
      <w:r>
        <w:t xml:space="preserve"> However, t</w:t>
      </w:r>
      <w:r w:rsidRPr="00036D04">
        <w:t>he literature on the extent to which presenting problems explain variation in cost is limited and equivocal</w:t>
      </w:r>
      <w:r>
        <w:t>.</w:t>
      </w:r>
      <w:r w:rsidRPr="001E4C63">
        <w:rPr>
          <w:vertAlign w:val="superscript"/>
        </w:rPr>
        <w:t>1</w:t>
      </w:r>
      <w:r>
        <w:rPr>
          <w:vertAlign w:val="superscript"/>
        </w:rPr>
        <w:t>4</w:t>
      </w:r>
    </w:p>
    <w:p w:rsidR="00E0033D" w:rsidRDefault="00FB28F4" w:rsidP="00C8599F">
      <w:r>
        <w:t>IHPA proposes to use ‘presenting proble</w:t>
      </w:r>
      <w:r w:rsidR="00C8599F">
        <w:t>m’ as a diagnosis-type variable</w:t>
      </w:r>
      <w:r w:rsidR="00E0033D">
        <w:t xml:space="preserve"> as it best capture</w:t>
      </w:r>
      <w:r w:rsidR="00F70551">
        <w:t>s</w:t>
      </w:r>
      <w:r w:rsidR="00E0033D">
        <w:t xml:space="preserve"> the reason the patient is receiving the non-admitted service. Feedback from clinicians</w:t>
      </w:r>
      <w:r w:rsidR="00F549B6">
        <w:t xml:space="preserve"> and non</w:t>
      </w:r>
      <w:r w:rsidR="00974539">
        <w:noBreakHyphen/>
      </w:r>
      <w:r w:rsidR="00F549B6">
        <w:t>admitted care stakeholders</w:t>
      </w:r>
      <w:r w:rsidR="00E0033D">
        <w:t xml:space="preserve"> is also that many patients may not have a known diagnosis when attending a </w:t>
      </w:r>
      <w:r w:rsidR="00F549B6">
        <w:t xml:space="preserve">non-admitted </w:t>
      </w:r>
      <w:r w:rsidR="00F412E7">
        <w:t xml:space="preserve">service </w:t>
      </w:r>
      <w:r w:rsidR="00F549B6">
        <w:t xml:space="preserve">therefore a variable of ‘diagnosis’ may not be adequate for the non-admitted sector. There are also cohorts of patients with chronic conditions </w:t>
      </w:r>
      <w:r w:rsidR="00E0033D">
        <w:t>receiving services for an exacerbation of a symptom or problem rather than the underlying diagnosis</w:t>
      </w:r>
      <w:r w:rsidR="00F549B6">
        <w:t>.</w:t>
      </w:r>
    </w:p>
    <w:p w:rsidR="00644F6B" w:rsidRPr="009768EE" w:rsidRDefault="00644F6B" w:rsidP="00644F6B">
      <w:r w:rsidRPr="00397D7A">
        <w:t>Some patients may also present with multiple conditions for ‘administrative’ reasons such as a pharmacy consultation prior to or post admission to a hospital. The new ANACC should ensure that the most common types of patient encounters are accounted for and reflect the reason the patient attended.</w:t>
      </w:r>
    </w:p>
    <w:p w:rsidR="00C8599F" w:rsidRDefault="00C8599F" w:rsidP="00C8599F">
      <w:r>
        <w:t>Presenting problem could be defined as “the</w:t>
      </w:r>
      <w:r w:rsidRPr="009A2F45">
        <w:t xml:space="preserve"> problem that the patient presents with to the </w:t>
      </w:r>
      <w:r>
        <w:t>non</w:t>
      </w:r>
      <w:r w:rsidR="00974539">
        <w:noBreakHyphen/>
      </w:r>
      <w:r>
        <w:t>admitted service</w:t>
      </w:r>
      <w:r w:rsidRPr="009A2F45">
        <w:t xml:space="preserve">, as </w:t>
      </w:r>
      <w:r w:rsidR="00F70551">
        <w:t>determin</w:t>
      </w:r>
      <w:r w:rsidR="00F70551" w:rsidRPr="009A2F45">
        <w:t xml:space="preserve">ed </w:t>
      </w:r>
      <w:r w:rsidRPr="009A2F45">
        <w:t>by the clinic</w:t>
      </w:r>
      <w:r>
        <w:t>ian first assessing the patient”.</w:t>
      </w:r>
      <w:r w:rsidR="00F549B6">
        <w:t xml:space="preserve"> Further guidance and business rules will be developed to guide the recording of this information.</w:t>
      </w:r>
    </w:p>
    <w:p w:rsidR="00F549B6" w:rsidRPr="00F549B6" w:rsidRDefault="005F38D0" w:rsidP="00222799">
      <w:pPr>
        <w:pStyle w:val="Heading3"/>
        <w:numPr>
          <w:ilvl w:val="2"/>
          <w:numId w:val="71"/>
        </w:numPr>
      </w:pPr>
      <w:bookmarkStart w:id="51" w:name="_Toc494105980"/>
      <w:r>
        <w:t>Intervention-type variables</w:t>
      </w:r>
      <w:bookmarkEnd w:id="51"/>
    </w:p>
    <w:p w:rsidR="00DB052C" w:rsidRDefault="005936DC" w:rsidP="00DB052C">
      <w:pPr>
        <w:pStyle w:val="CommentText"/>
        <w:rPr>
          <w:sz w:val="22"/>
          <w:szCs w:val="24"/>
        </w:rPr>
      </w:pPr>
      <w:r>
        <w:rPr>
          <w:sz w:val="22"/>
          <w:szCs w:val="24"/>
        </w:rPr>
        <w:t>The analysis of</w:t>
      </w:r>
      <w:r w:rsidR="00781C58">
        <w:rPr>
          <w:sz w:val="22"/>
          <w:szCs w:val="24"/>
        </w:rPr>
        <w:t xml:space="preserve"> the non-admitted data (refer</w:t>
      </w:r>
      <w:r w:rsidR="00676990">
        <w:rPr>
          <w:sz w:val="22"/>
          <w:szCs w:val="24"/>
        </w:rPr>
        <w:t xml:space="preserve"> to section </w:t>
      </w:r>
      <w:r w:rsidR="00933853">
        <w:rPr>
          <w:sz w:val="22"/>
          <w:szCs w:val="24"/>
        </w:rPr>
        <w:t>5</w:t>
      </w:r>
      <w:r w:rsidR="00676990">
        <w:rPr>
          <w:sz w:val="22"/>
          <w:szCs w:val="24"/>
        </w:rPr>
        <w:t>.</w:t>
      </w:r>
      <w:r w:rsidR="00933853">
        <w:rPr>
          <w:sz w:val="22"/>
          <w:szCs w:val="24"/>
        </w:rPr>
        <w:t>2.1</w:t>
      </w:r>
      <w:r w:rsidR="00781C58">
        <w:rPr>
          <w:sz w:val="22"/>
          <w:szCs w:val="24"/>
        </w:rPr>
        <w:t xml:space="preserve">), </w:t>
      </w:r>
      <w:r>
        <w:rPr>
          <w:sz w:val="22"/>
          <w:szCs w:val="24"/>
        </w:rPr>
        <w:t>showed</w:t>
      </w:r>
      <w:r w:rsidR="00781C58">
        <w:rPr>
          <w:sz w:val="22"/>
          <w:szCs w:val="24"/>
        </w:rPr>
        <w:t xml:space="preserve"> that</w:t>
      </w:r>
      <w:r w:rsidR="00DB052C">
        <w:rPr>
          <w:sz w:val="22"/>
          <w:szCs w:val="24"/>
        </w:rPr>
        <w:t xml:space="preserve"> there was a clear </w:t>
      </w:r>
      <w:r w:rsidR="00836842">
        <w:rPr>
          <w:sz w:val="22"/>
          <w:szCs w:val="24"/>
        </w:rPr>
        <w:t>link</w:t>
      </w:r>
      <w:r w:rsidR="00DB052C">
        <w:rPr>
          <w:sz w:val="22"/>
          <w:szCs w:val="24"/>
        </w:rPr>
        <w:t xml:space="preserve"> between the type of procedure and resource consumption</w:t>
      </w:r>
      <w:r>
        <w:rPr>
          <w:sz w:val="22"/>
          <w:szCs w:val="24"/>
        </w:rPr>
        <w:t>,</w:t>
      </w:r>
      <w:r w:rsidR="00DB052C">
        <w:rPr>
          <w:sz w:val="22"/>
          <w:szCs w:val="24"/>
        </w:rPr>
        <w:t xml:space="preserve"> indicating some interventions </w:t>
      </w:r>
      <w:r>
        <w:rPr>
          <w:sz w:val="22"/>
          <w:szCs w:val="24"/>
        </w:rPr>
        <w:t>define the cost</w:t>
      </w:r>
      <w:r w:rsidR="00DB052C">
        <w:rPr>
          <w:sz w:val="22"/>
          <w:szCs w:val="24"/>
        </w:rPr>
        <w:t xml:space="preserve">. </w:t>
      </w:r>
      <w:r w:rsidR="00795C9D">
        <w:rPr>
          <w:sz w:val="22"/>
          <w:szCs w:val="24"/>
        </w:rPr>
        <w:t xml:space="preserve">In addition, there are a </w:t>
      </w:r>
      <w:r w:rsidR="00781C58">
        <w:rPr>
          <w:sz w:val="22"/>
          <w:szCs w:val="24"/>
        </w:rPr>
        <w:t xml:space="preserve">growing number of interventions which were previously required for a patient to be admitted (e.g. dialysis) are now performed either at a non-admitted clinic or in the patient’s home. </w:t>
      </w:r>
      <w:r w:rsidR="00795C9D">
        <w:rPr>
          <w:sz w:val="22"/>
          <w:szCs w:val="24"/>
        </w:rPr>
        <w:t>T</w:t>
      </w:r>
      <w:r w:rsidR="00781C58">
        <w:rPr>
          <w:sz w:val="22"/>
          <w:szCs w:val="24"/>
        </w:rPr>
        <w:t xml:space="preserve">he future ANACC </w:t>
      </w:r>
      <w:r w:rsidR="00795C9D">
        <w:rPr>
          <w:sz w:val="22"/>
          <w:szCs w:val="24"/>
        </w:rPr>
        <w:t>must factor these care patterns</w:t>
      </w:r>
      <w:r w:rsidR="00781C58">
        <w:rPr>
          <w:sz w:val="22"/>
          <w:szCs w:val="24"/>
        </w:rPr>
        <w:t xml:space="preserve"> and </w:t>
      </w:r>
      <w:r w:rsidR="00795C9D">
        <w:rPr>
          <w:sz w:val="22"/>
          <w:szCs w:val="24"/>
        </w:rPr>
        <w:t>incorporate</w:t>
      </w:r>
      <w:r w:rsidR="00781C58">
        <w:rPr>
          <w:sz w:val="22"/>
          <w:szCs w:val="24"/>
        </w:rPr>
        <w:t xml:space="preserve"> ‘intervention’ data in order </w:t>
      </w:r>
      <w:r w:rsidR="00781C58" w:rsidRPr="00E5021B">
        <w:rPr>
          <w:sz w:val="22"/>
          <w:szCs w:val="24"/>
        </w:rPr>
        <w:t xml:space="preserve">to </w:t>
      </w:r>
      <w:r w:rsidR="00E5021B" w:rsidRPr="00F82B87">
        <w:rPr>
          <w:sz w:val="22"/>
          <w:szCs w:val="24"/>
        </w:rPr>
        <w:t xml:space="preserve">identify </w:t>
      </w:r>
      <w:r w:rsidR="00781C58" w:rsidRPr="00F82B87">
        <w:rPr>
          <w:sz w:val="22"/>
          <w:szCs w:val="24"/>
        </w:rPr>
        <w:t>a patient</w:t>
      </w:r>
      <w:r w:rsidR="00781C58">
        <w:rPr>
          <w:sz w:val="22"/>
          <w:szCs w:val="24"/>
        </w:rPr>
        <w:t xml:space="preserve"> from </w:t>
      </w:r>
      <w:r w:rsidR="00F412E7">
        <w:rPr>
          <w:sz w:val="22"/>
          <w:szCs w:val="24"/>
        </w:rPr>
        <w:t xml:space="preserve">an </w:t>
      </w:r>
      <w:r w:rsidR="00781C58">
        <w:rPr>
          <w:sz w:val="22"/>
          <w:szCs w:val="24"/>
        </w:rPr>
        <w:t>admitted</w:t>
      </w:r>
      <w:r w:rsidR="00F412E7">
        <w:rPr>
          <w:sz w:val="22"/>
          <w:szCs w:val="24"/>
        </w:rPr>
        <w:t xml:space="preserve"> setting</w:t>
      </w:r>
      <w:r w:rsidR="00781C58">
        <w:rPr>
          <w:sz w:val="22"/>
          <w:szCs w:val="24"/>
        </w:rPr>
        <w:t xml:space="preserve"> to </w:t>
      </w:r>
      <w:r w:rsidR="00F412E7">
        <w:rPr>
          <w:sz w:val="22"/>
          <w:szCs w:val="24"/>
        </w:rPr>
        <w:t xml:space="preserve">a </w:t>
      </w:r>
      <w:r w:rsidR="00781C58">
        <w:rPr>
          <w:sz w:val="22"/>
          <w:szCs w:val="24"/>
        </w:rPr>
        <w:t>non-admitted</w:t>
      </w:r>
      <w:r w:rsidR="00F412E7">
        <w:rPr>
          <w:sz w:val="22"/>
          <w:szCs w:val="24"/>
        </w:rPr>
        <w:t xml:space="preserve"> setting</w:t>
      </w:r>
      <w:r w:rsidR="00781C58">
        <w:rPr>
          <w:sz w:val="22"/>
          <w:szCs w:val="24"/>
        </w:rPr>
        <w:t>.</w:t>
      </w:r>
    </w:p>
    <w:p w:rsidR="00AE7500" w:rsidRPr="00AE7500" w:rsidRDefault="00DB052C" w:rsidP="00DB052C">
      <w:pPr>
        <w:pStyle w:val="CommentText"/>
        <w:rPr>
          <w:sz w:val="22"/>
          <w:szCs w:val="24"/>
        </w:rPr>
      </w:pPr>
      <w:r>
        <w:rPr>
          <w:sz w:val="22"/>
          <w:szCs w:val="24"/>
        </w:rPr>
        <w:t>I</w:t>
      </w:r>
      <w:r w:rsidR="00676990">
        <w:rPr>
          <w:sz w:val="22"/>
          <w:szCs w:val="24"/>
        </w:rPr>
        <w:t>H</w:t>
      </w:r>
      <w:r>
        <w:rPr>
          <w:sz w:val="22"/>
          <w:szCs w:val="24"/>
        </w:rPr>
        <w:t>PA proposes</w:t>
      </w:r>
      <w:r w:rsidR="00676990">
        <w:rPr>
          <w:sz w:val="22"/>
          <w:szCs w:val="24"/>
        </w:rPr>
        <w:t xml:space="preserve"> to use</w:t>
      </w:r>
      <w:r>
        <w:rPr>
          <w:sz w:val="22"/>
          <w:szCs w:val="24"/>
        </w:rPr>
        <w:t xml:space="preserve"> the following WHO definition of a health intervention:</w:t>
      </w:r>
    </w:p>
    <w:p w:rsidR="00781C58" w:rsidRDefault="00DB052C" w:rsidP="00DB052C">
      <w:r>
        <w:t>“</w:t>
      </w:r>
      <w:r w:rsidR="00781C58">
        <w:t>A health intervention is an act performed for, with or on behalf of a person or population whose purpose is to assess, improve, maintain, promote or modify health, functioning or health conditions.</w:t>
      </w:r>
      <w:r w:rsidR="00781C58" w:rsidRPr="00DB052C">
        <w:rPr>
          <w:vertAlign w:val="superscript"/>
        </w:rPr>
        <w:footnoteReference w:id="12"/>
      </w:r>
      <w:r>
        <w:t>”</w:t>
      </w:r>
    </w:p>
    <w:p w:rsidR="002F2949" w:rsidRPr="0032404C" w:rsidRDefault="002F2949" w:rsidP="00222799">
      <w:pPr>
        <w:pStyle w:val="Heading3"/>
        <w:numPr>
          <w:ilvl w:val="2"/>
          <w:numId w:val="71"/>
        </w:numPr>
      </w:pPr>
      <w:bookmarkStart w:id="52" w:name="_Toc494105981"/>
      <w:r w:rsidRPr="0032404C">
        <w:lastRenderedPageBreak/>
        <w:t xml:space="preserve">Principles for determining initial </w:t>
      </w:r>
      <w:r w:rsidR="005F38D0">
        <w:t>presenting problem/</w:t>
      </w:r>
      <w:r w:rsidRPr="0032404C">
        <w:t>diagnosis</w:t>
      </w:r>
      <w:r w:rsidR="005F38D0">
        <w:t>-type</w:t>
      </w:r>
      <w:r w:rsidRPr="0032404C">
        <w:t xml:space="preserve"> and intervention</w:t>
      </w:r>
      <w:r w:rsidR="005F38D0">
        <w:t>-type</w:t>
      </w:r>
      <w:r w:rsidRPr="0032404C">
        <w:t xml:space="preserve"> groups</w:t>
      </w:r>
      <w:bookmarkEnd w:id="52"/>
    </w:p>
    <w:p w:rsidR="00933853" w:rsidRDefault="00676990" w:rsidP="00B1296F">
      <w:r>
        <w:t>Jurisdictions have expressed that they currently do not collect diagnosis-type and intervention-type variables</w:t>
      </w:r>
      <w:r w:rsidR="00795C9D">
        <w:t xml:space="preserve"> in outpatient settings</w:t>
      </w:r>
      <w:r>
        <w:t xml:space="preserve">. The </w:t>
      </w:r>
      <w:r w:rsidR="00795C9D">
        <w:t xml:space="preserve">scope of the </w:t>
      </w:r>
      <w:r>
        <w:t xml:space="preserve">ANACC </w:t>
      </w:r>
      <w:r w:rsidR="00795C9D">
        <w:t xml:space="preserve">data collection </w:t>
      </w:r>
      <w:r>
        <w:t xml:space="preserve">will need </w:t>
      </w:r>
      <w:r w:rsidR="00795C9D">
        <w:t>consider</w:t>
      </w:r>
      <w:r>
        <w:t xml:space="preserve"> collecting and reporting capabilities around the country. The initial variables </w:t>
      </w:r>
      <w:r w:rsidR="00795C9D">
        <w:t xml:space="preserve">in the ANACC </w:t>
      </w:r>
      <w:r>
        <w:t xml:space="preserve">will be in the form of a shortlist of </w:t>
      </w:r>
      <w:r w:rsidR="00D80BC3">
        <w:t xml:space="preserve">patient-level </w:t>
      </w:r>
      <w:r w:rsidR="005F38D0">
        <w:t>presenting problem/</w:t>
      </w:r>
      <w:r>
        <w:t xml:space="preserve">diagnosis-type and intervention-type </w:t>
      </w:r>
      <w:r w:rsidR="00D80BC3">
        <w:t xml:space="preserve">grouping </w:t>
      </w:r>
      <w:r>
        <w:t>variables</w:t>
      </w:r>
      <w:r w:rsidR="00ED580A">
        <w:t xml:space="preserve"> to allow for a smooth transition in the first years</w:t>
      </w:r>
      <w:r w:rsidR="008C520A">
        <w:t>.</w:t>
      </w:r>
    </w:p>
    <w:p w:rsidR="00ED580A" w:rsidRDefault="00ED580A" w:rsidP="00B1296F">
      <w:r>
        <w:t>Over time, the list will be refined to a more detailed collection of data. Jurisdictions will therefore have a significant implementation period to adapt and transition their respective patient administration systems onto a more granular reporting system depending on their capabilities.</w:t>
      </w:r>
    </w:p>
    <w:p w:rsidR="00B1296F" w:rsidRDefault="00B1296F" w:rsidP="00B1296F">
      <w:pPr>
        <w:rPr>
          <w:rFonts w:cs="Arial"/>
          <w:szCs w:val="22"/>
        </w:rPr>
      </w:pPr>
      <w:r w:rsidRPr="00CA7854">
        <w:t xml:space="preserve">An initial list of proposed groupings for the ANACC system is at Appendix A. The list has been largely informed by the </w:t>
      </w:r>
      <w:r w:rsidR="008C520A">
        <w:t xml:space="preserve">structures used in </w:t>
      </w:r>
      <w:r w:rsidRPr="00CA7854">
        <w:t xml:space="preserve">major categories and subdivisions within the Australian Refined – Diagnosis </w:t>
      </w:r>
      <w:r w:rsidR="00597619">
        <w:t>R</w:t>
      </w:r>
      <w:r w:rsidRPr="00CA7854">
        <w:t xml:space="preserve">elated Groups Classification (AR-DRG), Version 8.0, where the major breakdown is based on a body system or aetiology associated with a particular clinical specialty, for example, Diseases and Disorders of the Kidney and Urinary Tract or Pregnancy, Childbirth and the Puerperium. The ANACC draft groupings loosely follow the subdivisions within the medical partition as they are based on diagnosis. </w:t>
      </w:r>
      <w:r w:rsidR="00765B08" w:rsidRPr="00CB4A7A">
        <w:rPr>
          <w:rFonts w:cs="Arial"/>
          <w:bCs/>
          <w:szCs w:val="22"/>
        </w:rPr>
        <w:t>The objective</w:t>
      </w:r>
      <w:r w:rsidR="00765B08">
        <w:rPr>
          <w:rFonts w:cs="Arial"/>
          <w:bCs/>
          <w:szCs w:val="22"/>
        </w:rPr>
        <w:t xml:space="preserve"> was to create a set of groups which were </w:t>
      </w:r>
      <w:r w:rsidR="00765B08" w:rsidRPr="00CB4A7A">
        <w:rPr>
          <w:rFonts w:cs="Arial"/>
          <w:bCs/>
          <w:szCs w:val="22"/>
        </w:rPr>
        <w:t>comprehensive and meaningful</w:t>
      </w:r>
      <w:r w:rsidR="00765B08">
        <w:rPr>
          <w:rFonts w:cs="Arial"/>
          <w:bCs/>
          <w:szCs w:val="22"/>
        </w:rPr>
        <w:t>,</w:t>
      </w:r>
      <w:r w:rsidR="00765B08" w:rsidRPr="00CB4A7A">
        <w:rPr>
          <w:rFonts w:cs="Arial"/>
          <w:bCs/>
          <w:szCs w:val="22"/>
        </w:rPr>
        <w:t xml:space="preserve"> yet</w:t>
      </w:r>
      <w:r w:rsidR="00765B08" w:rsidRPr="00CB4A7A">
        <w:rPr>
          <w:rFonts w:cs="Arial"/>
          <w:szCs w:val="22"/>
        </w:rPr>
        <w:t xml:space="preserve"> manageable in size to facilitate the collection and reporting of patient da</w:t>
      </w:r>
      <w:r w:rsidR="00765B08">
        <w:rPr>
          <w:rFonts w:cs="Arial"/>
          <w:szCs w:val="22"/>
        </w:rPr>
        <w:t>ta in the non-admitted setting</w:t>
      </w:r>
      <w:r w:rsidR="00F412E7">
        <w:rPr>
          <w:rFonts w:cs="Arial"/>
          <w:szCs w:val="22"/>
        </w:rPr>
        <w:t>.</w:t>
      </w:r>
    </w:p>
    <w:p w:rsidR="005F38D0" w:rsidRDefault="005F38D0" w:rsidP="00B1296F">
      <w:r>
        <w:t>IHPA is seeking views from clinical and non-admitted care stakeholders as to whether the proposed initial list of groupings adequately reflect all presenting problems that may be encountered in the non-admitted care sector.</w:t>
      </w:r>
    </w:p>
    <w:p w:rsidR="00765B08" w:rsidRPr="00CB4A7A" w:rsidRDefault="00765B08" w:rsidP="00765B08">
      <w:pPr>
        <w:rPr>
          <w:rFonts w:cs="Arial"/>
          <w:szCs w:val="22"/>
        </w:rPr>
      </w:pPr>
      <w:r w:rsidRPr="00CB4A7A">
        <w:rPr>
          <w:rFonts w:cs="Arial"/>
          <w:szCs w:val="22"/>
        </w:rPr>
        <w:t>In consultation with IHPA’s clinical advisors</w:t>
      </w:r>
      <w:r>
        <w:rPr>
          <w:rFonts w:cs="Arial"/>
          <w:szCs w:val="22"/>
        </w:rPr>
        <w:t>,</w:t>
      </w:r>
      <w:r w:rsidRPr="00CB4A7A">
        <w:rPr>
          <w:rFonts w:cs="Arial"/>
          <w:szCs w:val="22"/>
        </w:rPr>
        <w:t xml:space="preserve"> the following specific principle</w:t>
      </w:r>
      <w:r>
        <w:rPr>
          <w:rFonts w:cs="Arial"/>
          <w:szCs w:val="22"/>
        </w:rPr>
        <w:t>s</w:t>
      </w:r>
      <w:r w:rsidRPr="00CB4A7A">
        <w:rPr>
          <w:rFonts w:cs="Arial"/>
          <w:szCs w:val="22"/>
        </w:rPr>
        <w:t xml:space="preserve"> </w:t>
      </w:r>
      <w:r>
        <w:rPr>
          <w:rFonts w:cs="Arial"/>
          <w:szCs w:val="22"/>
        </w:rPr>
        <w:t>were</w:t>
      </w:r>
      <w:r w:rsidRPr="00CB4A7A">
        <w:rPr>
          <w:rFonts w:cs="Arial"/>
          <w:szCs w:val="22"/>
        </w:rPr>
        <w:t xml:space="preserve"> followed</w:t>
      </w:r>
      <w:r>
        <w:rPr>
          <w:rFonts w:cs="Arial"/>
          <w:szCs w:val="22"/>
        </w:rPr>
        <w:t xml:space="preserve"> with regards to the </w:t>
      </w:r>
      <w:r w:rsidR="005F38D0">
        <w:rPr>
          <w:rFonts w:cs="Arial"/>
          <w:szCs w:val="22"/>
        </w:rPr>
        <w:t>presenting problem/</w:t>
      </w:r>
      <w:r>
        <w:rPr>
          <w:rFonts w:cs="Arial"/>
          <w:szCs w:val="22"/>
        </w:rPr>
        <w:t>diagnosis</w:t>
      </w:r>
      <w:r w:rsidR="005F38D0">
        <w:rPr>
          <w:rFonts w:cs="Arial"/>
          <w:szCs w:val="22"/>
        </w:rPr>
        <w:t>-type</w:t>
      </w:r>
      <w:r>
        <w:rPr>
          <w:rFonts w:cs="Arial"/>
          <w:szCs w:val="22"/>
        </w:rPr>
        <w:t xml:space="preserve"> groups</w:t>
      </w:r>
      <w:r w:rsidRPr="00CB4A7A">
        <w:rPr>
          <w:rFonts w:cs="Arial"/>
          <w:szCs w:val="22"/>
        </w:rPr>
        <w:t>:</w:t>
      </w:r>
    </w:p>
    <w:p w:rsidR="00765B08" w:rsidRPr="008130D3" w:rsidRDefault="00765B08" w:rsidP="009768EE">
      <w:pPr>
        <w:pStyle w:val="ListParagraph"/>
        <w:numPr>
          <w:ilvl w:val="0"/>
          <w:numId w:val="6"/>
        </w:numPr>
        <w:spacing w:before="0"/>
        <w:ind w:left="714" w:hanging="357"/>
      </w:pPr>
      <w:r w:rsidRPr="000A04D3">
        <w:t>Trauma or neoplasms specific to an o</w:t>
      </w:r>
      <w:r w:rsidRPr="008130D3">
        <w:t>rgan (e.g. eye), were retained in specific body system (specialty based) groups, while those not specific to an organ, were generally assigned to more generic groupings.</w:t>
      </w:r>
    </w:p>
    <w:p w:rsidR="00765B08" w:rsidRPr="008130D3" w:rsidRDefault="00765B08" w:rsidP="009768EE">
      <w:pPr>
        <w:pStyle w:val="ListParagraph"/>
        <w:numPr>
          <w:ilvl w:val="0"/>
          <w:numId w:val="6"/>
        </w:numPr>
        <w:spacing w:before="0"/>
        <w:ind w:left="714" w:hanging="357"/>
      </w:pPr>
      <w:r w:rsidRPr="008130D3">
        <w:t>Similarly, organ specific autoimmune diseases were grouped to body system (specialty based) groups while systemic autoimmune diseases were generally grouped to the more generic ‘autoimmune diseases’ group.</w:t>
      </w:r>
    </w:p>
    <w:p w:rsidR="00222799" w:rsidRDefault="00B1296F" w:rsidP="00597619">
      <w:r w:rsidRPr="00CA7854">
        <w:t>Interventions were informed by procedures currently specified within the 10 series of the Tier 2 Non-Admitted Services classification, procedures within ADRGs noted in the National Efficient Price Determination to have significant number of same-day episodes, advice from IHPA’s clinical advisors and anecdotal evidence of procedures able to be performed routinely within the non-admitted setting.</w:t>
      </w:r>
    </w:p>
    <w:p w:rsidR="00597619" w:rsidRPr="0032404C" w:rsidRDefault="00597619" w:rsidP="00597619">
      <w:r>
        <w:t xml:space="preserve">The proposed initial </w:t>
      </w:r>
      <w:r w:rsidR="005F38D0">
        <w:t>presenting problem/</w:t>
      </w:r>
      <w:r>
        <w:t>diagnosis</w:t>
      </w:r>
      <w:r w:rsidR="005F38D0">
        <w:t>-type</w:t>
      </w:r>
      <w:r>
        <w:t xml:space="preserve"> and intervention groups were further refined based on input from the Clinical Advisor and the Specialist Non-Admitted Advisor on the ANACC project.</w:t>
      </w:r>
    </w:p>
    <w:p w:rsidR="003C2734" w:rsidRPr="0032404C" w:rsidRDefault="003C2734" w:rsidP="009768EE">
      <w:pPr>
        <w:pStyle w:val="Heading2"/>
        <w:numPr>
          <w:ilvl w:val="1"/>
          <w:numId w:val="71"/>
        </w:numPr>
        <w:spacing w:before="240"/>
        <w:ind w:left="1094" w:hanging="737"/>
      </w:pPr>
      <w:bookmarkStart w:id="53" w:name="_Toc494105982"/>
      <w:r w:rsidRPr="0032404C">
        <w:t>Complexity variables</w:t>
      </w:r>
      <w:bookmarkEnd w:id="53"/>
    </w:p>
    <w:p w:rsidR="007B70DA" w:rsidRPr="007B70DA" w:rsidRDefault="007B70DA" w:rsidP="007B70DA">
      <w:r w:rsidRPr="007B70DA">
        <w:t>Jurisdictions</w:t>
      </w:r>
      <w:r w:rsidR="009B2D9E">
        <w:t xml:space="preserve"> and other relevant non-admitted care stakeholders</w:t>
      </w:r>
      <w:r w:rsidRPr="007B70DA">
        <w:t xml:space="preserve"> have broadly welcomed the opportunities that a new classification would provide to better describe patient complexity and more accurately reflect the costs of non-admitted care, with peak bodies arguing that improved recognition of multi-disciplinary care is important. There has been strong support amongst clinicians for a classification which has a broader scope than IHPA’s pricing remit and captures the whole patient journey.</w:t>
      </w:r>
    </w:p>
    <w:p w:rsidR="007B70DA" w:rsidRDefault="008C520A" w:rsidP="007B70DA">
      <w:r>
        <w:lastRenderedPageBreak/>
        <w:t xml:space="preserve">A </w:t>
      </w:r>
      <w:r w:rsidR="007B70DA" w:rsidRPr="007B70DA">
        <w:t xml:space="preserve">consistent view </w:t>
      </w:r>
      <w:r>
        <w:t xml:space="preserve">is </w:t>
      </w:r>
      <w:r w:rsidR="007B70DA" w:rsidRPr="007B70DA">
        <w:t>that the long-term non-admitted care classification needs to account for the increasing complexity of patients seen in the non-admitted setting, particularly patients with chronic conditions, multiple comorbidities and complex psychosocial si</w:t>
      </w:r>
      <w:r w:rsidR="00D74EF9">
        <w:t>tuations, with many patients</w:t>
      </w:r>
      <w:r w:rsidR="007B70DA" w:rsidRPr="007B70DA">
        <w:t xml:space="preserve"> receiving intensive multidisciplinary management from a number of health care providers. In addition</w:t>
      </w:r>
      <w:r w:rsidR="00D74EF9">
        <w:t>,</w:t>
      </w:r>
      <w:r w:rsidR="007B70DA" w:rsidRPr="007B70DA">
        <w:t xml:space="preserve"> a range of stakeholders </w:t>
      </w:r>
      <w:r>
        <w:t>contend</w:t>
      </w:r>
      <w:r w:rsidR="007B70DA" w:rsidRPr="007B70DA">
        <w:t xml:space="preserve"> that the new classification needs to be flexible to account for and adapt to newer models of care and technology, and encourage the delivery of integrated care between health care settings, in particular between the admitted and non-admitted settings</w:t>
      </w:r>
      <w:r>
        <w:t>,</w:t>
      </w:r>
      <w:r w:rsidR="005F4C49">
        <w:t xml:space="preserve"> </w:t>
      </w:r>
      <w:r w:rsidR="007B70DA" w:rsidRPr="007B70DA">
        <w:t>with consideration of integration of care provided by primary care providers.</w:t>
      </w:r>
    </w:p>
    <w:p w:rsidR="00301016" w:rsidRDefault="00256474" w:rsidP="00256474">
      <w:pPr>
        <w:ind w:right="-171"/>
        <w:rPr>
          <w:rFonts w:eastAsia="Arial"/>
          <w:lang w:eastAsia="en-US"/>
        </w:rPr>
      </w:pPr>
      <w:r>
        <w:t xml:space="preserve">Better identifying complexity in the non-admitted sector will also support the current program of work on safety and quality with the </w:t>
      </w:r>
      <w:r w:rsidR="00301016">
        <w:rPr>
          <w:rFonts w:eastAsia="Arial"/>
          <w:lang w:eastAsia="en-US"/>
        </w:rPr>
        <w:t xml:space="preserve">implementation of a pricing approach for </w:t>
      </w:r>
      <w:r w:rsidR="00301016" w:rsidRPr="00515F1A">
        <w:rPr>
          <w:rFonts w:eastAsia="Arial"/>
          <w:lang w:eastAsia="en-US"/>
        </w:rPr>
        <w:t>hospita</w:t>
      </w:r>
      <w:r w:rsidR="00301016">
        <w:rPr>
          <w:rFonts w:eastAsia="Arial"/>
          <w:lang w:eastAsia="en-US"/>
        </w:rPr>
        <w:t>l acquired complications</w:t>
      </w:r>
      <w:r>
        <w:rPr>
          <w:rFonts w:eastAsia="Arial"/>
          <w:lang w:eastAsia="en-US"/>
        </w:rPr>
        <w:t xml:space="preserve"> from 1 July 2018 (further detailed in the </w:t>
      </w:r>
      <w:r w:rsidRPr="00151EBD">
        <w:rPr>
          <w:i/>
        </w:rPr>
        <w:t>Pricing Frame</w:t>
      </w:r>
      <w:r>
        <w:rPr>
          <w:i/>
        </w:rPr>
        <w:t>work Consultation Paper 2018-19</w:t>
      </w:r>
      <w:r w:rsidRPr="00256474">
        <w:t>).</w:t>
      </w:r>
    </w:p>
    <w:p w:rsidR="001E4C63" w:rsidRDefault="001E4C63" w:rsidP="001E4C63">
      <w:r>
        <w:t xml:space="preserve">The complexity variables </w:t>
      </w:r>
      <w:r w:rsidR="000953EE">
        <w:t xml:space="preserve">to be included in the first version of the ANACC system </w:t>
      </w:r>
      <w:r>
        <w:t>may include:</w:t>
      </w:r>
    </w:p>
    <w:p w:rsidR="001E4C63" w:rsidRDefault="001E4C63" w:rsidP="00A360CE">
      <w:pPr>
        <w:pStyle w:val="ListParagraph"/>
        <w:numPr>
          <w:ilvl w:val="0"/>
          <w:numId w:val="7"/>
        </w:numPr>
      </w:pPr>
      <w:r>
        <w:t>Age</w:t>
      </w:r>
    </w:p>
    <w:p w:rsidR="004538DA" w:rsidRDefault="004538DA" w:rsidP="00FB28F4">
      <w:pPr>
        <w:ind w:left="360"/>
      </w:pPr>
      <w:r>
        <w:t>Age can be defined as the number of years a person has lived. Age is an essential variable in a wide range of social, labour, and demographic statistics</w:t>
      </w:r>
      <w:r w:rsidR="00CE1146">
        <w:t>.</w:t>
      </w:r>
      <w:r>
        <w:rPr>
          <w:rStyle w:val="FootnoteReference"/>
        </w:rPr>
        <w:footnoteReference w:id="13"/>
      </w:r>
      <w:r w:rsidR="00CE1146">
        <w:t xml:space="preserve"> </w:t>
      </w:r>
      <w:r>
        <w:t>While age alone did not appear to be a driving factor for resource consumption in the non-admitted setting, there were important cost discrepancies with age in the interaction with other patient profiles (e.g.</w:t>
      </w:r>
      <w:r w:rsidR="00974539">
        <w:t> </w:t>
      </w:r>
      <w:r>
        <w:t xml:space="preserve">paediatric and adult). </w:t>
      </w:r>
      <w:r w:rsidR="00D84E3E">
        <w:t xml:space="preserve">Moreover, age is commonly collected in patient administration systems, medical records, and digital wearable technologies. </w:t>
      </w:r>
      <w:r>
        <w:t>Therefore, age may be a classification variable for some diagnoses or classes.</w:t>
      </w:r>
      <w:r w:rsidR="00F23EBD">
        <w:t xml:space="preserve"> </w:t>
      </w:r>
    </w:p>
    <w:p w:rsidR="001E4C63" w:rsidRDefault="001E4C63" w:rsidP="00A360CE">
      <w:pPr>
        <w:pStyle w:val="ListParagraph"/>
        <w:numPr>
          <w:ilvl w:val="0"/>
          <w:numId w:val="7"/>
        </w:numPr>
      </w:pPr>
      <w:r>
        <w:t>Comorbidities</w:t>
      </w:r>
    </w:p>
    <w:p w:rsidR="004538DA" w:rsidRDefault="009852FB" w:rsidP="00FB28F4">
      <w:pPr>
        <w:ind w:left="360"/>
      </w:pPr>
      <w:r>
        <w:t>Comorbidity</w:t>
      </w:r>
      <w:r w:rsidR="004538DA">
        <w:t xml:space="preserve"> is the presence of one or more diseases or disorders concurrent with a primary disease or </w:t>
      </w:r>
      <w:r w:rsidR="00CE1146">
        <w:t>disorder. There</w:t>
      </w:r>
      <w:r w:rsidR="004538DA">
        <w:t xml:space="preserve"> is significant evidence in the literature that demand for treatment provision increases with comorbid patient groups</w:t>
      </w:r>
      <w:r w:rsidR="00CE1146">
        <w:t>.</w:t>
      </w:r>
      <w:r w:rsidR="00CE1146">
        <w:rPr>
          <w:rStyle w:val="FootnoteReference"/>
        </w:rPr>
        <w:footnoteReference w:id="14"/>
      </w:r>
      <w:r w:rsidR="004538DA">
        <w:t xml:space="preserve"> Patients with chronic conditions, multiple comorbidities, and complex psychosocial situations are likely to return for multiple visits for the same diagnosis.</w:t>
      </w:r>
      <w:r w:rsidR="008F5FCC">
        <w:t xml:space="preserve"> </w:t>
      </w:r>
      <w:r w:rsidR="002D551D">
        <w:t>As digital health care applications are increasingly used in</w:t>
      </w:r>
      <w:r w:rsidR="002D551D" w:rsidRPr="00B367BB">
        <w:rPr>
          <w:szCs w:val="22"/>
        </w:rPr>
        <w:t xml:space="preserve"> chronic disease management, preventative care, rehabilitation, and geriatric care,</w:t>
      </w:r>
      <w:r w:rsidR="00D84E3E">
        <w:rPr>
          <w:szCs w:val="22"/>
        </w:rPr>
        <w:t xml:space="preserve"> the presence of comorbidities should be identified in the future ANACC system</w:t>
      </w:r>
      <w:r w:rsidR="00A360CE">
        <w:rPr>
          <w:szCs w:val="22"/>
        </w:rPr>
        <w:t>.</w:t>
      </w:r>
    </w:p>
    <w:p w:rsidR="001E4C63" w:rsidRDefault="001E4C63" w:rsidP="00A360CE">
      <w:pPr>
        <w:pStyle w:val="ListParagraph"/>
        <w:numPr>
          <w:ilvl w:val="0"/>
          <w:numId w:val="7"/>
        </w:numPr>
      </w:pPr>
      <w:r>
        <w:t>Multidisciplinary</w:t>
      </w:r>
    </w:p>
    <w:p w:rsidR="004538DA" w:rsidRDefault="004538DA" w:rsidP="00FB28F4">
      <w:pPr>
        <w:ind w:left="360"/>
      </w:pPr>
      <w:r w:rsidRPr="00AA2924">
        <w:t>Multidisciplinary care occurs when professionals from a range of disciplines with different but complementary skills, knowledge and experience work together to deliver comprehensive healthcare aimed at providing the best possible outcome for the physical and psychosocial needs of a patient and their carers</w:t>
      </w:r>
      <w:r w:rsidR="009852FB">
        <w:t>.</w:t>
      </w:r>
      <w:r w:rsidR="009852FB">
        <w:rPr>
          <w:rStyle w:val="FootnoteReference"/>
        </w:rPr>
        <w:footnoteReference w:id="15"/>
      </w:r>
      <w:r>
        <w:t xml:space="preserve"> Multidisciplinary services may be a combination of medical, nursing, and allied health services</w:t>
      </w:r>
      <w:r w:rsidR="008F5FCC">
        <w:t xml:space="preserve">. Furthermore, </w:t>
      </w:r>
      <w:r>
        <w:t>there is a clear trend between resource consumption and a service e</w:t>
      </w:r>
      <w:r w:rsidR="008F5FCC">
        <w:t xml:space="preserve">vent’s multidisciplinary status. These services </w:t>
      </w:r>
      <w:r w:rsidR="008F5FCC" w:rsidRPr="008F5FCC">
        <w:t>are an important, and rapidly developing, feature of eviden</w:t>
      </w:r>
      <w:r w:rsidR="008F5FCC">
        <w:t xml:space="preserve">ce-based care and treatment, and will be required </w:t>
      </w:r>
      <w:r w:rsidR="005F11EB">
        <w:t>in the ANACC system.</w:t>
      </w:r>
      <w:r w:rsidR="008F5FCC">
        <w:t xml:space="preserve"> </w:t>
      </w:r>
    </w:p>
    <w:p w:rsidR="001E4C63" w:rsidRDefault="001E4C63" w:rsidP="00974539">
      <w:pPr>
        <w:pStyle w:val="ListParagraph"/>
        <w:keepNext/>
        <w:numPr>
          <w:ilvl w:val="0"/>
          <w:numId w:val="7"/>
        </w:numPr>
        <w:ind w:left="714" w:hanging="357"/>
      </w:pPr>
      <w:r>
        <w:lastRenderedPageBreak/>
        <w:t>New/repeat visit</w:t>
      </w:r>
    </w:p>
    <w:p w:rsidR="004538DA" w:rsidRDefault="004538DA" w:rsidP="00FB28F4">
      <w:pPr>
        <w:ind w:left="360"/>
      </w:pPr>
      <w:r>
        <w:t>A new visit is the initial presentation of a patient at a health service, and a repeat visit is subsequent visit at the same health service.</w:t>
      </w:r>
      <w:r w:rsidR="00C77410">
        <w:t xml:space="preserve"> Jurisdictions have been supportive of the inclusion of a new/repeat visit variable. </w:t>
      </w:r>
      <w:r>
        <w:t>In the data analysis conducted by IHPA (refer to section 5.2), the median cost of a new visit was slightly higher than a repeat visit</w:t>
      </w:r>
      <w:r w:rsidR="00D84E3E">
        <w:t>.</w:t>
      </w:r>
    </w:p>
    <w:p w:rsidR="001E4C63" w:rsidRDefault="001E4C63" w:rsidP="00A360CE">
      <w:pPr>
        <w:pStyle w:val="ListParagraph"/>
        <w:numPr>
          <w:ilvl w:val="0"/>
          <w:numId w:val="7"/>
        </w:numPr>
      </w:pPr>
      <w:r>
        <w:t>Providers</w:t>
      </w:r>
    </w:p>
    <w:p w:rsidR="004538DA" w:rsidRDefault="004538DA" w:rsidP="00FB28F4">
      <w:pPr>
        <w:ind w:left="360"/>
      </w:pPr>
      <w:r>
        <w:t>A health care provider is responsible for providing treatment to patients in a health service. For specific health care providers, there is a high correlation to corresponding diagnoses. This trend illustrates that in certain areas of care the patient’s diagnosis reflects the services received and therefore is a viable option to indicate complexity.</w:t>
      </w:r>
    </w:p>
    <w:p w:rsidR="0074327F" w:rsidRDefault="0074327F" w:rsidP="0074327F">
      <w:pPr>
        <w:pStyle w:val="Heading3"/>
      </w:pPr>
      <w:bookmarkStart w:id="54" w:name="_Toc494105983"/>
      <w:r>
        <w:t>Consultation questions</w:t>
      </w:r>
      <w:bookmarkEnd w:id="54"/>
    </w:p>
    <w:p w:rsidR="005D2F77" w:rsidRDefault="00451704" w:rsidP="00256474">
      <w:pPr>
        <w:pStyle w:val="ListParagraph"/>
        <w:numPr>
          <w:ilvl w:val="0"/>
          <w:numId w:val="72"/>
        </w:numPr>
        <w:pBdr>
          <w:top w:val="single" w:sz="18" w:space="1" w:color="008A00"/>
          <w:left w:val="single" w:sz="18" w:space="4" w:color="008A00"/>
          <w:bottom w:val="single" w:sz="18" w:space="1" w:color="008A00"/>
          <w:right w:val="single" w:sz="18" w:space="4" w:color="008A00"/>
        </w:pBdr>
        <w:spacing w:before="240" w:after="240" w:line="276" w:lineRule="auto"/>
      </w:pPr>
      <w:r>
        <w:t>Non-admitted patients often present with multiple comorbidities, and may be treated under a chronic disease management model. Should the future ANACC system have a separate path for classifying chronic disease patients?</w:t>
      </w:r>
    </w:p>
    <w:p w:rsidR="00105E75" w:rsidRDefault="000A60F9" w:rsidP="00451704">
      <w:pPr>
        <w:pStyle w:val="ListParagraph"/>
        <w:numPr>
          <w:ilvl w:val="0"/>
          <w:numId w:val="72"/>
        </w:numPr>
        <w:pBdr>
          <w:top w:val="single" w:sz="18" w:space="1" w:color="008A00"/>
          <w:left w:val="single" w:sz="18" w:space="4" w:color="008A00"/>
          <w:bottom w:val="single" w:sz="18" w:space="1" w:color="008A00"/>
          <w:right w:val="single" w:sz="18" w:space="4" w:color="008A00"/>
        </w:pBdr>
        <w:spacing w:before="240" w:after="240" w:line="276" w:lineRule="auto"/>
      </w:pPr>
      <w:r>
        <w:t xml:space="preserve">What implementation timeframe is required for jurisdictions to transition </w:t>
      </w:r>
      <w:r w:rsidR="004D56D9">
        <w:t xml:space="preserve">to </w:t>
      </w:r>
      <w:r>
        <w:t xml:space="preserve">a </w:t>
      </w:r>
      <w:r w:rsidR="00105E75">
        <w:br/>
      </w:r>
      <w:r>
        <w:t>patient-based non-admitted care classification system?</w:t>
      </w:r>
    </w:p>
    <w:p w:rsidR="00E967BC" w:rsidRDefault="00105E75" w:rsidP="00451704">
      <w:pPr>
        <w:pStyle w:val="ListParagraph"/>
        <w:numPr>
          <w:ilvl w:val="0"/>
          <w:numId w:val="72"/>
        </w:numPr>
        <w:pBdr>
          <w:top w:val="single" w:sz="18" w:space="1" w:color="008A00"/>
          <w:left w:val="single" w:sz="18" w:space="4" w:color="008A00"/>
          <w:bottom w:val="single" w:sz="18" w:space="1" w:color="008A00"/>
          <w:right w:val="single" w:sz="18" w:space="4" w:color="008A00"/>
        </w:pBdr>
        <w:spacing w:before="240" w:after="240" w:line="276" w:lineRule="auto"/>
      </w:pPr>
      <w:r>
        <w:t xml:space="preserve">What considerations should be made in relation to including a </w:t>
      </w:r>
      <w:r w:rsidR="00F549B6">
        <w:t xml:space="preserve">diagnosis-type variable </w:t>
      </w:r>
      <w:r>
        <w:t>in</w:t>
      </w:r>
      <w:r w:rsidR="00F549B6">
        <w:t xml:space="preserve"> the future ANACC system? </w:t>
      </w:r>
    </w:p>
    <w:p w:rsidR="00F549B6" w:rsidRDefault="00E967BC" w:rsidP="00451704">
      <w:pPr>
        <w:pStyle w:val="ListParagraph"/>
        <w:numPr>
          <w:ilvl w:val="0"/>
          <w:numId w:val="72"/>
        </w:numPr>
        <w:pBdr>
          <w:top w:val="single" w:sz="18" w:space="1" w:color="008A00"/>
          <w:left w:val="single" w:sz="18" w:space="4" w:color="008A00"/>
          <w:bottom w:val="single" w:sz="18" w:space="1" w:color="008A00"/>
          <w:right w:val="single" w:sz="18" w:space="4" w:color="008A00"/>
        </w:pBdr>
        <w:spacing w:before="240" w:after="240" w:line="276" w:lineRule="auto"/>
      </w:pPr>
      <w:r>
        <w:t xml:space="preserve">Should presenting problem be used as the diagnosis type variable? </w:t>
      </w:r>
      <w:r w:rsidR="00F549B6">
        <w:t>If yes, do you agree with the proposed definition of ‘presenting problem’?</w:t>
      </w:r>
    </w:p>
    <w:p w:rsidR="009B2D9E" w:rsidRDefault="00A957B7" w:rsidP="00451704">
      <w:pPr>
        <w:pStyle w:val="ListParagraph"/>
        <w:numPr>
          <w:ilvl w:val="0"/>
          <w:numId w:val="72"/>
        </w:numPr>
        <w:pBdr>
          <w:top w:val="single" w:sz="18" w:space="1" w:color="008A00"/>
          <w:left w:val="single" w:sz="18" w:space="4" w:color="008A00"/>
          <w:bottom w:val="single" w:sz="18" w:space="1" w:color="008A00"/>
          <w:right w:val="single" w:sz="18" w:space="4" w:color="008A00"/>
        </w:pBdr>
        <w:spacing w:before="240" w:after="240" w:line="276" w:lineRule="auto"/>
      </w:pPr>
      <w:r>
        <w:t>What are your views on</w:t>
      </w:r>
      <w:r w:rsidR="009B2D9E" w:rsidRPr="00D445D0">
        <w:t xml:space="preserve"> the </w:t>
      </w:r>
      <w:r>
        <w:t xml:space="preserve">proposed </w:t>
      </w:r>
      <w:r w:rsidR="009B2D9E" w:rsidRPr="00D445D0">
        <w:t xml:space="preserve">list of initial </w:t>
      </w:r>
      <w:r w:rsidR="005F38D0">
        <w:t>presenting problem/</w:t>
      </w:r>
      <w:r w:rsidR="009B2D9E" w:rsidRPr="00D445D0">
        <w:t>diagnosis</w:t>
      </w:r>
      <w:r w:rsidR="005F38D0">
        <w:t>-type</w:t>
      </w:r>
      <w:r w:rsidR="009B2D9E" w:rsidRPr="00D445D0">
        <w:t xml:space="preserve"> and intervention</w:t>
      </w:r>
      <w:r w:rsidR="005F38D0">
        <w:t>-type</w:t>
      </w:r>
      <w:r w:rsidR="009B2D9E" w:rsidRPr="00D445D0">
        <w:t xml:space="preserve"> groups presented at Appendix A?</w:t>
      </w:r>
      <w:r w:rsidR="005F3F61">
        <w:t xml:space="preserve"> What refinements should be considered?</w:t>
      </w:r>
    </w:p>
    <w:p w:rsidR="009B2D9E" w:rsidRPr="00D445D0" w:rsidDel="00122840" w:rsidRDefault="00505AB5" w:rsidP="00451704">
      <w:pPr>
        <w:pStyle w:val="ListParagraph"/>
        <w:numPr>
          <w:ilvl w:val="0"/>
          <w:numId w:val="72"/>
        </w:numPr>
        <w:pBdr>
          <w:top w:val="single" w:sz="18" w:space="1" w:color="008A00"/>
          <w:left w:val="single" w:sz="18" w:space="4" w:color="008A00"/>
          <w:bottom w:val="single" w:sz="18" w:space="1" w:color="008A00"/>
          <w:right w:val="single" w:sz="18" w:space="4" w:color="008A00"/>
        </w:pBdr>
        <w:spacing w:before="240" w:after="240" w:line="276" w:lineRule="auto"/>
      </w:pPr>
      <w:r>
        <w:t xml:space="preserve">Do you agree with the list of complexity variables presented in Section 5.3? </w:t>
      </w:r>
      <w:r w:rsidR="00014AC4">
        <w:t>What</w:t>
      </w:r>
      <w:r w:rsidR="000A60F9">
        <w:t xml:space="preserve"> other variables should be consider</w:t>
      </w:r>
      <w:r w:rsidR="00014AC4">
        <w:t>ed</w:t>
      </w:r>
      <w:r w:rsidR="000A60F9">
        <w:t xml:space="preserve"> for the new ANACC system?</w:t>
      </w:r>
    </w:p>
    <w:p w:rsidR="00A777EE" w:rsidRDefault="00A777EE" w:rsidP="00451704">
      <w:pPr>
        <w:pStyle w:val="ListParagraph"/>
        <w:numPr>
          <w:ilvl w:val="0"/>
          <w:numId w:val="72"/>
        </w:numPr>
        <w:pBdr>
          <w:top w:val="single" w:sz="18" w:space="1" w:color="008A00"/>
          <w:left w:val="single" w:sz="18" w:space="4" w:color="008A00"/>
          <w:bottom w:val="single" w:sz="18" w:space="1" w:color="008A00"/>
          <w:right w:val="single" w:sz="18" w:space="4" w:color="008A00"/>
        </w:pBdr>
        <w:spacing w:before="0" w:after="0" w:line="240" w:lineRule="auto"/>
      </w:pPr>
      <w:r>
        <w:br w:type="page"/>
      </w:r>
    </w:p>
    <w:p w:rsidR="00A777EE" w:rsidRPr="00471E67" w:rsidRDefault="00DC4DFA" w:rsidP="00222799">
      <w:pPr>
        <w:pStyle w:val="Heading1"/>
        <w:numPr>
          <w:ilvl w:val="0"/>
          <w:numId w:val="71"/>
        </w:numPr>
      </w:pPr>
      <w:bookmarkStart w:id="55" w:name="_Toc494105984"/>
      <w:r>
        <w:lastRenderedPageBreak/>
        <w:t>Next steps</w:t>
      </w:r>
      <w:bookmarkEnd w:id="55"/>
    </w:p>
    <w:p w:rsidR="00965AB5" w:rsidRDefault="006C4B04" w:rsidP="00405E59">
      <w:r>
        <w:t xml:space="preserve">IHPA will develop a </w:t>
      </w:r>
      <w:r w:rsidR="00406078">
        <w:t xml:space="preserve">report </w:t>
      </w:r>
      <w:r w:rsidR="008C520A">
        <w:t xml:space="preserve">with recommendations </w:t>
      </w:r>
      <w:r w:rsidR="00406078">
        <w:t>based on feedback from stakeholders</w:t>
      </w:r>
      <w:r>
        <w:t xml:space="preserve"> which will </w:t>
      </w:r>
      <w:r w:rsidR="00406078">
        <w:t xml:space="preserve">be shared with NACAWG </w:t>
      </w:r>
      <w:r w:rsidR="008B567C">
        <w:t>in mid-2018</w:t>
      </w:r>
      <w:r w:rsidR="00965AB5">
        <w:t>. The next phase of ANACC will involve developing a classification structure, in collaboration with non-admitted care experts and clinicians, which will then be tested in a small sample of non-admitted Australian services in late 2018. Throughout the developmental phase, strong consideration will be given to reporting capabilities to ensure the first version of the ANAC system meets the sector’s needs and is achievable.</w:t>
      </w:r>
    </w:p>
    <w:p w:rsidR="00544DFE" w:rsidRDefault="00965AB5" w:rsidP="006C4B04">
      <w:r>
        <w:t>IHPA anticipates the developmental work to be conducted in 2018-19 with f</w:t>
      </w:r>
      <w:r w:rsidR="008B567C">
        <w:t xml:space="preserve">urther work </w:t>
      </w:r>
      <w:r>
        <w:t xml:space="preserve">to be </w:t>
      </w:r>
      <w:r w:rsidR="008B567C">
        <w:t>undertaken with stakeholders to accurately describe and define the</w:t>
      </w:r>
      <w:r>
        <w:t xml:space="preserve"> classification </w:t>
      </w:r>
      <w:r w:rsidR="008B567C">
        <w:t>variables</w:t>
      </w:r>
      <w:r>
        <w:t xml:space="preserve"> and business rules</w:t>
      </w:r>
      <w:r w:rsidR="008B567C">
        <w:t>.</w:t>
      </w:r>
      <w:r>
        <w:t xml:space="preserve"> </w:t>
      </w:r>
      <w:r w:rsidR="008B567C">
        <w:t>T</w:t>
      </w:r>
      <w:r w:rsidR="00405E59">
        <w:t xml:space="preserve">he draft ANACC system version 1.0 will include a classification class and code list, class descriptions, data set specification, </w:t>
      </w:r>
      <w:r w:rsidR="006C4B04">
        <w:t xml:space="preserve">and </w:t>
      </w:r>
      <w:r w:rsidR="00405E59">
        <w:t>business rules.</w:t>
      </w:r>
    </w:p>
    <w:p w:rsidR="00642514" w:rsidRDefault="00965AB5" w:rsidP="006C4B04">
      <w:r>
        <w:t>The first version of the ANACC system will be finalised by 2020.</w:t>
      </w:r>
    </w:p>
    <w:p w:rsidR="00A777EE" w:rsidRPr="00A6766C" w:rsidRDefault="00A777EE" w:rsidP="00C30658">
      <w:pPr>
        <w:pStyle w:val="Heading2"/>
        <w:numPr>
          <w:ilvl w:val="1"/>
          <w:numId w:val="69"/>
        </w:numPr>
      </w:pPr>
      <w:bookmarkStart w:id="56" w:name="_Toc494105985"/>
      <w:r w:rsidRPr="00A6766C">
        <w:t>Consultation submission</w:t>
      </w:r>
      <w:r w:rsidR="00560432" w:rsidRPr="00A6766C">
        <w:t>s</w:t>
      </w:r>
      <w:bookmarkEnd w:id="56"/>
    </w:p>
    <w:p w:rsidR="00460499" w:rsidRDefault="00460499" w:rsidP="00460499">
      <w:pPr>
        <w:rPr>
          <w:rStyle w:val="Strong"/>
          <w:rFonts w:asciiTheme="majorHAnsi" w:hAnsiTheme="majorHAnsi"/>
          <w:b w:val="0"/>
          <w:sz w:val="28"/>
          <w:szCs w:val="44"/>
        </w:rPr>
      </w:pPr>
      <w:r w:rsidRPr="00943CAC">
        <w:rPr>
          <w:rFonts w:cs="Arial"/>
          <w:lang w:val="en-US" w:eastAsia="ja-JP"/>
        </w:rPr>
        <w:t xml:space="preserve">Submissions </w:t>
      </w:r>
      <w:r w:rsidRPr="0062739B">
        <w:rPr>
          <w:rFonts w:cs="Arial"/>
        </w:rPr>
        <w:t>should</w:t>
      </w:r>
      <w:r w:rsidRPr="00943CAC">
        <w:rPr>
          <w:rFonts w:cs="Arial"/>
          <w:lang w:val="en-US" w:eastAsia="ja-JP"/>
        </w:rPr>
        <w:t xml:space="preserve"> be sent as an accessible Word document to </w:t>
      </w:r>
      <w:hyperlink r:id="rId19" w:history="1">
        <w:r w:rsidRPr="0098440A">
          <w:rPr>
            <w:rStyle w:val="Hyperlink"/>
            <w:rFonts w:cs="Arial"/>
            <w:lang w:val="en-US" w:eastAsia="ja-JP"/>
          </w:rPr>
          <w:t>submissions.ihpa@ihpa.gov.au</w:t>
        </w:r>
      </w:hyperlink>
      <w:r w:rsidRPr="00943CAC">
        <w:rPr>
          <w:rFonts w:cs="Arial"/>
          <w:lang w:val="en-US" w:eastAsia="ja-JP"/>
        </w:rPr>
        <w:t xml:space="preserve"> or posted to “Submissions” PO BOX 483 Darlinghurst NSW 1300. </w:t>
      </w:r>
      <w:r w:rsidR="00644F6B" w:rsidRPr="00943CAC">
        <w:rPr>
          <w:rStyle w:val="Strong"/>
        </w:rPr>
        <w:t xml:space="preserve">Submissions close at 5pm </w:t>
      </w:r>
      <w:r w:rsidR="00644F6B">
        <w:rPr>
          <w:rStyle w:val="Strong"/>
        </w:rPr>
        <w:t>on Friday 6 April 2018.</w:t>
      </w:r>
    </w:p>
    <w:p w:rsidR="00460499" w:rsidRDefault="00460499" w:rsidP="00460499">
      <w:pPr>
        <w:rPr>
          <w:rFonts w:cs="Arial"/>
          <w:color w:val="000000"/>
        </w:rPr>
      </w:pPr>
      <w:r w:rsidRPr="00A40960">
        <w:rPr>
          <w:rFonts w:cs="Arial"/>
          <w:color w:val="000000"/>
        </w:rPr>
        <w:t>All submissions will be published on IHPA’s website unless respondents specifically identify sections that they believe should be kept confidential due to commercial or other reasons.</w:t>
      </w:r>
    </w:p>
    <w:p w:rsidR="00460499" w:rsidRPr="00A777EE" w:rsidRDefault="00460499" w:rsidP="003C2734">
      <w:pPr>
        <w:rPr>
          <w:b/>
        </w:rPr>
      </w:pPr>
    </w:p>
    <w:p w:rsidR="003C2734" w:rsidRPr="003C2734" w:rsidRDefault="003C2734" w:rsidP="003C2734">
      <w:r>
        <w:br w:type="page"/>
      </w:r>
    </w:p>
    <w:p w:rsidR="00B04A18" w:rsidRPr="009B5189" w:rsidRDefault="009B5189" w:rsidP="009B5189">
      <w:pPr>
        <w:pStyle w:val="Heading1"/>
      </w:pPr>
      <w:bookmarkStart w:id="57" w:name="_Toc494105986"/>
      <w:r w:rsidRPr="009B5189">
        <w:lastRenderedPageBreak/>
        <w:t>Appendix A:</w:t>
      </w:r>
      <w:r w:rsidR="00560432" w:rsidRPr="009B5189">
        <w:t xml:space="preserve"> Proposed </w:t>
      </w:r>
      <w:r w:rsidR="00F011F0">
        <w:t xml:space="preserve">list of </w:t>
      </w:r>
      <w:r w:rsidR="00D80BC3">
        <w:t>patient-level grouping variables</w:t>
      </w:r>
      <w:r w:rsidR="00F011F0">
        <w:t xml:space="preserve"> for the </w:t>
      </w:r>
      <w:r w:rsidR="00560432" w:rsidRPr="009B5189">
        <w:t xml:space="preserve">ANACC </w:t>
      </w:r>
      <w:r w:rsidR="00F011F0">
        <w:t>system</w:t>
      </w:r>
      <w:bookmarkEnd w:id="57"/>
    </w:p>
    <w:tbl>
      <w:tblPr>
        <w:tblStyle w:val="LightList-Accent1"/>
        <w:tblW w:w="0" w:type="auto"/>
        <w:tblLayout w:type="fixed"/>
        <w:tblLook w:val="00A0" w:firstRow="1" w:lastRow="0" w:firstColumn="1" w:lastColumn="0" w:noHBand="0" w:noVBand="0"/>
        <w:tblCaption w:val="MDC 01 Diseased and Disorders of the Nervous System"/>
        <w:tblDescription w:val="Table of two columns, the first column listing proposed presenting problem/diagnosis-type groupings and the second column listing proposed intervention-type groupings for MDC 01 Diseases and disorders of the nervous system."/>
      </w:tblPr>
      <w:tblGrid>
        <w:gridCol w:w="4786"/>
        <w:gridCol w:w="4875"/>
      </w:tblGrid>
      <w:tr w:rsidR="001E4C63" w:rsidRPr="00E27C1C" w:rsidTr="00A966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661" w:type="dxa"/>
            <w:gridSpan w:val="2"/>
          </w:tcPr>
          <w:p w:rsidR="001E4C63" w:rsidRPr="00E27C1C" w:rsidRDefault="001E4C63" w:rsidP="00FA383A">
            <w:pPr>
              <w:pStyle w:val="NoSpacing"/>
              <w:rPr>
                <w:b w:val="0"/>
              </w:rPr>
            </w:pPr>
            <w:r w:rsidRPr="00E27C1C">
              <w:t>MDC 01 Diseases and Disorders of the Nervous System</w:t>
            </w:r>
          </w:p>
        </w:tc>
      </w:tr>
      <w:tr w:rsidR="001E4C63" w:rsidRPr="00E27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1E4C63" w:rsidRPr="00E27C1C" w:rsidRDefault="001E4C63" w:rsidP="00FA383A">
            <w:pPr>
              <w:pStyle w:val="NoSpacing"/>
            </w:pPr>
            <w:r w:rsidRPr="00E27C1C">
              <w:t xml:space="preserve">Proposed </w:t>
            </w:r>
            <w:r w:rsidR="005F38D0">
              <w:t xml:space="preserve">presenting problem / </w:t>
            </w:r>
            <w:r w:rsidRPr="00E27C1C">
              <w:t>diagnosis</w:t>
            </w:r>
            <w:r w:rsidR="005F38D0">
              <w:t>-type</w:t>
            </w:r>
            <w:r w:rsidRPr="00E27C1C">
              <w:t xml:space="preserve"> groupings</w:t>
            </w:r>
          </w:p>
        </w:tc>
        <w:tc>
          <w:tcPr>
            <w:cnfStyle w:val="000010000000" w:firstRow="0" w:lastRow="0" w:firstColumn="0" w:lastColumn="0" w:oddVBand="1" w:evenVBand="0" w:oddHBand="0" w:evenHBand="0" w:firstRowFirstColumn="0" w:firstRowLastColumn="0" w:lastRowFirstColumn="0" w:lastRowLastColumn="0"/>
            <w:tcW w:w="4875" w:type="dxa"/>
          </w:tcPr>
          <w:p w:rsidR="001E4C63" w:rsidRPr="00942BF6" w:rsidRDefault="001E4C63" w:rsidP="00FA383A">
            <w:pPr>
              <w:pStyle w:val="NoSpacing"/>
              <w:rPr>
                <w:b/>
              </w:rPr>
            </w:pPr>
            <w:r w:rsidRPr="00942BF6">
              <w:rPr>
                <w:b/>
              </w:rPr>
              <w:t>Proposed intervention</w:t>
            </w:r>
            <w:r w:rsidR="005F38D0">
              <w:rPr>
                <w:b/>
              </w:rPr>
              <w:t>-type</w:t>
            </w:r>
            <w:r w:rsidRPr="00942BF6">
              <w:rPr>
                <w:b/>
              </w:rPr>
              <w:t xml:space="preserve"> groupings</w:t>
            </w:r>
          </w:p>
        </w:tc>
      </w:tr>
      <w:tr w:rsidR="001E4C63" w:rsidRPr="00E27C1C">
        <w:tc>
          <w:tcPr>
            <w:cnfStyle w:val="001000000000" w:firstRow="0" w:lastRow="0" w:firstColumn="1" w:lastColumn="0" w:oddVBand="0" w:evenVBand="0" w:oddHBand="0" w:evenHBand="0" w:firstRowFirstColumn="0" w:firstRowLastColumn="0" w:lastRowFirstColumn="0" w:lastRowLastColumn="0"/>
            <w:tcW w:w="4786" w:type="dxa"/>
          </w:tcPr>
          <w:p w:rsidR="001E4C63" w:rsidRPr="00E27C1C" w:rsidRDefault="001E4C63" w:rsidP="00387825">
            <w:pPr>
              <w:pStyle w:val="NoSpacing"/>
              <w:rPr>
                <w:b w:val="0"/>
              </w:rPr>
            </w:pPr>
            <w:r w:rsidRPr="00E27C1C">
              <w:rPr>
                <w:b w:val="0"/>
              </w:rPr>
              <w:t xml:space="preserve">Paraplegia and quadriplegia </w:t>
            </w:r>
          </w:p>
        </w:tc>
        <w:tc>
          <w:tcPr>
            <w:cnfStyle w:val="000010000000" w:firstRow="0" w:lastRow="0" w:firstColumn="0" w:lastColumn="0" w:oddVBand="1" w:evenVBand="0" w:oddHBand="0" w:evenHBand="0" w:firstRowFirstColumn="0" w:firstRowLastColumn="0" w:lastRowFirstColumn="0" w:lastRowLastColumn="0"/>
            <w:tcW w:w="4875" w:type="dxa"/>
            <w:vMerge w:val="restart"/>
          </w:tcPr>
          <w:p w:rsidR="001E4C63" w:rsidRDefault="001E4C63" w:rsidP="009768EE">
            <w:pPr>
              <w:pStyle w:val="NoSpacing"/>
              <w:numPr>
                <w:ilvl w:val="0"/>
                <w:numId w:val="17"/>
              </w:numPr>
              <w:ind w:left="360"/>
            </w:pPr>
            <w:r w:rsidRPr="00E27C1C">
              <w:t xml:space="preserve">Carpal tunnel release </w:t>
            </w:r>
          </w:p>
          <w:p w:rsidR="001E4C63" w:rsidRPr="00E27C1C" w:rsidRDefault="001E4C63" w:rsidP="009768EE">
            <w:pPr>
              <w:pStyle w:val="NoSpacing"/>
              <w:numPr>
                <w:ilvl w:val="0"/>
                <w:numId w:val="17"/>
              </w:numPr>
              <w:ind w:left="360"/>
            </w:pPr>
            <w:r w:rsidRPr="00E27C1C">
              <w:t>Pain management procedures</w:t>
            </w:r>
          </w:p>
          <w:p w:rsidR="001E4C63" w:rsidRPr="00E27C1C" w:rsidRDefault="001E4C63" w:rsidP="009768EE">
            <w:pPr>
              <w:pStyle w:val="NoSpacing"/>
              <w:numPr>
                <w:ilvl w:val="0"/>
                <w:numId w:val="17"/>
              </w:numPr>
              <w:ind w:left="360"/>
            </w:pPr>
            <w:r w:rsidRPr="00E27C1C">
              <w:t>Plasmapheresis (autologous or allogeneic)</w:t>
            </w:r>
          </w:p>
          <w:p w:rsidR="001E4C63" w:rsidRPr="00E27C1C" w:rsidRDefault="001E4C63" w:rsidP="00FA383A">
            <w:pPr>
              <w:pStyle w:val="NoSpacing"/>
            </w:pPr>
          </w:p>
        </w:tc>
      </w:tr>
      <w:tr w:rsidR="001E4C63" w:rsidRPr="00E27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1E4C63" w:rsidRPr="00E27C1C" w:rsidRDefault="00F23C87" w:rsidP="00F23C87">
            <w:pPr>
              <w:pStyle w:val="NoSpacing"/>
              <w:rPr>
                <w:b w:val="0"/>
              </w:rPr>
            </w:pPr>
            <w:r>
              <w:rPr>
                <w:b w:val="0"/>
              </w:rPr>
              <w:t>Other s</w:t>
            </w:r>
            <w:r w:rsidR="001E4C63" w:rsidRPr="00E27C1C">
              <w:rPr>
                <w:b w:val="0"/>
              </w:rPr>
              <w:t>pinal cord condition</w:t>
            </w:r>
          </w:p>
        </w:tc>
        <w:tc>
          <w:tcPr>
            <w:cnfStyle w:val="000010000000" w:firstRow="0" w:lastRow="0" w:firstColumn="0" w:lastColumn="0" w:oddVBand="1" w:evenVBand="0" w:oddHBand="0" w:evenHBand="0" w:firstRowFirstColumn="0" w:firstRowLastColumn="0" w:lastRowFirstColumn="0" w:lastRowLastColumn="0"/>
            <w:tcW w:w="4875" w:type="dxa"/>
            <w:vMerge/>
          </w:tcPr>
          <w:p w:rsidR="001E4C63" w:rsidRPr="00E27C1C" w:rsidRDefault="001E4C63" w:rsidP="00FA383A">
            <w:pPr>
              <w:pStyle w:val="NoSpacing"/>
            </w:pPr>
          </w:p>
        </w:tc>
      </w:tr>
      <w:tr w:rsidR="001E4C63" w:rsidRPr="00E27C1C">
        <w:tc>
          <w:tcPr>
            <w:cnfStyle w:val="001000000000" w:firstRow="0" w:lastRow="0" w:firstColumn="1" w:lastColumn="0" w:oddVBand="0" w:evenVBand="0" w:oddHBand="0" w:evenHBand="0" w:firstRowFirstColumn="0" w:firstRowLastColumn="0" w:lastRowFirstColumn="0" w:lastRowLastColumn="0"/>
            <w:tcW w:w="4786" w:type="dxa"/>
          </w:tcPr>
          <w:p w:rsidR="001E4C63" w:rsidRPr="00E27C1C" w:rsidRDefault="001E4C63" w:rsidP="00FA383A">
            <w:pPr>
              <w:pStyle w:val="NoSpacing"/>
              <w:rPr>
                <w:b w:val="0"/>
              </w:rPr>
            </w:pPr>
            <w:r w:rsidRPr="00E27C1C">
              <w:rPr>
                <w:b w:val="0"/>
              </w:rPr>
              <w:t xml:space="preserve">Dementia, and other chronic disturbance of cerebellar function </w:t>
            </w:r>
          </w:p>
        </w:tc>
        <w:tc>
          <w:tcPr>
            <w:cnfStyle w:val="000010000000" w:firstRow="0" w:lastRow="0" w:firstColumn="0" w:lastColumn="0" w:oddVBand="1" w:evenVBand="0" w:oddHBand="0" w:evenHBand="0" w:firstRowFirstColumn="0" w:firstRowLastColumn="0" w:lastRowFirstColumn="0" w:lastRowLastColumn="0"/>
            <w:tcW w:w="4875" w:type="dxa"/>
            <w:vMerge/>
          </w:tcPr>
          <w:p w:rsidR="001E4C63" w:rsidRPr="00E27C1C" w:rsidRDefault="001E4C63" w:rsidP="00FA383A">
            <w:pPr>
              <w:pStyle w:val="NoSpacing"/>
            </w:pPr>
          </w:p>
        </w:tc>
      </w:tr>
      <w:tr w:rsidR="001E4C63" w:rsidRPr="00E27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1E4C63" w:rsidRPr="00E27C1C" w:rsidRDefault="001E4C63" w:rsidP="00FA383A">
            <w:pPr>
              <w:pStyle w:val="NoSpacing"/>
              <w:rPr>
                <w:b w:val="0"/>
              </w:rPr>
            </w:pPr>
            <w:r w:rsidRPr="00E27C1C">
              <w:rPr>
                <w:b w:val="0"/>
              </w:rPr>
              <w:t xml:space="preserve">Delirium </w:t>
            </w:r>
          </w:p>
        </w:tc>
        <w:tc>
          <w:tcPr>
            <w:cnfStyle w:val="000010000000" w:firstRow="0" w:lastRow="0" w:firstColumn="0" w:lastColumn="0" w:oddVBand="1" w:evenVBand="0" w:oddHBand="0" w:evenHBand="0" w:firstRowFirstColumn="0" w:firstRowLastColumn="0" w:lastRowFirstColumn="0" w:lastRowLastColumn="0"/>
            <w:tcW w:w="4875" w:type="dxa"/>
            <w:vMerge/>
          </w:tcPr>
          <w:p w:rsidR="001E4C63" w:rsidRPr="00E27C1C" w:rsidRDefault="001E4C63" w:rsidP="00FA383A">
            <w:pPr>
              <w:pStyle w:val="NoSpacing"/>
            </w:pPr>
          </w:p>
        </w:tc>
      </w:tr>
      <w:tr w:rsidR="001E4C63" w:rsidRPr="00E27C1C">
        <w:tc>
          <w:tcPr>
            <w:cnfStyle w:val="001000000000" w:firstRow="0" w:lastRow="0" w:firstColumn="1" w:lastColumn="0" w:oddVBand="0" w:evenVBand="0" w:oddHBand="0" w:evenHBand="0" w:firstRowFirstColumn="0" w:firstRowLastColumn="0" w:lastRowFirstColumn="0" w:lastRowLastColumn="0"/>
            <w:tcW w:w="4786" w:type="dxa"/>
          </w:tcPr>
          <w:p w:rsidR="001E4C63" w:rsidRPr="00E27C1C" w:rsidRDefault="001E4C63" w:rsidP="00FA383A">
            <w:pPr>
              <w:pStyle w:val="NoSpacing"/>
              <w:rPr>
                <w:b w:val="0"/>
              </w:rPr>
            </w:pPr>
            <w:r w:rsidRPr="00E27C1C">
              <w:rPr>
                <w:b w:val="0"/>
              </w:rPr>
              <w:t>Cerebral palsy</w:t>
            </w:r>
          </w:p>
        </w:tc>
        <w:tc>
          <w:tcPr>
            <w:cnfStyle w:val="000010000000" w:firstRow="0" w:lastRow="0" w:firstColumn="0" w:lastColumn="0" w:oddVBand="1" w:evenVBand="0" w:oddHBand="0" w:evenHBand="0" w:firstRowFirstColumn="0" w:firstRowLastColumn="0" w:lastRowFirstColumn="0" w:lastRowLastColumn="0"/>
            <w:tcW w:w="4875" w:type="dxa"/>
            <w:vMerge/>
          </w:tcPr>
          <w:p w:rsidR="001E4C63" w:rsidRPr="00E27C1C" w:rsidRDefault="001E4C63" w:rsidP="00FA383A">
            <w:pPr>
              <w:pStyle w:val="NoSpacing"/>
            </w:pPr>
          </w:p>
        </w:tc>
      </w:tr>
      <w:tr w:rsidR="001E4C63" w:rsidRPr="00E27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1E4C63" w:rsidRPr="00E27C1C" w:rsidRDefault="001E4C63" w:rsidP="00882C44">
            <w:pPr>
              <w:pStyle w:val="NoSpacing"/>
              <w:rPr>
                <w:b w:val="0"/>
              </w:rPr>
            </w:pPr>
            <w:r w:rsidRPr="00E27C1C">
              <w:rPr>
                <w:b w:val="0"/>
              </w:rPr>
              <w:t xml:space="preserve">Neoplasm of nervous system </w:t>
            </w:r>
          </w:p>
        </w:tc>
        <w:tc>
          <w:tcPr>
            <w:cnfStyle w:val="000010000000" w:firstRow="0" w:lastRow="0" w:firstColumn="0" w:lastColumn="0" w:oddVBand="1" w:evenVBand="0" w:oddHBand="0" w:evenHBand="0" w:firstRowFirstColumn="0" w:firstRowLastColumn="0" w:lastRowFirstColumn="0" w:lastRowLastColumn="0"/>
            <w:tcW w:w="4875" w:type="dxa"/>
            <w:vMerge/>
          </w:tcPr>
          <w:p w:rsidR="001E4C63" w:rsidRPr="00E27C1C" w:rsidRDefault="001E4C63" w:rsidP="00FA383A">
            <w:pPr>
              <w:pStyle w:val="NoSpacing"/>
            </w:pPr>
          </w:p>
        </w:tc>
      </w:tr>
      <w:tr w:rsidR="001E4C63" w:rsidRPr="00E27C1C">
        <w:tc>
          <w:tcPr>
            <w:cnfStyle w:val="001000000000" w:firstRow="0" w:lastRow="0" w:firstColumn="1" w:lastColumn="0" w:oddVBand="0" w:evenVBand="0" w:oddHBand="0" w:evenHBand="0" w:firstRowFirstColumn="0" w:firstRowLastColumn="0" w:lastRowFirstColumn="0" w:lastRowLastColumn="0"/>
            <w:tcW w:w="4786" w:type="dxa"/>
          </w:tcPr>
          <w:p w:rsidR="001E4C63" w:rsidRPr="00E27C1C" w:rsidRDefault="001E4C63" w:rsidP="009768EE">
            <w:pPr>
              <w:pStyle w:val="NoSpacing"/>
              <w:numPr>
                <w:ilvl w:val="0"/>
                <w:numId w:val="19"/>
              </w:numPr>
              <w:ind w:left="284" w:hanging="284"/>
              <w:rPr>
                <w:b w:val="0"/>
              </w:rPr>
            </w:pPr>
            <w:r w:rsidRPr="00E27C1C">
              <w:rPr>
                <w:b w:val="0"/>
              </w:rPr>
              <w:t xml:space="preserve">Extrapyramidal and movement disorders Parkinson’s disease </w:t>
            </w:r>
          </w:p>
        </w:tc>
        <w:tc>
          <w:tcPr>
            <w:cnfStyle w:val="000010000000" w:firstRow="0" w:lastRow="0" w:firstColumn="0" w:lastColumn="0" w:oddVBand="1" w:evenVBand="0" w:oddHBand="0" w:evenHBand="0" w:firstRowFirstColumn="0" w:firstRowLastColumn="0" w:lastRowFirstColumn="0" w:lastRowLastColumn="0"/>
            <w:tcW w:w="4875" w:type="dxa"/>
            <w:vMerge/>
          </w:tcPr>
          <w:p w:rsidR="001E4C63" w:rsidRPr="00E27C1C" w:rsidRDefault="001E4C63" w:rsidP="00FA383A">
            <w:pPr>
              <w:pStyle w:val="NoSpacing"/>
            </w:pPr>
          </w:p>
        </w:tc>
      </w:tr>
      <w:tr w:rsidR="001E4C63" w:rsidRPr="00E27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1E4C63" w:rsidRPr="00E27C1C" w:rsidRDefault="001E4C63" w:rsidP="00882C44">
            <w:pPr>
              <w:pStyle w:val="NoSpacing"/>
              <w:rPr>
                <w:b w:val="0"/>
              </w:rPr>
            </w:pPr>
            <w:r w:rsidRPr="00E27C1C">
              <w:rPr>
                <w:b w:val="0"/>
              </w:rPr>
              <w:t>Multiple sclerosis and cerebellar ataxia</w:t>
            </w:r>
          </w:p>
        </w:tc>
        <w:tc>
          <w:tcPr>
            <w:cnfStyle w:val="000010000000" w:firstRow="0" w:lastRow="0" w:firstColumn="0" w:lastColumn="0" w:oddVBand="1" w:evenVBand="0" w:oddHBand="0" w:evenHBand="0" w:firstRowFirstColumn="0" w:firstRowLastColumn="0" w:lastRowFirstColumn="0" w:lastRowLastColumn="0"/>
            <w:tcW w:w="4875" w:type="dxa"/>
            <w:vMerge/>
          </w:tcPr>
          <w:p w:rsidR="001E4C63" w:rsidRPr="00E27C1C" w:rsidRDefault="001E4C63" w:rsidP="00FA383A">
            <w:pPr>
              <w:pStyle w:val="NoSpacing"/>
            </w:pPr>
          </w:p>
        </w:tc>
      </w:tr>
      <w:tr w:rsidR="001E4C63" w:rsidRPr="00E27C1C">
        <w:tc>
          <w:tcPr>
            <w:cnfStyle w:val="001000000000" w:firstRow="0" w:lastRow="0" w:firstColumn="1" w:lastColumn="0" w:oddVBand="0" w:evenVBand="0" w:oddHBand="0" w:evenHBand="0" w:firstRowFirstColumn="0" w:firstRowLastColumn="0" w:lastRowFirstColumn="0" w:lastRowLastColumn="0"/>
            <w:tcW w:w="4786" w:type="dxa"/>
          </w:tcPr>
          <w:p w:rsidR="001E4C63" w:rsidRPr="00E27C1C" w:rsidRDefault="001E4C63" w:rsidP="00FA383A">
            <w:pPr>
              <w:pStyle w:val="NoSpacing"/>
              <w:rPr>
                <w:b w:val="0"/>
              </w:rPr>
            </w:pPr>
            <w:r w:rsidRPr="00E27C1C">
              <w:rPr>
                <w:b w:val="0"/>
              </w:rPr>
              <w:t xml:space="preserve">Stroke or other cerebrovascular disorder </w:t>
            </w:r>
          </w:p>
          <w:p w:rsidR="001E4C63" w:rsidRPr="00E27C1C" w:rsidRDefault="001E4C63" w:rsidP="009768EE">
            <w:pPr>
              <w:pStyle w:val="NoSpacing"/>
              <w:numPr>
                <w:ilvl w:val="0"/>
                <w:numId w:val="19"/>
              </w:numPr>
              <w:ind w:left="284" w:hanging="284"/>
              <w:rPr>
                <w:b w:val="0"/>
              </w:rPr>
            </w:pPr>
            <w:r w:rsidRPr="00E27C1C">
              <w:rPr>
                <w:b w:val="0"/>
              </w:rPr>
              <w:t>TIA and precerebral occlusion</w:t>
            </w:r>
          </w:p>
        </w:tc>
        <w:tc>
          <w:tcPr>
            <w:cnfStyle w:val="000010000000" w:firstRow="0" w:lastRow="0" w:firstColumn="0" w:lastColumn="0" w:oddVBand="1" w:evenVBand="0" w:oddHBand="0" w:evenHBand="0" w:firstRowFirstColumn="0" w:firstRowLastColumn="0" w:lastRowFirstColumn="0" w:lastRowLastColumn="0"/>
            <w:tcW w:w="4875" w:type="dxa"/>
            <w:vMerge/>
          </w:tcPr>
          <w:p w:rsidR="001E4C63" w:rsidRPr="00E27C1C" w:rsidRDefault="001E4C63" w:rsidP="00FA383A">
            <w:pPr>
              <w:pStyle w:val="NoSpacing"/>
            </w:pPr>
          </w:p>
        </w:tc>
      </w:tr>
      <w:tr w:rsidR="001E4C63" w:rsidRPr="00E27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1E4C63" w:rsidRPr="00E27C1C" w:rsidRDefault="001E4C63" w:rsidP="00882C44">
            <w:pPr>
              <w:pStyle w:val="NoSpacing"/>
              <w:rPr>
                <w:b w:val="0"/>
              </w:rPr>
            </w:pPr>
            <w:r w:rsidRPr="00E27C1C">
              <w:rPr>
                <w:b w:val="0"/>
              </w:rPr>
              <w:t xml:space="preserve">Cranial and peripheral nerve disorder </w:t>
            </w:r>
          </w:p>
        </w:tc>
        <w:tc>
          <w:tcPr>
            <w:cnfStyle w:val="000010000000" w:firstRow="0" w:lastRow="0" w:firstColumn="0" w:lastColumn="0" w:oddVBand="1" w:evenVBand="0" w:oddHBand="0" w:evenHBand="0" w:firstRowFirstColumn="0" w:firstRowLastColumn="0" w:lastRowFirstColumn="0" w:lastRowLastColumn="0"/>
            <w:tcW w:w="4875" w:type="dxa"/>
            <w:vMerge/>
          </w:tcPr>
          <w:p w:rsidR="001E4C63" w:rsidRPr="00E27C1C" w:rsidRDefault="001E4C63" w:rsidP="00FA383A">
            <w:pPr>
              <w:pStyle w:val="NoSpacing"/>
            </w:pPr>
          </w:p>
        </w:tc>
      </w:tr>
      <w:tr w:rsidR="001E4C63" w:rsidRPr="00E27C1C">
        <w:tc>
          <w:tcPr>
            <w:cnfStyle w:val="001000000000" w:firstRow="0" w:lastRow="0" w:firstColumn="1" w:lastColumn="0" w:oddVBand="0" w:evenVBand="0" w:oddHBand="0" w:evenHBand="0" w:firstRowFirstColumn="0" w:firstRowLastColumn="0" w:lastRowFirstColumn="0" w:lastRowLastColumn="0"/>
            <w:tcW w:w="4786" w:type="dxa"/>
          </w:tcPr>
          <w:p w:rsidR="001E4C63" w:rsidRPr="00E27C1C" w:rsidRDefault="001E4C63" w:rsidP="00FA383A">
            <w:pPr>
              <w:pStyle w:val="NoSpacing"/>
              <w:rPr>
                <w:b w:val="0"/>
              </w:rPr>
            </w:pPr>
            <w:r w:rsidRPr="00E27C1C">
              <w:rPr>
                <w:b w:val="0"/>
              </w:rPr>
              <w:t xml:space="preserve">Nervous system infection except viral meningitis </w:t>
            </w:r>
          </w:p>
        </w:tc>
        <w:tc>
          <w:tcPr>
            <w:cnfStyle w:val="000010000000" w:firstRow="0" w:lastRow="0" w:firstColumn="0" w:lastColumn="0" w:oddVBand="1" w:evenVBand="0" w:oddHBand="0" w:evenHBand="0" w:firstRowFirstColumn="0" w:firstRowLastColumn="0" w:lastRowFirstColumn="0" w:lastRowLastColumn="0"/>
            <w:tcW w:w="4875" w:type="dxa"/>
            <w:vMerge/>
          </w:tcPr>
          <w:p w:rsidR="001E4C63" w:rsidRPr="00E27C1C" w:rsidRDefault="001E4C63" w:rsidP="00FA383A">
            <w:pPr>
              <w:pStyle w:val="NoSpacing"/>
            </w:pPr>
          </w:p>
        </w:tc>
      </w:tr>
      <w:tr w:rsidR="001E4C63" w:rsidRPr="00E27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1E4C63" w:rsidRPr="00E27C1C" w:rsidRDefault="001E4C63" w:rsidP="00FA383A">
            <w:pPr>
              <w:pStyle w:val="NoSpacing"/>
              <w:rPr>
                <w:b w:val="0"/>
              </w:rPr>
            </w:pPr>
            <w:r w:rsidRPr="00E27C1C">
              <w:rPr>
                <w:b w:val="0"/>
              </w:rPr>
              <w:t xml:space="preserve">Viral meningitis </w:t>
            </w:r>
          </w:p>
        </w:tc>
        <w:tc>
          <w:tcPr>
            <w:cnfStyle w:val="000010000000" w:firstRow="0" w:lastRow="0" w:firstColumn="0" w:lastColumn="0" w:oddVBand="1" w:evenVBand="0" w:oddHBand="0" w:evenHBand="0" w:firstRowFirstColumn="0" w:firstRowLastColumn="0" w:lastRowFirstColumn="0" w:lastRowLastColumn="0"/>
            <w:tcW w:w="4875" w:type="dxa"/>
            <w:vMerge/>
          </w:tcPr>
          <w:p w:rsidR="001E4C63" w:rsidRPr="00E27C1C" w:rsidRDefault="001E4C63" w:rsidP="00FA383A">
            <w:pPr>
              <w:pStyle w:val="NoSpacing"/>
            </w:pPr>
          </w:p>
        </w:tc>
      </w:tr>
      <w:tr w:rsidR="001E4C63" w:rsidRPr="00E27C1C">
        <w:tc>
          <w:tcPr>
            <w:cnfStyle w:val="001000000000" w:firstRow="0" w:lastRow="0" w:firstColumn="1" w:lastColumn="0" w:oddVBand="0" w:evenVBand="0" w:oddHBand="0" w:evenHBand="0" w:firstRowFirstColumn="0" w:firstRowLastColumn="0" w:lastRowFirstColumn="0" w:lastRowLastColumn="0"/>
            <w:tcW w:w="4786" w:type="dxa"/>
          </w:tcPr>
          <w:p w:rsidR="001E4C63" w:rsidRPr="00E27C1C" w:rsidRDefault="001E4C63" w:rsidP="00FA383A">
            <w:pPr>
              <w:pStyle w:val="NoSpacing"/>
              <w:rPr>
                <w:b w:val="0"/>
              </w:rPr>
            </w:pPr>
            <w:r w:rsidRPr="00E27C1C">
              <w:rPr>
                <w:b w:val="0"/>
              </w:rPr>
              <w:t xml:space="preserve">Epilepsy (seizures) </w:t>
            </w:r>
          </w:p>
        </w:tc>
        <w:tc>
          <w:tcPr>
            <w:cnfStyle w:val="000010000000" w:firstRow="0" w:lastRow="0" w:firstColumn="0" w:lastColumn="0" w:oddVBand="1" w:evenVBand="0" w:oddHBand="0" w:evenHBand="0" w:firstRowFirstColumn="0" w:firstRowLastColumn="0" w:lastRowFirstColumn="0" w:lastRowLastColumn="0"/>
            <w:tcW w:w="4875" w:type="dxa"/>
            <w:vMerge/>
          </w:tcPr>
          <w:p w:rsidR="001E4C63" w:rsidRPr="00E27C1C" w:rsidRDefault="001E4C63" w:rsidP="00FA383A">
            <w:pPr>
              <w:pStyle w:val="NoSpacing"/>
            </w:pPr>
          </w:p>
        </w:tc>
      </w:tr>
      <w:tr w:rsidR="001E4C63" w:rsidRPr="00E27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1E4C63" w:rsidRPr="00E27C1C" w:rsidRDefault="001E4C63" w:rsidP="00FA383A">
            <w:pPr>
              <w:pStyle w:val="NoSpacing"/>
              <w:rPr>
                <w:b w:val="0"/>
              </w:rPr>
            </w:pPr>
            <w:r w:rsidRPr="00E27C1C">
              <w:rPr>
                <w:b w:val="0"/>
              </w:rPr>
              <w:t xml:space="preserve">Headaches and migraine </w:t>
            </w:r>
          </w:p>
        </w:tc>
        <w:tc>
          <w:tcPr>
            <w:cnfStyle w:val="000010000000" w:firstRow="0" w:lastRow="0" w:firstColumn="0" w:lastColumn="0" w:oddVBand="1" w:evenVBand="0" w:oddHBand="0" w:evenHBand="0" w:firstRowFirstColumn="0" w:firstRowLastColumn="0" w:lastRowFirstColumn="0" w:lastRowLastColumn="0"/>
            <w:tcW w:w="4875" w:type="dxa"/>
            <w:vMerge/>
          </w:tcPr>
          <w:p w:rsidR="001E4C63" w:rsidRPr="00E27C1C" w:rsidRDefault="001E4C63" w:rsidP="00FA383A">
            <w:pPr>
              <w:pStyle w:val="NoSpacing"/>
            </w:pPr>
          </w:p>
        </w:tc>
      </w:tr>
      <w:tr w:rsidR="001E4C63" w:rsidRPr="00E27C1C">
        <w:tc>
          <w:tcPr>
            <w:cnfStyle w:val="001000000000" w:firstRow="0" w:lastRow="0" w:firstColumn="1" w:lastColumn="0" w:oddVBand="0" w:evenVBand="0" w:oddHBand="0" w:evenHBand="0" w:firstRowFirstColumn="0" w:firstRowLastColumn="0" w:lastRowFirstColumn="0" w:lastRowLastColumn="0"/>
            <w:tcW w:w="4786" w:type="dxa"/>
          </w:tcPr>
          <w:p w:rsidR="001E4C63" w:rsidRPr="002A6B38" w:rsidRDefault="001E4C63" w:rsidP="00FA383A">
            <w:pPr>
              <w:pStyle w:val="NoSpacing"/>
            </w:pPr>
            <w:r w:rsidRPr="00E27C1C">
              <w:rPr>
                <w:b w:val="0"/>
              </w:rPr>
              <w:t xml:space="preserve">Chronic pain </w:t>
            </w:r>
          </w:p>
        </w:tc>
        <w:tc>
          <w:tcPr>
            <w:cnfStyle w:val="000010000000" w:firstRow="0" w:lastRow="0" w:firstColumn="0" w:lastColumn="0" w:oddVBand="1" w:evenVBand="0" w:oddHBand="0" w:evenHBand="0" w:firstRowFirstColumn="0" w:firstRowLastColumn="0" w:lastRowFirstColumn="0" w:lastRowLastColumn="0"/>
            <w:tcW w:w="4875" w:type="dxa"/>
            <w:vMerge/>
          </w:tcPr>
          <w:p w:rsidR="001E4C63" w:rsidRPr="00E27C1C" w:rsidRDefault="001E4C63" w:rsidP="00FA383A">
            <w:pPr>
              <w:pStyle w:val="NoSpacing"/>
            </w:pPr>
          </w:p>
        </w:tc>
      </w:tr>
      <w:tr w:rsidR="001E4C63" w:rsidRPr="00E27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1E4C63" w:rsidRPr="00E27C1C" w:rsidRDefault="001E4C63" w:rsidP="00FA383A">
            <w:pPr>
              <w:pStyle w:val="NoSpacing"/>
              <w:rPr>
                <w:b w:val="0"/>
              </w:rPr>
            </w:pPr>
            <w:r w:rsidRPr="00E27C1C">
              <w:rPr>
                <w:b w:val="0"/>
              </w:rPr>
              <w:t xml:space="preserve">Signs </w:t>
            </w:r>
            <w:r>
              <w:rPr>
                <w:b w:val="0"/>
              </w:rPr>
              <w:t>or</w:t>
            </w:r>
            <w:r w:rsidRPr="00E27C1C">
              <w:rPr>
                <w:b w:val="0"/>
              </w:rPr>
              <w:t xml:space="preserve"> symptoms of </w:t>
            </w:r>
            <w:r>
              <w:rPr>
                <w:b w:val="0"/>
              </w:rPr>
              <w:t xml:space="preserve">the </w:t>
            </w:r>
            <w:r w:rsidRPr="00E27C1C">
              <w:rPr>
                <w:b w:val="0"/>
              </w:rPr>
              <w:t>nervous system</w:t>
            </w:r>
          </w:p>
        </w:tc>
        <w:tc>
          <w:tcPr>
            <w:cnfStyle w:val="000010000000" w:firstRow="0" w:lastRow="0" w:firstColumn="0" w:lastColumn="0" w:oddVBand="1" w:evenVBand="0" w:oddHBand="0" w:evenHBand="0" w:firstRowFirstColumn="0" w:firstRowLastColumn="0" w:lastRowFirstColumn="0" w:lastRowLastColumn="0"/>
            <w:tcW w:w="4875" w:type="dxa"/>
            <w:vMerge/>
          </w:tcPr>
          <w:p w:rsidR="001E4C63" w:rsidRPr="00E27C1C" w:rsidRDefault="001E4C63" w:rsidP="00FA383A">
            <w:pPr>
              <w:pStyle w:val="NoSpacing"/>
            </w:pPr>
          </w:p>
        </w:tc>
      </w:tr>
      <w:tr w:rsidR="001E4C63" w:rsidRPr="00E27C1C">
        <w:tc>
          <w:tcPr>
            <w:cnfStyle w:val="001000000000" w:firstRow="0" w:lastRow="0" w:firstColumn="1" w:lastColumn="0" w:oddVBand="0" w:evenVBand="0" w:oddHBand="0" w:evenHBand="0" w:firstRowFirstColumn="0" w:firstRowLastColumn="0" w:lastRowFirstColumn="0" w:lastRowLastColumn="0"/>
            <w:tcW w:w="4786" w:type="dxa"/>
          </w:tcPr>
          <w:p w:rsidR="001E4C63" w:rsidRPr="00E27C1C" w:rsidRDefault="001E4C63" w:rsidP="00FA383A">
            <w:pPr>
              <w:pStyle w:val="NoSpacing"/>
              <w:rPr>
                <w:b w:val="0"/>
              </w:rPr>
            </w:pPr>
            <w:r w:rsidRPr="00E27C1C">
              <w:rPr>
                <w:b w:val="0"/>
              </w:rPr>
              <w:t xml:space="preserve">Other </w:t>
            </w:r>
            <w:r>
              <w:rPr>
                <w:b w:val="0"/>
              </w:rPr>
              <w:t xml:space="preserve">disorder of the </w:t>
            </w:r>
            <w:r w:rsidRPr="00E27C1C">
              <w:rPr>
                <w:b w:val="0"/>
              </w:rPr>
              <w:t>nervous system</w:t>
            </w:r>
          </w:p>
          <w:p w:rsidR="001E4C63" w:rsidRDefault="001E4C63" w:rsidP="009768EE">
            <w:pPr>
              <w:pStyle w:val="NoSpacing"/>
              <w:numPr>
                <w:ilvl w:val="0"/>
                <w:numId w:val="19"/>
              </w:numPr>
              <w:ind w:left="284" w:hanging="284"/>
              <w:rPr>
                <w:b w:val="0"/>
              </w:rPr>
            </w:pPr>
            <w:r>
              <w:rPr>
                <w:b w:val="0"/>
              </w:rPr>
              <w:t>n</w:t>
            </w:r>
            <w:r w:rsidRPr="00E27C1C">
              <w:rPr>
                <w:b w:val="0"/>
              </w:rPr>
              <w:t>arcolepsy</w:t>
            </w:r>
          </w:p>
          <w:p w:rsidR="001E4C63" w:rsidRPr="002A6B38" w:rsidRDefault="001E4C63" w:rsidP="009768EE">
            <w:pPr>
              <w:pStyle w:val="NoSpacing"/>
              <w:numPr>
                <w:ilvl w:val="0"/>
                <w:numId w:val="19"/>
              </w:numPr>
              <w:ind w:left="284" w:hanging="284"/>
              <w:rPr>
                <w:b w:val="0"/>
              </w:rPr>
            </w:pPr>
            <w:r>
              <w:rPr>
                <w:b w:val="0"/>
              </w:rPr>
              <w:t>d</w:t>
            </w:r>
            <w:r w:rsidRPr="002A6B38">
              <w:rPr>
                <w:b w:val="0"/>
              </w:rPr>
              <w:t>egenerative nervous system disorders except extrapyramidal and movements disorders</w:t>
            </w:r>
          </w:p>
        </w:tc>
        <w:tc>
          <w:tcPr>
            <w:cnfStyle w:val="000010000000" w:firstRow="0" w:lastRow="0" w:firstColumn="0" w:lastColumn="0" w:oddVBand="1" w:evenVBand="0" w:oddHBand="0" w:evenHBand="0" w:firstRowFirstColumn="0" w:firstRowLastColumn="0" w:lastRowFirstColumn="0" w:lastRowLastColumn="0"/>
            <w:tcW w:w="4875" w:type="dxa"/>
            <w:vMerge/>
          </w:tcPr>
          <w:p w:rsidR="001E4C63" w:rsidRPr="00E27C1C" w:rsidRDefault="001E4C63" w:rsidP="00FA383A">
            <w:pPr>
              <w:pStyle w:val="NoSpacing"/>
            </w:pPr>
          </w:p>
        </w:tc>
      </w:tr>
    </w:tbl>
    <w:p w:rsidR="001E4C63" w:rsidRDefault="001E4C63" w:rsidP="001E4C63">
      <w:pPr>
        <w:rPr>
          <w:rFonts w:cs="Arial"/>
          <w:szCs w:val="22"/>
        </w:rPr>
      </w:pPr>
    </w:p>
    <w:tbl>
      <w:tblPr>
        <w:tblStyle w:val="LightList-Accent1"/>
        <w:tblW w:w="0" w:type="auto"/>
        <w:tblLayout w:type="fixed"/>
        <w:tblLook w:val="0020" w:firstRow="1" w:lastRow="0" w:firstColumn="0" w:lastColumn="0" w:noHBand="0" w:noVBand="0"/>
        <w:tblCaption w:val="MDC 02 Diseases and Disorders of the Eye"/>
        <w:tblDescription w:val="Table of two columns, the first column listing proposed presenting problem/diagnosis-type groupings and the second column listing proposed intervention-type groupings for MDC 02 Diseases and disorders of the eye."/>
      </w:tblPr>
      <w:tblGrid>
        <w:gridCol w:w="4786"/>
        <w:gridCol w:w="4875"/>
      </w:tblGrid>
      <w:tr w:rsidR="001E4C63" w:rsidRPr="00E27C1C">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9661" w:type="dxa"/>
            <w:gridSpan w:val="2"/>
          </w:tcPr>
          <w:p w:rsidR="001E4C63" w:rsidRPr="00E27C1C" w:rsidRDefault="001E4C63" w:rsidP="00FA383A">
            <w:pPr>
              <w:pStyle w:val="NoSpacing"/>
              <w:rPr>
                <w:b w:val="0"/>
              </w:rPr>
            </w:pPr>
            <w:r w:rsidRPr="00E27C1C">
              <w:t>MDC 02 Diseases and Disorders of the Eye</w:t>
            </w:r>
          </w:p>
        </w:tc>
      </w:tr>
      <w:tr w:rsidR="005F38D0" w:rsidRPr="00E27C1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786" w:type="dxa"/>
          </w:tcPr>
          <w:p w:rsidR="005F38D0" w:rsidRPr="005F38D0" w:rsidRDefault="005F38D0" w:rsidP="00344411">
            <w:pPr>
              <w:pStyle w:val="NoSpacing"/>
              <w:rPr>
                <w:b/>
              </w:rPr>
            </w:pPr>
            <w:r w:rsidRPr="005F38D0">
              <w:rPr>
                <w:b/>
              </w:rPr>
              <w:t>Proposed presenting problem / diagnosis-type groupings</w:t>
            </w:r>
          </w:p>
        </w:tc>
        <w:tc>
          <w:tcPr>
            <w:tcW w:w="4875" w:type="dxa"/>
          </w:tcPr>
          <w:p w:rsidR="005F38D0" w:rsidRPr="00942BF6" w:rsidRDefault="005F38D0" w:rsidP="00344411">
            <w:pPr>
              <w:pStyle w:val="NoSpacing"/>
              <w:cnfStyle w:val="000000100000" w:firstRow="0" w:lastRow="0" w:firstColumn="0" w:lastColumn="0" w:oddVBand="0" w:evenVBand="0" w:oddHBand="1" w:evenHBand="0" w:firstRowFirstColumn="0" w:firstRowLastColumn="0" w:lastRowFirstColumn="0" w:lastRowLastColumn="0"/>
              <w:rPr>
                <w:b/>
              </w:rPr>
            </w:pPr>
            <w:r w:rsidRPr="00942BF6">
              <w:rPr>
                <w:b/>
              </w:rPr>
              <w:t>Proposed intervention</w:t>
            </w:r>
            <w:r>
              <w:rPr>
                <w:b/>
              </w:rPr>
              <w:t>-type</w:t>
            </w:r>
            <w:r w:rsidRPr="00942BF6">
              <w:rPr>
                <w:b/>
              </w:rPr>
              <w:t xml:space="preserve"> groupings</w:t>
            </w:r>
          </w:p>
        </w:tc>
      </w:tr>
      <w:tr w:rsidR="001E4C63" w:rsidRPr="00E27C1C">
        <w:tc>
          <w:tcPr>
            <w:cnfStyle w:val="000010000000" w:firstRow="0" w:lastRow="0" w:firstColumn="0" w:lastColumn="0" w:oddVBand="1" w:evenVBand="0" w:oddHBand="0" w:evenHBand="0" w:firstRowFirstColumn="0" w:firstRowLastColumn="0" w:lastRowFirstColumn="0" w:lastRowLastColumn="0"/>
            <w:tcW w:w="4786" w:type="dxa"/>
          </w:tcPr>
          <w:p w:rsidR="001E4C63" w:rsidRPr="00E27C1C" w:rsidRDefault="001E4C63" w:rsidP="00FA383A">
            <w:pPr>
              <w:pStyle w:val="NoSpacing"/>
            </w:pPr>
            <w:r w:rsidRPr="00E27C1C">
              <w:t>Cataract</w:t>
            </w:r>
          </w:p>
        </w:tc>
        <w:tc>
          <w:tcPr>
            <w:tcW w:w="4875" w:type="dxa"/>
            <w:vMerge w:val="restart"/>
          </w:tcPr>
          <w:p w:rsidR="001E4C63" w:rsidRPr="00E27C1C" w:rsidRDefault="001E4C63" w:rsidP="009768EE">
            <w:pPr>
              <w:pStyle w:val="NoSpacing"/>
              <w:numPr>
                <w:ilvl w:val="0"/>
                <w:numId w:val="18"/>
              </w:numPr>
              <w:ind w:left="275" w:hanging="275"/>
              <w:cnfStyle w:val="000000000000" w:firstRow="0" w:lastRow="0" w:firstColumn="0" w:lastColumn="0" w:oddVBand="0" w:evenVBand="0" w:oddHBand="0" w:evenHBand="0" w:firstRowFirstColumn="0" w:firstRowLastColumn="0" w:lastRowFirstColumn="0" w:lastRowLastColumn="0"/>
            </w:pPr>
            <w:r>
              <w:t>C</w:t>
            </w:r>
            <w:r w:rsidRPr="00E27C1C">
              <w:t>ataract extraction</w:t>
            </w:r>
          </w:p>
          <w:p w:rsidR="001E4C63" w:rsidRDefault="001E4C63" w:rsidP="009768EE">
            <w:pPr>
              <w:pStyle w:val="NoSpacing"/>
              <w:numPr>
                <w:ilvl w:val="0"/>
                <w:numId w:val="18"/>
              </w:numPr>
              <w:ind w:left="275" w:hanging="275"/>
              <w:cnfStyle w:val="000000000000" w:firstRow="0" w:lastRow="0" w:firstColumn="0" w:lastColumn="0" w:oddVBand="0" w:evenVBand="0" w:oddHBand="0" w:evenHBand="0" w:firstRowFirstColumn="0" w:firstRowLastColumn="0" w:lastRowFirstColumn="0" w:lastRowLastColumn="0"/>
            </w:pPr>
            <w:r>
              <w:t>C</w:t>
            </w:r>
            <w:r w:rsidRPr="00E27C1C">
              <w:t xml:space="preserve">orneal grafting (keratoplasty) </w:t>
            </w:r>
          </w:p>
          <w:p w:rsidR="001E4C63" w:rsidRDefault="001E4C63" w:rsidP="009768EE">
            <w:pPr>
              <w:pStyle w:val="NoSpacing"/>
              <w:numPr>
                <w:ilvl w:val="0"/>
                <w:numId w:val="18"/>
              </w:numPr>
              <w:ind w:left="275" w:hanging="275"/>
              <w:cnfStyle w:val="000000000000" w:firstRow="0" w:lastRow="0" w:firstColumn="0" w:lastColumn="0" w:oddVBand="0" w:evenVBand="0" w:oddHBand="0" w:evenHBand="0" w:firstRowFirstColumn="0" w:firstRowLastColumn="0" w:lastRowFirstColumn="0" w:lastRowLastColumn="0"/>
            </w:pPr>
            <w:r>
              <w:lastRenderedPageBreak/>
              <w:t>D</w:t>
            </w:r>
            <w:r w:rsidRPr="00E27C1C">
              <w:t xml:space="preserve">acyrocystorhinostomy </w:t>
            </w:r>
          </w:p>
          <w:p w:rsidR="001E4C63" w:rsidRPr="00E27C1C" w:rsidRDefault="001E4C63" w:rsidP="009768EE">
            <w:pPr>
              <w:pStyle w:val="NoSpacing"/>
              <w:numPr>
                <w:ilvl w:val="0"/>
                <w:numId w:val="18"/>
              </w:numPr>
              <w:ind w:left="275" w:hanging="275"/>
              <w:cnfStyle w:val="000000000000" w:firstRow="0" w:lastRow="0" w:firstColumn="0" w:lastColumn="0" w:oddVBand="0" w:evenVBand="0" w:oddHBand="0" w:evenHBand="0" w:firstRowFirstColumn="0" w:firstRowLastColumn="0" w:lastRowFirstColumn="0" w:lastRowLastColumn="0"/>
            </w:pPr>
            <w:r>
              <w:t>E</w:t>
            </w:r>
            <w:r w:rsidRPr="00E27C1C">
              <w:t xml:space="preserve">yelid procedures (blepharoplasty) </w:t>
            </w:r>
          </w:p>
          <w:p w:rsidR="001E4C63" w:rsidRDefault="001E4C63" w:rsidP="009768EE">
            <w:pPr>
              <w:pStyle w:val="NoSpacing"/>
              <w:numPr>
                <w:ilvl w:val="0"/>
                <w:numId w:val="18"/>
              </w:numPr>
              <w:ind w:left="275" w:hanging="275"/>
              <w:cnfStyle w:val="000000000000" w:firstRow="0" w:lastRow="0" w:firstColumn="0" w:lastColumn="0" w:oddVBand="0" w:evenVBand="0" w:oddHBand="0" w:evenHBand="0" w:firstRowFirstColumn="0" w:firstRowLastColumn="0" w:lastRowFirstColumn="0" w:lastRowLastColumn="0"/>
            </w:pPr>
            <w:r>
              <w:t>G</w:t>
            </w:r>
            <w:r w:rsidRPr="00E27C1C">
              <w:t xml:space="preserve">laucoma procedures </w:t>
            </w:r>
          </w:p>
          <w:p w:rsidR="001E4C63" w:rsidRDefault="001E4C63" w:rsidP="009768EE">
            <w:pPr>
              <w:pStyle w:val="NoSpacing"/>
              <w:numPr>
                <w:ilvl w:val="0"/>
                <w:numId w:val="18"/>
              </w:numPr>
              <w:ind w:left="275" w:hanging="275"/>
              <w:cnfStyle w:val="000000000000" w:firstRow="0" w:lastRow="0" w:firstColumn="0" w:lastColumn="0" w:oddVBand="0" w:evenVBand="0" w:oddHBand="0" w:evenHBand="0" w:firstRowFirstColumn="0" w:firstRowLastColumn="0" w:lastRowFirstColumn="0" w:lastRowLastColumn="0"/>
            </w:pPr>
            <w:r>
              <w:t>L</w:t>
            </w:r>
            <w:r w:rsidRPr="00E27C1C">
              <w:t xml:space="preserve">acrimal procedures </w:t>
            </w:r>
          </w:p>
          <w:p w:rsidR="001E4C63" w:rsidRPr="00E27C1C" w:rsidRDefault="001E4C63" w:rsidP="009768EE">
            <w:pPr>
              <w:pStyle w:val="NoSpacing"/>
              <w:numPr>
                <w:ilvl w:val="0"/>
                <w:numId w:val="18"/>
              </w:numPr>
              <w:ind w:left="275" w:hanging="275"/>
              <w:cnfStyle w:val="000000000000" w:firstRow="0" w:lastRow="0" w:firstColumn="0" w:lastColumn="0" w:oddVBand="0" w:evenVBand="0" w:oddHBand="0" w:evenHBand="0" w:firstRowFirstColumn="0" w:firstRowLastColumn="0" w:lastRowFirstColumn="0" w:lastRowLastColumn="0"/>
            </w:pPr>
            <w:r>
              <w:t>O</w:t>
            </w:r>
            <w:r w:rsidRPr="00E27C1C">
              <w:t xml:space="preserve">phthalmic procedures for trauma </w:t>
            </w:r>
          </w:p>
          <w:p w:rsidR="001E4C63" w:rsidRDefault="001E4C63" w:rsidP="009768EE">
            <w:pPr>
              <w:pStyle w:val="NoSpacing"/>
              <w:numPr>
                <w:ilvl w:val="0"/>
                <w:numId w:val="18"/>
              </w:numPr>
              <w:ind w:left="275" w:hanging="275"/>
              <w:cnfStyle w:val="000000000000" w:firstRow="0" w:lastRow="0" w:firstColumn="0" w:lastColumn="0" w:oddVBand="0" w:evenVBand="0" w:oddHBand="0" w:evenHBand="0" w:firstRowFirstColumn="0" w:firstRowLastColumn="0" w:lastRowFirstColumn="0" w:lastRowLastColumn="0"/>
            </w:pPr>
            <w:r>
              <w:t>P</w:t>
            </w:r>
            <w:r w:rsidRPr="00E27C1C">
              <w:t xml:space="preserve">terygium removal </w:t>
            </w:r>
          </w:p>
          <w:p w:rsidR="001E4C63" w:rsidRPr="00E27C1C" w:rsidRDefault="001E4C63" w:rsidP="009768EE">
            <w:pPr>
              <w:pStyle w:val="NoSpacing"/>
              <w:numPr>
                <w:ilvl w:val="0"/>
                <w:numId w:val="18"/>
              </w:numPr>
              <w:ind w:left="275" w:hanging="275"/>
              <w:cnfStyle w:val="000000000000" w:firstRow="0" w:lastRow="0" w:firstColumn="0" w:lastColumn="0" w:oddVBand="0" w:evenVBand="0" w:oddHBand="0" w:evenHBand="0" w:firstRowFirstColumn="0" w:firstRowLastColumn="0" w:lastRowFirstColumn="0" w:lastRowLastColumn="0"/>
            </w:pPr>
            <w:r>
              <w:t>R</w:t>
            </w:r>
            <w:r w:rsidRPr="00E27C1C">
              <w:t xml:space="preserve">efraction correction procedures </w:t>
            </w:r>
          </w:p>
          <w:p w:rsidR="001E4C63" w:rsidRPr="00E27C1C" w:rsidRDefault="001E4C63" w:rsidP="009768EE">
            <w:pPr>
              <w:pStyle w:val="NoSpacing"/>
              <w:numPr>
                <w:ilvl w:val="0"/>
                <w:numId w:val="18"/>
              </w:numPr>
              <w:ind w:left="275" w:hanging="275"/>
              <w:cnfStyle w:val="000000000000" w:firstRow="0" w:lastRow="0" w:firstColumn="0" w:lastColumn="0" w:oddVBand="0" w:evenVBand="0" w:oddHBand="0" w:evenHBand="0" w:firstRowFirstColumn="0" w:firstRowLastColumn="0" w:lastRowFirstColumn="0" w:lastRowLastColumn="0"/>
            </w:pPr>
            <w:r>
              <w:t>R</w:t>
            </w:r>
            <w:r w:rsidRPr="00E27C1C">
              <w:t xml:space="preserve">etinal detachment procedures (simple repairs) </w:t>
            </w:r>
          </w:p>
          <w:p w:rsidR="001E4C63" w:rsidRPr="00E27C1C" w:rsidRDefault="001E4C63" w:rsidP="009768EE">
            <w:pPr>
              <w:pStyle w:val="NoSpacing"/>
              <w:numPr>
                <w:ilvl w:val="0"/>
                <w:numId w:val="18"/>
              </w:numPr>
              <w:ind w:left="275" w:hanging="275"/>
              <w:cnfStyle w:val="000000000000" w:firstRow="0" w:lastRow="0" w:firstColumn="0" w:lastColumn="0" w:oddVBand="0" w:evenVBand="0" w:oddHBand="0" w:evenHBand="0" w:firstRowFirstColumn="0" w:firstRowLastColumn="0" w:lastRowFirstColumn="0" w:lastRowLastColumn="0"/>
            </w:pPr>
            <w:r>
              <w:t>S</w:t>
            </w:r>
            <w:r w:rsidRPr="00E27C1C">
              <w:t xml:space="preserve">trabismus repair </w:t>
            </w:r>
          </w:p>
          <w:p w:rsidR="001E4C63" w:rsidRPr="00E27C1C" w:rsidRDefault="001E4C63" w:rsidP="009768EE">
            <w:pPr>
              <w:pStyle w:val="NoSpacing"/>
              <w:numPr>
                <w:ilvl w:val="0"/>
                <w:numId w:val="18"/>
              </w:numPr>
              <w:ind w:left="275" w:hanging="275"/>
              <w:cnfStyle w:val="000000000000" w:firstRow="0" w:lastRow="0" w:firstColumn="0" w:lastColumn="0" w:oddVBand="0" w:evenVBand="0" w:oddHBand="0" w:evenHBand="0" w:firstRowFirstColumn="0" w:firstRowLastColumn="0" w:lastRowFirstColumn="0" w:lastRowLastColumn="0"/>
            </w:pPr>
            <w:r>
              <w:t>O</w:t>
            </w:r>
            <w:r w:rsidRPr="00E27C1C">
              <w:t xml:space="preserve">ther eye procedures </w:t>
            </w:r>
          </w:p>
        </w:tc>
      </w:tr>
      <w:tr w:rsidR="001E4C63" w:rsidRPr="00E27C1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786" w:type="dxa"/>
          </w:tcPr>
          <w:p w:rsidR="001E4C63" w:rsidRPr="00E27C1C" w:rsidRDefault="001E4C63" w:rsidP="00FA383A">
            <w:pPr>
              <w:pStyle w:val="NoSpacing"/>
            </w:pPr>
            <w:r w:rsidRPr="00E27C1C">
              <w:t>Glaucoma</w:t>
            </w:r>
          </w:p>
        </w:tc>
        <w:tc>
          <w:tcPr>
            <w:tcW w:w="4875" w:type="dxa"/>
            <w:vMerge/>
          </w:tcPr>
          <w:p w:rsidR="001E4C63" w:rsidRPr="00E27C1C" w:rsidRDefault="001E4C63" w:rsidP="00FA383A">
            <w:pPr>
              <w:pStyle w:val="NoSpacing"/>
              <w:cnfStyle w:val="000000100000" w:firstRow="0" w:lastRow="0" w:firstColumn="0" w:lastColumn="0" w:oddVBand="0" w:evenVBand="0" w:oddHBand="1" w:evenHBand="0" w:firstRowFirstColumn="0" w:firstRowLastColumn="0" w:lastRowFirstColumn="0" w:lastRowLastColumn="0"/>
            </w:pPr>
          </w:p>
        </w:tc>
      </w:tr>
      <w:tr w:rsidR="001E4C63" w:rsidRPr="00E27C1C">
        <w:tc>
          <w:tcPr>
            <w:cnfStyle w:val="000010000000" w:firstRow="0" w:lastRow="0" w:firstColumn="0" w:lastColumn="0" w:oddVBand="1" w:evenVBand="0" w:oddHBand="0" w:evenHBand="0" w:firstRowFirstColumn="0" w:firstRowLastColumn="0" w:lastRowFirstColumn="0" w:lastRowLastColumn="0"/>
            <w:tcW w:w="4786" w:type="dxa"/>
          </w:tcPr>
          <w:p w:rsidR="001E4C63" w:rsidRPr="00E27C1C" w:rsidRDefault="001E4C63" w:rsidP="00FA383A">
            <w:pPr>
              <w:pStyle w:val="NoSpacing"/>
            </w:pPr>
            <w:r w:rsidRPr="00E27C1C">
              <w:t xml:space="preserve">Infection eye </w:t>
            </w:r>
          </w:p>
          <w:p w:rsidR="001E4C63" w:rsidRPr="00E27C1C" w:rsidRDefault="001E4C63" w:rsidP="009768EE">
            <w:pPr>
              <w:pStyle w:val="NoSpacing"/>
              <w:numPr>
                <w:ilvl w:val="0"/>
                <w:numId w:val="20"/>
              </w:numPr>
              <w:ind w:left="284" w:hanging="284"/>
            </w:pPr>
            <w:r w:rsidRPr="00E27C1C">
              <w:lastRenderedPageBreak/>
              <w:t>acute and major eye infections</w:t>
            </w:r>
          </w:p>
          <w:p w:rsidR="001E4C63" w:rsidRPr="00E27C1C" w:rsidRDefault="001E4C63" w:rsidP="009768EE">
            <w:pPr>
              <w:pStyle w:val="NoSpacing"/>
              <w:numPr>
                <w:ilvl w:val="0"/>
                <w:numId w:val="20"/>
              </w:numPr>
              <w:ind w:left="284" w:hanging="284"/>
            </w:pPr>
            <w:r w:rsidRPr="00E27C1C">
              <w:t>inflammatory diseases of the eye</w:t>
            </w:r>
          </w:p>
        </w:tc>
        <w:tc>
          <w:tcPr>
            <w:tcW w:w="4875" w:type="dxa"/>
            <w:vMerge/>
          </w:tcPr>
          <w:p w:rsidR="001E4C63" w:rsidRPr="00E27C1C" w:rsidRDefault="001E4C63" w:rsidP="00FA383A">
            <w:pPr>
              <w:pStyle w:val="NoSpacing"/>
              <w:cnfStyle w:val="000000000000" w:firstRow="0" w:lastRow="0" w:firstColumn="0" w:lastColumn="0" w:oddVBand="0" w:evenVBand="0" w:oddHBand="0" w:evenHBand="0" w:firstRowFirstColumn="0" w:firstRowLastColumn="0" w:lastRowFirstColumn="0" w:lastRowLastColumn="0"/>
            </w:pPr>
          </w:p>
        </w:tc>
      </w:tr>
      <w:tr w:rsidR="001E4C63" w:rsidRPr="00E27C1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786" w:type="dxa"/>
          </w:tcPr>
          <w:p w:rsidR="001E4C63" w:rsidRPr="00E27C1C" w:rsidRDefault="001E4C63" w:rsidP="00FA383A">
            <w:pPr>
              <w:pStyle w:val="NoSpacing"/>
            </w:pPr>
            <w:r w:rsidRPr="00E27C1C">
              <w:lastRenderedPageBreak/>
              <w:t xml:space="preserve">Neoplasm of eye </w:t>
            </w:r>
          </w:p>
        </w:tc>
        <w:tc>
          <w:tcPr>
            <w:tcW w:w="4875" w:type="dxa"/>
            <w:vMerge/>
          </w:tcPr>
          <w:p w:rsidR="001E4C63" w:rsidRPr="00E27C1C" w:rsidRDefault="001E4C63" w:rsidP="00FA383A">
            <w:pPr>
              <w:pStyle w:val="NoSpacing"/>
              <w:cnfStyle w:val="000000100000" w:firstRow="0" w:lastRow="0" w:firstColumn="0" w:lastColumn="0" w:oddVBand="0" w:evenVBand="0" w:oddHBand="1" w:evenHBand="0" w:firstRowFirstColumn="0" w:firstRowLastColumn="0" w:lastRowFirstColumn="0" w:lastRowLastColumn="0"/>
            </w:pPr>
          </w:p>
        </w:tc>
      </w:tr>
      <w:tr w:rsidR="001E4C63" w:rsidRPr="00E27C1C">
        <w:tc>
          <w:tcPr>
            <w:cnfStyle w:val="000010000000" w:firstRow="0" w:lastRow="0" w:firstColumn="0" w:lastColumn="0" w:oddVBand="1" w:evenVBand="0" w:oddHBand="0" w:evenHBand="0" w:firstRowFirstColumn="0" w:firstRowLastColumn="0" w:lastRowFirstColumn="0" w:lastRowLastColumn="0"/>
            <w:tcW w:w="4786" w:type="dxa"/>
          </w:tcPr>
          <w:p w:rsidR="001E4C63" w:rsidRPr="00EF6ED1" w:rsidRDefault="001E4C63" w:rsidP="00FA383A">
            <w:pPr>
              <w:pStyle w:val="NoSpacing"/>
            </w:pPr>
            <w:r w:rsidRPr="00EF6ED1">
              <w:t xml:space="preserve">Injury/trauma to eye </w:t>
            </w:r>
          </w:p>
          <w:p w:rsidR="001E4C63" w:rsidRDefault="001E4C63" w:rsidP="009768EE">
            <w:pPr>
              <w:pStyle w:val="NoSpacing"/>
              <w:numPr>
                <w:ilvl w:val="0"/>
                <w:numId w:val="21"/>
              </w:numPr>
              <w:ind w:left="284" w:hanging="284"/>
            </w:pPr>
            <w:r w:rsidRPr="00EF6ED1">
              <w:t>penetrating eye injury</w:t>
            </w:r>
          </w:p>
          <w:p w:rsidR="001E4C63" w:rsidRPr="00FD4A35" w:rsidRDefault="001E4C63" w:rsidP="009768EE">
            <w:pPr>
              <w:pStyle w:val="NoSpacing"/>
              <w:numPr>
                <w:ilvl w:val="0"/>
                <w:numId w:val="21"/>
              </w:numPr>
              <w:ind w:left="284" w:hanging="284"/>
            </w:pPr>
            <w:r w:rsidRPr="00FD4A35">
              <w:t>hyphaema</w:t>
            </w:r>
          </w:p>
        </w:tc>
        <w:tc>
          <w:tcPr>
            <w:tcW w:w="4875" w:type="dxa"/>
            <w:vMerge/>
          </w:tcPr>
          <w:p w:rsidR="001E4C63" w:rsidRPr="00E27C1C" w:rsidRDefault="001E4C63" w:rsidP="00FA383A">
            <w:pPr>
              <w:pStyle w:val="NoSpacing"/>
              <w:cnfStyle w:val="000000000000" w:firstRow="0" w:lastRow="0" w:firstColumn="0" w:lastColumn="0" w:oddVBand="0" w:evenVBand="0" w:oddHBand="0" w:evenHBand="0" w:firstRowFirstColumn="0" w:firstRowLastColumn="0" w:lastRowFirstColumn="0" w:lastRowLastColumn="0"/>
            </w:pPr>
          </w:p>
        </w:tc>
      </w:tr>
      <w:tr w:rsidR="001E4C63" w:rsidRPr="00E27C1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786" w:type="dxa"/>
          </w:tcPr>
          <w:p w:rsidR="001E4C63" w:rsidRPr="00E27C1C" w:rsidRDefault="001E4C63" w:rsidP="00882C44">
            <w:pPr>
              <w:pStyle w:val="NoSpacing"/>
            </w:pPr>
            <w:r w:rsidRPr="00E27C1C">
              <w:t xml:space="preserve">Neurological &amp; vascular disorders of the eye </w:t>
            </w:r>
          </w:p>
        </w:tc>
        <w:tc>
          <w:tcPr>
            <w:tcW w:w="4875" w:type="dxa"/>
            <w:vMerge/>
          </w:tcPr>
          <w:p w:rsidR="001E4C63" w:rsidRPr="00E27C1C" w:rsidRDefault="001E4C63" w:rsidP="00FA383A">
            <w:pPr>
              <w:pStyle w:val="NoSpacing"/>
              <w:cnfStyle w:val="000000100000" w:firstRow="0" w:lastRow="0" w:firstColumn="0" w:lastColumn="0" w:oddVBand="0" w:evenVBand="0" w:oddHBand="1" w:evenHBand="0" w:firstRowFirstColumn="0" w:firstRowLastColumn="0" w:lastRowFirstColumn="0" w:lastRowLastColumn="0"/>
            </w:pPr>
          </w:p>
        </w:tc>
      </w:tr>
      <w:tr w:rsidR="001E4C63" w:rsidRPr="00E27C1C">
        <w:tc>
          <w:tcPr>
            <w:cnfStyle w:val="000010000000" w:firstRow="0" w:lastRow="0" w:firstColumn="0" w:lastColumn="0" w:oddVBand="1" w:evenVBand="0" w:oddHBand="0" w:evenHBand="0" w:firstRowFirstColumn="0" w:firstRowLastColumn="0" w:lastRowFirstColumn="0" w:lastRowLastColumn="0"/>
            <w:tcW w:w="4786" w:type="dxa"/>
          </w:tcPr>
          <w:p w:rsidR="001E4C63" w:rsidRPr="00E27C1C" w:rsidRDefault="001E4C63" w:rsidP="00FA383A">
            <w:pPr>
              <w:pStyle w:val="NoSpacing"/>
            </w:pPr>
            <w:r>
              <w:t>S</w:t>
            </w:r>
            <w:r w:rsidRPr="00E27C1C">
              <w:t>igns</w:t>
            </w:r>
            <w:r>
              <w:t xml:space="preserve"> or</w:t>
            </w:r>
            <w:r w:rsidRPr="00E27C1C">
              <w:t xml:space="preserve"> symptoms</w:t>
            </w:r>
            <w:r>
              <w:t xml:space="preserve"> of the eye</w:t>
            </w:r>
          </w:p>
        </w:tc>
        <w:tc>
          <w:tcPr>
            <w:tcW w:w="4875" w:type="dxa"/>
            <w:vMerge/>
          </w:tcPr>
          <w:p w:rsidR="001E4C63" w:rsidRPr="00E27C1C" w:rsidRDefault="001E4C63" w:rsidP="00FA383A">
            <w:pPr>
              <w:pStyle w:val="NoSpacing"/>
              <w:cnfStyle w:val="000000000000" w:firstRow="0" w:lastRow="0" w:firstColumn="0" w:lastColumn="0" w:oddVBand="0" w:evenVBand="0" w:oddHBand="0" w:evenHBand="0" w:firstRowFirstColumn="0" w:firstRowLastColumn="0" w:lastRowFirstColumn="0" w:lastRowLastColumn="0"/>
            </w:pPr>
          </w:p>
        </w:tc>
      </w:tr>
      <w:tr w:rsidR="001E4C63" w:rsidRPr="00E27C1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786" w:type="dxa"/>
          </w:tcPr>
          <w:p w:rsidR="001E4C63" w:rsidRPr="00E27C1C" w:rsidRDefault="001E4C63" w:rsidP="00FA383A">
            <w:pPr>
              <w:pStyle w:val="NoSpacing"/>
            </w:pPr>
            <w:r w:rsidRPr="00E27C1C">
              <w:t>Other disorder of the eye and adnexa</w:t>
            </w:r>
          </w:p>
          <w:p w:rsidR="001E4C63" w:rsidRPr="00E27C1C" w:rsidRDefault="001E4C63" w:rsidP="009768EE">
            <w:pPr>
              <w:pStyle w:val="NoSpacing"/>
              <w:numPr>
                <w:ilvl w:val="0"/>
                <w:numId w:val="22"/>
              </w:numPr>
              <w:ind w:left="284" w:hanging="284"/>
            </w:pPr>
            <w:r w:rsidRPr="00E27C1C">
              <w:t xml:space="preserve">choroid </w:t>
            </w:r>
          </w:p>
          <w:p w:rsidR="001E4C63" w:rsidRPr="00E27C1C" w:rsidRDefault="001E4C63" w:rsidP="009768EE">
            <w:pPr>
              <w:pStyle w:val="NoSpacing"/>
              <w:numPr>
                <w:ilvl w:val="0"/>
                <w:numId w:val="22"/>
              </w:numPr>
              <w:ind w:left="284" w:hanging="284"/>
            </w:pPr>
            <w:r w:rsidRPr="00E27C1C">
              <w:t xml:space="preserve">eyelid </w:t>
            </w:r>
          </w:p>
          <w:p w:rsidR="001E4C63" w:rsidRPr="00E27C1C" w:rsidRDefault="001E4C63" w:rsidP="009768EE">
            <w:pPr>
              <w:pStyle w:val="NoSpacing"/>
              <w:numPr>
                <w:ilvl w:val="0"/>
                <w:numId w:val="22"/>
              </w:numPr>
              <w:ind w:left="284" w:hanging="284"/>
            </w:pPr>
            <w:r w:rsidRPr="00E27C1C">
              <w:t xml:space="preserve">lacrimal system </w:t>
            </w:r>
          </w:p>
          <w:p w:rsidR="001E4C63" w:rsidRPr="00E27C1C" w:rsidRDefault="001E4C63" w:rsidP="009768EE">
            <w:pPr>
              <w:pStyle w:val="NoSpacing"/>
              <w:numPr>
                <w:ilvl w:val="0"/>
                <w:numId w:val="22"/>
              </w:numPr>
              <w:ind w:left="284" w:hanging="284"/>
            </w:pPr>
            <w:r w:rsidRPr="00E27C1C">
              <w:t xml:space="preserve">orbit </w:t>
            </w:r>
          </w:p>
          <w:p w:rsidR="001E4C63" w:rsidRPr="00E27C1C" w:rsidRDefault="001E4C63" w:rsidP="009768EE">
            <w:pPr>
              <w:pStyle w:val="NoSpacing"/>
              <w:numPr>
                <w:ilvl w:val="0"/>
                <w:numId w:val="22"/>
              </w:numPr>
              <w:ind w:left="284" w:hanging="284"/>
            </w:pPr>
            <w:r w:rsidRPr="00E27C1C">
              <w:t xml:space="preserve">conjunctiva </w:t>
            </w:r>
          </w:p>
          <w:p w:rsidR="001E4C63" w:rsidRPr="00E27C1C" w:rsidRDefault="001E4C63" w:rsidP="009768EE">
            <w:pPr>
              <w:pStyle w:val="NoSpacing"/>
              <w:numPr>
                <w:ilvl w:val="0"/>
                <w:numId w:val="22"/>
              </w:numPr>
              <w:ind w:left="284" w:hanging="284"/>
            </w:pPr>
            <w:r w:rsidRPr="00E27C1C">
              <w:t xml:space="preserve">cornea </w:t>
            </w:r>
          </w:p>
          <w:p w:rsidR="001E4C63" w:rsidRPr="00E27C1C" w:rsidRDefault="001E4C63" w:rsidP="009768EE">
            <w:pPr>
              <w:pStyle w:val="NoSpacing"/>
              <w:numPr>
                <w:ilvl w:val="0"/>
                <w:numId w:val="22"/>
              </w:numPr>
              <w:ind w:left="284" w:hanging="284"/>
            </w:pPr>
            <w:r w:rsidRPr="00E27C1C">
              <w:t xml:space="preserve">lens, except cataract </w:t>
            </w:r>
          </w:p>
          <w:p w:rsidR="001E4C63" w:rsidRDefault="001E4C63" w:rsidP="009768EE">
            <w:pPr>
              <w:pStyle w:val="NoSpacing"/>
              <w:numPr>
                <w:ilvl w:val="0"/>
                <w:numId w:val="22"/>
              </w:numPr>
              <w:ind w:left="284" w:hanging="284"/>
            </w:pPr>
            <w:r w:rsidRPr="00E27C1C">
              <w:t>ocular muscles</w:t>
            </w:r>
          </w:p>
          <w:p w:rsidR="001E4C63" w:rsidRPr="002A6B38" w:rsidRDefault="001E4C63" w:rsidP="009768EE">
            <w:pPr>
              <w:pStyle w:val="NoSpacing"/>
              <w:numPr>
                <w:ilvl w:val="0"/>
                <w:numId w:val="22"/>
              </w:numPr>
              <w:ind w:left="284" w:hanging="284"/>
            </w:pPr>
            <w:r w:rsidRPr="002A6B38">
              <w:t xml:space="preserve">retina </w:t>
            </w:r>
          </w:p>
        </w:tc>
        <w:tc>
          <w:tcPr>
            <w:tcW w:w="4875" w:type="dxa"/>
            <w:vMerge/>
          </w:tcPr>
          <w:p w:rsidR="001E4C63" w:rsidRPr="00E27C1C" w:rsidRDefault="001E4C63" w:rsidP="00FA383A">
            <w:pPr>
              <w:pStyle w:val="NoSpacing"/>
              <w:cnfStyle w:val="000000100000" w:firstRow="0" w:lastRow="0" w:firstColumn="0" w:lastColumn="0" w:oddVBand="0" w:evenVBand="0" w:oddHBand="1" w:evenHBand="0" w:firstRowFirstColumn="0" w:firstRowLastColumn="0" w:lastRowFirstColumn="0" w:lastRowLastColumn="0"/>
            </w:pPr>
          </w:p>
        </w:tc>
      </w:tr>
    </w:tbl>
    <w:p w:rsidR="001E4C63" w:rsidRPr="00E27C1C" w:rsidRDefault="001E4C63" w:rsidP="001E4C63">
      <w:pPr>
        <w:rPr>
          <w:rFonts w:cs="Arial"/>
          <w:szCs w:val="22"/>
        </w:rPr>
      </w:pPr>
    </w:p>
    <w:tbl>
      <w:tblPr>
        <w:tblStyle w:val="LightList-Accent1"/>
        <w:tblW w:w="0" w:type="auto"/>
        <w:tblLook w:val="00A0" w:firstRow="1" w:lastRow="0" w:firstColumn="1" w:lastColumn="0" w:noHBand="0" w:noVBand="0"/>
        <w:tblCaption w:val="MDC 03 Diseases and disorders of the ear, nose, mouth and throat"/>
        <w:tblDescription w:val="Table of two columns, the first column listing proposed presenting problem/diagnosis-type groupings and the second column listing proposed intervention-type groupings for MDC 03 Diseases and disorders of the ear, nose, mouth and throat."/>
      </w:tblPr>
      <w:tblGrid>
        <w:gridCol w:w="4786"/>
        <w:gridCol w:w="4875"/>
      </w:tblGrid>
      <w:tr w:rsidR="001E4C63" w:rsidRPr="00E27C1C" w:rsidTr="00A966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661" w:type="dxa"/>
            <w:gridSpan w:val="2"/>
          </w:tcPr>
          <w:p w:rsidR="001E4C63" w:rsidRPr="00E27C1C" w:rsidRDefault="001E4C63" w:rsidP="00FA383A">
            <w:pPr>
              <w:pStyle w:val="NoSpacing"/>
            </w:pPr>
            <w:r w:rsidRPr="00E27C1C">
              <w:t>MDC 03 Diseases and Disorders of the Ear, Nose, Mouth and Throat</w:t>
            </w:r>
          </w:p>
        </w:tc>
      </w:tr>
      <w:tr w:rsidR="005F38D0" w:rsidRPr="00E27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5F38D0" w:rsidRPr="005F38D0" w:rsidRDefault="005F38D0" w:rsidP="00344411">
            <w:pPr>
              <w:pStyle w:val="NoSpacing"/>
            </w:pPr>
            <w:r w:rsidRPr="005F38D0">
              <w:t>Proposed presenting problem / diagnosis-type groupings</w:t>
            </w:r>
          </w:p>
        </w:tc>
        <w:tc>
          <w:tcPr>
            <w:cnfStyle w:val="000010000000" w:firstRow="0" w:lastRow="0" w:firstColumn="0" w:lastColumn="0" w:oddVBand="1" w:evenVBand="0" w:oddHBand="0" w:evenHBand="0" w:firstRowFirstColumn="0" w:firstRowLastColumn="0" w:lastRowFirstColumn="0" w:lastRowLastColumn="0"/>
            <w:tcW w:w="4875" w:type="dxa"/>
          </w:tcPr>
          <w:p w:rsidR="005F38D0" w:rsidRPr="005F38D0" w:rsidRDefault="005F38D0" w:rsidP="00344411">
            <w:pPr>
              <w:pStyle w:val="NoSpacing"/>
              <w:rPr>
                <w:b/>
              </w:rPr>
            </w:pPr>
            <w:r w:rsidRPr="005F38D0">
              <w:rPr>
                <w:b/>
              </w:rPr>
              <w:t>Proposed intervention-type groupings</w:t>
            </w:r>
          </w:p>
        </w:tc>
      </w:tr>
      <w:tr w:rsidR="001E4C63" w:rsidRPr="00E27C1C">
        <w:tc>
          <w:tcPr>
            <w:cnfStyle w:val="001000000000" w:firstRow="0" w:lastRow="0" w:firstColumn="1" w:lastColumn="0" w:oddVBand="0" w:evenVBand="0" w:oddHBand="0" w:evenHBand="0" w:firstRowFirstColumn="0" w:firstRowLastColumn="0" w:lastRowFirstColumn="0" w:lastRowLastColumn="0"/>
            <w:tcW w:w="4786" w:type="dxa"/>
          </w:tcPr>
          <w:p w:rsidR="001E4C63" w:rsidRPr="00E27C1C" w:rsidRDefault="001E4C63" w:rsidP="00882C44">
            <w:pPr>
              <w:pStyle w:val="NoSpacing"/>
              <w:rPr>
                <w:b w:val="0"/>
              </w:rPr>
            </w:pPr>
            <w:r w:rsidRPr="00E27C1C">
              <w:rPr>
                <w:b w:val="0"/>
              </w:rPr>
              <w:t xml:space="preserve">Dysequilibrium </w:t>
            </w:r>
          </w:p>
        </w:tc>
        <w:tc>
          <w:tcPr>
            <w:cnfStyle w:val="000010000000" w:firstRow="0" w:lastRow="0" w:firstColumn="0" w:lastColumn="0" w:oddVBand="1" w:evenVBand="0" w:oddHBand="0" w:evenHBand="0" w:firstRowFirstColumn="0" w:firstRowLastColumn="0" w:lastRowFirstColumn="0" w:lastRowLastColumn="0"/>
            <w:tcW w:w="4875" w:type="dxa"/>
            <w:vMerge w:val="restart"/>
          </w:tcPr>
          <w:p w:rsidR="001E4C63" w:rsidRPr="00E27C1C" w:rsidRDefault="001E4C63" w:rsidP="009768EE">
            <w:pPr>
              <w:pStyle w:val="NoSpacing"/>
              <w:numPr>
                <w:ilvl w:val="0"/>
                <w:numId w:val="23"/>
              </w:numPr>
              <w:ind w:left="317" w:hanging="317"/>
            </w:pPr>
            <w:r w:rsidRPr="00E27C1C">
              <w:t xml:space="preserve">Dental extractions and restorations </w:t>
            </w:r>
          </w:p>
          <w:p w:rsidR="001E4C63" w:rsidRPr="00E27C1C" w:rsidRDefault="001E4C63" w:rsidP="009768EE">
            <w:pPr>
              <w:pStyle w:val="NoSpacing"/>
              <w:numPr>
                <w:ilvl w:val="0"/>
                <w:numId w:val="23"/>
              </w:numPr>
              <w:ind w:left="317" w:hanging="317"/>
            </w:pPr>
            <w:r w:rsidRPr="00E27C1C">
              <w:t xml:space="preserve">Myringotomy with tube insertion </w:t>
            </w:r>
          </w:p>
          <w:p w:rsidR="001E4C63" w:rsidRPr="00E27C1C" w:rsidRDefault="001E4C63" w:rsidP="009768EE">
            <w:pPr>
              <w:pStyle w:val="NoSpacing"/>
              <w:numPr>
                <w:ilvl w:val="0"/>
                <w:numId w:val="23"/>
              </w:numPr>
              <w:ind w:left="317" w:hanging="317"/>
            </w:pPr>
            <w:r w:rsidRPr="00E27C1C">
              <w:t xml:space="preserve">Nasal procedures </w:t>
            </w:r>
          </w:p>
          <w:p w:rsidR="001E4C63" w:rsidRPr="00E27C1C" w:rsidRDefault="001E4C63" w:rsidP="009768EE">
            <w:pPr>
              <w:pStyle w:val="NoSpacing"/>
              <w:numPr>
                <w:ilvl w:val="0"/>
                <w:numId w:val="23"/>
              </w:numPr>
              <w:ind w:left="317" w:hanging="317"/>
            </w:pPr>
            <w:r w:rsidRPr="00E27C1C">
              <w:t xml:space="preserve">Tonsillectomy and adenoidectomy </w:t>
            </w:r>
          </w:p>
          <w:p w:rsidR="001E4C63" w:rsidRDefault="001E4C63" w:rsidP="009768EE">
            <w:pPr>
              <w:pStyle w:val="NoSpacing"/>
              <w:numPr>
                <w:ilvl w:val="0"/>
                <w:numId w:val="23"/>
              </w:numPr>
              <w:ind w:left="317" w:hanging="317"/>
            </w:pPr>
            <w:r w:rsidRPr="00E27C1C">
              <w:t>Upper airway endoscopy</w:t>
            </w:r>
          </w:p>
          <w:p w:rsidR="001E4C63" w:rsidRPr="00E27C1C" w:rsidRDefault="001E4C63" w:rsidP="009768EE">
            <w:pPr>
              <w:pStyle w:val="NoSpacing"/>
              <w:numPr>
                <w:ilvl w:val="0"/>
                <w:numId w:val="23"/>
              </w:numPr>
              <w:ind w:left="317" w:hanging="317"/>
            </w:pPr>
            <w:r w:rsidRPr="00E27C1C">
              <w:t>Other general dentistry (orthodontics, prosthodontics and periodontics)</w:t>
            </w:r>
          </w:p>
          <w:p w:rsidR="001E4C63" w:rsidRPr="00E27C1C" w:rsidRDefault="001E4C63" w:rsidP="009768EE">
            <w:pPr>
              <w:pStyle w:val="NoSpacing"/>
              <w:numPr>
                <w:ilvl w:val="0"/>
                <w:numId w:val="23"/>
              </w:numPr>
              <w:ind w:left="317" w:hanging="317"/>
            </w:pPr>
            <w:r w:rsidRPr="00E27C1C">
              <w:t>Other ear, nose, mouth and throat procedures</w:t>
            </w:r>
          </w:p>
          <w:p w:rsidR="001E4C63" w:rsidRPr="00E27C1C" w:rsidRDefault="001E4C63" w:rsidP="00FA383A">
            <w:pPr>
              <w:pStyle w:val="NoSpacing"/>
              <w:ind w:left="317" w:hanging="283"/>
            </w:pPr>
          </w:p>
        </w:tc>
      </w:tr>
      <w:tr w:rsidR="001E4C63" w:rsidRPr="00E27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1E4C63" w:rsidRPr="00E27C1C" w:rsidRDefault="001E4C63" w:rsidP="00882C44">
            <w:pPr>
              <w:pStyle w:val="NoSpacing"/>
              <w:rPr>
                <w:b w:val="0"/>
              </w:rPr>
            </w:pPr>
            <w:r w:rsidRPr="00E27C1C">
              <w:rPr>
                <w:b w:val="0"/>
              </w:rPr>
              <w:t xml:space="preserve">Epistaxis </w:t>
            </w:r>
          </w:p>
        </w:tc>
        <w:tc>
          <w:tcPr>
            <w:cnfStyle w:val="000010000000" w:firstRow="0" w:lastRow="0" w:firstColumn="0" w:lastColumn="0" w:oddVBand="1" w:evenVBand="0" w:oddHBand="0" w:evenHBand="0" w:firstRowFirstColumn="0" w:firstRowLastColumn="0" w:lastRowFirstColumn="0" w:lastRowLastColumn="0"/>
            <w:tcW w:w="4875" w:type="dxa"/>
            <w:vMerge/>
          </w:tcPr>
          <w:p w:rsidR="001E4C63" w:rsidRPr="00E27C1C" w:rsidRDefault="001E4C63" w:rsidP="00FA383A">
            <w:pPr>
              <w:pStyle w:val="NoSpacing"/>
            </w:pPr>
          </w:p>
        </w:tc>
      </w:tr>
      <w:tr w:rsidR="001E4C63" w:rsidRPr="00E27C1C">
        <w:tc>
          <w:tcPr>
            <w:cnfStyle w:val="001000000000" w:firstRow="0" w:lastRow="0" w:firstColumn="1" w:lastColumn="0" w:oddVBand="0" w:evenVBand="0" w:oddHBand="0" w:evenHBand="0" w:firstRowFirstColumn="0" w:firstRowLastColumn="0" w:lastRowFirstColumn="0" w:lastRowLastColumn="0"/>
            <w:tcW w:w="4786" w:type="dxa"/>
          </w:tcPr>
          <w:p w:rsidR="001E4C63" w:rsidRPr="00E27C1C" w:rsidRDefault="001E4C63" w:rsidP="00FA383A">
            <w:pPr>
              <w:pStyle w:val="NoSpacing"/>
              <w:rPr>
                <w:b w:val="0"/>
              </w:rPr>
            </w:pPr>
            <w:r w:rsidRPr="00E27C1C">
              <w:rPr>
                <w:b w:val="0"/>
              </w:rPr>
              <w:t>Hearing loss (conductive, sensorineural and other)</w:t>
            </w:r>
          </w:p>
        </w:tc>
        <w:tc>
          <w:tcPr>
            <w:cnfStyle w:val="000010000000" w:firstRow="0" w:lastRow="0" w:firstColumn="0" w:lastColumn="0" w:oddVBand="1" w:evenVBand="0" w:oddHBand="0" w:evenHBand="0" w:firstRowFirstColumn="0" w:firstRowLastColumn="0" w:lastRowFirstColumn="0" w:lastRowLastColumn="0"/>
            <w:tcW w:w="4875" w:type="dxa"/>
            <w:vMerge/>
          </w:tcPr>
          <w:p w:rsidR="001E4C63" w:rsidRPr="00E27C1C" w:rsidRDefault="001E4C63" w:rsidP="00FA383A">
            <w:pPr>
              <w:pStyle w:val="NoSpacing"/>
            </w:pPr>
          </w:p>
        </w:tc>
      </w:tr>
      <w:tr w:rsidR="001E4C63" w:rsidRPr="00E27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1E4C63" w:rsidRPr="00E27C1C" w:rsidRDefault="001E4C63" w:rsidP="00882C44">
            <w:pPr>
              <w:pStyle w:val="NoSpacing"/>
              <w:rPr>
                <w:b w:val="0"/>
              </w:rPr>
            </w:pPr>
            <w:r w:rsidRPr="00E27C1C">
              <w:rPr>
                <w:b w:val="0"/>
              </w:rPr>
              <w:t xml:space="preserve">Laryngotracheitis or epiglottitis </w:t>
            </w:r>
          </w:p>
        </w:tc>
        <w:tc>
          <w:tcPr>
            <w:cnfStyle w:val="000010000000" w:firstRow="0" w:lastRow="0" w:firstColumn="0" w:lastColumn="0" w:oddVBand="1" w:evenVBand="0" w:oddHBand="0" w:evenHBand="0" w:firstRowFirstColumn="0" w:firstRowLastColumn="0" w:lastRowFirstColumn="0" w:lastRowLastColumn="0"/>
            <w:tcW w:w="4875" w:type="dxa"/>
            <w:vMerge/>
          </w:tcPr>
          <w:p w:rsidR="001E4C63" w:rsidRPr="00E27C1C" w:rsidRDefault="001E4C63" w:rsidP="00FA383A">
            <w:pPr>
              <w:pStyle w:val="NoSpacing"/>
            </w:pPr>
          </w:p>
        </w:tc>
      </w:tr>
      <w:tr w:rsidR="001E4C63" w:rsidRPr="00E27C1C">
        <w:tc>
          <w:tcPr>
            <w:cnfStyle w:val="001000000000" w:firstRow="0" w:lastRow="0" w:firstColumn="1" w:lastColumn="0" w:oddVBand="0" w:evenVBand="0" w:oddHBand="0" w:evenHBand="0" w:firstRowFirstColumn="0" w:firstRowLastColumn="0" w:lastRowFirstColumn="0" w:lastRowLastColumn="0"/>
            <w:tcW w:w="4786" w:type="dxa"/>
          </w:tcPr>
          <w:p w:rsidR="001E4C63" w:rsidRPr="00E27C1C" w:rsidRDefault="001E4C63" w:rsidP="00882C44">
            <w:pPr>
              <w:pStyle w:val="NoSpacing"/>
              <w:rPr>
                <w:b w:val="0"/>
              </w:rPr>
            </w:pPr>
            <w:r w:rsidRPr="00E27C1C">
              <w:rPr>
                <w:b w:val="0"/>
              </w:rPr>
              <w:t xml:space="preserve">Nasal trauma or deformity </w:t>
            </w:r>
          </w:p>
        </w:tc>
        <w:tc>
          <w:tcPr>
            <w:cnfStyle w:val="000010000000" w:firstRow="0" w:lastRow="0" w:firstColumn="0" w:lastColumn="0" w:oddVBand="1" w:evenVBand="0" w:oddHBand="0" w:evenHBand="0" w:firstRowFirstColumn="0" w:firstRowLastColumn="0" w:lastRowFirstColumn="0" w:lastRowLastColumn="0"/>
            <w:tcW w:w="4875" w:type="dxa"/>
            <w:vMerge/>
          </w:tcPr>
          <w:p w:rsidR="001E4C63" w:rsidRPr="00E27C1C" w:rsidRDefault="001E4C63" w:rsidP="00FA383A">
            <w:pPr>
              <w:pStyle w:val="NoSpacing"/>
            </w:pPr>
          </w:p>
        </w:tc>
      </w:tr>
      <w:tr w:rsidR="001E4C63" w:rsidRPr="00E27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1E4C63" w:rsidRPr="00E27C1C" w:rsidRDefault="001E4C63" w:rsidP="00882C44">
            <w:pPr>
              <w:pStyle w:val="NoSpacing"/>
              <w:rPr>
                <w:b w:val="0"/>
              </w:rPr>
            </w:pPr>
            <w:r w:rsidRPr="00E27C1C">
              <w:rPr>
                <w:b w:val="0"/>
              </w:rPr>
              <w:t xml:space="preserve">Neoplasm of ear, nose mouth or throat </w:t>
            </w:r>
          </w:p>
        </w:tc>
        <w:tc>
          <w:tcPr>
            <w:cnfStyle w:val="000010000000" w:firstRow="0" w:lastRow="0" w:firstColumn="0" w:lastColumn="0" w:oddVBand="1" w:evenVBand="0" w:oddHBand="0" w:evenHBand="0" w:firstRowFirstColumn="0" w:firstRowLastColumn="0" w:lastRowFirstColumn="0" w:lastRowLastColumn="0"/>
            <w:tcW w:w="4875" w:type="dxa"/>
            <w:vMerge/>
          </w:tcPr>
          <w:p w:rsidR="001E4C63" w:rsidRPr="00E27C1C" w:rsidRDefault="001E4C63" w:rsidP="00FA383A">
            <w:pPr>
              <w:pStyle w:val="NoSpacing"/>
            </w:pPr>
          </w:p>
        </w:tc>
      </w:tr>
      <w:tr w:rsidR="001E4C63" w:rsidRPr="00E27C1C">
        <w:tc>
          <w:tcPr>
            <w:cnfStyle w:val="001000000000" w:firstRow="0" w:lastRow="0" w:firstColumn="1" w:lastColumn="0" w:oddVBand="0" w:evenVBand="0" w:oddHBand="0" w:evenHBand="0" w:firstRowFirstColumn="0" w:firstRowLastColumn="0" w:lastRowFirstColumn="0" w:lastRowLastColumn="0"/>
            <w:tcW w:w="4786" w:type="dxa"/>
          </w:tcPr>
          <w:p w:rsidR="001E4C63" w:rsidRPr="00E27C1C" w:rsidRDefault="001E4C63" w:rsidP="00FA383A">
            <w:pPr>
              <w:pStyle w:val="NoSpacing"/>
              <w:rPr>
                <w:b w:val="0"/>
              </w:rPr>
            </w:pPr>
            <w:r w:rsidRPr="00E27C1C">
              <w:rPr>
                <w:b w:val="0"/>
              </w:rPr>
              <w:t>Otitis media and upper respiratory infections</w:t>
            </w:r>
          </w:p>
        </w:tc>
        <w:tc>
          <w:tcPr>
            <w:cnfStyle w:val="000010000000" w:firstRow="0" w:lastRow="0" w:firstColumn="0" w:lastColumn="0" w:oddVBand="1" w:evenVBand="0" w:oddHBand="0" w:evenHBand="0" w:firstRowFirstColumn="0" w:firstRowLastColumn="0" w:lastRowFirstColumn="0" w:lastRowLastColumn="0"/>
            <w:tcW w:w="4875" w:type="dxa"/>
            <w:vMerge/>
          </w:tcPr>
          <w:p w:rsidR="001E4C63" w:rsidRPr="00E27C1C" w:rsidRDefault="001E4C63" w:rsidP="00FA383A">
            <w:pPr>
              <w:pStyle w:val="NoSpacing"/>
            </w:pPr>
          </w:p>
        </w:tc>
      </w:tr>
      <w:tr w:rsidR="001E4C63" w:rsidRPr="00E27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1E4C63" w:rsidRPr="00E27C1C" w:rsidRDefault="001E4C63" w:rsidP="00FA383A">
            <w:pPr>
              <w:pStyle w:val="NoSpacing"/>
              <w:rPr>
                <w:b w:val="0"/>
              </w:rPr>
            </w:pPr>
            <w:r>
              <w:rPr>
                <w:b w:val="0"/>
              </w:rPr>
              <w:t>S</w:t>
            </w:r>
            <w:r w:rsidRPr="00E27C1C">
              <w:rPr>
                <w:b w:val="0"/>
              </w:rPr>
              <w:t xml:space="preserve">igns </w:t>
            </w:r>
            <w:r>
              <w:rPr>
                <w:b w:val="0"/>
              </w:rPr>
              <w:t>or</w:t>
            </w:r>
            <w:r w:rsidRPr="00E27C1C">
              <w:rPr>
                <w:b w:val="0"/>
              </w:rPr>
              <w:t xml:space="preserve"> symptoms </w:t>
            </w:r>
            <w:r>
              <w:rPr>
                <w:b w:val="0"/>
              </w:rPr>
              <w:t>of the ear, nose, mouth or throat</w:t>
            </w:r>
          </w:p>
        </w:tc>
        <w:tc>
          <w:tcPr>
            <w:cnfStyle w:val="000010000000" w:firstRow="0" w:lastRow="0" w:firstColumn="0" w:lastColumn="0" w:oddVBand="1" w:evenVBand="0" w:oddHBand="0" w:evenHBand="0" w:firstRowFirstColumn="0" w:firstRowLastColumn="0" w:lastRowFirstColumn="0" w:lastRowLastColumn="0"/>
            <w:tcW w:w="4875" w:type="dxa"/>
            <w:vMerge/>
          </w:tcPr>
          <w:p w:rsidR="001E4C63" w:rsidRPr="00E27C1C" w:rsidRDefault="001E4C63" w:rsidP="00FA383A">
            <w:pPr>
              <w:pStyle w:val="NoSpacing"/>
            </w:pPr>
          </w:p>
        </w:tc>
      </w:tr>
      <w:tr w:rsidR="001E4C63" w:rsidRPr="00E27C1C">
        <w:tc>
          <w:tcPr>
            <w:cnfStyle w:val="001000000000" w:firstRow="0" w:lastRow="0" w:firstColumn="1" w:lastColumn="0" w:oddVBand="0" w:evenVBand="0" w:oddHBand="0" w:evenHBand="0" w:firstRowFirstColumn="0" w:firstRowLastColumn="0" w:lastRowFirstColumn="0" w:lastRowLastColumn="0"/>
            <w:tcW w:w="4786" w:type="dxa"/>
          </w:tcPr>
          <w:p w:rsidR="001E4C63" w:rsidRPr="00E27C1C" w:rsidRDefault="001E4C63" w:rsidP="00FA383A">
            <w:pPr>
              <w:pStyle w:val="NoSpacing"/>
              <w:rPr>
                <w:b w:val="0"/>
              </w:rPr>
            </w:pPr>
            <w:r w:rsidRPr="00E27C1C">
              <w:rPr>
                <w:b w:val="0"/>
              </w:rPr>
              <w:t>Other</w:t>
            </w:r>
            <w:r>
              <w:rPr>
                <w:b w:val="0"/>
              </w:rPr>
              <w:t xml:space="preserve"> disorder of the</w:t>
            </w:r>
            <w:r w:rsidRPr="00E27C1C">
              <w:rPr>
                <w:b w:val="0"/>
              </w:rPr>
              <w:t xml:space="preserve"> ear, nose, mouth or throat </w:t>
            </w:r>
          </w:p>
          <w:p w:rsidR="001E4C63" w:rsidRPr="00E27C1C" w:rsidRDefault="001E4C63" w:rsidP="009768EE">
            <w:pPr>
              <w:pStyle w:val="NoSpacing"/>
              <w:numPr>
                <w:ilvl w:val="0"/>
                <w:numId w:val="24"/>
              </w:numPr>
              <w:ind w:left="284" w:hanging="284"/>
              <w:rPr>
                <w:b w:val="0"/>
                <w:bCs w:val="0"/>
              </w:rPr>
            </w:pPr>
            <w:r w:rsidRPr="00E27C1C">
              <w:rPr>
                <w:b w:val="0"/>
              </w:rPr>
              <w:t>voice disorders</w:t>
            </w:r>
          </w:p>
        </w:tc>
        <w:tc>
          <w:tcPr>
            <w:cnfStyle w:val="000010000000" w:firstRow="0" w:lastRow="0" w:firstColumn="0" w:lastColumn="0" w:oddVBand="1" w:evenVBand="0" w:oddHBand="0" w:evenHBand="0" w:firstRowFirstColumn="0" w:firstRowLastColumn="0" w:lastRowFirstColumn="0" w:lastRowLastColumn="0"/>
            <w:tcW w:w="4875" w:type="dxa"/>
            <w:vMerge/>
          </w:tcPr>
          <w:p w:rsidR="001E4C63" w:rsidRPr="00E27C1C" w:rsidRDefault="001E4C63" w:rsidP="00FA383A">
            <w:pPr>
              <w:pStyle w:val="NoSpacing"/>
            </w:pPr>
          </w:p>
        </w:tc>
      </w:tr>
    </w:tbl>
    <w:p w:rsidR="001E4C63" w:rsidRPr="00E27C1C" w:rsidRDefault="001E4C63" w:rsidP="001E4C63">
      <w:pPr>
        <w:rPr>
          <w:rFonts w:cs="Arial"/>
          <w:szCs w:val="22"/>
        </w:rPr>
      </w:pPr>
    </w:p>
    <w:tbl>
      <w:tblPr>
        <w:tblStyle w:val="LightList-Accent1"/>
        <w:tblW w:w="0" w:type="auto"/>
        <w:tblLook w:val="00A0" w:firstRow="1" w:lastRow="0" w:firstColumn="1" w:lastColumn="0" w:noHBand="0" w:noVBand="0"/>
        <w:tblCaption w:val="MDC 04 Diseases and disorders of the respiratory system"/>
        <w:tblDescription w:val="Table of two columns, the first column listing proposed presenting problem/diagnosis-type groupings and the second column listing proposed intervention-type groupings for MDC 04 Diseases and disorders of the respiratory system."/>
      </w:tblPr>
      <w:tblGrid>
        <w:gridCol w:w="4754"/>
        <w:gridCol w:w="4907"/>
      </w:tblGrid>
      <w:tr w:rsidR="001E4C63" w:rsidRPr="00E27C1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661" w:type="dxa"/>
            <w:gridSpan w:val="2"/>
          </w:tcPr>
          <w:p w:rsidR="001E4C63" w:rsidRPr="00E27C1C" w:rsidRDefault="001E4C63" w:rsidP="00FA383A">
            <w:pPr>
              <w:pStyle w:val="NoSpacing"/>
              <w:rPr>
                <w:b w:val="0"/>
              </w:rPr>
            </w:pPr>
            <w:r w:rsidRPr="00E27C1C">
              <w:t>MDC 04 Diseases and Disorders of the Respiratory System</w:t>
            </w:r>
          </w:p>
        </w:tc>
      </w:tr>
      <w:tr w:rsidR="005F38D0" w:rsidRPr="00E27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4" w:type="dxa"/>
          </w:tcPr>
          <w:p w:rsidR="005F38D0" w:rsidRPr="005F38D0" w:rsidRDefault="005F38D0" w:rsidP="00344411">
            <w:pPr>
              <w:pStyle w:val="NoSpacing"/>
            </w:pPr>
            <w:r w:rsidRPr="005F38D0">
              <w:t>Proposed presenting problem / diagnosis-type groupings</w:t>
            </w:r>
          </w:p>
        </w:tc>
        <w:tc>
          <w:tcPr>
            <w:cnfStyle w:val="000010000000" w:firstRow="0" w:lastRow="0" w:firstColumn="0" w:lastColumn="0" w:oddVBand="1" w:evenVBand="0" w:oddHBand="0" w:evenHBand="0" w:firstRowFirstColumn="0" w:firstRowLastColumn="0" w:lastRowFirstColumn="0" w:lastRowLastColumn="0"/>
            <w:tcW w:w="4907" w:type="dxa"/>
          </w:tcPr>
          <w:p w:rsidR="005F38D0" w:rsidRPr="005F38D0" w:rsidRDefault="005F38D0" w:rsidP="00344411">
            <w:pPr>
              <w:pStyle w:val="NoSpacing"/>
              <w:rPr>
                <w:b/>
              </w:rPr>
            </w:pPr>
            <w:r w:rsidRPr="005F38D0">
              <w:rPr>
                <w:b/>
              </w:rPr>
              <w:t>Proposed intervention-type groupings</w:t>
            </w:r>
          </w:p>
        </w:tc>
      </w:tr>
      <w:tr w:rsidR="001E4C63" w:rsidRPr="00E27C1C">
        <w:tc>
          <w:tcPr>
            <w:cnfStyle w:val="001000000000" w:firstRow="0" w:lastRow="0" w:firstColumn="1" w:lastColumn="0" w:oddVBand="0" w:evenVBand="0" w:oddHBand="0" w:evenHBand="0" w:firstRowFirstColumn="0" w:firstRowLastColumn="0" w:lastRowFirstColumn="0" w:lastRowLastColumn="0"/>
            <w:tcW w:w="4754" w:type="dxa"/>
          </w:tcPr>
          <w:p w:rsidR="001E4C63" w:rsidRPr="00E27C1C" w:rsidRDefault="001E4C63" w:rsidP="00882C44">
            <w:pPr>
              <w:pStyle w:val="NoSpacing"/>
              <w:rPr>
                <w:b w:val="0"/>
              </w:rPr>
            </w:pPr>
            <w:r w:rsidRPr="00E27C1C">
              <w:rPr>
                <w:b w:val="0"/>
              </w:rPr>
              <w:t xml:space="preserve">Cystic fibrosis </w:t>
            </w:r>
          </w:p>
        </w:tc>
        <w:tc>
          <w:tcPr>
            <w:cnfStyle w:val="000010000000" w:firstRow="0" w:lastRow="0" w:firstColumn="0" w:lastColumn="0" w:oddVBand="1" w:evenVBand="0" w:oddHBand="0" w:evenHBand="0" w:firstRowFirstColumn="0" w:firstRowLastColumn="0" w:lastRowFirstColumn="0" w:lastRowLastColumn="0"/>
            <w:tcW w:w="4907" w:type="dxa"/>
            <w:vMerge w:val="restart"/>
          </w:tcPr>
          <w:p w:rsidR="001E4C63" w:rsidRPr="00E27C1C" w:rsidRDefault="001E4C63" w:rsidP="009768EE">
            <w:pPr>
              <w:pStyle w:val="NoSpacing"/>
              <w:numPr>
                <w:ilvl w:val="0"/>
                <w:numId w:val="25"/>
              </w:numPr>
              <w:ind w:left="349" w:hanging="349"/>
            </w:pPr>
            <w:r w:rsidRPr="00E27C1C">
              <w:t>Bronchoscopy</w:t>
            </w:r>
          </w:p>
          <w:p w:rsidR="001E4C63" w:rsidRPr="00E27C1C" w:rsidRDefault="001E4C63" w:rsidP="00A360CE">
            <w:pPr>
              <w:pStyle w:val="NoSpacing"/>
              <w:numPr>
                <w:ilvl w:val="0"/>
                <w:numId w:val="26"/>
              </w:numPr>
            </w:pPr>
            <w:r w:rsidRPr="00E27C1C">
              <w:t>bronchial or bronchoalveolar lavage</w:t>
            </w:r>
          </w:p>
          <w:p w:rsidR="001E4C63" w:rsidRPr="00E27C1C" w:rsidRDefault="001E4C63" w:rsidP="00A360CE">
            <w:pPr>
              <w:pStyle w:val="NoSpacing"/>
              <w:numPr>
                <w:ilvl w:val="0"/>
                <w:numId w:val="26"/>
              </w:numPr>
            </w:pPr>
            <w:r w:rsidRPr="00E27C1C">
              <w:t>with dilatation</w:t>
            </w:r>
          </w:p>
          <w:p w:rsidR="001E4C63" w:rsidRPr="00E27C1C" w:rsidRDefault="001E4C63" w:rsidP="00A360CE">
            <w:pPr>
              <w:pStyle w:val="NoSpacing"/>
              <w:numPr>
                <w:ilvl w:val="0"/>
                <w:numId w:val="26"/>
              </w:numPr>
            </w:pPr>
            <w:r w:rsidRPr="00E27C1C">
              <w:t>fine needle aspiration (FNA)</w:t>
            </w:r>
          </w:p>
          <w:p w:rsidR="001E4C63" w:rsidRPr="00E27C1C" w:rsidRDefault="001E4C63" w:rsidP="00A360CE">
            <w:pPr>
              <w:pStyle w:val="NoSpacing"/>
              <w:numPr>
                <w:ilvl w:val="0"/>
                <w:numId w:val="26"/>
              </w:numPr>
            </w:pPr>
            <w:r w:rsidRPr="00E27C1C">
              <w:t>removal foreign body</w:t>
            </w:r>
          </w:p>
          <w:p w:rsidR="001E4C63" w:rsidRPr="00E27C1C" w:rsidRDefault="001E4C63" w:rsidP="009768EE">
            <w:pPr>
              <w:pStyle w:val="NoSpacing"/>
              <w:numPr>
                <w:ilvl w:val="0"/>
                <w:numId w:val="25"/>
              </w:numPr>
              <w:ind w:left="349" w:hanging="349"/>
            </w:pPr>
            <w:r w:rsidRPr="00E27C1C">
              <w:t>Invasive ventilatory support - tracheostomy</w:t>
            </w:r>
          </w:p>
          <w:p w:rsidR="001E4C63" w:rsidRPr="00E27C1C" w:rsidRDefault="001E4C63" w:rsidP="009768EE">
            <w:pPr>
              <w:pStyle w:val="NoSpacing"/>
              <w:numPr>
                <w:ilvl w:val="0"/>
                <w:numId w:val="25"/>
              </w:numPr>
              <w:ind w:left="349" w:hanging="349"/>
            </w:pPr>
            <w:r w:rsidRPr="00E27C1C">
              <w:t>Noninvasive ventilatory support</w:t>
            </w:r>
          </w:p>
          <w:p w:rsidR="001E4C63" w:rsidRPr="00E27C1C" w:rsidRDefault="001E4C63" w:rsidP="009768EE">
            <w:pPr>
              <w:pStyle w:val="NoSpacing"/>
              <w:numPr>
                <w:ilvl w:val="0"/>
                <w:numId w:val="25"/>
              </w:numPr>
              <w:ind w:left="349" w:hanging="349"/>
            </w:pPr>
            <w:r w:rsidRPr="00E27C1C">
              <w:t>Polysomnography (sleep study)</w:t>
            </w:r>
          </w:p>
          <w:p w:rsidR="001E4C63" w:rsidRPr="00E27C1C" w:rsidRDefault="001E4C63" w:rsidP="009768EE">
            <w:pPr>
              <w:pStyle w:val="NoSpacing"/>
              <w:numPr>
                <w:ilvl w:val="0"/>
                <w:numId w:val="25"/>
              </w:numPr>
              <w:ind w:left="349" w:hanging="349"/>
            </w:pPr>
            <w:r w:rsidRPr="00E27C1C">
              <w:t>Thoracoscopy</w:t>
            </w:r>
          </w:p>
          <w:p w:rsidR="001E4C63" w:rsidRPr="00E27C1C" w:rsidRDefault="001E4C63" w:rsidP="00FA383A">
            <w:pPr>
              <w:pStyle w:val="NoSpacing"/>
              <w:ind w:left="349" w:hanging="349"/>
            </w:pPr>
          </w:p>
        </w:tc>
      </w:tr>
      <w:tr w:rsidR="001E4C63" w:rsidRPr="00E27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4" w:type="dxa"/>
          </w:tcPr>
          <w:p w:rsidR="001E4C63" w:rsidRPr="00E27C1C" w:rsidRDefault="001E4C63" w:rsidP="00691F7F">
            <w:pPr>
              <w:pStyle w:val="NoSpacing"/>
              <w:rPr>
                <w:b w:val="0"/>
              </w:rPr>
            </w:pPr>
            <w:r w:rsidRPr="00E27C1C">
              <w:rPr>
                <w:b w:val="0"/>
              </w:rPr>
              <w:t xml:space="preserve">Pulmonary embolism </w:t>
            </w:r>
          </w:p>
        </w:tc>
        <w:tc>
          <w:tcPr>
            <w:cnfStyle w:val="000010000000" w:firstRow="0" w:lastRow="0" w:firstColumn="0" w:lastColumn="0" w:oddVBand="1" w:evenVBand="0" w:oddHBand="0" w:evenHBand="0" w:firstRowFirstColumn="0" w:firstRowLastColumn="0" w:lastRowFirstColumn="0" w:lastRowLastColumn="0"/>
            <w:tcW w:w="4907" w:type="dxa"/>
            <w:vMerge/>
          </w:tcPr>
          <w:p w:rsidR="001E4C63" w:rsidRPr="00E27C1C" w:rsidRDefault="001E4C63" w:rsidP="00FA383A">
            <w:pPr>
              <w:pStyle w:val="NoSpacing"/>
            </w:pPr>
          </w:p>
        </w:tc>
      </w:tr>
      <w:tr w:rsidR="001E4C63" w:rsidRPr="00E27C1C">
        <w:tc>
          <w:tcPr>
            <w:cnfStyle w:val="001000000000" w:firstRow="0" w:lastRow="0" w:firstColumn="1" w:lastColumn="0" w:oddVBand="0" w:evenVBand="0" w:oddHBand="0" w:evenHBand="0" w:firstRowFirstColumn="0" w:firstRowLastColumn="0" w:lastRowFirstColumn="0" w:lastRowLastColumn="0"/>
            <w:tcW w:w="4754" w:type="dxa"/>
          </w:tcPr>
          <w:p w:rsidR="001E4C63" w:rsidRPr="00E27C1C" w:rsidRDefault="001E4C63" w:rsidP="00691F7F">
            <w:pPr>
              <w:pStyle w:val="NoSpacing"/>
              <w:rPr>
                <w:b w:val="0"/>
              </w:rPr>
            </w:pPr>
            <w:r w:rsidRPr="00E27C1C">
              <w:rPr>
                <w:b w:val="0"/>
              </w:rPr>
              <w:t xml:space="preserve">Respiratory tuberculosis </w:t>
            </w:r>
          </w:p>
        </w:tc>
        <w:tc>
          <w:tcPr>
            <w:cnfStyle w:val="000010000000" w:firstRow="0" w:lastRow="0" w:firstColumn="0" w:lastColumn="0" w:oddVBand="1" w:evenVBand="0" w:oddHBand="0" w:evenHBand="0" w:firstRowFirstColumn="0" w:firstRowLastColumn="0" w:lastRowFirstColumn="0" w:lastRowLastColumn="0"/>
            <w:tcW w:w="4907" w:type="dxa"/>
            <w:vMerge/>
          </w:tcPr>
          <w:p w:rsidR="001E4C63" w:rsidRPr="00E27C1C" w:rsidRDefault="001E4C63" w:rsidP="00FA383A">
            <w:pPr>
              <w:pStyle w:val="NoSpacing"/>
            </w:pPr>
          </w:p>
        </w:tc>
      </w:tr>
      <w:tr w:rsidR="001E4C63" w:rsidRPr="00E27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4" w:type="dxa"/>
          </w:tcPr>
          <w:p w:rsidR="001E4C63" w:rsidRPr="00E27C1C" w:rsidRDefault="001E4C63" w:rsidP="00691F7F">
            <w:pPr>
              <w:pStyle w:val="NoSpacing"/>
              <w:rPr>
                <w:b w:val="0"/>
              </w:rPr>
            </w:pPr>
            <w:r w:rsidRPr="00E27C1C">
              <w:rPr>
                <w:b w:val="0"/>
              </w:rPr>
              <w:t xml:space="preserve">Lower respiratory infection and inflammation </w:t>
            </w:r>
          </w:p>
        </w:tc>
        <w:tc>
          <w:tcPr>
            <w:cnfStyle w:val="000010000000" w:firstRow="0" w:lastRow="0" w:firstColumn="0" w:lastColumn="0" w:oddVBand="1" w:evenVBand="0" w:oddHBand="0" w:evenHBand="0" w:firstRowFirstColumn="0" w:firstRowLastColumn="0" w:lastRowFirstColumn="0" w:lastRowLastColumn="0"/>
            <w:tcW w:w="4907" w:type="dxa"/>
            <w:vMerge/>
          </w:tcPr>
          <w:p w:rsidR="001E4C63" w:rsidRPr="00E27C1C" w:rsidRDefault="001E4C63" w:rsidP="00FA383A">
            <w:pPr>
              <w:pStyle w:val="NoSpacing"/>
            </w:pPr>
          </w:p>
        </w:tc>
      </w:tr>
      <w:tr w:rsidR="001E4C63" w:rsidRPr="00E27C1C">
        <w:tc>
          <w:tcPr>
            <w:cnfStyle w:val="001000000000" w:firstRow="0" w:lastRow="0" w:firstColumn="1" w:lastColumn="0" w:oddVBand="0" w:evenVBand="0" w:oddHBand="0" w:evenHBand="0" w:firstRowFirstColumn="0" w:firstRowLastColumn="0" w:lastRowFirstColumn="0" w:lastRowLastColumn="0"/>
            <w:tcW w:w="4754" w:type="dxa"/>
          </w:tcPr>
          <w:p w:rsidR="001E4C63" w:rsidRPr="00E27C1C" w:rsidRDefault="001E4C63" w:rsidP="00691F7F">
            <w:pPr>
              <w:pStyle w:val="NoSpacing"/>
              <w:rPr>
                <w:b w:val="0"/>
              </w:rPr>
            </w:pPr>
            <w:r w:rsidRPr="00E27C1C">
              <w:rPr>
                <w:b w:val="0"/>
              </w:rPr>
              <w:t xml:space="preserve">Sleep apnoea </w:t>
            </w:r>
          </w:p>
        </w:tc>
        <w:tc>
          <w:tcPr>
            <w:cnfStyle w:val="000010000000" w:firstRow="0" w:lastRow="0" w:firstColumn="0" w:lastColumn="0" w:oddVBand="1" w:evenVBand="0" w:oddHBand="0" w:evenHBand="0" w:firstRowFirstColumn="0" w:firstRowLastColumn="0" w:lastRowFirstColumn="0" w:lastRowLastColumn="0"/>
            <w:tcW w:w="4907" w:type="dxa"/>
            <w:vMerge/>
          </w:tcPr>
          <w:p w:rsidR="001E4C63" w:rsidRPr="00E27C1C" w:rsidRDefault="001E4C63" w:rsidP="00FA383A">
            <w:pPr>
              <w:pStyle w:val="NoSpacing"/>
            </w:pPr>
          </w:p>
        </w:tc>
      </w:tr>
      <w:tr w:rsidR="001E4C63" w:rsidRPr="00E27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4" w:type="dxa"/>
          </w:tcPr>
          <w:p w:rsidR="001E4C63" w:rsidRPr="00E27C1C" w:rsidRDefault="001E4C63" w:rsidP="00691F7F">
            <w:pPr>
              <w:pStyle w:val="NoSpacing"/>
              <w:rPr>
                <w:b w:val="0"/>
              </w:rPr>
            </w:pPr>
            <w:r w:rsidRPr="00E27C1C">
              <w:rPr>
                <w:b w:val="0"/>
              </w:rPr>
              <w:t xml:space="preserve">Pulmonary oedema and respiratory failure </w:t>
            </w:r>
          </w:p>
        </w:tc>
        <w:tc>
          <w:tcPr>
            <w:cnfStyle w:val="000010000000" w:firstRow="0" w:lastRow="0" w:firstColumn="0" w:lastColumn="0" w:oddVBand="1" w:evenVBand="0" w:oddHBand="0" w:evenHBand="0" w:firstRowFirstColumn="0" w:firstRowLastColumn="0" w:lastRowFirstColumn="0" w:lastRowLastColumn="0"/>
            <w:tcW w:w="4907" w:type="dxa"/>
            <w:vMerge/>
          </w:tcPr>
          <w:p w:rsidR="001E4C63" w:rsidRPr="00E27C1C" w:rsidRDefault="001E4C63" w:rsidP="00FA383A">
            <w:pPr>
              <w:pStyle w:val="NoSpacing"/>
            </w:pPr>
          </w:p>
        </w:tc>
      </w:tr>
      <w:tr w:rsidR="001E4C63" w:rsidRPr="00E27C1C">
        <w:tc>
          <w:tcPr>
            <w:cnfStyle w:val="001000000000" w:firstRow="0" w:lastRow="0" w:firstColumn="1" w:lastColumn="0" w:oddVBand="0" w:evenVBand="0" w:oddHBand="0" w:evenHBand="0" w:firstRowFirstColumn="0" w:firstRowLastColumn="0" w:lastRowFirstColumn="0" w:lastRowLastColumn="0"/>
            <w:tcW w:w="4754" w:type="dxa"/>
          </w:tcPr>
          <w:p w:rsidR="001E4C63" w:rsidRPr="00E27C1C" w:rsidRDefault="001E4C63" w:rsidP="00691F7F">
            <w:pPr>
              <w:pStyle w:val="NoSpacing"/>
              <w:rPr>
                <w:b w:val="0"/>
              </w:rPr>
            </w:pPr>
            <w:r w:rsidRPr="00E27C1C">
              <w:rPr>
                <w:b w:val="0"/>
              </w:rPr>
              <w:t xml:space="preserve">Chronic obstructive airways disease </w:t>
            </w:r>
          </w:p>
        </w:tc>
        <w:tc>
          <w:tcPr>
            <w:cnfStyle w:val="000010000000" w:firstRow="0" w:lastRow="0" w:firstColumn="0" w:lastColumn="0" w:oddVBand="1" w:evenVBand="0" w:oddHBand="0" w:evenHBand="0" w:firstRowFirstColumn="0" w:firstRowLastColumn="0" w:lastRowFirstColumn="0" w:lastRowLastColumn="0"/>
            <w:tcW w:w="4907" w:type="dxa"/>
            <w:vMerge/>
          </w:tcPr>
          <w:p w:rsidR="001E4C63" w:rsidRPr="00E27C1C" w:rsidRDefault="001E4C63" w:rsidP="00FA383A">
            <w:pPr>
              <w:pStyle w:val="NoSpacing"/>
            </w:pPr>
          </w:p>
        </w:tc>
      </w:tr>
      <w:tr w:rsidR="001E4C63" w:rsidRPr="00E27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4" w:type="dxa"/>
          </w:tcPr>
          <w:p w:rsidR="001E4C63" w:rsidRPr="00E27C1C" w:rsidRDefault="001E4C63" w:rsidP="00691F7F">
            <w:pPr>
              <w:pStyle w:val="NoSpacing"/>
              <w:rPr>
                <w:b w:val="0"/>
              </w:rPr>
            </w:pPr>
            <w:r w:rsidRPr="00E27C1C">
              <w:rPr>
                <w:b w:val="0"/>
              </w:rPr>
              <w:t xml:space="preserve">Pneumothorax </w:t>
            </w:r>
          </w:p>
        </w:tc>
        <w:tc>
          <w:tcPr>
            <w:cnfStyle w:val="000010000000" w:firstRow="0" w:lastRow="0" w:firstColumn="0" w:lastColumn="0" w:oddVBand="1" w:evenVBand="0" w:oddHBand="0" w:evenHBand="0" w:firstRowFirstColumn="0" w:firstRowLastColumn="0" w:lastRowFirstColumn="0" w:lastRowLastColumn="0"/>
            <w:tcW w:w="4907" w:type="dxa"/>
            <w:vMerge/>
          </w:tcPr>
          <w:p w:rsidR="001E4C63" w:rsidRPr="00E27C1C" w:rsidRDefault="001E4C63" w:rsidP="00FA383A">
            <w:pPr>
              <w:pStyle w:val="NoSpacing"/>
            </w:pPr>
          </w:p>
        </w:tc>
      </w:tr>
      <w:tr w:rsidR="001E4C63" w:rsidRPr="00E27C1C">
        <w:tc>
          <w:tcPr>
            <w:cnfStyle w:val="001000000000" w:firstRow="0" w:lastRow="0" w:firstColumn="1" w:lastColumn="0" w:oddVBand="0" w:evenVBand="0" w:oddHBand="0" w:evenHBand="0" w:firstRowFirstColumn="0" w:firstRowLastColumn="0" w:lastRowFirstColumn="0" w:lastRowLastColumn="0"/>
            <w:tcW w:w="4754" w:type="dxa"/>
          </w:tcPr>
          <w:p w:rsidR="001E4C63" w:rsidRPr="00E27C1C" w:rsidRDefault="001E4C63" w:rsidP="00691F7F">
            <w:pPr>
              <w:pStyle w:val="NoSpacing"/>
              <w:rPr>
                <w:b w:val="0"/>
              </w:rPr>
            </w:pPr>
            <w:r w:rsidRPr="00E27C1C">
              <w:rPr>
                <w:b w:val="0"/>
              </w:rPr>
              <w:t xml:space="preserve">Bronchitis and asthma </w:t>
            </w:r>
          </w:p>
        </w:tc>
        <w:tc>
          <w:tcPr>
            <w:cnfStyle w:val="000010000000" w:firstRow="0" w:lastRow="0" w:firstColumn="0" w:lastColumn="0" w:oddVBand="1" w:evenVBand="0" w:oddHBand="0" w:evenHBand="0" w:firstRowFirstColumn="0" w:firstRowLastColumn="0" w:lastRowFirstColumn="0" w:lastRowLastColumn="0"/>
            <w:tcW w:w="4907" w:type="dxa"/>
            <w:vMerge/>
          </w:tcPr>
          <w:p w:rsidR="001E4C63" w:rsidRPr="00E27C1C" w:rsidRDefault="001E4C63" w:rsidP="00FA383A">
            <w:pPr>
              <w:pStyle w:val="NoSpacing"/>
            </w:pPr>
          </w:p>
        </w:tc>
      </w:tr>
      <w:tr w:rsidR="001E4C63" w:rsidRPr="00E27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4" w:type="dxa"/>
          </w:tcPr>
          <w:p w:rsidR="001E4C63" w:rsidRPr="00E27C1C" w:rsidRDefault="001E4C63" w:rsidP="00691F7F">
            <w:pPr>
              <w:pStyle w:val="NoSpacing"/>
              <w:rPr>
                <w:b w:val="0"/>
              </w:rPr>
            </w:pPr>
            <w:r w:rsidRPr="00E27C1C">
              <w:rPr>
                <w:b w:val="0"/>
              </w:rPr>
              <w:lastRenderedPageBreak/>
              <w:t xml:space="preserve">Whooping cough and acute bronchiolitis </w:t>
            </w:r>
          </w:p>
        </w:tc>
        <w:tc>
          <w:tcPr>
            <w:cnfStyle w:val="000010000000" w:firstRow="0" w:lastRow="0" w:firstColumn="0" w:lastColumn="0" w:oddVBand="1" w:evenVBand="0" w:oddHBand="0" w:evenHBand="0" w:firstRowFirstColumn="0" w:firstRowLastColumn="0" w:lastRowFirstColumn="0" w:lastRowLastColumn="0"/>
            <w:tcW w:w="4907" w:type="dxa"/>
            <w:vMerge/>
          </w:tcPr>
          <w:p w:rsidR="001E4C63" w:rsidRPr="00E27C1C" w:rsidRDefault="001E4C63" w:rsidP="00FA383A">
            <w:pPr>
              <w:pStyle w:val="NoSpacing"/>
            </w:pPr>
          </w:p>
        </w:tc>
      </w:tr>
      <w:tr w:rsidR="001E4C63" w:rsidRPr="00E27C1C">
        <w:tc>
          <w:tcPr>
            <w:cnfStyle w:val="001000000000" w:firstRow="0" w:lastRow="0" w:firstColumn="1" w:lastColumn="0" w:oddVBand="0" w:evenVBand="0" w:oddHBand="0" w:evenHBand="0" w:firstRowFirstColumn="0" w:firstRowLastColumn="0" w:lastRowFirstColumn="0" w:lastRowLastColumn="0"/>
            <w:tcW w:w="4754" w:type="dxa"/>
          </w:tcPr>
          <w:p w:rsidR="001E4C63" w:rsidRPr="00E27C1C" w:rsidRDefault="001E4C63" w:rsidP="00691F7F">
            <w:pPr>
              <w:pStyle w:val="NoSpacing"/>
              <w:rPr>
                <w:b w:val="0"/>
              </w:rPr>
            </w:pPr>
            <w:r w:rsidRPr="00E27C1C">
              <w:rPr>
                <w:b w:val="0"/>
              </w:rPr>
              <w:lastRenderedPageBreak/>
              <w:t xml:space="preserve">Neoplasm of respiratory system </w:t>
            </w:r>
          </w:p>
        </w:tc>
        <w:tc>
          <w:tcPr>
            <w:cnfStyle w:val="000010000000" w:firstRow="0" w:lastRow="0" w:firstColumn="0" w:lastColumn="0" w:oddVBand="1" w:evenVBand="0" w:oddHBand="0" w:evenHBand="0" w:firstRowFirstColumn="0" w:firstRowLastColumn="0" w:lastRowFirstColumn="0" w:lastRowLastColumn="0"/>
            <w:tcW w:w="4907" w:type="dxa"/>
            <w:vMerge/>
          </w:tcPr>
          <w:p w:rsidR="001E4C63" w:rsidRPr="00E27C1C" w:rsidRDefault="001E4C63" w:rsidP="00FA383A">
            <w:pPr>
              <w:pStyle w:val="NoSpacing"/>
            </w:pPr>
          </w:p>
        </w:tc>
      </w:tr>
      <w:tr w:rsidR="001E4C63" w:rsidRPr="00E27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4" w:type="dxa"/>
          </w:tcPr>
          <w:p w:rsidR="001E4C63" w:rsidRPr="00E27C1C" w:rsidRDefault="001E4C63" w:rsidP="00691F7F">
            <w:pPr>
              <w:pStyle w:val="NoSpacing"/>
              <w:rPr>
                <w:b w:val="0"/>
              </w:rPr>
            </w:pPr>
            <w:r w:rsidRPr="00E27C1C">
              <w:rPr>
                <w:b w:val="0"/>
              </w:rPr>
              <w:t xml:space="preserve">Respiratory problems arising from neonatal period </w:t>
            </w:r>
          </w:p>
        </w:tc>
        <w:tc>
          <w:tcPr>
            <w:cnfStyle w:val="000010000000" w:firstRow="0" w:lastRow="0" w:firstColumn="0" w:lastColumn="0" w:oddVBand="1" w:evenVBand="0" w:oddHBand="0" w:evenHBand="0" w:firstRowFirstColumn="0" w:firstRowLastColumn="0" w:lastRowFirstColumn="0" w:lastRowLastColumn="0"/>
            <w:tcW w:w="4907" w:type="dxa"/>
            <w:vMerge/>
          </w:tcPr>
          <w:p w:rsidR="001E4C63" w:rsidRPr="00E27C1C" w:rsidRDefault="001E4C63" w:rsidP="00FA383A">
            <w:pPr>
              <w:pStyle w:val="NoSpacing"/>
            </w:pPr>
          </w:p>
        </w:tc>
      </w:tr>
      <w:tr w:rsidR="001E4C63" w:rsidRPr="00E27C1C">
        <w:tc>
          <w:tcPr>
            <w:cnfStyle w:val="001000000000" w:firstRow="0" w:lastRow="0" w:firstColumn="1" w:lastColumn="0" w:oddVBand="0" w:evenVBand="0" w:oddHBand="0" w:evenHBand="0" w:firstRowFirstColumn="0" w:firstRowLastColumn="0" w:lastRowFirstColumn="0" w:lastRowLastColumn="0"/>
            <w:tcW w:w="4754" w:type="dxa"/>
          </w:tcPr>
          <w:p w:rsidR="001E4C63" w:rsidRPr="00E27C1C" w:rsidRDefault="001E4C63" w:rsidP="00691F7F">
            <w:pPr>
              <w:pStyle w:val="NoSpacing"/>
              <w:rPr>
                <w:b w:val="0"/>
              </w:rPr>
            </w:pPr>
            <w:r w:rsidRPr="00E27C1C">
              <w:rPr>
                <w:b w:val="0"/>
              </w:rPr>
              <w:t xml:space="preserve">Interstitial lung disease </w:t>
            </w:r>
          </w:p>
        </w:tc>
        <w:tc>
          <w:tcPr>
            <w:cnfStyle w:val="000010000000" w:firstRow="0" w:lastRow="0" w:firstColumn="0" w:lastColumn="0" w:oddVBand="1" w:evenVBand="0" w:oddHBand="0" w:evenHBand="0" w:firstRowFirstColumn="0" w:firstRowLastColumn="0" w:lastRowFirstColumn="0" w:lastRowLastColumn="0"/>
            <w:tcW w:w="4907" w:type="dxa"/>
            <w:vMerge/>
          </w:tcPr>
          <w:p w:rsidR="001E4C63" w:rsidRPr="00E27C1C" w:rsidRDefault="001E4C63" w:rsidP="00FA383A">
            <w:pPr>
              <w:pStyle w:val="NoSpacing"/>
            </w:pPr>
          </w:p>
        </w:tc>
      </w:tr>
      <w:tr w:rsidR="001E4C63" w:rsidRPr="00E27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4" w:type="dxa"/>
          </w:tcPr>
          <w:p w:rsidR="001E4C63" w:rsidRPr="00E27C1C" w:rsidRDefault="001E4C63" w:rsidP="00691F7F">
            <w:pPr>
              <w:pStyle w:val="NoSpacing"/>
              <w:rPr>
                <w:b w:val="0"/>
              </w:rPr>
            </w:pPr>
            <w:r w:rsidRPr="00E27C1C">
              <w:rPr>
                <w:b w:val="0"/>
              </w:rPr>
              <w:t xml:space="preserve">Pleural effusion </w:t>
            </w:r>
          </w:p>
        </w:tc>
        <w:tc>
          <w:tcPr>
            <w:cnfStyle w:val="000010000000" w:firstRow="0" w:lastRow="0" w:firstColumn="0" w:lastColumn="0" w:oddVBand="1" w:evenVBand="0" w:oddHBand="0" w:evenHBand="0" w:firstRowFirstColumn="0" w:firstRowLastColumn="0" w:lastRowFirstColumn="0" w:lastRowLastColumn="0"/>
            <w:tcW w:w="4907" w:type="dxa"/>
            <w:vMerge/>
          </w:tcPr>
          <w:p w:rsidR="001E4C63" w:rsidRPr="00E27C1C" w:rsidRDefault="001E4C63" w:rsidP="00FA383A">
            <w:pPr>
              <w:pStyle w:val="NoSpacing"/>
            </w:pPr>
          </w:p>
        </w:tc>
      </w:tr>
      <w:tr w:rsidR="001E4C63" w:rsidRPr="00E27C1C">
        <w:tc>
          <w:tcPr>
            <w:cnfStyle w:val="001000000000" w:firstRow="0" w:lastRow="0" w:firstColumn="1" w:lastColumn="0" w:oddVBand="0" w:evenVBand="0" w:oddHBand="0" w:evenHBand="0" w:firstRowFirstColumn="0" w:firstRowLastColumn="0" w:lastRowFirstColumn="0" w:lastRowLastColumn="0"/>
            <w:tcW w:w="4754" w:type="dxa"/>
          </w:tcPr>
          <w:p w:rsidR="001E4C63" w:rsidRPr="00E27C1C" w:rsidRDefault="001E4C63" w:rsidP="00EE00F8">
            <w:pPr>
              <w:pStyle w:val="NoSpacing"/>
              <w:rPr>
                <w:b w:val="0"/>
              </w:rPr>
            </w:pPr>
            <w:r>
              <w:rPr>
                <w:b w:val="0"/>
              </w:rPr>
              <w:t>Signs or symptoms of the r</w:t>
            </w:r>
            <w:r w:rsidRPr="00E27C1C">
              <w:rPr>
                <w:b w:val="0"/>
              </w:rPr>
              <w:t xml:space="preserve">espiratory </w:t>
            </w:r>
            <w:r>
              <w:rPr>
                <w:b w:val="0"/>
              </w:rPr>
              <w:t xml:space="preserve">system </w:t>
            </w:r>
          </w:p>
        </w:tc>
        <w:tc>
          <w:tcPr>
            <w:cnfStyle w:val="000010000000" w:firstRow="0" w:lastRow="0" w:firstColumn="0" w:lastColumn="0" w:oddVBand="1" w:evenVBand="0" w:oddHBand="0" w:evenHBand="0" w:firstRowFirstColumn="0" w:firstRowLastColumn="0" w:lastRowFirstColumn="0" w:lastRowLastColumn="0"/>
            <w:tcW w:w="4907" w:type="dxa"/>
            <w:vMerge/>
          </w:tcPr>
          <w:p w:rsidR="001E4C63" w:rsidRPr="00E27C1C" w:rsidRDefault="001E4C63" w:rsidP="00FA383A">
            <w:pPr>
              <w:pStyle w:val="NoSpacing"/>
            </w:pPr>
          </w:p>
        </w:tc>
      </w:tr>
      <w:tr w:rsidR="001E4C63" w:rsidRPr="00E27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4" w:type="dxa"/>
          </w:tcPr>
          <w:p w:rsidR="001E4C63" w:rsidRPr="00E27C1C" w:rsidRDefault="001E4C63" w:rsidP="00EE00F8">
            <w:pPr>
              <w:pStyle w:val="NoSpacing"/>
              <w:rPr>
                <w:b w:val="0"/>
              </w:rPr>
            </w:pPr>
            <w:r w:rsidRPr="00E27C1C">
              <w:rPr>
                <w:b w:val="0"/>
              </w:rPr>
              <w:t xml:space="preserve">Other </w:t>
            </w:r>
            <w:r>
              <w:rPr>
                <w:b w:val="0"/>
              </w:rPr>
              <w:t xml:space="preserve">disorder of the </w:t>
            </w:r>
            <w:r w:rsidRPr="00E27C1C">
              <w:rPr>
                <w:b w:val="0"/>
              </w:rPr>
              <w:t>respiratory system</w:t>
            </w:r>
            <w:r>
              <w:rPr>
                <w:b w:val="0"/>
              </w:rPr>
              <w:t xml:space="preserve"> </w:t>
            </w:r>
          </w:p>
        </w:tc>
        <w:tc>
          <w:tcPr>
            <w:cnfStyle w:val="000010000000" w:firstRow="0" w:lastRow="0" w:firstColumn="0" w:lastColumn="0" w:oddVBand="1" w:evenVBand="0" w:oddHBand="0" w:evenHBand="0" w:firstRowFirstColumn="0" w:firstRowLastColumn="0" w:lastRowFirstColumn="0" w:lastRowLastColumn="0"/>
            <w:tcW w:w="4907" w:type="dxa"/>
            <w:vMerge/>
          </w:tcPr>
          <w:p w:rsidR="001E4C63" w:rsidRPr="00E27C1C" w:rsidRDefault="001E4C63" w:rsidP="00FA383A">
            <w:pPr>
              <w:pStyle w:val="NoSpacing"/>
            </w:pPr>
          </w:p>
        </w:tc>
      </w:tr>
    </w:tbl>
    <w:p w:rsidR="001E4C63" w:rsidRDefault="001E4C63" w:rsidP="001E4C63">
      <w:pPr>
        <w:rPr>
          <w:rFonts w:cs="Arial"/>
          <w:szCs w:val="22"/>
        </w:rPr>
      </w:pPr>
    </w:p>
    <w:tbl>
      <w:tblPr>
        <w:tblStyle w:val="LightList-Accent1"/>
        <w:tblW w:w="0" w:type="auto"/>
        <w:tblLook w:val="00A0" w:firstRow="1" w:lastRow="0" w:firstColumn="1" w:lastColumn="0" w:noHBand="0" w:noVBand="0"/>
        <w:tblCaption w:val="MDC 05 Diseases and disorders of the circulatory system"/>
        <w:tblDescription w:val="Table of two columns, the first column listing proposed presenting problem/diagnosis-type groupings and the second column listing proposed intervention-type groupings for MDC 05 Diseases and disorders of the circulatory system."/>
      </w:tblPr>
      <w:tblGrid>
        <w:gridCol w:w="4786"/>
        <w:gridCol w:w="4875"/>
      </w:tblGrid>
      <w:tr w:rsidR="001E4C63" w:rsidRPr="00DF4459" w:rsidTr="00A966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661" w:type="dxa"/>
            <w:gridSpan w:val="2"/>
          </w:tcPr>
          <w:p w:rsidR="001E4C63" w:rsidRPr="00DF4459" w:rsidRDefault="001E4C63" w:rsidP="00FA383A">
            <w:pPr>
              <w:pStyle w:val="NoSpacing"/>
              <w:rPr>
                <w:b w:val="0"/>
              </w:rPr>
            </w:pPr>
            <w:r w:rsidRPr="004721C7">
              <w:t>MDC</w:t>
            </w:r>
            <w:r>
              <w:t xml:space="preserve"> 05</w:t>
            </w:r>
            <w:r w:rsidRPr="004721C7">
              <w:t xml:space="preserve"> </w:t>
            </w:r>
            <w:r w:rsidRPr="00EC445C">
              <w:t>Diseases and Disorders of the Circulatory System</w:t>
            </w:r>
          </w:p>
        </w:tc>
      </w:tr>
      <w:tr w:rsidR="005F38D0" w:rsidRPr="00DF44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5F38D0" w:rsidRPr="005F38D0" w:rsidRDefault="005F38D0" w:rsidP="00344411">
            <w:pPr>
              <w:pStyle w:val="NoSpacing"/>
            </w:pPr>
            <w:r w:rsidRPr="005F38D0">
              <w:t>Proposed presenting problem / diagnosis-type groupings</w:t>
            </w:r>
          </w:p>
        </w:tc>
        <w:tc>
          <w:tcPr>
            <w:cnfStyle w:val="000010000000" w:firstRow="0" w:lastRow="0" w:firstColumn="0" w:lastColumn="0" w:oddVBand="1" w:evenVBand="0" w:oddHBand="0" w:evenHBand="0" w:firstRowFirstColumn="0" w:firstRowLastColumn="0" w:lastRowFirstColumn="0" w:lastRowLastColumn="0"/>
            <w:tcW w:w="4875" w:type="dxa"/>
          </w:tcPr>
          <w:p w:rsidR="005F38D0" w:rsidRPr="005F38D0" w:rsidRDefault="005F38D0" w:rsidP="00344411">
            <w:pPr>
              <w:pStyle w:val="NoSpacing"/>
              <w:rPr>
                <w:b/>
              </w:rPr>
            </w:pPr>
            <w:r w:rsidRPr="005F38D0">
              <w:rPr>
                <w:b/>
              </w:rPr>
              <w:t>Proposed intervention-type groupings</w:t>
            </w:r>
          </w:p>
        </w:tc>
      </w:tr>
      <w:tr w:rsidR="001E4C63" w:rsidRPr="00DF4459">
        <w:tc>
          <w:tcPr>
            <w:cnfStyle w:val="001000000000" w:firstRow="0" w:lastRow="0" w:firstColumn="1" w:lastColumn="0" w:oddVBand="0" w:evenVBand="0" w:oddHBand="0" w:evenHBand="0" w:firstRowFirstColumn="0" w:firstRowLastColumn="0" w:lastRowFirstColumn="0" w:lastRowLastColumn="0"/>
            <w:tcW w:w="4786" w:type="dxa"/>
          </w:tcPr>
          <w:p w:rsidR="001E4C63" w:rsidRPr="00DF4459" w:rsidRDefault="001E4C63" w:rsidP="00EE00F8">
            <w:pPr>
              <w:pStyle w:val="NoSpacing"/>
              <w:rPr>
                <w:b w:val="0"/>
              </w:rPr>
            </w:pPr>
            <w:r w:rsidRPr="00DF4459">
              <w:rPr>
                <w:b w:val="0"/>
              </w:rPr>
              <w:t xml:space="preserve">Acute myocardial infarction </w:t>
            </w:r>
          </w:p>
        </w:tc>
        <w:tc>
          <w:tcPr>
            <w:cnfStyle w:val="000010000000" w:firstRow="0" w:lastRow="0" w:firstColumn="0" w:lastColumn="0" w:oddVBand="1" w:evenVBand="0" w:oddHBand="0" w:evenHBand="0" w:firstRowFirstColumn="0" w:firstRowLastColumn="0" w:lastRowFirstColumn="0" w:lastRowLastColumn="0"/>
            <w:tcW w:w="4875" w:type="dxa"/>
            <w:vMerge w:val="restart"/>
          </w:tcPr>
          <w:p w:rsidR="001E4C63" w:rsidRPr="00DF4459" w:rsidRDefault="001E4C63" w:rsidP="009768EE">
            <w:pPr>
              <w:pStyle w:val="NoSpacing"/>
              <w:numPr>
                <w:ilvl w:val="0"/>
                <w:numId w:val="28"/>
              </w:numPr>
              <w:ind w:left="317" w:hanging="317"/>
            </w:pPr>
            <w:r w:rsidRPr="00DF4459">
              <w:t xml:space="preserve">Cardioversion </w:t>
            </w:r>
          </w:p>
          <w:p w:rsidR="001E4C63" w:rsidRPr="00DF4459" w:rsidRDefault="001E4C63" w:rsidP="009768EE">
            <w:pPr>
              <w:pStyle w:val="NoSpacing"/>
              <w:numPr>
                <w:ilvl w:val="0"/>
                <w:numId w:val="28"/>
              </w:numPr>
              <w:ind w:left="317" w:hanging="317"/>
            </w:pPr>
            <w:r w:rsidRPr="00DF4459">
              <w:t xml:space="preserve">Implantation </w:t>
            </w:r>
            <w:r>
              <w:t>or</w:t>
            </w:r>
            <w:r w:rsidRPr="00DF4459">
              <w:t xml:space="preserve"> replacement of pacemaker </w:t>
            </w:r>
          </w:p>
          <w:p w:rsidR="001E4C63" w:rsidRPr="00DF4459" w:rsidRDefault="001E4C63" w:rsidP="009768EE">
            <w:pPr>
              <w:pStyle w:val="NoSpacing"/>
              <w:numPr>
                <w:ilvl w:val="0"/>
                <w:numId w:val="28"/>
              </w:numPr>
              <w:ind w:left="317" w:hanging="317"/>
            </w:pPr>
            <w:r w:rsidRPr="00DF4459">
              <w:t>Percutaneous coronary intervention</w:t>
            </w:r>
          </w:p>
          <w:p w:rsidR="001E4C63" w:rsidRPr="00DF4459" w:rsidRDefault="001E4C63" w:rsidP="009768EE">
            <w:pPr>
              <w:pStyle w:val="NoSpacing"/>
              <w:numPr>
                <w:ilvl w:val="0"/>
                <w:numId w:val="28"/>
              </w:numPr>
              <w:ind w:left="317" w:hanging="317"/>
            </w:pPr>
            <w:r>
              <w:t>p</w:t>
            </w:r>
            <w:r w:rsidRPr="00DF4459">
              <w:t>ercutaneous transluminal coronary angioplasty (PTCA)</w:t>
            </w:r>
          </w:p>
          <w:p w:rsidR="001E4C63" w:rsidRPr="00DF4459" w:rsidRDefault="001E4C63" w:rsidP="009768EE">
            <w:pPr>
              <w:pStyle w:val="NoSpacing"/>
              <w:numPr>
                <w:ilvl w:val="0"/>
                <w:numId w:val="28"/>
              </w:numPr>
              <w:ind w:left="317" w:hanging="317"/>
            </w:pPr>
            <w:r>
              <w:t>p</w:t>
            </w:r>
            <w:r w:rsidRPr="00DF4459">
              <w:t>ercutaneous transluminal rotational atherectomy</w:t>
            </w:r>
          </w:p>
          <w:p w:rsidR="001E4C63" w:rsidRPr="00DF4459" w:rsidRDefault="001E4C63" w:rsidP="009768EE">
            <w:pPr>
              <w:pStyle w:val="NoSpacing"/>
              <w:numPr>
                <w:ilvl w:val="0"/>
                <w:numId w:val="28"/>
              </w:numPr>
              <w:ind w:left="317" w:hanging="317"/>
            </w:pPr>
            <w:r w:rsidRPr="00DF4459">
              <w:t xml:space="preserve">Cardiac electrophysiological studies </w:t>
            </w:r>
          </w:p>
          <w:p w:rsidR="001E4C63" w:rsidRPr="00DF4459" w:rsidRDefault="001E4C63" w:rsidP="009768EE">
            <w:pPr>
              <w:pStyle w:val="NoSpacing"/>
              <w:numPr>
                <w:ilvl w:val="0"/>
                <w:numId w:val="28"/>
              </w:numPr>
              <w:ind w:left="317" w:hanging="317"/>
            </w:pPr>
            <w:r>
              <w:t>c</w:t>
            </w:r>
            <w:r w:rsidRPr="00DF4459">
              <w:t xml:space="preserve">atheter ablation </w:t>
            </w:r>
          </w:p>
          <w:p w:rsidR="001E4C63" w:rsidRPr="00DF4459" w:rsidRDefault="001E4C63" w:rsidP="009768EE">
            <w:pPr>
              <w:pStyle w:val="NoSpacing"/>
              <w:numPr>
                <w:ilvl w:val="0"/>
                <w:numId w:val="28"/>
              </w:numPr>
              <w:ind w:left="317" w:hanging="317"/>
            </w:pPr>
            <w:r w:rsidRPr="00DF4459">
              <w:t xml:space="preserve">Selective coronary angiography </w:t>
            </w:r>
          </w:p>
          <w:p w:rsidR="001E4C63" w:rsidRPr="00DF4459" w:rsidRDefault="001E4C63" w:rsidP="009768EE">
            <w:pPr>
              <w:pStyle w:val="NoSpacing"/>
              <w:numPr>
                <w:ilvl w:val="0"/>
                <w:numId w:val="28"/>
              </w:numPr>
              <w:ind w:left="317" w:hanging="317"/>
            </w:pPr>
            <w:r w:rsidRPr="00DF4459">
              <w:t xml:space="preserve">Transoesophageal echocardiogram (TOE) </w:t>
            </w:r>
            <w:r w:rsidR="00EE00F8">
              <w:t xml:space="preserve"> </w:t>
            </w:r>
          </w:p>
          <w:p w:rsidR="001E4C63" w:rsidRPr="00DF4459" w:rsidRDefault="001E4C63" w:rsidP="009768EE">
            <w:pPr>
              <w:pStyle w:val="NoSpacing"/>
              <w:numPr>
                <w:ilvl w:val="0"/>
                <w:numId w:val="28"/>
              </w:numPr>
              <w:ind w:left="317" w:hanging="317"/>
            </w:pPr>
            <w:r w:rsidRPr="00DF4459">
              <w:t xml:space="preserve">Implantable ECG loop recorder </w:t>
            </w:r>
          </w:p>
          <w:p w:rsidR="001E4C63" w:rsidRPr="00DF4459" w:rsidRDefault="001E4C63" w:rsidP="009768EE">
            <w:pPr>
              <w:pStyle w:val="NoSpacing"/>
              <w:numPr>
                <w:ilvl w:val="0"/>
                <w:numId w:val="28"/>
              </w:numPr>
              <w:ind w:left="317" w:hanging="317"/>
            </w:pPr>
            <w:r w:rsidRPr="00DF4459">
              <w:t xml:space="preserve">Vein ligation and stripping </w:t>
            </w:r>
          </w:p>
          <w:p w:rsidR="001E4C63" w:rsidRPr="00DF4459" w:rsidRDefault="001E4C63" w:rsidP="009768EE">
            <w:pPr>
              <w:pStyle w:val="NoSpacing"/>
              <w:numPr>
                <w:ilvl w:val="0"/>
                <w:numId w:val="28"/>
              </w:numPr>
              <w:ind w:left="317" w:hanging="317"/>
            </w:pPr>
            <w:r w:rsidRPr="00DF4459">
              <w:t>Other circulatory system procedure</w:t>
            </w:r>
          </w:p>
        </w:tc>
      </w:tr>
      <w:tr w:rsidR="001E4C63" w:rsidRPr="00DF44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1E4C63" w:rsidRPr="00DF4459" w:rsidRDefault="001E4C63" w:rsidP="00EE00F8">
            <w:pPr>
              <w:pStyle w:val="NoSpacing"/>
              <w:rPr>
                <w:b w:val="0"/>
              </w:rPr>
            </w:pPr>
            <w:r w:rsidRPr="00DF4459">
              <w:rPr>
                <w:b w:val="0"/>
              </w:rPr>
              <w:t>Heart failure</w:t>
            </w:r>
          </w:p>
        </w:tc>
        <w:tc>
          <w:tcPr>
            <w:cnfStyle w:val="000010000000" w:firstRow="0" w:lastRow="0" w:firstColumn="0" w:lastColumn="0" w:oddVBand="1" w:evenVBand="0" w:oddHBand="0" w:evenHBand="0" w:firstRowFirstColumn="0" w:firstRowLastColumn="0" w:lastRowFirstColumn="0" w:lastRowLastColumn="0"/>
            <w:tcW w:w="4875" w:type="dxa"/>
            <w:vMerge/>
          </w:tcPr>
          <w:p w:rsidR="001E4C63" w:rsidRPr="00DF4459" w:rsidRDefault="001E4C63" w:rsidP="00FA383A">
            <w:pPr>
              <w:pStyle w:val="NoSpacing"/>
            </w:pPr>
          </w:p>
        </w:tc>
      </w:tr>
      <w:tr w:rsidR="001E4C63" w:rsidRPr="00DF4459">
        <w:tc>
          <w:tcPr>
            <w:cnfStyle w:val="001000000000" w:firstRow="0" w:lastRow="0" w:firstColumn="1" w:lastColumn="0" w:oddVBand="0" w:evenVBand="0" w:oddHBand="0" w:evenHBand="0" w:firstRowFirstColumn="0" w:firstRowLastColumn="0" w:lastRowFirstColumn="0" w:lastRowLastColumn="0"/>
            <w:tcW w:w="4786" w:type="dxa"/>
          </w:tcPr>
          <w:p w:rsidR="001E4C63" w:rsidRPr="00DF4459" w:rsidRDefault="001E4C63" w:rsidP="00EE00F8">
            <w:pPr>
              <w:pStyle w:val="NoSpacing"/>
              <w:rPr>
                <w:b w:val="0"/>
              </w:rPr>
            </w:pPr>
            <w:r w:rsidRPr="00DF4459">
              <w:rPr>
                <w:b w:val="0"/>
              </w:rPr>
              <w:t xml:space="preserve">Venous thrombosis </w:t>
            </w:r>
          </w:p>
        </w:tc>
        <w:tc>
          <w:tcPr>
            <w:cnfStyle w:val="000010000000" w:firstRow="0" w:lastRow="0" w:firstColumn="0" w:lastColumn="0" w:oddVBand="1" w:evenVBand="0" w:oddHBand="0" w:evenHBand="0" w:firstRowFirstColumn="0" w:firstRowLastColumn="0" w:lastRowFirstColumn="0" w:lastRowLastColumn="0"/>
            <w:tcW w:w="4875" w:type="dxa"/>
            <w:vMerge/>
          </w:tcPr>
          <w:p w:rsidR="001E4C63" w:rsidRPr="00DF4459" w:rsidRDefault="001E4C63" w:rsidP="00FA383A">
            <w:pPr>
              <w:pStyle w:val="NoSpacing"/>
            </w:pPr>
          </w:p>
        </w:tc>
      </w:tr>
      <w:tr w:rsidR="001E4C63" w:rsidRPr="00DF44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1E4C63" w:rsidRPr="00DF4459" w:rsidRDefault="001E4C63" w:rsidP="00F23C87">
            <w:pPr>
              <w:pStyle w:val="NoSpacing"/>
            </w:pPr>
            <w:r>
              <w:rPr>
                <w:b w:val="0"/>
              </w:rPr>
              <w:t>Peripheral vascular disorder with skin ulcer</w:t>
            </w:r>
            <w:r w:rsidRPr="00834A3B">
              <w:rPr>
                <w:b w:val="0"/>
              </w:rPr>
              <w:t xml:space="preserve"> </w:t>
            </w:r>
          </w:p>
        </w:tc>
        <w:tc>
          <w:tcPr>
            <w:cnfStyle w:val="000010000000" w:firstRow="0" w:lastRow="0" w:firstColumn="0" w:lastColumn="0" w:oddVBand="1" w:evenVBand="0" w:oddHBand="0" w:evenHBand="0" w:firstRowFirstColumn="0" w:firstRowLastColumn="0" w:lastRowFirstColumn="0" w:lastRowLastColumn="0"/>
            <w:tcW w:w="4875" w:type="dxa"/>
            <w:vMerge/>
          </w:tcPr>
          <w:p w:rsidR="001E4C63" w:rsidRPr="00DF4459" w:rsidRDefault="001E4C63" w:rsidP="00FA383A">
            <w:pPr>
              <w:pStyle w:val="NoSpacing"/>
            </w:pPr>
          </w:p>
        </w:tc>
      </w:tr>
      <w:tr w:rsidR="001E4C63" w:rsidRPr="00DF4459">
        <w:tc>
          <w:tcPr>
            <w:cnfStyle w:val="001000000000" w:firstRow="0" w:lastRow="0" w:firstColumn="1" w:lastColumn="0" w:oddVBand="0" w:evenVBand="0" w:oddHBand="0" w:evenHBand="0" w:firstRowFirstColumn="0" w:firstRowLastColumn="0" w:lastRowFirstColumn="0" w:lastRowLastColumn="0"/>
            <w:tcW w:w="4786" w:type="dxa"/>
          </w:tcPr>
          <w:p w:rsidR="001E4C63" w:rsidRPr="00F82B87" w:rsidRDefault="001E4C63" w:rsidP="00EE00F8">
            <w:pPr>
              <w:pStyle w:val="NoSpacing"/>
              <w:rPr>
                <w:b w:val="0"/>
                <w:strike/>
              </w:rPr>
            </w:pPr>
            <w:r w:rsidRPr="00436814">
              <w:rPr>
                <w:b w:val="0"/>
              </w:rPr>
              <w:t xml:space="preserve">Peripheral vascular disorder without skin ulcer </w:t>
            </w:r>
          </w:p>
        </w:tc>
        <w:tc>
          <w:tcPr>
            <w:cnfStyle w:val="000010000000" w:firstRow="0" w:lastRow="0" w:firstColumn="0" w:lastColumn="0" w:oddVBand="1" w:evenVBand="0" w:oddHBand="0" w:evenHBand="0" w:firstRowFirstColumn="0" w:firstRowLastColumn="0" w:lastRowFirstColumn="0" w:lastRowLastColumn="0"/>
            <w:tcW w:w="4875" w:type="dxa"/>
            <w:vMerge/>
          </w:tcPr>
          <w:p w:rsidR="001E4C63" w:rsidRPr="00DF4459" w:rsidRDefault="001E4C63" w:rsidP="00FA383A">
            <w:pPr>
              <w:pStyle w:val="NoSpacing"/>
            </w:pPr>
          </w:p>
        </w:tc>
      </w:tr>
      <w:tr w:rsidR="001E4C63" w:rsidRPr="00DF44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1E4C63" w:rsidRPr="00DF4459" w:rsidRDefault="001E4C63" w:rsidP="00EE00F8">
            <w:pPr>
              <w:pStyle w:val="NoSpacing"/>
              <w:rPr>
                <w:b w:val="0"/>
              </w:rPr>
            </w:pPr>
            <w:r w:rsidRPr="00DF4459">
              <w:rPr>
                <w:b w:val="0"/>
              </w:rPr>
              <w:t xml:space="preserve">Coronary atherosclerosis </w:t>
            </w:r>
          </w:p>
        </w:tc>
        <w:tc>
          <w:tcPr>
            <w:cnfStyle w:val="000010000000" w:firstRow="0" w:lastRow="0" w:firstColumn="0" w:lastColumn="0" w:oddVBand="1" w:evenVBand="0" w:oddHBand="0" w:evenHBand="0" w:firstRowFirstColumn="0" w:firstRowLastColumn="0" w:lastRowFirstColumn="0" w:lastRowLastColumn="0"/>
            <w:tcW w:w="4875" w:type="dxa"/>
            <w:vMerge/>
          </w:tcPr>
          <w:p w:rsidR="001E4C63" w:rsidRPr="00DF4459" w:rsidRDefault="001E4C63" w:rsidP="00FA383A">
            <w:pPr>
              <w:pStyle w:val="NoSpacing"/>
            </w:pPr>
          </w:p>
        </w:tc>
      </w:tr>
      <w:tr w:rsidR="001E4C63" w:rsidRPr="00DF4459">
        <w:tc>
          <w:tcPr>
            <w:cnfStyle w:val="001000000000" w:firstRow="0" w:lastRow="0" w:firstColumn="1" w:lastColumn="0" w:oddVBand="0" w:evenVBand="0" w:oddHBand="0" w:evenHBand="0" w:firstRowFirstColumn="0" w:firstRowLastColumn="0" w:lastRowFirstColumn="0" w:lastRowLastColumn="0"/>
            <w:tcW w:w="4786" w:type="dxa"/>
          </w:tcPr>
          <w:p w:rsidR="001E4C63" w:rsidRPr="00DF4459" w:rsidRDefault="001E4C63" w:rsidP="00EE00F8">
            <w:pPr>
              <w:pStyle w:val="NoSpacing"/>
              <w:rPr>
                <w:b w:val="0"/>
              </w:rPr>
            </w:pPr>
            <w:r w:rsidRPr="00DF4459">
              <w:rPr>
                <w:b w:val="0"/>
              </w:rPr>
              <w:t xml:space="preserve">Hypertension </w:t>
            </w:r>
          </w:p>
        </w:tc>
        <w:tc>
          <w:tcPr>
            <w:cnfStyle w:val="000010000000" w:firstRow="0" w:lastRow="0" w:firstColumn="0" w:lastColumn="0" w:oddVBand="1" w:evenVBand="0" w:oddHBand="0" w:evenHBand="0" w:firstRowFirstColumn="0" w:firstRowLastColumn="0" w:lastRowFirstColumn="0" w:lastRowLastColumn="0"/>
            <w:tcW w:w="4875" w:type="dxa"/>
            <w:vMerge/>
          </w:tcPr>
          <w:p w:rsidR="001E4C63" w:rsidRPr="00DF4459" w:rsidRDefault="001E4C63" w:rsidP="00FA383A">
            <w:pPr>
              <w:pStyle w:val="NoSpacing"/>
            </w:pPr>
          </w:p>
        </w:tc>
      </w:tr>
      <w:tr w:rsidR="001E4C63" w:rsidRPr="00DF44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1E4C63" w:rsidRPr="00DF4459" w:rsidRDefault="001E4C63" w:rsidP="00EE00F8">
            <w:pPr>
              <w:pStyle w:val="NoSpacing"/>
              <w:rPr>
                <w:b w:val="0"/>
              </w:rPr>
            </w:pPr>
            <w:r w:rsidRPr="00DF4459">
              <w:rPr>
                <w:b w:val="0"/>
              </w:rPr>
              <w:t xml:space="preserve">Congenital heart disease </w:t>
            </w:r>
          </w:p>
        </w:tc>
        <w:tc>
          <w:tcPr>
            <w:cnfStyle w:val="000010000000" w:firstRow="0" w:lastRow="0" w:firstColumn="0" w:lastColumn="0" w:oddVBand="1" w:evenVBand="0" w:oddHBand="0" w:evenHBand="0" w:firstRowFirstColumn="0" w:firstRowLastColumn="0" w:lastRowFirstColumn="0" w:lastRowLastColumn="0"/>
            <w:tcW w:w="4875" w:type="dxa"/>
            <w:vMerge/>
          </w:tcPr>
          <w:p w:rsidR="001E4C63" w:rsidRPr="00DF4459" w:rsidRDefault="001E4C63" w:rsidP="00FA383A">
            <w:pPr>
              <w:pStyle w:val="NoSpacing"/>
            </w:pPr>
          </w:p>
        </w:tc>
      </w:tr>
      <w:tr w:rsidR="001E4C63" w:rsidRPr="00DF4459">
        <w:tc>
          <w:tcPr>
            <w:cnfStyle w:val="001000000000" w:firstRow="0" w:lastRow="0" w:firstColumn="1" w:lastColumn="0" w:oddVBand="0" w:evenVBand="0" w:oddHBand="0" w:evenHBand="0" w:firstRowFirstColumn="0" w:firstRowLastColumn="0" w:lastRowFirstColumn="0" w:lastRowLastColumn="0"/>
            <w:tcW w:w="4786" w:type="dxa"/>
          </w:tcPr>
          <w:p w:rsidR="001E4C63" w:rsidRPr="00DF4459" w:rsidRDefault="001E4C63" w:rsidP="00EE00F8">
            <w:pPr>
              <w:pStyle w:val="NoSpacing"/>
              <w:rPr>
                <w:b w:val="0"/>
              </w:rPr>
            </w:pPr>
            <w:r w:rsidRPr="00DF4459">
              <w:rPr>
                <w:b w:val="0"/>
              </w:rPr>
              <w:t>Valvular disorder</w:t>
            </w:r>
          </w:p>
        </w:tc>
        <w:tc>
          <w:tcPr>
            <w:cnfStyle w:val="000010000000" w:firstRow="0" w:lastRow="0" w:firstColumn="0" w:lastColumn="0" w:oddVBand="1" w:evenVBand="0" w:oddHBand="0" w:evenHBand="0" w:firstRowFirstColumn="0" w:firstRowLastColumn="0" w:lastRowFirstColumn="0" w:lastRowLastColumn="0"/>
            <w:tcW w:w="4875" w:type="dxa"/>
            <w:vMerge/>
          </w:tcPr>
          <w:p w:rsidR="001E4C63" w:rsidRPr="00DF4459" w:rsidRDefault="001E4C63" w:rsidP="00FA383A">
            <w:pPr>
              <w:pStyle w:val="NoSpacing"/>
            </w:pPr>
          </w:p>
        </w:tc>
      </w:tr>
      <w:tr w:rsidR="001E4C63" w:rsidRPr="00DF44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1E4C63" w:rsidRPr="00DF4459" w:rsidRDefault="001E4C63" w:rsidP="00EE00F8">
            <w:pPr>
              <w:pStyle w:val="NoSpacing"/>
              <w:rPr>
                <w:b w:val="0"/>
              </w:rPr>
            </w:pPr>
            <w:r w:rsidRPr="00DF4459">
              <w:rPr>
                <w:b w:val="0"/>
              </w:rPr>
              <w:t xml:space="preserve">Arrhythmia or conduction disorder </w:t>
            </w:r>
          </w:p>
        </w:tc>
        <w:tc>
          <w:tcPr>
            <w:cnfStyle w:val="000010000000" w:firstRow="0" w:lastRow="0" w:firstColumn="0" w:lastColumn="0" w:oddVBand="1" w:evenVBand="0" w:oddHBand="0" w:evenHBand="0" w:firstRowFirstColumn="0" w:firstRowLastColumn="0" w:lastRowFirstColumn="0" w:lastRowLastColumn="0"/>
            <w:tcW w:w="4875" w:type="dxa"/>
            <w:vMerge/>
          </w:tcPr>
          <w:p w:rsidR="001E4C63" w:rsidRPr="00DF4459" w:rsidRDefault="001E4C63" w:rsidP="00FA383A">
            <w:pPr>
              <w:pStyle w:val="NoSpacing"/>
            </w:pPr>
          </w:p>
        </w:tc>
      </w:tr>
      <w:tr w:rsidR="001E4C63" w:rsidRPr="00DF4459">
        <w:tc>
          <w:tcPr>
            <w:cnfStyle w:val="001000000000" w:firstRow="0" w:lastRow="0" w:firstColumn="1" w:lastColumn="0" w:oddVBand="0" w:evenVBand="0" w:oddHBand="0" w:evenHBand="0" w:firstRowFirstColumn="0" w:firstRowLastColumn="0" w:lastRowFirstColumn="0" w:lastRowLastColumn="0"/>
            <w:tcW w:w="4786" w:type="dxa"/>
          </w:tcPr>
          <w:p w:rsidR="001E4C63" w:rsidRPr="008C7D24" w:rsidRDefault="001E4C63" w:rsidP="00FA383A">
            <w:pPr>
              <w:pStyle w:val="NoSpacing"/>
              <w:rPr>
                <w:b w:val="0"/>
              </w:rPr>
            </w:pPr>
            <w:r w:rsidRPr="00AC5AC1">
              <w:rPr>
                <w:b w:val="0"/>
              </w:rPr>
              <w:t>Neoplasm of the circulatory system</w:t>
            </w:r>
          </w:p>
        </w:tc>
        <w:tc>
          <w:tcPr>
            <w:cnfStyle w:val="000010000000" w:firstRow="0" w:lastRow="0" w:firstColumn="0" w:lastColumn="0" w:oddVBand="1" w:evenVBand="0" w:oddHBand="0" w:evenHBand="0" w:firstRowFirstColumn="0" w:firstRowLastColumn="0" w:lastRowFirstColumn="0" w:lastRowLastColumn="0"/>
            <w:tcW w:w="4875" w:type="dxa"/>
            <w:vMerge/>
          </w:tcPr>
          <w:p w:rsidR="001E4C63" w:rsidRPr="00DF4459" w:rsidRDefault="001E4C63" w:rsidP="00FA383A">
            <w:pPr>
              <w:pStyle w:val="NoSpacing"/>
            </w:pPr>
          </w:p>
        </w:tc>
      </w:tr>
      <w:tr w:rsidR="001E4C63" w:rsidRPr="00DF44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1E4C63" w:rsidRPr="00AC5AC1" w:rsidRDefault="001E4C63" w:rsidP="00FA383A">
            <w:pPr>
              <w:pStyle w:val="NoSpacing"/>
              <w:rPr>
                <w:b w:val="0"/>
              </w:rPr>
            </w:pPr>
            <w:r>
              <w:rPr>
                <w:b w:val="0"/>
              </w:rPr>
              <w:t>Signs or symptoms of the circulatory system</w:t>
            </w:r>
          </w:p>
        </w:tc>
        <w:tc>
          <w:tcPr>
            <w:cnfStyle w:val="000010000000" w:firstRow="0" w:lastRow="0" w:firstColumn="0" w:lastColumn="0" w:oddVBand="1" w:evenVBand="0" w:oddHBand="0" w:evenHBand="0" w:firstRowFirstColumn="0" w:firstRowLastColumn="0" w:lastRowFirstColumn="0" w:lastRowLastColumn="0"/>
            <w:tcW w:w="4875" w:type="dxa"/>
            <w:vMerge/>
          </w:tcPr>
          <w:p w:rsidR="001E4C63" w:rsidRPr="00DF4459" w:rsidRDefault="001E4C63" w:rsidP="00FA383A">
            <w:pPr>
              <w:pStyle w:val="NoSpacing"/>
            </w:pPr>
          </w:p>
        </w:tc>
      </w:tr>
      <w:tr w:rsidR="001E4C63" w:rsidRPr="00DF4459">
        <w:tc>
          <w:tcPr>
            <w:cnfStyle w:val="001000000000" w:firstRow="0" w:lastRow="0" w:firstColumn="1" w:lastColumn="0" w:oddVBand="0" w:evenVBand="0" w:oddHBand="0" w:evenHBand="0" w:firstRowFirstColumn="0" w:firstRowLastColumn="0" w:lastRowFirstColumn="0" w:lastRowLastColumn="0"/>
            <w:tcW w:w="4786" w:type="dxa"/>
          </w:tcPr>
          <w:p w:rsidR="001E4C63" w:rsidRPr="00DF4459" w:rsidRDefault="001E4C63" w:rsidP="00FA383A">
            <w:pPr>
              <w:pStyle w:val="NoSpacing"/>
              <w:rPr>
                <w:b w:val="0"/>
              </w:rPr>
            </w:pPr>
            <w:r w:rsidRPr="00DF4459">
              <w:rPr>
                <w:b w:val="0"/>
              </w:rPr>
              <w:t>Other</w:t>
            </w:r>
            <w:r>
              <w:rPr>
                <w:b w:val="0"/>
              </w:rPr>
              <w:t xml:space="preserve"> disorder of the</w:t>
            </w:r>
            <w:r w:rsidRPr="00DF4459">
              <w:rPr>
                <w:b w:val="0"/>
              </w:rPr>
              <w:t xml:space="preserve"> circulatory </w:t>
            </w:r>
            <w:r>
              <w:rPr>
                <w:b w:val="0"/>
              </w:rPr>
              <w:t>system</w:t>
            </w:r>
            <w:r w:rsidRPr="00DF4459">
              <w:rPr>
                <w:b w:val="0"/>
              </w:rPr>
              <w:t xml:space="preserve"> </w:t>
            </w:r>
          </w:p>
          <w:p w:rsidR="001E4C63" w:rsidRPr="00AC5AC1" w:rsidRDefault="001E4C63" w:rsidP="009768EE">
            <w:pPr>
              <w:pStyle w:val="NoSpacing"/>
              <w:numPr>
                <w:ilvl w:val="0"/>
                <w:numId w:val="27"/>
              </w:numPr>
              <w:ind w:left="284" w:hanging="284"/>
            </w:pPr>
            <w:r>
              <w:rPr>
                <w:b w:val="0"/>
              </w:rPr>
              <w:t>c</w:t>
            </w:r>
            <w:r w:rsidRPr="00DF4459">
              <w:rPr>
                <w:b w:val="0"/>
              </w:rPr>
              <w:t xml:space="preserve">hest pain </w:t>
            </w:r>
          </w:p>
          <w:p w:rsidR="001E4C63" w:rsidRPr="00DF4459" w:rsidRDefault="001E4C63" w:rsidP="009768EE">
            <w:pPr>
              <w:pStyle w:val="NoSpacing"/>
              <w:numPr>
                <w:ilvl w:val="0"/>
                <w:numId w:val="27"/>
              </w:numPr>
              <w:ind w:left="284" w:hanging="284"/>
              <w:rPr>
                <w:b w:val="0"/>
              </w:rPr>
            </w:pPr>
            <w:r>
              <w:rPr>
                <w:b w:val="0"/>
              </w:rPr>
              <w:t>i</w:t>
            </w:r>
            <w:r w:rsidRPr="00DF4459">
              <w:rPr>
                <w:b w:val="0"/>
              </w:rPr>
              <w:t xml:space="preserve">nfective endocarditis </w:t>
            </w:r>
          </w:p>
          <w:p w:rsidR="001E4C63" w:rsidRDefault="001E4C63" w:rsidP="009768EE">
            <w:pPr>
              <w:pStyle w:val="NoSpacing"/>
              <w:numPr>
                <w:ilvl w:val="0"/>
                <w:numId w:val="27"/>
              </w:numPr>
              <w:ind w:left="284" w:hanging="284"/>
              <w:rPr>
                <w:b w:val="0"/>
              </w:rPr>
            </w:pPr>
            <w:r>
              <w:rPr>
                <w:b w:val="0"/>
              </w:rPr>
              <w:t>l</w:t>
            </w:r>
            <w:r w:rsidRPr="00AC5AC1">
              <w:rPr>
                <w:b w:val="0"/>
              </w:rPr>
              <w:t xml:space="preserve">ymphoedema </w:t>
            </w:r>
          </w:p>
          <w:p w:rsidR="001E4C63" w:rsidRPr="00DF4459" w:rsidRDefault="001E4C63" w:rsidP="009768EE">
            <w:pPr>
              <w:pStyle w:val="NoSpacing"/>
              <w:numPr>
                <w:ilvl w:val="0"/>
                <w:numId w:val="27"/>
              </w:numPr>
              <w:ind w:left="284" w:hanging="284"/>
              <w:rPr>
                <w:b w:val="0"/>
              </w:rPr>
            </w:pPr>
            <w:r>
              <w:rPr>
                <w:b w:val="0"/>
              </w:rPr>
              <w:t>s</w:t>
            </w:r>
            <w:r w:rsidRPr="00DF4459">
              <w:rPr>
                <w:b w:val="0"/>
              </w:rPr>
              <w:t xml:space="preserve">yncope or collapse </w:t>
            </w:r>
          </w:p>
          <w:p w:rsidR="001E4C63" w:rsidRPr="00AC5AC1" w:rsidRDefault="001E4C63" w:rsidP="009768EE">
            <w:pPr>
              <w:pStyle w:val="NoSpacing"/>
              <w:numPr>
                <w:ilvl w:val="0"/>
                <w:numId w:val="27"/>
              </w:numPr>
              <w:ind w:left="284" w:hanging="284"/>
              <w:rPr>
                <w:b w:val="0"/>
              </w:rPr>
            </w:pPr>
            <w:r>
              <w:rPr>
                <w:b w:val="0"/>
              </w:rPr>
              <w:t>u</w:t>
            </w:r>
            <w:r w:rsidRPr="00DF4459">
              <w:rPr>
                <w:b w:val="0"/>
              </w:rPr>
              <w:t xml:space="preserve">nstable angina </w:t>
            </w:r>
          </w:p>
        </w:tc>
        <w:tc>
          <w:tcPr>
            <w:cnfStyle w:val="000010000000" w:firstRow="0" w:lastRow="0" w:firstColumn="0" w:lastColumn="0" w:oddVBand="1" w:evenVBand="0" w:oddHBand="0" w:evenHBand="0" w:firstRowFirstColumn="0" w:firstRowLastColumn="0" w:lastRowFirstColumn="0" w:lastRowLastColumn="0"/>
            <w:tcW w:w="4875" w:type="dxa"/>
            <w:vMerge/>
          </w:tcPr>
          <w:p w:rsidR="001E4C63" w:rsidRPr="00DF4459" w:rsidRDefault="001E4C63" w:rsidP="00FA383A">
            <w:pPr>
              <w:pStyle w:val="NoSpacing"/>
            </w:pPr>
          </w:p>
        </w:tc>
      </w:tr>
    </w:tbl>
    <w:p w:rsidR="001E4C63" w:rsidRDefault="001E4C63" w:rsidP="001E4C63">
      <w:pPr>
        <w:rPr>
          <w:rFonts w:cs="Arial"/>
          <w:szCs w:val="22"/>
        </w:rPr>
      </w:pPr>
    </w:p>
    <w:tbl>
      <w:tblPr>
        <w:tblStyle w:val="LightList-Accent1"/>
        <w:tblW w:w="0" w:type="auto"/>
        <w:tblLook w:val="00A0" w:firstRow="1" w:lastRow="0" w:firstColumn="1" w:lastColumn="0" w:noHBand="0" w:noVBand="0"/>
        <w:tblCaption w:val="MDC 06 Diseases and disorders of the digestive system"/>
        <w:tblDescription w:val="Table of two columns, the first column listing proposed presenting problem/diagnosis-type groupings and the second column listing proposed intervention-type groupings for MDC 06 Diseases and disorders of the digestive system."/>
      </w:tblPr>
      <w:tblGrid>
        <w:gridCol w:w="4786"/>
        <w:gridCol w:w="4875"/>
      </w:tblGrid>
      <w:tr w:rsidR="001E4C63" w:rsidTr="00A966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661" w:type="dxa"/>
            <w:gridSpan w:val="2"/>
          </w:tcPr>
          <w:p w:rsidR="001E4C63" w:rsidRPr="009806D0" w:rsidRDefault="001E4C63" w:rsidP="00FA383A">
            <w:pPr>
              <w:pStyle w:val="NoSpacing"/>
            </w:pPr>
            <w:r w:rsidRPr="009806D0">
              <w:t>MDC 06 Diseases and Disorders of the Digestive System</w:t>
            </w:r>
          </w:p>
        </w:tc>
      </w:tr>
      <w:tr w:rsidR="005F38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5F38D0" w:rsidRPr="005F38D0" w:rsidRDefault="005F38D0" w:rsidP="00344411">
            <w:pPr>
              <w:pStyle w:val="NoSpacing"/>
            </w:pPr>
            <w:r w:rsidRPr="005F38D0">
              <w:t>Proposed presenting problem / diagnosis-type groupings</w:t>
            </w:r>
          </w:p>
        </w:tc>
        <w:tc>
          <w:tcPr>
            <w:cnfStyle w:val="000010000000" w:firstRow="0" w:lastRow="0" w:firstColumn="0" w:lastColumn="0" w:oddVBand="1" w:evenVBand="0" w:oddHBand="0" w:evenHBand="0" w:firstRowFirstColumn="0" w:firstRowLastColumn="0" w:lastRowFirstColumn="0" w:lastRowLastColumn="0"/>
            <w:tcW w:w="4875" w:type="dxa"/>
          </w:tcPr>
          <w:p w:rsidR="005F38D0" w:rsidRPr="005F38D0" w:rsidRDefault="005F38D0" w:rsidP="00344411">
            <w:pPr>
              <w:pStyle w:val="NoSpacing"/>
              <w:rPr>
                <w:b/>
              </w:rPr>
            </w:pPr>
            <w:r w:rsidRPr="005F38D0">
              <w:rPr>
                <w:b/>
              </w:rPr>
              <w:t>Proposed intervention-type groupings</w:t>
            </w:r>
          </w:p>
        </w:tc>
      </w:tr>
      <w:tr w:rsidR="001E4C63">
        <w:tc>
          <w:tcPr>
            <w:cnfStyle w:val="001000000000" w:firstRow="0" w:lastRow="0" w:firstColumn="1" w:lastColumn="0" w:oddVBand="0" w:evenVBand="0" w:oddHBand="0" w:evenHBand="0" w:firstRowFirstColumn="0" w:firstRowLastColumn="0" w:lastRowFirstColumn="0" w:lastRowLastColumn="0"/>
            <w:tcW w:w="4786" w:type="dxa"/>
          </w:tcPr>
          <w:p w:rsidR="001E4C63" w:rsidRPr="00133AF9" w:rsidRDefault="001E4C63" w:rsidP="00EE00F8">
            <w:pPr>
              <w:pStyle w:val="NoSpacing"/>
              <w:rPr>
                <w:b w:val="0"/>
              </w:rPr>
            </w:pPr>
            <w:r>
              <w:rPr>
                <w:b w:val="0"/>
              </w:rPr>
              <w:t xml:space="preserve">Neoplasm of gastrointestinal system (except hepatobiliary) </w:t>
            </w:r>
          </w:p>
        </w:tc>
        <w:tc>
          <w:tcPr>
            <w:cnfStyle w:val="000010000000" w:firstRow="0" w:lastRow="0" w:firstColumn="0" w:lastColumn="0" w:oddVBand="1" w:evenVBand="0" w:oddHBand="0" w:evenHBand="0" w:firstRowFirstColumn="0" w:firstRowLastColumn="0" w:lastRowFirstColumn="0" w:lastRowLastColumn="0"/>
            <w:tcW w:w="4875" w:type="dxa"/>
            <w:vMerge w:val="restart"/>
          </w:tcPr>
          <w:p w:rsidR="001E4C63" w:rsidRPr="00D7684B" w:rsidRDefault="001E4C63" w:rsidP="009768EE">
            <w:pPr>
              <w:pStyle w:val="NoSpacing"/>
              <w:numPr>
                <w:ilvl w:val="0"/>
                <w:numId w:val="31"/>
              </w:numPr>
              <w:ind w:left="317" w:hanging="317"/>
            </w:pPr>
            <w:r w:rsidRPr="00D7684B">
              <w:t xml:space="preserve">Anal and stomal procedures </w:t>
            </w:r>
          </w:p>
          <w:p w:rsidR="001E4C63" w:rsidRDefault="001E4C63" w:rsidP="009768EE">
            <w:pPr>
              <w:pStyle w:val="NoSpacing"/>
              <w:numPr>
                <w:ilvl w:val="0"/>
                <w:numId w:val="31"/>
              </w:numPr>
              <w:ind w:left="317" w:hanging="317"/>
            </w:pPr>
            <w:r>
              <w:t>G</w:t>
            </w:r>
            <w:r w:rsidRPr="00D7684B">
              <w:t>astrointestinal endoscopy</w:t>
            </w:r>
            <w:r>
              <w:t xml:space="preserve"> </w:t>
            </w:r>
          </w:p>
          <w:p w:rsidR="001E4C63" w:rsidRPr="008935A7" w:rsidRDefault="001E4C63" w:rsidP="00A360CE">
            <w:pPr>
              <w:pStyle w:val="NoSpacing"/>
              <w:numPr>
                <w:ilvl w:val="0"/>
                <w:numId w:val="32"/>
              </w:numPr>
            </w:pPr>
            <w:r>
              <w:t>o</w:t>
            </w:r>
            <w:r w:rsidRPr="008935A7">
              <w:t>esophagoscopy</w:t>
            </w:r>
          </w:p>
          <w:p w:rsidR="001E4C63" w:rsidRPr="008935A7" w:rsidRDefault="001E4C63" w:rsidP="00A360CE">
            <w:pPr>
              <w:pStyle w:val="NoSpacing"/>
              <w:numPr>
                <w:ilvl w:val="0"/>
                <w:numId w:val="32"/>
              </w:numPr>
            </w:pPr>
            <w:r>
              <w:t>g</w:t>
            </w:r>
            <w:r w:rsidRPr="008935A7">
              <w:t>astroscopy</w:t>
            </w:r>
          </w:p>
          <w:p w:rsidR="001E4C63" w:rsidRPr="008935A7" w:rsidRDefault="001E4C63" w:rsidP="00A360CE">
            <w:pPr>
              <w:pStyle w:val="NoSpacing"/>
              <w:numPr>
                <w:ilvl w:val="0"/>
                <w:numId w:val="32"/>
              </w:numPr>
            </w:pPr>
            <w:r>
              <w:t>c</w:t>
            </w:r>
            <w:r w:rsidRPr="008935A7">
              <w:t>olonoscopy</w:t>
            </w:r>
          </w:p>
          <w:p w:rsidR="001E4C63" w:rsidRPr="008935A7" w:rsidRDefault="001E4C63" w:rsidP="00A360CE">
            <w:pPr>
              <w:pStyle w:val="NoSpacing"/>
              <w:numPr>
                <w:ilvl w:val="0"/>
                <w:numId w:val="32"/>
              </w:numPr>
            </w:pPr>
            <w:r>
              <w:t>d</w:t>
            </w:r>
            <w:r w:rsidRPr="008935A7">
              <w:t>uodenoscopy</w:t>
            </w:r>
          </w:p>
          <w:p w:rsidR="001E4C63" w:rsidRDefault="001E4C63" w:rsidP="00A360CE">
            <w:pPr>
              <w:pStyle w:val="NoSpacing"/>
              <w:numPr>
                <w:ilvl w:val="0"/>
                <w:numId w:val="32"/>
              </w:numPr>
            </w:pPr>
            <w:r>
              <w:t>s</w:t>
            </w:r>
            <w:r w:rsidRPr="008935A7">
              <w:t>igmoidoscopy</w:t>
            </w:r>
          </w:p>
          <w:p w:rsidR="001E4C63" w:rsidRPr="00BF438D" w:rsidRDefault="001E4C63" w:rsidP="00EE00F8">
            <w:pPr>
              <w:pStyle w:val="NoSpacing"/>
            </w:pPr>
            <w:r w:rsidRPr="00D7684B">
              <w:t xml:space="preserve">Hernia </w:t>
            </w:r>
            <w:r>
              <w:t xml:space="preserve">procedures </w:t>
            </w:r>
          </w:p>
          <w:p w:rsidR="001E4C63" w:rsidRDefault="001E4C63" w:rsidP="00FA383A">
            <w:pPr>
              <w:pStyle w:val="NoSpacing"/>
            </w:pPr>
          </w:p>
        </w:tc>
      </w:tr>
      <w:tr w:rsidR="001E4C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1E4C63" w:rsidRPr="00133AF9" w:rsidRDefault="001E4C63" w:rsidP="00EE00F8">
            <w:pPr>
              <w:pStyle w:val="NoSpacing"/>
              <w:rPr>
                <w:b w:val="0"/>
              </w:rPr>
            </w:pPr>
            <w:r w:rsidRPr="00113BF6">
              <w:rPr>
                <w:b w:val="0"/>
              </w:rPr>
              <w:t xml:space="preserve">Gastrointestinal </w:t>
            </w:r>
            <w:r>
              <w:rPr>
                <w:b w:val="0"/>
              </w:rPr>
              <w:t>h</w:t>
            </w:r>
            <w:r w:rsidRPr="00113BF6">
              <w:rPr>
                <w:b w:val="0"/>
              </w:rPr>
              <w:t>aemorrhage</w:t>
            </w:r>
            <w:r>
              <w:rPr>
                <w:b w:val="0"/>
              </w:rPr>
              <w:t xml:space="preserve"> </w:t>
            </w:r>
          </w:p>
        </w:tc>
        <w:tc>
          <w:tcPr>
            <w:cnfStyle w:val="000010000000" w:firstRow="0" w:lastRow="0" w:firstColumn="0" w:lastColumn="0" w:oddVBand="1" w:evenVBand="0" w:oddHBand="0" w:evenHBand="0" w:firstRowFirstColumn="0" w:firstRowLastColumn="0" w:lastRowFirstColumn="0" w:lastRowLastColumn="0"/>
            <w:tcW w:w="4875" w:type="dxa"/>
            <w:vMerge/>
          </w:tcPr>
          <w:p w:rsidR="001E4C63" w:rsidRDefault="001E4C63" w:rsidP="00FA383A">
            <w:pPr>
              <w:pStyle w:val="NoSpacing"/>
            </w:pPr>
          </w:p>
        </w:tc>
      </w:tr>
      <w:tr w:rsidR="001E4C63">
        <w:tc>
          <w:tcPr>
            <w:cnfStyle w:val="001000000000" w:firstRow="0" w:lastRow="0" w:firstColumn="1" w:lastColumn="0" w:oddVBand="0" w:evenVBand="0" w:oddHBand="0" w:evenHBand="0" w:firstRowFirstColumn="0" w:firstRowLastColumn="0" w:lastRowFirstColumn="0" w:lastRowLastColumn="0"/>
            <w:tcW w:w="4786" w:type="dxa"/>
          </w:tcPr>
          <w:p w:rsidR="001E4C63" w:rsidRPr="00133AF9" w:rsidRDefault="001E4C63" w:rsidP="00EE00F8">
            <w:pPr>
              <w:pStyle w:val="NoSpacing"/>
              <w:rPr>
                <w:b w:val="0"/>
              </w:rPr>
            </w:pPr>
            <w:r>
              <w:rPr>
                <w:b w:val="0"/>
              </w:rPr>
              <w:t xml:space="preserve">Inflammatory bowel disease </w:t>
            </w:r>
          </w:p>
        </w:tc>
        <w:tc>
          <w:tcPr>
            <w:cnfStyle w:val="000010000000" w:firstRow="0" w:lastRow="0" w:firstColumn="0" w:lastColumn="0" w:oddVBand="1" w:evenVBand="0" w:oddHBand="0" w:evenHBand="0" w:firstRowFirstColumn="0" w:firstRowLastColumn="0" w:lastRowFirstColumn="0" w:lastRowLastColumn="0"/>
            <w:tcW w:w="4875" w:type="dxa"/>
            <w:vMerge/>
          </w:tcPr>
          <w:p w:rsidR="001E4C63" w:rsidRDefault="001E4C63" w:rsidP="00FA383A">
            <w:pPr>
              <w:pStyle w:val="NoSpacing"/>
            </w:pPr>
          </w:p>
        </w:tc>
      </w:tr>
      <w:tr w:rsidR="001E4C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1E4C63" w:rsidRPr="00133AF9" w:rsidRDefault="001E4C63" w:rsidP="00EE00F8">
            <w:pPr>
              <w:pStyle w:val="NoSpacing"/>
              <w:rPr>
                <w:b w:val="0"/>
              </w:rPr>
            </w:pPr>
            <w:r>
              <w:rPr>
                <w:b w:val="0"/>
              </w:rPr>
              <w:t xml:space="preserve">Gastrointestinal obstruction </w:t>
            </w:r>
          </w:p>
        </w:tc>
        <w:tc>
          <w:tcPr>
            <w:cnfStyle w:val="000010000000" w:firstRow="0" w:lastRow="0" w:firstColumn="0" w:lastColumn="0" w:oddVBand="1" w:evenVBand="0" w:oddHBand="0" w:evenHBand="0" w:firstRowFirstColumn="0" w:firstRowLastColumn="0" w:lastRowFirstColumn="0" w:lastRowLastColumn="0"/>
            <w:tcW w:w="4875" w:type="dxa"/>
            <w:vMerge/>
          </w:tcPr>
          <w:p w:rsidR="001E4C63" w:rsidRDefault="001E4C63" w:rsidP="00FA383A">
            <w:pPr>
              <w:pStyle w:val="NoSpacing"/>
            </w:pPr>
          </w:p>
        </w:tc>
      </w:tr>
      <w:tr w:rsidR="001E4C63">
        <w:tc>
          <w:tcPr>
            <w:cnfStyle w:val="001000000000" w:firstRow="0" w:lastRow="0" w:firstColumn="1" w:lastColumn="0" w:oddVBand="0" w:evenVBand="0" w:oddHBand="0" w:evenHBand="0" w:firstRowFirstColumn="0" w:firstRowLastColumn="0" w:lastRowFirstColumn="0" w:lastRowLastColumn="0"/>
            <w:tcW w:w="4786" w:type="dxa"/>
          </w:tcPr>
          <w:p w:rsidR="001E4C63" w:rsidRPr="00133AF9" w:rsidRDefault="001E4C63" w:rsidP="00EE00F8">
            <w:pPr>
              <w:pStyle w:val="NoSpacing"/>
              <w:rPr>
                <w:b w:val="0"/>
              </w:rPr>
            </w:pPr>
            <w:r>
              <w:rPr>
                <w:b w:val="0"/>
              </w:rPr>
              <w:t xml:space="preserve">Abdominal pain or mesenteric adenitis </w:t>
            </w:r>
          </w:p>
        </w:tc>
        <w:tc>
          <w:tcPr>
            <w:cnfStyle w:val="000010000000" w:firstRow="0" w:lastRow="0" w:firstColumn="0" w:lastColumn="0" w:oddVBand="1" w:evenVBand="0" w:oddHBand="0" w:evenHBand="0" w:firstRowFirstColumn="0" w:firstRowLastColumn="0" w:lastRowFirstColumn="0" w:lastRowLastColumn="0"/>
            <w:tcW w:w="4875" w:type="dxa"/>
            <w:vMerge/>
          </w:tcPr>
          <w:p w:rsidR="001E4C63" w:rsidRDefault="001E4C63" w:rsidP="00FA383A">
            <w:pPr>
              <w:pStyle w:val="NoSpacing"/>
            </w:pPr>
          </w:p>
        </w:tc>
      </w:tr>
      <w:tr w:rsidR="001E4C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1E4C63" w:rsidRDefault="001E4C63" w:rsidP="00FA383A">
            <w:pPr>
              <w:pStyle w:val="NoSpacing"/>
              <w:rPr>
                <w:b w:val="0"/>
              </w:rPr>
            </w:pPr>
            <w:r>
              <w:rPr>
                <w:b w:val="0"/>
              </w:rPr>
              <w:t xml:space="preserve">Oesophagitis or gastroenteritis </w:t>
            </w:r>
          </w:p>
          <w:p w:rsidR="001E4C63" w:rsidRPr="005544BC" w:rsidRDefault="001E4C63" w:rsidP="009768EE">
            <w:pPr>
              <w:pStyle w:val="NoSpacing"/>
              <w:numPr>
                <w:ilvl w:val="0"/>
                <w:numId w:val="30"/>
              </w:numPr>
              <w:ind w:left="284" w:hanging="284"/>
            </w:pPr>
            <w:r w:rsidRPr="00277FA2">
              <w:rPr>
                <w:b w:val="0"/>
              </w:rPr>
              <w:t>Gastro-oesophageal reflux disease (GORD)</w:t>
            </w:r>
          </w:p>
        </w:tc>
        <w:tc>
          <w:tcPr>
            <w:cnfStyle w:val="000010000000" w:firstRow="0" w:lastRow="0" w:firstColumn="0" w:lastColumn="0" w:oddVBand="1" w:evenVBand="0" w:oddHBand="0" w:evenHBand="0" w:firstRowFirstColumn="0" w:firstRowLastColumn="0" w:lastRowFirstColumn="0" w:lastRowLastColumn="0"/>
            <w:tcW w:w="4875" w:type="dxa"/>
            <w:vMerge/>
          </w:tcPr>
          <w:p w:rsidR="001E4C63" w:rsidRDefault="001E4C63" w:rsidP="00FA383A">
            <w:pPr>
              <w:pStyle w:val="NoSpacing"/>
            </w:pPr>
          </w:p>
        </w:tc>
      </w:tr>
      <w:tr w:rsidR="001E4C63">
        <w:tc>
          <w:tcPr>
            <w:cnfStyle w:val="001000000000" w:firstRow="0" w:lastRow="0" w:firstColumn="1" w:lastColumn="0" w:oddVBand="0" w:evenVBand="0" w:oddHBand="0" w:evenHBand="0" w:firstRowFirstColumn="0" w:firstRowLastColumn="0" w:lastRowFirstColumn="0" w:lastRowLastColumn="0"/>
            <w:tcW w:w="4786" w:type="dxa"/>
          </w:tcPr>
          <w:p w:rsidR="001E4C63" w:rsidRDefault="001E4C63" w:rsidP="00EE00F8">
            <w:pPr>
              <w:pStyle w:val="NoSpacing"/>
              <w:rPr>
                <w:b w:val="0"/>
              </w:rPr>
            </w:pPr>
            <w:r>
              <w:rPr>
                <w:b w:val="0"/>
              </w:rPr>
              <w:t xml:space="preserve">Signs or symptoms of the gastrointestinal system </w:t>
            </w:r>
          </w:p>
        </w:tc>
        <w:tc>
          <w:tcPr>
            <w:cnfStyle w:val="000010000000" w:firstRow="0" w:lastRow="0" w:firstColumn="0" w:lastColumn="0" w:oddVBand="1" w:evenVBand="0" w:oddHBand="0" w:evenHBand="0" w:firstRowFirstColumn="0" w:firstRowLastColumn="0" w:lastRowFirstColumn="0" w:lastRowLastColumn="0"/>
            <w:tcW w:w="4875" w:type="dxa"/>
            <w:vMerge/>
          </w:tcPr>
          <w:p w:rsidR="001E4C63" w:rsidRDefault="001E4C63" w:rsidP="00FA383A">
            <w:pPr>
              <w:pStyle w:val="NoSpacing"/>
            </w:pPr>
          </w:p>
        </w:tc>
      </w:tr>
      <w:tr w:rsidR="001E4C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1E4C63" w:rsidRDefault="001E4C63" w:rsidP="00FA383A">
            <w:pPr>
              <w:pStyle w:val="NoSpacing"/>
              <w:rPr>
                <w:b w:val="0"/>
              </w:rPr>
            </w:pPr>
            <w:r w:rsidRPr="00113BF6">
              <w:rPr>
                <w:b w:val="0"/>
              </w:rPr>
              <w:t xml:space="preserve">Other </w:t>
            </w:r>
            <w:r>
              <w:rPr>
                <w:b w:val="0"/>
              </w:rPr>
              <w:t>disorder of the d</w:t>
            </w:r>
            <w:r w:rsidRPr="00113BF6">
              <w:rPr>
                <w:b w:val="0"/>
              </w:rPr>
              <w:t xml:space="preserve">igestive </w:t>
            </w:r>
            <w:r>
              <w:rPr>
                <w:b w:val="0"/>
              </w:rPr>
              <w:t>s</w:t>
            </w:r>
            <w:r w:rsidRPr="00113BF6">
              <w:rPr>
                <w:b w:val="0"/>
              </w:rPr>
              <w:t>ystem</w:t>
            </w:r>
            <w:r>
              <w:rPr>
                <w:b w:val="0"/>
              </w:rPr>
              <w:t xml:space="preserve"> </w:t>
            </w:r>
          </w:p>
          <w:p w:rsidR="001E4C63" w:rsidRDefault="001E4C63" w:rsidP="009768EE">
            <w:pPr>
              <w:pStyle w:val="NoSpacing"/>
              <w:numPr>
                <w:ilvl w:val="0"/>
                <w:numId w:val="29"/>
              </w:numPr>
              <w:ind w:left="284" w:hanging="284"/>
              <w:rPr>
                <w:b w:val="0"/>
              </w:rPr>
            </w:pPr>
            <w:r w:rsidRPr="00D7684B">
              <w:rPr>
                <w:b w:val="0"/>
              </w:rPr>
              <w:t>appendicitis</w:t>
            </w:r>
          </w:p>
          <w:p w:rsidR="001E4C63" w:rsidRPr="00D7684B" w:rsidRDefault="001E4C63" w:rsidP="009768EE">
            <w:pPr>
              <w:pStyle w:val="NoSpacing"/>
              <w:numPr>
                <w:ilvl w:val="0"/>
                <w:numId w:val="29"/>
              </w:numPr>
              <w:ind w:left="284" w:hanging="284"/>
              <w:rPr>
                <w:b w:val="0"/>
              </w:rPr>
            </w:pPr>
            <w:r>
              <w:rPr>
                <w:b w:val="0"/>
              </w:rPr>
              <w:t>coeliac disease</w:t>
            </w:r>
          </w:p>
          <w:p w:rsidR="001E4C63" w:rsidRDefault="001E4C63" w:rsidP="009768EE">
            <w:pPr>
              <w:pStyle w:val="NoSpacing"/>
              <w:numPr>
                <w:ilvl w:val="0"/>
                <w:numId w:val="29"/>
              </w:numPr>
              <w:ind w:left="284" w:hanging="284"/>
              <w:rPr>
                <w:b w:val="0"/>
              </w:rPr>
            </w:pPr>
            <w:r w:rsidRPr="00D7684B">
              <w:rPr>
                <w:b w:val="0"/>
              </w:rPr>
              <w:t>peptic ulcer</w:t>
            </w:r>
          </w:p>
          <w:p w:rsidR="001E4C63" w:rsidRDefault="001E4C63" w:rsidP="009768EE">
            <w:pPr>
              <w:pStyle w:val="NoSpacing"/>
              <w:numPr>
                <w:ilvl w:val="0"/>
                <w:numId w:val="29"/>
              </w:numPr>
              <w:ind w:left="284" w:hanging="284"/>
              <w:rPr>
                <w:b w:val="0"/>
              </w:rPr>
            </w:pPr>
            <w:r w:rsidRPr="003C1CB2">
              <w:rPr>
                <w:b w:val="0"/>
              </w:rPr>
              <w:lastRenderedPageBreak/>
              <w:t>diverticulitis (without haemorrhage)</w:t>
            </w:r>
          </w:p>
          <w:p w:rsidR="001E4C63" w:rsidRDefault="001E4C63" w:rsidP="009768EE">
            <w:pPr>
              <w:pStyle w:val="NoSpacing"/>
              <w:numPr>
                <w:ilvl w:val="0"/>
                <w:numId w:val="29"/>
              </w:numPr>
              <w:ind w:left="284" w:hanging="284"/>
              <w:rPr>
                <w:b w:val="0"/>
              </w:rPr>
            </w:pPr>
            <w:r>
              <w:rPr>
                <w:b w:val="0"/>
              </w:rPr>
              <w:t>irritable bowel syndrome</w:t>
            </w:r>
          </w:p>
          <w:p w:rsidR="001E4C63" w:rsidRDefault="001E4C63" w:rsidP="009768EE">
            <w:pPr>
              <w:pStyle w:val="NoSpacing"/>
              <w:numPr>
                <w:ilvl w:val="0"/>
                <w:numId w:val="29"/>
              </w:numPr>
              <w:ind w:left="284" w:hanging="284"/>
              <w:rPr>
                <w:b w:val="0"/>
              </w:rPr>
            </w:pPr>
            <w:r>
              <w:rPr>
                <w:b w:val="0"/>
              </w:rPr>
              <w:t>d</w:t>
            </w:r>
            <w:r w:rsidRPr="005544BC">
              <w:rPr>
                <w:b w:val="0"/>
              </w:rPr>
              <w:t>isease of anus and rectum</w:t>
            </w:r>
          </w:p>
          <w:p w:rsidR="001E4C63" w:rsidRPr="003C1CB2" w:rsidRDefault="001E4C63" w:rsidP="009768EE">
            <w:pPr>
              <w:pStyle w:val="NoSpacing"/>
              <w:numPr>
                <w:ilvl w:val="0"/>
                <w:numId w:val="29"/>
              </w:numPr>
              <w:ind w:left="284" w:hanging="284"/>
              <w:rPr>
                <w:b w:val="0"/>
              </w:rPr>
            </w:pPr>
            <w:r>
              <w:rPr>
                <w:b w:val="0"/>
              </w:rPr>
              <w:t>hernia</w:t>
            </w:r>
          </w:p>
        </w:tc>
        <w:tc>
          <w:tcPr>
            <w:cnfStyle w:val="000010000000" w:firstRow="0" w:lastRow="0" w:firstColumn="0" w:lastColumn="0" w:oddVBand="1" w:evenVBand="0" w:oddHBand="0" w:evenHBand="0" w:firstRowFirstColumn="0" w:firstRowLastColumn="0" w:lastRowFirstColumn="0" w:lastRowLastColumn="0"/>
            <w:tcW w:w="4875" w:type="dxa"/>
            <w:vMerge/>
          </w:tcPr>
          <w:p w:rsidR="001E4C63" w:rsidRDefault="001E4C63" w:rsidP="00FA383A">
            <w:pPr>
              <w:pStyle w:val="NoSpacing"/>
            </w:pPr>
          </w:p>
        </w:tc>
      </w:tr>
    </w:tbl>
    <w:p w:rsidR="001E4C63" w:rsidRDefault="001E4C63" w:rsidP="001E4C63">
      <w:pPr>
        <w:rPr>
          <w:rFonts w:cs="Arial"/>
          <w:szCs w:val="22"/>
        </w:rPr>
      </w:pPr>
    </w:p>
    <w:tbl>
      <w:tblPr>
        <w:tblStyle w:val="LightList-Accent1"/>
        <w:tblW w:w="0" w:type="auto"/>
        <w:tblLook w:val="00A0" w:firstRow="1" w:lastRow="0" w:firstColumn="1" w:lastColumn="0" w:noHBand="0" w:noVBand="0"/>
        <w:tblCaption w:val="MDC 07 Diseases and disorders of the hepatobiliary system and pancreas"/>
        <w:tblDescription w:val="Table of two columns, the first column listing proposed presenting problem/diagnosis-type groupings and the second column listing proposed intervention-type groupings for MDC 07 Diseases and disorders of the hepatobiliary system and pancreas."/>
      </w:tblPr>
      <w:tblGrid>
        <w:gridCol w:w="4828"/>
        <w:gridCol w:w="4833"/>
      </w:tblGrid>
      <w:tr w:rsidR="001E4C63" w:rsidTr="00A966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661" w:type="dxa"/>
            <w:gridSpan w:val="2"/>
          </w:tcPr>
          <w:p w:rsidR="001E4C63" w:rsidRPr="008926DA" w:rsidRDefault="001E4C63" w:rsidP="00FA383A">
            <w:pPr>
              <w:pStyle w:val="NoSpacing"/>
              <w:rPr>
                <w:b w:val="0"/>
              </w:rPr>
            </w:pPr>
            <w:r w:rsidRPr="00C460ED">
              <w:t>MDC 07 Diseases and Disorders of the Hepatobiliary System and Pancreas</w:t>
            </w:r>
          </w:p>
        </w:tc>
      </w:tr>
      <w:tr w:rsidR="005F38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8" w:type="dxa"/>
          </w:tcPr>
          <w:p w:rsidR="005F38D0" w:rsidRPr="005F38D0" w:rsidRDefault="005F38D0" w:rsidP="00344411">
            <w:pPr>
              <w:pStyle w:val="NoSpacing"/>
            </w:pPr>
            <w:r w:rsidRPr="005F38D0">
              <w:t>Proposed presenting problem / diagnosis-type groupings</w:t>
            </w:r>
          </w:p>
        </w:tc>
        <w:tc>
          <w:tcPr>
            <w:cnfStyle w:val="000010000000" w:firstRow="0" w:lastRow="0" w:firstColumn="0" w:lastColumn="0" w:oddVBand="1" w:evenVBand="0" w:oddHBand="0" w:evenHBand="0" w:firstRowFirstColumn="0" w:firstRowLastColumn="0" w:lastRowFirstColumn="0" w:lastRowLastColumn="0"/>
            <w:tcW w:w="4833" w:type="dxa"/>
          </w:tcPr>
          <w:p w:rsidR="005F38D0" w:rsidRPr="005F38D0" w:rsidRDefault="005F38D0" w:rsidP="00344411">
            <w:pPr>
              <w:pStyle w:val="NoSpacing"/>
              <w:rPr>
                <w:b/>
              </w:rPr>
            </w:pPr>
            <w:r w:rsidRPr="005F38D0">
              <w:rPr>
                <w:b/>
              </w:rPr>
              <w:t>Proposed intervention-type groupings</w:t>
            </w:r>
          </w:p>
        </w:tc>
      </w:tr>
      <w:tr w:rsidR="001E4C63">
        <w:tc>
          <w:tcPr>
            <w:cnfStyle w:val="001000000000" w:firstRow="0" w:lastRow="0" w:firstColumn="1" w:lastColumn="0" w:oddVBand="0" w:evenVBand="0" w:oddHBand="0" w:evenHBand="0" w:firstRowFirstColumn="0" w:firstRowLastColumn="0" w:lastRowFirstColumn="0" w:lastRowLastColumn="0"/>
            <w:tcW w:w="4828" w:type="dxa"/>
          </w:tcPr>
          <w:p w:rsidR="001E4C63" w:rsidRPr="007738CE" w:rsidRDefault="001E4C63" w:rsidP="00EE00F8">
            <w:pPr>
              <w:pStyle w:val="NoSpacing"/>
              <w:rPr>
                <w:b w:val="0"/>
              </w:rPr>
            </w:pPr>
            <w:r w:rsidRPr="007738CE">
              <w:rPr>
                <w:b w:val="0"/>
              </w:rPr>
              <w:t>Cirrhosis or alcoholic hepatitis</w:t>
            </w:r>
          </w:p>
        </w:tc>
        <w:tc>
          <w:tcPr>
            <w:cnfStyle w:val="000010000000" w:firstRow="0" w:lastRow="0" w:firstColumn="0" w:lastColumn="0" w:oddVBand="1" w:evenVBand="0" w:oddHBand="0" w:evenHBand="0" w:firstRowFirstColumn="0" w:firstRowLastColumn="0" w:lastRowFirstColumn="0" w:lastRowLastColumn="0"/>
            <w:tcW w:w="4833" w:type="dxa"/>
            <w:vMerge w:val="restart"/>
          </w:tcPr>
          <w:p w:rsidR="001E4C63" w:rsidRDefault="001E4C63" w:rsidP="009768EE">
            <w:pPr>
              <w:pStyle w:val="NoSpacing"/>
              <w:numPr>
                <w:ilvl w:val="0"/>
                <w:numId w:val="34"/>
              </w:numPr>
              <w:ind w:left="308" w:hanging="308"/>
            </w:pPr>
            <w:r w:rsidRPr="00D47516">
              <w:t xml:space="preserve">ERCP </w:t>
            </w:r>
            <w:r>
              <w:t>p</w:t>
            </w:r>
            <w:r w:rsidRPr="00D47516">
              <w:t xml:space="preserve">rocedures </w:t>
            </w:r>
          </w:p>
          <w:p w:rsidR="001E4C63" w:rsidRPr="00D47516" w:rsidRDefault="001E4C63" w:rsidP="009768EE">
            <w:pPr>
              <w:pStyle w:val="NoSpacing"/>
              <w:numPr>
                <w:ilvl w:val="0"/>
                <w:numId w:val="34"/>
              </w:numPr>
              <w:ind w:left="308" w:hanging="308"/>
            </w:pPr>
            <w:r>
              <w:t xml:space="preserve">Closed liver biopsy </w:t>
            </w:r>
          </w:p>
        </w:tc>
      </w:tr>
      <w:tr w:rsidR="001E4C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8" w:type="dxa"/>
          </w:tcPr>
          <w:p w:rsidR="001E4C63" w:rsidRPr="007738CE" w:rsidRDefault="001E4C63" w:rsidP="00EE00F8">
            <w:pPr>
              <w:pStyle w:val="NoSpacing"/>
              <w:rPr>
                <w:b w:val="0"/>
              </w:rPr>
            </w:pPr>
            <w:r>
              <w:rPr>
                <w:b w:val="0"/>
              </w:rPr>
              <w:t>N</w:t>
            </w:r>
            <w:r w:rsidRPr="007738CE">
              <w:rPr>
                <w:b w:val="0"/>
              </w:rPr>
              <w:t>eoplasm of hepatobiliary system</w:t>
            </w:r>
          </w:p>
        </w:tc>
        <w:tc>
          <w:tcPr>
            <w:cnfStyle w:val="000010000000" w:firstRow="0" w:lastRow="0" w:firstColumn="0" w:lastColumn="0" w:oddVBand="1" w:evenVBand="0" w:oddHBand="0" w:evenHBand="0" w:firstRowFirstColumn="0" w:firstRowLastColumn="0" w:lastRowFirstColumn="0" w:lastRowLastColumn="0"/>
            <w:tcW w:w="4833" w:type="dxa"/>
            <w:vMerge/>
          </w:tcPr>
          <w:p w:rsidR="001E4C63" w:rsidRDefault="001E4C63" w:rsidP="00FA383A">
            <w:pPr>
              <w:pStyle w:val="NoSpacing"/>
            </w:pPr>
          </w:p>
        </w:tc>
      </w:tr>
      <w:tr w:rsidR="001E4C63">
        <w:tc>
          <w:tcPr>
            <w:cnfStyle w:val="001000000000" w:firstRow="0" w:lastRow="0" w:firstColumn="1" w:lastColumn="0" w:oddVBand="0" w:evenVBand="0" w:oddHBand="0" w:evenHBand="0" w:firstRowFirstColumn="0" w:firstRowLastColumn="0" w:lastRowFirstColumn="0" w:lastRowLastColumn="0"/>
            <w:tcW w:w="4828" w:type="dxa"/>
          </w:tcPr>
          <w:p w:rsidR="001E4C63" w:rsidRPr="007738CE" w:rsidRDefault="001E4C63" w:rsidP="00EE00F8">
            <w:pPr>
              <w:pStyle w:val="NoSpacing"/>
              <w:rPr>
                <w:b w:val="0"/>
              </w:rPr>
            </w:pPr>
            <w:r w:rsidRPr="007738CE">
              <w:rPr>
                <w:b w:val="0"/>
              </w:rPr>
              <w:t>Disorder of biliary tract</w:t>
            </w:r>
            <w:r>
              <w:rPr>
                <w:b w:val="0"/>
              </w:rPr>
              <w:t xml:space="preserve"> </w:t>
            </w:r>
          </w:p>
        </w:tc>
        <w:tc>
          <w:tcPr>
            <w:cnfStyle w:val="000010000000" w:firstRow="0" w:lastRow="0" w:firstColumn="0" w:lastColumn="0" w:oddVBand="1" w:evenVBand="0" w:oddHBand="0" w:evenHBand="0" w:firstRowFirstColumn="0" w:firstRowLastColumn="0" w:lastRowFirstColumn="0" w:lastRowLastColumn="0"/>
            <w:tcW w:w="4833" w:type="dxa"/>
            <w:vMerge/>
          </w:tcPr>
          <w:p w:rsidR="001E4C63" w:rsidRDefault="001E4C63" w:rsidP="00FA383A">
            <w:pPr>
              <w:pStyle w:val="NoSpacing"/>
            </w:pPr>
          </w:p>
        </w:tc>
      </w:tr>
      <w:tr w:rsidR="001E4C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8" w:type="dxa"/>
          </w:tcPr>
          <w:p w:rsidR="001E4C63" w:rsidRPr="00894E5B" w:rsidRDefault="001E4C63" w:rsidP="00EE00F8">
            <w:pPr>
              <w:pStyle w:val="NoSpacing"/>
              <w:rPr>
                <w:b w:val="0"/>
              </w:rPr>
            </w:pPr>
            <w:r w:rsidRPr="007738CE">
              <w:rPr>
                <w:b w:val="0"/>
              </w:rPr>
              <w:t>Other disorder of pancreas</w:t>
            </w:r>
            <w:r>
              <w:rPr>
                <w:b w:val="0"/>
              </w:rPr>
              <w:t xml:space="preserve"> </w:t>
            </w:r>
          </w:p>
        </w:tc>
        <w:tc>
          <w:tcPr>
            <w:cnfStyle w:val="000010000000" w:firstRow="0" w:lastRow="0" w:firstColumn="0" w:lastColumn="0" w:oddVBand="1" w:evenVBand="0" w:oddHBand="0" w:evenHBand="0" w:firstRowFirstColumn="0" w:firstRowLastColumn="0" w:lastRowFirstColumn="0" w:lastRowLastColumn="0"/>
            <w:tcW w:w="4833" w:type="dxa"/>
            <w:vMerge/>
          </w:tcPr>
          <w:p w:rsidR="001E4C63" w:rsidRDefault="001E4C63" w:rsidP="00FA383A">
            <w:pPr>
              <w:pStyle w:val="NoSpacing"/>
            </w:pPr>
          </w:p>
        </w:tc>
      </w:tr>
      <w:tr w:rsidR="001E4C63">
        <w:tc>
          <w:tcPr>
            <w:cnfStyle w:val="001000000000" w:firstRow="0" w:lastRow="0" w:firstColumn="1" w:lastColumn="0" w:oddVBand="0" w:evenVBand="0" w:oddHBand="0" w:evenHBand="0" w:firstRowFirstColumn="0" w:firstRowLastColumn="0" w:lastRowFirstColumn="0" w:lastRowLastColumn="0"/>
            <w:tcW w:w="4828" w:type="dxa"/>
          </w:tcPr>
          <w:p w:rsidR="001E4C63" w:rsidRDefault="001E4C63" w:rsidP="00FA383A">
            <w:pPr>
              <w:pStyle w:val="NoSpacing"/>
              <w:rPr>
                <w:b w:val="0"/>
              </w:rPr>
            </w:pPr>
            <w:r w:rsidRPr="007738CE">
              <w:rPr>
                <w:b w:val="0"/>
              </w:rPr>
              <w:t>Other disorder of liver</w:t>
            </w:r>
            <w:r>
              <w:rPr>
                <w:b w:val="0"/>
              </w:rPr>
              <w:t xml:space="preserve"> </w:t>
            </w:r>
          </w:p>
          <w:p w:rsidR="001E4C63" w:rsidRPr="007738CE" w:rsidRDefault="001E4C63" w:rsidP="009768EE">
            <w:pPr>
              <w:pStyle w:val="NoSpacing"/>
              <w:numPr>
                <w:ilvl w:val="0"/>
                <w:numId w:val="33"/>
              </w:numPr>
              <w:ind w:left="284" w:hanging="284"/>
              <w:rPr>
                <w:b w:val="0"/>
              </w:rPr>
            </w:pPr>
            <w:r>
              <w:rPr>
                <w:b w:val="0"/>
              </w:rPr>
              <w:t>viral hepatitis</w:t>
            </w:r>
          </w:p>
        </w:tc>
        <w:tc>
          <w:tcPr>
            <w:cnfStyle w:val="000010000000" w:firstRow="0" w:lastRow="0" w:firstColumn="0" w:lastColumn="0" w:oddVBand="1" w:evenVBand="0" w:oddHBand="0" w:evenHBand="0" w:firstRowFirstColumn="0" w:firstRowLastColumn="0" w:lastRowFirstColumn="0" w:lastRowLastColumn="0"/>
            <w:tcW w:w="4833" w:type="dxa"/>
            <w:vMerge/>
          </w:tcPr>
          <w:p w:rsidR="001E4C63" w:rsidRDefault="001E4C63" w:rsidP="00FA383A">
            <w:pPr>
              <w:pStyle w:val="NoSpacing"/>
            </w:pPr>
          </w:p>
        </w:tc>
      </w:tr>
      <w:tr w:rsidR="001E4C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8" w:type="dxa"/>
          </w:tcPr>
          <w:p w:rsidR="001E4C63" w:rsidRPr="00945D6D" w:rsidRDefault="001E4C63" w:rsidP="006C4B04">
            <w:pPr>
              <w:pStyle w:val="NoSpacing"/>
              <w:rPr>
                <w:b w:val="0"/>
              </w:rPr>
            </w:pPr>
            <w:r>
              <w:rPr>
                <w:b w:val="0"/>
              </w:rPr>
              <w:t>Signs or symptoms of the h</w:t>
            </w:r>
            <w:r w:rsidRPr="00945D6D">
              <w:rPr>
                <w:b w:val="0"/>
              </w:rPr>
              <w:t>epatobiliary system</w:t>
            </w:r>
          </w:p>
        </w:tc>
        <w:tc>
          <w:tcPr>
            <w:cnfStyle w:val="000010000000" w:firstRow="0" w:lastRow="0" w:firstColumn="0" w:lastColumn="0" w:oddVBand="1" w:evenVBand="0" w:oddHBand="0" w:evenHBand="0" w:firstRowFirstColumn="0" w:firstRowLastColumn="0" w:lastRowFirstColumn="0" w:lastRowLastColumn="0"/>
            <w:tcW w:w="4833" w:type="dxa"/>
            <w:vMerge/>
          </w:tcPr>
          <w:p w:rsidR="001E4C63" w:rsidRDefault="001E4C63" w:rsidP="00FA383A">
            <w:pPr>
              <w:pStyle w:val="NoSpacing"/>
            </w:pPr>
          </w:p>
        </w:tc>
      </w:tr>
    </w:tbl>
    <w:p w:rsidR="001E4C63" w:rsidRDefault="001E4C63" w:rsidP="001E4C63">
      <w:pPr>
        <w:rPr>
          <w:rFonts w:cs="Arial"/>
          <w:szCs w:val="22"/>
        </w:rPr>
      </w:pPr>
    </w:p>
    <w:tbl>
      <w:tblPr>
        <w:tblStyle w:val="LightList-Accent1"/>
        <w:tblW w:w="5000" w:type="pct"/>
        <w:tblLook w:val="00A0" w:firstRow="1" w:lastRow="0" w:firstColumn="1" w:lastColumn="0" w:noHBand="0" w:noVBand="0"/>
        <w:tblCaption w:val="MDC 08 Diseases and disorders of the musculoskeletal system and connective tissue"/>
        <w:tblDescription w:val="Table of two columns, the first column listing proposed presenting problem/diagnosis-type groupings and the second column listing proposed intervention-type groupings for MDC 08 Diseases and disorders of the musculoskeletal system and connective tissue."/>
      </w:tblPr>
      <w:tblGrid>
        <w:gridCol w:w="4813"/>
        <w:gridCol w:w="4848"/>
      </w:tblGrid>
      <w:tr w:rsidR="001E4C6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2"/>
          </w:tcPr>
          <w:p w:rsidR="001E4C63" w:rsidRPr="008926DA" w:rsidRDefault="001E4C63" w:rsidP="00FA383A">
            <w:pPr>
              <w:pStyle w:val="NoSpacing"/>
              <w:rPr>
                <w:b w:val="0"/>
              </w:rPr>
            </w:pPr>
            <w:r w:rsidRPr="00504CC4">
              <w:t>MDC 08 Diseases and Disorders of the Musculoskeletal System and Connective Tissue</w:t>
            </w:r>
          </w:p>
        </w:tc>
      </w:tr>
      <w:tr w:rsidR="005F38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1" w:type="pct"/>
          </w:tcPr>
          <w:p w:rsidR="005F38D0" w:rsidRPr="005F38D0" w:rsidRDefault="005F38D0" w:rsidP="00344411">
            <w:pPr>
              <w:pStyle w:val="NoSpacing"/>
            </w:pPr>
            <w:r w:rsidRPr="005F38D0">
              <w:t>Proposed presenting problem / diagnosis-type groupings</w:t>
            </w:r>
          </w:p>
        </w:tc>
        <w:tc>
          <w:tcPr>
            <w:cnfStyle w:val="000010000000" w:firstRow="0" w:lastRow="0" w:firstColumn="0" w:lastColumn="0" w:oddVBand="1" w:evenVBand="0" w:oddHBand="0" w:evenHBand="0" w:firstRowFirstColumn="0" w:firstRowLastColumn="0" w:lastRowFirstColumn="0" w:lastRowLastColumn="0"/>
            <w:tcW w:w="2509" w:type="pct"/>
          </w:tcPr>
          <w:p w:rsidR="005F38D0" w:rsidRPr="005F38D0" w:rsidRDefault="005F38D0" w:rsidP="00344411">
            <w:pPr>
              <w:pStyle w:val="NoSpacing"/>
              <w:rPr>
                <w:b/>
              </w:rPr>
            </w:pPr>
            <w:r w:rsidRPr="005F38D0">
              <w:rPr>
                <w:b/>
              </w:rPr>
              <w:t>Proposed intervention-type groupings</w:t>
            </w:r>
          </w:p>
        </w:tc>
      </w:tr>
      <w:tr w:rsidR="001E4C63">
        <w:tc>
          <w:tcPr>
            <w:cnfStyle w:val="001000000000" w:firstRow="0" w:lastRow="0" w:firstColumn="1" w:lastColumn="0" w:oddVBand="0" w:evenVBand="0" w:oddHBand="0" w:evenHBand="0" w:firstRowFirstColumn="0" w:firstRowLastColumn="0" w:lastRowFirstColumn="0" w:lastRowLastColumn="0"/>
            <w:tcW w:w="2491" w:type="pct"/>
          </w:tcPr>
          <w:p w:rsidR="001E4C63" w:rsidRPr="009F21E1" w:rsidRDefault="001E4C63" w:rsidP="00EE00F8">
            <w:pPr>
              <w:pStyle w:val="NoSpacing"/>
            </w:pPr>
            <w:r w:rsidRPr="00B96928">
              <w:rPr>
                <w:b w:val="0"/>
              </w:rPr>
              <w:t>Pathological fracture</w:t>
            </w:r>
            <w:r>
              <w:rPr>
                <w:b w:val="0"/>
              </w:rPr>
              <w:t xml:space="preserve"> </w:t>
            </w:r>
          </w:p>
        </w:tc>
        <w:tc>
          <w:tcPr>
            <w:cnfStyle w:val="000010000000" w:firstRow="0" w:lastRow="0" w:firstColumn="0" w:lastColumn="0" w:oddVBand="1" w:evenVBand="0" w:oddHBand="0" w:evenHBand="0" w:firstRowFirstColumn="0" w:firstRowLastColumn="0" w:lastRowFirstColumn="0" w:lastRowLastColumn="0"/>
            <w:tcW w:w="2509" w:type="pct"/>
            <w:vMerge w:val="restart"/>
          </w:tcPr>
          <w:p w:rsidR="001E4C63" w:rsidRPr="00D57E4E" w:rsidRDefault="001E4C63" w:rsidP="009768EE">
            <w:pPr>
              <w:pStyle w:val="NoSpacing"/>
              <w:numPr>
                <w:ilvl w:val="0"/>
                <w:numId w:val="37"/>
              </w:numPr>
              <w:ind w:left="290" w:hanging="290"/>
            </w:pPr>
            <w:r w:rsidRPr="00D57E4E">
              <w:t>Orthopaedic endoscopy</w:t>
            </w:r>
          </w:p>
          <w:p w:rsidR="001E4C63" w:rsidRPr="00F70C75" w:rsidRDefault="001E4C63" w:rsidP="00A360CE">
            <w:pPr>
              <w:pStyle w:val="NoSpacing"/>
              <w:numPr>
                <w:ilvl w:val="0"/>
                <w:numId w:val="38"/>
              </w:numPr>
            </w:pPr>
            <w:r w:rsidRPr="00F70C75">
              <w:t>arthroscopy</w:t>
            </w:r>
          </w:p>
          <w:p w:rsidR="001E4C63" w:rsidRDefault="001E4C63" w:rsidP="009768EE">
            <w:pPr>
              <w:pStyle w:val="NoSpacing"/>
              <w:numPr>
                <w:ilvl w:val="0"/>
                <w:numId w:val="37"/>
              </w:numPr>
              <w:ind w:left="290" w:hanging="290"/>
            </w:pPr>
            <w:r>
              <w:t xml:space="preserve">Infusion for musculoskeletal disorder </w:t>
            </w:r>
          </w:p>
          <w:p w:rsidR="001E4C63" w:rsidRDefault="001E4C63" w:rsidP="00A360CE">
            <w:pPr>
              <w:pStyle w:val="NoSpacing"/>
              <w:numPr>
                <w:ilvl w:val="0"/>
                <w:numId w:val="39"/>
              </w:numPr>
            </w:pPr>
            <w:r w:rsidRPr="00F70C75">
              <w:t>pain management procedures</w:t>
            </w:r>
          </w:p>
          <w:p w:rsidR="001E4C63" w:rsidRDefault="001E4C63" w:rsidP="009768EE">
            <w:pPr>
              <w:pStyle w:val="NoSpacing"/>
              <w:numPr>
                <w:ilvl w:val="0"/>
                <w:numId w:val="37"/>
              </w:numPr>
              <w:ind w:left="290" w:hanging="290"/>
            </w:pPr>
            <w:r>
              <w:t>C</w:t>
            </w:r>
            <w:r w:rsidRPr="00933AEA">
              <w:t>losed reduction</w:t>
            </w:r>
          </w:p>
          <w:p w:rsidR="001E4C63" w:rsidRDefault="001E4C63" w:rsidP="00A360CE">
            <w:pPr>
              <w:pStyle w:val="NoSpacing"/>
              <w:numPr>
                <w:ilvl w:val="0"/>
                <w:numId w:val="40"/>
              </w:numPr>
            </w:pPr>
            <w:r>
              <w:t>g</w:t>
            </w:r>
            <w:r w:rsidRPr="00EA1512">
              <w:t xml:space="preserve">eneral </w:t>
            </w:r>
            <w:r>
              <w:t>a</w:t>
            </w:r>
            <w:r w:rsidRPr="00EA1512">
              <w:t xml:space="preserve">naesthetic </w:t>
            </w:r>
            <w:r>
              <w:t>m</w:t>
            </w:r>
            <w:r w:rsidRPr="00EA1512">
              <w:t xml:space="preserve">anipulation and </w:t>
            </w:r>
            <w:r>
              <w:t>p</w:t>
            </w:r>
            <w:r w:rsidRPr="00EA1512">
              <w:t>laster (GAMP)</w:t>
            </w:r>
          </w:p>
          <w:p w:rsidR="001E4C63" w:rsidRDefault="001E4C63" w:rsidP="00A360CE">
            <w:pPr>
              <w:pStyle w:val="NoSpacing"/>
              <w:numPr>
                <w:ilvl w:val="0"/>
                <w:numId w:val="40"/>
              </w:numPr>
            </w:pPr>
            <w:r>
              <w:t>l</w:t>
            </w:r>
            <w:r w:rsidRPr="00EA1512">
              <w:t xml:space="preserve">ocal </w:t>
            </w:r>
            <w:r>
              <w:t>a</w:t>
            </w:r>
            <w:r w:rsidRPr="00EA1512">
              <w:t xml:space="preserve">naesthetic </w:t>
            </w:r>
            <w:r>
              <w:t>m</w:t>
            </w:r>
            <w:r w:rsidRPr="00EA1512">
              <w:t xml:space="preserve">anipulation and </w:t>
            </w:r>
            <w:r>
              <w:t>p</w:t>
            </w:r>
            <w:r w:rsidRPr="00EA1512">
              <w:t>laster (LAMP</w:t>
            </w:r>
            <w:r>
              <w:t>)</w:t>
            </w:r>
          </w:p>
          <w:p w:rsidR="001E4C63" w:rsidRPr="00EA1512" w:rsidRDefault="001E4C63" w:rsidP="009768EE">
            <w:pPr>
              <w:pStyle w:val="NoSpacing"/>
              <w:numPr>
                <w:ilvl w:val="0"/>
                <w:numId w:val="37"/>
              </w:numPr>
              <w:ind w:left="290" w:hanging="290"/>
            </w:pPr>
            <w:r>
              <w:t>Repair or debridement of wound</w:t>
            </w:r>
          </w:p>
          <w:p w:rsidR="001E4C63" w:rsidRPr="00933AEA" w:rsidRDefault="001E4C63" w:rsidP="00FA383A">
            <w:pPr>
              <w:pStyle w:val="NoSpacing"/>
            </w:pPr>
          </w:p>
        </w:tc>
      </w:tr>
      <w:tr w:rsidR="001E4C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1" w:type="pct"/>
          </w:tcPr>
          <w:p w:rsidR="001E4C63" w:rsidRDefault="001E4C63" w:rsidP="00EE00F8">
            <w:pPr>
              <w:pStyle w:val="NoSpacing"/>
              <w:rPr>
                <w:b w:val="0"/>
              </w:rPr>
            </w:pPr>
            <w:r w:rsidRPr="00B96928">
              <w:rPr>
                <w:b w:val="0"/>
              </w:rPr>
              <w:t>Osteomyelitis</w:t>
            </w:r>
            <w:r>
              <w:rPr>
                <w:b w:val="0"/>
              </w:rPr>
              <w:t xml:space="preserve"> </w:t>
            </w:r>
          </w:p>
        </w:tc>
        <w:tc>
          <w:tcPr>
            <w:cnfStyle w:val="000010000000" w:firstRow="0" w:lastRow="0" w:firstColumn="0" w:lastColumn="0" w:oddVBand="1" w:evenVBand="0" w:oddHBand="0" w:evenHBand="0" w:firstRowFirstColumn="0" w:firstRowLastColumn="0" w:lastRowFirstColumn="0" w:lastRowLastColumn="0"/>
            <w:tcW w:w="2509" w:type="pct"/>
            <w:vMerge/>
          </w:tcPr>
          <w:p w:rsidR="001E4C63" w:rsidRDefault="001E4C63" w:rsidP="00FA383A">
            <w:pPr>
              <w:pStyle w:val="NoSpacing"/>
            </w:pPr>
          </w:p>
        </w:tc>
      </w:tr>
      <w:tr w:rsidR="001E4C63">
        <w:tc>
          <w:tcPr>
            <w:cnfStyle w:val="001000000000" w:firstRow="0" w:lastRow="0" w:firstColumn="1" w:lastColumn="0" w:oddVBand="0" w:evenVBand="0" w:oddHBand="0" w:evenHBand="0" w:firstRowFirstColumn="0" w:firstRowLastColumn="0" w:lastRowFirstColumn="0" w:lastRowLastColumn="0"/>
            <w:tcW w:w="2491" w:type="pct"/>
          </w:tcPr>
          <w:p w:rsidR="001E4C63" w:rsidRPr="00B96928" w:rsidRDefault="001E4C63" w:rsidP="00EE00F8">
            <w:pPr>
              <w:pStyle w:val="NoSpacing"/>
              <w:rPr>
                <w:b w:val="0"/>
              </w:rPr>
            </w:pPr>
            <w:r w:rsidRPr="00B96928">
              <w:rPr>
                <w:b w:val="0"/>
              </w:rPr>
              <w:t>Neoplasm of musculoskeletal system</w:t>
            </w:r>
          </w:p>
        </w:tc>
        <w:tc>
          <w:tcPr>
            <w:cnfStyle w:val="000010000000" w:firstRow="0" w:lastRow="0" w:firstColumn="0" w:lastColumn="0" w:oddVBand="1" w:evenVBand="0" w:oddHBand="0" w:evenHBand="0" w:firstRowFirstColumn="0" w:firstRowLastColumn="0" w:lastRowFirstColumn="0" w:lastRowLastColumn="0"/>
            <w:tcW w:w="2509" w:type="pct"/>
            <w:vMerge/>
          </w:tcPr>
          <w:p w:rsidR="001E4C63" w:rsidRPr="00A42838" w:rsidRDefault="001E4C63" w:rsidP="00FA383A">
            <w:pPr>
              <w:pStyle w:val="NoSpacing"/>
            </w:pPr>
          </w:p>
        </w:tc>
      </w:tr>
      <w:tr w:rsidR="001E4C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1" w:type="pct"/>
          </w:tcPr>
          <w:p w:rsidR="001E4C63" w:rsidRDefault="001E4C63" w:rsidP="00FA383A">
            <w:pPr>
              <w:pStyle w:val="NoSpacing"/>
              <w:rPr>
                <w:b w:val="0"/>
              </w:rPr>
            </w:pPr>
            <w:r w:rsidRPr="00B96928">
              <w:rPr>
                <w:b w:val="0"/>
              </w:rPr>
              <w:t>Inflammatory musculoskeletal disorder</w:t>
            </w:r>
            <w:r>
              <w:rPr>
                <w:b w:val="0"/>
              </w:rPr>
              <w:t xml:space="preserve"> </w:t>
            </w:r>
          </w:p>
          <w:p w:rsidR="001E4C63" w:rsidRDefault="001E4C63" w:rsidP="009768EE">
            <w:pPr>
              <w:pStyle w:val="NoSpacing"/>
              <w:numPr>
                <w:ilvl w:val="0"/>
                <w:numId w:val="35"/>
              </w:numPr>
              <w:ind w:left="284" w:hanging="284"/>
              <w:rPr>
                <w:b w:val="0"/>
              </w:rPr>
            </w:pPr>
            <w:r w:rsidRPr="00F70C75">
              <w:rPr>
                <w:b w:val="0"/>
              </w:rPr>
              <w:t>rheumatoid arthritis</w:t>
            </w:r>
          </w:p>
          <w:p w:rsidR="001E4C63" w:rsidRPr="00B96928" w:rsidRDefault="001E4C63" w:rsidP="009768EE">
            <w:pPr>
              <w:pStyle w:val="NoSpacing"/>
              <w:numPr>
                <w:ilvl w:val="0"/>
                <w:numId w:val="35"/>
              </w:numPr>
              <w:ind w:left="284" w:hanging="284"/>
              <w:rPr>
                <w:b w:val="0"/>
              </w:rPr>
            </w:pPr>
            <w:r>
              <w:rPr>
                <w:b w:val="0"/>
              </w:rPr>
              <w:t>systemic lupus erythematosus</w:t>
            </w:r>
          </w:p>
        </w:tc>
        <w:tc>
          <w:tcPr>
            <w:cnfStyle w:val="000010000000" w:firstRow="0" w:lastRow="0" w:firstColumn="0" w:lastColumn="0" w:oddVBand="1" w:evenVBand="0" w:oddHBand="0" w:evenHBand="0" w:firstRowFirstColumn="0" w:firstRowLastColumn="0" w:lastRowFirstColumn="0" w:lastRowLastColumn="0"/>
            <w:tcW w:w="2509" w:type="pct"/>
            <w:vMerge/>
          </w:tcPr>
          <w:p w:rsidR="001E4C63" w:rsidRDefault="001E4C63" w:rsidP="00FA383A">
            <w:pPr>
              <w:pStyle w:val="NoSpacing"/>
            </w:pPr>
          </w:p>
        </w:tc>
      </w:tr>
      <w:tr w:rsidR="001E4C63">
        <w:tc>
          <w:tcPr>
            <w:cnfStyle w:val="001000000000" w:firstRow="0" w:lastRow="0" w:firstColumn="1" w:lastColumn="0" w:oddVBand="0" w:evenVBand="0" w:oddHBand="0" w:evenHBand="0" w:firstRowFirstColumn="0" w:firstRowLastColumn="0" w:lastRowFirstColumn="0" w:lastRowLastColumn="0"/>
            <w:tcW w:w="2491" w:type="pct"/>
          </w:tcPr>
          <w:p w:rsidR="001E4C63" w:rsidRPr="00AC5AC1" w:rsidRDefault="001E4C63" w:rsidP="00EE00F8">
            <w:pPr>
              <w:pStyle w:val="NoSpacing"/>
              <w:rPr>
                <w:b w:val="0"/>
              </w:rPr>
            </w:pPr>
            <w:r w:rsidRPr="00AC5AC1">
              <w:rPr>
                <w:b w:val="0"/>
              </w:rPr>
              <w:t xml:space="preserve">Septic arthritis </w:t>
            </w:r>
          </w:p>
        </w:tc>
        <w:tc>
          <w:tcPr>
            <w:cnfStyle w:val="000010000000" w:firstRow="0" w:lastRow="0" w:firstColumn="0" w:lastColumn="0" w:oddVBand="1" w:evenVBand="0" w:oddHBand="0" w:evenHBand="0" w:firstRowFirstColumn="0" w:firstRowLastColumn="0" w:lastRowFirstColumn="0" w:lastRowLastColumn="0"/>
            <w:tcW w:w="2509" w:type="pct"/>
            <w:vMerge/>
          </w:tcPr>
          <w:p w:rsidR="001E4C63" w:rsidRDefault="001E4C63" w:rsidP="00FA383A">
            <w:pPr>
              <w:pStyle w:val="NoSpacing"/>
            </w:pPr>
          </w:p>
        </w:tc>
      </w:tr>
      <w:tr w:rsidR="001E4C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1" w:type="pct"/>
          </w:tcPr>
          <w:p w:rsidR="001E4C63" w:rsidRPr="00B96928" w:rsidRDefault="001E4C63" w:rsidP="00EE00F8">
            <w:pPr>
              <w:pStyle w:val="NoSpacing"/>
              <w:rPr>
                <w:b w:val="0"/>
              </w:rPr>
            </w:pPr>
            <w:r>
              <w:rPr>
                <w:b w:val="0"/>
              </w:rPr>
              <w:t>S</w:t>
            </w:r>
            <w:r w:rsidRPr="00B96928">
              <w:rPr>
                <w:b w:val="0"/>
              </w:rPr>
              <w:t xml:space="preserve">pinal </w:t>
            </w:r>
            <w:r>
              <w:rPr>
                <w:b w:val="0"/>
              </w:rPr>
              <w:t xml:space="preserve">deformity </w:t>
            </w:r>
          </w:p>
        </w:tc>
        <w:tc>
          <w:tcPr>
            <w:cnfStyle w:val="000010000000" w:firstRow="0" w:lastRow="0" w:firstColumn="0" w:lastColumn="0" w:oddVBand="1" w:evenVBand="0" w:oddHBand="0" w:evenHBand="0" w:firstRowFirstColumn="0" w:firstRowLastColumn="0" w:lastRowFirstColumn="0" w:lastRowLastColumn="0"/>
            <w:tcW w:w="2509" w:type="pct"/>
            <w:vMerge/>
          </w:tcPr>
          <w:p w:rsidR="001E4C63" w:rsidRDefault="001E4C63" w:rsidP="00FA383A">
            <w:pPr>
              <w:pStyle w:val="NoSpacing"/>
            </w:pPr>
          </w:p>
        </w:tc>
      </w:tr>
      <w:tr w:rsidR="001E4C63">
        <w:tc>
          <w:tcPr>
            <w:cnfStyle w:val="001000000000" w:firstRow="0" w:lastRow="0" w:firstColumn="1" w:lastColumn="0" w:oddVBand="0" w:evenVBand="0" w:oddHBand="0" w:evenHBand="0" w:firstRowFirstColumn="0" w:firstRowLastColumn="0" w:lastRowFirstColumn="0" w:lastRowLastColumn="0"/>
            <w:tcW w:w="2491" w:type="pct"/>
          </w:tcPr>
          <w:p w:rsidR="001E4C63" w:rsidRPr="00B96928" w:rsidRDefault="001E4C63" w:rsidP="00EE00F8">
            <w:pPr>
              <w:pStyle w:val="NoSpacing"/>
              <w:rPr>
                <w:b w:val="0"/>
              </w:rPr>
            </w:pPr>
            <w:r>
              <w:rPr>
                <w:b w:val="0"/>
              </w:rPr>
              <w:t>M</w:t>
            </w:r>
            <w:r w:rsidRPr="00B96928">
              <w:rPr>
                <w:b w:val="0"/>
              </w:rPr>
              <w:t>usculotendinous disorder</w:t>
            </w:r>
            <w:r>
              <w:rPr>
                <w:b w:val="0"/>
              </w:rPr>
              <w:t xml:space="preserve"> </w:t>
            </w:r>
          </w:p>
        </w:tc>
        <w:tc>
          <w:tcPr>
            <w:cnfStyle w:val="000010000000" w:firstRow="0" w:lastRow="0" w:firstColumn="0" w:lastColumn="0" w:oddVBand="1" w:evenVBand="0" w:oddHBand="0" w:evenHBand="0" w:firstRowFirstColumn="0" w:firstRowLastColumn="0" w:lastRowFirstColumn="0" w:lastRowLastColumn="0"/>
            <w:tcW w:w="2509" w:type="pct"/>
            <w:vMerge/>
          </w:tcPr>
          <w:p w:rsidR="001E4C63" w:rsidRDefault="001E4C63" w:rsidP="00FA383A">
            <w:pPr>
              <w:pStyle w:val="NoSpacing"/>
            </w:pPr>
          </w:p>
        </w:tc>
      </w:tr>
      <w:tr w:rsidR="001E4C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1" w:type="pct"/>
          </w:tcPr>
          <w:p w:rsidR="001E4C63" w:rsidRPr="00B96928" w:rsidRDefault="001E4C63" w:rsidP="00EE00F8">
            <w:pPr>
              <w:pStyle w:val="NoSpacing"/>
              <w:rPr>
                <w:b w:val="0"/>
              </w:rPr>
            </w:pPr>
            <w:r w:rsidRPr="00B96928">
              <w:rPr>
                <w:b w:val="0"/>
              </w:rPr>
              <w:t>Aftercare of musculoskeletal implant or prosthes</w:t>
            </w:r>
            <w:r>
              <w:rPr>
                <w:b w:val="0"/>
              </w:rPr>
              <w:t>i</w:t>
            </w:r>
            <w:r w:rsidRPr="00B96928">
              <w:rPr>
                <w:b w:val="0"/>
              </w:rPr>
              <w:t>s</w:t>
            </w:r>
            <w:r>
              <w:rPr>
                <w:b w:val="0"/>
              </w:rPr>
              <w:t xml:space="preserve"> </w:t>
            </w:r>
          </w:p>
        </w:tc>
        <w:tc>
          <w:tcPr>
            <w:cnfStyle w:val="000010000000" w:firstRow="0" w:lastRow="0" w:firstColumn="0" w:lastColumn="0" w:oddVBand="1" w:evenVBand="0" w:oddHBand="0" w:evenHBand="0" w:firstRowFirstColumn="0" w:firstRowLastColumn="0" w:lastRowFirstColumn="0" w:lastRowLastColumn="0"/>
            <w:tcW w:w="2509" w:type="pct"/>
            <w:vMerge/>
          </w:tcPr>
          <w:p w:rsidR="001E4C63" w:rsidRDefault="001E4C63" w:rsidP="00FA383A">
            <w:pPr>
              <w:pStyle w:val="NoSpacing"/>
            </w:pPr>
          </w:p>
        </w:tc>
      </w:tr>
      <w:tr w:rsidR="001E4C63">
        <w:tc>
          <w:tcPr>
            <w:cnfStyle w:val="001000000000" w:firstRow="0" w:lastRow="0" w:firstColumn="1" w:lastColumn="0" w:oddVBand="0" w:evenVBand="0" w:oddHBand="0" w:evenHBand="0" w:firstRowFirstColumn="0" w:firstRowLastColumn="0" w:lastRowFirstColumn="0" w:lastRowLastColumn="0"/>
            <w:tcW w:w="2491" w:type="pct"/>
          </w:tcPr>
          <w:p w:rsidR="001E4C63" w:rsidRPr="00B96928" w:rsidRDefault="001E4C63" w:rsidP="00EE00F8">
            <w:pPr>
              <w:pStyle w:val="NoSpacing"/>
              <w:rPr>
                <w:b w:val="0"/>
              </w:rPr>
            </w:pPr>
            <w:r w:rsidRPr="00B96928">
              <w:rPr>
                <w:b w:val="0"/>
              </w:rPr>
              <w:t xml:space="preserve">Signs </w:t>
            </w:r>
            <w:r>
              <w:rPr>
                <w:b w:val="0"/>
              </w:rPr>
              <w:t>or</w:t>
            </w:r>
            <w:r w:rsidRPr="00B96928">
              <w:rPr>
                <w:b w:val="0"/>
              </w:rPr>
              <w:t xml:space="preserve"> symptoms o</w:t>
            </w:r>
            <w:r>
              <w:rPr>
                <w:b w:val="0"/>
              </w:rPr>
              <w:t>f the</w:t>
            </w:r>
            <w:r w:rsidRPr="00B96928">
              <w:rPr>
                <w:b w:val="0"/>
              </w:rPr>
              <w:t xml:space="preserve"> musculoskeletal system</w:t>
            </w:r>
            <w:r>
              <w:rPr>
                <w:b w:val="0"/>
              </w:rPr>
              <w:t xml:space="preserve"> or connective tissue</w:t>
            </w:r>
          </w:p>
        </w:tc>
        <w:tc>
          <w:tcPr>
            <w:cnfStyle w:val="000010000000" w:firstRow="0" w:lastRow="0" w:firstColumn="0" w:lastColumn="0" w:oddVBand="1" w:evenVBand="0" w:oddHBand="0" w:evenHBand="0" w:firstRowFirstColumn="0" w:firstRowLastColumn="0" w:lastRowFirstColumn="0" w:lastRowLastColumn="0"/>
            <w:tcW w:w="2509" w:type="pct"/>
            <w:vMerge/>
          </w:tcPr>
          <w:p w:rsidR="001E4C63" w:rsidRDefault="001E4C63" w:rsidP="00FA383A">
            <w:pPr>
              <w:pStyle w:val="NoSpacing"/>
            </w:pPr>
          </w:p>
        </w:tc>
      </w:tr>
      <w:tr w:rsidR="001E4C63">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91" w:type="pct"/>
          </w:tcPr>
          <w:p w:rsidR="001E4C63" w:rsidRDefault="001E4C63" w:rsidP="00FA383A">
            <w:pPr>
              <w:pStyle w:val="NoSpacing"/>
              <w:rPr>
                <w:b w:val="0"/>
              </w:rPr>
            </w:pPr>
            <w:r w:rsidRPr="00B96928">
              <w:rPr>
                <w:b w:val="0"/>
              </w:rPr>
              <w:t xml:space="preserve">Other </w:t>
            </w:r>
            <w:r>
              <w:rPr>
                <w:b w:val="0"/>
              </w:rPr>
              <w:t xml:space="preserve">disorder of </w:t>
            </w:r>
            <w:r w:rsidRPr="00B96928">
              <w:rPr>
                <w:b w:val="0"/>
              </w:rPr>
              <w:t xml:space="preserve">musculoskeletal </w:t>
            </w:r>
            <w:r>
              <w:rPr>
                <w:b w:val="0"/>
              </w:rPr>
              <w:t xml:space="preserve">system or connective tissue </w:t>
            </w:r>
          </w:p>
          <w:p w:rsidR="001E4C63" w:rsidRPr="00FD4A35" w:rsidRDefault="001E4C63" w:rsidP="009768EE">
            <w:pPr>
              <w:pStyle w:val="NoSpacing"/>
              <w:numPr>
                <w:ilvl w:val="0"/>
                <w:numId w:val="36"/>
              </w:numPr>
              <w:ind w:left="284" w:hanging="284"/>
              <w:rPr>
                <w:b w:val="0"/>
              </w:rPr>
            </w:pPr>
            <w:r>
              <w:rPr>
                <w:b w:val="0"/>
              </w:rPr>
              <w:t>b</w:t>
            </w:r>
            <w:r w:rsidRPr="00FD4A35">
              <w:rPr>
                <w:b w:val="0"/>
              </w:rPr>
              <w:t xml:space="preserve">one disease or arthropathy </w:t>
            </w:r>
          </w:p>
        </w:tc>
        <w:tc>
          <w:tcPr>
            <w:cnfStyle w:val="000010000000" w:firstRow="0" w:lastRow="0" w:firstColumn="0" w:lastColumn="0" w:oddVBand="1" w:evenVBand="0" w:oddHBand="0" w:evenHBand="0" w:firstRowFirstColumn="0" w:firstRowLastColumn="0" w:lastRowFirstColumn="0" w:lastRowLastColumn="0"/>
            <w:tcW w:w="2509" w:type="pct"/>
            <w:vMerge/>
          </w:tcPr>
          <w:p w:rsidR="001E4C63" w:rsidRDefault="001E4C63" w:rsidP="00FA383A">
            <w:pPr>
              <w:pStyle w:val="NoSpacing"/>
            </w:pPr>
          </w:p>
        </w:tc>
      </w:tr>
    </w:tbl>
    <w:p w:rsidR="001E4C63" w:rsidRDefault="001E4C63" w:rsidP="001E4C63">
      <w:pPr>
        <w:rPr>
          <w:rFonts w:cs="Arial"/>
          <w:szCs w:val="22"/>
        </w:rPr>
      </w:pPr>
    </w:p>
    <w:tbl>
      <w:tblPr>
        <w:tblStyle w:val="LightList-Accent1"/>
        <w:tblW w:w="0" w:type="auto"/>
        <w:tblLook w:val="00A0" w:firstRow="1" w:lastRow="0" w:firstColumn="1" w:lastColumn="0" w:noHBand="0" w:noVBand="0"/>
        <w:tblCaption w:val="MDC 09 Diseases and disorders of the skin, subcutaneous tissue and breast"/>
        <w:tblDescription w:val="Table of two columns, the first column listing proposed presenting problem/diagnosis-type groupings and the second column listing proposed intervention-type groupings for MDC 09 Diseases and disorders of the skin, subcutaneous tissue and breast."/>
      </w:tblPr>
      <w:tblGrid>
        <w:gridCol w:w="4782"/>
        <w:gridCol w:w="4879"/>
      </w:tblGrid>
      <w:tr w:rsidR="001E4C63" w:rsidTr="00A966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661" w:type="dxa"/>
            <w:gridSpan w:val="2"/>
          </w:tcPr>
          <w:p w:rsidR="001E4C63" w:rsidRPr="008926DA" w:rsidRDefault="001E4C63" w:rsidP="00FA383A">
            <w:pPr>
              <w:pStyle w:val="NoSpacing"/>
              <w:rPr>
                <w:b w:val="0"/>
              </w:rPr>
            </w:pPr>
            <w:r w:rsidRPr="005B2835">
              <w:t>MDC 09 Diseases and Disorders of the Skin, Subcutaneous Tissue and Breast</w:t>
            </w:r>
          </w:p>
        </w:tc>
      </w:tr>
      <w:tr w:rsidR="005F38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2" w:type="dxa"/>
          </w:tcPr>
          <w:p w:rsidR="005F38D0" w:rsidRPr="005F38D0" w:rsidRDefault="005F38D0" w:rsidP="00344411">
            <w:pPr>
              <w:pStyle w:val="NoSpacing"/>
            </w:pPr>
            <w:r w:rsidRPr="005F38D0">
              <w:t>Proposed presenting problem / diagnosis-type groupings</w:t>
            </w:r>
          </w:p>
        </w:tc>
        <w:tc>
          <w:tcPr>
            <w:cnfStyle w:val="000010000000" w:firstRow="0" w:lastRow="0" w:firstColumn="0" w:lastColumn="0" w:oddVBand="1" w:evenVBand="0" w:oddHBand="0" w:evenHBand="0" w:firstRowFirstColumn="0" w:firstRowLastColumn="0" w:lastRowFirstColumn="0" w:lastRowLastColumn="0"/>
            <w:tcW w:w="4879" w:type="dxa"/>
          </w:tcPr>
          <w:p w:rsidR="005F38D0" w:rsidRPr="005F38D0" w:rsidRDefault="005F38D0" w:rsidP="00344411">
            <w:pPr>
              <w:pStyle w:val="NoSpacing"/>
              <w:rPr>
                <w:b/>
              </w:rPr>
            </w:pPr>
            <w:r w:rsidRPr="005F38D0">
              <w:rPr>
                <w:b/>
              </w:rPr>
              <w:t>Proposed intervention-type groupings</w:t>
            </w:r>
          </w:p>
        </w:tc>
      </w:tr>
      <w:tr w:rsidR="001E4C63">
        <w:tc>
          <w:tcPr>
            <w:cnfStyle w:val="001000000000" w:firstRow="0" w:lastRow="0" w:firstColumn="1" w:lastColumn="0" w:oddVBand="0" w:evenVBand="0" w:oddHBand="0" w:evenHBand="0" w:firstRowFirstColumn="0" w:firstRowLastColumn="0" w:lastRowFirstColumn="0" w:lastRowLastColumn="0"/>
            <w:tcW w:w="4782" w:type="dxa"/>
          </w:tcPr>
          <w:p w:rsidR="001E4C63" w:rsidRPr="00E514CA" w:rsidRDefault="001E4C63" w:rsidP="00EE00F8">
            <w:pPr>
              <w:pStyle w:val="NoSpacing"/>
            </w:pPr>
            <w:r>
              <w:rPr>
                <w:b w:val="0"/>
              </w:rPr>
              <w:t xml:space="preserve">Neoplasm of skin </w:t>
            </w:r>
          </w:p>
        </w:tc>
        <w:tc>
          <w:tcPr>
            <w:cnfStyle w:val="000010000000" w:firstRow="0" w:lastRow="0" w:firstColumn="0" w:lastColumn="0" w:oddVBand="1" w:evenVBand="0" w:oddHBand="0" w:evenHBand="0" w:firstRowFirstColumn="0" w:firstRowLastColumn="0" w:lastRowFirstColumn="0" w:lastRowLastColumn="0"/>
            <w:tcW w:w="4879" w:type="dxa"/>
            <w:vMerge w:val="restart"/>
          </w:tcPr>
          <w:p w:rsidR="001E4C63" w:rsidRPr="00711321" w:rsidRDefault="001E4C63" w:rsidP="009768EE">
            <w:pPr>
              <w:pStyle w:val="NoSpacing"/>
              <w:numPr>
                <w:ilvl w:val="0"/>
                <w:numId w:val="44"/>
              </w:numPr>
              <w:ind w:left="321" w:hanging="283"/>
              <w:rPr>
                <w:color w:val="000000"/>
              </w:rPr>
            </w:pPr>
            <w:r>
              <w:rPr>
                <w:color w:val="000000"/>
              </w:rPr>
              <w:t>Biopsy of skin</w:t>
            </w:r>
          </w:p>
          <w:p w:rsidR="001E4C63" w:rsidRPr="00711321" w:rsidRDefault="001E4C63" w:rsidP="009768EE">
            <w:pPr>
              <w:pStyle w:val="NoSpacing"/>
              <w:numPr>
                <w:ilvl w:val="0"/>
                <w:numId w:val="44"/>
              </w:numPr>
              <w:ind w:left="321" w:hanging="283"/>
              <w:rPr>
                <w:color w:val="000000"/>
              </w:rPr>
            </w:pPr>
            <w:r>
              <w:rPr>
                <w:color w:val="000000"/>
              </w:rPr>
              <w:t>D</w:t>
            </w:r>
            <w:r w:rsidRPr="00711321">
              <w:rPr>
                <w:color w:val="000000"/>
              </w:rPr>
              <w:t>ebridement</w:t>
            </w:r>
            <w:r>
              <w:rPr>
                <w:color w:val="000000"/>
              </w:rPr>
              <w:t xml:space="preserve"> of skin</w:t>
            </w:r>
          </w:p>
          <w:p w:rsidR="001E4C63" w:rsidRPr="00711321" w:rsidRDefault="001E4C63" w:rsidP="009768EE">
            <w:pPr>
              <w:pStyle w:val="NoSpacing"/>
              <w:numPr>
                <w:ilvl w:val="0"/>
                <w:numId w:val="44"/>
              </w:numPr>
              <w:ind w:left="321" w:hanging="283"/>
              <w:rPr>
                <w:color w:val="000000"/>
              </w:rPr>
            </w:pPr>
            <w:r w:rsidRPr="00280750">
              <w:rPr>
                <w:color w:val="000000"/>
              </w:rPr>
              <w:t xml:space="preserve">Excision of lesion of breast (lumpectomy) </w:t>
            </w:r>
          </w:p>
          <w:p w:rsidR="001E4C63" w:rsidRDefault="001E4C63" w:rsidP="009768EE">
            <w:pPr>
              <w:pStyle w:val="NoSpacing"/>
              <w:numPr>
                <w:ilvl w:val="0"/>
                <w:numId w:val="44"/>
              </w:numPr>
              <w:ind w:left="321" w:hanging="283"/>
              <w:rPr>
                <w:color w:val="000000"/>
              </w:rPr>
            </w:pPr>
            <w:r w:rsidRPr="00711321">
              <w:rPr>
                <w:color w:val="000000"/>
              </w:rPr>
              <w:t>Fine needle aspiration (FNA) breast</w:t>
            </w:r>
          </w:p>
          <w:p w:rsidR="001E4C63" w:rsidRDefault="001E4C63" w:rsidP="009768EE">
            <w:pPr>
              <w:pStyle w:val="NoSpacing"/>
              <w:numPr>
                <w:ilvl w:val="0"/>
                <w:numId w:val="44"/>
              </w:numPr>
              <w:ind w:left="321" w:hanging="283"/>
              <w:rPr>
                <w:color w:val="000000"/>
              </w:rPr>
            </w:pPr>
            <w:r>
              <w:rPr>
                <w:color w:val="000000"/>
              </w:rPr>
              <w:t>Skin cancer procedures</w:t>
            </w:r>
          </w:p>
          <w:p w:rsidR="001E4C63" w:rsidRDefault="001E4C63" w:rsidP="009768EE">
            <w:pPr>
              <w:pStyle w:val="NoSpacing"/>
              <w:numPr>
                <w:ilvl w:val="0"/>
                <w:numId w:val="44"/>
              </w:numPr>
              <w:ind w:left="321" w:hanging="283"/>
              <w:rPr>
                <w:color w:val="000000"/>
              </w:rPr>
            </w:pPr>
            <w:r w:rsidRPr="00711321">
              <w:rPr>
                <w:color w:val="000000"/>
              </w:rPr>
              <w:t>Wound management (dressings)</w:t>
            </w:r>
          </w:p>
          <w:p w:rsidR="001E4C63" w:rsidRDefault="001E4C63" w:rsidP="009768EE">
            <w:pPr>
              <w:pStyle w:val="NoSpacing"/>
              <w:numPr>
                <w:ilvl w:val="0"/>
                <w:numId w:val="36"/>
              </w:numPr>
              <w:ind w:hanging="283"/>
              <w:rPr>
                <w:color w:val="000000"/>
              </w:rPr>
            </w:pPr>
            <w:r>
              <w:rPr>
                <w:color w:val="000000"/>
              </w:rPr>
              <w:t xml:space="preserve">vacuum-assisted closure (VAC) </w:t>
            </w:r>
            <w:r>
              <w:rPr>
                <w:color w:val="000000"/>
              </w:rPr>
              <w:lastRenderedPageBreak/>
              <w:t>dressings</w:t>
            </w:r>
          </w:p>
          <w:p w:rsidR="001E4C63" w:rsidRDefault="001E4C63" w:rsidP="009768EE">
            <w:pPr>
              <w:pStyle w:val="NoSpacing"/>
              <w:numPr>
                <w:ilvl w:val="0"/>
                <w:numId w:val="44"/>
              </w:numPr>
              <w:ind w:left="321" w:hanging="283"/>
            </w:pPr>
            <w:r>
              <w:rPr>
                <w:color w:val="000000"/>
              </w:rPr>
              <w:t>Other minor skin procedures</w:t>
            </w:r>
          </w:p>
        </w:tc>
      </w:tr>
      <w:tr w:rsidR="001E4C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2" w:type="dxa"/>
          </w:tcPr>
          <w:p w:rsidR="001E4C63" w:rsidRDefault="001E4C63" w:rsidP="00FA383A">
            <w:pPr>
              <w:pStyle w:val="NoSpacing"/>
              <w:rPr>
                <w:b w:val="0"/>
              </w:rPr>
            </w:pPr>
            <w:r w:rsidRPr="00E514CA">
              <w:rPr>
                <w:b w:val="0"/>
              </w:rPr>
              <w:t xml:space="preserve">Skin </w:t>
            </w:r>
            <w:r>
              <w:rPr>
                <w:b w:val="0"/>
              </w:rPr>
              <w:t>u</w:t>
            </w:r>
            <w:r w:rsidRPr="00E514CA">
              <w:rPr>
                <w:b w:val="0"/>
              </w:rPr>
              <w:t xml:space="preserve">lcer </w:t>
            </w:r>
          </w:p>
          <w:p w:rsidR="001E4C63" w:rsidRPr="005949A7" w:rsidRDefault="001E4C63" w:rsidP="009768EE">
            <w:pPr>
              <w:pStyle w:val="NoSpacing"/>
              <w:numPr>
                <w:ilvl w:val="0"/>
                <w:numId w:val="36"/>
              </w:numPr>
              <w:ind w:left="284" w:hanging="284"/>
              <w:rPr>
                <w:b w:val="0"/>
              </w:rPr>
            </w:pPr>
            <w:r w:rsidRPr="005949A7">
              <w:rPr>
                <w:b w:val="0"/>
              </w:rPr>
              <w:t>pressure injury</w:t>
            </w:r>
          </w:p>
        </w:tc>
        <w:tc>
          <w:tcPr>
            <w:cnfStyle w:val="000010000000" w:firstRow="0" w:lastRow="0" w:firstColumn="0" w:lastColumn="0" w:oddVBand="1" w:evenVBand="0" w:oddHBand="0" w:evenHBand="0" w:firstRowFirstColumn="0" w:firstRowLastColumn="0" w:lastRowFirstColumn="0" w:lastRowLastColumn="0"/>
            <w:tcW w:w="4879" w:type="dxa"/>
            <w:vMerge/>
          </w:tcPr>
          <w:p w:rsidR="001E4C63" w:rsidRPr="00711321" w:rsidRDefault="001E4C63" w:rsidP="00FA383A">
            <w:pPr>
              <w:pStyle w:val="NoSpacing"/>
              <w:rPr>
                <w:color w:val="000000"/>
              </w:rPr>
            </w:pPr>
          </w:p>
        </w:tc>
      </w:tr>
      <w:tr w:rsidR="001E4C63">
        <w:tc>
          <w:tcPr>
            <w:cnfStyle w:val="001000000000" w:firstRow="0" w:lastRow="0" w:firstColumn="1" w:lastColumn="0" w:oddVBand="0" w:evenVBand="0" w:oddHBand="0" w:evenHBand="0" w:firstRowFirstColumn="0" w:firstRowLastColumn="0" w:lastRowFirstColumn="0" w:lastRowLastColumn="0"/>
            <w:tcW w:w="4782" w:type="dxa"/>
          </w:tcPr>
          <w:p w:rsidR="001E4C63" w:rsidRDefault="001E4C63" w:rsidP="00FA383A">
            <w:pPr>
              <w:pStyle w:val="NoSpacing"/>
              <w:rPr>
                <w:b w:val="0"/>
              </w:rPr>
            </w:pPr>
            <w:r>
              <w:rPr>
                <w:b w:val="0"/>
              </w:rPr>
              <w:t xml:space="preserve">Infection of skin (except post-traumatic) </w:t>
            </w:r>
          </w:p>
          <w:p w:rsidR="001E4C63" w:rsidRDefault="001E4C63" w:rsidP="009768EE">
            <w:pPr>
              <w:pStyle w:val="NoSpacing"/>
              <w:numPr>
                <w:ilvl w:val="0"/>
                <w:numId w:val="41"/>
              </w:numPr>
              <w:ind w:left="284" w:hanging="284"/>
              <w:rPr>
                <w:b w:val="0"/>
              </w:rPr>
            </w:pPr>
            <w:r>
              <w:rPr>
                <w:b w:val="0"/>
              </w:rPr>
              <w:t xml:space="preserve">abscess </w:t>
            </w:r>
          </w:p>
          <w:p w:rsidR="001E4C63" w:rsidRDefault="001E4C63" w:rsidP="009768EE">
            <w:pPr>
              <w:pStyle w:val="NoSpacing"/>
              <w:numPr>
                <w:ilvl w:val="0"/>
                <w:numId w:val="41"/>
              </w:numPr>
              <w:ind w:left="284" w:hanging="284"/>
              <w:rPr>
                <w:b w:val="0"/>
              </w:rPr>
            </w:pPr>
            <w:r w:rsidRPr="003D6EC2">
              <w:rPr>
                <w:b w:val="0"/>
              </w:rPr>
              <w:t>cellulitis</w:t>
            </w:r>
          </w:p>
          <w:p w:rsidR="001E4C63" w:rsidRPr="003D6EC2" w:rsidRDefault="001E4C63" w:rsidP="009768EE">
            <w:pPr>
              <w:pStyle w:val="NoSpacing"/>
              <w:numPr>
                <w:ilvl w:val="0"/>
                <w:numId w:val="41"/>
              </w:numPr>
              <w:ind w:left="284" w:hanging="284"/>
              <w:rPr>
                <w:b w:val="0"/>
              </w:rPr>
            </w:pPr>
            <w:r>
              <w:rPr>
                <w:b w:val="0"/>
              </w:rPr>
              <w:t>inflammatory disorder of skin</w:t>
            </w:r>
          </w:p>
        </w:tc>
        <w:tc>
          <w:tcPr>
            <w:cnfStyle w:val="000010000000" w:firstRow="0" w:lastRow="0" w:firstColumn="0" w:lastColumn="0" w:oddVBand="1" w:evenVBand="0" w:oddHBand="0" w:evenHBand="0" w:firstRowFirstColumn="0" w:firstRowLastColumn="0" w:lastRowFirstColumn="0" w:lastRowLastColumn="0"/>
            <w:tcW w:w="4879" w:type="dxa"/>
            <w:vMerge/>
          </w:tcPr>
          <w:p w:rsidR="001E4C63" w:rsidRDefault="001E4C63" w:rsidP="00FA383A">
            <w:pPr>
              <w:pStyle w:val="NoSpacing"/>
            </w:pPr>
          </w:p>
        </w:tc>
      </w:tr>
      <w:tr w:rsidR="001E4C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2" w:type="dxa"/>
          </w:tcPr>
          <w:p w:rsidR="001E4C63" w:rsidRPr="00E514CA" w:rsidRDefault="001E4C63" w:rsidP="00EE00F8">
            <w:pPr>
              <w:pStyle w:val="NoSpacing"/>
              <w:rPr>
                <w:b w:val="0"/>
              </w:rPr>
            </w:pPr>
            <w:r>
              <w:rPr>
                <w:b w:val="0"/>
              </w:rPr>
              <w:t xml:space="preserve">Signs or symptoms of skin, subcutaneous </w:t>
            </w:r>
            <w:r>
              <w:rPr>
                <w:b w:val="0"/>
              </w:rPr>
              <w:lastRenderedPageBreak/>
              <w:t>tissue or b</w:t>
            </w:r>
            <w:r w:rsidRPr="00E514CA">
              <w:rPr>
                <w:b w:val="0"/>
              </w:rPr>
              <w:t>reast</w:t>
            </w:r>
            <w:r>
              <w:rPr>
                <w:b w:val="0"/>
              </w:rPr>
              <w:t xml:space="preserve"> </w:t>
            </w:r>
          </w:p>
        </w:tc>
        <w:tc>
          <w:tcPr>
            <w:cnfStyle w:val="000010000000" w:firstRow="0" w:lastRow="0" w:firstColumn="0" w:lastColumn="0" w:oddVBand="1" w:evenVBand="0" w:oddHBand="0" w:evenHBand="0" w:firstRowFirstColumn="0" w:firstRowLastColumn="0" w:lastRowFirstColumn="0" w:lastRowLastColumn="0"/>
            <w:tcW w:w="4879" w:type="dxa"/>
            <w:vMerge/>
          </w:tcPr>
          <w:p w:rsidR="001E4C63" w:rsidRDefault="001E4C63" w:rsidP="00FA383A">
            <w:pPr>
              <w:pStyle w:val="NoSpacing"/>
            </w:pPr>
          </w:p>
        </w:tc>
      </w:tr>
      <w:tr w:rsidR="001E4C63">
        <w:tc>
          <w:tcPr>
            <w:cnfStyle w:val="001000000000" w:firstRow="0" w:lastRow="0" w:firstColumn="1" w:lastColumn="0" w:oddVBand="0" w:evenVBand="0" w:oddHBand="0" w:evenHBand="0" w:firstRowFirstColumn="0" w:firstRowLastColumn="0" w:lastRowFirstColumn="0" w:lastRowLastColumn="0"/>
            <w:tcW w:w="4782" w:type="dxa"/>
          </w:tcPr>
          <w:p w:rsidR="001E4C63" w:rsidRDefault="001E4C63" w:rsidP="00FA383A">
            <w:pPr>
              <w:pStyle w:val="NoSpacing"/>
              <w:rPr>
                <w:b w:val="0"/>
              </w:rPr>
            </w:pPr>
            <w:r>
              <w:rPr>
                <w:b w:val="0"/>
              </w:rPr>
              <w:lastRenderedPageBreak/>
              <w:t>Other d</w:t>
            </w:r>
            <w:r w:rsidRPr="00E514CA">
              <w:rPr>
                <w:b w:val="0"/>
              </w:rPr>
              <w:t>isorder</w:t>
            </w:r>
            <w:r>
              <w:rPr>
                <w:b w:val="0"/>
              </w:rPr>
              <w:t xml:space="preserve"> of breast </w:t>
            </w:r>
          </w:p>
          <w:p w:rsidR="001E4C63" w:rsidRDefault="001E4C63" w:rsidP="009768EE">
            <w:pPr>
              <w:pStyle w:val="NoSpacing"/>
              <w:numPr>
                <w:ilvl w:val="0"/>
                <w:numId w:val="42"/>
              </w:numPr>
              <w:ind w:left="284" w:hanging="284"/>
              <w:rPr>
                <w:b w:val="0"/>
              </w:rPr>
            </w:pPr>
            <w:r w:rsidRPr="00EF04AB">
              <w:rPr>
                <w:b w:val="0"/>
              </w:rPr>
              <w:t>benign neoplasm</w:t>
            </w:r>
          </w:p>
        </w:tc>
        <w:tc>
          <w:tcPr>
            <w:cnfStyle w:val="000010000000" w:firstRow="0" w:lastRow="0" w:firstColumn="0" w:lastColumn="0" w:oddVBand="1" w:evenVBand="0" w:oddHBand="0" w:evenHBand="0" w:firstRowFirstColumn="0" w:firstRowLastColumn="0" w:lastRowFirstColumn="0" w:lastRowLastColumn="0"/>
            <w:tcW w:w="4879" w:type="dxa"/>
            <w:vMerge/>
          </w:tcPr>
          <w:p w:rsidR="001E4C63" w:rsidRDefault="001E4C63" w:rsidP="00FA383A">
            <w:pPr>
              <w:pStyle w:val="NoSpacing"/>
            </w:pPr>
          </w:p>
        </w:tc>
      </w:tr>
      <w:tr w:rsidR="001E4C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2" w:type="dxa"/>
          </w:tcPr>
          <w:p w:rsidR="001E4C63" w:rsidRDefault="001E4C63" w:rsidP="00FA383A">
            <w:pPr>
              <w:pStyle w:val="NoSpacing"/>
              <w:rPr>
                <w:b w:val="0"/>
              </w:rPr>
            </w:pPr>
            <w:r>
              <w:rPr>
                <w:b w:val="0"/>
              </w:rPr>
              <w:t xml:space="preserve">Other </w:t>
            </w:r>
            <w:r w:rsidRPr="007B3241">
              <w:rPr>
                <w:b w:val="0"/>
              </w:rPr>
              <w:t>disorder</w:t>
            </w:r>
            <w:r>
              <w:rPr>
                <w:b w:val="0"/>
              </w:rPr>
              <w:t xml:space="preserve"> of skin </w:t>
            </w:r>
          </w:p>
          <w:p w:rsidR="001E4C63" w:rsidRDefault="001E4C63" w:rsidP="009768EE">
            <w:pPr>
              <w:pStyle w:val="NoSpacing"/>
              <w:numPr>
                <w:ilvl w:val="0"/>
                <w:numId w:val="43"/>
              </w:numPr>
              <w:ind w:left="284" w:hanging="284"/>
              <w:rPr>
                <w:b w:val="0"/>
              </w:rPr>
            </w:pPr>
            <w:r>
              <w:rPr>
                <w:b w:val="0"/>
              </w:rPr>
              <w:t>acne</w:t>
            </w:r>
          </w:p>
          <w:p w:rsidR="001E4C63" w:rsidRDefault="001E4C63" w:rsidP="009768EE">
            <w:pPr>
              <w:pStyle w:val="NoSpacing"/>
              <w:numPr>
                <w:ilvl w:val="0"/>
                <w:numId w:val="43"/>
              </w:numPr>
              <w:ind w:left="284" w:hanging="284"/>
              <w:rPr>
                <w:b w:val="0"/>
              </w:rPr>
            </w:pPr>
            <w:r w:rsidRPr="00AA5160">
              <w:rPr>
                <w:b w:val="0"/>
              </w:rPr>
              <w:t>benign neoplasm of skin</w:t>
            </w:r>
          </w:p>
          <w:p w:rsidR="001E4C63" w:rsidRPr="000743E7" w:rsidRDefault="001E4C63" w:rsidP="009768EE">
            <w:pPr>
              <w:pStyle w:val="NoSpacing"/>
              <w:numPr>
                <w:ilvl w:val="0"/>
                <w:numId w:val="43"/>
              </w:numPr>
              <w:ind w:left="284" w:hanging="284"/>
              <w:rPr>
                <w:b w:val="0"/>
              </w:rPr>
            </w:pPr>
            <w:r>
              <w:rPr>
                <w:b w:val="0"/>
              </w:rPr>
              <w:t>d</w:t>
            </w:r>
            <w:r w:rsidRPr="003D6EC2">
              <w:rPr>
                <w:b w:val="0"/>
              </w:rPr>
              <w:t>ermatitis</w:t>
            </w:r>
            <w:r>
              <w:rPr>
                <w:b w:val="0"/>
              </w:rPr>
              <w:t xml:space="preserve"> (allergic)</w:t>
            </w:r>
          </w:p>
          <w:p w:rsidR="001E4C63" w:rsidRDefault="001E4C63" w:rsidP="009768EE">
            <w:pPr>
              <w:pStyle w:val="NoSpacing"/>
              <w:numPr>
                <w:ilvl w:val="0"/>
                <w:numId w:val="43"/>
              </w:numPr>
              <w:ind w:left="284" w:hanging="284"/>
            </w:pPr>
            <w:r w:rsidRPr="003D6EC2">
              <w:rPr>
                <w:b w:val="0"/>
              </w:rPr>
              <w:t>psoriasis</w:t>
            </w:r>
          </w:p>
        </w:tc>
        <w:tc>
          <w:tcPr>
            <w:cnfStyle w:val="000010000000" w:firstRow="0" w:lastRow="0" w:firstColumn="0" w:lastColumn="0" w:oddVBand="1" w:evenVBand="0" w:oddHBand="0" w:evenHBand="0" w:firstRowFirstColumn="0" w:firstRowLastColumn="0" w:lastRowFirstColumn="0" w:lastRowLastColumn="0"/>
            <w:tcW w:w="4879" w:type="dxa"/>
            <w:vMerge/>
          </w:tcPr>
          <w:p w:rsidR="001E4C63" w:rsidRDefault="001E4C63" w:rsidP="00FA383A">
            <w:pPr>
              <w:pStyle w:val="NoSpacing"/>
            </w:pPr>
          </w:p>
        </w:tc>
      </w:tr>
    </w:tbl>
    <w:p w:rsidR="001E4C63" w:rsidRDefault="001E4C63" w:rsidP="001E4C63">
      <w:pPr>
        <w:rPr>
          <w:rFonts w:cs="Arial"/>
          <w:szCs w:val="22"/>
        </w:rPr>
      </w:pPr>
    </w:p>
    <w:tbl>
      <w:tblPr>
        <w:tblStyle w:val="LightList-Accent1"/>
        <w:tblW w:w="0" w:type="auto"/>
        <w:tblLook w:val="00A0" w:firstRow="1" w:lastRow="0" w:firstColumn="1" w:lastColumn="0" w:noHBand="0" w:noVBand="0"/>
        <w:tblCaption w:val="MDC 10 Endocrine, nutritional and metabolic diseases and disorders"/>
        <w:tblDescription w:val="Table of two columns, the first column listing proposed presenting problem/diagnosis-type groupings and the second column listing proposed intervention-type groupings for MDC 10 Endocrine, nutritional and metabolic diseases and disorders."/>
      </w:tblPr>
      <w:tblGrid>
        <w:gridCol w:w="4801"/>
        <w:gridCol w:w="4860"/>
      </w:tblGrid>
      <w:tr w:rsidR="001E4C63" w:rsidTr="00A966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661" w:type="dxa"/>
            <w:gridSpan w:val="2"/>
          </w:tcPr>
          <w:p w:rsidR="001E4C63" w:rsidRPr="00275F4E" w:rsidRDefault="001E4C63" w:rsidP="00FA383A">
            <w:pPr>
              <w:pStyle w:val="NoSpacing"/>
            </w:pPr>
            <w:r w:rsidRPr="00275F4E">
              <w:t>MDC 10 Endocrine, Nutritional and Metabolic Diseases and Disorders</w:t>
            </w:r>
          </w:p>
        </w:tc>
      </w:tr>
      <w:tr w:rsidR="005F38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01" w:type="dxa"/>
          </w:tcPr>
          <w:p w:rsidR="005F38D0" w:rsidRPr="005F38D0" w:rsidRDefault="005F38D0" w:rsidP="00344411">
            <w:pPr>
              <w:pStyle w:val="NoSpacing"/>
            </w:pPr>
            <w:r w:rsidRPr="005F38D0">
              <w:t>Proposed presenting problem / diagnosis-type groupings</w:t>
            </w:r>
          </w:p>
        </w:tc>
        <w:tc>
          <w:tcPr>
            <w:cnfStyle w:val="000010000000" w:firstRow="0" w:lastRow="0" w:firstColumn="0" w:lastColumn="0" w:oddVBand="1" w:evenVBand="0" w:oddHBand="0" w:evenHBand="0" w:firstRowFirstColumn="0" w:firstRowLastColumn="0" w:lastRowFirstColumn="0" w:lastRowLastColumn="0"/>
            <w:tcW w:w="4860" w:type="dxa"/>
          </w:tcPr>
          <w:p w:rsidR="005F38D0" w:rsidRPr="005F38D0" w:rsidRDefault="005F38D0" w:rsidP="00344411">
            <w:pPr>
              <w:pStyle w:val="NoSpacing"/>
              <w:rPr>
                <w:b/>
              </w:rPr>
            </w:pPr>
            <w:r w:rsidRPr="005F38D0">
              <w:rPr>
                <w:b/>
              </w:rPr>
              <w:t>Proposed intervention-type groupings</w:t>
            </w:r>
          </w:p>
        </w:tc>
      </w:tr>
      <w:tr w:rsidR="001E4C63">
        <w:tc>
          <w:tcPr>
            <w:cnfStyle w:val="001000000000" w:firstRow="0" w:lastRow="0" w:firstColumn="1" w:lastColumn="0" w:oddVBand="0" w:evenVBand="0" w:oddHBand="0" w:evenHBand="0" w:firstRowFirstColumn="0" w:firstRowLastColumn="0" w:lastRowFirstColumn="0" w:lastRowLastColumn="0"/>
            <w:tcW w:w="4801" w:type="dxa"/>
          </w:tcPr>
          <w:p w:rsidR="001E4C63" w:rsidRPr="00275F4E" w:rsidRDefault="001E4C63" w:rsidP="00B455C5">
            <w:pPr>
              <w:pStyle w:val="NoSpacing"/>
              <w:rPr>
                <w:b w:val="0"/>
              </w:rPr>
            </w:pPr>
            <w:r w:rsidRPr="00275F4E">
              <w:rPr>
                <w:b w:val="0"/>
              </w:rPr>
              <w:t xml:space="preserve">Diabetes mellitus </w:t>
            </w:r>
          </w:p>
        </w:tc>
        <w:tc>
          <w:tcPr>
            <w:cnfStyle w:val="000010000000" w:firstRow="0" w:lastRow="0" w:firstColumn="0" w:lastColumn="0" w:oddVBand="1" w:evenVBand="0" w:oddHBand="0" w:evenHBand="0" w:firstRowFirstColumn="0" w:firstRowLastColumn="0" w:lastRowFirstColumn="0" w:lastRowLastColumn="0"/>
            <w:tcW w:w="4860" w:type="dxa"/>
            <w:vMerge w:val="restart"/>
          </w:tcPr>
          <w:p w:rsidR="001E4C63" w:rsidRPr="00981EC1" w:rsidRDefault="001E4C63" w:rsidP="009768EE">
            <w:pPr>
              <w:pStyle w:val="ListParagraph"/>
              <w:numPr>
                <w:ilvl w:val="0"/>
                <w:numId w:val="8"/>
              </w:numPr>
              <w:spacing w:before="0" w:after="0" w:line="240" w:lineRule="auto"/>
              <w:ind w:left="319" w:hanging="319"/>
              <w:contextualSpacing/>
              <w:rPr>
                <w:rFonts w:cs="Arial"/>
                <w:color w:val="000000"/>
                <w:szCs w:val="22"/>
              </w:rPr>
            </w:pPr>
            <w:r w:rsidRPr="00981EC1">
              <w:rPr>
                <w:rFonts w:cs="Arial"/>
                <w:color w:val="000000"/>
                <w:szCs w:val="22"/>
              </w:rPr>
              <w:t>Insertion of insulin pump</w:t>
            </w:r>
          </w:p>
        </w:tc>
      </w:tr>
      <w:tr w:rsidR="001E4C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01" w:type="dxa"/>
          </w:tcPr>
          <w:p w:rsidR="001E4C63" w:rsidRPr="00275F4E" w:rsidRDefault="001E4C63" w:rsidP="00B455C5">
            <w:pPr>
              <w:pStyle w:val="NoSpacing"/>
              <w:rPr>
                <w:b w:val="0"/>
              </w:rPr>
            </w:pPr>
            <w:r w:rsidRPr="00275F4E">
              <w:rPr>
                <w:b w:val="0"/>
              </w:rPr>
              <w:t xml:space="preserve">Nutritional deficiency </w:t>
            </w:r>
          </w:p>
        </w:tc>
        <w:tc>
          <w:tcPr>
            <w:cnfStyle w:val="000010000000" w:firstRow="0" w:lastRow="0" w:firstColumn="0" w:lastColumn="0" w:oddVBand="1" w:evenVBand="0" w:oddHBand="0" w:evenHBand="0" w:firstRowFirstColumn="0" w:firstRowLastColumn="0" w:lastRowFirstColumn="0" w:lastRowLastColumn="0"/>
            <w:tcW w:w="4860" w:type="dxa"/>
            <w:vMerge/>
          </w:tcPr>
          <w:p w:rsidR="001E4C63" w:rsidRPr="00F52A1B" w:rsidRDefault="001E4C63" w:rsidP="00FA383A">
            <w:pPr>
              <w:rPr>
                <w:rFonts w:cs="Arial"/>
                <w:color w:val="000000"/>
                <w:szCs w:val="22"/>
              </w:rPr>
            </w:pPr>
          </w:p>
        </w:tc>
      </w:tr>
      <w:tr w:rsidR="001E4C63">
        <w:tc>
          <w:tcPr>
            <w:cnfStyle w:val="001000000000" w:firstRow="0" w:lastRow="0" w:firstColumn="1" w:lastColumn="0" w:oddVBand="0" w:evenVBand="0" w:oddHBand="0" w:evenHBand="0" w:firstRowFirstColumn="0" w:firstRowLastColumn="0" w:lastRowFirstColumn="0" w:lastRowLastColumn="0"/>
            <w:tcW w:w="4801" w:type="dxa"/>
          </w:tcPr>
          <w:p w:rsidR="001E4C63" w:rsidRPr="00275F4E" w:rsidRDefault="001E4C63" w:rsidP="00FA383A">
            <w:pPr>
              <w:pStyle w:val="NoSpacing"/>
              <w:rPr>
                <w:b w:val="0"/>
              </w:rPr>
            </w:pPr>
            <w:r w:rsidRPr="00275F4E">
              <w:rPr>
                <w:b w:val="0"/>
              </w:rPr>
              <w:t xml:space="preserve">Metabolic disorder </w:t>
            </w:r>
          </w:p>
          <w:p w:rsidR="001E4C63" w:rsidRPr="00275F4E" w:rsidRDefault="001E4C63" w:rsidP="009768EE">
            <w:pPr>
              <w:pStyle w:val="NoSpacing"/>
              <w:numPr>
                <w:ilvl w:val="0"/>
                <w:numId w:val="10"/>
              </w:numPr>
              <w:ind w:left="284" w:hanging="284"/>
              <w:rPr>
                <w:b w:val="0"/>
              </w:rPr>
            </w:pPr>
            <w:r w:rsidRPr="00275F4E">
              <w:rPr>
                <w:b w:val="0"/>
              </w:rPr>
              <w:t>obesity</w:t>
            </w:r>
          </w:p>
        </w:tc>
        <w:tc>
          <w:tcPr>
            <w:cnfStyle w:val="000010000000" w:firstRow="0" w:lastRow="0" w:firstColumn="0" w:lastColumn="0" w:oddVBand="1" w:evenVBand="0" w:oddHBand="0" w:evenHBand="0" w:firstRowFirstColumn="0" w:firstRowLastColumn="0" w:lastRowFirstColumn="0" w:lastRowLastColumn="0"/>
            <w:tcW w:w="4860" w:type="dxa"/>
            <w:vMerge/>
          </w:tcPr>
          <w:p w:rsidR="001E4C63" w:rsidRDefault="001E4C63" w:rsidP="00FA383A">
            <w:pPr>
              <w:rPr>
                <w:rFonts w:cs="Arial"/>
                <w:szCs w:val="22"/>
              </w:rPr>
            </w:pPr>
          </w:p>
        </w:tc>
      </w:tr>
      <w:tr w:rsidR="001E4C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01" w:type="dxa"/>
          </w:tcPr>
          <w:p w:rsidR="001E4C63" w:rsidRPr="00275F4E" w:rsidRDefault="001E4C63" w:rsidP="00B455C5">
            <w:pPr>
              <w:pStyle w:val="NoSpacing"/>
              <w:rPr>
                <w:b w:val="0"/>
              </w:rPr>
            </w:pPr>
            <w:r w:rsidRPr="00275F4E">
              <w:rPr>
                <w:b w:val="0"/>
              </w:rPr>
              <w:t xml:space="preserve">Inborn errors of metabolism </w:t>
            </w:r>
          </w:p>
        </w:tc>
        <w:tc>
          <w:tcPr>
            <w:cnfStyle w:val="000010000000" w:firstRow="0" w:lastRow="0" w:firstColumn="0" w:lastColumn="0" w:oddVBand="1" w:evenVBand="0" w:oddHBand="0" w:evenHBand="0" w:firstRowFirstColumn="0" w:firstRowLastColumn="0" w:lastRowFirstColumn="0" w:lastRowLastColumn="0"/>
            <w:tcW w:w="4860" w:type="dxa"/>
            <w:vMerge/>
          </w:tcPr>
          <w:p w:rsidR="001E4C63" w:rsidRDefault="001E4C63" w:rsidP="00FA383A">
            <w:pPr>
              <w:rPr>
                <w:rFonts w:cs="Arial"/>
                <w:szCs w:val="22"/>
              </w:rPr>
            </w:pPr>
          </w:p>
        </w:tc>
      </w:tr>
      <w:tr w:rsidR="001E4C63">
        <w:tc>
          <w:tcPr>
            <w:cnfStyle w:val="001000000000" w:firstRow="0" w:lastRow="0" w:firstColumn="1" w:lastColumn="0" w:oddVBand="0" w:evenVBand="0" w:oddHBand="0" w:evenHBand="0" w:firstRowFirstColumn="0" w:firstRowLastColumn="0" w:lastRowFirstColumn="0" w:lastRowLastColumn="0"/>
            <w:tcW w:w="4801" w:type="dxa"/>
          </w:tcPr>
          <w:p w:rsidR="001E4C63" w:rsidRPr="00275F4E" w:rsidRDefault="001E4C63" w:rsidP="00B455C5">
            <w:pPr>
              <w:pStyle w:val="NoSpacing"/>
              <w:rPr>
                <w:b w:val="0"/>
              </w:rPr>
            </w:pPr>
            <w:r w:rsidRPr="00275F4E">
              <w:rPr>
                <w:b w:val="0"/>
              </w:rPr>
              <w:t xml:space="preserve">Neoplasm of endocrine system </w:t>
            </w:r>
          </w:p>
        </w:tc>
        <w:tc>
          <w:tcPr>
            <w:cnfStyle w:val="000010000000" w:firstRow="0" w:lastRow="0" w:firstColumn="0" w:lastColumn="0" w:oddVBand="1" w:evenVBand="0" w:oddHBand="0" w:evenHBand="0" w:firstRowFirstColumn="0" w:firstRowLastColumn="0" w:lastRowFirstColumn="0" w:lastRowLastColumn="0"/>
            <w:tcW w:w="4860" w:type="dxa"/>
            <w:vMerge/>
          </w:tcPr>
          <w:p w:rsidR="001E4C63" w:rsidRDefault="001E4C63" w:rsidP="00FA383A">
            <w:pPr>
              <w:rPr>
                <w:rFonts w:cs="Arial"/>
                <w:szCs w:val="22"/>
              </w:rPr>
            </w:pPr>
          </w:p>
        </w:tc>
      </w:tr>
      <w:tr w:rsidR="001E4C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01" w:type="dxa"/>
          </w:tcPr>
          <w:p w:rsidR="001E4C63" w:rsidRPr="00275F4E" w:rsidRDefault="001E4C63" w:rsidP="00B455C5">
            <w:pPr>
              <w:pStyle w:val="NoSpacing"/>
              <w:rPr>
                <w:b w:val="0"/>
              </w:rPr>
            </w:pPr>
            <w:r w:rsidRPr="00275F4E">
              <w:rPr>
                <w:b w:val="0"/>
              </w:rPr>
              <w:t xml:space="preserve">Thyroid disorder </w:t>
            </w:r>
          </w:p>
        </w:tc>
        <w:tc>
          <w:tcPr>
            <w:cnfStyle w:val="000010000000" w:firstRow="0" w:lastRow="0" w:firstColumn="0" w:lastColumn="0" w:oddVBand="1" w:evenVBand="0" w:oddHBand="0" w:evenHBand="0" w:firstRowFirstColumn="0" w:firstRowLastColumn="0" w:lastRowFirstColumn="0" w:lastRowLastColumn="0"/>
            <w:tcW w:w="4860" w:type="dxa"/>
            <w:vMerge/>
          </w:tcPr>
          <w:p w:rsidR="001E4C63" w:rsidRDefault="001E4C63" w:rsidP="00FA383A">
            <w:pPr>
              <w:rPr>
                <w:rFonts w:cs="Arial"/>
                <w:szCs w:val="22"/>
              </w:rPr>
            </w:pPr>
          </w:p>
        </w:tc>
      </w:tr>
      <w:tr w:rsidR="001E4C63">
        <w:tc>
          <w:tcPr>
            <w:cnfStyle w:val="001000000000" w:firstRow="0" w:lastRow="0" w:firstColumn="1" w:lastColumn="0" w:oddVBand="0" w:evenVBand="0" w:oddHBand="0" w:evenHBand="0" w:firstRowFirstColumn="0" w:firstRowLastColumn="0" w:lastRowFirstColumn="0" w:lastRowLastColumn="0"/>
            <w:tcW w:w="4801" w:type="dxa"/>
          </w:tcPr>
          <w:p w:rsidR="001E4C63" w:rsidRPr="00275F4E" w:rsidRDefault="001E4C63" w:rsidP="00FA383A">
            <w:pPr>
              <w:pStyle w:val="NoSpacing"/>
              <w:rPr>
                <w:b w:val="0"/>
              </w:rPr>
            </w:pPr>
            <w:r w:rsidRPr="00275F4E">
              <w:rPr>
                <w:b w:val="0"/>
              </w:rPr>
              <w:t xml:space="preserve">Signs or symptoms of endocrine, nutritional and metabolic system </w:t>
            </w:r>
          </w:p>
        </w:tc>
        <w:tc>
          <w:tcPr>
            <w:cnfStyle w:val="000010000000" w:firstRow="0" w:lastRow="0" w:firstColumn="0" w:lastColumn="0" w:oddVBand="1" w:evenVBand="0" w:oddHBand="0" w:evenHBand="0" w:firstRowFirstColumn="0" w:firstRowLastColumn="0" w:lastRowFirstColumn="0" w:lastRowLastColumn="0"/>
            <w:tcW w:w="4860" w:type="dxa"/>
            <w:vMerge/>
          </w:tcPr>
          <w:p w:rsidR="001E4C63" w:rsidRDefault="001E4C63" w:rsidP="00FA383A">
            <w:pPr>
              <w:rPr>
                <w:rFonts w:cs="Arial"/>
                <w:szCs w:val="22"/>
              </w:rPr>
            </w:pPr>
          </w:p>
        </w:tc>
      </w:tr>
      <w:tr w:rsidR="001E4C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01" w:type="dxa"/>
          </w:tcPr>
          <w:p w:rsidR="001E4C63" w:rsidRPr="00275F4E" w:rsidRDefault="001E4C63" w:rsidP="00FA383A">
            <w:pPr>
              <w:pStyle w:val="NoSpacing"/>
              <w:rPr>
                <w:rFonts w:cs="Arial"/>
                <w:b w:val="0"/>
                <w:szCs w:val="22"/>
              </w:rPr>
            </w:pPr>
            <w:r w:rsidRPr="00275F4E">
              <w:rPr>
                <w:rFonts w:cs="Arial"/>
                <w:b w:val="0"/>
                <w:szCs w:val="22"/>
              </w:rPr>
              <w:t xml:space="preserve">Other disorder of the endocrine system </w:t>
            </w:r>
          </w:p>
          <w:p w:rsidR="001E4C63" w:rsidRPr="00275F4E" w:rsidRDefault="001E4C63" w:rsidP="009768EE">
            <w:pPr>
              <w:pStyle w:val="NoSpacing"/>
              <w:numPr>
                <w:ilvl w:val="0"/>
                <w:numId w:val="10"/>
              </w:numPr>
              <w:ind w:left="284" w:hanging="284"/>
              <w:rPr>
                <w:rFonts w:cs="Arial"/>
                <w:b w:val="0"/>
                <w:szCs w:val="22"/>
              </w:rPr>
            </w:pPr>
            <w:r w:rsidRPr="00275F4E">
              <w:rPr>
                <w:rFonts w:cs="Arial"/>
                <w:b w:val="0"/>
                <w:szCs w:val="22"/>
              </w:rPr>
              <w:t xml:space="preserve">adrenal disorder </w:t>
            </w:r>
          </w:p>
        </w:tc>
        <w:tc>
          <w:tcPr>
            <w:cnfStyle w:val="000010000000" w:firstRow="0" w:lastRow="0" w:firstColumn="0" w:lastColumn="0" w:oddVBand="1" w:evenVBand="0" w:oddHBand="0" w:evenHBand="0" w:firstRowFirstColumn="0" w:firstRowLastColumn="0" w:lastRowFirstColumn="0" w:lastRowLastColumn="0"/>
            <w:tcW w:w="4860" w:type="dxa"/>
            <w:vMerge/>
          </w:tcPr>
          <w:p w:rsidR="001E4C63" w:rsidRDefault="001E4C63" w:rsidP="00FA383A">
            <w:pPr>
              <w:rPr>
                <w:rFonts w:cs="Arial"/>
                <w:szCs w:val="22"/>
              </w:rPr>
            </w:pPr>
          </w:p>
        </w:tc>
      </w:tr>
    </w:tbl>
    <w:p w:rsidR="001E4C63" w:rsidRDefault="001E4C63" w:rsidP="001E4C63">
      <w:pPr>
        <w:rPr>
          <w:rFonts w:cs="Arial"/>
          <w:szCs w:val="22"/>
        </w:rPr>
      </w:pPr>
    </w:p>
    <w:tbl>
      <w:tblPr>
        <w:tblStyle w:val="LightList-Accent1"/>
        <w:tblW w:w="0" w:type="auto"/>
        <w:tblLook w:val="00A0" w:firstRow="1" w:lastRow="0" w:firstColumn="1" w:lastColumn="0" w:noHBand="0" w:noVBand="0"/>
        <w:tblCaption w:val="MDC 11 Diseases and disorders of the kidney and urinary tract"/>
        <w:tblDescription w:val="Table of two columns, the first column listing proposed presenting problem/diagnosis-type groupings and the second column listing proposed intervention-type groupings for MDC 11 Diseases and disorders of the kidney and urinary tract."/>
      </w:tblPr>
      <w:tblGrid>
        <w:gridCol w:w="4620"/>
        <w:gridCol w:w="5041"/>
      </w:tblGrid>
      <w:tr w:rsidR="001E4C63" w:rsidTr="00A966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661" w:type="dxa"/>
            <w:gridSpan w:val="2"/>
          </w:tcPr>
          <w:p w:rsidR="001E4C63" w:rsidRPr="008926DA" w:rsidRDefault="001E4C63" w:rsidP="00FA383A">
            <w:pPr>
              <w:pStyle w:val="NoSpacing"/>
              <w:rPr>
                <w:b w:val="0"/>
              </w:rPr>
            </w:pPr>
            <w:r w:rsidRPr="005F7B4E">
              <w:t>MDC 11 Diseases and Disorders of the Kidney and Urinary Tract</w:t>
            </w:r>
          </w:p>
        </w:tc>
      </w:tr>
      <w:tr w:rsidR="005F38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0" w:type="dxa"/>
          </w:tcPr>
          <w:p w:rsidR="005F38D0" w:rsidRPr="005F38D0" w:rsidRDefault="005F38D0" w:rsidP="00344411">
            <w:pPr>
              <w:pStyle w:val="NoSpacing"/>
            </w:pPr>
            <w:r w:rsidRPr="005F38D0">
              <w:t>Proposed presenting problem / diagnosis-type groupings</w:t>
            </w:r>
          </w:p>
        </w:tc>
        <w:tc>
          <w:tcPr>
            <w:cnfStyle w:val="000010000000" w:firstRow="0" w:lastRow="0" w:firstColumn="0" w:lastColumn="0" w:oddVBand="1" w:evenVBand="0" w:oddHBand="0" w:evenHBand="0" w:firstRowFirstColumn="0" w:firstRowLastColumn="0" w:lastRowFirstColumn="0" w:lastRowLastColumn="0"/>
            <w:tcW w:w="5041" w:type="dxa"/>
          </w:tcPr>
          <w:p w:rsidR="005F38D0" w:rsidRPr="005F38D0" w:rsidRDefault="005F38D0" w:rsidP="00344411">
            <w:pPr>
              <w:pStyle w:val="NoSpacing"/>
              <w:rPr>
                <w:b/>
              </w:rPr>
            </w:pPr>
            <w:r w:rsidRPr="005F38D0">
              <w:rPr>
                <w:b/>
              </w:rPr>
              <w:t>Proposed intervention-type groupings</w:t>
            </w:r>
          </w:p>
        </w:tc>
      </w:tr>
      <w:tr w:rsidR="001E4C63">
        <w:tc>
          <w:tcPr>
            <w:cnfStyle w:val="001000000000" w:firstRow="0" w:lastRow="0" w:firstColumn="1" w:lastColumn="0" w:oddVBand="0" w:evenVBand="0" w:oddHBand="0" w:evenHBand="0" w:firstRowFirstColumn="0" w:firstRowLastColumn="0" w:lastRowFirstColumn="0" w:lastRowLastColumn="0"/>
            <w:tcW w:w="4620" w:type="dxa"/>
          </w:tcPr>
          <w:p w:rsidR="001E4C63" w:rsidRPr="00B24227" w:rsidRDefault="001E4C63" w:rsidP="00B455C5">
            <w:pPr>
              <w:pStyle w:val="NoSpacing"/>
              <w:rPr>
                <w:b w:val="0"/>
              </w:rPr>
            </w:pPr>
            <w:r w:rsidRPr="00B24227">
              <w:rPr>
                <w:b w:val="0"/>
              </w:rPr>
              <w:t xml:space="preserve">Kidney failure </w:t>
            </w:r>
          </w:p>
        </w:tc>
        <w:tc>
          <w:tcPr>
            <w:cnfStyle w:val="000010000000" w:firstRow="0" w:lastRow="0" w:firstColumn="0" w:lastColumn="0" w:oddVBand="1" w:evenVBand="0" w:oddHBand="0" w:evenHBand="0" w:firstRowFirstColumn="0" w:firstRowLastColumn="0" w:lastRowFirstColumn="0" w:lastRowLastColumn="0"/>
            <w:tcW w:w="5041" w:type="dxa"/>
            <w:vMerge w:val="restart"/>
          </w:tcPr>
          <w:p w:rsidR="001E4C63" w:rsidRDefault="001E4C63" w:rsidP="009768EE">
            <w:pPr>
              <w:pStyle w:val="NoSpacing"/>
              <w:numPr>
                <w:ilvl w:val="0"/>
                <w:numId w:val="46"/>
              </w:numPr>
              <w:ind w:left="398" w:hanging="398"/>
            </w:pPr>
            <w:r w:rsidRPr="00CA625C">
              <w:t>Extracorporeal shock wave (ESW) lithotripsy</w:t>
            </w:r>
          </w:p>
          <w:p w:rsidR="001E4C63" w:rsidRPr="00CA625C" w:rsidRDefault="001E4C63" w:rsidP="009768EE">
            <w:pPr>
              <w:pStyle w:val="NoSpacing"/>
              <w:numPr>
                <w:ilvl w:val="0"/>
                <w:numId w:val="46"/>
              </w:numPr>
              <w:ind w:left="398" w:hanging="398"/>
            </w:pPr>
            <w:r w:rsidRPr="00CA625C">
              <w:t>Renal dialysis</w:t>
            </w:r>
          </w:p>
          <w:p w:rsidR="001E4C63" w:rsidRDefault="001E4C63" w:rsidP="00A360CE">
            <w:pPr>
              <w:pStyle w:val="NoSpacing"/>
              <w:numPr>
                <w:ilvl w:val="0"/>
                <w:numId w:val="47"/>
              </w:numPr>
            </w:pPr>
            <w:r w:rsidRPr="00B24227">
              <w:t>haemodialysis</w:t>
            </w:r>
          </w:p>
          <w:p w:rsidR="001E4C63" w:rsidRPr="00CA625C" w:rsidRDefault="001E4C63" w:rsidP="00A360CE">
            <w:pPr>
              <w:pStyle w:val="NoSpacing"/>
              <w:numPr>
                <w:ilvl w:val="0"/>
                <w:numId w:val="47"/>
              </w:numPr>
            </w:pPr>
            <w:r w:rsidRPr="001E4989">
              <w:t>peritoneal dialysis</w:t>
            </w:r>
          </w:p>
          <w:p w:rsidR="001E4C63" w:rsidRPr="00CA625C" w:rsidRDefault="001E4C63" w:rsidP="009768EE">
            <w:pPr>
              <w:pStyle w:val="NoSpacing"/>
              <w:numPr>
                <w:ilvl w:val="0"/>
                <w:numId w:val="46"/>
              </w:numPr>
              <w:ind w:left="398" w:hanging="398"/>
            </w:pPr>
            <w:r w:rsidRPr="00CA625C">
              <w:t>Urinary incontinence treatment</w:t>
            </w:r>
          </w:p>
          <w:p w:rsidR="001E4C63" w:rsidRDefault="001E4C63" w:rsidP="00A360CE">
            <w:pPr>
              <w:pStyle w:val="NoSpacing"/>
              <w:numPr>
                <w:ilvl w:val="0"/>
                <w:numId w:val="48"/>
              </w:numPr>
            </w:pPr>
            <w:r w:rsidRPr="00DA2922">
              <w:t>trial of void</w:t>
            </w:r>
          </w:p>
          <w:p w:rsidR="001E4C63" w:rsidRPr="00DA2922" w:rsidRDefault="001E4C63" w:rsidP="00A360CE">
            <w:pPr>
              <w:pStyle w:val="NoSpacing"/>
              <w:numPr>
                <w:ilvl w:val="0"/>
                <w:numId w:val="48"/>
              </w:numPr>
            </w:pPr>
            <w:r w:rsidRPr="00DA2922">
              <w:t>urethral dilation</w:t>
            </w:r>
          </w:p>
          <w:p w:rsidR="001E4C63" w:rsidRPr="00CA625C" w:rsidRDefault="001E4C63" w:rsidP="009768EE">
            <w:pPr>
              <w:pStyle w:val="NoSpacing"/>
              <w:numPr>
                <w:ilvl w:val="0"/>
                <w:numId w:val="46"/>
              </w:numPr>
              <w:ind w:left="398" w:hanging="398"/>
            </w:pPr>
            <w:r w:rsidRPr="00CA625C">
              <w:t>Urodynamic studies</w:t>
            </w:r>
          </w:p>
          <w:p w:rsidR="001E4C63" w:rsidRPr="00CA625C" w:rsidRDefault="001E4C63" w:rsidP="009768EE">
            <w:pPr>
              <w:pStyle w:val="NoSpacing"/>
              <w:numPr>
                <w:ilvl w:val="0"/>
                <w:numId w:val="46"/>
              </w:numPr>
              <w:ind w:left="398" w:hanging="398"/>
            </w:pPr>
            <w:r w:rsidRPr="00CA625C">
              <w:t>Urological endoscopy</w:t>
            </w:r>
          </w:p>
          <w:p w:rsidR="001E4C63" w:rsidRDefault="001E4C63" w:rsidP="00A360CE">
            <w:pPr>
              <w:pStyle w:val="NoSpacing"/>
              <w:numPr>
                <w:ilvl w:val="0"/>
                <w:numId w:val="49"/>
              </w:numPr>
            </w:pPr>
            <w:r>
              <w:t>c</w:t>
            </w:r>
            <w:r w:rsidRPr="00362365">
              <w:t>ystoscopy</w:t>
            </w:r>
          </w:p>
          <w:p w:rsidR="001E4C63" w:rsidRDefault="001E4C63" w:rsidP="00A360CE">
            <w:pPr>
              <w:pStyle w:val="NoSpacing"/>
              <w:numPr>
                <w:ilvl w:val="0"/>
                <w:numId w:val="49"/>
              </w:numPr>
            </w:pPr>
            <w:r>
              <w:t>endoscopic insertion or removal of ureteric stent</w:t>
            </w:r>
          </w:p>
          <w:p w:rsidR="001E4C63" w:rsidRDefault="001E4C63" w:rsidP="00A360CE">
            <w:pPr>
              <w:pStyle w:val="NoSpacing"/>
              <w:numPr>
                <w:ilvl w:val="0"/>
                <w:numId w:val="49"/>
              </w:numPr>
            </w:pPr>
            <w:r>
              <w:t>retrograde pyeloscopy</w:t>
            </w:r>
          </w:p>
          <w:p w:rsidR="001E4C63" w:rsidRPr="001E4989" w:rsidRDefault="001E4C63" w:rsidP="00A360CE">
            <w:pPr>
              <w:pStyle w:val="NoSpacing"/>
              <w:numPr>
                <w:ilvl w:val="0"/>
                <w:numId w:val="49"/>
              </w:numPr>
            </w:pPr>
            <w:r>
              <w:t>ureteroscopy</w:t>
            </w:r>
          </w:p>
        </w:tc>
      </w:tr>
      <w:tr w:rsidR="001E4C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0" w:type="dxa"/>
          </w:tcPr>
          <w:p w:rsidR="001E4C63" w:rsidRPr="00B24227" w:rsidRDefault="001E4C63" w:rsidP="00B455C5">
            <w:pPr>
              <w:pStyle w:val="NoSpacing"/>
              <w:rPr>
                <w:b w:val="0"/>
              </w:rPr>
            </w:pPr>
            <w:r w:rsidRPr="00B24227">
              <w:rPr>
                <w:b w:val="0"/>
              </w:rPr>
              <w:t>Neoplasm of kidney or urinary tract</w:t>
            </w:r>
            <w:r>
              <w:rPr>
                <w:b w:val="0"/>
              </w:rPr>
              <w:t xml:space="preserve"> </w:t>
            </w:r>
          </w:p>
        </w:tc>
        <w:tc>
          <w:tcPr>
            <w:cnfStyle w:val="000010000000" w:firstRow="0" w:lastRow="0" w:firstColumn="0" w:lastColumn="0" w:oddVBand="1" w:evenVBand="0" w:oddHBand="0" w:evenHBand="0" w:firstRowFirstColumn="0" w:firstRowLastColumn="0" w:lastRowFirstColumn="0" w:lastRowLastColumn="0"/>
            <w:tcW w:w="5041" w:type="dxa"/>
            <w:vMerge/>
          </w:tcPr>
          <w:p w:rsidR="001E4C63" w:rsidRDefault="001E4C63" w:rsidP="00FA383A">
            <w:pPr>
              <w:pStyle w:val="NoSpacing"/>
            </w:pPr>
          </w:p>
        </w:tc>
      </w:tr>
      <w:tr w:rsidR="001E4C63">
        <w:tc>
          <w:tcPr>
            <w:cnfStyle w:val="001000000000" w:firstRow="0" w:lastRow="0" w:firstColumn="1" w:lastColumn="0" w:oddVBand="0" w:evenVBand="0" w:oddHBand="0" w:evenHBand="0" w:firstRowFirstColumn="0" w:firstRowLastColumn="0" w:lastRowFirstColumn="0" w:lastRowLastColumn="0"/>
            <w:tcW w:w="4620" w:type="dxa"/>
          </w:tcPr>
          <w:p w:rsidR="001E4C63" w:rsidRDefault="001E4C63" w:rsidP="009768EE">
            <w:pPr>
              <w:pStyle w:val="NoSpacing"/>
              <w:numPr>
                <w:ilvl w:val="0"/>
                <w:numId w:val="45"/>
              </w:numPr>
              <w:ind w:left="284" w:hanging="284"/>
              <w:rPr>
                <w:b w:val="0"/>
              </w:rPr>
            </w:pPr>
            <w:r w:rsidRPr="00362365">
              <w:rPr>
                <w:b w:val="0"/>
              </w:rPr>
              <w:t>Infection of kidney or urinary tract</w:t>
            </w:r>
            <w:r w:rsidR="00F66F3C">
              <w:rPr>
                <w:b w:val="0"/>
              </w:rPr>
              <w:t xml:space="preserve"> </w:t>
            </w:r>
            <w:r>
              <w:rPr>
                <w:b w:val="0"/>
              </w:rPr>
              <w:t>abscess</w:t>
            </w:r>
          </w:p>
          <w:p w:rsidR="001E4C63" w:rsidRPr="001A5719" w:rsidRDefault="001E4C63" w:rsidP="009768EE">
            <w:pPr>
              <w:pStyle w:val="NoSpacing"/>
              <w:numPr>
                <w:ilvl w:val="0"/>
                <w:numId w:val="45"/>
              </w:numPr>
              <w:ind w:left="284" w:hanging="284"/>
              <w:rPr>
                <w:b w:val="0"/>
              </w:rPr>
            </w:pPr>
            <w:r w:rsidRPr="001A5719">
              <w:rPr>
                <w:b w:val="0"/>
              </w:rPr>
              <w:t>cystitis</w:t>
            </w:r>
          </w:p>
          <w:p w:rsidR="001E4C63" w:rsidRPr="001A5719" w:rsidRDefault="001E4C63" w:rsidP="009768EE">
            <w:pPr>
              <w:pStyle w:val="NoSpacing"/>
              <w:numPr>
                <w:ilvl w:val="0"/>
                <w:numId w:val="45"/>
              </w:numPr>
              <w:ind w:left="284" w:hanging="284"/>
            </w:pPr>
            <w:r w:rsidRPr="001A5719">
              <w:rPr>
                <w:b w:val="0"/>
              </w:rPr>
              <w:t>pyelonephritis</w:t>
            </w:r>
          </w:p>
          <w:p w:rsidR="001E4C63" w:rsidRPr="001A5719" w:rsidRDefault="001E4C63" w:rsidP="009768EE">
            <w:pPr>
              <w:pStyle w:val="NoSpacing"/>
              <w:numPr>
                <w:ilvl w:val="0"/>
                <w:numId w:val="45"/>
              </w:numPr>
              <w:ind w:left="284" w:hanging="284"/>
            </w:pPr>
            <w:r>
              <w:rPr>
                <w:b w:val="0"/>
              </w:rPr>
              <w:t>urinary tract infection</w:t>
            </w:r>
          </w:p>
        </w:tc>
        <w:tc>
          <w:tcPr>
            <w:cnfStyle w:val="000010000000" w:firstRow="0" w:lastRow="0" w:firstColumn="0" w:lastColumn="0" w:oddVBand="1" w:evenVBand="0" w:oddHBand="0" w:evenHBand="0" w:firstRowFirstColumn="0" w:firstRowLastColumn="0" w:lastRowFirstColumn="0" w:lastRowLastColumn="0"/>
            <w:tcW w:w="5041" w:type="dxa"/>
            <w:vMerge/>
          </w:tcPr>
          <w:p w:rsidR="001E4C63" w:rsidRDefault="001E4C63" w:rsidP="00FA383A">
            <w:pPr>
              <w:pStyle w:val="NoSpacing"/>
            </w:pPr>
          </w:p>
        </w:tc>
      </w:tr>
      <w:tr w:rsidR="001E4C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0" w:type="dxa"/>
          </w:tcPr>
          <w:p w:rsidR="001E4C63" w:rsidRPr="00362365" w:rsidRDefault="001E4C63" w:rsidP="00B455C5">
            <w:pPr>
              <w:pStyle w:val="NoSpacing"/>
              <w:rPr>
                <w:b w:val="0"/>
              </w:rPr>
            </w:pPr>
            <w:r w:rsidRPr="00362365">
              <w:rPr>
                <w:b w:val="0"/>
              </w:rPr>
              <w:t>Urinary calculus or obstruction</w:t>
            </w:r>
            <w:r>
              <w:rPr>
                <w:b w:val="0"/>
              </w:rPr>
              <w:t xml:space="preserve"> </w:t>
            </w:r>
          </w:p>
        </w:tc>
        <w:tc>
          <w:tcPr>
            <w:cnfStyle w:val="000010000000" w:firstRow="0" w:lastRow="0" w:firstColumn="0" w:lastColumn="0" w:oddVBand="1" w:evenVBand="0" w:oddHBand="0" w:evenHBand="0" w:firstRowFirstColumn="0" w:firstRowLastColumn="0" w:lastRowFirstColumn="0" w:lastRowLastColumn="0"/>
            <w:tcW w:w="5041" w:type="dxa"/>
            <w:vMerge/>
          </w:tcPr>
          <w:p w:rsidR="001E4C63" w:rsidRDefault="001E4C63" w:rsidP="00FA383A">
            <w:pPr>
              <w:pStyle w:val="NoSpacing"/>
            </w:pPr>
          </w:p>
        </w:tc>
      </w:tr>
      <w:tr w:rsidR="001E4C63">
        <w:tc>
          <w:tcPr>
            <w:cnfStyle w:val="001000000000" w:firstRow="0" w:lastRow="0" w:firstColumn="1" w:lastColumn="0" w:oddVBand="0" w:evenVBand="0" w:oddHBand="0" w:evenHBand="0" w:firstRowFirstColumn="0" w:firstRowLastColumn="0" w:lastRowFirstColumn="0" w:lastRowLastColumn="0"/>
            <w:tcW w:w="4620" w:type="dxa"/>
          </w:tcPr>
          <w:p w:rsidR="001E4C63" w:rsidRPr="00362365" w:rsidRDefault="001E4C63" w:rsidP="00B455C5">
            <w:pPr>
              <w:pStyle w:val="NoSpacing"/>
              <w:rPr>
                <w:b w:val="0"/>
              </w:rPr>
            </w:pPr>
            <w:r w:rsidRPr="00362365">
              <w:rPr>
                <w:b w:val="0"/>
              </w:rPr>
              <w:t xml:space="preserve">Urethral stricture </w:t>
            </w:r>
          </w:p>
        </w:tc>
        <w:tc>
          <w:tcPr>
            <w:cnfStyle w:val="000010000000" w:firstRow="0" w:lastRow="0" w:firstColumn="0" w:lastColumn="0" w:oddVBand="1" w:evenVBand="0" w:oddHBand="0" w:evenHBand="0" w:firstRowFirstColumn="0" w:firstRowLastColumn="0" w:lastRowFirstColumn="0" w:lastRowLastColumn="0"/>
            <w:tcW w:w="5041" w:type="dxa"/>
            <w:vMerge/>
          </w:tcPr>
          <w:p w:rsidR="001E4C63" w:rsidRDefault="001E4C63" w:rsidP="00FA383A">
            <w:pPr>
              <w:pStyle w:val="NoSpacing"/>
            </w:pPr>
          </w:p>
        </w:tc>
      </w:tr>
      <w:tr w:rsidR="001E4C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0" w:type="dxa"/>
          </w:tcPr>
          <w:p w:rsidR="001E4C63" w:rsidRPr="00362365" w:rsidRDefault="001E4C63" w:rsidP="00B455C5">
            <w:pPr>
              <w:pStyle w:val="NoSpacing"/>
              <w:rPr>
                <w:b w:val="0"/>
              </w:rPr>
            </w:pPr>
            <w:r w:rsidRPr="00362365">
              <w:rPr>
                <w:b w:val="0"/>
              </w:rPr>
              <w:t xml:space="preserve">Signs </w:t>
            </w:r>
            <w:r>
              <w:rPr>
                <w:b w:val="0"/>
              </w:rPr>
              <w:t>or</w:t>
            </w:r>
            <w:r w:rsidRPr="00362365">
              <w:rPr>
                <w:b w:val="0"/>
              </w:rPr>
              <w:t xml:space="preserve"> symptoms of</w:t>
            </w:r>
            <w:r>
              <w:rPr>
                <w:b w:val="0"/>
              </w:rPr>
              <w:t xml:space="preserve"> the</w:t>
            </w:r>
            <w:r w:rsidRPr="00362365">
              <w:rPr>
                <w:b w:val="0"/>
              </w:rPr>
              <w:t xml:space="preserve"> urinary tract</w:t>
            </w:r>
          </w:p>
        </w:tc>
        <w:tc>
          <w:tcPr>
            <w:cnfStyle w:val="000010000000" w:firstRow="0" w:lastRow="0" w:firstColumn="0" w:lastColumn="0" w:oddVBand="1" w:evenVBand="0" w:oddHBand="0" w:evenHBand="0" w:firstRowFirstColumn="0" w:firstRowLastColumn="0" w:lastRowFirstColumn="0" w:lastRowLastColumn="0"/>
            <w:tcW w:w="5041" w:type="dxa"/>
            <w:vMerge/>
          </w:tcPr>
          <w:p w:rsidR="001E4C63" w:rsidRDefault="001E4C63" w:rsidP="00FA383A">
            <w:pPr>
              <w:pStyle w:val="NoSpacing"/>
            </w:pPr>
          </w:p>
        </w:tc>
      </w:tr>
      <w:tr w:rsidR="001E4C63">
        <w:tc>
          <w:tcPr>
            <w:cnfStyle w:val="001000000000" w:firstRow="0" w:lastRow="0" w:firstColumn="1" w:lastColumn="0" w:oddVBand="0" w:evenVBand="0" w:oddHBand="0" w:evenHBand="0" w:firstRowFirstColumn="0" w:firstRowLastColumn="0" w:lastRowFirstColumn="0" w:lastRowLastColumn="0"/>
            <w:tcW w:w="4620" w:type="dxa"/>
          </w:tcPr>
          <w:p w:rsidR="001E4C63" w:rsidRPr="00362365" w:rsidRDefault="001E4C63" w:rsidP="00B455C5">
            <w:pPr>
              <w:pStyle w:val="NoSpacing"/>
            </w:pPr>
            <w:r w:rsidRPr="00362365">
              <w:rPr>
                <w:b w:val="0"/>
              </w:rPr>
              <w:t>Other</w:t>
            </w:r>
            <w:r>
              <w:rPr>
                <w:b w:val="0"/>
              </w:rPr>
              <w:t xml:space="preserve"> disorder of the</w:t>
            </w:r>
            <w:r w:rsidRPr="00362365">
              <w:rPr>
                <w:b w:val="0"/>
              </w:rPr>
              <w:t xml:space="preserve"> kidney or urinary tract</w:t>
            </w:r>
            <w:r>
              <w:rPr>
                <w:b w:val="0"/>
              </w:rPr>
              <w:t xml:space="preserve"> </w:t>
            </w:r>
          </w:p>
        </w:tc>
        <w:tc>
          <w:tcPr>
            <w:cnfStyle w:val="000010000000" w:firstRow="0" w:lastRow="0" w:firstColumn="0" w:lastColumn="0" w:oddVBand="1" w:evenVBand="0" w:oddHBand="0" w:evenHBand="0" w:firstRowFirstColumn="0" w:firstRowLastColumn="0" w:lastRowFirstColumn="0" w:lastRowLastColumn="0"/>
            <w:tcW w:w="5041" w:type="dxa"/>
            <w:vMerge/>
          </w:tcPr>
          <w:p w:rsidR="001E4C63" w:rsidRDefault="001E4C63" w:rsidP="00FA383A">
            <w:pPr>
              <w:pStyle w:val="NoSpacing"/>
            </w:pPr>
          </w:p>
        </w:tc>
      </w:tr>
    </w:tbl>
    <w:p w:rsidR="001E4C63" w:rsidRDefault="001E4C63" w:rsidP="001E4C63">
      <w:pPr>
        <w:rPr>
          <w:rFonts w:cs="Arial"/>
          <w:szCs w:val="22"/>
        </w:rPr>
      </w:pPr>
    </w:p>
    <w:tbl>
      <w:tblPr>
        <w:tblStyle w:val="LightList-Accent1"/>
        <w:tblW w:w="0" w:type="auto"/>
        <w:tblLook w:val="00A0" w:firstRow="1" w:lastRow="0" w:firstColumn="1" w:lastColumn="0" w:noHBand="0" w:noVBand="0"/>
        <w:tblCaption w:val="MDC 12 Diseases and disorders of the male reproductive system"/>
        <w:tblDescription w:val="Table of two columns, the first column listing proposed presenting problem/diagnosis-type groupings and the second column listing proposed intervention-type groupings for MDC 12 Diseases and disorders of the male reproductive system."/>
      </w:tblPr>
      <w:tblGrid>
        <w:gridCol w:w="4644"/>
        <w:gridCol w:w="5017"/>
      </w:tblGrid>
      <w:tr w:rsidR="001E4C63" w:rsidTr="00A966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661" w:type="dxa"/>
            <w:gridSpan w:val="2"/>
          </w:tcPr>
          <w:p w:rsidR="001E4C63" w:rsidRPr="008926DA" w:rsidRDefault="001E4C63" w:rsidP="00FA383A">
            <w:pPr>
              <w:pStyle w:val="NoSpacing"/>
              <w:rPr>
                <w:b w:val="0"/>
              </w:rPr>
            </w:pPr>
            <w:r w:rsidRPr="00F44BCE">
              <w:t>MDC 12 Diseases and Disorders of the Male Reproductive System</w:t>
            </w:r>
          </w:p>
        </w:tc>
      </w:tr>
      <w:tr w:rsidR="005F38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5F38D0" w:rsidRPr="005F38D0" w:rsidRDefault="005F38D0" w:rsidP="00344411">
            <w:pPr>
              <w:pStyle w:val="NoSpacing"/>
            </w:pPr>
            <w:r w:rsidRPr="005F38D0">
              <w:t>Proposed presenting problem / diagnosis-type groupings</w:t>
            </w:r>
          </w:p>
        </w:tc>
        <w:tc>
          <w:tcPr>
            <w:cnfStyle w:val="000010000000" w:firstRow="0" w:lastRow="0" w:firstColumn="0" w:lastColumn="0" w:oddVBand="1" w:evenVBand="0" w:oddHBand="0" w:evenHBand="0" w:firstRowFirstColumn="0" w:firstRowLastColumn="0" w:lastRowFirstColumn="0" w:lastRowLastColumn="0"/>
            <w:tcW w:w="5017" w:type="dxa"/>
          </w:tcPr>
          <w:p w:rsidR="005F38D0" w:rsidRPr="005F38D0" w:rsidRDefault="005F38D0" w:rsidP="00344411">
            <w:pPr>
              <w:pStyle w:val="NoSpacing"/>
              <w:rPr>
                <w:b/>
              </w:rPr>
            </w:pPr>
            <w:r w:rsidRPr="005F38D0">
              <w:rPr>
                <w:b/>
              </w:rPr>
              <w:t>Proposed intervention-type groupings</w:t>
            </w:r>
          </w:p>
        </w:tc>
      </w:tr>
      <w:tr w:rsidR="001E4C63">
        <w:tc>
          <w:tcPr>
            <w:cnfStyle w:val="001000000000" w:firstRow="0" w:lastRow="0" w:firstColumn="1" w:lastColumn="0" w:oddVBand="0" w:evenVBand="0" w:oddHBand="0" w:evenHBand="0" w:firstRowFirstColumn="0" w:firstRowLastColumn="0" w:lastRowFirstColumn="0" w:lastRowLastColumn="0"/>
            <w:tcW w:w="4644" w:type="dxa"/>
          </w:tcPr>
          <w:p w:rsidR="001E4C63" w:rsidRDefault="001E4C63" w:rsidP="00FA383A">
            <w:pPr>
              <w:pStyle w:val="NoSpacing"/>
              <w:rPr>
                <w:b w:val="0"/>
              </w:rPr>
            </w:pPr>
            <w:r>
              <w:rPr>
                <w:b w:val="0"/>
              </w:rPr>
              <w:t>N</w:t>
            </w:r>
            <w:r w:rsidRPr="00B70F8A">
              <w:rPr>
                <w:b w:val="0"/>
              </w:rPr>
              <w:t xml:space="preserve">eoplasm of male reproductive system </w:t>
            </w:r>
          </w:p>
          <w:p w:rsidR="001E4C63" w:rsidRPr="00CA625C" w:rsidRDefault="001E4C63" w:rsidP="009768EE">
            <w:pPr>
              <w:pStyle w:val="NoSpacing"/>
              <w:numPr>
                <w:ilvl w:val="0"/>
                <w:numId w:val="50"/>
              </w:numPr>
              <w:ind w:left="284" w:hanging="284"/>
              <w:rPr>
                <w:b w:val="0"/>
              </w:rPr>
            </w:pPr>
            <w:r w:rsidRPr="00CA625C">
              <w:rPr>
                <w:b w:val="0"/>
              </w:rPr>
              <w:t xml:space="preserve">prostate </w:t>
            </w:r>
          </w:p>
        </w:tc>
        <w:tc>
          <w:tcPr>
            <w:cnfStyle w:val="000010000000" w:firstRow="0" w:lastRow="0" w:firstColumn="0" w:lastColumn="0" w:oddVBand="1" w:evenVBand="0" w:oddHBand="0" w:evenHBand="0" w:firstRowFirstColumn="0" w:firstRowLastColumn="0" w:lastRowFirstColumn="0" w:lastRowLastColumn="0"/>
            <w:tcW w:w="5017" w:type="dxa"/>
            <w:vMerge w:val="restart"/>
          </w:tcPr>
          <w:p w:rsidR="001E4C63" w:rsidRPr="00CD7090" w:rsidRDefault="001E4C63" w:rsidP="009768EE">
            <w:pPr>
              <w:pStyle w:val="NoSpacing"/>
              <w:numPr>
                <w:ilvl w:val="0"/>
                <w:numId w:val="52"/>
              </w:numPr>
              <w:ind w:left="222" w:hanging="222"/>
            </w:pPr>
            <w:r>
              <w:t>C</w:t>
            </w:r>
            <w:r w:rsidRPr="00CD7090">
              <w:t>ircumcision</w:t>
            </w:r>
          </w:p>
          <w:p w:rsidR="001E4C63" w:rsidRDefault="001E4C63" w:rsidP="009768EE">
            <w:pPr>
              <w:pStyle w:val="NoSpacing"/>
              <w:numPr>
                <w:ilvl w:val="0"/>
                <w:numId w:val="52"/>
              </w:numPr>
              <w:ind w:left="222" w:hanging="222"/>
            </w:pPr>
            <w:r>
              <w:t>V</w:t>
            </w:r>
            <w:r w:rsidRPr="00CD7090">
              <w:t>asectomy</w:t>
            </w:r>
          </w:p>
          <w:p w:rsidR="001E4C63" w:rsidRPr="00CD7090" w:rsidRDefault="001E4C63" w:rsidP="009768EE">
            <w:pPr>
              <w:pStyle w:val="NoSpacing"/>
              <w:numPr>
                <w:ilvl w:val="0"/>
                <w:numId w:val="52"/>
              </w:numPr>
              <w:ind w:left="222" w:hanging="222"/>
            </w:pPr>
            <w:r>
              <w:lastRenderedPageBreak/>
              <w:t>Trans-urethral ultrasound, prostate</w:t>
            </w:r>
          </w:p>
        </w:tc>
      </w:tr>
      <w:tr w:rsidR="001E4C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1E4C63" w:rsidRDefault="001E4C63" w:rsidP="00FA383A">
            <w:pPr>
              <w:pStyle w:val="NoSpacing"/>
              <w:rPr>
                <w:b w:val="0"/>
              </w:rPr>
            </w:pPr>
            <w:r w:rsidRPr="00EB5C92">
              <w:rPr>
                <w:b w:val="0"/>
              </w:rPr>
              <w:t xml:space="preserve">Other disorders of prostate </w:t>
            </w:r>
          </w:p>
          <w:p w:rsidR="001E4C63" w:rsidRPr="00CA625C" w:rsidRDefault="001E4C63" w:rsidP="009768EE">
            <w:pPr>
              <w:pStyle w:val="NoSpacing"/>
              <w:numPr>
                <w:ilvl w:val="0"/>
                <w:numId w:val="50"/>
              </w:numPr>
              <w:ind w:left="284" w:hanging="284"/>
              <w:rPr>
                <w:b w:val="0"/>
              </w:rPr>
            </w:pPr>
            <w:r w:rsidRPr="00CA625C">
              <w:rPr>
                <w:b w:val="0"/>
              </w:rPr>
              <w:lastRenderedPageBreak/>
              <w:t>benign prostatic hypertrophy</w:t>
            </w:r>
          </w:p>
        </w:tc>
        <w:tc>
          <w:tcPr>
            <w:cnfStyle w:val="000010000000" w:firstRow="0" w:lastRow="0" w:firstColumn="0" w:lastColumn="0" w:oddVBand="1" w:evenVBand="0" w:oddHBand="0" w:evenHBand="0" w:firstRowFirstColumn="0" w:firstRowLastColumn="0" w:lastRowFirstColumn="0" w:lastRowLastColumn="0"/>
            <w:tcW w:w="5017" w:type="dxa"/>
            <w:vMerge/>
          </w:tcPr>
          <w:p w:rsidR="001E4C63" w:rsidRDefault="001E4C63" w:rsidP="00FA383A">
            <w:pPr>
              <w:pStyle w:val="NoSpacing"/>
            </w:pPr>
          </w:p>
        </w:tc>
      </w:tr>
      <w:tr w:rsidR="001E4C63">
        <w:tc>
          <w:tcPr>
            <w:cnfStyle w:val="001000000000" w:firstRow="0" w:lastRow="0" w:firstColumn="1" w:lastColumn="0" w:oddVBand="0" w:evenVBand="0" w:oddHBand="0" w:evenHBand="0" w:firstRowFirstColumn="0" w:firstRowLastColumn="0" w:lastRowFirstColumn="0" w:lastRowLastColumn="0"/>
            <w:tcW w:w="4644" w:type="dxa"/>
          </w:tcPr>
          <w:p w:rsidR="001E4C63" w:rsidRPr="00B70F8A" w:rsidRDefault="001E4C63" w:rsidP="00B455C5">
            <w:pPr>
              <w:pStyle w:val="NoSpacing"/>
              <w:rPr>
                <w:b w:val="0"/>
              </w:rPr>
            </w:pPr>
            <w:r>
              <w:rPr>
                <w:b w:val="0"/>
              </w:rPr>
              <w:lastRenderedPageBreak/>
              <w:t>Infection or i</w:t>
            </w:r>
            <w:r w:rsidRPr="00B70F8A">
              <w:rPr>
                <w:b w:val="0"/>
              </w:rPr>
              <w:t xml:space="preserve">nflammation of male reproductive system </w:t>
            </w:r>
          </w:p>
        </w:tc>
        <w:tc>
          <w:tcPr>
            <w:cnfStyle w:val="000010000000" w:firstRow="0" w:lastRow="0" w:firstColumn="0" w:lastColumn="0" w:oddVBand="1" w:evenVBand="0" w:oddHBand="0" w:evenHBand="0" w:firstRowFirstColumn="0" w:firstRowLastColumn="0" w:lastRowFirstColumn="0" w:lastRowLastColumn="0"/>
            <w:tcW w:w="5017" w:type="dxa"/>
            <w:vMerge/>
          </w:tcPr>
          <w:p w:rsidR="001E4C63" w:rsidRDefault="001E4C63" w:rsidP="00FA383A">
            <w:pPr>
              <w:pStyle w:val="NoSpacing"/>
            </w:pPr>
          </w:p>
        </w:tc>
      </w:tr>
      <w:tr w:rsidR="001E4C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1E4C63" w:rsidRPr="00B70F8A" w:rsidRDefault="001E4C63" w:rsidP="00B455C5">
            <w:pPr>
              <w:pStyle w:val="NoSpacing"/>
              <w:rPr>
                <w:b w:val="0"/>
              </w:rPr>
            </w:pPr>
            <w:r w:rsidRPr="00B70F8A">
              <w:rPr>
                <w:b w:val="0"/>
              </w:rPr>
              <w:t xml:space="preserve">Male </w:t>
            </w:r>
            <w:r>
              <w:rPr>
                <w:b w:val="0"/>
              </w:rPr>
              <w:t xml:space="preserve">reproductive management (sterilisation) </w:t>
            </w:r>
          </w:p>
        </w:tc>
        <w:tc>
          <w:tcPr>
            <w:cnfStyle w:val="000010000000" w:firstRow="0" w:lastRow="0" w:firstColumn="0" w:lastColumn="0" w:oddVBand="1" w:evenVBand="0" w:oddHBand="0" w:evenHBand="0" w:firstRowFirstColumn="0" w:firstRowLastColumn="0" w:lastRowFirstColumn="0" w:lastRowLastColumn="0"/>
            <w:tcW w:w="5017" w:type="dxa"/>
            <w:vMerge/>
          </w:tcPr>
          <w:p w:rsidR="001E4C63" w:rsidRDefault="001E4C63" w:rsidP="00FA383A">
            <w:pPr>
              <w:pStyle w:val="NoSpacing"/>
            </w:pPr>
          </w:p>
        </w:tc>
      </w:tr>
      <w:tr w:rsidR="001E4C63">
        <w:tc>
          <w:tcPr>
            <w:cnfStyle w:val="001000000000" w:firstRow="0" w:lastRow="0" w:firstColumn="1" w:lastColumn="0" w:oddVBand="0" w:evenVBand="0" w:oddHBand="0" w:evenHBand="0" w:firstRowFirstColumn="0" w:firstRowLastColumn="0" w:lastRowFirstColumn="0" w:lastRowLastColumn="0"/>
            <w:tcW w:w="4644" w:type="dxa"/>
          </w:tcPr>
          <w:p w:rsidR="001E4C63" w:rsidRPr="00B70F8A" w:rsidRDefault="001E4C63" w:rsidP="00B455C5">
            <w:pPr>
              <w:pStyle w:val="NoSpacing"/>
              <w:rPr>
                <w:b w:val="0"/>
              </w:rPr>
            </w:pPr>
            <w:r>
              <w:rPr>
                <w:b w:val="0"/>
              </w:rPr>
              <w:t xml:space="preserve">Signs or symptoms of the male reproductive system </w:t>
            </w:r>
          </w:p>
        </w:tc>
        <w:tc>
          <w:tcPr>
            <w:cnfStyle w:val="000010000000" w:firstRow="0" w:lastRow="0" w:firstColumn="0" w:lastColumn="0" w:oddVBand="1" w:evenVBand="0" w:oddHBand="0" w:evenHBand="0" w:firstRowFirstColumn="0" w:firstRowLastColumn="0" w:lastRowFirstColumn="0" w:lastRowLastColumn="0"/>
            <w:tcW w:w="5017" w:type="dxa"/>
            <w:vMerge/>
          </w:tcPr>
          <w:p w:rsidR="001E4C63" w:rsidRDefault="001E4C63" w:rsidP="00FA383A">
            <w:pPr>
              <w:pStyle w:val="NoSpacing"/>
            </w:pPr>
          </w:p>
        </w:tc>
      </w:tr>
      <w:tr w:rsidR="001E4C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1E4C63" w:rsidRPr="00B70F8A" w:rsidRDefault="001E4C63" w:rsidP="00FA383A">
            <w:pPr>
              <w:pStyle w:val="NoSpacing"/>
              <w:rPr>
                <w:bCs w:val="0"/>
              </w:rPr>
            </w:pPr>
            <w:r w:rsidRPr="00B70F8A">
              <w:rPr>
                <w:b w:val="0"/>
              </w:rPr>
              <w:t>Other disorder of</w:t>
            </w:r>
            <w:r>
              <w:rPr>
                <w:b w:val="0"/>
              </w:rPr>
              <w:t xml:space="preserve"> the</w:t>
            </w:r>
            <w:r w:rsidRPr="00B70F8A">
              <w:rPr>
                <w:b w:val="0"/>
              </w:rPr>
              <w:t xml:space="preserve"> male reproductive system</w:t>
            </w:r>
            <w:r>
              <w:rPr>
                <w:b w:val="0"/>
              </w:rPr>
              <w:t xml:space="preserve"> </w:t>
            </w:r>
          </w:p>
          <w:p w:rsidR="001E4C63" w:rsidRPr="00D21282" w:rsidRDefault="001E4C63" w:rsidP="009768EE">
            <w:pPr>
              <w:pStyle w:val="NoSpacing"/>
              <w:numPr>
                <w:ilvl w:val="0"/>
                <w:numId w:val="51"/>
              </w:numPr>
              <w:ind w:left="284" w:hanging="284"/>
              <w:rPr>
                <w:b w:val="0"/>
                <w:bCs w:val="0"/>
              </w:rPr>
            </w:pPr>
            <w:r w:rsidRPr="00D21282">
              <w:rPr>
                <w:b w:val="0"/>
              </w:rPr>
              <w:t>benign neoplasm of male reproductive system</w:t>
            </w:r>
          </w:p>
          <w:p w:rsidR="001E4C63" w:rsidRPr="00D21282" w:rsidRDefault="001E4C63" w:rsidP="009768EE">
            <w:pPr>
              <w:pStyle w:val="NoSpacing"/>
              <w:numPr>
                <w:ilvl w:val="0"/>
                <w:numId w:val="51"/>
              </w:numPr>
              <w:ind w:left="284" w:hanging="284"/>
              <w:rPr>
                <w:b w:val="0"/>
                <w:bCs w:val="0"/>
              </w:rPr>
            </w:pPr>
            <w:r w:rsidRPr="00D21282">
              <w:rPr>
                <w:b w:val="0"/>
              </w:rPr>
              <w:t>male infertility</w:t>
            </w:r>
          </w:p>
          <w:p w:rsidR="001E4C63" w:rsidRPr="00D21282" w:rsidRDefault="001E4C63" w:rsidP="009768EE">
            <w:pPr>
              <w:pStyle w:val="NoSpacing"/>
              <w:numPr>
                <w:ilvl w:val="0"/>
                <w:numId w:val="51"/>
              </w:numPr>
              <w:ind w:left="284" w:hanging="284"/>
              <w:rPr>
                <w:bCs w:val="0"/>
              </w:rPr>
            </w:pPr>
            <w:r w:rsidRPr="00D21282">
              <w:rPr>
                <w:b w:val="0"/>
              </w:rPr>
              <w:t>undescended testis</w:t>
            </w:r>
          </w:p>
        </w:tc>
        <w:tc>
          <w:tcPr>
            <w:cnfStyle w:val="000010000000" w:firstRow="0" w:lastRow="0" w:firstColumn="0" w:lastColumn="0" w:oddVBand="1" w:evenVBand="0" w:oddHBand="0" w:evenHBand="0" w:firstRowFirstColumn="0" w:firstRowLastColumn="0" w:lastRowFirstColumn="0" w:lastRowLastColumn="0"/>
            <w:tcW w:w="5017" w:type="dxa"/>
            <w:vMerge/>
          </w:tcPr>
          <w:p w:rsidR="001E4C63" w:rsidRDefault="001E4C63" w:rsidP="00FA383A">
            <w:pPr>
              <w:pStyle w:val="NoSpacing"/>
            </w:pPr>
          </w:p>
        </w:tc>
      </w:tr>
    </w:tbl>
    <w:p w:rsidR="001E4C63" w:rsidRDefault="001E4C63" w:rsidP="001E4C63">
      <w:pPr>
        <w:rPr>
          <w:rFonts w:cs="Arial"/>
          <w:szCs w:val="22"/>
        </w:rPr>
      </w:pPr>
    </w:p>
    <w:tbl>
      <w:tblPr>
        <w:tblStyle w:val="LightList-Accent1"/>
        <w:tblW w:w="0" w:type="auto"/>
        <w:tblLook w:val="00A0" w:firstRow="1" w:lastRow="0" w:firstColumn="1" w:lastColumn="0" w:noHBand="0" w:noVBand="0"/>
        <w:tblCaption w:val="MDC 13 Diseases and disorders of the female reproductive system"/>
        <w:tblDescription w:val="Table of two columns, the first column listing proposed presenting problem/diagnosis-type groupings and the second column listing proposed intervention-type groupings for MDC 13 Diseases and disorders of the female reproductive system."/>
      </w:tblPr>
      <w:tblGrid>
        <w:gridCol w:w="4801"/>
        <w:gridCol w:w="4860"/>
      </w:tblGrid>
      <w:tr w:rsidR="001E4C6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661" w:type="dxa"/>
            <w:gridSpan w:val="2"/>
          </w:tcPr>
          <w:p w:rsidR="001E4C63" w:rsidRPr="008926DA" w:rsidRDefault="001E4C63" w:rsidP="00FA383A">
            <w:pPr>
              <w:pStyle w:val="NoSpacing"/>
              <w:rPr>
                <w:b w:val="0"/>
              </w:rPr>
            </w:pPr>
            <w:r w:rsidRPr="00514414">
              <w:t>MDC 13 Diseases and Disorders of the Female Reproductive System</w:t>
            </w:r>
          </w:p>
        </w:tc>
      </w:tr>
      <w:tr w:rsidR="005F38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01" w:type="dxa"/>
          </w:tcPr>
          <w:p w:rsidR="005F38D0" w:rsidRPr="005F38D0" w:rsidRDefault="005F38D0" w:rsidP="00344411">
            <w:pPr>
              <w:pStyle w:val="NoSpacing"/>
            </w:pPr>
            <w:r w:rsidRPr="005F38D0">
              <w:t>Proposed presenting problem / diagnosis-type groupings</w:t>
            </w:r>
          </w:p>
        </w:tc>
        <w:tc>
          <w:tcPr>
            <w:cnfStyle w:val="000010000000" w:firstRow="0" w:lastRow="0" w:firstColumn="0" w:lastColumn="0" w:oddVBand="1" w:evenVBand="0" w:oddHBand="0" w:evenHBand="0" w:firstRowFirstColumn="0" w:firstRowLastColumn="0" w:lastRowFirstColumn="0" w:lastRowLastColumn="0"/>
            <w:tcW w:w="4860" w:type="dxa"/>
          </w:tcPr>
          <w:p w:rsidR="005F38D0" w:rsidRPr="005F38D0" w:rsidRDefault="005F38D0" w:rsidP="00344411">
            <w:pPr>
              <w:pStyle w:val="NoSpacing"/>
              <w:rPr>
                <w:b/>
              </w:rPr>
            </w:pPr>
            <w:r w:rsidRPr="005F38D0">
              <w:rPr>
                <w:b/>
              </w:rPr>
              <w:t>Proposed intervention-type groupings</w:t>
            </w:r>
          </w:p>
        </w:tc>
      </w:tr>
      <w:tr w:rsidR="001E4C63">
        <w:tc>
          <w:tcPr>
            <w:cnfStyle w:val="001000000000" w:firstRow="0" w:lastRow="0" w:firstColumn="1" w:lastColumn="0" w:oddVBand="0" w:evenVBand="0" w:oddHBand="0" w:evenHBand="0" w:firstRowFirstColumn="0" w:firstRowLastColumn="0" w:lastRowFirstColumn="0" w:lastRowLastColumn="0"/>
            <w:tcW w:w="4801" w:type="dxa"/>
          </w:tcPr>
          <w:p w:rsidR="001E4C63" w:rsidRPr="006A7EC4" w:rsidRDefault="001E4C63" w:rsidP="00B455C5">
            <w:pPr>
              <w:pStyle w:val="NoSpacing"/>
              <w:rPr>
                <w:b w:val="0"/>
              </w:rPr>
            </w:pPr>
            <w:r>
              <w:rPr>
                <w:b w:val="0"/>
              </w:rPr>
              <w:t xml:space="preserve">Neoplasm of </w:t>
            </w:r>
            <w:r w:rsidRPr="006A7EC4">
              <w:rPr>
                <w:b w:val="0"/>
              </w:rPr>
              <w:t xml:space="preserve">female reproductive system </w:t>
            </w:r>
          </w:p>
        </w:tc>
        <w:tc>
          <w:tcPr>
            <w:cnfStyle w:val="000010000000" w:firstRow="0" w:lastRow="0" w:firstColumn="0" w:lastColumn="0" w:oddVBand="1" w:evenVBand="0" w:oddHBand="0" w:evenHBand="0" w:firstRowFirstColumn="0" w:firstRowLastColumn="0" w:lastRowFirstColumn="0" w:lastRowLastColumn="0"/>
            <w:tcW w:w="4860" w:type="dxa"/>
            <w:vMerge w:val="restart"/>
          </w:tcPr>
          <w:p w:rsidR="001E4C63" w:rsidRDefault="001E4C63" w:rsidP="009768EE">
            <w:pPr>
              <w:pStyle w:val="NoSpacing"/>
              <w:numPr>
                <w:ilvl w:val="0"/>
                <w:numId w:val="55"/>
              </w:numPr>
              <w:ind w:left="302" w:hanging="302"/>
            </w:pPr>
            <w:r w:rsidRPr="009B1A09">
              <w:t>Destruction procedures on cervix</w:t>
            </w:r>
          </w:p>
          <w:p w:rsidR="001E4C63" w:rsidRPr="009B1A09" w:rsidRDefault="001E4C63" w:rsidP="009768EE">
            <w:pPr>
              <w:pStyle w:val="NoSpacing"/>
              <w:numPr>
                <w:ilvl w:val="0"/>
                <w:numId w:val="56"/>
              </w:numPr>
              <w:ind w:left="728" w:hanging="426"/>
            </w:pPr>
            <w:r>
              <w:t>c</w:t>
            </w:r>
            <w:r w:rsidRPr="009B1A09">
              <w:t>autery</w:t>
            </w:r>
          </w:p>
          <w:p w:rsidR="001E4C63" w:rsidRPr="009B1A09" w:rsidRDefault="001E4C63" w:rsidP="009768EE">
            <w:pPr>
              <w:pStyle w:val="NoSpacing"/>
              <w:numPr>
                <w:ilvl w:val="0"/>
                <w:numId w:val="56"/>
              </w:numPr>
              <w:ind w:left="728" w:hanging="426"/>
            </w:pPr>
            <w:r>
              <w:t>d</w:t>
            </w:r>
            <w:r w:rsidRPr="009B1A09">
              <w:t>iathermy</w:t>
            </w:r>
          </w:p>
          <w:p w:rsidR="001E4C63" w:rsidRDefault="001E4C63" w:rsidP="009768EE">
            <w:pPr>
              <w:pStyle w:val="NoSpacing"/>
              <w:numPr>
                <w:ilvl w:val="0"/>
                <w:numId w:val="56"/>
              </w:numPr>
              <w:ind w:left="728" w:hanging="426"/>
            </w:pPr>
            <w:r>
              <w:t>l</w:t>
            </w:r>
            <w:r w:rsidRPr="009B1A09">
              <w:t>arge loop excision of transformation zone (LLETZ)</w:t>
            </w:r>
          </w:p>
          <w:p w:rsidR="001E4C63" w:rsidRDefault="001E4C63" w:rsidP="009768EE">
            <w:pPr>
              <w:pStyle w:val="NoSpacing"/>
              <w:numPr>
                <w:ilvl w:val="0"/>
                <w:numId w:val="56"/>
              </w:numPr>
              <w:ind w:left="728" w:hanging="426"/>
            </w:pPr>
            <w:r w:rsidRPr="002947A9">
              <w:t xml:space="preserve">laser </w:t>
            </w:r>
          </w:p>
          <w:p w:rsidR="001E4C63" w:rsidRPr="002947A9" w:rsidRDefault="001E4C63" w:rsidP="009768EE">
            <w:pPr>
              <w:pStyle w:val="NoSpacing"/>
              <w:numPr>
                <w:ilvl w:val="0"/>
                <w:numId w:val="55"/>
              </w:numPr>
              <w:ind w:left="302" w:hanging="302"/>
            </w:pPr>
            <w:r w:rsidRPr="002947A9">
              <w:t xml:space="preserve">Dilatation and curettage (D&amp;C) </w:t>
            </w:r>
          </w:p>
          <w:p w:rsidR="001E4C63" w:rsidRDefault="001E4C63" w:rsidP="009768EE">
            <w:pPr>
              <w:pStyle w:val="NoSpacing"/>
              <w:numPr>
                <w:ilvl w:val="0"/>
                <w:numId w:val="55"/>
              </w:numPr>
              <w:ind w:left="302" w:hanging="302"/>
            </w:pPr>
            <w:r>
              <w:t>Gynaecological endoscopy</w:t>
            </w:r>
          </w:p>
          <w:p w:rsidR="001E4C63" w:rsidRPr="00C133C4" w:rsidRDefault="001E4C63" w:rsidP="00A360CE">
            <w:pPr>
              <w:pStyle w:val="NoSpacing"/>
              <w:numPr>
                <w:ilvl w:val="0"/>
                <w:numId w:val="57"/>
              </w:numPr>
            </w:pPr>
            <w:r>
              <w:t>h</w:t>
            </w:r>
            <w:r w:rsidRPr="00C133C4">
              <w:t>ysteroscopy</w:t>
            </w:r>
          </w:p>
          <w:p w:rsidR="001E4C63" w:rsidRPr="00C133C4" w:rsidRDefault="001E4C63" w:rsidP="00A360CE">
            <w:pPr>
              <w:pStyle w:val="NoSpacing"/>
              <w:numPr>
                <w:ilvl w:val="0"/>
                <w:numId w:val="57"/>
              </w:numPr>
            </w:pPr>
            <w:r w:rsidRPr="00C133C4">
              <w:t>colposcopy</w:t>
            </w:r>
          </w:p>
          <w:p w:rsidR="001E4C63" w:rsidRPr="00C510D7" w:rsidRDefault="001E4C63" w:rsidP="009768EE">
            <w:pPr>
              <w:pStyle w:val="NoSpacing"/>
              <w:numPr>
                <w:ilvl w:val="0"/>
                <w:numId w:val="55"/>
              </w:numPr>
              <w:ind w:left="302" w:hanging="302"/>
            </w:pPr>
            <w:r w:rsidRPr="00C510D7">
              <w:t>Procedures for assisted reproduction</w:t>
            </w:r>
          </w:p>
          <w:p w:rsidR="001E4C63" w:rsidRPr="00F452F8" w:rsidRDefault="001E4C63" w:rsidP="009768EE">
            <w:pPr>
              <w:pStyle w:val="NoSpacing"/>
              <w:numPr>
                <w:ilvl w:val="0"/>
                <w:numId w:val="55"/>
              </w:numPr>
              <w:ind w:left="302" w:hanging="302"/>
            </w:pPr>
            <w:r w:rsidRPr="00C510D7">
              <w:t>Procedures for contraception</w:t>
            </w:r>
          </w:p>
        </w:tc>
      </w:tr>
      <w:tr w:rsidR="001E4C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01" w:type="dxa"/>
          </w:tcPr>
          <w:p w:rsidR="001E4C63" w:rsidRDefault="001E4C63" w:rsidP="00FA383A">
            <w:pPr>
              <w:pStyle w:val="NoSpacing"/>
              <w:rPr>
                <w:b w:val="0"/>
              </w:rPr>
            </w:pPr>
            <w:r w:rsidRPr="006A7EC4">
              <w:rPr>
                <w:b w:val="0"/>
              </w:rPr>
              <w:t xml:space="preserve">Infection of female reproductive system </w:t>
            </w:r>
          </w:p>
          <w:p w:rsidR="001E4C63" w:rsidRPr="00C133C4" w:rsidRDefault="001E4C63" w:rsidP="009768EE">
            <w:pPr>
              <w:pStyle w:val="NoSpacing"/>
              <w:numPr>
                <w:ilvl w:val="0"/>
                <w:numId w:val="53"/>
              </w:numPr>
              <w:ind w:left="284" w:hanging="284"/>
              <w:rPr>
                <w:b w:val="0"/>
              </w:rPr>
            </w:pPr>
            <w:r w:rsidRPr="00C133C4">
              <w:rPr>
                <w:b w:val="0"/>
              </w:rPr>
              <w:t>pelvic inflammatory disease</w:t>
            </w:r>
          </w:p>
        </w:tc>
        <w:tc>
          <w:tcPr>
            <w:cnfStyle w:val="000010000000" w:firstRow="0" w:lastRow="0" w:firstColumn="0" w:lastColumn="0" w:oddVBand="1" w:evenVBand="0" w:oddHBand="0" w:evenHBand="0" w:firstRowFirstColumn="0" w:firstRowLastColumn="0" w:lastRowFirstColumn="0" w:lastRowLastColumn="0"/>
            <w:tcW w:w="4860" w:type="dxa"/>
            <w:vMerge/>
          </w:tcPr>
          <w:p w:rsidR="001E4C63" w:rsidRDefault="001E4C63" w:rsidP="00FA383A">
            <w:pPr>
              <w:pStyle w:val="NoSpacing"/>
            </w:pPr>
          </w:p>
        </w:tc>
      </w:tr>
      <w:tr w:rsidR="001E4C63">
        <w:tc>
          <w:tcPr>
            <w:cnfStyle w:val="001000000000" w:firstRow="0" w:lastRow="0" w:firstColumn="1" w:lastColumn="0" w:oddVBand="0" w:evenVBand="0" w:oddHBand="0" w:evenHBand="0" w:firstRowFirstColumn="0" w:firstRowLastColumn="0" w:lastRowFirstColumn="0" w:lastRowLastColumn="0"/>
            <w:tcW w:w="4801" w:type="dxa"/>
          </w:tcPr>
          <w:p w:rsidR="001E4C63" w:rsidRPr="006A7EC4" w:rsidRDefault="001E4C63" w:rsidP="00FA383A">
            <w:pPr>
              <w:pStyle w:val="NoSpacing"/>
              <w:rPr>
                <w:bCs w:val="0"/>
              </w:rPr>
            </w:pPr>
            <w:r w:rsidRPr="006A7EC4">
              <w:rPr>
                <w:b w:val="0"/>
              </w:rPr>
              <w:t xml:space="preserve">Menstrual or other female reproductive system disorder </w:t>
            </w:r>
          </w:p>
          <w:p w:rsidR="001E4C63" w:rsidRPr="00F611BB" w:rsidRDefault="001E4C63" w:rsidP="009768EE">
            <w:pPr>
              <w:pStyle w:val="NoSpacing"/>
              <w:numPr>
                <w:ilvl w:val="0"/>
                <w:numId w:val="54"/>
              </w:numPr>
              <w:ind w:left="284" w:hanging="284"/>
              <w:rPr>
                <w:bCs w:val="0"/>
              </w:rPr>
            </w:pPr>
            <w:r w:rsidRPr="00F611BB">
              <w:rPr>
                <w:b w:val="0"/>
              </w:rPr>
              <w:t>endometriosis</w:t>
            </w:r>
          </w:p>
          <w:p w:rsidR="001E4C63" w:rsidRPr="00B8043F" w:rsidRDefault="001E4C63" w:rsidP="009768EE">
            <w:pPr>
              <w:pStyle w:val="NoSpacing"/>
              <w:numPr>
                <w:ilvl w:val="0"/>
                <w:numId w:val="54"/>
              </w:numPr>
              <w:ind w:left="284" w:hanging="284"/>
              <w:rPr>
                <w:bCs w:val="0"/>
              </w:rPr>
            </w:pPr>
            <w:r w:rsidRPr="00B8043F">
              <w:rPr>
                <w:b w:val="0"/>
              </w:rPr>
              <w:t>benign neoplasm of female reproductive system</w:t>
            </w:r>
            <w:r>
              <w:rPr>
                <w:b w:val="0"/>
              </w:rPr>
              <w:t xml:space="preserve"> (polyps)</w:t>
            </w:r>
          </w:p>
          <w:p w:rsidR="001E4C63" w:rsidRPr="00C510D7" w:rsidRDefault="001E4C63" w:rsidP="009768EE">
            <w:pPr>
              <w:pStyle w:val="NoSpacing"/>
              <w:numPr>
                <w:ilvl w:val="0"/>
                <w:numId w:val="54"/>
              </w:numPr>
              <w:ind w:left="284" w:hanging="284"/>
              <w:rPr>
                <w:bCs w:val="0"/>
              </w:rPr>
            </w:pPr>
            <w:r w:rsidRPr="00C510D7">
              <w:rPr>
                <w:b w:val="0"/>
              </w:rPr>
              <w:t>female infertility</w:t>
            </w:r>
          </w:p>
          <w:p w:rsidR="001E4C63" w:rsidRPr="00013B1A" w:rsidRDefault="001E4C63" w:rsidP="009768EE">
            <w:pPr>
              <w:pStyle w:val="NoSpacing"/>
              <w:numPr>
                <w:ilvl w:val="0"/>
                <w:numId w:val="54"/>
              </w:numPr>
              <w:ind w:left="284" w:hanging="284"/>
            </w:pPr>
            <w:r>
              <w:rPr>
                <w:b w:val="0"/>
                <w:bCs w:val="0"/>
              </w:rPr>
              <w:t>female reproductive management</w:t>
            </w:r>
          </w:p>
          <w:p w:rsidR="001E4C63" w:rsidRPr="00013B1A" w:rsidRDefault="001E4C63" w:rsidP="009768EE">
            <w:pPr>
              <w:pStyle w:val="NoSpacing"/>
              <w:numPr>
                <w:ilvl w:val="0"/>
                <w:numId w:val="54"/>
              </w:numPr>
              <w:ind w:left="284" w:hanging="284"/>
              <w:rPr>
                <w:b w:val="0"/>
              </w:rPr>
            </w:pPr>
            <w:r w:rsidRPr="00013B1A">
              <w:rPr>
                <w:b w:val="0"/>
              </w:rPr>
              <w:t>menstrual disorders</w:t>
            </w:r>
          </w:p>
        </w:tc>
        <w:tc>
          <w:tcPr>
            <w:cnfStyle w:val="000010000000" w:firstRow="0" w:lastRow="0" w:firstColumn="0" w:lastColumn="0" w:oddVBand="1" w:evenVBand="0" w:oddHBand="0" w:evenHBand="0" w:firstRowFirstColumn="0" w:firstRowLastColumn="0" w:lastRowFirstColumn="0" w:lastRowLastColumn="0"/>
            <w:tcW w:w="4860" w:type="dxa"/>
            <w:vMerge/>
          </w:tcPr>
          <w:p w:rsidR="001E4C63" w:rsidRDefault="001E4C63" w:rsidP="00FA383A">
            <w:pPr>
              <w:pStyle w:val="NoSpacing"/>
            </w:pPr>
          </w:p>
        </w:tc>
      </w:tr>
      <w:tr w:rsidR="001E4C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01" w:type="dxa"/>
          </w:tcPr>
          <w:p w:rsidR="001E4C63" w:rsidRPr="00013B1A" w:rsidRDefault="001E4C63" w:rsidP="00B455C5">
            <w:pPr>
              <w:pStyle w:val="NoSpacing"/>
            </w:pPr>
            <w:r>
              <w:rPr>
                <w:b w:val="0"/>
              </w:rPr>
              <w:t xml:space="preserve">Signs or symptoms of the female reproductive system  </w:t>
            </w:r>
          </w:p>
        </w:tc>
        <w:tc>
          <w:tcPr>
            <w:cnfStyle w:val="000010000000" w:firstRow="0" w:lastRow="0" w:firstColumn="0" w:lastColumn="0" w:oddVBand="1" w:evenVBand="0" w:oddHBand="0" w:evenHBand="0" w:firstRowFirstColumn="0" w:firstRowLastColumn="0" w:lastRowFirstColumn="0" w:lastRowLastColumn="0"/>
            <w:tcW w:w="4860" w:type="dxa"/>
            <w:vMerge/>
          </w:tcPr>
          <w:p w:rsidR="001E4C63" w:rsidRDefault="001E4C63" w:rsidP="00FA383A">
            <w:pPr>
              <w:pStyle w:val="NoSpacing"/>
            </w:pPr>
          </w:p>
        </w:tc>
      </w:tr>
      <w:tr w:rsidR="001E4C63">
        <w:tc>
          <w:tcPr>
            <w:cnfStyle w:val="001000000000" w:firstRow="0" w:lastRow="0" w:firstColumn="1" w:lastColumn="0" w:oddVBand="0" w:evenVBand="0" w:oddHBand="0" w:evenHBand="0" w:firstRowFirstColumn="0" w:firstRowLastColumn="0" w:lastRowFirstColumn="0" w:lastRowLastColumn="0"/>
            <w:tcW w:w="4801" w:type="dxa"/>
          </w:tcPr>
          <w:p w:rsidR="001E4C63" w:rsidRDefault="001E4C63" w:rsidP="00FA383A">
            <w:pPr>
              <w:pStyle w:val="NoSpacing"/>
              <w:rPr>
                <w:b w:val="0"/>
              </w:rPr>
            </w:pPr>
            <w:r w:rsidRPr="00B70F8A">
              <w:rPr>
                <w:b w:val="0"/>
              </w:rPr>
              <w:t xml:space="preserve">Other disorder of </w:t>
            </w:r>
            <w:r>
              <w:rPr>
                <w:b w:val="0"/>
              </w:rPr>
              <w:t>fe</w:t>
            </w:r>
            <w:r w:rsidRPr="00B70F8A">
              <w:rPr>
                <w:b w:val="0"/>
              </w:rPr>
              <w:t>male reproductive system</w:t>
            </w:r>
          </w:p>
        </w:tc>
        <w:tc>
          <w:tcPr>
            <w:cnfStyle w:val="000010000000" w:firstRow="0" w:lastRow="0" w:firstColumn="0" w:lastColumn="0" w:oddVBand="1" w:evenVBand="0" w:oddHBand="0" w:evenHBand="0" w:firstRowFirstColumn="0" w:firstRowLastColumn="0" w:lastRowFirstColumn="0" w:lastRowLastColumn="0"/>
            <w:tcW w:w="4860" w:type="dxa"/>
            <w:vMerge/>
          </w:tcPr>
          <w:p w:rsidR="001E4C63" w:rsidRDefault="001E4C63" w:rsidP="00FA383A">
            <w:pPr>
              <w:pStyle w:val="NoSpacing"/>
            </w:pPr>
          </w:p>
        </w:tc>
      </w:tr>
    </w:tbl>
    <w:p w:rsidR="001E4C63" w:rsidRDefault="001E4C63" w:rsidP="001E4C63">
      <w:pPr>
        <w:rPr>
          <w:rFonts w:cs="Arial"/>
          <w:szCs w:val="22"/>
        </w:rPr>
      </w:pPr>
    </w:p>
    <w:tbl>
      <w:tblPr>
        <w:tblStyle w:val="LightList-Accent1"/>
        <w:tblW w:w="0" w:type="auto"/>
        <w:tblLook w:val="00A0" w:firstRow="1" w:lastRow="0" w:firstColumn="1" w:lastColumn="0" w:noHBand="0" w:noVBand="0"/>
        <w:tblCaption w:val="MDC 14 Pregnancy, childbirth and the puerperium"/>
        <w:tblDescription w:val="Table of two columns, the first column listing proposed presenting problem/diagnosis-type groupings and the second column listing proposed intervention-type groupings for MDC 14 Pregnancy, childbirth and the puerperium."/>
      </w:tblPr>
      <w:tblGrid>
        <w:gridCol w:w="4786"/>
        <w:gridCol w:w="4875"/>
      </w:tblGrid>
      <w:tr w:rsidR="001E4C6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661" w:type="dxa"/>
            <w:gridSpan w:val="2"/>
          </w:tcPr>
          <w:p w:rsidR="001E4C63" w:rsidRPr="008926DA" w:rsidRDefault="001E4C63" w:rsidP="00FA383A">
            <w:pPr>
              <w:pStyle w:val="NoSpacing"/>
              <w:rPr>
                <w:b w:val="0"/>
              </w:rPr>
            </w:pPr>
            <w:r w:rsidRPr="00882144">
              <w:t>MDC 14 Pregnancy, Childbirth and the Puerperium</w:t>
            </w:r>
          </w:p>
        </w:tc>
      </w:tr>
      <w:tr w:rsidR="005F38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5F38D0" w:rsidRPr="005F38D0" w:rsidRDefault="005F38D0" w:rsidP="00344411">
            <w:pPr>
              <w:pStyle w:val="NoSpacing"/>
            </w:pPr>
            <w:r w:rsidRPr="005F38D0">
              <w:t>Proposed presenting problem / diagnosis-type groupings</w:t>
            </w:r>
          </w:p>
        </w:tc>
        <w:tc>
          <w:tcPr>
            <w:cnfStyle w:val="000010000000" w:firstRow="0" w:lastRow="0" w:firstColumn="0" w:lastColumn="0" w:oddVBand="1" w:evenVBand="0" w:oddHBand="0" w:evenHBand="0" w:firstRowFirstColumn="0" w:firstRowLastColumn="0" w:lastRowFirstColumn="0" w:lastRowLastColumn="0"/>
            <w:tcW w:w="4875" w:type="dxa"/>
          </w:tcPr>
          <w:p w:rsidR="005F38D0" w:rsidRPr="005F38D0" w:rsidRDefault="005F38D0" w:rsidP="00344411">
            <w:pPr>
              <w:pStyle w:val="NoSpacing"/>
              <w:rPr>
                <w:b/>
              </w:rPr>
            </w:pPr>
            <w:r w:rsidRPr="005F38D0">
              <w:rPr>
                <w:b/>
              </w:rPr>
              <w:t>Proposed intervention-type groupings</w:t>
            </w:r>
          </w:p>
        </w:tc>
      </w:tr>
      <w:tr w:rsidR="001E4C63">
        <w:tc>
          <w:tcPr>
            <w:cnfStyle w:val="001000000000" w:firstRow="0" w:lastRow="0" w:firstColumn="1" w:lastColumn="0" w:oddVBand="0" w:evenVBand="0" w:oddHBand="0" w:evenHBand="0" w:firstRowFirstColumn="0" w:firstRowLastColumn="0" w:lastRowFirstColumn="0" w:lastRowLastColumn="0"/>
            <w:tcW w:w="4786" w:type="dxa"/>
          </w:tcPr>
          <w:p w:rsidR="001E4C63" w:rsidRPr="006C6B3F" w:rsidRDefault="001E4C63" w:rsidP="002B02E9">
            <w:pPr>
              <w:pStyle w:val="NoSpacing"/>
              <w:rPr>
                <w:b w:val="0"/>
              </w:rPr>
            </w:pPr>
            <w:r w:rsidRPr="006C6B3F">
              <w:rPr>
                <w:b w:val="0"/>
              </w:rPr>
              <w:t>Abortion</w:t>
            </w:r>
            <w:r>
              <w:rPr>
                <w:b w:val="0"/>
              </w:rPr>
              <w:t xml:space="preserve"> and post abortion care  </w:t>
            </w:r>
          </w:p>
        </w:tc>
        <w:tc>
          <w:tcPr>
            <w:cnfStyle w:val="000010000000" w:firstRow="0" w:lastRow="0" w:firstColumn="0" w:lastColumn="0" w:oddVBand="1" w:evenVBand="0" w:oddHBand="0" w:evenHBand="0" w:firstRowFirstColumn="0" w:firstRowLastColumn="0" w:lastRowFirstColumn="0" w:lastRowLastColumn="0"/>
            <w:tcW w:w="4875" w:type="dxa"/>
            <w:vMerge w:val="restart"/>
          </w:tcPr>
          <w:p w:rsidR="001E4C63" w:rsidRPr="00F74800" w:rsidRDefault="001E4C63" w:rsidP="009768EE">
            <w:pPr>
              <w:pStyle w:val="NoSpacing"/>
              <w:numPr>
                <w:ilvl w:val="0"/>
                <w:numId w:val="59"/>
              </w:numPr>
              <w:ind w:left="317" w:hanging="283"/>
            </w:pPr>
            <w:r w:rsidRPr="00F74800">
              <w:t>Amniocentesis</w:t>
            </w:r>
          </w:p>
          <w:p w:rsidR="001E4C63" w:rsidRPr="00F74800" w:rsidRDefault="001E4C63" w:rsidP="009768EE">
            <w:pPr>
              <w:pStyle w:val="NoSpacing"/>
              <w:numPr>
                <w:ilvl w:val="0"/>
                <w:numId w:val="59"/>
              </w:numPr>
              <w:ind w:left="317" w:hanging="283"/>
            </w:pPr>
            <w:r w:rsidRPr="00F74800">
              <w:t>Cardiotocography (CTG)</w:t>
            </w:r>
          </w:p>
          <w:p w:rsidR="001E4C63" w:rsidRPr="00F74800" w:rsidRDefault="001E4C63" w:rsidP="009768EE">
            <w:pPr>
              <w:pStyle w:val="NoSpacing"/>
              <w:numPr>
                <w:ilvl w:val="0"/>
                <w:numId w:val="59"/>
              </w:numPr>
              <w:ind w:left="317" w:hanging="283"/>
            </w:pPr>
            <w:r w:rsidRPr="00F74800">
              <w:t>Chorionic villous sampling</w:t>
            </w:r>
          </w:p>
          <w:p w:rsidR="001E4C63" w:rsidRPr="00F74800" w:rsidRDefault="001E4C63" w:rsidP="009768EE">
            <w:pPr>
              <w:pStyle w:val="NoSpacing"/>
              <w:numPr>
                <w:ilvl w:val="0"/>
                <w:numId w:val="59"/>
              </w:numPr>
              <w:ind w:left="317" w:hanging="283"/>
            </w:pPr>
            <w:r w:rsidRPr="00F74800">
              <w:t>Dilatation and curettage (D&amp;C)</w:t>
            </w:r>
          </w:p>
          <w:p w:rsidR="001E4C63" w:rsidRPr="00F74800" w:rsidRDefault="001E4C63" w:rsidP="009768EE">
            <w:pPr>
              <w:pStyle w:val="NoSpacing"/>
              <w:numPr>
                <w:ilvl w:val="0"/>
                <w:numId w:val="59"/>
              </w:numPr>
              <w:ind w:left="317" w:hanging="283"/>
            </w:pPr>
            <w:r w:rsidRPr="00F74800">
              <w:t>Minimally invasive fetal therapy</w:t>
            </w:r>
          </w:p>
          <w:p w:rsidR="001E4C63" w:rsidRDefault="001E4C63" w:rsidP="00FA383A">
            <w:pPr>
              <w:pStyle w:val="NoSpacing"/>
            </w:pPr>
          </w:p>
        </w:tc>
      </w:tr>
      <w:tr w:rsidR="001E4C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1E4C63" w:rsidRPr="006C6B3F" w:rsidRDefault="001E4C63" w:rsidP="00B455C5">
            <w:pPr>
              <w:pStyle w:val="NoSpacing"/>
              <w:rPr>
                <w:b w:val="0"/>
              </w:rPr>
            </w:pPr>
            <w:r>
              <w:rPr>
                <w:b w:val="0"/>
              </w:rPr>
              <w:t xml:space="preserve">Ectopic pregnancy </w:t>
            </w:r>
          </w:p>
        </w:tc>
        <w:tc>
          <w:tcPr>
            <w:cnfStyle w:val="000010000000" w:firstRow="0" w:lastRow="0" w:firstColumn="0" w:lastColumn="0" w:oddVBand="1" w:evenVBand="0" w:oddHBand="0" w:evenHBand="0" w:firstRowFirstColumn="0" w:firstRowLastColumn="0" w:lastRowFirstColumn="0" w:lastRowLastColumn="0"/>
            <w:tcW w:w="4875" w:type="dxa"/>
            <w:vMerge/>
          </w:tcPr>
          <w:p w:rsidR="001E4C63" w:rsidRDefault="001E4C63" w:rsidP="00FA383A">
            <w:pPr>
              <w:pStyle w:val="NoSpacing"/>
            </w:pPr>
          </w:p>
        </w:tc>
      </w:tr>
      <w:tr w:rsidR="001E4C63">
        <w:tc>
          <w:tcPr>
            <w:cnfStyle w:val="001000000000" w:firstRow="0" w:lastRow="0" w:firstColumn="1" w:lastColumn="0" w:oddVBand="0" w:evenVBand="0" w:oddHBand="0" w:evenHBand="0" w:firstRowFirstColumn="0" w:firstRowLastColumn="0" w:lastRowFirstColumn="0" w:lastRowLastColumn="0"/>
            <w:tcW w:w="4786" w:type="dxa"/>
          </w:tcPr>
          <w:p w:rsidR="001E4C63" w:rsidRDefault="001E4C63" w:rsidP="00FA383A">
            <w:pPr>
              <w:pStyle w:val="NoSpacing"/>
              <w:rPr>
                <w:b w:val="0"/>
              </w:rPr>
            </w:pPr>
            <w:r>
              <w:rPr>
                <w:b w:val="0"/>
              </w:rPr>
              <w:t xml:space="preserve">High risk (complex)  pregnancy (antenatal and postnatal care) </w:t>
            </w:r>
          </w:p>
          <w:p w:rsidR="001E4C63" w:rsidRDefault="001E4C63" w:rsidP="009768EE">
            <w:pPr>
              <w:pStyle w:val="NoSpacing"/>
              <w:numPr>
                <w:ilvl w:val="0"/>
                <w:numId w:val="58"/>
              </w:numPr>
              <w:ind w:left="284" w:hanging="284"/>
              <w:rPr>
                <w:b w:val="0"/>
              </w:rPr>
            </w:pPr>
            <w:r>
              <w:rPr>
                <w:b w:val="0"/>
              </w:rPr>
              <w:t>a</w:t>
            </w:r>
            <w:r w:rsidRPr="00D77118">
              <w:rPr>
                <w:b w:val="0"/>
              </w:rPr>
              <w:t>bnormalities of the placenta, uterus, and cervix</w:t>
            </w:r>
          </w:p>
          <w:p w:rsidR="001E4C63" w:rsidRDefault="001E4C63" w:rsidP="009768EE">
            <w:pPr>
              <w:pStyle w:val="NoSpacing"/>
              <w:numPr>
                <w:ilvl w:val="0"/>
                <w:numId w:val="58"/>
              </w:numPr>
              <w:ind w:left="284" w:hanging="284"/>
              <w:rPr>
                <w:b w:val="0"/>
              </w:rPr>
            </w:pPr>
            <w:r>
              <w:rPr>
                <w:b w:val="0"/>
              </w:rPr>
              <w:t>alcohol use</w:t>
            </w:r>
          </w:p>
          <w:p w:rsidR="001E4C63" w:rsidRDefault="001E4C63" w:rsidP="009768EE">
            <w:pPr>
              <w:pStyle w:val="NoSpacing"/>
              <w:numPr>
                <w:ilvl w:val="0"/>
                <w:numId w:val="58"/>
              </w:numPr>
              <w:ind w:left="284" w:hanging="284"/>
              <w:rPr>
                <w:b w:val="0"/>
              </w:rPr>
            </w:pPr>
            <w:r>
              <w:rPr>
                <w:b w:val="0"/>
              </w:rPr>
              <w:t>autoimmune disease</w:t>
            </w:r>
          </w:p>
          <w:p w:rsidR="001E4C63" w:rsidRDefault="001E4C63" w:rsidP="009768EE">
            <w:pPr>
              <w:pStyle w:val="NoSpacing"/>
              <w:numPr>
                <w:ilvl w:val="0"/>
                <w:numId w:val="58"/>
              </w:numPr>
              <w:ind w:left="284" w:hanging="284"/>
              <w:rPr>
                <w:b w:val="0"/>
              </w:rPr>
            </w:pPr>
            <w:r>
              <w:rPr>
                <w:b w:val="0"/>
              </w:rPr>
              <w:t>cardiac disease</w:t>
            </w:r>
          </w:p>
          <w:p w:rsidR="001E4C63" w:rsidRDefault="001E4C63" w:rsidP="009768EE">
            <w:pPr>
              <w:pStyle w:val="NoSpacing"/>
              <w:numPr>
                <w:ilvl w:val="0"/>
                <w:numId w:val="58"/>
              </w:numPr>
              <w:ind w:left="284" w:hanging="284"/>
              <w:rPr>
                <w:b w:val="0"/>
              </w:rPr>
            </w:pPr>
            <w:r>
              <w:rPr>
                <w:b w:val="0"/>
              </w:rPr>
              <w:t>e</w:t>
            </w:r>
            <w:r w:rsidRPr="00D77118">
              <w:rPr>
                <w:b w:val="0"/>
              </w:rPr>
              <w:t xml:space="preserve">ndocrine disorders </w:t>
            </w:r>
            <w:r>
              <w:rPr>
                <w:b w:val="0"/>
              </w:rPr>
              <w:t xml:space="preserve">(pre-existing </w:t>
            </w:r>
            <w:r w:rsidRPr="00D77118">
              <w:rPr>
                <w:b w:val="0"/>
              </w:rPr>
              <w:t>diabetes</w:t>
            </w:r>
            <w:r>
              <w:rPr>
                <w:b w:val="0"/>
              </w:rPr>
              <w:t xml:space="preserve"> mellitus, gestational diabetes mellitus, thyroid conditions)</w:t>
            </w:r>
          </w:p>
          <w:p w:rsidR="001E4C63" w:rsidRDefault="001E4C63" w:rsidP="009768EE">
            <w:pPr>
              <w:pStyle w:val="NoSpacing"/>
              <w:numPr>
                <w:ilvl w:val="0"/>
                <w:numId w:val="58"/>
              </w:numPr>
              <w:ind w:left="284" w:hanging="284"/>
              <w:rPr>
                <w:b w:val="0"/>
              </w:rPr>
            </w:pPr>
            <w:r>
              <w:rPr>
                <w:b w:val="0"/>
              </w:rPr>
              <w:t>haematological disease (anaemia, haemoglobinopathy)</w:t>
            </w:r>
          </w:p>
          <w:p w:rsidR="001E4C63" w:rsidRDefault="001E4C63" w:rsidP="009768EE">
            <w:pPr>
              <w:pStyle w:val="NoSpacing"/>
              <w:numPr>
                <w:ilvl w:val="0"/>
                <w:numId w:val="58"/>
              </w:numPr>
              <w:ind w:left="284" w:hanging="284"/>
              <w:rPr>
                <w:b w:val="0"/>
              </w:rPr>
            </w:pPr>
            <w:r>
              <w:rPr>
                <w:b w:val="0"/>
              </w:rPr>
              <w:t>HIV</w:t>
            </w:r>
          </w:p>
          <w:p w:rsidR="001E4C63" w:rsidRDefault="001E4C63" w:rsidP="009768EE">
            <w:pPr>
              <w:pStyle w:val="NoSpacing"/>
              <w:numPr>
                <w:ilvl w:val="0"/>
                <w:numId w:val="58"/>
              </w:numPr>
              <w:ind w:left="284" w:hanging="284"/>
              <w:rPr>
                <w:b w:val="0"/>
              </w:rPr>
            </w:pPr>
            <w:r>
              <w:rPr>
                <w:b w:val="0"/>
              </w:rPr>
              <w:lastRenderedPageBreak/>
              <w:t>hypertensive disorders of pregnancy  (eclampsia,  gestational hypertension, HELLP syndrome, pre-existing hypertension)</w:t>
            </w:r>
          </w:p>
          <w:p w:rsidR="001E4C63" w:rsidRDefault="001E4C63" w:rsidP="009768EE">
            <w:pPr>
              <w:pStyle w:val="NoSpacing"/>
              <w:numPr>
                <w:ilvl w:val="0"/>
                <w:numId w:val="58"/>
              </w:numPr>
              <w:ind w:left="284" w:hanging="284"/>
              <w:rPr>
                <w:b w:val="0"/>
              </w:rPr>
            </w:pPr>
            <w:r>
              <w:rPr>
                <w:b w:val="0"/>
              </w:rPr>
              <w:t>malignant neoplasm</w:t>
            </w:r>
          </w:p>
          <w:p w:rsidR="001E4C63" w:rsidRPr="00D77118" w:rsidRDefault="001E4C63" w:rsidP="009768EE">
            <w:pPr>
              <w:pStyle w:val="NoSpacing"/>
              <w:numPr>
                <w:ilvl w:val="0"/>
                <w:numId w:val="58"/>
              </w:numPr>
              <w:ind w:left="284" w:hanging="284"/>
              <w:rPr>
                <w:b w:val="0"/>
              </w:rPr>
            </w:pPr>
            <w:r>
              <w:rPr>
                <w:b w:val="0"/>
              </w:rPr>
              <w:t>mental health disorder</w:t>
            </w:r>
          </w:p>
          <w:p w:rsidR="001E4C63" w:rsidRPr="006543AC" w:rsidRDefault="001E4C63" w:rsidP="009768EE">
            <w:pPr>
              <w:pStyle w:val="NoSpacing"/>
              <w:numPr>
                <w:ilvl w:val="0"/>
                <w:numId w:val="58"/>
              </w:numPr>
              <w:ind w:left="284" w:hanging="284"/>
            </w:pPr>
            <w:r>
              <w:rPr>
                <w:b w:val="0"/>
              </w:rPr>
              <w:t>m</w:t>
            </w:r>
            <w:r w:rsidRPr="00D77118">
              <w:rPr>
                <w:b w:val="0"/>
              </w:rPr>
              <w:t>ultiple pregnancy</w:t>
            </w:r>
          </w:p>
          <w:p w:rsidR="001E4C63" w:rsidRPr="00985075" w:rsidRDefault="001E4C63" w:rsidP="009768EE">
            <w:pPr>
              <w:pStyle w:val="NoSpacing"/>
              <w:numPr>
                <w:ilvl w:val="0"/>
                <w:numId w:val="58"/>
              </w:numPr>
              <w:ind w:left="284" w:hanging="284"/>
            </w:pPr>
            <w:r>
              <w:rPr>
                <w:b w:val="0"/>
              </w:rPr>
              <w:t>obesity</w:t>
            </w:r>
          </w:p>
          <w:p w:rsidR="001E4C63" w:rsidRPr="00694339" w:rsidRDefault="001E4C63" w:rsidP="009768EE">
            <w:pPr>
              <w:pStyle w:val="NoSpacing"/>
              <w:numPr>
                <w:ilvl w:val="0"/>
                <w:numId w:val="58"/>
              </w:numPr>
              <w:ind w:left="284" w:hanging="284"/>
            </w:pPr>
            <w:r>
              <w:rPr>
                <w:b w:val="0"/>
              </w:rPr>
              <w:t>poor obstetric or reproductive history (history of abortive outcome, habitual aborter, previous fetal congenital anomaly)</w:t>
            </w:r>
          </w:p>
          <w:p w:rsidR="001E4C63" w:rsidRPr="006543AC" w:rsidRDefault="001E4C63" w:rsidP="009768EE">
            <w:pPr>
              <w:pStyle w:val="NoSpacing"/>
              <w:numPr>
                <w:ilvl w:val="0"/>
                <w:numId w:val="58"/>
              </w:numPr>
              <w:ind w:left="284" w:hanging="284"/>
            </w:pPr>
            <w:r>
              <w:rPr>
                <w:b w:val="0"/>
              </w:rPr>
              <w:t>renal disease</w:t>
            </w:r>
          </w:p>
          <w:p w:rsidR="001E4C63" w:rsidRPr="00694339" w:rsidRDefault="001E4C63" w:rsidP="009768EE">
            <w:pPr>
              <w:pStyle w:val="NoSpacing"/>
              <w:numPr>
                <w:ilvl w:val="0"/>
                <w:numId w:val="58"/>
              </w:numPr>
              <w:ind w:left="284" w:hanging="284"/>
            </w:pPr>
            <w:r>
              <w:rPr>
                <w:b w:val="0"/>
              </w:rPr>
              <w:t>respiratory disease</w:t>
            </w:r>
          </w:p>
          <w:p w:rsidR="001E4C63" w:rsidRPr="00985075" w:rsidRDefault="001E4C63" w:rsidP="009768EE">
            <w:pPr>
              <w:pStyle w:val="NoSpacing"/>
              <w:numPr>
                <w:ilvl w:val="0"/>
                <w:numId w:val="58"/>
              </w:numPr>
              <w:ind w:left="284" w:hanging="284"/>
            </w:pPr>
            <w:r>
              <w:rPr>
                <w:b w:val="0"/>
              </w:rPr>
              <w:t>rhesus isoimmunisation</w:t>
            </w:r>
          </w:p>
          <w:p w:rsidR="001E4C63" w:rsidRPr="00985075" w:rsidRDefault="001E4C63" w:rsidP="009768EE">
            <w:pPr>
              <w:pStyle w:val="NoSpacing"/>
              <w:numPr>
                <w:ilvl w:val="0"/>
                <w:numId w:val="58"/>
              </w:numPr>
              <w:ind w:left="284" w:hanging="284"/>
            </w:pPr>
            <w:r>
              <w:rPr>
                <w:b w:val="0"/>
              </w:rPr>
              <w:t>social problems (complex)</w:t>
            </w:r>
          </w:p>
          <w:p w:rsidR="001E4C63" w:rsidRPr="006543AC" w:rsidRDefault="001E4C63" w:rsidP="009768EE">
            <w:pPr>
              <w:pStyle w:val="NoSpacing"/>
              <w:numPr>
                <w:ilvl w:val="0"/>
                <w:numId w:val="58"/>
              </w:numPr>
              <w:ind w:left="284" w:hanging="284"/>
            </w:pPr>
            <w:r>
              <w:rPr>
                <w:b w:val="0"/>
              </w:rPr>
              <w:t>substance use</w:t>
            </w:r>
          </w:p>
          <w:p w:rsidR="001E4C63" w:rsidRPr="00985075" w:rsidRDefault="001E4C63" w:rsidP="009768EE">
            <w:pPr>
              <w:pStyle w:val="NoSpacing"/>
              <w:numPr>
                <w:ilvl w:val="0"/>
                <w:numId w:val="58"/>
              </w:numPr>
              <w:ind w:left="284" w:hanging="284"/>
            </w:pPr>
            <w:r>
              <w:rPr>
                <w:b w:val="0"/>
              </w:rPr>
              <w:t>thromboembolic disorder</w:t>
            </w:r>
          </w:p>
          <w:p w:rsidR="001E4C63" w:rsidRPr="00D77118" w:rsidRDefault="001E4C63" w:rsidP="009768EE">
            <w:pPr>
              <w:pStyle w:val="NoSpacing"/>
              <w:numPr>
                <w:ilvl w:val="0"/>
                <w:numId w:val="58"/>
              </w:numPr>
              <w:ind w:left="284" w:hanging="284"/>
            </w:pPr>
            <w:r>
              <w:rPr>
                <w:b w:val="0"/>
              </w:rPr>
              <w:t>viral hepatitis B or C</w:t>
            </w:r>
          </w:p>
        </w:tc>
        <w:tc>
          <w:tcPr>
            <w:cnfStyle w:val="000010000000" w:firstRow="0" w:lastRow="0" w:firstColumn="0" w:lastColumn="0" w:oddVBand="1" w:evenVBand="0" w:oddHBand="0" w:evenHBand="0" w:firstRowFirstColumn="0" w:firstRowLastColumn="0" w:lastRowFirstColumn="0" w:lastRowLastColumn="0"/>
            <w:tcW w:w="4875" w:type="dxa"/>
            <w:vMerge/>
          </w:tcPr>
          <w:p w:rsidR="001E4C63" w:rsidRDefault="001E4C63" w:rsidP="00FA383A">
            <w:pPr>
              <w:pStyle w:val="NoSpacing"/>
            </w:pPr>
          </w:p>
        </w:tc>
      </w:tr>
      <w:tr w:rsidR="001E4C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1E4C63" w:rsidRPr="006C6B3F" w:rsidRDefault="001E4C63" w:rsidP="00B455C5">
            <w:pPr>
              <w:pStyle w:val="NoSpacing"/>
              <w:rPr>
                <w:b w:val="0"/>
              </w:rPr>
            </w:pPr>
            <w:r>
              <w:rPr>
                <w:b w:val="0"/>
              </w:rPr>
              <w:lastRenderedPageBreak/>
              <w:t>Low risk pregnancy (antenatal and postnatal</w:t>
            </w:r>
            <w:r w:rsidRPr="006C6B3F">
              <w:rPr>
                <w:b w:val="0"/>
              </w:rPr>
              <w:t xml:space="preserve"> care</w:t>
            </w:r>
            <w:r>
              <w:rPr>
                <w:b w:val="0"/>
              </w:rPr>
              <w:t xml:space="preserve">) </w:t>
            </w:r>
          </w:p>
        </w:tc>
        <w:tc>
          <w:tcPr>
            <w:cnfStyle w:val="000010000000" w:firstRow="0" w:lastRow="0" w:firstColumn="0" w:lastColumn="0" w:oddVBand="1" w:evenVBand="0" w:oddHBand="0" w:evenHBand="0" w:firstRowFirstColumn="0" w:firstRowLastColumn="0" w:lastRowFirstColumn="0" w:lastRowLastColumn="0"/>
            <w:tcW w:w="4875" w:type="dxa"/>
            <w:vMerge/>
          </w:tcPr>
          <w:p w:rsidR="001E4C63" w:rsidRDefault="001E4C63" w:rsidP="00FA383A">
            <w:pPr>
              <w:pStyle w:val="NoSpacing"/>
            </w:pPr>
          </w:p>
        </w:tc>
      </w:tr>
      <w:tr w:rsidR="001E4C63">
        <w:tc>
          <w:tcPr>
            <w:cnfStyle w:val="001000000000" w:firstRow="0" w:lastRow="0" w:firstColumn="1" w:lastColumn="0" w:oddVBand="0" w:evenVBand="0" w:oddHBand="0" w:evenHBand="0" w:firstRowFirstColumn="0" w:firstRowLastColumn="0" w:lastRowFirstColumn="0" w:lastRowLastColumn="0"/>
            <w:tcW w:w="4786" w:type="dxa"/>
          </w:tcPr>
          <w:p w:rsidR="001E4C63" w:rsidRPr="00013B1A" w:rsidRDefault="001E4C63" w:rsidP="00FA383A">
            <w:pPr>
              <w:pStyle w:val="NoSpacing"/>
              <w:rPr>
                <w:b w:val="0"/>
              </w:rPr>
            </w:pPr>
            <w:r w:rsidRPr="00013B1A">
              <w:rPr>
                <w:b w:val="0"/>
              </w:rPr>
              <w:t xml:space="preserve">Other </w:t>
            </w:r>
            <w:r>
              <w:rPr>
                <w:b w:val="0"/>
              </w:rPr>
              <w:t xml:space="preserve">condition related to pregnancy, childbirth or the </w:t>
            </w:r>
            <w:r w:rsidRPr="00FD4A35">
              <w:rPr>
                <w:b w:val="0"/>
              </w:rPr>
              <w:t>puerper</w:t>
            </w:r>
            <w:r>
              <w:rPr>
                <w:b w:val="0"/>
              </w:rPr>
              <w:t>ium</w:t>
            </w:r>
          </w:p>
        </w:tc>
        <w:tc>
          <w:tcPr>
            <w:cnfStyle w:val="000010000000" w:firstRow="0" w:lastRow="0" w:firstColumn="0" w:lastColumn="0" w:oddVBand="1" w:evenVBand="0" w:oddHBand="0" w:evenHBand="0" w:firstRowFirstColumn="0" w:firstRowLastColumn="0" w:lastRowFirstColumn="0" w:lastRowLastColumn="0"/>
            <w:tcW w:w="4875" w:type="dxa"/>
            <w:vMerge/>
          </w:tcPr>
          <w:p w:rsidR="001E4C63" w:rsidRDefault="001E4C63" w:rsidP="00FA383A">
            <w:pPr>
              <w:pStyle w:val="NoSpacing"/>
            </w:pPr>
          </w:p>
        </w:tc>
      </w:tr>
    </w:tbl>
    <w:p w:rsidR="001E4C63" w:rsidRDefault="001E4C63" w:rsidP="00D9048F">
      <w:pPr>
        <w:spacing w:after="0"/>
        <w:rPr>
          <w:rFonts w:cs="Arial"/>
          <w:szCs w:val="22"/>
        </w:rPr>
      </w:pPr>
    </w:p>
    <w:tbl>
      <w:tblPr>
        <w:tblStyle w:val="LightList-Accent1"/>
        <w:tblW w:w="0" w:type="auto"/>
        <w:tblLook w:val="00A0" w:firstRow="1" w:lastRow="0" w:firstColumn="1" w:lastColumn="0" w:noHBand="0" w:noVBand="0"/>
        <w:tblCaption w:val="MDC 15 Newborns and other neonates"/>
        <w:tblDescription w:val="Table of two columns, the first column listing proposed presenting problem/diagnosis-type groupings and the second column listing proposed intervention-type groupings for MDC 15 Newborns and other neonates."/>
      </w:tblPr>
      <w:tblGrid>
        <w:gridCol w:w="4786"/>
        <w:gridCol w:w="4875"/>
      </w:tblGrid>
      <w:tr w:rsidR="001E4C63" w:rsidTr="00A966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661" w:type="dxa"/>
            <w:gridSpan w:val="2"/>
          </w:tcPr>
          <w:p w:rsidR="001E4C63" w:rsidRPr="008926DA" w:rsidRDefault="001E4C63" w:rsidP="00FA383A">
            <w:pPr>
              <w:pStyle w:val="NoSpacing"/>
              <w:rPr>
                <w:b w:val="0"/>
              </w:rPr>
            </w:pPr>
            <w:r w:rsidRPr="00E177B0">
              <w:t>MDC 15 Newborns and Other Neonates</w:t>
            </w:r>
          </w:p>
        </w:tc>
      </w:tr>
      <w:tr w:rsidR="005F38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5F38D0" w:rsidRPr="005F38D0" w:rsidRDefault="005F38D0" w:rsidP="00344411">
            <w:pPr>
              <w:pStyle w:val="NoSpacing"/>
            </w:pPr>
            <w:r w:rsidRPr="005F38D0">
              <w:t>Proposed presenting problem / diagnosis-type groupings</w:t>
            </w:r>
          </w:p>
        </w:tc>
        <w:tc>
          <w:tcPr>
            <w:cnfStyle w:val="000010000000" w:firstRow="0" w:lastRow="0" w:firstColumn="0" w:lastColumn="0" w:oddVBand="1" w:evenVBand="0" w:oddHBand="0" w:evenHBand="0" w:firstRowFirstColumn="0" w:firstRowLastColumn="0" w:lastRowFirstColumn="0" w:lastRowLastColumn="0"/>
            <w:tcW w:w="4875" w:type="dxa"/>
          </w:tcPr>
          <w:p w:rsidR="005F38D0" w:rsidRPr="005F38D0" w:rsidRDefault="005F38D0" w:rsidP="00344411">
            <w:pPr>
              <w:pStyle w:val="NoSpacing"/>
              <w:rPr>
                <w:b/>
              </w:rPr>
            </w:pPr>
            <w:r w:rsidRPr="005F38D0">
              <w:rPr>
                <w:b/>
              </w:rPr>
              <w:t>Proposed intervention-type groupings</w:t>
            </w:r>
          </w:p>
        </w:tc>
      </w:tr>
      <w:tr w:rsidR="001E4C63">
        <w:tc>
          <w:tcPr>
            <w:cnfStyle w:val="001000000000" w:firstRow="0" w:lastRow="0" w:firstColumn="1" w:lastColumn="0" w:oddVBand="0" w:evenVBand="0" w:oddHBand="0" w:evenHBand="0" w:firstRowFirstColumn="0" w:firstRowLastColumn="0" w:lastRowFirstColumn="0" w:lastRowLastColumn="0"/>
            <w:tcW w:w="4786" w:type="dxa"/>
          </w:tcPr>
          <w:p w:rsidR="001E4C63" w:rsidRPr="003F4C0F" w:rsidRDefault="001E4C63" w:rsidP="00B455C5">
            <w:pPr>
              <w:pStyle w:val="NoSpacing"/>
              <w:rPr>
                <w:b w:val="0"/>
              </w:rPr>
            </w:pPr>
            <w:r>
              <w:rPr>
                <w:b w:val="0"/>
              </w:rPr>
              <w:t>Premature</w:t>
            </w:r>
            <w:r w:rsidRPr="00443B94">
              <w:rPr>
                <w:b w:val="0"/>
              </w:rPr>
              <w:t xml:space="preserve"> neonates</w:t>
            </w:r>
            <w:r>
              <w:rPr>
                <w:b w:val="0"/>
              </w:rPr>
              <w:t xml:space="preserve"> with complications (&lt;37 completed weeks gestation) </w:t>
            </w:r>
          </w:p>
        </w:tc>
        <w:tc>
          <w:tcPr>
            <w:cnfStyle w:val="000010000000" w:firstRow="0" w:lastRow="0" w:firstColumn="0" w:lastColumn="0" w:oddVBand="1" w:evenVBand="0" w:oddHBand="0" w:evenHBand="0" w:firstRowFirstColumn="0" w:firstRowLastColumn="0" w:lastRowFirstColumn="0" w:lastRowLastColumn="0"/>
            <w:tcW w:w="4875" w:type="dxa"/>
            <w:vMerge w:val="restart"/>
          </w:tcPr>
          <w:p w:rsidR="001E4C63" w:rsidRDefault="001E4C63" w:rsidP="00FA383A">
            <w:pPr>
              <w:pStyle w:val="NoSpacing"/>
            </w:pPr>
          </w:p>
        </w:tc>
      </w:tr>
      <w:tr w:rsidR="001E4C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1E4C63" w:rsidRPr="003F4C0F" w:rsidRDefault="001E4C63" w:rsidP="00B455C5">
            <w:pPr>
              <w:pStyle w:val="NoSpacing"/>
              <w:rPr>
                <w:b w:val="0"/>
              </w:rPr>
            </w:pPr>
            <w:r>
              <w:rPr>
                <w:b w:val="0"/>
              </w:rPr>
              <w:t>Premature</w:t>
            </w:r>
            <w:r w:rsidRPr="00443B94">
              <w:rPr>
                <w:b w:val="0"/>
              </w:rPr>
              <w:t xml:space="preserve"> neonates</w:t>
            </w:r>
            <w:r>
              <w:rPr>
                <w:b w:val="0"/>
              </w:rPr>
              <w:t xml:space="preserve"> without complications (&lt;37 completed weeks gestation) </w:t>
            </w:r>
          </w:p>
        </w:tc>
        <w:tc>
          <w:tcPr>
            <w:cnfStyle w:val="000010000000" w:firstRow="0" w:lastRow="0" w:firstColumn="0" w:lastColumn="0" w:oddVBand="1" w:evenVBand="0" w:oddHBand="0" w:evenHBand="0" w:firstRowFirstColumn="0" w:firstRowLastColumn="0" w:lastRowFirstColumn="0" w:lastRowLastColumn="0"/>
            <w:tcW w:w="4875" w:type="dxa"/>
            <w:vMerge/>
          </w:tcPr>
          <w:p w:rsidR="001E4C63" w:rsidRDefault="001E4C63" w:rsidP="00FA383A">
            <w:pPr>
              <w:pStyle w:val="NoSpacing"/>
            </w:pPr>
          </w:p>
        </w:tc>
      </w:tr>
      <w:tr w:rsidR="001E4C63">
        <w:tc>
          <w:tcPr>
            <w:cnfStyle w:val="001000000000" w:firstRow="0" w:lastRow="0" w:firstColumn="1" w:lastColumn="0" w:oddVBand="0" w:evenVBand="0" w:oddHBand="0" w:evenHBand="0" w:firstRowFirstColumn="0" w:firstRowLastColumn="0" w:lastRowFirstColumn="0" w:lastRowLastColumn="0"/>
            <w:tcW w:w="4786" w:type="dxa"/>
          </w:tcPr>
          <w:p w:rsidR="001E4C63" w:rsidRPr="003F4C0F" w:rsidRDefault="001E4C63" w:rsidP="00B455C5">
            <w:pPr>
              <w:pStyle w:val="NoSpacing"/>
              <w:rPr>
                <w:b w:val="0"/>
              </w:rPr>
            </w:pPr>
            <w:r w:rsidRPr="00443B94">
              <w:rPr>
                <w:b w:val="0"/>
              </w:rPr>
              <w:t>Term neonates</w:t>
            </w:r>
            <w:r>
              <w:rPr>
                <w:b w:val="0"/>
              </w:rPr>
              <w:t xml:space="preserve"> with complications (≥ 37 completed weeks gestation) </w:t>
            </w:r>
          </w:p>
        </w:tc>
        <w:tc>
          <w:tcPr>
            <w:cnfStyle w:val="000010000000" w:firstRow="0" w:lastRow="0" w:firstColumn="0" w:lastColumn="0" w:oddVBand="1" w:evenVBand="0" w:oddHBand="0" w:evenHBand="0" w:firstRowFirstColumn="0" w:firstRowLastColumn="0" w:lastRowFirstColumn="0" w:lastRowLastColumn="0"/>
            <w:tcW w:w="4875" w:type="dxa"/>
            <w:vMerge/>
          </w:tcPr>
          <w:p w:rsidR="001E4C63" w:rsidRDefault="001E4C63" w:rsidP="00FA383A">
            <w:pPr>
              <w:pStyle w:val="NoSpacing"/>
            </w:pPr>
          </w:p>
        </w:tc>
      </w:tr>
      <w:tr w:rsidR="001E4C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1E4C63" w:rsidRPr="003F4C0F" w:rsidRDefault="001E4C63" w:rsidP="00B455C5">
            <w:pPr>
              <w:pStyle w:val="NoSpacing"/>
              <w:rPr>
                <w:b w:val="0"/>
              </w:rPr>
            </w:pPr>
            <w:r w:rsidRPr="00443B94">
              <w:rPr>
                <w:b w:val="0"/>
              </w:rPr>
              <w:t>Term neonates</w:t>
            </w:r>
            <w:r>
              <w:rPr>
                <w:b w:val="0"/>
              </w:rPr>
              <w:t xml:space="preserve"> without complications (≥ 37 completed weeks gestation) </w:t>
            </w:r>
          </w:p>
        </w:tc>
        <w:tc>
          <w:tcPr>
            <w:cnfStyle w:val="000010000000" w:firstRow="0" w:lastRow="0" w:firstColumn="0" w:lastColumn="0" w:oddVBand="1" w:evenVBand="0" w:oddHBand="0" w:evenHBand="0" w:firstRowFirstColumn="0" w:firstRowLastColumn="0" w:lastRowFirstColumn="0" w:lastRowLastColumn="0"/>
            <w:tcW w:w="4875" w:type="dxa"/>
            <w:vMerge/>
          </w:tcPr>
          <w:p w:rsidR="001E4C63" w:rsidRDefault="001E4C63" w:rsidP="00FA383A">
            <w:pPr>
              <w:pStyle w:val="NoSpacing"/>
            </w:pPr>
          </w:p>
        </w:tc>
      </w:tr>
    </w:tbl>
    <w:p w:rsidR="001E4C63" w:rsidRDefault="001E4C63" w:rsidP="00D9048F">
      <w:pPr>
        <w:spacing w:after="0"/>
        <w:rPr>
          <w:rFonts w:cs="Arial"/>
          <w:szCs w:val="22"/>
        </w:rPr>
      </w:pPr>
    </w:p>
    <w:tbl>
      <w:tblPr>
        <w:tblStyle w:val="LightList-Accent1"/>
        <w:tblW w:w="0" w:type="auto"/>
        <w:tblLook w:val="00A0" w:firstRow="1" w:lastRow="0" w:firstColumn="1" w:lastColumn="0" w:noHBand="0" w:noVBand="0"/>
        <w:tblCaption w:val="MDC 16 Diseases and disorders of the blood and blood forming organs and immunological disorders"/>
        <w:tblDescription w:val="Table of two columns, the first column listing proposed presenting problem/diagnosis-type groupings and the second column listing proposed intervention-type groupings for MDC 16 Diseases and disorders of the blood and blood forming organs and immunological disorders."/>
      </w:tblPr>
      <w:tblGrid>
        <w:gridCol w:w="4786"/>
        <w:gridCol w:w="4875"/>
      </w:tblGrid>
      <w:tr w:rsidR="001E4C63" w:rsidTr="00A966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661" w:type="dxa"/>
            <w:gridSpan w:val="2"/>
          </w:tcPr>
          <w:p w:rsidR="001E4C63" w:rsidRPr="008926DA" w:rsidRDefault="001E4C63" w:rsidP="00FA383A">
            <w:pPr>
              <w:pStyle w:val="NoSpacing"/>
              <w:rPr>
                <w:b w:val="0"/>
              </w:rPr>
            </w:pPr>
            <w:r w:rsidRPr="00F428CA">
              <w:t>MDC 16 Diseases and Disorders of the Blood and Blood Forming Organs and Immunological Disorders</w:t>
            </w:r>
          </w:p>
        </w:tc>
      </w:tr>
      <w:tr w:rsidR="005F38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5F38D0" w:rsidRPr="005F38D0" w:rsidRDefault="005F38D0" w:rsidP="00344411">
            <w:pPr>
              <w:pStyle w:val="NoSpacing"/>
            </w:pPr>
            <w:r w:rsidRPr="005F38D0">
              <w:t>Proposed presenting problem / diagnosis-type groupings</w:t>
            </w:r>
          </w:p>
        </w:tc>
        <w:tc>
          <w:tcPr>
            <w:cnfStyle w:val="000010000000" w:firstRow="0" w:lastRow="0" w:firstColumn="0" w:lastColumn="0" w:oddVBand="1" w:evenVBand="0" w:oddHBand="0" w:evenHBand="0" w:firstRowFirstColumn="0" w:firstRowLastColumn="0" w:lastRowFirstColumn="0" w:lastRowLastColumn="0"/>
            <w:tcW w:w="4875" w:type="dxa"/>
          </w:tcPr>
          <w:p w:rsidR="005F38D0" w:rsidRPr="005F38D0" w:rsidRDefault="005F38D0" w:rsidP="00344411">
            <w:pPr>
              <w:pStyle w:val="NoSpacing"/>
              <w:rPr>
                <w:b/>
              </w:rPr>
            </w:pPr>
            <w:r w:rsidRPr="005F38D0">
              <w:rPr>
                <w:b/>
              </w:rPr>
              <w:t>Proposed intervention-type groupings</w:t>
            </w:r>
          </w:p>
        </w:tc>
      </w:tr>
      <w:tr w:rsidR="001E4C63">
        <w:tc>
          <w:tcPr>
            <w:cnfStyle w:val="001000000000" w:firstRow="0" w:lastRow="0" w:firstColumn="1" w:lastColumn="0" w:oddVBand="0" w:evenVBand="0" w:oddHBand="0" w:evenHBand="0" w:firstRowFirstColumn="0" w:firstRowLastColumn="0" w:lastRowFirstColumn="0" w:lastRowLastColumn="0"/>
            <w:tcW w:w="4786" w:type="dxa"/>
          </w:tcPr>
          <w:p w:rsidR="001E4C63" w:rsidRDefault="001E4C63" w:rsidP="00FA383A">
            <w:pPr>
              <w:pStyle w:val="NoSpacing"/>
              <w:rPr>
                <w:b w:val="0"/>
              </w:rPr>
            </w:pPr>
            <w:r>
              <w:rPr>
                <w:b w:val="0"/>
              </w:rPr>
              <w:t>Red blood cell d</w:t>
            </w:r>
            <w:r w:rsidRPr="002D5C41">
              <w:rPr>
                <w:b w:val="0"/>
              </w:rPr>
              <w:t>isorders</w:t>
            </w:r>
          </w:p>
          <w:p w:rsidR="001E4C63" w:rsidRPr="0011790E" w:rsidRDefault="001E4C63" w:rsidP="009768EE">
            <w:pPr>
              <w:pStyle w:val="NoSpacing"/>
              <w:numPr>
                <w:ilvl w:val="0"/>
                <w:numId w:val="60"/>
              </w:numPr>
              <w:ind w:left="284" w:hanging="284"/>
            </w:pPr>
            <w:r w:rsidRPr="0011790E">
              <w:rPr>
                <w:b w:val="0"/>
              </w:rPr>
              <w:t xml:space="preserve">anaemia </w:t>
            </w:r>
          </w:p>
        </w:tc>
        <w:tc>
          <w:tcPr>
            <w:cnfStyle w:val="000010000000" w:firstRow="0" w:lastRow="0" w:firstColumn="0" w:lastColumn="0" w:oddVBand="1" w:evenVBand="0" w:oddHBand="0" w:evenHBand="0" w:firstRowFirstColumn="0" w:firstRowLastColumn="0" w:lastRowFirstColumn="0" w:lastRowLastColumn="0"/>
            <w:tcW w:w="4875" w:type="dxa"/>
            <w:vMerge w:val="restart"/>
          </w:tcPr>
          <w:p w:rsidR="001E4C63" w:rsidRPr="00DC509C" w:rsidRDefault="001E4C63" w:rsidP="009768EE">
            <w:pPr>
              <w:pStyle w:val="NoSpacing"/>
              <w:numPr>
                <w:ilvl w:val="0"/>
                <w:numId w:val="67"/>
              </w:numPr>
              <w:ind w:left="317" w:hanging="283"/>
            </w:pPr>
            <w:r w:rsidRPr="00DC509C">
              <w:t xml:space="preserve">Administration of </w:t>
            </w:r>
          </w:p>
          <w:p w:rsidR="001E4C63" w:rsidRDefault="001E4C63" w:rsidP="00A360CE">
            <w:pPr>
              <w:pStyle w:val="NoSpacing"/>
              <w:numPr>
                <w:ilvl w:val="0"/>
                <w:numId w:val="68"/>
              </w:numPr>
            </w:pPr>
            <w:r w:rsidRPr="00632617">
              <w:t>blood and blood products</w:t>
            </w:r>
            <w:r>
              <w:t xml:space="preserve"> </w:t>
            </w:r>
          </w:p>
          <w:p w:rsidR="001E4C63" w:rsidRPr="007F2AC8" w:rsidRDefault="001E4C63" w:rsidP="00A360CE">
            <w:pPr>
              <w:pStyle w:val="NoSpacing"/>
              <w:numPr>
                <w:ilvl w:val="0"/>
                <w:numId w:val="68"/>
              </w:numPr>
            </w:pPr>
            <w:r w:rsidRPr="007F2AC8">
              <w:t xml:space="preserve">interferon </w:t>
            </w:r>
          </w:p>
          <w:p w:rsidR="001E4C63" w:rsidRDefault="001E4C63" w:rsidP="00FA383A">
            <w:pPr>
              <w:pStyle w:val="NoSpacing"/>
            </w:pPr>
          </w:p>
        </w:tc>
      </w:tr>
      <w:tr w:rsidR="001E4C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1E4C63" w:rsidRPr="003C2C4C" w:rsidRDefault="001E4C63" w:rsidP="00B455C5">
            <w:pPr>
              <w:pStyle w:val="NoSpacing"/>
              <w:rPr>
                <w:b w:val="0"/>
              </w:rPr>
            </w:pPr>
            <w:r w:rsidRPr="003C2C4C">
              <w:rPr>
                <w:b w:val="0"/>
              </w:rPr>
              <w:t>White blood cell disorders</w:t>
            </w:r>
          </w:p>
        </w:tc>
        <w:tc>
          <w:tcPr>
            <w:cnfStyle w:val="000010000000" w:firstRow="0" w:lastRow="0" w:firstColumn="0" w:lastColumn="0" w:oddVBand="1" w:evenVBand="0" w:oddHBand="0" w:evenHBand="0" w:firstRowFirstColumn="0" w:firstRowLastColumn="0" w:lastRowFirstColumn="0" w:lastRowLastColumn="0"/>
            <w:tcW w:w="4875" w:type="dxa"/>
            <w:vMerge/>
          </w:tcPr>
          <w:p w:rsidR="001E4C63" w:rsidRDefault="001E4C63" w:rsidP="00FA383A">
            <w:pPr>
              <w:pStyle w:val="NoSpacing"/>
            </w:pPr>
          </w:p>
        </w:tc>
      </w:tr>
      <w:tr w:rsidR="001E4C63">
        <w:tc>
          <w:tcPr>
            <w:cnfStyle w:val="001000000000" w:firstRow="0" w:lastRow="0" w:firstColumn="1" w:lastColumn="0" w:oddVBand="0" w:evenVBand="0" w:oddHBand="0" w:evenHBand="0" w:firstRowFirstColumn="0" w:firstRowLastColumn="0" w:lastRowFirstColumn="0" w:lastRowLastColumn="0"/>
            <w:tcW w:w="4786" w:type="dxa"/>
          </w:tcPr>
          <w:p w:rsidR="001E4C63" w:rsidRPr="003C2C4C" w:rsidRDefault="001E4C63" w:rsidP="00B455C5">
            <w:pPr>
              <w:pStyle w:val="NoSpacing"/>
              <w:rPr>
                <w:b w:val="0"/>
              </w:rPr>
            </w:pPr>
            <w:r>
              <w:rPr>
                <w:b w:val="0"/>
              </w:rPr>
              <w:t>I</w:t>
            </w:r>
            <w:r w:rsidRPr="003C2C4C">
              <w:rPr>
                <w:b w:val="0"/>
              </w:rPr>
              <w:t>mmunodeficiency</w:t>
            </w:r>
            <w:r>
              <w:rPr>
                <w:b w:val="0"/>
              </w:rPr>
              <w:t xml:space="preserve"> </w:t>
            </w:r>
          </w:p>
        </w:tc>
        <w:tc>
          <w:tcPr>
            <w:cnfStyle w:val="000010000000" w:firstRow="0" w:lastRow="0" w:firstColumn="0" w:lastColumn="0" w:oddVBand="1" w:evenVBand="0" w:oddHBand="0" w:evenHBand="0" w:firstRowFirstColumn="0" w:firstRowLastColumn="0" w:lastRowFirstColumn="0" w:lastRowLastColumn="0"/>
            <w:tcW w:w="4875" w:type="dxa"/>
            <w:vMerge/>
          </w:tcPr>
          <w:p w:rsidR="001E4C63" w:rsidRDefault="001E4C63" w:rsidP="00FA383A">
            <w:pPr>
              <w:pStyle w:val="NoSpacing"/>
            </w:pPr>
          </w:p>
        </w:tc>
      </w:tr>
      <w:tr w:rsidR="001E4C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1E4C63" w:rsidRDefault="001E4C63" w:rsidP="00FA383A">
            <w:pPr>
              <w:pStyle w:val="NoSpacing"/>
              <w:rPr>
                <w:b w:val="0"/>
              </w:rPr>
            </w:pPr>
            <w:r w:rsidRPr="002D5C41">
              <w:rPr>
                <w:b w:val="0"/>
              </w:rPr>
              <w:t xml:space="preserve">Coagulation </w:t>
            </w:r>
            <w:r>
              <w:rPr>
                <w:b w:val="0"/>
              </w:rPr>
              <w:t>d</w:t>
            </w:r>
            <w:r w:rsidRPr="002D5C41">
              <w:rPr>
                <w:b w:val="0"/>
              </w:rPr>
              <w:t>isorders</w:t>
            </w:r>
            <w:r>
              <w:rPr>
                <w:b w:val="0"/>
              </w:rPr>
              <w:t xml:space="preserve"> </w:t>
            </w:r>
          </w:p>
          <w:p w:rsidR="001E4C63" w:rsidRPr="0011790E" w:rsidRDefault="001E4C63" w:rsidP="009768EE">
            <w:pPr>
              <w:pStyle w:val="NoSpacing"/>
              <w:numPr>
                <w:ilvl w:val="0"/>
                <w:numId w:val="60"/>
              </w:numPr>
              <w:ind w:left="284" w:hanging="284"/>
              <w:rPr>
                <w:b w:val="0"/>
              </w:rPr>
            </w:pPr>
            <w:r w:rsidRPr="0011790E">
              <w:rPr>
                <w:b w:val="0"/>
              </w:rPr>
              <w:t>thrombocytopenia</w:t>
            </w:r>
          </w:p>
        </w:tc>
        <w:tc>
          <w:tcPr>
            <w:cnfStyle w:val="000010000000" w:firstRow="0" w:lastRow="0" w:firstColumn="0" w:lastColumn="0" w:oddVBand="1" w:evenVBand="0" w:oddHBand="0" w:evenHBand="0" w:firstRowFirstColumn="0" w:firstRowLastColumn="0" w:lastRowFirstColumn="0" w:lastRowLastColumn="0"/>
            <w:tcW w:w="4875" w:type="dxa"/>
            <w:vMerge/>
          </w:tcPr>
          <w:p w:rsidR="001E4C63" w:rsidRDefault="001E4C63" w:rsidP="00FA383A">
            <w:pPr>
              <w:pStyle w:val="NoSpacing"/>
            </w:pPr>
          </w:p>
        </w:tc>
      </w:tr>
      <w:tr w:rsidR="001E4C63">
        <w:tc>
          <w:tcPr>
            <w:cnfStyle w:val="001000000000" w:firstRow="0" w:lastRow="0" w:firstColumn="1" w:lastColumn="0" w:oddVBand="0" w:evenVBand="0" w:oddHBand="0" w:evenHBand="0" w:firstRowFirstColumn="0" w:firstRowLastColumn="0" w:lastRowFirstColumn="0" w:lastRowLastColumn="0"/>
            <w:tcW w:w="4786" w:type="dxa"/>
          </w:tcPr>
          <w:p w:rsidR="001E4C63" w:rsidRPr="003C2C4C" w:rsidRDefault="001E4C63" w:rsidP="00FA383A">
            <w:pPr>
              <w:pStyle w:val="NoSpacing"/>
              <w:rPr>
                <w:b w:val="0"/>
              </w:rPr>
            </w:pPr>
            <w:r w:rsidRPr="003C2C4C">
              <w:rPr>
                <w:b w:val="0"/>
              </w:rPr>
              <w:t>Autoimmune disorders</w:t>
            </w:r>
          </w:p>
        </w:tc>
        <w:tc>
          <w:tcPr>
            <w:cnfStyle w:val="000010000000" w:firstRow="0" w:lastRow="0" w:firstColumn="0" w:lastColumn="0" w:oddVBand="1" w:evenVBand="0" w:oddHBand="0" w:evenHBand="0" w:firstRowFirstColumn="0" w:firstRowLastColumn="0" w:lastRowFirstColumn="0" w:lastRowLastColumn="0"/>
            <w:tcW w:w="4875" w:type="dxa"/>
            <w:vMerge/>
          </w:tcPr>
          <w:p w:rsidR="001E4C63" w:rsidRDefault="001E4C63" w:rsidP="00FA383A">
            <w:pPr>
              <w:pStyle w:val="NoSpacing"/>
            </w:pPr>
          </w:p>
        </w:tc>
      </w:tr>
      <w:tr w:rsidR="001E4C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1E4C63" w:rsidRPr="003C2C4C" w:rsidRDefault="001E4C63" w:rsidP="00B455C5">
            <w:pPr>
              <w:pStyle w:val="NoSpacing"/>
              <w:rPr>
                <w:b w:val="0"/>
              </w:rPr>
            </w:pPr>
            <w:r>
              <w:rPr>
                <w:b w:val="0"/>
              </w:rPr>
              <w:t xml:space="preserve">Hypersensitivity and allergic disorders </w:t>
            </w:r>
          </w:p>
        </w:tc>
        <w:tc>
          <w:tcPr>
            <w:cnfStyle w:val="000010000000" w:firstRow="0" w:lastRow="0" w:firstColumn="0" w:lastColumn="0" w:oddVBand="1" w:evenVBand="0" w:oddHBand="0" w:evenHBand="0" w:firstRowFirstColumn="0" w:firstRowLastColumn="0" w:lastRowFirstColumn="0" w:lastRowLastColumn="0"/>
            <w:tcW w:w="4875" w:type="dxa"/>
            <w:vMerge/>
          </w:tcPr>
          <w:p w:rsidR="001E4C63" w:rsidRDefault="001E4C63" w:rsidP="00FA383A">
            <w:pPr>
              <w:pStyle w:val="NoSpacing"/>
            </w:pPr>
          </w:p>
        </w:tc>
      </w:tr>
      <w:tr w:rsidR="001E4C63">
        <w:tc>
          <w:tcPr>
            <w:cnfStyle w:val="001000000000" w:firstRow="0" w:lastRow="0" w:firstColumn="1" w:lastColumn="0" w:oddVBand="0" w:evenVBand="0" w:oddHBand="0" w:evenHBand="0" w:firstRowFirstColumn="0" w:firstRowLastColumn="0" w:lastRowFirstColumn="0" w:lastRowLastColumn="0"/>
            <w:tcW w:w="4786" w:type="dxa"/>
          </w:tcPr>
          <w:p w:rsidR="001E4C63" w:rsidRPr="00674F5A" w:rsidRDefault="001E4C63" w:rsidP="00FA383A">
            <w:pPr>
              <w:pStyle w:val="NoSpacing"/>
              <w:rPr>
                <w:b w:val="0"/>
              </w:rPr>
            </w:pPr>
            <w:r>
              <w:rPr>
                <w:b w:val="0"/>
              </w:rPr>
              <w:t>Neoplasm of blood and blood forming organs</w:t>
            </w:r>
          </w:p>
        </w:tc>
        <w:tc>
          <w:tcPr>
            <w:cnfStyle w:val="000010000000" w:firstRow="0" w:lastRow="0" w:firstColumn="0" w:lastColumn="0" w:oddVBand="1" w:evenVBand="0" w:oddHBand="0" w:evenHBand="0" w:firstRowFirstColumn="0" w:firstRowLastColumn="0" w:lastRowFirstColumn="0" w:lastRowLastColumn="0"/>
            <w:tcW w:w="4875" w:type="dxa"/>
            <w:vMerge/>
          </w:tcPr>
          <w:p w:rsidR="001E4C63" w:rsidRDefault="001E4C63" w:rsidP="00FA383A">
            <w:pPr>
              <w:pStyle w:val="NoSpacing"/>
            </w:pPr>
          </w:p>
        </w:tc>
      </w:tr>
      <w:tr w:rsidR="001E4C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1E4C63" w:rsidRPr="00674F5A" w:rsidRDefault="001E4C63" w:rsidP="00FA383A">
            <w:pPr>
              <w:pStyle w:val="NoSpacing"/>
              <w:rPr>
                <w:b w:val="0"/>
              </w:rPr>
            </w:pPr>
            <w:r w:rsidRPr="00674F5A">
              <w:rPr>
                <w:b w:val="0"/>
              </w:rPr>
              <w:t xml:space="preserve">Other </w:t>
            </w:r>
            <w:r>
              <w:rPr>
                <w:b w:val="0"/>
              </w:rPr>
              <w:t>haematological disorders</w:t>
            </w:r>
          </w:p>
        </w:tc>
        <w:tc>
          <w:tcPr>
            <w:cnfStyle w:val="000010000000" w:firstRow="0" w:lastRow="0" w:firstColumn="0" w:lastColumn="0" w:oddVBand="1" w:evenVBand="0" w:oddHBand="0" w:evenHBand="0" w:firstRowFirstColumn="0" w:firstRowLastColumn="0" w:lastRowFirstColumn="0" w:lastRowLastColumn="0"/>
            <w:tcW w:w="4875" w:type="dxa"/>
            <w:vMerge/>
          </w:tcPr>
          <w:p w:rsidR="001E4C63" w:rsidRDefault="001E4C63" w:rsidP="00FA383A">
            <w:pPr>
              <w:pStyle w:val="NoSpacing"/>
            </w:pPr>
          </w:p>
        </w:tc>
      </w:tr>
      <w:tr w:rsidR="001E4C63">
        <w:tc>
          <w:tcPr>
            <w:cnfStyle w:val="001000000000" w:firstRow="0" w:lastRow="0" w:firstColumn="1" w:lastColumn="0" w:oddVBand="0" w:evenVBand="0" w:oddHBand="0" w:evenHBand="0" w:firstRowFirstColumn="0" w:firstRowLastColumn="0" w:lastRowFirstColumn="0" w:lastRowLastColumn="0"/>
            <w:tcW w:w="4786" w:type="dxa"/>
          </w:tcPr>
          <w:p w:rsidR="001E4C63" w:rsidRPr="00674F5A" w:rsidRDefault="001E4C63" w:rsidP="00FA383A">
            <w:pPr>
              <w:pStyle w:val="NoSpacing"/>
              <w:rPr>
                <w:b w:val="0"/>
              </w:rPr>
            </w:pPr>
            <w:r>
              <w:rPr>
                <w:b w:val="0"/>
              </w:rPr>
              <w:t>Other immunological disorders</w:t>
            </w:r>
          </w:p>
        </w:tc>
        <w:tc>
          <w:tcPr>
            <w:cnfStyle w:val="000010000000" w:firstRow="0" w:lastRow="0" w:firstColumn="0" w:lastColumn="0" w:oddVBand="1" w:evenVBand="0" w:oddHBand="0" w:evenHBand="0" w:firstRowFirstColumn="0" w:firstRowLastColumn="0" w:lastRowFirstColumn="0" w:lastRowLastColumn="0"/>
            <w:tcW w:w="4875" w:type="dxa"/>
            <w:vMerge/>
          </w:tcPr>
          <w:p w:rsidR="001E4C63" w:rsidRDefault="001E4C63" w:rsidP="00FA383A">
            <w:pPr>
              <w:pStyle w:val="NoSpacing"/>
            </w:pPr>
          </w:p>
        </w:tc>
      </w:tr>
    </w:tbl>
    <w:p w:rsidR="001E4C63" w:rsidRDefault="001E4C63" w:rsidP="006A2DC9">
      <w:pPr>
        <w:spacing w:before="0" w:after="0" w:line="240" w:lineRule="auto"/>
        <w:rPr>
          <w:rFonts w:cs="Arial"/>
          <w:szCs w:val="22"/>
        </w:rPr>
      </w:pPr>
    </w:p>
    <w:tbl>
      <w:tblPr>
        <w:tblStyle w:val="LightList-Accent1"/>
        <w:tblW w:w="0" w:type="auto"/>
        <w:tblLook w:val="00A0" w:firstRow="1" w:lastRow="0" w:firstColumn="1" w:lastColumn="0" w:noHBand="0" w:noVBand="0"/>
        <w:tblCaption w:val="MDC 17 Neoplastic disorders (haematological and solid neoplasms)"/>
        <w:tblDescription w:val="Table of two columns, the first column listing proposed presenting problem/diagnosis-type groupings and the second column listing proposed intervention-type groupings for MDC 17 Neoplastic disorders (haematological and solid neoplasms)."/>
      </w:tblPr>
      <w:tblGrid>
        <w:gridCol w:w="4786"/>
        <w:gridCol w:w="4875"/>
      </w:tblGrid>
      <w:tr w:rsidR="001E4C63" w:rsidTr="00A966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661" w:type="dxa"/>
            <w:gridSpan w:val="2"/>
          </w:tcPr>
          <w:p w:rsidR="001E4C63" w:rsidRPr="008926DA" w:rsidRDefault="001E4C63" w:rsidP="00FA383A">
            <w:pPr>
              <w:pStyle w:val="NoSpacing"/>
              <w:rPr>
                <w:b w:val="0"/>
              </w:rPr>
            </w:pPr>
            <w:r w:rsidRPr="00520DB4">
              <w:t>MDC 17 Neoplastic Disorders (Haematological and Solid Neoplasms)</w:t>
            </w:r>
          </w:p>
        </w:tc>
      </w:tr>
      <w:tr w:rsidR="005F38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5F38D0" w:rsidRPr="005F38D0" w:rsidRDefault="005F38D0" w:rsidP="00344411">
            <w:pPr>
              <w:pStyle w:val="NoSpacing"/>
            </w:pPr>
            <w:r w:rsidRPr="005F38D0">
              <w:t>Proposed presenting problem / diagnosis-type groupings</w:t>
            </w:r>
          </w:p>
        </w:tc>
        <w:tc>
          <w:tcPr>
            <w:cnfStyle w:val="000010000000" w:firstRow="0" w:lastRow="0" w:firstColumn="0" w:lastColumn="0" w:oddVBand="1" w:evenVBand="0" w:oddHBand="0" w:evenHBand="0" w:firstRowFirstColumn="0" w:firstRowLastColumn="0" w:lastRowFirstColumn="0" w:lastRowLastColumn="0"/>
            <w:tcW w:w="4875" w:type="dxa"/>
          </w:tcPr>
          <w:p w:rsidR="005F38D0" w:rsidRPr="005F38D0" w:rsidRDefault="005F38D0" w:rsidP="00344411">
            <w:pPr>
              <w:pStyle w:val="NoSpacing"/>
              <w:rPr>
                <w:b/>
              </w:rPr>
            </w:pPr>
            <w:r w:rsidRPr="005F38D0">
              <w:rPr>
                <w:b/>
              </w:rPr>
              <w:t>Proposed intervention-type groupings</w:t>
            </w:r>
          </w:p>
        </w:tc>
      </w:tr>
      <w:tr w:rsidR="001E4C63">
        <w:tc>
          <w:tcPr>
            <w:cnfStyle w:val="001000000000" w:firstRow="0" w:lastRow="0" w:firstColumn="1" w:lastColumn="0" w:oddVBand="0" w:evenVBand="0" w:oddHBand="0" w:evenHBand="0" w:firstRowFirstColumn="0" w:firstRowLastColumn="0" w:lastRowFirstColumn="0" w:lastRowLastColumn="0"/>
            <w:tcW w:w="4786" w:type="dxa"/>
          </w:tcPr>
          <w:p w:rsidR="001E4C63" w:rsidRDefault="001E4C63" w:rsidP="00FA383A">
            <w:pPr>
              <w:pStyle w:val="NoSpacing"/>
              <w:rPr>
                <w:b w:val="0"/>
              </w:rPr>
            </w:pPr>
            <w:r>
              <w:rPr>
                <w:b w:val="0"/>
              </w:rPr>
              <w:t xml:space="preserve">Neoplasms of haematopoietic or lymphoid tissue </w:t>
            </w:r>
          </w:p>
          <w:p w:rsidR="001E4C63" w:rsidRPr="00BA6BDA" w:rsidRDefault="001E4C63" w:rsidP="009768EE">
            <w:pPr>
              <w:pStyle w:val="NoSpacing"/>
              <w:numPr>
                <w:ilvl w:val="0"/>
                <w:numId w:val="61"/>
              </w:numPr>
              <w:ind w:left="284" w:hanging="284"/>
              <w:rPr>
                <w:b w:val="0"/>
              </w:rPr>
            </w:pPr>
            <w:r>
              <w:rPr>
                <w:b w:val="0"/>
              </w:rPr>
              <w:t>l</w:t>
            </w:r>
            <w:r w:rsidRPr="00BA6BDA">
              <w:rPr>
                <w:b w:val="0"/>
              </w:rPr>
              <w:t>eukaemia</w:t>
            </w:r>
          </w:p>
          <w:p w:rsidR="001E4C63" w:rsidRPr="00BA6BDA" w:rsidRDefault="001E4C63" w:rsidP="009768EE">
            <w:pPr>
              <w:pStyle w:val="NoSpacing"/>
              <w:numPr>
                <w:ilvl w:val="0"/>
                <w:numId w:val="61"/>
              </w:numPr>
              <w:ind w:left="284" w:hanging="284"/>
              <w:rPr>
                <w:b w:val="0"/>
              </w:rPr>
            </w:pPr>
            <w:r>
              <w:rPr>
                <w:b w:val="0"/>
              </w:rPr>
              <w:t>l</w:t>
            </w:r>
            <w:r w:rsidRPr="00BA6BDA">
              <w:rPr>
                <w:b w:val="0"/>
              </w:rPr>
              <w:t>ymphoma</w:t>
            </w:r>
          </w:p>
          <w:p w:rsidR="001E4C63" w:rsidRPr="00BA6BDA" w:rsidRDefault="001E4C63" w:rsidP="009768EE">
            <w:pPr>
              <w:pStyle w:val="NoSpacing"/>
              <w:numPr>
                <w:ilvl w:val="0"/>
                <w:numId w:val="61"/>
              </w:numPr>
              <w:ind w:left="284" w:hanging="284"/>
              <w:rPr>
                <w:b w:val="0"/>
              </w:rPr>
            </w:pPr>
            <w:r>
              <w:rPr>
                <w:b w:val="0"/>
              </w:rPr>
              <w:t>m</w:t>
            </w:r>
            <w:r w:rsidRPr="00BA6BDA">
              <w:rPr>
                <w:b w:val="0"/>
              </w:rPr>
              <w:t>yelodyspla</w:t>
            </w:r>
            <w:r>
              <w:rPr>
                <w:b w:val="0"/>
              </w:rPr>
              <w:t>s</w:t>
            </w:r>
            <w:r w:rsidRPr="00BA6BDA">
              <w:rPr>
                <w:b w:val="0"/>
              </w:rPr>
              <w:t>tic syndromes</w:t>
            </w:r>
          </w:p>
          <w:p w:rsidR="001E4C63" w:rsidRPr="00D051F5" w:rsidRDefault="001E4C63" w:rsidP="009768EE">
            <w:pPr>
              <w:pStyle w:val="NoSpacing"/>
              <w:numPr>
                <w:ilvl w:val="0"/>
                <w:numId w:val="61"/>
              </w:numPr>
              <w:ind w:left="284" w:hanging="284"/>
              <w:rPr>
                <w:b w:val="0"/>
              </w:rPr>
            </w:pPr>
            <w:r>
              <w:rPr>
                <w:b w:val="0"/>
              </w:rPr>
              <w:t>m</w:t>
            </w:r>
            <w:r w:rsidRPr="00BA6BDA">
              <w:rPr>
                <w:b w:val="0"/>
              </w:rPr>
              <w:t>yeloproliferative neoplasms</w:t>
            </w:r>
          </w:p>
        </w:tc>
        <w:tc>
          <w:tcPr>
            <w:cnfStyle w:val="000010000000" w:firstRow="0" w:lastRow="0" w:firstColumn="0" w:lastColumn="0" w:oddVBand="1" w:evenVBand="0" w:oddHBand="0" w:evenHBand="0" w:firstRowFirstColumn="0" w:firstRowLastColumn="0" w:lastRowFirstColumn="0" w:lastRowLastColumn="0"/>
            <w:tcW w:w="4875" w:type="dxa"/>
            <w:vMerge w:val="restart"/>
          </w:tcPr>
          <w:p w:rsidR="001E4C63" w:rsidRDefault="001E4C63" w:rsidP="009768EE">
            <w:pPr>
              <w:pStyle w:val="NoSpacing"/>
              <w:numPr>
                <w:ilvl w:val="0"/>
                <w:numId w:val="62"/>
              </w:numPr>
              <w:ind w:left="317" w:hanging="283"/>
            </w:pPr>
            <w:r>
              <w:t>Bone marrow biopsy</w:t>
            </w:r>
          </w:p>
          <w:p w:rsidR="00BF2938" w:rsidRDefault="00BF2938" w:rsidP="009768EE">
            <w:pPr>
              <w:pStyle w:val="NoSpacing"/>
              <w:numPr>
                <w:ilvl w:val="0"/>
                <w:numId w:val="62"/>
              </w:numPr>
              <w:ind w:left="317" w:hanging="283"/>
            </w:pPr>
            <w:r>
              <w:t>Bone marrow transplant</w:t>
            </w:r>
          </w:p>
          <w:p w:rsidR="001E4C63" w:rsidRDefault="001E4C63" w:rsidP="009768EE">
            <w:pPr>
              <w:pStyle w:val="NoSpacing"/>
              <w:numPr>
                <w:ilvl w:val="0"/>
                <w:numId w:val="62"/>
              </w:numPr>
              <w:ind w:left="317" w:hanging="283"/>
            </w:pPr>
            <w:r>
              <w:t>Chemotherapy</w:t>
            </w:r>
          </w:p>
          <w:p w:rsidR="001E4C63" w:rsidRDefault="001E4C63" w:rsidP="009768EE">
            <w:pPr>
              <w:pStyle w:val="NoSpacing"/>
              <w:numPr>
                <w:ilvl w:val="0"/>
                <w:numId w:val="62"/>
              </w:numPr>
              <w:ind w:left="317" w:hanging="283"/>
            </w:pPr>
            <w:r>
              <w:t>Hormonal treatment</w:t>
            </w:r>
          </w:p>
          <w:p w:rsidR="001E4C63" w:rsidRDefault="001E4C63" w:rsidP="009768EE">
            <w:pPr>
              <w:pStyle w:val="NoSpacing"/>
              <w:numPr>
                <w:ilvl w:val="0"/>
                <w:numId w:val="62"/>
              </w:numPr>
              <w:ind w:left="317" w:hanging="283"/>
            </w:pPr>
            <w:r>
              <w:t>Insertion venous access device</w:t>
            </w:r>
          </w:p>
          <w:p w:rsidR="001E4C63" w:rsidRDefault="001E4C63" w:rsidP="00A360CE">
            <w:pPr>
              <w:pStyle w:val="NoSpacing"/>
              <w:numPr>
                <w:ilvl w:val="0"/>
                <w:numId w:val="63"/>
              </w:numPr>
            </w:pPr>
            <w:r>
              <w:t>peripherally i</w:t>
            </w:r>
            <w:r w:rsidRPr="00F81B02">
              <w:t xml:space="preserve">nserted </w:t>
            </w:r>
            <w:r>
              <w:t>c</w:t>
            </w:r>
            <w:r w:rsidRPr="00F81B02">
              <w:t xml:space="preserve">entral </w:t>
            </w:r>
            <w:r>
              <w:t>c</w:t>
            </w:r>
            <w:r w:rsidRPr="00F81B02">
              <w:t>atheter</w:t>
            </w:r>
            <w:r>
              <w:t xml:space="preserve"> (PICC) </w:t>
            </w:r>
          </w:p>
          <w:p w:rsidR="001E4C63" w:rsidRDefault="001E4C63" w:rsidP="00A360CE">
            <w:pPr>
              <w:pStyle w:val="NoSpacing"/>
              <w:numPr>
                <w:ilvl w:val="0"/>
                <w:numId w:val="63"/>
              </w:numPr>
            </w:pPr>
            <w:r>
              <w:t>portacath</w:t>
            </w:r>
          </w:p>
          <w:p w:rsidR="001E4C63" w:rsidRDefault="001E4C63" w:rsidP="009768EE">
            <w:pPr>
              <w:pStyle w:val="NoSpacing"/>
              <w:numPr>
                <w:ilvl w:val="0"/>
                <w:numId w:val="62"/>
              </w:numPr>
              <w:ind w:left="317" w:hanging="283"/>
            </w:pPr>
            <w:r>
              <w:t>Radiotherapy</w:t>
            </w:r>
          </w:p>
          <w:p w:rsidR="001E4C63" w:rsidRPr="00B47136" w:rsidRDefault="001E4C63" w:rsidP="009768EE">
            <w:pPr>
              <w:pStyle w:val="NoSpacing"/>
              <w:numPr>
                <w:ilvl w:val="0"/>
                <w:numId w:val="62"/>
              </w:numPr>
              <w:ind w:left="317" w:hanging="283"/>
            </w:pPr>
            <w:r w:rsidRPr="00B47136">
              <w:t>Radiation therapy simulation, planning and dosimetry</w:t>
            </w:r>
          </w:p>
        </w:tc>
      </w:tr>
      <w:tr w:rsidR="001E4C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1E4C63" w:rsidRPr="00D051F5" w:rsidRDefault="001E4C63" w:rsidP="00B455C5">
            <w:pPr>
              <w:pStyle w:val="NoSpacing"/>
              <w:rPr>
                <w:b w:val="0"/>
              </w:rPr>
            </w:pPr>
            <w:r w:rsidRPr="00D051F5">
              <w:rPr>
                <w:b w:val="0"/>
              </w:rPr>
              <w:t xml:space="preserve">Other </w:t>
            </w:r>
            <w:r>
              <w:rPr>
                <w:b w:val="0"/>
              </w:rPr>
              <w:t>n</w:t>
            </w:r>
            <w:r w:rsidRPr="00D051F5">
              <w:rPr>
                <w:b w:val="0"/>
              </w:rPr>
              <w:t xml:space="preserve">eoplastic </w:t>
            </w:r>
            <w:r>
              <w:rPr>
                <w:b w:val="0"/>
              </w:rPr>
              <w:t>d</w:t>
            </w:r>
            <w:r w:rsidRPr="00D051F5">
              <w:rPr>
                <w:b w:val="0"/>
              </w:rPr>
              <w:t>isorders</w:t>
            </w:r>
            <w:r>
              <w:rPr>
                <w:b w:val="0"/>
              </w:rPr>
              <w:t xml:space="preserve"> </w:t>
            </w:r>
          </w:p>
        </w:tc>
        <w:tc>
          <w:tcPr>
            <w:cnfStyle w:val="000010000000" w:firstRow="0" w:lastRow="0" w:firstColumn="0" w:lastColumn="0" w:oddVBand="1" w:evenVBand="0" w:oddHBand="0" w:evenHBand="0" w:firstRowFirstColumn="0" w:firstRowLastColumn="0" w:lastRowFirstColumn="0" w:lastRowLastColumn="0"/>
            <w:tcW w:w="4875" w:type="dxa"/>
            <w:vMerge/>
          </w:tcPr>
          <w:p w:rsidR="001E4C63" w:rsidRDefault="001E4C63" w:rsidP="00FA383A">
            <w:pPr>
              <w:pStyle w:val="NoSpacing"/>
            </w:pPr>
          </w:p>
        </w:tc>
      </w:tr>
    </w:tbl>
    <w:p w:rsidR="001E4C63" w:rsidRDefault="001E4C63" w:rsidP="00D9048F">
      <w:pPr>
        <w:spacing w:before="0" w:after="0"/>
        <w:rPr>
          <w:rFonts w:cs="Arial"/>
          <w:szCs w:val="22"/>
        </w:rPr>
      </w:pPr>
    </w:p>
    <w:tbl>
      <w:tblPr>
        <w:tblStyle w:val="LightList-Accent1"/>
        <w:tblW w:w="0" w:type="auto"/>
        <w:tblLook w:val="00A0" w:firstRow="1" w:lastRow="0" w:firstColumn="1" w:lastColumn="0" w:noHBand="0" w:noVBand="0"/>
        <w:tblCaption w:val="MDC 18 Infectious and parasitic diseases"/>
        <w:tblDescription w:val="Table of two columns, the first column listing proposed presenting problem/diagnosis-type groupings and the second column listing proposed intervention-type groupings for MDC 18 Infectious and parasitic diseases."/>
      </w:tblPr>
      <w:tblGrid>
        <w:gridCol w:w="4757"/>
        <w:gridCol w:w="4904"/>
      </w:tblGrid>
      <w:tr w:rsidR="001E4C63" w:rsidTr="00A966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661" w:type="dxa"/>
            <w:gridSpan w:val="2"/>
          </w:tcPr>
          <w:p w:rsidR="001E4C63" w:rsidRPr="008926DA" w:rsidRDefault="001E4C63" w:rsidP="00FA383A">
            <w:pPr>
              <w:pStyle w:val="NoSpacing"/>
              <w:rPr>
                <w:b w:val="0"/>
              </w:rPr>
            </w:pPr>
            <w:r w:rsidRPr="00CD7037">
              <w:t>MDC 18 Infectious and Parasitic Diseases</w:t>
            </w:r>
          </w:p>
        </w:tc>
      </w:tr>
      <w:tr w:rsidR="005F38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7" w:type="dxa"/>
          </w:tcPr>
          <w:p w:rsidR="005F38D0" w:rsidRPr="005F38D0" w:rsidRDefault="005F38D0" w:rsidP="00344411">
            <w:pPr>
              <w:pStyle w:val="NoSpacing"/>
            </w:pPr>
            <w:r w:rsidRPr="005F38D0">
              <w:t>Proposed presenting problem / diagnosis-type groupings</w:t>
            </w:r>
          </w:p>
        </w:tc>
        <w:tc>
          <w:tcPr>
            <w:cnfStyle w:val="000010000000" w:firstRow="0" w:lastRow="0" w:firstColumn="0" w:lastColumn="0" w:oddVBand="1" w:evenVBand="0" w:oddHBand="0" w:evenHBand="0" w:firstRowFirstColumn="0" w:firstRowLastColumn="0" w:lastRowFirstColumn="0" w:lastRowLastColumn="0"/>
            <w:tcW w:w="4904" w:type="dxa"/>
          </w:tcPr>
          <w:p w:rsidR="005F38D0" w:rsidRPr="005F38D0" w:rsidRDefault="005F38D0" w:rsidP="00344411">
            <w:pPr>
              <w:pStyle w:val="NoSpacing"/>
              <w:rPr>
                <w:b/>
              </w:rPr>
            </w:pPr>
            <w:r w:rsidRPr="005F38D0">
              <w:rPr>
                <w:b/>
              </w:rPr>
              <w:t>Proposed intervention-type groupings</w:t>
            </w:r>
          </w:p>
        </w:tc>
      </w:tr>
      <w:tr w:rsidR="001E4C63">
        <w:tc>
          <w:tcPr>
            <w:cnfStyle w:val="001000000000" w:firstRow="0" w:lastRow="0" w:firstColumn="1" w:lastColumn="0" w:oddVBand="0" w:evenVBand="0" w:oddHBand="0" w:evenHBand="0" w:firstRowFirstColumn="0" w:firstRowLastColumn="0" w:lastRowFirstColumn="0" w:lastRowLastColumn="0"/>
            <w:tcW w:w="4757" w:type="dxa"/>
          </w:tcPr>
          <w:p w:rsidR="001E4C63" w:rsidRPr="002A65B0" w:rsidRDefault="001E4C63" w:rsidP="00B455C5">
            <w:pPr>
              <w:pStyle w:val="NoSpacing"/>
              <w:rPr>
                <w:b w:val="0"/>
              </w:rPr>
            </w:pPr>
            <w:r w:rsidRPr="002A65B0">
              <w:rPr>
                <w:b w:val="0"/>
              </w:rPr>
              <w:t xml:space="preserve">Human </w:t>
            </w:r>
            <w:r>
              <w:rPr>
                <w:b w:val="0"/>
              </w:rPr>
              <w:t>i</w:t>
            </w:r>
            <w:r w:rsidRPr="002A65B0">
              <w:rPr>
                <w:b w:val="0"/>
              </w:rPr>
              <w:t xml:space="preserve">mmunodeficiency </w:t>
            </w:r>
            <w:r>
              <w:rPr>
                <w:b w:val="0"/>
              </w:rPr>
              <w:t>v</w:t>
            </w:r>
            <w:r w:rsidRPr="002A65B0">
              <w:rPr>
                <w:b w:val="0"/>
              </w:rPr>
              <w:t>irus</w:t>
            </w:r>
            <w:r>
              <w:rPr>
                <w:b w:val="0"/>
              </w:rPr>
              <w:t xml:space="preserve"> (HIV) </w:t>
            </w:r>
          </w:p>
        </w:tc>
        <w:tc>
          <w:tcPr>
            <w:cnfStyle w:val="000010000000" w:firstRow="0" w:lastRow="0" w:firstColumn="0" w:lastColumn="0" w:oddVBand="1" w:evenVBand="0" w:oddHBand="0" w:evenHBand="0" w:firstRowFirstColumn="0" w:firstRowLastColumn="0" w:lastRowFirstColumn="0" w:lastRowLastColumn="0"/>
            <w:tcW w:w="4904" w:type="dxa"/>
            <w:vMerge w:val="restart"/>
          </w:tcPr>
          <w:p w:rsidR="001E4C63" w:rsidRPr="00126CAB" w:rsidRDefault="001E4C63" w:rsidP="009768EE">
            <w:pPr>
              <w:pStyle w:val="NoSpacing"/>
              <w:numPr>
                <w:ilvl w:val="0"/>
                <w:numId w:val="16"/>
              </w:numPr>
              <w:ind w:left="346" w:hanging="346"/>
            </w:pPr>
            <w:r w:rsidRPr="00126CAB">
              <w:t>Wound dressings</w:t>
            </w:r>
          </w:p>
          <w:p w:rsidR="001E4C63" w:rsidRDefault="001E4C63" w:rsidP="009768EE">
            <w:pPr>
              <w:pStyle w:val="NoSpacing"/>
              <w:numPr>
                <w:ilvl w:val="0"/>
                <w:numId w:val="16"/>
              </w:numPr>
              <w:ind w:left="346" w:hanging="346"/>
            </w:pPr>
            <w:r w:rsidRPr="00126CAB">
              <w:t>Infusions</w:t>
            </w:r>
          </w:p>
          <w:p w:rsidR="001E4C63" w:rsidRPr="00126CAB" w:rsidRDefault="001E4C63" w:rsidP="00A360CE">
            <w:pPr>
              <w:pStyle w:val="NoSpacing"/>
              <w:numPr>
                <w:ilvl w:val="0"/>
                <w:numId w:val="64"/>
              </w:numPr>
            </w:pPr>
            <w:r>
              <w:t>antibiotics</w:t>
            </w:r>
          </w:p>
        </w:tc>
      </w:tr>
      <w:tr w:rsidR="001E4C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7" w:type="dxa"/>
          </w:tcPr>
          <w:p w:rsidR="001E4C63" w:rsidRDefault="001E4C63" w:rsidP="00B455C5">
            <w:pPr>
              <w:pStyle w:val="NoSpacing"/>
              <w:rPr>
                <w:b w:val="0"/>
              </w:rPr>
            </w:pPr>
            <w:r>
              <w:rPr>
                <w:b w:val="0"/>
              </w:rPr>
              <w:t xml:space="preserve">Fever of unknown origin  </w:t>
            </w:r>
          </w:p>
        </w:tc>
        <w:tc>
          <w:tcPr>
            <w:cnfStyle w:val="000010000000" w:firstRow="0" w:lastRow="0" w:firstColumn="0" w:lastColumn="0" w:oddVBand="1" w:evenVBand="0" w:oddHBand="0" w:evenHBand="0" w:firstRowFirstColumn="0" w:firstRowLastColumn="0" w:lastRowFirstColumn="0" w:lastRowLastColumn="0"/>
            <w:tcW w:w="4904" w:type="dxa"/>
            <w:vMerge/>
          </w:tcPr>
          <w:p w:rsidR="001E4C63" w:rsidRPr="00523FAD" w:rsidRDefault="001E4C63" w:rsidP="00FA383A">
            <w:pPr>
              <w:pStyle w:val="NoSpacing"/>
              <w:rPr>
                <w:color w:val="000000"/>
              </w:rPr>
            </w:pPr>
          </w:p>
        </w:tc>
      </w:tr>
      <w:tr w:rsidR="001E4C63">
        <w:tc>
          <w:tcPr>
            <w:cnfStyle w:val="001000000000" w:firstRow="0" w:lastRow="0" w:firstColumn="1" w:lastColumn="0" w:oddVBand="0" w:evenVBand="0" w:oddHBand="0" w:evenHBand="0" w:firstRowFirstColumn="0" w:firstRowLastColumn="0" w:lastRowFirstColumn="0" w:lastRowLastColumn="0"/>
            <w:tcW w:w="4757" w:type="dxa"/>
          </w:tcPr>
          <w:p w:rsidR="001E4C63" w:rsidRPr="00F452F8" w:rsidRDefault="001E4C63" w:rsidP="00B455C5">
            <w:pPr>
              <w:pStyle w:val="NoSpacing"/>
              <w:rPr>
                <w:b w:val="0"/>
              </w:rPr>
            </w:pPr>
            <w:r>
              <w:rPr>
                <w:b w:val="0"/>
              </w:rPr>
              <w:t>Viral i</w:t>
            </w:r>
            <w:r w:rsidRPr="002A65B0">
              <w:rPr>
                <w:b w:val="0"/>
              </w:rPr>
              <w:t>llness</w:t>
            </w:r>
            <w:r>
              <w:rPr>
                <w:b w:val="0"/>
              </w:rPr>
              <w:t xml:space="preserve"> </w:t>
            </w:r>
          </w:p>
        </w:tc>
        <w:tc>
          <w:tcPr>
            <w:cnfStyle w:val="000010000000" w:firstRow="0" w:lastRow="0" w:firstColumn="0" w:lastColumn="0" w:oddVBand="1" w:evenVBand="0" w:oddHBand="0" w:evenHBand="0" w:firstRowFirstColumn="0" w:firstRowLastColumn="0" w:lastRowFirstColumn="0" w:lastRowLastColumn="0"/>
            <w:tcW w:w="4904" w:type="dxa"/>
            <w:vMerge/>
          </w:tcPr>
          <w:p w:rsidR="001E4C63" w:rsidRPr="00523FAD" w:rsidRDefault="001E4C63" w:rsidP="00FA383A">
            <w:pPr>
              <w:pStyle w:val="NoSpacing"/>
              <w:rPr>
                <w:color w:val="000000"/>
              </w:rPr>
            </w:pPr>
          </w:p>
        </w:tc>
      </w:tr>
      <w:tr w:rsidR="001E4C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7" w:type="dxa"/>
          </w:tcPr>
          <w:p w:rsidR="001E4C63" w:rsidRPr="00126CAB" w:rsidRDefault="001E4C63" w:rsidP="00FA383A">
            <w:pPr>
              <w:pStyle w:val="NoSpacing"/>
              <w:rPr>
                <w:b w:val="0"/>
              </w:rPr>
            </w:pPr>
            <w:r w:rsidRPr="00126CAB">
              <w:rPr>
                <w:b w:val="0"/>
              </w:rPr>
              <w:t>Bacterial illness</w:t>
            </w:r>
          </w:p>
        </w:tc>
        <w:tc>
          <w:tcPr>
            <w:cnfStyle w:val="000010000000" w:firstRow="0" w:lastRow="0" w:firstColumn="0" w:lastColumn="0" w:oddVBand="1" w:evenVBand="0" w:oddHBand="0" w:evenHBand="0" w:firstRowFirstColumn="0" w:firstRowLastColumn="0" w:lastRowFirstColumn="0" w:lastRowLastColumn="0"/>
            <w:tcW w:w="4904" w:type="dxa"/>
            <w:vMerge/>
          </w:tcPr>
          <w:p w:rsidR="001E4C63" w:rsidRPr="00523FAD" w:rsidRDefault="001E4C63" w:rsidP="00FA383A">
            <w:pPr>
              <w:pStyle w:val="NoSpacing"/>
              <w:rPr>
                <w:color w:val="000000"/>
              </w:rPr>
            </w:pPr>
          </w:p>
        </w:tc>
      </w:tr>
      <w:tr w:rsidR="001E4C63">
        <w:tc>
          <w:tcPr>
            <w:cnfStyle w:val="001000000000" w:firstRow="0" w:lastRow="0" w:firstColumn="1" w:lastColumn="0" w:oddVBand="0" w:evenVBand="0" w:oddHBand="0" w:evenHBand="0" w:firstRowFirstColumn="0" w:firstRowLastColumn="0" w:lastRowFirstColumn="0" w:lastRowLastColumn="0"/>
            <w:tcW w:w="4757" w:type="dxa"/>
          </w:tcPr>
          <w:p w:rsidR="001E4C63" w:rsidRPr="00126CAB" w:rsidRDefault="001E4C63" w:rsidP="00B455C5">
            <w:pPr>
              <w:pStyle w:val="NoSpacing"/>
              <w:rPr>
                <w:b w:val="0"/>
              </w:rPr>
            </w:pPr>
            <w:r w:rsidRPr="00126CAB">
              <w:rPr>
                <w:b w:val="0"/>
              </w:rPr>
              <w:t xml:space="preserve">Sexually transmitted diseases </w:t>
            </w:r>
          </w:p>
        </w:tc>
        <w:tc>
          <w:tcPr>
            <w:cnfStyle w:val="000010000000" w:firstRow="0" w:lastRow="0" w:firstColumn="0" w:lastColumn="0" w:oddVBand="1" w:evenVBand="0" w:oddHBand="0" w:evenHBand="0" w:firstRowFirstColumn="0" w:firstRowLastColumn="0" w:lastRowFirstColumn="0" w:lastRowLastColumn="0"/>
            <w:tcW w:w="4904" w:type="dxa"/>
            <w:vMerge/>
          </w:tcPr>
          <w:p w:rsidR="001E4C63" w:rsidRDefault="001E4C63" w:rsidP="00FA383A">
            <w:pPr>
              <w:pStyle w:val="NoSpacing"/>
            </w:pPr>
          </w:p>
        </w:tc>
      </w:tr>
      <w:tr w:rsidR="001E4C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7" w:type="dxa"/>
          </w:tcPr>
          <w:p w:rsidR="001E4C63" w:rsidRDefault="001E4C63" w:rsidP="00FA383A">
            <w:pPr>
              <w:pStyle w:val="NoSpacing"/>
              <w:rPr>
                <w:b w:val="0"/>
              </w:rPr>
            </w:pPr>
            <w:r>
              <w:rPr>
                <w:b w:val="0"/>
              </w:rPr>
              <w:t xml:space="preserve">Postoperative infections </w:t>
            </w:r>
          </w:p>
          <w:p w:rsidR="001E4C63" w:rsidRDefault="001E4C63" w:rsidP="009768EE">
            <w:pPr>
              <w:pStyle w:val="NoSpacing"/>
              <w:numPr>
                <w:ilvl w:val="0"/>
                <w:numId w:val="65"/>
              </w:numPr>
              <w:ind w:left="284" w:hanging="284"/>
              <w:rPr>
                <w:b w:val="0"/>
              </w:rPr>
            </w:pPr>
            <w:r>
              <w:rPr>
                <w:b w:val="0"/>
              </w:rPr>
              <w:t>d</w:t>
            </w:r>
            <w:r w:rsidRPr="00AD44E8">
              <w:rPr>
                <w:b w:val="0"/>
              </w:rPr>
              <w:t>isruption of wound</w:t>
            </w:r>
          </w:p>
          <w:p w:rsidR="001E4C63" w:rsidRPr="00AC5AC1" w:rsidRDefault="001E4C63" w:rsidP="009768EE">
            <w:pPr>
              <w:pStyle w:val="NoSpacing"/>
              <w:numPr>
                <w:ilvl w:val="0"/>
                <w:numId w:val="65"/>
              </w:numPr>
              <w:ind w:left="284" w:hanging="284"/>
              <w:rPr>
                <w:b w:val="0"/>
              </w:rPr>
            </w:pPr>
            <w:r w:rsidRPr="00AC5AC1">
              <w:rPr>
                <w:b w:val="0"/>
              </w:rPr>
              <w:t>infection of wound</w:t>
            </w:r>
          </w:p>
        </w:tc>
        <w:tc>
          <w:tcPr>
            <w:cnfStyle w:val="000010000000" w:firstRow="0" w:lastRow="0" w:firstColumn="0" w:lastColumn="0" w:oddVBand="1" w:evenVBand="0" w:oddHBand="0" w:evenHBand="0" w:firstRowFirstColumn="0" w:firstRowLastColumn="0" w:lastRowFirstColumn="0" w:lastRowLastColumn="0"/>
            <w:tcW w:w="4904" w:type="dxa"/>
            <w:vMerge/>
          </w:tcPr>
          <w:p w:rsidR="001E4C63" w:rsidRDefault="001E4C63" w:rsidP="00FA383A">
            <w:pPr>
              <w:pStyle w:val="NoSpacing"/>
            </w:pPr>
          </w:p>
        </w:tc>
      </w:tr>
      <w:tr w:rsidR="001E4C63">
        <w:tc>
          <w:tcPr>
            <w:cnfStyle w:val="001000000000" w:firstRow="0" w:lastRow="0" w:firstColumn="1" w:lastColumn="0" w:oddVBand="0" w:evenVBand="0" w:oddHBand="0" w:evenHBand="0" w:firstRowFirstColumn="0" w:firstRowLastColumn="0" w:lastRowFirstColumn="0" w:lastRowLastColumn="0"/>
            <w:tcW w:w="4757" w:type="dxa"/>
          </w:tcPr>
          <w:p w:rsidR="001E4C63" w:rsidRPr="00126CAB" w:rsidRDefault="001E4C63" w:rsidP="00FA383A">
            <w:pPr>
              <w:pStyle w:val="NoSpacing"/>
              <w:rPr>
                <w:b w:val="0"/>
              </w:rPr>
            </w:pPr>
            <w:r w:rsidRPr="00126CAB">
              <w:rPr>
                <w:b w:val="0"/>
              </w:rPr>
              <w:t>Other infections</w:t>
            </w:r>
            <w:r>
              <w:rPr>
                <w:b w:val="0"/>
              </w:rPr>
              <w:t xml:space="preserve"> and parasitic diseases</w:t>
            </w:r>
          </w:p>
        </w:tc>
        <w:tc>
          <w:tcPr>
            <w:cnfStyle w:val="000010000000" w:firstRow="0" w:lastRow="0" w:firstColumn="0" w:lastColumn="0" w:oddVBand="1" w:evenVBand="0" w:oddHBand="0" w:evenHBand="0" w:firstRowFirstColumn="0" w:firstRowLastColumn="0" w:lastRowFirstColumn="0" w:lastRowLastColumn="0"/>
            <w:tcW w:w="4904" w:type="dxa"/>
            <w:vMerge/>
          </w:tcPr>
          <w:p w:rsidR="001E4C63" w:rsidRDefault="001E4C63" w:rsidP="00FA383A">
            <w:pPr>
              <w:pStyle w:val="NoSpacing"/>
            </w:pPr>
          </w:p>
        </w:tc>
      </w:tr>
    </w:tbl>
    <w:p w:rsidR="001E4C63" w:rsidRDefault="001E4C63" w:rsidP="00D9048F">
      <w:pPr>
        <w:spacing w:before="0" w:after="0"/>
        <w:rPr>
          <w:rFonts w:cs="Arial"/>
          <w:szCs w:val="22"/>
        </w:rPr>
      </w:pPr>
    </w:p>
    <w:tbl>
      <w:tblPr>
        <w:tblStyle w:val="LightList-Accent1"/>
        <w:tblW w:w="0" w:type="auto"/>
        <w:tblLayout w:type="fixed"/>
        <w:tblLook w:val="00A0" w:firstRow="1" w:lastRow="0" w:firstColumn="1" w:lastColumn="0" w:noHBand="0" w:noVBand="0"/>
        <w:tblCaption w:val="MDC 19 Mental diseases and disorders"/>
        <w:tblDescription w:val="Table of two columns, the first column listing proposed presenting problem/diagnosis-type groupings and the second column listing proposed intervention-type groupings for MDC 19 Mental diseases and disorders."/>
      </w:tblPr>
      <w:tblGrid>
        <w:gridCol w:w="4786"/>
        <w:gridCol w:w="4875"/>
      </w:tblGrid>
      <w:tr w:rsidR="001E4C63" w:rsidTr="00A966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661" w:type="dxa"/>
            <w:gridSpan w:val="2"/>
          </w:tcPr>
          <w:p w:rsidR="001E4C63" w:rsidRPr="008926DA" w:rsidRDefault="001E4C63" w:rsidP="00FA383A">
            <w:pPr>
              <w:pStyle w:val="NoSpacing"/>
              <w:rPr>
                <w:b w:val="0"/>
              </w:rPr>
            </w:pPr>
            <w:r w:rsidRPr="00B146F3">
              <w:t>MDC 19 Mental Diseases and Disorders</w:t>
            </w:r>
          </w:p>
        </w:tc>
      </w:tr>
      <w:tr w:rsidR="005F38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5F38D0" w:rsidRPr="005F38D0" w:rsidRDefault="005F38D0" w:rsidP="00344411">
            <w:pPr>
              <w:pStyle w:val="NoSpacing"/>
            </w:pPr>
            <w:r w:rsidRPr="005F38D0">
              <w:t>Proposed presenting problem / diagnosis-type groupings</w:t>
            </w:r>
          </w:p>
        </w:tc>
        <w:tc>
          <w:tcPr>
            <w:cnfStyle w:val="000010000000" w:firstRow="0" w:lastRow="0" w:firstColumn="0" w:lastColumn="0" w:oddVBand="1" w:evenVBand="0" w:oddHBand="0" w:evenHBand="0" w:firstRowFirstColumn="0" w:firstRowLastColumn="0" w:lastRowFirstColumn="0" w:lastRowLastColumn="0"/>
            <w:tcW w:w="4875" w:type="dxa"/>
          </w:tcPr>
          <w:p w:rsidR="005F38D0" w:rsidRPr="005F38D0" w:rsidRDefault="005F38D0" w:rsidP="00344411">
            <w:pPr>
              <w:pStyle w:val="NoSpacing"/>
              <w:rPr>
                <w:b/>
              </w:rPr>
            </w:pPr>
            <w:r w:rsidRPr="005F38D0">
              <w:rPr>
                <w:b/>
              </w:rPr>
              <w:t>Proposed intervention-type groupings</w:t>
            </w:r>
          </w:p>
        </w:tc>
      </w:tr>
      <w:tr w:rsidR="001E4C63">
        <w:tc>
          <w:tcPr>
            <w:cnfStyle w:val="001000000000" w:firstRow="0" w:lastRow="0" w:firstColumn="1" w:lastColumn="0" w:oddVBand="0" w:evenVBand="0" w:oddHBand="0" w:evenHBand="0" w:firstRowFirstColumn="0" w:firstRowLastColumn="0" w:lastRowFirstColumn="0" w:lastRowLastColumn="0"/>
            <w:tcW w:w="4786" w:type="dxa"/>
          </w:tcPr>
          <w:p w:rsidR="001E4C63" w:rsidRPr="002C28B3" w:rsidRDefault="001E4C63" w:rsidP="00B455C5">
            <w:pPr>
              <w:pStyle w:val="NoSpacing"/>
              <w:rPr>
                <w:b w:val="0"/>
              </w:rPr>
            </w:pPr>
            <w:r w:rsidRPr="002C28B3">
              <w:rPr>
                <w:b w:val="0"/>
              </w:rPr>
              <w:t xml:space="preserve">Schizophrenia </w:t>
            </w:r>
            <w:r>
              <w:rPr>
                <w:b w:val="0"/>
              </w:rPr>
              <w:t>d</w:t>
            </w:r>
            <w:r w:rsidRPr="002C28B3">
              <w:rPr>
                <w:b w:val="0"/>
              </w:rPr>
              <w:t>isorders</w:t>
            </w:r>
            <w:r>
              <w:rPr>
                <w:b w:val="0"/>
              </w:rPr>
              <w:t xml:space="preserve"> </w:t>
            </w:r>
          </w:p>
        </w:tc>
        <w:tc>
          <w:tcPr>
            <w:cnfStyle w:val="000010000000" w:firstRow="0" w:lastRow="0" w:firstColumn="0" w:lastColumn="0" w:oddVBand="1" w:evenVBand="0" w:oddHBand="0" w:evenHBand="0" w:firstRowFirstColumn="0" w:firstRowLastColumn="0" w:lastRowFirstColumn="0" w:lastRowLastColumn="0"/>
            <w:tcW w:w="4875" w:type="dxa"/>
            <w:vMerge w:val="restart"/>
          </w:tcPr>
          <w:p w:rsidR="001E4C63" w:rsidRPr="007501A4" w:rsidRDefault="001E4C63" w:rsidP="009768EE">
            <w:pPr>
              <w:pStyle w:val="NoSpacing"/>
              <w:numPr>
                <w:ilvl w:val="0"/>
                <w:numId w:val="66"/>
              </w:numPr>
              <w:ind w:left="317" w:hanging="283"/>
            </w:pPr>
            <w:r>
              <w:t>Transcranial magnetic stimulation (TMS)</w:t>
            </w:r>
          </w:p>
        </w:tc>
      </w:tr>
      <w:tr w:rsidR="001E4C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1E4C63" w:rsidRPr="002C28B3" w:rsidRDefault="001E4C63" w:rsidP="00B455C5">
            <w:pPr>
              <w:pStyle w:val="NoSpacing"/>
              <w:rPr>
                <w:b w:val="0"/>
              </w:rPr>
            </w:pPr>
            <w:r>
              <w:rPr>
                <w:b w:val="0"/>
              </w:rPr>
              <w:t xml:space="preserve">Paranoia and acute psychotic disorders </w:t>
            </w:r>
          </w:p>
        </w:tc>
        <w:tc>
          <w:tcPr>
            <w:cnfStyle w:val="000010000000" w:firstRow="0" w:lastRow="0" w:firstColumn="0" w:lastColumn="0" w:oddVBand="1" w:evenVBand="0" w:oddHBand="0" w:evenHBand="0" w:firstRowFirstColumn="0" w:firstRowLastColumn="0" w:lastRowFirstColumn="0" w:lastRowLastColumn="0"/>
            <w:tcW w:w="4875" w:type="dxa"/>
            <w:vMerge/>
          </w:tcPr>
          <w:p w:rsidR="001E4C63" w:rsidRDefault="001E4C63" w:rsidP="00FA383A">
            <w:pPr>
              <w:pStyle w:val="NoSpacing"/>
            </w:pPr>
          </w:p>
        </w:tc>
      </w:tr>
      <w:tr w:rsidR="001E4C63">
        <w:tc>
          <w:tcPr>
            <w:cnfStyle w:val="001000000000" w:firstRow="0" w:lastRow="0" w:firstColumn="1" w:lastColumn="0" w:oddVBand="0" w:evenVBand="0" w:oddHBand="0" w:evenHBand="0" w:firstRowFirstColumn="0" w:firstRowLastColumn="0" w:lastRowFirstColumn="0" w:lastRowLastColumn="0"/>
            <w:tcW w:w="4786" w:type="dxa"/>
          </w:tcPr>
          <w:p w:rsidR="001E4C63" w:rsidRDefault="001E4C63" w:rsidP="00B455C5">
            <w:pPr>
              <w:pStyle w:val="NoSpacing"/>
              <w:rPr>
                <w:b w:val="0"/>
              </w:rPr>
            </w:pPr>
            <w:r>
              <w:rPr>
                <w:b w:val="0"/>
              </w:rPr>
              <w:t xml:space="preserve">Major affective disorders </w:t>
            </w:r>
          </w:p>
        </w:tc>
        <w:tc>
          <w:tcPr>
            <w:cnfStyle w:val="000010000000" w:firstRow="0" w:lastRow="0" w:firstColumn="0" w:lastColumn="0" w:oddVBand="1" w:evenVBand="0" w:oddHBand="0" w:evenHBand="0" w:firstRowFirstColumn="0" w:firstRowLastColumn="0" w:lastRowFirstColumn="0" w:lastRowLastColumn="0"/>
            <w:tcW w:w="4875" w:type="dxa"/>
            <w:vMerge/>
          </w:tcPr>
          <w:p w:rsidR="001E4C63" w:rsidRDefault="001E4C63" w:rsidP="00FA383A">
            <w:pPr>
              <w:pStyle w:val="NoSpacing"/>
            </w:pPr>
          </w:p>
        </w:tc>
      </w:tr>
      <w:tr w:rsidR="001E4C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1E4C63" w:rsidRDefault="001E4C63" w:rsidP="00B455C5">
            <w:pPr>
              <w:pStyle w:val="NoSpacing"/>
              <w:rPr>
                <w:b w:val="0"/>
              </w:rPr>
            </w:pPr>
            <w:r>
              <w:rPr>
                <w:b w:val="0"/>
              </w:rPr>
              <w:t xml:space="preserve">Other affective and somatoform disorders </w:t>
            </w:r>
          </w:p>
        </w:tc>
        <w:tc>
          <w:tcPr>
            <w:cnfStyle w:val="000010000000" w:firstRow="0" w:lastRow="0" w:firstColumn="0" w:lastColumn="0" w:oddVBand="1" w:evenVBand="0" w:oddHBand="0" w:evenHBand="0" w:firstRowFirstColumn="0" w:firstRowLastColumn="0" w:lastRowFirstColumn="0" w:lastRowLastColumn="0"/>
            <w:tcW w:w="4875" w:type="dxa"/>
            <w:vMerge/>
          </w:tcPr>
          <w:p w:rsidR="001E4C63" w:rsidRDefault="001E4C63" w:rsidP="00FA383A">
            <w:pPr>
              <w:pStyle w:val="NoSpacing"/>
            </w:pPr>
          </w:p>
        </w:tc>
      </w:tr>
      <w:tr w:rsidR="001E4C63">
        <w:tc>
          <w:tcPr>
            <w:cnfStyle w:val="001000000000" w:firstRow="0" w:lastRow="0" w:firstColumn="1" w:lastColumn="0" w:oddVBand="0" w:evenVBand="0" w:oddHBand="0" w:evenHBand="0" w:firstRowFirstColumn="0" w:firstRowLastColumn="0" w:lastRowFirstColumn="0" w:lastRowLastColumn="0"/>
            <w:tcW w:w="4786" w:type="dxa"/>
          </w:tcPr>
          <w:p w:rsidR="001E4C63" w:rsidRPr="004F6C74" w:rsidRDefault="001E4C63" w:rsidP="00B455C5">
            <w:pPr>
              <w:pStyle w:val="NoSpacing"/>
              <w:rPr>
                <w:b w:val="0"/>
              </w:rPr>
            </w:pPr>
            <w:r w:rsidRPr="004F6C74">
              <w:rPr>
                <w:b w:val="0"/>
              </w:rPr>
              <w:t xml:space="preserve">Anxiety </w:t>
            </w:r>
            <w:r>
              <w:rPr>
                <w:b w:val="0"/>
              </w:rPr>
              <w:t>d</w:t>
            </w:r>
            <w:r w:rsidRPr="004F6C74">
              <w:rPr>
                <w:b w:val="0"/>
              </w:rPr>
              <w:t>isorders</w:t>
            </w:r>
            <w:r>
              <w:rPr>
                <w:b w:val="0"/>
              </w:rPr>
              <w:t xml:space="preserve"> </w:t>
            </w:r>
          </w:p>
        </w:tc>
        <w:tc>
          <w:tcPr>
            <w:cnfStyle w:val="000010000000" w:firstRow="0" w:lastRow="0" w:firstColumn="0" w:lastColumn="0" w:oddVBand="1" w:evenVBand="0" w:oddHBand="0" w:evenHBand="0" w:firstRowFirstColumn="0" w:firstRowLastColumn="0" w:lastRowFirstColumn="0" w:lastRowLastColumn="0"/>
            <w:tcW w:w="4875" w:type="dxa"/>
            <w:vMerge/>
          </w:tcPr>
          <w:p w:rsidR="001E4C63" w:rsidRDefault="001E4C63" w:rsidP="00FA383A">
            <w:pPr>
              <w:pStyle w:val="NoSpacing"/>
            </w:pPr>
          </w:p>
        </w:tc>
      </w:tr>
      <w:tr w:rsidR="001E4C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1E4C63" w:rsidRPr="004F6C74" w:rsidRDefault="001E4C63" w:rsidP="00B455C5">
            <w:pPr>
              <w:pStyle w:val="NoSpacing"/>
              <w:rPr>
                <w:b w:val="0"/>
              </w:rPr>
            </w:pPr>
            <w:r w:rsidRPr="004F6C74">
              <w:rPr>
                <w:b w:val="0"/>
              </w:rPr>
              <w:t xml:space="preserve">Eating and </w:t>
            </w:r>
            <w:r>
              <w:rPr>
                <w:b w:val="0"/>
              </w:rPr>
              <w:t>o</w:t>
            </w:r>
            <w:r w:rsidRPr="004F6C74">
              <w:rPr>
                <w:b w:val="0"/>
              </w:rPr>
              <w:t>bsessive-</w:t>
            </w:r>
            <w:r>
              <w:rPr>
                <w:b w:val="0"/>
              </w:rPr>
              <w:t>c</w:t>
            </w:r>
            <w:r w:rsidRPr="004F6C74">
              <w:rPr>
                <w:b w:val="0"/>
              </w:rPr>
              <w:t xml:space="preserve">ompulsive </w:t>
            </w:r>
            <w:r>
              <w:rPr>
                <w:b w:val="0"/>
              </w:rPr>
              <w:t>d</w:t>
            </w:r>
            <w:r w:rsidRPr="004F6C74">
              <w:rPr>
                <w:b w:val="0"/>
              </w:rPr>
              <w:t xml:space="preserve">isorders </w:t>
            </w:r>
          </w:p>
        </w:tc>
        <w:tc>
          <w:tcPr>
            <w:cnfStyle w:val="000010000000" w:firstRow="0" w:lastRow="0" w:firstColumn="0" w:lastColumn="0" w:oddVBand="1" w:evenVBand="0" w:oddHBand="0" w:evenHBand="0" w:firstRowFirstColumn="0" w:firstRowLastColumn="0" w:lastRowFirstColumn="0" w:lastRowLastColumn="0"/>
            <w:tcW w:w="4875" w:type="dxa"/>
            <w:vMerge/>
          </w:tcPr>
          <w:p w:rsidR="001E4C63" w:rsidRDefault="001E4C63" w:rsidP="00FA383A">
            <w:pPr>
              <w:pStyle w:val="NoSpacing"/>
            </w:pPr>
          </w:p>
        </w:tc>
      </w:tr>
      <w:tr w:rsidR="001E4C63">
        <w:tc>
          <w:tcPr>
            <w:cnfStyle w:val="001000000000" w:firstRow="0" w:lastRow="0" w:firstColumn="1" w:lastColumn="0" w:oddVBand="0" w:evenVBand="0" w:oddHBand="0" w:evenHBand="0" w:firstRowFirstColumn="0" w:firstRowLastColumn="0" w:lastRowFirstColumn="0" w:lastRowLastColumn="0"/>
            <w:tcW w:w="4786" w:type="dxa"/>
          </w:tcPr>
          <w:p w:rsidR="001E4C63" w:rsidRDefault="001E4C63" w:rsidP="00B455C5">
            <w:pPr>
              <w:pStyle w:val="NoSpacing"/>
            </w:pPr>
            <w:r w:rsidRPr="008F0FBD">
              <w:rPr>
                <w:b w:val="0"/>
              </w:rPr>
              <w:t xml:space="preserve">Personality </w:t>
            </w:r>
            <w:r>
              <w:rPr>
                <w:b w:val="0"/>
              </w:rPr>
              <w:t>d</w:t>
            </w:r>
            <w:r w:rsidRPr="008F0FBD">
              <w:rPr>
                <w:b w:val="0"/>
              </w:rPr>
              <w:t xml:space="preserve">isorders and </w:t>
            </w:r>
            <w:r>
              <w:rPr>
                <w:b w:val="0"/>
              </w:rPr>
              <w:t>a</w:t>
            </w:r>
            <w:r w:rsidRPr="008F0FBD">
              <w:rPr>
                <w:b w:val="0"/>
              </w:rPr>
              <w:t xml:space="preserve">cute </w:t>
            </w:r>
            <w:r>
              <w:rPr>
                <w:b w:val="0"/>
              </w:rPr>
              <w:t>r</w:t>
            </w:r>
            <w:r w:rsidRPr="008F0FBD">
              <w:rPr>
                <w:b w:val="0"/>
              </w:rPr>
              <w:t xml:space="preserve">eactions </w:t>
            </w:r>
          </w:p>
        </w:tc>
        <w:tc>
          <w:tcPr>
            <w:cnfStyle w:val="000010000000" w:firstRow="0" w:lastRow="0" w:firstColumn="0" w:lastColumn="0" w:oddVBand="1" w:evenVBand="0" w:oddHBand="0" w:evenHBand="0" w:firstRowFirstColumn="0" w:firstRowLastColumn="0" w:lastRowFirstColumn="0" w:lastRowLastColumn="0"/>
            <w:tcW w:w="4875" w:type="dxa"/>
            <w:vMerge/>
          </w:tcPr>
          <w:p w:rsidR="001E4C63" w:rsidRDefault="001E4C63" w:rsidP="00FA383A">
            <w:pPr>
              <w:pStyle w:val="NoSpacing"/>
            </w:pPr>
          </w:p>
        </w:tc>
      </w:tr>
      <w:tr w:rsidR="001E4C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1E4C63" w:rsidRPr="004F6C74" w:rsidRDefault="001E4C63" w:rsidP="00B455C5">
            <w:pPr>
              <w:pStyle w:val="NoSpacing"/>
              <w:rPr>
                <w:b w:val="0"/>
              </w:rPr>
            </w:pPr>
            <w:r w:rsidRPr="004F6C74">
              <w:rPr>
                <w:b w:val="0"/>
              </w:rPr>
              <w:t xml:space="preserve">Childhood </w:t>
            </w:r>
            <w:r>
              <w:rPr>
                <w:b w:val="0"/>
              </w:rPr>
              <w:t>m</w:t>
            </w:r>
            <w:r w:rsidRPr="004F6C74">
              <w:rPr>
                <w:b w:val="0"/>
              </w:rPr>
              <w:t xml:space="preserve">ental </w:t>
            </w:r>
            <w:r>
              <w:rPr>
                <w:b w:val="0"/>
              </w:rPr>
              <w:t>d</w:t>
            </w:r>
            <w:r w:rsidRPr="004F6C74">
              <w:rPr>
                <w:b w:val="0"/>
              </w:rPr>
              <w:t>isorders</w:t>
            </w:r>
            <w:r>
              <w:rPr>
                <w:b w:val="0"/>
              </w:rPr>
              <w:t xml:space="preserve"> </w:t>
            </w:r>
          </w:p>
        </w:tc>
        <w:tc>
          <w:tcPr>
            <w:cnfStyle w:val="000010000000" w:firstRow="0" w:lastRow="0" w:firstColumn="0" w:lastColumn="0" w:oddVBand="1" w:evenVBand="0" w:oddHBand="0" w:evenHBand="0" w:firstRowFirstColumn="0" w:firstRowLastColumn="0" w:lastRowFirstColumn="0" w:lastRowLastColumn="0"/>
            <w:tcW w:w="4875" w:type="dxa"/>
            <w:vMerge/>
          </w:tcPr>
          <w:p w:rsidR="001E4C63" w:rsidRDefault="001E4C63" w:rsidP="00FA383A">
            <w:pPr>
              <w:pStyle w:val="NoSpacing"/>
            </w:pPr>
          </w:p>
        </w:tc>
      </w:tr>
      <w:tr w:rsidR="001E4C63">
        <w:tc>
          <w:tcPr>
            <w:cnfStyle w:val="001000000000" w:firstRow="0" w:lastRow="0" w:firstColumn="1" w:lastColumn="0" w:oddVBand="0" w:evenVBand="0" w:oddHBand="0" w:evenHBand="0" w:firstRowFirstColumn="0" w:firstRowLastColumn="0" w:lastRowFirstColumn="0" w:lastRowLastColumn="0"/>
            <w:tcW w:w="4786" w:type="dxa"/>
          </w:tcPr>
          <w:p w:rsidR="001E4C63" w:rsidRPr="00630401" w:rsidRDefault="001E4C63" w:rsidP="00FA383A">
            <w:pPr>
              <w:pStyle w:val="NoSpacing"/>
              <w:rPr>
                <w:b w:val="0"/>
              </w:rPr>
            </w:pPr>
            <w:r w:rsidRPr="00630401">
              <w:rPr>
                <w:b w:val="0"/>
              </w:rPr>
              <w:t xml:space="preserve">Other mental </w:t>
            </w:r>
            <w:r>
              <w:rPr>
                <w:b w:val="0"/>
              </w:rPr>
              <w:t>diseases and disorders</w:t>
            </w:r>
          </w:p>
        </w:tc>
        <w:tc>
          <w:tcPr>
            <w:cnfStyle w:val="000010000000" w:firstRow="0" w:lastRow="0" w:firstColumn="0" w:lastColumn="0" w:oddVBand="1" w:evenVBand="0" w:oddHBand="0" w:evenHBand="0" w:firstRowFirstColumn="0" w:firstRowLastColumn="0" w:lastRowFirstColumn="0" w:lastRowLastColumn="0"/>
            <w:tcW w:w="4875" w:type="dxa"/>
            <w:vMerge/>
          </w:tcPr>
          <w:p w:rsidR="001E4C63" w:rsidRDefault="001E4C63" w:rsidP="00FA383A">
            <w:pPr>
              <w:pStyle w:val="NoSpacing"/>
            </w:pPr>
          </w:p>
        </w:tc>
      </w:tr>
    </w:tbl>
    <w:p w:rsidR="001E4C63" w:rsidRDefault="001E4C63" w:rsidP="00D9048F">
      <w:pPr>
        <w:spacing w:before="0" w:after="0"/>
        <w:rPr>
          <w:rFonts w:cs="Arial"/>
          <w:szCs w:val="22"/>
        </w:rPr>
      </w:pPr>
    </w:p>
    <w:tbl>
      <w:tblPr>
        <w:tblStyle w:val="LightList-Accent1"/>
        <w:tblW w:w="0" w:type="auto"/>
        <w:tblLook w:val="00A0" w:firstRow="1" w:lastRow="0" w:firstColumn="1" w:lastColumn="0" w:noHBand="0" w:noVBand="0"/>
        <w:tblCaption w:val="MDC 20 Alcohol/drug use and alcohol/drug induced organic mental disorders"/>
        <w:tblDescription w:val="Table of two columns, the first column listing proposed presenting problem/diagnosis-type groupings and the second column listing proposed intervention-type groupings for MDC 20 Alcohol/drug use and alcohol/drug induced organic mental disorders."/>
      </w:tblPr>
      <w:tblGrid>
        <w:gridCol w:w="4820"/>
        <w:gridCol w:w="4841"/>
      </w:tblGrid>
      <w:tr w:rsidR="001E4C63" w:rsidTr="00A966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661" w:type="dxa"/>
            <w:gridSpan w:val="2"/>
          </w:tcPr>
          <w:p w:rsidR="001E4C63" w:rsidRPr="008926DA" w:rsidRDefault="001E4C63" w:rsidP="00FA383A">
            <w:pPr>
              <w:pStyle w:val="NoSpacing"/>
              <w:rPr>
                <w:b w:val="0"/>
              </w:rPr>
            </w:pPr>
            <w:r w:rsidRPr="002909E2">
              <w:t>MDC 20 Alcohol/Drug Use and Alcohol/Drug Induced Organic Mental Disorders</w:t>
            </w:r>
          </w:p>
        </w:tc>
      </w:tr>
      <w:tr w:rsidR="005F38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rsidR="005F38D0" w:rsidRPr="005F38D0" w:rsidRDefault="005F38D0" w:rsidP="00344411">
            <w:pPr>
              <w:pStyle w:val="NoSpacing"/>
            </w:pPr>
            <w:r w:rsidRPr="005F38D0">
              <w:t>Proposed presenting problem / diagnosis-type groupings</w:t>
            </w:r>
          </w:p>
        </w:tc>
        <w:tc>
          <w:tcPr>
            <w:cnfStyle w:val="000010000000" w:firstRow="0" w:lastRow="0" w:firstColumn="0" w:lastColumn="0" w:oddVBand="1" w:evenVBand="0" w:oddHBand="0" w:evenHBand="0" w:firstRowFirstColumn="0" w:firstRowLastColumn="0" w:lastRowFirstColumn="0" w:lastRowLastColumn="0"/>
            <w:tcW w:w="4841" w:type="dxa"/>
          </w:tcPr>
          <w:p w:rsidR="005F38D0" w:rsidRPr="005F38D0" w:rsidRDefault="005F38D0" w:rsidP="00344411">
            <w:pPr>
              <w:pStyle w:val="NoSpacing"/>
              <w:rPr>
                <w:b/>
              </w:rPr>
            </w:pPr>
            <w:r w:rsidRPr="005F38D0">
              <w:rPr>
                <w:b/>
              </w:rPr>
              <w:t>Proposed intervention-type groupings</w:t>
            </w:r>
          </w:p>
        </w:tc>
      </w:tr>
      <w:tr w:rsidR="001E4C63">
        <w:tc>
          <w:tcPr>
            <w:cnfStyle w:val="001000000000" w:firstRow="0" w:lastRow="0" w:firstColumn="1" w:lastColumn="0" w:oddVBand="0" w:evenVBand="0" w:oddHBand="0" w:evenHBand="0" w:firstRowFirstColumn="0" w:firstRowLastColumn="0" w:lastRowFirstColumn="0" w:lastRowLastColumn="0"/>
            <w:tcW w:w="4820" w:type="dxa"/>
          </w:tcPr>
          <w:p w:rsidR="001E4C63" w:rsidRPr="0087642F" w:rsidRDefault="001E4C63" w:rsidP="00B455C5">
            <w:pPr>
              <w:pStyle w:val="NoSpacing"/>
              <w:rPr>
                <w:b w:val="0"/>
              </w:rPr>
            </w:pPr>
            <w:r>
              <w:rPr>
                <w:b w:val="0"/>
              </w:rPr>
              <w:t xml:space="preserve">Alcohol intoxication and withdrawal </w:t>
            </w:r>
          </w:p>
        </w:tc>
        <w:tc>
          <w:tcPr>
            <w:cnfStyle w:val="000010000000" w:firstRow="0" w:lastRow="0" w:firstColumn="0" w:lastColumn="0" w:oddVBand="1" w:evenVBand="0" w:oddHBand="0" w:evenHBand="0" w:firstRowFirstColumn="0" w:firstRowLastColumn="0" w:lastRowFirstColumn="0" w:lastRowLastColumn="0"/>
            <w:tcW w:w="4841" w:type="dxa"/>
            <w:vMerge w:val="restart"/>
          </w:tcPr>
          <w:p w:rsidR="001E4C63" w:rsidRDefault="001E4C63" w:rsidP="00FA383A">
            <w:pPr>
              <w:pStyle w:val="NoSpacing"/>
            </w:pPr>
          </w:p>
        </w:tc>
      </w:tr>
      <w:tr w:rsidR="001E4C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rsidR="001E4C63" w:rsidRPr="0087642F" w:rsidRDefault="001E4C63" w:rsidP="00B455C5">
            <w:pPr>
              <w:pStyle w:val="NoSpacing"/>
              <w:rPr>
                <w:b w:val="0"/>
              </w:rPr>
            </w:pPr>
            <w:r>
              <w:rPr>
                <w:b w:val="0"/>
              </w:rPr>
              <w:t xml:space="preserve">Drug intoxication and withdrawal </w:t>
            </w:r>
          </w:p>
        </w:tc>
        <w:tc>
          <w:tcPr>
            <w:cnfStyle w:val="000010000000" w:firstRow="0" w:lastRow="0" w:firstColumn="0" w:lastColumn="0" w:oddVBand="1" w:evenVBand="0" w:oddHBand="0" w:evenHBand="0" w:firstRowFirstColumn="0" w:firstRowLastColumn="0" w:lastRowFirstColumn="0" w:lastRowLastColumn="0"/>
            <w:tcW w:w="4841" w:type="dxa"/>
            <w:vMerge/>
          </w:tcPr>
          <w:p w:rsidR="001E4C63" w:rsidRDefault="001E4C63" w:rsidP="00FA383A">
            <w:pPr>
              <w:pStyle w:val="NoSpacing"/>
            </w:pPr>
          </w:p>
        </w:tc>
      </w:tr>
      <w:tr w:rsidR="001E4C63">
        <w:tc>
          <w:tcPr>
            <w:cnfStyle w:val="001000000000" w:firstRow="0" w:lastRow="0" w:firstColumn="1" w:lastColumn="0" w:oddVBand="0" w:evenVBand="0" w:oddHBand="0" w:evenHBand="0" w:firstRowFirstColumn="0" w:firstRowLastColumn="0" w:lastRowFirstColumn="0" w:lastRowLastColumn="0"/>
            <w:tcW w:w="4820" w:type="dxa"/>
          </w:tcPr>
          <w:p w:rsidR="001E4C63" w:rsidRPr="0087642F" w:rsidRDefault="001E4C63" w:rsidP="00B455C5">
            <w:pPr>
              <w:pStyle w:val="NoSpacing"/>
              <w:rPr>
                <w:b w:val="0"/>
              </w:rPr>
            </w:pPr>
            <w:r>
              <w:rPr>
                <w:b w:val="0"/>
              </w:rPr>
              <w:t xml:space="preserve">Alcohol use and dependence </w:t>
            </w:r>
          </w:p>
        </w:tc>
        <w:tc>
          <w:tcPr>
            <w:cnfStyle w:val="000010000000" w:firstRow="0" w:lastRow="0" w:firstColumn="0" w:lastColumn="0" w:oddVBand="1" w:evenVBand="0" w:oddHBand="0" w:evenHBand="0" w:firstRowFirstColumn="0" w:firstRowLastColumn="0" w:lastRowFirstColumn="0" w:lastRowLastColumn="0"/>
            <w:tcW w:w="4841" w:type="dxa"/>
            <w:vMerge/>
          </w:tcPr>
          <w:p w:rsidR="001E4C63" w:rsidRDefault="001E4C63" w:rsidP="00FA383A">
            <w:pPr>
              <w:pStyle w:val="NoSpacing"/>
            </w:pPr>
          </w:p>
        </w:tc>
      </w:tr>
      <w:tr w:rsidR="001E4C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rsidR="001E4C63" w:rsidRPr="0087642F" w:rsidRDefault="001E4C63" w:rsidP="00B455C5">
            <w:pPr>
              <w:pStyle w:val="NoSpacing"/>
              <w:rPr>
                <w:b w:val="0"/>
              </w:rPr>
            </w:pPr>
            <w:r>
              <w:rPr>
                <w:b w:val="0"/>
              </w:rPr>
              <w:t xml:space="preserve">Opioid use and dependence </w:t>
            </w:r>
          </w:p>
        </w:tc>
        <w:tc>
          <w:tcPr>
            <w:cnfStyle w:val="000010000000" w:firstRow="0" w:lastRow="0" w:firstColumn="0" w:lastColumn="0" w:oddVBand="1" w:evenVBand="0" w:oddHBand="0" w:evenHBand="0" w:firstRowFirstColumn="0" w:firstRowLastColumn="0" w:lastRowFirstColumn="0" w:lastRowLastColumn="0"/>
            <w:tcW w:w="4841" w:type="dxa"/>
            <w:vMerge/>
          </w:tcPr>
          <w:p w:rsidR="001E4C63" w:rsidRDefault="001E4C63" w:rsidP="00FA383A">
            <w:pPr>
              <w:pStyle w:val="NoSpacing"/>
            </w:pPr>
          </w:p>
        </w:tc>
      </w:tr>
      <w:tr w:rsidR="001E4C63">
        <w:tc>
          <w:tcPr>
            <w:cnfStyle w:val="001000000000" w:firstRow="0" w:lastRow="0" w:firstColumn="1" w:lastColumn="0" w:oddVBand="0" w:evenVBand="0" w:oddHBand="0" w:evenHBand="0" w:firstRowFirstColumn="0" w:firstRowLastColumn="0" w:lastRowFirstColumn="0" w:lastRowLastColumn="0"/>
            <w:tcW w:w="4820" w:type="dxa"/>
          </w:tcPr>
          <w:p w:rsidR="001E4C63" w:rsidRPr="004C250F" w:rsidRDefault="001E4C63" w:rsidP="009768EE">
            <w:pPr>
              <w:pStyle w:val="NoSpacing"/>
              <w:numPr>
                <w:ilvl w:val="0"/>
                <w:numId w:val="15"/>
              </w:numPr>
              <w:ind w:left="284" w:hanging="284"/>
              <w:rPr>
                <w:b w:val="0"/>
              </w:rPr>
            </w:pPr>
            <w:r>
              <w:rPr>
                <w:b w:val="0"/>
              </w:rPr>
              <w:t xml:space="preserve">Other drug use and dependence </w:t>
            </w:r>
            <w:r w:rsidRPr="004C250F">
              <w:rPr>
                <w:b w:val="0"/>
              </w:rPr>
              <w:t>smoking</w:t>
            </w:r>
          </w:p>
          <w:p w:rsidR="001E4C63" w:rsidRPr="004C250F" w:rsidRDefault="001E4C63" w:rsidP="009768EE">
            <w:pPr>
              <w:pStyle w:val="NoSpacing"/>
              <w:numPr>
                <w:ilvl w:val="0"/>
                <w:numId w:val="15"/>
              </w:numPr>
              <w:ind w:left="284" w:hanging="284"/>
            </w:pPr>
            <w:r w:rsidRPr="004C250F">
              <w:rPr>
                <w:b w:val="0"/>
              </w:rPr>
              <w:t>gambling</w:t>
            </w:r>
            <w:r>
              <w:rPr>
                <w:b w:val="0"/>
              </w:rPr>
              <w:t xml:space="preserve"> </w:t>
            </w:r>
          </w:p>
        </w:tc>
        <w:tc>
          <w:tcPr>
            <w:cnfStyle w:val="000010000000" w:firstRow="0" w:lastRow="0" w:firstColumn="0" w:lastColumn="0" w:oddVBand="1" w:evenVBand="0" w:oddHBand="0" w:evenHBand="0" w:firstRowFirstColumn="0" w:firstRowLastColumn="0" w:lastRowFirstColumn="0" w:lastRowLastColumn="0"/>
            <w:tcW w:w="4841" w:type="dxa"/>
            <w:vMerge/>
          </w:tcPr>
          <w:p w:rsidR="001E4C63" w:rsidRDefault="001E4C63" w:rsidP="00FA383A">
            <w:pPr>
              <w:pStyle w:val="NoSpacing"/>
            </w:pPr>
          </w:p>
        </w:tc>
      </w:tr>
    </w:tbl>
    <w:p w:rsidR="001E4C63" w:rsidRDefault="001E4C63" w:rsidP="006A2DC9">
      <w:pPr>
        <w:spacing w:before="0" w:after="0" w:line="240" w:lineRule="auto"/>
        <w:rPr>
          <w:rFonts w:cs="Arial"/>
          <w:szCs w:val="22"/>
        </w:rPr>
      </w:pPr>
    </w:p>
    <w:tbl>
      <w:tblPr>
        <w:tblStyle w:val="LightList-Accent1"/>
        <w:tblW w:w="5000" w:type="pct"/>
        <w:tblLook w:val="00A0" w:firstRow="1" w:lastRow="0" w:firstColumn="1" w:lastColumn="0" w:noHBand="0" w:noVBand="0"/>
        <w:tblCaption w:val="MDC 21 Injuries, poisoning and toxic effects of drugs, and MDC 22 Burns"/>
        <w:tblDescription w:val="Table of two columns, the first column listing proposed presenting problem/diagnosis-type groupings and the second column listing proposed intervention-type groupings for MDC 21 Injuries, poisoning and toxic effects of drugs, and MDC 22 Burns."/>
      </w:tblPr>
      <w:tblGrid>
        <w:gridCol w:w="4830"/>
        <w:gridCol w:w="4831"/>
      </w:tblGrid>
      <w:tr w:rsidR="001E4C6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2"/>
          </w:tcPr>
          <w:p w:rsidR="001E4C63" w:rsidRPr="00BA3B40" w:rsidRDefault="001E4C63" w:rsidP="00FA383A">
            <w:pPr>
              <w:pStyle w:val="NoSpacing"/>
            </w:pPr>
            <w:r w:rsidRPr="00BA3B40">
              <w:t>MDC 21 Injuries, Poisoning and Toxic Effects of Drugs</w:t>
            </w:r>
          </w:p>
        </w:tc>
      </w:tr>
      <w:tr w:rsidR="001E4C6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2"/>
          </w:tcPr>
          <w:p w:rsidR="001E4C63" w:rsidRPr="008926DA" w:rsidRDefault="001E4C63" w:rsidP="00FA383A">
            <w:pPr>
              <w:pStyle w:val="NoSpacing"/>
              <w:rPr>
                <w:b w:val="0"/>
              </w:rPr>
            </w:pPr>
            <w:r w:rsidRPr="00BF5E3F">
              <w:t>MDC 22 Burns</w:t>
            </w:r>
          </w:p>
        </w:tc>
      </w:tr>
      <w:tr w:rsidR="005F38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rsidR="005F38D0" w:rsidRPr="005F38D0" w:rsidRDefault="005F38D0" w:rsidP="00344411">
            <w:pPr>
              <w:pStyle w:val="NoSpacing"/>
            </w:pPr>
            <w:r w:rsidRPr="005F38D0">
              <w:t>Proposed presenting problem / diagnosis-type groupings</w:t>
            </w:r>
          </w:p>
        </w:tc>
        <w:tc>
          <w:tcPr>
            <w:cnfStyle w:val="000010000000" w:firstRow="0" w:lastRow="0" w:firstColumn="0" w:lastColumn="0" w:oddVBand="1" w:evenVBand="0" w:oddHBand="0" w:evenHBand="0" w:firstRowFirstColumn="0" w:firstRowLastColumn="0" w:lastRowFirstColumn="0" w:lastRowLastColumn="0"/>
            <w:tcW w:w="2500" w:type="pct"/>
          </w:tcPr>
          <w:p w:rsidR="005F38D0" w:rsidRPr="005F38D0" w:rsidRDefault="005F38D0" w:rsidP="00344411">
            <w:pPr>
              <w:pStyle w:val="NoSpacing"/>
              <w:rPr>
                <w:b/>
              </w:rPr>
            </w:pPr>
            <w:r w:rsidRPr="005F38D0">
              <w:rPr>
                <w:b/>
              </w:rPr>
              <w:t>Proposed intervention-type groupings</w:t>
            </w:r>
          </w:p>
        </w:tc>
      </w:tr>
      <w:tr w:rsidR="001E4C63">
        <w:tc>
          <w:tcPr>
            <w:cnfStyle w:val="001000000000" w:firstRow="0" w:lastRow="0" w:firstColumn="1" w:lastColumn="0" w:oddVBand="0" w:evenVBand="0" w:oddHBand="0" w:evenHBand="0" w:firstRowFirstColumn="0" w:firstRowLastColumn="0" w:lastRowFirstColumn="0" w:lastRowLastColumn="0"/>
            <w:tcW w:w="2500" w:type="pct"/>
          </w:tcPr>
          <w:p w:rsidR="001E4C63" w:rsidRPr="00275F4E" w:rsidRDefault="001E4C63" w:rsidP="009768EE">
            <w:pPr>
              <w:pStyle w:val="NoSpacing"/>
              <w:numPr>
                <w:ilvl w:val="0"/>
                <w:numId w:val="11"/>
              </w:numPr>
              <w:ind w:left="284" w:hanging="284"/>
              <w:rPr>
                <w:b w:val="0"/>
              </w:rPr>
            </w:pPr>
            <w:r w:rsidRPr="00275F4E">
              <w:rPr>
                <w:b w:val="0"/>
              </w:rPr>
              <w:t xml:space="preserve">Injuries to the head Intracranial injury </w:t>
            </w:r>
          </w:p>
          <w:p w:rsidR="001E4C63" w:rsidRPr="00275F4E" w:rsidRDefault="001E4C63" w:rsidP="009768EE">
            <w:pPr>
              <w:pStyle w:val="NoSpacing"/>
              <w:numPr>
                <w:ilvl w:val="0"/>
                <w:numId w:val="11"/>
              </w:numPr>
              <w:ind w:left="284" w:hanging="284"/>
              <w:rPr>
                <w:b w:val="0"/>
              </w:rPr>
            </w:pPr>
            <w:r w:rsidRPr="00275F4E">
              <w:rPr>
                <w:b w:val="0"/>
              </w:rPr>
              <w:t xml:space="preserve">Skull fracture </w:t>
            </w:r>
          </w:p>
          <w:p w:rsidR="001E4C63" w:rsidRPr="009F21E1" w:rsidRDefault="001E4C63" w:rsidP="009768EE">
            <w:pPr>
              <w:pStyle w:val="NoSpacing"/>
              <w:numPr>
                <w:ilvl w:val="0"/>
                <w:numId w:val="11"/>
              </w:numPr>
              <w:ind w:left="284" w:hanging="284"/>
            </w:pPr>
            <w:r w:rsidRPr="00275F4E">
              <w:rPr>
                <w:b w:val="0"/>
              </w:rPr>
              <w:t xml:space="preserve">Other head injury </w:t>
            </w:r>
          </w:p>
        </w:tc>
        <w:tc>
          <w:tcPr>
            <w:cnfStyle w:val="000010000000" w:firstRow="0" w:lastRow="0" w:firstColumn="0" w:lastColumn="0" w:oddVBand="1" w:evenVBand="0" w:oddHBand="0" w:evenHBand="0" w:firstRowFirstColumn="0" w:firstRowLastColumn="0" w:lastRowFirstColumn="0" w:lastRowLastColumn="0"/>
            <w:tcW w:w="2500" w:type="pct"/>
            <w:vMerge w:val="restart"/>
          </w:tcPr>
          <w:p w:rsidR="001E4C63" w:rsidRDefault="001E4C63" w:rsidP="009768EE">
            <w:pPr>
              <w:pStyle w:val="NoSpacing"/>
              <w:numPr>
                <w:ilvl w:val="0"/>
                <w:numId w:val="12"/>
              </w:numPr>
              <w:ind w:left="273" w:hanging="283"/>
            </w:pPr>
            <w:r w:rsidRPr="006A1A01">
              <w:t>Arthroscopy</w:t>
            </w:r>
          </w:p>
          <w:p w:rsidR="001E4C63" w:rsidRDefault="001E4C63" w:rsidP="009768EE">
            <w:pPr>
              <w:pStyle w:val="NoSpacing"/>
              <w:numPr>
                <w:ilvl w:val="0"/>
                <w:numId w:val="12"/>
              </w:numPr>
              <w:ind w:left="273" w:hanging="283"/>
            </w:pPr>
            <w:r w:rsidRPr="008E589E">
              <w:t>Compression therapy</w:t>
            </w:r>
          </w:p>
          <w:p w:rsidR="001E4C63" w:rsidRDefault="001E4C63" w:rsidP="009768EE">
            <w:pPr>
              <w:pStyle w:val="NoSpacing"/>
              <w:numPr>
                <w:ilvl w:val="0"/>
                <w:numId w:val="12"/>
              </w:numPr>
              <w:ind w:left="273" w:hanging="283"/>
            </w:pPr>
            <w:r w:rsidRPr="006A1A01">
              <w:t>Hyperbaric oxygen therapy</w:t>
            </w:r>
          </w:p>
          <w:p w:rsidR="001E4C63" w:rsidRPr="00EF6ED1" w:rsidRDefault="001E4C63" w:rsidP="009768EE">
            <w:pPr>
              <w:pStyle w:val="NoSpacing"/>
              <w:numPr>
                <w:ilvl w:val="0"/>
                <w:numId w:val="12"/>
              </w:numPr>
              <w:ind w:left="273" w:hanging="283"/>
            </w:pPr>
            <w:r>
              <w:t>K wires and plates</w:t>
            </w:r>
          </w:p>
          <w:p w:rsidR="001E4C63" w:rsidRDefault="001E4C63" w:rsidP="009768EE">
            <w:pPr>
              <w:pStyle w:val="NoSpacing"/>
              <w:numPr>
                <w:ilvl w:val="0"/>
                <w:numId w:val="12"/>
              </w:numPr>
              <w:ind w:left="273" w:hanging="283"/>
            </w:pPr>
            <w:r>
              <w:t>Limb mobilisation</w:t>
            </w:r>
          </w:p>
          <w:p w:rsidR="001E4C63" w:rsidRDefault="001E4C63" w:rsidP="009768EE">
            <w:pPr>
              <w:pStyle w:val="NoSpacing"/>
              <w:numPr>
                <w:ilvl w:val="0"/>
                <w:numId w:val="12"/>
              </w:numPr>
              <w:ind w:left="273" w:hanging="283"/>
            </w:pPr>
            <w:r>
              <w:t>Removal of foreign body</w:t>
            </w:r>
          </w:p>
          <w:p w:rsidR="001E4C63" w:rsidRDefault="001E4C63" w:rsidP="009768EE">
            <w:pPr>
              <w:pStyle w:val="NoSpacing"/>
              <w:numPr>
                <w:ilvl w:val="0"/>
                <w:numId w:val="12"/>
              </w:numPr>
              <w:ind w:left="273" w:hanging="283"/>
            </w:pPr>
            <w:r>
              <w:t>Removal of orthopaedic device</w:t>
            </w:r>
          </w:p>
          <w:p w:rsidR="001E4C63" w:rsidRDefault="001E4C63" w:rsidP="009768EE">
            <w:pPr>
              <w:pStyle w:val="NoSpacing"/>
              <w:numPr>
                <w:ilvl w:val="0"/>
                <w:numId w:val="12"/>
              </w:numPr>
              <w:ind w:left="273" w:hanging="283"/>
            </w:pPr>
            <w:r>
              <w:t>Repair laceration</w:t>
            </w:r>
          </w:p>
          <w:p w:rsidR="001E4C63" w:rsidRDefault="001E4C63" w:rsidP="009768EE">
            <w:pPr>
              <w:pStyle w:val="NoSpacing"/>
              <w:numPr>
                <w:ilvl w:val="0"/>
                <w:numId w:val="12"/>
              </w:numPr>
              <w:ind w:left="273" w:hanging="283"/>
              <w:rPr>
                <w:rFonts w:cs="Arial"/>
                <w:szCs w:val="22"/>
              </w:rPr>
            </w:pPr>
            <w:r>
              <w:rPr>
                <w:rFonts w:cs="Arial"/>
                <w:szCs w:val="22"/>
              </w:rPr>
              <w:t>Wound management (burns dressings, other d</w:t>
            </w:r>
            <w:r w:rsidRPr="00EF6ED1">
              <w:rPr>
                <w:rFonts w:cs="Arial"/>
                <w:szCs w:val="22"/>
              </w:rPr>
              <w:t>ressings</w:t>
            </w:r>
            <w:r>
              <w:rPr>
                <w:rFonts w:cs="Arial"/>
                <w:szCs w:val="22"/>
              </w:rPr>
              <w:t>)</w:t>
            </w:r>
          </w:p>
          <w:p w:rsidR="001E4C63" w:rsidRPr="00275F4E" w:rsidRDefault="001E4C63" w:rsidP="00FA383A">
            <w:pPr>
              <w:rPr>
                <w:rFonts w:cs="Arial"/>
                <w:szCs w:val="22"/>
              </w:rPr>
            </w:pPr>
          </w:p>
        </w:tc>
      </w:tr>
      <w:tr w:rsidR="001E4C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rsidR="001E4C63" w:rsidRPr="00275F4E" w:rsidRDefault="001E4C63" w:rsidP="00FA383A">
            <w:pPr>
              <w:pStyle w:val="NoSpacing"/>
              <w:rPr>
                <w:b w:val="0"/>
              </w:rPr>
            </w:pPr>
            <w:r w:rsidRPr="00275F4E">
              <w:rPr>
                <w:b w:val="0"/>
              </w:rPr>
              <w:t>Injuries to neck</w:t>
            </w:r>
          </w:p>
        </w:tc>
        <w:tc>
          <w:tcPr>
            <w:cnfStyle w:val="000010000000" w:firstRow="0" w:lastRow="0" w:firstColumn="0" w:lastColumn="0" w:oddVBand="1" w:evenVBand="0" w:oddHBand="0" w:evenHBand="0" w:firstRowFirstColumn="0" w:firstRowLastColumn="0" w:lastRowFirstColumn="0" w:lastRowLastColumn="0"/>
            <w:tcW w:w="2500" w:type="pct"/>
            <w:vMerge/>
          </w:tcPr>
          <w:p w:rsidR="001E4C63" w:rsidRPr="006A1A01" w:rsidRDefault="001E4C63" w:rsidP="009768EE">
            <w:pPr>
              <w:pStyle w:val="ListParagraph"/>
              <w:numPr>
                <w:ilvl w:val="0"/>
                <w:numId w:val="9"/>
              </w:numPr>
              <w:spacing w:before="0" w:after="0" w:line="240" w:lineRule="auto"/>
              <w:ind w:left="350" w:hanging="350"/>
              <w:contextualSpacing/>
              <w:rPr>
                <w:rFonts w:cs="Arial"/>
                <w:szCs w:val="22"/>
              </w:rPr>
            </w:pPr>
          </w:p>
        </w:tc>
      </w:tr>
      <w:tr w:rsidR="001E4C63">
        <w:tc>
          <w:tcPr>
            <w:cnfStyle w:val="001000000000" w:firstRow="0" w:lastRow="0" w:firstColumn="1" w:lastColumn="0" w:oddVBand="0" w:evenVBand="0" w:oddHBand="0" w:evenHBand="0" w:firstRowFirstColumn="0" w:firstRowLastColumn="0" w:lastRowFirstColumn="0" w:lastRowLastColumn="0"/>
            <w:tcW w:w="2500" w:type="pct"/>
          </w:tcPr>
          <w:p w:rsidR="001E4C63" w:rsidRPr="00275F4E" w:rsidRDefault="001E4C63" w:rsidP="00B455C5">
            <w:pPr>
              <w:pStyle w:val="NoSpacing"/>
              <w:rPr>
                <w:b w:val="0"/>
              </w:rPr>
            </w:pPr>
            <w:r w:rsidRPr="00275F4E">
              <w:rPr>
                <w:b w:val="0"/>
              </w:rPr>
              <w:t xml:space="preserve">Injuries to thorax (chest) </w:t>
            </w:r>
          </w:p>
        </w:tc>
        <w:tc>
          <w:tcPr>
            <w:cnfStyle w:val="000010000000" w:firstRow="0" w:lastRow="0" w:firstColumn="0" w:lastColumn="0" w:oddVBand="1" w:evenVBand="0" w:oddHBand="0" w:evenHBand="0" w:firstRowFirstColumn="0" w:firstRowLastColumn="0" w:lastRowFirstColumn="0" w:lastRowLastColumn="0"/>
            <w:tcW w:w="2500" w:type="pct"/>
            <w:vMerge/>
          </w:tcPr>
          <w:p w:rsidR="001E4C63" w:rsidRPr="006A1A01" w:rsidRDefault="001E4C63" w:rsidP="009768EE">
            <w:pPr>
              <w:pStyle w:val="ListParagraph"/>
              <w:numPr>
                <w:ilvl w:val="0"/>
                <w:numId w:val="9"/>
              </w:numPr>
              <w:spacing w:before="0" w:after="0" w:line="240" w:lineRule="auto"/>
              <w:ind w:left="350" w:hanging="350"/>
              <w:contextualSpacing/>
              <w:rPr>
                <w:rFonts w:cs="Arial"/>
                <w:szCs w:val="22"/>
              </w:rPr>
            </w:pPr>
          </w:p>
        </w:tc>
      </w:tr>
      <w:tr w:rsidR="001E4C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rsidR="001E4C63" w:rsidRPr="00275F4E" w:rsidRDefault="001E4C63" w:rsidP="00B455C5">
            <w:pPr>
              <w:pStyle w:val="NoSpacing"/>
              <w:rPr>
                <w:b w:val="0"/>
              </w:rPr>
            </w:pPr>
            <w:r w:rsidRPr="00275F4E">
              <w:rPr>
                <w:b w:val="0"/>
              </w:rPr>
              <w:t xml:space="preserve">Injury/trauma to chest </w:t>
            </w:r>
          </w:p>
        </w:tc>
        <w:tc>
          <w:tcPr>
            <w:cnfStyle w:val="000010000000" w:firstRow="0" w:lastRow="0" w:firstColumn="0" w:lastColumn="0" w:oddVBand="1" w:evenVBand="0" w:oddHBand="0" w:evenHBand="0" w:firstRowFirstColumn="0" w:firstRowLastColumn="0" w:lastRowFirstColumn="0" w:lastRowLastColumn="0"/>
            <w:tcW w:w="2500" w:type="pct"/>
            <w:vMerge/>
          </w:tcPr>
          <w:p w:rsidR="001E4C63" w:rsidRPr="006A1A01" w:rsidRDefault="001E4C63" w:rsidP="009768EE">
            <w:pPr>
              <w:pStyle w:val="ListParagraph"/>
              <w:numPr>
                <w:ilvl w:val="0"/>
                <w:numId w:val="9"/>
              </w:numPr>
              <w:spacing w:before="0" w:after="0" w:line="240" w:lineRule="auto"/>
              <w:ind w:left="350" w:hanging="350"/>
              <w:contextualSpacing/>
              <w:rPr>
                <w:rFonts w:cs="Arial"/>
                <w:szCs w:val="22"/>
              </w:rPr>
            </w:pPr>
          </w:p>
        </w:tc>
      </w:tr>
      <w:tr w:rsidR="001E4C63">
        <w:tc>
          <w:tcPr>
            <w:cnfStyle w:val="001000000000" w:firstRow="0" w:lastRow="0" w:firstColumn="1" w:lastColumn="0" w:oddVBand="0" w:evenVBand="0" w:oddHBand="0" w:evenHBand="0" w:firstRowFirstColumn="0" w:firstRowLastColumn="0" w:lastRowFirstColumn="0" w:lastRowLastColumn="0"/>
            <w:tcW w:w="2500" w:type="pct"/>
          </w:tcPr>
          <w:p w:rsidR="001E4C63" w:rsidRPr="00275F4E" w:rsidRDefault="001E4C63" w:rsidP="00B455C5">
            <w:pPr>
              <w:pStyle w:val="NoSpacing"/>
              <w:rPr>
                <w:b w:val="0"/>
              </w:rPr>
            </w:pPr>
            <w:r w:rsidRPr="00275F4E">
              <w:rPr>
                <w:b w:val="0"/>
              </w:rPr>
              <w:t xml:space="preserve">Injuries to abdomen </w:t>
            </w:r>
          </w:p>
        </w:tc>
        <w:tc>
          <w:tcPr>
            <w:cnfStyle w:val="000010000000" w:firstRow="0" w:lastRow="0" w:firstColumn="0" w:lastColumn="0" w:oddVBand="1" w:evenVBand="0" w:oddHBand="0" w:evenHBand="0" w:firstRowFirstColumn="0" w:firstRowLastColumn="0" w:lastRowFirstColumn="0" w:lastRowLastColumn="0"/>
            <w:tcW w:w="2500" w:type="pct"/>
            <w:vMerge/>
          </w:tcPr>
          <w:p w:rsidR="001E4C63" w:rsidRPr="006A1A01" w:rsidRDefault="001E4C63" w:rsidP="009768EE">
            <w:pPr>
              <w:pStyle w:val="ListParagraph"/>
              <w:numPr>
                <w:ilvl w:val="0"/>
                <w:numId w:val="9"/>
              </w:numPr>
              <w:spacing w:before="0" w:after="0" w:line="240" w:lineRule="auto"/>
              <w:ind w:left="350" w:hanging="350"/>
              <w:contextualSpacing/>
              <w:rPr>
                <w:rFonts w:cs="Arial"/>
                <w:szCs w:val="22"/>
              </w:rPr>
            </w:pPr>
          </w:p>
        </w:tc>
      </w:tr>
      <w:tr w:rsidR="001E4C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rsidR="001E4C63" w:rsidRPr="00275F4E" w:rsidRDefault="001E4C63" w:rsidP="00B455C5">
            <w:pPr>
              <w:pStyle w:val="NoSpacing"/>
              <w:rPr>
                <w:b w:val="0"/>
              </w:rPr>
            </w:pPr>
            <w:r w:rsidRPr="00275F4E">
              <w:rPr>
                <w:b w:val="0"/>
              </w:rPr>
              <w:t xml:space="preserve">Injuries to upper limb </w:t>
            </w:r>
          </w:p>
        </w:tc>
        <w:tc>
          <w:tcPr>
            <w:cnfStyle w:val="000010000000" w:firstRow="0" w:lastRow="0" w:firstColumn="0" w:lastColumn="0" w:oddVBand="1" w:evenVBand="0" w:oddHBand="0" w:evenHBand="0" w:firstRowFirstColumn="0" w:firstRowLastColumn="0" w:lastRowFirstColumn="0" w:lastRowLastColumn="0"/>
            <w:tcW w:w="2500" w:type="pct"/>
            <w:vMerge/>
          </w:tcPr>
          <w:p w:rsidR="001E4C63" w:rsidRPr="006A1A01" w:rsidRDefault="001E4C63" w:rsidP="009768EE">
            <w:pPr>
              <w:pStyle w:val="ListParagraph"/>
              <w:numPr>
                <w:ilvl w:val="0"/>
                <w:numId w:val="9"/>
              </w:numPr>
              <w:spacing w:before="0" w:after="0" w:line="240" w:lineRule="auto"/>
              <w:ind w:left="350" w:hanging="350"/>
              <w:contextualSpacing/>
              <w:rPr>
                <w:rFonts w:cs="Arial"/>
                <w:szCs w:val="22"/>
              </w:rPr>
            </w:pPr>
          </w:p>
        </w:tc>
      </w:tr>
      <w:tr w:rsidR="001E4C63">
        <w:tc>
          <w:tcPr>
            <w:cnfStyle w:val="001000000000" w:firstRow="0" w:lastRow="0" w:firstColumn="1" w:lastColumn="0" w:oddVBand="0" w:evenVBand="0" w:oddHBand="0" w:evenHBand="0" w:firstRowFirstColumn="0" w:firstRowLastColumn="0" w:lastRowFirstColumn="0" w:lastRowLastColumn="0"/>
            <w:tcW w:w="2500" w:type="pct"/>
          </w:tcPr>
          <w:p w:rsidR="001E4C63" w:rsidRPr="00275F4E" w:rsidRDefault="001E4C63" w:rsidP="00B455C5">
            <w:pPr>
              <w:pStyle w:val="NoSpacing"/>
              <w:rPr>
                <w:b w:val="0"/>
              </w:rPr>
            </w:pPr>
            <w:r w:rsidRPr="00275F4E">
              <w:rPr>
                <w:b w:val="0"/>
              </w:rPr>
              <w:t xml:space="preserve">Injuries to lower limb </w:t>
            </w:r>
          </w:p>
        </w:tc>
        <w:tc>
          <w:tcPr>
            <w:cnfStyle w:val="000010000000" w:firstRow="0" w:lastRow="0" w:firstColumn="0" w:lastColumn="0" w:oddVBand="1" w:evenVBand="0" w:oddHBand="0" w:evenHBand="0" w:firstRowFirstColumn="0" w:firstRowLastColumn="0" w:lastRowFirstColumn="0" w:lastRowLastColumn="0"/>
            <w:tcW w:w="2500" w:type="pct"/>
            <w:vMerge/>
          </w:tcPr>
          <w:p w:rsidR="001E4C63" w:rsidRPr="006A1A01" w:rsidRDefault="001E4C63" w:rsidP="009768EE">
            <w:pPr>
              <w:pStyle w:val="ListParagraph"/>
              <w:numPr>
                <w:ilvl w:val="0"/>
                <w:numId w:val="9"/>
              </w:numPr>
              <w:spacing w:before="0" w:after="0" w:line="240" w:lineRule="auto"/>
              <w:ind w:left="350" w:hanging="350"/>
              <w:contextualSpacing/>
              <w:rPr>
                <w:rFonts w:cs="Arial"/>
                <w:szCs w:val="22"/>
              </w:rPr>
            </w:pPr>
          </w:p>
        </w:tc>
      </w:tr>
      <w:tr w:rsidR="001E4C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rsidR="001E4C63" w:rsidRPr="00275F4E" w:rsidRDefault="001E4C63" w:rsidP="00B455C5">
            <w:pPr>
              <w:pStyle w:val="NoSpacing"/>
              <w:rPr>
                <w:b w:val="0"/>
              </w:rPr>
            </w:pPr>
            <w:r w:rsidRPr="00275F4E">
              <w:rPr>
                <w:b w:val="0"/>
              </w:rPr>
              <w:t xml:space="preserve">Injuries to pelvis, hip, and thigh </w:t>
            </w:r>
          </w:p>
        </w:tc>
        <w:tc>
          <w:tcPr>
            <w:cnfStyle w:val="000010000000" w:firstRow="0" w:lastRow="0" w:firstColumn="0" w:lastColumn="0" w:oddVBand="1" w:evenVBand="0" w:oddHBand="0" w:evenHBand="0" w:firstRowFirstColumn="0" w:firstRowLastColumn="0" w:lastRowFirstColumn="0" w:lastRowLastColumn="0"/>
            <w:tcW w:w="2500" w:type="pct"/>
            <w:vMerge/>
          </w:tcPr>
          <w:p w:rsidR="001E4C63" w:rsidRPr="006A1A01" w:rsidRDefault="001E4C63" w:rsidP="009768EE">
            <w:pPr>
              <w:pStyle w:val="ListParagraph"/>
              <w:numPr>
                <w:ilvl w:val="0"/>
                <w:numId w:val="9"/>
              </w:numPr>
              <w:spacing w:before="0" w:after="0" w:line="240" w:lineRule="auto"/>
              <w:ind w:left="350" w:hanging="350"/>
              <w:contextualSpacing/>
              <w:rPr>
                <w:rFonts w:cs="Arial"/>
                <w:szCs w:val="22"/>
              </w:rPr>
            </w:pPr>
          </w:p>
        </w:tc>
      </w:tr>
      <w:tr w:rsidR="001E4C63">
        <w:tc>
          <w:tcPr>
            <w:cnfStyle w:val="001000000000" w:firstRow="0" w:lastRow="0" w:firstColumn="1" w:lastColumn="0" w:oddVBand="0" w:evenVBand="0" w:oddHBand="0" w:evenHBand="0" w:firstRowFirstColumn="0" w:firstRowLastColumn="0" w:lastRowFirstColumn="0" w:lastRowLastColumn="0"/>
            <w:tcW w:w="2500" w:type="pct"/>
          </w:tcPr>
          <w:p w:rsidR="001E4C63" w:rsidRPr="00275F4E" w:rsidRDefault="001E4C63" w:rsidP="00FA383A">
            <w:pPr>
              <w:pStyle w:val="NoSpacing"/>
              <w:rPr>
                <w:b w:val="0"/>
              </w:rPr>
            </w:pPr>
            <w:r w:rsidRPr="00275F4E">
              <w:rPr>
                <w:b w:val="0"/>
              </w:rPr>
              <w:t xml:space="preserve">Injury/trauma to subcutaneous tissue </w:t>
            </w:r>
          </w:p>
          <w:p w:rsidR="001E4C63" w:rsidRPr="00275F4E" w:rsidRDefault="001E4C63" w:rsidP="009768EE">
            <w:pPr>
              <w:pStyle w:val="NoSpacing"/>
              <w:numPr>
                <w:ilvl w:val="0"/>
                <w:numId w:val="13"/>
              </w:numPr>
              <w:ind w:left="284" w:hanging="284"/>
              <w:rPr>
                <w:b w:val="0"/>
              </w:rPr>
            </w:pPr>
            <w:r w:rsidRPr="00275F4E">
              <w:rPr>
                <w:b w:val="0"/>
              </w:rPr>
              <w:t>abrasion</w:t>
            </w:r>
          </w:p>
          <w:p w:rsidR="001E4C63" w:rsidRPr="00275F4E" w:rsidRDefault="001E4C63" w:rsidP="009768EE">
            <w:pPr>
              <w:pStyle w:val="NoSpacing"/>
              <w:numPr>
                <w:ilvl w:val="0"/>
                <w:numId w:val="13"/>
              </w:numPr>
              <w:ind w:left="284" w:hanging="284"/>
              <w:rPr>
                <w:b w:val="0"/>
              </w:rPr>
            </w:pPr>
            <w:r w:rsidRPr="00275F4E">
              <w:rPr>
                <w:b w:val="0"/>
              </w:rPr>
              <w:t>contusion</w:t>
            </w:r>
          </w:p>
          <w:p w:rsidR="001E4C63" w:rsidRPr="00275F4E" w:rsidRDefault="001E4C63" w:rsidP="009768EE">
            <w:pPr>
              <w:pStyle w:val="NoSpacing"/>
              <w:numPr>
                <w:ilvl w:val="0"/>
                <w:numId w:val="13"/>
              </w:numPr>
              <w:ind w:left="284" w:hanging="284"/>
              <w:rPr>
                <w:b w:val="0"/>
              </w:rPr>
            </w:pPr>
            <w:r w:rsidRPr="00275F4E">
              <w:rPr>
                <w:b w:val="0"/>
              </w:rPr>
              <w:t>foreign body</w:t>
            </w:r>
          </w:p>
          <w:p w:rsidR="001E4C63" w:rsidRPr="00116059" w:rsidRDefault="001E4C63" w:rsidP="009768EE">
            <w:pPr>
              <w:pStyle w:val="NoSpacing"/>
              <w:numPr>
                <w:ilvl w:val="0"/>
                <w:numId w:val="13"/>
              </w:numPr>
              <w:ind w:left="284" w:hanging="284"/>
            </w:pPr>
            <w:r w:rsidRPr="00275F4E">
              <w:rPr>
                <w:b w:val="0"/>
              </w:rPr>
              <w:t>lacerations</w:t>
            </w:r>
          </w:p>
        </w:tc>
        <w:tc>
          <w:tcPr>
            <w:cnfStyle w:val="000010000000" w:firstRow="0" w:lastRow="0" w:firstColumn="0" w:lastColumn="0" w:oddVBand="1" w:evenVBand="0" w:oddHBand="0" w:evenHBand="0" w:firstRowFirstColumn="0" w:firstRowLastColumn="0" w:lastRowFirstColumn="0" w:lastRowLastColumn="0"/>
            <w:tcW w:w="2500" w:type="pct"/>
            <w:vMerge/>
          </w:tcPr>
          <w:p w:rsidR="001E4C63" w:rsidRPr="006A1A01" w:rsidRDefault="001E4C63" w:rsidP="009768EE">
            <w:pPr>
              <w:pStyle w:val="ListParagraph"/>
              <w:numPr>
                <w:ilvl w:val="0"/>
                <w:numId w:val="9"/>
              </w:numPr>
              <w:spacing w:before="0" w:after="0" w:line="240" w:lineRule="auto"/>
              <w:ind w:left="350" w:hanging="350"/>
              <w:contextualSpacing/>
              <w:rPr>
                <w:rFonts w:cs="Arial"/>
                <w:szCs w:val="22"/>
              </w:rPr>
            </w:pPr>
          </w:p>
        </w:tc>
      </w:tr>
      <w:tr w:rsidR="001E4C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rsidR="001E4C63" w:rsidRPr="00275F4E" w:rsidRDefault="001E4C63" w:rsidP="00FA383A">
            <w:pPr>
              <w:pStyle w:val="NoSpacing"/>
              <w:rPr>
                <w:b w:val="0"/>
              </w:rPr>
            </w:pPr>
            <w:r w:rsidRPr="00275F4E">
              <w:rPr>
                <w:b w:val="0"/>
              </w:rPr>
              <w:t>Fractures to head</w:t>
            </w:r>
          </w:p>
        </w:tc>
        <w:tc>
          <w:tcPr>
            <w:cnfStyle w:val="000010000000" w:firstRow="0" w:lastRow="0" w:firstColumn="0" w:lastColumn="0" w:oddVBand="1" w:evenVBand="0" w:oddHBand="0" w:evenHBand="0" w:firstRowFirstColumn="0" w:firstRowLastColumn="0" w:lastRowFirstColumn="0" w:lastRowLastColumn="0"/>
            <w:tcW w:w="2500" w:type="pct"/>
            <w:vMerge/>
          </w:tcPr>
          <w:p w:rsidR="001E4C63" w:rsidRPr="006A1A01" w:rsidRDefault="001E4C63" w:rsidP="009768EE">
            <w:pPr>
              <w:pStyle w:val="ListParagraph"/>
              <w:numPr>
                <w:ilvl w:val="0"/>
                <w:numId w:val="9"/>
              </w:numPr>
              <w:spacing w:before="0" w:after="0" w:line="240" w:lineRule="auto"/>
              <w:ind w:left="350" w:hanging="350"/>
              <w:contextualSpacing/>
              <w:rPr>
                <w:rFonts w:cs="Arial"/>
                <w:szCs w:val="22"/>
              </w:rPr>
            </w:pPr>
          </w:p>
        </w:tc>
      </w:tr>
      <w:tr w:rsidR="001E4C63">
        <w:tc>
          <w:tcPr>
            <w:cnfStyle w:val="001000000000" w:firstRow="0" w:lastRow="0" w:firstColumn="1" w:lastColumn="0" w:oddVBand="0" w:evenVBand="0" w:oddHBand="0" w:evenHBand="0" w:firstRowFirstColumn="0" w:firstRowLastColumn="0" w:lastRowFirstColumn="0" w:lastRowLastColumn="0"/>
            <w:tcW w:w="2500" w:type="pct"/>
          </w:tcPr>
          <w:p w:rsidR="001E4C63" w:rsidRPr="00275F4E" w:rsidRDefault="001E4C63" w:rsidP="00FA383A">
            <w:pPr>
              <w:pStyle w:val="NoSpacing"/>
              <w:rPr>
                <w:b w:val="0"/>
              </w:rPr>
            </w:pPr>
            <w:r w:rsidRPr="00275F4E">
              <w:rPr>
                <w:b w:val="0"/>
              </w:rPr>
              <w:t xml:space="preserve">Fractures to vertebrae </w:t>
            </w:r>
          </w:p>
        </w:tc>
        <w:tc>
          <w:tcPr>
            <w:cnfStyle w:val="000010000000" w:firstRow="0" w:lastRow="0" w:firstColumn="0" w:lastColumn="0" w:oddVBand="1" w:evenVBand="0" w:oddHBand="0" w:evenHBand="0" w:firstRowFirstColumn="0" w:firstRowLastColumn="0" w:lastRowFirstColumn="0" w:lastRowLastColumn="0"/>
            <w:tcW w:w="2500" w:type="pct"/>
            <w:vMerge/>
          </w:tcPr>
          <w:p w:rsidR="001E4C63" w:rsidRPr="0046451E" w:rsidRDefault="001E4C63" w:rsidP="00FA383A">
            <w:pPr>
              <w:rPr>
                <w:rFonts w:cs="Arial"/>
                <w:szCs w:val="22"/>
              </w:rPr>
            </w:pPr>
          </w:p>
        </w:tc>
      </w:tr>
      <w:tr w:rsidR="001E4C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rsidR="001E4C63" w:rsidRPr="00275F4E" w:rsidRDefault="001E4C63" w:rsidP="00FA383A">
            <w:pPr>
              <w:pStyle w:val="NoSpacing"/>
              <w:rPr>
                <w:b w:val="0"/>
              </w:rPr>
            </w:pPr>
            <w:r w:rsidRPr="00275F4E">
              <w:rPr>
                <w:b w:val="0"/>
              </w:rPr>
              <w:t>Fractures to chest, thorax</w:t>
            </w:r>
          </w:p>
        </w:tc>
        <w:tc>
          <w:tcPr>
            <w:cnfStyle w:val="000010000000" w:firstRow="0" w:lastRow="0" w:firstColumn="0" w:lastColumn="0" w:oddVBand="1" w:evenVBand="0" w:oddHBand="0" w:evenHBand="0" w:firstRowFirstColumn="0" w:firstRowLastColumn="0" w:lastRowFirstColumn="0" w:lastRowLastColumn="0"/>
            <w:tcW w:w="2500" w:type="pct"/>
            <w:vMerge/>
          </w:tcPr>
          <w:p w:rsidR="001E4C63" w:rsidRPr="0046451E" w:rsidRDefault="001E4C63" w:rsidP="00FA383A">
            <w:pPr>
              <w:rPr>
                <w:rFonts w:cs="Arial"/>
                <w:szCs w:val="22"/>
              </w:rPr>
            </w:pPr>
          </w:p>
        </w:tc>
      </w:tr>
      <w:tr w:rsidR="001E4C63">
        <w:tc>
          <w:tcPr>
            <w:cnfStyle w:val="001000000000" w:firstRow="0" w:lastRow="0" w:firstColumn="1" w:lastColumn="0" w:oddVBand="0" w:evenVBand="0" w:oddHBand="0" w:evenHBand="0" w:firstRowFirstColumn="0" w:firstRowLastColumn="0" w:lastRowFirstColumn="0" w:lastRowLastColumn="0"/>
            <w:tcW w:w="2500" w:type="pct"/>
          </w:tcPr>
          <w:p w:rsidR="001E4C63" w:rsidRPr="00275F4E" w:rsidRDefault="001E4C63" w:rsidP="00FA383A">
            <w:pPr>
              <w:pStyle w:val="NoSpacing"/>
              <w:rPr>
                <w:b w:val="0"/>
              </w:rPr>
            </w:pPr>
            <w:r w:rsidRPr="00275F4E">
              <w:rPr>
                <w:b w:val="0"/>
              </w:rPr>
              <w:t>Fractures to upper limb</w:t>
            </w:r>
          </w:p>
        </w:tc>
        <w:tc>
          <w:tcPr>
            <w:cnfStyle w:val="000010000000" w:firstRow="0" w:lastRow="0" w:firstColumn="0" w:lastColumn="0" w:oddVBand="1" w:evenVBand="0" w:oddHBand="0" w:evenHBand="0" w:firstRowFirstColumn="0" w:firstRowLastColumn="0" w:lastRowFirstColumn="0" w:lastRowLastColumn="0"/>
            <w:tcW w:w="2500" w:type="pct"/>
            <w:vMerge/>
          </w:tcPr>
          <w:p w:rsidR="001E4C63" w:rsidRPr="0046451E" w:rsidRDefault="001E4C63" w:rsidP="00FA383A">
            <w:pPr>
              <w:rPr>
                <w:rFonts w:cs="Arial"/>
                <w:szCs w:val="22"/>
              </w:rPr>
            </w:pPr>
          </w:p>
        </w:tc>
      </w:tr>
      <w:tr w:rsidR="001E4C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rsidR="001E4C63" w:rsidRPr="00275F4E" w:rsidRDefault="001E4C63" w:rsidP="006C4B04">
            <w:pPr>
              <w:pStyle w:val="NoSpacing"/>
              <w:rPr>
                <w:b w:val="0"/>
              </w:rPr>
            </w:pPr>
            <w:r w:rsidRPr="00275F4E">
              <w:rPr>
                <w:b w:val="0"/>
              </w:rPr>
              <w:t>Fractures to lower limb</w:t>
            </w:r>
          </w:p>
        </w:tc>
        <w:tc>
          <w:tcPr>
            <w:cnfStyle w:val="000010000000" w:firstRow="0" w:lastRow="0" w:firstColumn="0" w:lastColumn="0" w:oddVBand="1" w:evenVBand="0" w:oddHBand="0" w:evenHBand="0" w:firstRowFirstColumn="0" w:firstRowLastColumn="0" w:lastRowFirstColumn="0" w:lastRowLastColumn="0"/>
            <w:tcW w:w="2500" w:type="pct"/>
            <w:vMerge/>
          </w:tcPr>
          <w:p w:rsidR="001E4C63" w:rsidRPr="0046451E" w:rsidRDefault="001E4C63" w:rsidP="00FA383A">
            <w:pPr>
              <w:rPr>
                <w:rFonts w:cs="Arial"/>
                <w:szCs w:val="22"/>
              </w:rPr>
            </w:pPr>
          </w:p>
        </w:tc>
      </w:tr>
      <w:tr w:rsidR="001E4C63">
        <w:tc>
          <w:tcPr>
            <w:cnfStyle w:val="001000000000" w:firstRow="0" w:lastRow="0" w:firstColumn="1" w:lastColumn="0" w:oddVBand="0" w:evenVBand="0" w:oddHBand="0" w:evenHBand="0" w:firstRowFirstColumn="0" w:firstRowLastColumn="0" w:lastRowFirstColumn="0" w:lastRowLastColumn="0"/>
            <w:tcW w:w="2500" w:type="pct"/>
          </w:tcPr>
          <w:p w:rsidR="001E4C63" w:rsidRPr="00275F4E" w:rsidRDefault="001E4C63" w:rsidP="00FA383A">
            <w:pPr>
              <w:pStyle w:val="NoSpacing"/>
              <w:rPr>
                <w:b w:val="0"/>
              </w:rPr>
            </w:pPr>
            <w:r w:rsidRPr="00275F4E">
              <w:rPr>
                <w:b w:val="0"/>
              </w:rPr>
              <w:t>Burn, superficial (erythema, sunburn, first degree)</w:t>
            </w:r>
          </w:p>
        </w:tc>
        <w:tc>
          <w:tcPr>
            <w:cnfStyle w:val="000010000000" w:firstRow="0" w:lastRow="0" w:firstColumn="0" w:lastColumn="0" w:oddVBand="1" w:evenVBand="0" w:oddHBand="0" w:evenHBand="0" w:firstRowFirstColumn="0" w:firstRowLastColumn="0" w:lastRowFirstColumn="0" w:lastRowLastColumn="0"/>
            <w:tcW w:w="2500" w:type="pct"/>
            <w:vMerge/>
          </w:tcPr>
          <w:p w:rsidR="001E4C63" w:rsidRPr="0046451E" w:rsidRDefault="001E4C63" w:rsidP="00FA383A">
            <w:pPr>
              <w:rPr>
                <w:rFonts w:cs="Arial"/>
                <w:szCs w:val="22"/>
              </w:rPr>
            </w:pPr>
          </w:p>
        </w:tc>
      </w:tr>
      <w:tr w:rsidR="001E4C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rsidR="001E4C63" w:rsidRPr="00275F4E" w:rsidRDefault="001E4C63" w:rsidP="00FA383A">
            <w:pPr>
              <w:pStyle w:val="NoSpacing"/>
              <w:rPr>
                <w:b w:val="0"/>
              </w:rPr>
            </w:pPr>
            <w:r w:rsidRPr="00275F4E">
              <w:rPr>
                <w:b w:val="0"/>
              </w:rPr>
              <w:t>Burn, full thickness (third degree, fourth degree, complex)</w:t>
            </w:r>
          </w:p>
        </w:tc>
        <w:tc>
          <w:tcPr>
            <w:cnfStyle w:val="000010000000" w:firstRow="0" w:lastRow="0" w:firstColumn="0" w:lastColumn="0" w:oddVBand="1" w:evenVBand="0" w:oddHBand="0" w:evenHBand="0" w:firstRowFirstColumn="0" w:firstRowLastColumn="0" w:lastRowFirstColumn="0" w:lastRowLastColumn="0"/>
            <w:tcW w:w="2500" w:type="pct"/>
            <w:vMerge/>
          </w:tcPr>
          <w:p w:rsidR="001E4C63" w:rsidRPr="0046451E" w:rsidRDefault="001E4C63" w:rsidP="00FA383A">
            <w:pPr>
              <w:rPr>
                <w:rFonts w:cs="Arial"/>
                <w:szCs w:val="22"/>
              </w:rPr>
            </w:pPr>
          </w:p>
        </w:tc>
      </w:tr>
      <w:tr w:rsidR="001E4C63">
        <w:tc>
          <w:tcPr>
            <w:cnfStyle w:val="001000000000" w:firstRow="0" w:lastRow="0" w:firstColumn="1" w:lastColumn="0" w:oddVBand="0" w:evenVBand="0" w:oddHBand="0" w:evenHBand="0" w:firstRowFirstColumn="0" w:firstRowLastColumn="0" w:lastRowFirstColumn="0" w:lastRowLastColumn="0"/>
            <w:tcW w:w="2500" w:type="pct"/>
          </w:tcPr>
          <w:p w:rsidR="001E4C63" w:rsidRPr="00275F4E" w:rsidRDefault="001E4C63" w:rsidP="00FA383A">
            <w:pPr>
              <w:pStyle w:val="NoSpacing"/>
              <w:rPr>
                <w:b w:val="0"/>
              </w:rPr>
            </w:pPr>
            <w:r w:rsidRPr="00275F4E">
              <w:rPr>
                <w:b w:val="0"/>
              </w:rPr>
              <w:t>Burns of multiple regions, superficial (erythema, sunburn, first degree)</w:t>
            </w:r>
          </w:p>
        </w:tc>
        <w:tc>
          <w:tcPr>
            <w:cnfStyle w:val="000010000000" w:firstRow="0" w:lastRow="0" w:firstColumn="0" w:lastColumn="0" w:oddVBand="1" w:evenVBand="0" w:oddHBand="0" w:evenHBand="0" w:firstRowFirstColumn="0" w:firstRowLastColumn="0" w:lastRowFirstColumn="0" w:lastRowLastColumn="0"/>
            <w:tcW w:w="2500" w:type="pct"/>
            <w:vMerge/>
          </w:tcPr>
          <w:p w:rsidR="001E4C63" w:rsidRPr="0046451E" w:rsidRDefault="001E4C63" w:rsidP="00FA383A">
            <w:pPr>
              <w:rPr>
                <w:rFonts w:cs="Arial"/>
                <w:szCs w:val="22"/>
              </w:rPr>
            </w:pPr>
          </w:p>
        </w:tc>
      </w:tr>
      <w:tr w:rsidR="001E4C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rsidR="001E4C63" w:rsidRPr="00275F4E" w:rsidRDefault="001E4C63" w:rsidP="00FA383A">
            <w:pPr>
              <w:pStyle w:val="NoSpacing"/>
              <w:rPr>
                <w:b w:val="0"/>
              </w:rPr>
            </w:pPr>
            <w:r w:rsidRPr="00275F4E">
              <w:rPr>
                <w:b w:val="0"/>
              </w:rPr>
              <w:t>Burns of multiple regions, partial or deep partial thickness (sunburn with blisters, second degree)</w:t>
            </w:r>
          </w:p>
        </w:tc>
        <w:tc>
          <w:tcPr>
            <w:cnfStyle w:val="000010000000" w:firstRow="0" w:lastRow="0" w:firstColumn="0" w:lastColumn="0" w:oddVBand="1" w:evenVBand="0" w:oddHBand="0" w:evenHBand="0" w:firstRowFirstColumn="0" w:firstRowLastColumn="0" w:lastRowFirstColumn="0" w:lastRowLastColumn="0"/>
            <w:tcW w:w="2500" w:type="pct"/>
            <w:vMerge/>
          </w:tcPr>
          <w:p w:rsidR="001E4C63" w:rsidRPr="0046451E" w:rsidRDefault="001E4C63" w:rsidP="00FA383A">
            <w:pPr>
              <w:rPr>
                <w:rFonts w:cs="Arial"/>
                <w:szCs w:val="22"/>
              </w:rPr>
            </w:pPr>
          </w:p>
        </w:tc>
      </w:tr>
      <w:tr w:rsidR="001E4C63">
        <w:tc>
          <w:tcPr>
            <w:cnfStyle w:val="001000000000" w:firstRow="0" w:lastRow="0" w:firstColumn="1" w:lastColumn="0" w:oddVBand="0" w:evenVBand="0" w:oddHBand="0" w:evenHBand="0" w:firstRowFirstColumn="0" w:firstRowLastColumn="0" w:lastRowFirstColumn="0" w:lastRowLastColumn="0"/>
            <w:tcW w:w="2500" w:type="pct"/>
          </w:tcPr>
          <w:p w:rsidR="001E4C63" w:rsidRPr="00275F4E" w:rsidRDefault="001E4C63" w:rsidP="00FA383A">
            <w:pPr>
              <w:pStyle w:val="NoSpacing"/>
              <w:rPr>
                <w:b w:val="0"/>
              </w:rPr>
            </w:pPr>
            <w:r w:rsidRPr="00275F4E">
              <w:rPr>
                <w:b w:val="0"/>
              </w:rPr>
              <w:t>Burns of multiple regions, full thickness level (third degree, fourth degree, complex)</w:t>
            </w:r>
          </w:p>
        </w:tc>
        <w:tc>
          <w:tcPr>
            <w:cnfStyle w:val="000010000000" w:firstRow="0" w:lastRow="0" w:firstColumn="0" w:lastColumn="0" w:oddVBand="1" w:evenVBand="0" w:oddHBand="0" w:evenHBand="0" w:firstRowFirstColumn="0" w:firstRowLastColumn="0" w:lastRowFirstColumn="0" w:lastRowLastColumn="0"/>
            <w:tcW w:w="2500" w:type="pct"/>
            <w:vMerge/>
          </w:tcPr>
          <w:p w:rsidR="001E4C63" w:rsidRPr="0046451E" w:rsidRDefault="001E4C63" w:rsidP="00FA383A">
            <w:pPr>
              <w:rPr>
                <w:rFonts w:cs="Arial"/>
                <w:szCs w:val="22"/>
              </w:rPr>
            </w:pPr>
          </w:p>
        </w:tc>
      </w:tr>
      <w:tr w:rsidR="001E4C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rsidR="001E4C63" w:rsidRPr="00275F4E" w:rsidRDefault="001E4C63" w:rsidP="00C37C9F">
            <w:pPr>
              <w:pStyle w:val="NoSpacing"/>
              <w:rPr>
                <w:b w:val="0"/>
              </w:rPr>
            </w:pPr>
            <w:r w:rsidRPr="00275F4E">
              <w:rPr>
                <w:b w:val="0"/>
              </w:rPr>
              <w:t xml:space="preserve">Poisoning/Toxic Effects of Drugs and Other Substances </w:t>
            </w:r>
          </w:p>
        </w:tc>
        <w:tc>
          <w:tcPr>
            <w:cnfStyle w:val="000010000000" w:firstRow="0" w:lastRow="0" w:firstColumn="0" w:lastColumn="0" w:oddVBand="1" w:evenVBand="0" w:oddHBand="0" w:evenHBand="0" w:firstRowFirstColumn="0" w:firstRowLastColumn="0" w:lastRowFirstColumn="0" w:lastRowLastColumn="0"/>
            <w:tcW w:w="2500" w:type="pct"/>
            <w:vMerge/>
          </w:tcPr>
          <w:p w:rsidR="001E4C63" w:rsidRPr="0046451E" w:rsidRDefault="001E4C63" w:rsidP="00FA383A">
            <w:pPr>
              <w:rPr>
                <w:rFonts w:cs="Arial"/>
                <w:szCs w:val="22"/>
              </w:rPr>
            </w:pPr>
          </w:p>
        </w:tc>
      </w:tr>
      <w:tr w:rsidR="001E4C63">
        <w:tc>
          <w:tcPr>
            <w:cnfStyle w:val="001000000000" w:firstRow="0" w:lastRow="0" w:firstColumn="1" w:lastColumn="0" w:oddVBand="0" w:evenVBand="0" w:oddHBand="0" w:evenHBand="0" w:firstRowFirstColumn="0" w:firstRowLastColumn="0" w:lastRowFirstColumn="0" w:lastRowLastColumn="0"/>
            <w:tcW w:w="2500" w:type="pct"/>
          </w:tcPr>
          <w:p w:rsidR="001E4C63" w:rsidRPr="00275F4E" w:rsidRDefault="001E4C63" w:rsidP="00FA383A">
            <w:pPr>
              <w:pStyle w:val="NoSpacing"/>
              <w:rPr>
                <w:b w:val="0"/>
              </w:rPr>
            </w:pPr>
            <w:r w:rsidRPr="00275F4E">
              <w:rPr>
                <w:b w:val="0"/>
              </w:rPr>
              <w:t xml:space="preserve">Post-traumatic infections </w:t>
            </w:r>
          </w:p>
          <w:p w:rsidR="001E4C63" w:rsidRPr="00275F4E" w:rsidRDefault="001E4C63" w:rsidP="009768EE">
            <w:pPr>
              <w:pStyle w:val="NoSpacing"/>
              <w:numPr>
                <w:ilvl w:val="0"/>
                <w:numId w:val="14"/>
              </w:numPr>
              <w:ind w:left="284" w:hanging="284"/>
              <w:rPr>
                <w:b w:val="0"/>
              </w:rPr>
            </w:pPr>
            <w:r w:rsidRPr="00275F4E">
              <w:rPr>
                <w:b w:val="0"/>
              </w:rPr>
              <w:t>post-traumatic abscess</w:t>
            </w:r>
          </w:p>
          <w:p w:rsidR="001E4C63" w:rsidRPr="00275F4E" w:rsidRDefault="001E4C63" w:rsidP="009768EE">
            <w:pPr>
              <w:pStyle w:val="NoSpacing"/>
              <w:numPr>
                <w:ilvl w:val="0"/>
                <w:numId w:val="14"/>
              </w:numPr>
              <w:ind w:left="284" w:hanging="284"/>
              <w:rPr>
                <w:b w:val="0"/>
              </w:rPr>
            </w:pPr>
            <w:r w:rsidRPr="00275F4E">
              <w:rPr>
                <w:b w:val="0"/>
              </w:rPr>
              <w:t>post-traumatic cellulitis</w:t>
            </w:r>
          </w:p>
        </w:tc>
        <w:tc>
          <w:tcPr>
            <w:cnfStyle w:val="000010000000" w:firstRow="0" w:lastRow="0" w:firstColumn="0" w:lastColumn="0" w:oddVBand="1" w:evenVBand="0" w:oddHBand="0" w:evenHBand="0" w:firstRowFirstColumn="0" w:firstRowLastColumn="0" w:lastRowFirstColumn="0" w:lastRowLastColumn="0"/>
            <w:tcW w:w="2500" w:type="pct"/>
            <w:vMerge/>
          </w:tcPr>
          <w:p w:rsidR="001E4C63" w:rsidRPr="0046451E" w:rsidRDefault="001E4C63" w:rsidP="00FA383A">
            <w:pPr>
              <w:rPr>
                <w:rFonts w:cs="Arial"/>
                <w:szCs w:val="22"/>
              </w:rPr>
            </w:pPr>
          </w:p>
        </w:tc>
      </w:tr>
      <w:tr w:rsidR="001E4C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rsidR="001E4C63" w:rsidRPr="00275F4E" w:rsidRDefault="001E4C63" w:rsidP="00AF5431">
            <w:pPr>
              <w:pStyle w:val="NoSpacing"/>
              <w:rPr>
                <w:b w:val="0"/>
              </w:rPr>
            </w:pPr>
            <w:r w:rsidRPr="00275F4E">
              <w:rPr>
                <w:b w:val="0"/>
              </w:rPr>
              <w:t xml:space="preserve">Other burns </w:t>
            </w:r>
          </w:p>
        </w:tc>
        <w:tc>
          <w:tcPr>
            <w:cnfStyle w:val="000010000000" w:firstRow="0" w:lastRow="0" w:firstColumn="0" w:lastColumn="0" w:oddVBand="1" w:evenVBand="0" w:oddHBand="0" w:evenHBand="0" w:firstRowFirstColumn="0" w:firstRowLastColumn="0" w:lastRowFirstColumn="0" w:lastRowLastColumn="0"/>
            <w:tcW w:w="2500" w:type="pct"/>
            <w:vMerge/>
          </w:tcPr>
          <w:p w:rsidR="001E4C63" w:rsidRDefault="001E4C63" w:rsidP="00FA383A">
            <w:pPr>
              <w:rPr>
                <w:rFonts w:cs="Arial"/>
                <w:szCs w:val="22"/>
              </w:rPr>
            </w:pPr>
          </w:p>
        </w:tc>
      </w:tr>
      <w:tr w:rsidR="001E4C63">
        <w:tc>
          <w:tcPr>
            <w:cnfStyle w:val="001000000000" w:firstRow="0" w:lastRow="0" w:firstColumn="1" w:lastColumn="0" w:oddVBand="0" w:evenVBand="0" w:oddHBand="0" w:evenHBand="0" w:firstRowFirstColumn="0" w:firstRowLastColumn="0" w:lastRowFirstColumn="0" w:lastRowLastColumn="0"/>
            <w:tcW w:w="2500" w:type="pct"/>
          </w:tcPr>
          <w:p w:rsidR="001E4C63" w:rsidRPr="00275F4E" w:rsidRDefault="001E4C63" w:rsidP="00FA383A">
            <w:pPr>
              <w:pStyle w:val="NoSpacing"/>
              <w:rPr>
                <w:b w:val="0"/>
              </w:rPr>
            </w:pPr>
            <w:r w:rsidRPr="00275F4E">
              <w:rPr>
                <w:b w:val="0"/>
              </w:rPr>
              <w:t>Other poisoning and toxic effects of drugs and other substances</w:t>
            </w:r>
          </w:p>
        </w:tc>
        <w:tc>
          <w:tcPr>
            <w:cnfStyle w:val="000010000000" w:firstRow="0" w:lastRow="0" w:firstColumn="0" w:lastColumn="0" w:oddVBand="1" w:evenVBand="0" w:oddHBand="0" w:evenHBand="0" w:firstRowFirstColumn="0" w:firstRowLastColumn="0" w:lastRowFirstColumn="0" w:lastRowLastColumn="0"/>
            <w:tcW w:w="2500" w:type="pct"/>
            <w:vMerge/>
          </w:tcPr>
          <w:p w:rsidR="001E4C63" w:rsidRDefault="001E4C63" w:rsidP="00FA383A">
            <w:pPr>
              <w:rPr>
                <w:rFonts w:cs="Arial"/>
                <w:szCs w:val="22"/>
              </w:rPr>
            </w:pPr>
          </w:p>
        </w:tc>
      </w:tr>
    </w:tbl>
    <w:p w:rsidR="001E4C63" w:rsidRDefault="001E4C63" w:rsidP="001E4C63">
      <w:pPr>
        <w:rPr>
          <w:rFonts w:cs="Arial"/>
          <w:szCs w:val="22"/>
        </w:rPr>
      </w:pPr>
    </w:p>
    <w:p w:rsidR="009A55D4" w:rsidRDefault="009A55D4">
      <w:pPr>
        <w:spacing w:before="0" w:after="0" w:line="240" w:lineRule="auto"/>
      </w:pPr>
    </w:p>
    <w:p w:rsidR="009A55D4" w:rsidRDefault="009A55D4">
      <w:pPr>
        <w:spacing w:before="0" w:after="0" w:line="240" w:lineRule="auto"/>
        <w:sectPr w:rsidR="009A55D4">
          <w:pgSz w:w="11906" w:h="16838" w:code="9"/>
          <w:pgMar w:top="2041" w:right="1440" w:bottom="1021" w:left="1021" w:header="680" w:footer="510" w:gutter="0"/>
          <w:pgNumType w:start="1"/>
          <w:cols w:space="708"/>
          <w:docGrid w:linePitch="360"/>
        </w:sectPr>
      </w:pPr>
    </w:p>
    <w:p w:rsidR="00E15D40" w:rsidRDefault="00E15D40">
      <w:pPr>
        <w:spacing w:before="0" w:after="0" w:line="240" w:lineRule="auto"/>
      </w:pPr>
    </w:p>
    <w:p w:rsidR="000902F7" w:rsidRDefault="000902F7">
      <w:pPr>
        <w:spacing w:before="0" w:after="0" w:line="240" w:lineRule="auto"/>
      </w:pPr>
    </w:p>
    <w:p w:rsidR="00E15D40" w:rsidRDefault="00E15D40">
      <w:pPr>
        <w:spacing w:before="0" w:after="0" w:line="240" w:lineRule="auto"/>
      </w:pPr>
    </w:p>
    <w:p w:rsidR="0059283C" w:rsidRPr="00350852" w:rsidRDefault="000B1A36" w:rsidP="00B04A18">
      <w:pPr>
        <w:spacing w:before="0" w:after="0" w:line="240" w:lineRule="auto"/>
      </w:pPr>
      <w:r>
        <w:rPr>
          <w:noProof/>
        </w:rPr>
        <mc:AlternateContent>
          <mc:Choice Requires="wps">
            <w:drawing>
              <wp:anchor distT="0" distB="0" distL="114300" distR="114300" simplePos="0" relativeHeight="251666432" behindDoc="0" locked="0" layoutInCell="1" allowOverlap="1" wp14:anchorId="115355F9" wp14:editId="4515EC33">
                <wp:simplePos x="0" y="0"/>
                <wp:positionH relativeFrom="column">
                  <wp:align>left</wp:align>
                </wp:positionH>
                <wp:positionV relativeFrom="margin">
                  <wp:align>bottom</wp:align>
                </wp:positionV>
                <wp:extent cx="1943100" cy="1257300"/>
                <wp:effectExtent l="0" t="0" r="0" b="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0" cy="12573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F66F3C" w:rsidRPr="00C303D7" w:rsidRDefault="00F66F3C" w:rsidP="008A433B">
                            <w:pPr>
                              <w:pStyle w:val="Address"/>
                            </w:pPr>
                            <w:r w:rsidRPr="00C303D7">
                              <w:t>Independent Hospital Pricing Authority</w:t>
                            </w:r>
                          </w:p>
                          <w:p w:rsidR="00F66F3C" w:rsidRPr="00C303D7" w:rsidRDefault="00F66F3C" w:rsidP="008A433B">
                            <w:pPr>
                              <w:pStyle w:val="Address"/>
                            </w:pPr>
                            <w:r w:rsidRPr="00C303D7">
                              <w:t> </w:t>
                            </w:r>
                          </w:p>
                          <w:p w:rsidR="00F66F3C" w:rsidRPr="00C303D7" w:rsidRDefault="00F66F3C" w:rsidP="008A433B">
                            <w:pPr>
                              <w:pStyle w:val="Address"/>
                              <w:rPr>
                                <w:color w:val="7EC352" w:themeColor="accent3"/>
                              </w:rPr>
                            </w:pPr>
                            <w:r w:rsidRPr="00C303D7">
                              <w:rPr>
                                <w:color w:val="7EC352" w:themeColor="accent3"/>
                              </w:rPr>
                              <w:t>Level 6, 1 Oxford Street</w:t>
                            </w:r>
                          </w:p>
                          <w:p w:rsidR="00F66F3C" w:rsidRDefault="00F66F3C" w:rsidP="008A433B">
                            <w:pPr>
                              <w:pStyle w:val="Address"/>
                            </w:pPr>
                            <w:r w:rsidRPr="00C303D7">
                              <w:rPr>
                                <w:color w:val="7EC352" w:themeColor="accent3"/>
                              </w:rPr>
                              <w:t>Sydney NSW 2000</w:t>
                            </w:r>
                          </w:p>
                          <w:p w:rsidR="00F66F3C" w:rsidRPr="00C303D7" w:rsidRDefault="00F66F3C" w:rsidP="008A433B">
                            <w:pPr>
                              <w:pStyle w:val="Address"/>
                            </w:pPr>
                          </w:p>
                          <w:p w:rsidR="00F66F3C" w:rsidRPr="00C303D7" w:rsidRDefault="00F66F3C" w:rsidP="008A433B">
                            <w:pPr>
                              <w:pStyle w:val="Address"/>
                            </w:pPr>
                            <w:r w:rsidRPr="00C303D7">
                              <w:t xml:space="preserve">Phone </w:t>
                            </w:r>
                            <w:r w:rsidRPr="00C303D7">
                              <w:rPr>
                                <w:color w:val="7EC352" w:themeColor="accent3"/>
                              </w:rPr>
                              <w:t>02 8215 1100</w:t>
                            </w:r>
                          </w:p>
                          <w:p w:rsidR="00F66F3C" w:rsidRPr="00C303D7" w:rsidRDefault="00F66F3C" w:rsidP="008A433B">
                            <w:pPr>
                              <w:pStyle w:val="Address"/>
                            </w:pPr>
                            <w:r w:rsidRPr="00C303D7">
                              <w:t xml:space="preserve">Email </w:t>
                            </w:r>
                            <w:r w:rsidRPr="00C303D7">
                              <w:rPr>
                                <w:color w:val="7EC352" w:themeColor="accent3"/>
                              </w:rPr>
                              <w:t>enquiries.ihpa@ihpa.gov.au</w:t>
                            </w:r>
                          </w:p>
                          <w:p w:rsidR="00F66F3C" w:rsidRPr="00C303D7" w:rsidRDefault="00F66F3C" w:rsidP="008A433B">
                            <w:pPr>
                              <w:pStyle w:val="Address"/>
                              <w:rPr>
                                <w:color w:val="7EC352" w:themeColor="accent3"/>
                              </w:rPr>
                            </w:pPr>
                            <w:r w:rsidRPr="00C303D7">
                              <w:t xml:space="preserve">Twitter </w:t>
                            </w:r>
                            <w:r w:rsidRPr="00C303D7">
                              <w:rPr>
                                <w:color w:val="7EC352" w:themeColor="accent3"/>
                              </w:rPr>
                              <w:t>@IHPAnews</w:t>
                            </w:r>
                          </w:p>
                          <w:p w:rsidR="00F66F3C" w:rsidRPr="00C303D7" w:rsidRDefault="00F66F3C" w:rsidP="008A433B">
                            <w:pPr>
                              <w:pStyle w:val="Address"/>
                            </w:pPr>
                          </w:p>
                          <w:p w:rsidR="00F66F3C" w:rsidRPr="00C303D7" w:rsidRDefault="00F66F3C" w:rsidP="008A433B">
                            <w:pPr>
                              <w:pStyle w:val="Address"/>
                            </w:pPr>
                            <w:r w:rsidRPr="00C303D7">
                              <w:t>www.ihpa.gov.au</w:t>
                            </w:r>
                          </w:p>
                          <w:p w:rsidR="00F66F3C" w:rsidRPr="00C303D7" w:rsidRDefault="00F66F3C" w:rsidP="008A433B">
                            <w:pPr>
                              <w:pStyle w:val="Addres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0;margin-top:0;width:153pt;height:99pt;z-index:251666432;visibility:visible;mso-wrap-style:square;mso-width-percent:0;mso-height-percent:0;mso-wrap-distance-left:9pt;mso-wrap-distance-top:0;mso-wrap-distance-right:9pt;mso-wrap-distance-bottom:0;mso-position-horizontal:left;mso-position-horizontal-relative:text;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6FHdwIAAGUFAAAOAAAAZHJzL2Uyb0RvYy54bWysVMlu2zAQvRfoPxC8N7KdrkLkwE2QooCR&#10;BHWKnGmKjIVIHJakLblf30dKstO0lxS9UKOZN/tydt41Ndsp5ysyBZ+eTDhTRlJZmYeCf7+7evOR&#10;Mx+EKUVNRhV8rzw/n79+ddbaXM1oQ3WpHIMR4/PWFnwTgs2zzMuNaoQ/IasMhJpcIwJ+3UNWOtHC&#10;elNns8nkfdaSK60jqbwH97IX8nmyr7WS4UZrrwKrC47YQnpdetfxzeZnIn9wwm4qOYQh/iGKRlQG&#10;Tg+mLkUQbOuqP0w1lXTkSYcTSU1GWldSpRyQzXTyLJvVRliVckFxvD2Uyf8/s/J6d+tYVaJ3M86M&#10;aNCjO9UF9pk6Bhbq01qfA7ayAIYOfGBTrt4uST56QLInmF7BAx3r0WnXxC8yZVBEC/aHskc3Mlr7&#10;9PZ0OoFIQjadvftwip9o9ahunQ9fFDUsEgV36GsKQeyWPvTQERK9Gbqq6hp8kdfmNwZs9hyVhmPQ&#10;juH3EScq7GvV635TGsVJgUdGGkt1UTu2ExgoIaUyYTrEWhugI0rD90sUB3xU7aN6ifJBI3kmEw7K&#10;TWXI9Y2K23QMu3wcQ9Y9fmig7/OOJQjdukP5Irmmco/OO+p3x1t5VaEJS+HDrXBYFjQOByDc4NE1&#10;tQWngeJsQ+7n3/gRjxmGlLMWy1dw/2MrnOKs/mow3XFTR8KNxHokzLa5IJR/itNiZSKh4EI9ktpR&#10;c4+7sIheIBJGwlfBw0hehP4E4K5ItVgkEPbRirA0KyvHAY8jddfdC2eHuQsY2Wsa11Lkz8avx8ZG&#10;GFpsA+kqzeaxikOhsctpuoe7E4/F0/+EOl7H+S8AAAD//wMAUEsDBBQABgAIAAAAIQDzGTyb2wAA&#10;AAUBAAAPAAAAZHJzL2Rvd25yZXYueG1sTI9BSwMxEIXvgv8hjODNJlasdd1skUrxIB5aLfQ43cTN&#10;4maybNJt+u8dvdTLwOM93nyvXGTfidEOsQ2k4XaiQFiqg2mp0fD5sbqZg4gJyWAXyGo42QiL6vKi&#10;xMKEI63tuEmN4BKKBWpwKfWFlLF21mOchN4Se19h8JhYDo00Ax653HdyqtRMemyJPzjs7dLZ+ntz&#10;8Bq2y371lncO38d78/oyfVifhjprfX2Vn59AJJvTOQy/+IwOFTPtw4FMFJ0GHpL+Lnt3asZyz6HH&#10;uQJZlfI/ffUDAAD//wMAUEsBAi0AFAAGAAgAAAAhALaDOJL+AAAA4QEAABMAAAAAAAAAAAAAAAAA&#10;AAAAAFtDb250ZW50X1R5cGVzXS54bWxQSwECLQAUAAYACAAAACEAOP0h/9YAAACUAQAACwAAAAAA&#10;AAAAAAAAAAAvAQAAX3JlbHMvLnJlbHNQSwECLQAUAAYACAAAACEATt+hR3cCAABlBQAADgAAAAAA&#10;AAAAAAAAAAAuAgAAZHJzL2Uyb0RvYy54bWxQSwECLQAUAAYACAAAACEA8xk8m9sAAAAFAQAADwAA&#10;AAAAAAAAAAAAAADRBAAAZHJzL2Rvd25yZXYueG1sUEsFBgAAAAAEAAQA8wAAANkFAAAAAA==&#10;" filled="f" stroked="f">
                <v:path arrowok="t"/>
                <v:textbox inset="0,0,0,0">
                  <w:txbxContent>
                    <w:p w:rsidR="00F66F3C" w:rsidRPr="00C303D7" w:rsidRDefault="00F66F3C" w:rsidP="008A433B">
                      <w:pPr>
                        <w:pStyle w:val="Address"/>
                      </w:pPr>
                      <w:r w:rsidRPr="00C303D7">
                        <w:t>Independent Hospital Pricing Authority</w:t>
                      </w:r>
                    </w:p>
                    <w:p w:rsidR="00F66F3C" w:rsidRPr="00C303D7" w:rsidRDefault="00F66F3C" w:rsidP="008A433B">
                      <w:pPr>
                        <w:pStyle w:val="Address"/>
                      </w:pPr>
                      <w:r w:rsidRPr="00C303D7">
                        <w:t> </w:t>
                      </w:r>
                    </w:p>
                    <w:p w:rsidR="00F66F3C" w:rsidRPr="00C303D7" w:rsidRDefault="00F66F3C" w:rsidP="008A433B">
                      <w:pPr>
                        <w:pStyle w:val="Address"/>
                        <w:rPr>
                          <w:color w:val="7EC352" w:themeColor="accent3"/>
                        </w:rPr>
                      </w:pPr>
                      <w:r w:rsidRPr="00C303D7">
                        <w:rPr>
                          <w:color w:val="7EC352" w:themeColor="accent3"/>
                        </w:rPr>
                        <w:t>Level 6, 1 Oxford Street</w:t>
                      </w:r>
                    </w:p>
                    <w:p w:rsidR="00F66F3C" w:rsidRDefault="00F66F3C" w:rsidP="008A433B">
                      <w:pPr>
                        <w:pStyle w:val="Address"/>
                      </w:pPr>
                      <w:r w:rsidRPr="00C303D7">
                        <w:rPr>
                          <w:color w:val="7EC352" w:themeColor="accent3"/>
                        </w:rPr>
                        <w:t>Sydney NSW 2000</w:t>
                      </w:r>
                    </w:p>
                    <w:p w:rsidR="00F66F3C" w:rsidRPr="00C303D7" w:rsidRDefault="00F66F3C" w:rsidP="008A433B">
                      <w:pPr>
                        <w:pStyle w:val="Address"/>
                      </w:pPr>
                    </w:p>
                    <w:p w:rsidR="00F66F3C" w:rsidRPr="00C303D7" w:rsidRDefault="00F66F3C" w:rsidP="008A433B">
                      <w:pPr>
                        <w:pStyle w:val="Address"/>
                      </w:pPr>
                      <w:r w:rsidRPr="00C303D7">
                        <w:t xml:space="preserve">Phone </w:t>
                      </w:r>
                      <w:r w:rsidRPr="00C303D7">
                        <w:rPr>
                          <w:color w:val="7EC352" w:themeColor="accent3"/>
                        </w:rPr>
                        <w:t>02 8215 1100</w:t>
                      </w:r>
                    </w:p>
                    <w:p w:rsidR="00F66F3C" w:rsidRPr="00C303D7" w:rsidRDefault="00F66F3C" w:rsidP="008A433B">
                      <w:pPr>
                        <w:pStyle w:val="Address"/>
                      </w:pPr>
                      <w:r w:rsidRPr="00C303D7">
                        <w:t xml:space="preserve">Email </w:t>
                      </w:r>
                      <w:r w:rsidRPr="00C303D7">
                        <w:rPr>
                          <w:color w:val="7EC352" w:themeColor="accent3"/>
                        </w:rPr>
                        <w:t>enquiries.ihpa@ihpa.gov.au</w:t>
                      </w:r>
                    </w:p>
                    <w:p w:rsidR="00F66F3C" w:rsidRPr="00C303D7" w:rsidRDefault="00F66F3C" w:rsidP="008A433B">
                      <w:pPr>
                        <w:pStyle w:val="Address"/>
                        <w:rPr>
                          <w:color w:val="7EC352" w:themeColor="accent3"/>
                        </w:rPr>
                      </w:pPr>
                      <w:r w:rsidRPr="00C303D7">
                        <w:t xml:space="preserve">Twitter </w:t>
                      </w:r>
                      <w:r w:rsidRPr="00C303D7">
                        <w:rPr>
                          <w:color w:val="7EC352" w:themeColor="accent3"/>
                        </w:rPr>
                        <w:t>@</w:t>
                      </w:r>
                      <w:proofErr w:type="spellStart"/>
                      <w:r w:rsidRPr="00C303D7">
                        <w:rPr>
                          <w:color w:val="7EC352" w:themeColor="accent3"/>
                        </w:rPr>
                        <w:t>IHPAnews</w:t>
                      </w:r>
                      <w:proofErr w:type="spellEnd"/>
                    </w:p>
                    <w:p w:rsidR="00F66F3C" w:rsidRPr="00C303D7" w:rsidRDefault="00F66F3C" w:rsidP="008A433B">
                      <w:pPr>
                        <w:pStyle w:val="Address"/>
                      </w:pPr>
                    </w:p>
                    <w:p w:rsidR="00F66F3C" w:rsidRPr="00C303D7" w:rsidRDefault="00F66F3C" w:rsidP="008A433B">
                      <w:pPr>
                        <w:pStyle w:val="Address"/>
                      </w:pPr>
                      <w:r w:rsidRPr="00C303D7">
                        <w:t>www.ihpa.gov.au</w:t>
                      </w:r>
                    </w:p>
                    <w:p w:rsidR="00F66F3C" w:rsidRPr="00C303D7" w:rsidRDefault="00F66F3C" w:rsidP="008A433B">
                      <w:pPr>
                        <w:pStyle w:val="Address"/>
                      </w:pPr>
                    </w:p>
                  </w:txbxContent>
                </v:textbox>
                <w10:wrap type="square" anchory="margin"/>
              </v:shape>
            </w:pict>
          </mc:Fallback>
        </mc:AlternateContent>
      </w:r>
      <w:r w:rsidR="008A433B">
        <w:rPr>
          <w:noProof/>
        </w:rPr>
        <w:drawing>
          <wp:anchor distT="0" distB="0" distL="114300" distR="114300" simplePos="0" relativeHeight="251663360" behindDoc="1" locked="0" layoutInCell="1" allowOverlap="1" wp14:anchorId="751349F3" wp14:editId="0008DEED">
            <wp:simplePos x="0" y="0"/>
            <wp:positionH relativeFrom="page">
              <wp:align>left</wp:align>
            </wp:positionH>
            <wp:positionV relativeFrom="page">
              <wp:align>top</wp:align>
            </wp:positionV>
            <wp:extent cx="7593480" cy="10740240"/>
            <wp:effectExtent l="0" t="0" r="1270"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HPA17-3093_IHPA_Templates_Back-Cover_012.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593480" cy="10740240"/>
                    </a:xfrm>
                    <a:prstGeom prst="rect">
                      <a:avLst/>
                    </a:prstGeom>
                  </pic:spPr>
                </pic:pic>
              </a:graphicData>
            </a:graphic>
          </wp:anchor>
        </w:drawing>
      </w:r>
      <w:r>
        <w:rPr>
          <w:noProof/>
        </w:rPr>
        <mc:AlternateContent>
          <mc:Choice Requires="wps">
            <w:drawing>
              <wp:anchor distT="0" distB="0" distL="114300" distR="114300" simplePos="0" relativeHeight="251661312" behindDoc="0" locked="0" layoutInCell="1" allowOverlap="1" wp14:anchorId="6F5CD015" wp14:editId="56A7B95A">
                <wp:simplePos x="0" y="0"/>
                <wp:positionH relativeFrom="column">
                  <wp:align>left</wp:align>
                </wp:positionH>
                <wp:positionV relativeFrom="margin">
                  <wp:align>bottom</wp:align>
                </wp:positionV>
                <wp:extent cx="1943100" cy="12573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0" cy="12573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F66F3C" w:rsidRPr="00906A0B" w:rsidRDefault="00F66F3C" w:rsidP="00C303D7">
                            <w:pPr>
                              <w:pStyle w:val="Address"/>
                            </w:pPr>
                            <w:r w:rsidRPr="00906A0B">
                              <w:t>Independent Hospital Pricing Authority</w:t>
                            </w:r>
                          </w:p>
                          <w:p w:rsidR="00F66F3C" w:rsidRPr="00906A0B" w:rsidRDefault="00F66F3C" w:rsidP="00C303D7">
                            <w:pPr>
                              <w:pStyle w:val="Address"/>
                            </w:pPr>
                            <w:r w:rsidRPr="00906A0B">
                              <w:t> </w:t>
                            </w:r>
                          </w:p>
                          <w:p w:rsidR="00F66F3C" w:rsidRPr="00906A0B" w:rsidRDefault="00F66F3C" w:rsidP="00C303D7">
                            <w:pPr>
                              <w:pStyle w:val="Address"/>
                            </w:pPr>
                            <w:r w:rsidRPr="00906A0B">
                              <w:t>Level 6, 1 Oxford Street</w:t>
                            </w:r>
                          </w:p>
                          <w:p w:rsidR="00F66F3C" w:rsidRPr="00906A0B" w:rsidRDefault="00F66F3C" w:rsidP="00C303D7">
                            <w:pPr>
                              <w:pStyle w:val="Address"/>
                            </w:pPr>
                            <w:r w:rsidRPr="00906A0B">
                              <w:t>Sydney NSW 2000</w:t>
                            </w:r>
                          </w:p>
                          <w:p w:rsidR="00F66F3C" w:rsidRPr="00906A0B" w:rsidRDefault="00F66F3C" w:rsidP="00C303D7">
                            <w:pPr>
                              <w:pStyle w:val="Address"/>
                            </w:pPr>
                          </w:p>
                          <w:p w:rsidR="00F66F3C" w:rsidRPr="00906A0B" w:rsidRDefault="00F66F3C" w:rsidP="00C303D7">
                            <w:pPr>
                              <w:pStyle w:val="Address"/>
                            </w:pPr>
                            <w:r w:rsidRPr="00906A0B">
                              <w:t>Phone 02 8215 1100</w:t>
                            </w:r>
                          </w:p>
                          <w:p w:rsidR="00F66F3C" w:rsidRPr="00906A0B" w:rsidRDefault="00F66F3C" w:rsidP="00C303D7">
                            <w:pPr>
                              <w:pStyle w:val="Address"/>
                            </w:pPr>
                            <w:r w:rsidRPr="00906A0B">
                              <w:t>Email enquiries.ihpa@ihpa.gov.au</w:t>
                            </w:r>
                          </w:p>
                          <w:p w:rsidR="00F66F3C" w:rsidRPr="00906A0B" w:rsidRDefault="00F66F3C" w:rsidP="00C303D7">
                            <w:pPr>
                              <w:pStyle w:val="Address"/>
                            </w:pPr>
                            <w:r w:rsidRPr="00906A0B">
                              <w:t>Twitter @IHPAnews</w:t>
                            </w:r>
                          </w:p>
                          <w:p w:rsidR="00F66F3C" w:rsidRPr="00906A0B" w:rsidRDefault="00F66F3C" w:rsidP="00C303D7">
                            <w:pPr>
                              <w:pStyle w:val="Address"/>
                            </w:pPr>
                          </w:p>
                          <w:p w:rsidR="00F66F3C" w:rsidRPr="00906A0B" w:rsidRDefault="00F66F3C" w:rsidP="00C303D7">
                            <w:pPr>
                              <w:pStyle w:val="Address"/>
                            </w:pPr>
                            <w:r w:rsidRPr="00906A0B">
                              <w:t>www.ihpa.gov.au</w:t>
                            </w:r>
                          </w:p>
                          <w:p w:rsidR="00F66F3C" w:rsidRPr="00906A0B" w:rsidRDefault="00F66F3C" w:rsidP="00C303D7">
                            <w:pPr>
                              <w:pStyle w:val="Addres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0;margin-top:0;width:153pt;height:99pt;z-index:251661312;visibility:visible;mso-wrap-style:square;mso-width-percent:0;mso-height-percent:0;mso-wrap-distance-left:9pt;mso-wrap-distance-top:0;mso-wrap-distance-right:9pt;mso-wrap-distance-bottom:0;mso-position-horizontal:left;mso-position-horizontal-relative:text;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A8UegIAAGoFAAAOAAAAZHJzL2Uyb0RvYy54bWysVEtv2zAMvg/YfxB0X53HnkadIkvRYUDQ&#10;FkuGnhVZSoxKoiYpsbNfP0qyk67bpcMuMk19fIj8yMurTityEM43YCo6vhhRIgyHujHbin5f37z5&#10;SIkPzNRMgREVPQpPr2avX122thQT2IGqhSPoxPiytRXdhWDLovB8JzTzF2CFwUsJTrOAv25b1I61&#10;6F2rYjIavS9acLV1wIX3qL3Ol3SW/EspeLiT0otAVEUxt5BOl85NPIvZJSu3jtldw/s02D9koVlj&#10;MOjJ1TULjOxd84cr3XAHHmS44KALkLLhIr0BXzMePXvNasesSG/B4nh7KpP/f2757eHekaau6JQS&#10;wzS2aC26QD5DR6axOq31JYJWFmGhQzV2Ob3U2yXwR4+Q4gkmG3hEx2p00un4xXcSNMQGHE9Fj1F4&#10;9Pbp7XQ8wiuOd+PJuw9T/Ilez+bW+fBFgCZRqKjDrqYU2GHpQ4YOkBjNwE2jFOpZqcxvCvSZNSJR&#10;o7eO6eeMkxSOSmTbb0JiaVLiUZFIKRbKkQNDOjHOhQnjPldlEB1REmO/xLDHR9Oc1UuMTxYpMphw&#10;MtaNAZcbFWfpnHb9OKQsM75voM/vjiUI3aZLnEjIqNlAfUQCOMgD5C2/abAXS+bDPXM4Mdg/3ALh&#10;Dg+poK0o9BIlO3A//6aPeCQy3lLS4gRW1P/YMycoUV8NUjyO6yC4QdgMgtnrBWAXxrhfLE8iGrig&#10;BlE60A+4HOYxCl4xwzFWRcMgLkLeA7hcuJjPEwiH0rKwNCvLB55HZq27B+ZsT7+AzL2FYTZZ+YyF&#10;GRv7YWC+DyCbRNFzFft640AnkvfLJ26Mp/8JdV6Rs18AAAD//wMAUEsDBBQABgAIAAAAIQDzGTyb&#10;2wAAAAUBAAAPAAAAZHJzL2Rvd25yZXYueG1sTI9BSwMxEIXvgv8hjODNJlasdd1skUrxIB5aLfQ4&#10;3cTN4maybNJt+u8dvdTLwOM93nyvXGTfidEOsQ2k4XaiQFiqg2mp0fD5sbqZg4gJyWAXyGo42QiL&#10;6vKixMKEI63tuEmN4BKKBWpwKfWFlLF21mOchN4Se19h8JhYDo00Ax653HdyqtRMemyJPzjs7dLZ&#10;+ntz8Bq2y371lncO38d78/oyfVifhjprfX2Vn59AJJvTOQy/+IwOFTPtw4FMFJ0GHpL+Lnt3asZy&#10;z6HHuQJZlfI/ffUDAAD//wMAUEsBAi0AFAAGAAgAAAAhALaDOJL+AAAA4QEAABMAAAAAAAAAAAAA&#10;AAAAAAAAAFtDb250ZW50X1R5cGVzXS54bWxQSwECLQAUAAYACAAAACEAOP0h/9YAAACUAQAACwAA&#10;AAAAAAAAAAAAAAAvAQAAX3JlbHMvLnJlbHNQSwECLQAUAAYACAAAACEAYKQPFHoCAABqBQAADgAA&#10;AAAAAAAAAAAAAAAuAgAAZHJzL2Uyb0RvYy54bWxQSwECLQAUAAYACAAAACEA8xk8m9sAAAAFAQAA&#10;DwAAAAAAAAAAAAAAAADUBAAAZHJzL2Rvd25yZXYueG1sUEsFBgAAAAAEAAQA8wAAANwFAAAAAA==&#10;" filled="f" stroked="f">
                <v:path arrowok="t"/>
                <v:textbox inset="0,0,0,0">
                  <w:txbxContent>
                    <w:p w:rsidR="00F66F3C" w:rsidRPr="00906A0B" w:rsidRDefault="00F66F3C" w:rsidP="00C303D7">
                      <w:pPr>
                        <w:pStyle w:val="Address"/>
                      </w:pPr>
                      <w:r w:rsidRPr="00906A0B">
                        <w:t>Independent Hospital Pricing Authority</w:t>
                      </w:r>
                    </w:p>
                    <w:p w:rsidR="00F66F3C" w:rsidRPr="00906A0B" w:rsidRDefault="00F66F3C" w:rsidP="00C303D7">
                      <w:pPr>
                        <w:pStyle w:val="Address"/>
                      </w:pPr>
                      <w:r w:rsidRPr="00906A0B">
                        <w:t> </w:t>
                      </w:r>
                    </w:p>
                    <w:p w:rsidR="00F66F3C" w:rsidRPr="00906A0B" w:rsidRDefault="00F66F3C" w:rsidP="00C303D7">
                      <w:pPr>
                        <w:pStyle w:val="Address"/>
                      </w:pPr>
                      <w:r w:rsidRPr="00906A0B">
                        <w:t>Level 6, 1 Oxford Street</w:t>
                      </w:r>
                    </w:p>
                    <w:p w:rsidR="00F66F3C" w:rsidRPr="00906A0B" w:rsidRDefault="00F66F3C" w:rsidP="00C303D7">
                      <w:pPr>
                        <w:pStyle w:val="Address"/>
                      </w:pPr>
                      <w:r w:rsidRPr="00906A0B">
                        <w:t>Sydney NSW 2000</w:t>
                      </w:r>
                    </w:p>
                    <w:p w:rsidR="00F66F3C" w:rsidRPr="00906A0B" w:rsidRDefault="00F66F3C" w:rsidP="00C303D7">
                      <w:pPr>
                        <w:pStyle w:val="Address"/>
                      </w:pPr>
                    </w:p>
                    <w:p w:rsidR="00F66F3C" w:rsidRPr="00906A0B" w:rsidRDefault="00F66F3C" w:rsidP="00C303D7">
                      <w:pPr>
                        <w:pStyle w:val="Address"/>
                      </w:pPr>
                      <w:r w:rsidRPr="00906A0B">
                        <w:t>Phone 02 8215 1100</w:t>
                      </w:r>
                    </w:p>
                    <w:p w:rsidR="00F66F3C" w:rsidRPr="00906A0B" w:rsidRDefault="00F66F3C" w:rsidP="00C303D7">
                      <w:pPr>
                        <w:pStyle w:val="Address"/>
                      </w:pPr>
                      <w:r w:rsidRPr="00906A0B">
                        <w:t>Email enquiries.ihpa@ihpa.gov.au</w:t>
                      </w:r>
                    </w:p>
                    <w:p w:rsidR="00F66F3C" w:rsidRPr="00906A0B" w:rsidRDefault="00F66F3C" w:rsidP="00C303D7">
                      <w:pPr>
                        <w:pStyle w:val="Address"/>
                      </w:pPr>
                      <w:r w:rsidRPr="00906A0B">
                        <w:t>Twitter @</w:t>
                      </w:r>
                      <w:proofErr w:type="spellStart"/>
                      <w:r w:rsidRPr="00906A0B">
                        <w:t>IHPAnews</w:t>
                      </w:r>
                      <w:proofErr w:type="spellEnd"/>
                    </w:p>
                    <w:p w:rsidR="00F66F3C" w:rsidRPr="00906A0B" w:rsidRDefault="00F66F3C" w:rsidP="00C303D7">
                      <w:pPr>
                        <w:pStyle w:val="Address"/>
                      </w:pPr>
                    </w:p>
                    <w:p w:rsidR="00F66F3C" w:rsidRPr="00906A0B" w:rsidRDefault="00F66F3C" w:rsidP="00C303D7">
                      <w:pPr>
                        <w:pStyle w:val="Address"/>
                      </w:pPr>
                      <w:r w:rsidRPr="00906A0B">
                        <w:t>www.ihpa.gov.au</w:t>
                      </w:r>
                    </w:p>
                    <w:p w:rsidR="00F66F3C" w:rsidRPr="00906A0B" w:rsidRDefault="00F66F3C" w:rsidP="00C303D7">
                      <w:pPr>
                        <w:pStyle w:val="Address"/>
                      </w:pPr>
                    </w:p>
                  </w:txbxContent>
                </v:textbox>
                <w10:wrap type="square" anchory="margin"/>
              </v:shape>
            </w:pict>
          </mc:Fallback>
        </mc:AlternateContent>
      </w:r>
    </w:p>
    <w:sectPr w:rsidR="0059283C" w:rsidRPr="00350852" w:rsidSect="0047601C">
      <w:pgSz w:w="11906" w:h="16838" w:code="9"/>
      <w:pgMar w:top="2041" w:right="1440" w:bottom="1021" w:left="1021" w:header="680" w:footer="510" w:gutter="0"/>
      <w:pgNumType w:start="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A80EF7" w15:done="0"/>
  <w15:commentEx w15:paraId="4407EBAF" w15:done="0"/>
  <w15:commentEx w15:paraId="7F244AFA" w15:done="0"/>
  <w15:commentEx w15:paraId="7EE9733C" w15:done="0"/>
  <w15:commentEx w15:paraId="5CF6BCC1" w15:done="0"/>
  <w15:commentEx w15:paraId="6336B0AA" w15:done="0"/>
  <w15:commentEx w15:paraId="5C7B354D" w15:done="0"/>
  <w15:commentEx w15:paraId="3306EB1E" w15:done="0"/>
  <w15:commentEx w15:paraId="7730A121" w15:done="0"/>
  <w15:commentEx w15:paraId="49B9FF9D" w15:done="0"/>
  <w15:commentEx w15:paraId="51B65BA2" w15:done="0"/>
  <w15:commentEx w15:paraId="6A39FE3B" w15:done="0"/>
  <w15:commentEx w15:paraId="129F1915" w15:done="0"/>
  <w15:commentEx w15:paraId="64DB905A" w15:done="0"/>
  <w15:commentEx w15:paraId="79B87CF7" w15:done="0"/>
  <w15:commentEx w15:paraId="05026E2F" w15:done="0"/>
  <w15:commentEx w15:paraId="4A134873" w15:done="0"/>
  <w15:commentEx w15:paraId="076B527D" w15:done="0"/>
  <w15:commentEx w15:paraId="60F8A813" w15:done="0"/>
  <w15:commentEx w15:paraId="3CB7CC78" w15:done="0"/>
  <w15:commentEx w15:paraId="3FFA3931" w15:done="0"/>
  <w15:commentEx w15:paraId="2B6BAAC1" w15:done="0"/>
  <w15:commentEx w15:paraId="0C2799AD" w15:done="0"/>
  <w15:commentEx w15:paraId="56AFF35A" w15:done="0"/>
  <w15:commentEx w15:paraId="7CC59959" w15:done="0"/>
  <w15:commentEx w15:paraId="1413664C" w15:done="0"/>
  <w15:commentEx w15:paraId="6410ED3A" w15:done="0"/>
  <w15:commentEx w15:paraId="17677AFA" w15:done="0"/>
  <w15:commentEx w15:paraId="37D53D2D" w15:done="0"/>
  <w15:commentEx w15:paraId="66610F6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F3C" w:rsidRDefault="00F66F3C">
      <w:r>
        <w:separator/>
      </w:r>
    </w:p>
  </w:endnote>
  <w:endnote w:type="continuationSeparator" w:id="0">
    <w:p w:rsidR="00F66F3C" w:rsidRDefault="00F66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F3C" w:rsidRDefault="00F66F3C">
      <w:r>
        <w:separator/>
      </w:r>
    </w:p>
  </w:footnote>
  <w:footnote w:type="continuationSeparator" w:id="0">
    <w:p w:rsidR="00F66F3C" w:rsidRDefault="00F66F3C">
      <w:r>
        <w:continuationSeparator/>
      </w:r>
    </w:p>
  </w:footnote>
  <w:footnote w:id="1">
    <w:p w:rsidR="00F66F3C" w:rsidRDefault="00F66F3C" w:rsidP="008E7D06">
      <w:pPr>
        <w:spacing w:line="240" w:lineRule="auto"/>
      </w:pPr>
      <w:r>
        <w:rPr>
          <w:rStyle w:val="FootnoteReference"/>
        </w:rPr>
        <w:footnoteRef/>
      </w:r>
      <w:r>
        <w:t xml:space="preserve"> </w:t>
      </w:r>
      <w:r w:rsidRPr="008E7D06">
        <w:rPr>
          <w:rFonts w:asciiTheme="minorHAnsi" w:hAnsiTheme="minorHAnsi" w:cstheme="minorHAnsi"/>
          <w:sz w:val="18"/>
          <w:szCs w:val="18"/>
        </w:rPr>
        <w:t>A formal admission process is an administrative process by which a hospital records the commencement of treatment and/or care and/or accommodation of a patient. This does not apply to the non-admitted care sector.</w:t>
      </w:r>
    </w:p>
    <w:p w:rsidR="00F66F3C" w:rsidRDefault="00F66F3C">
      <w:pPr>
        <w:pStyle w:val="FootnoteText"/>
      </w:pPr>
    </w:p>
  </w:footnote>
  <w:footnote w:id="2">
    <w:p w:rsidR="00F66F3C" w:rsidRPr="00436992" w:rsidRDefault="00F66F3C" w:rsidP="00BB2656">
      <w:pPr>
        <w:pStyle w:val="FootnoteText"/>
        <w:rPr>
          <w:rFonts w:asciiTheme="minorHAnsi" w:hAnsiTheme="minorHAnsi" w:cstheme="minorHAnsi"/>
          <w:sz w:val="18"/>
          <w:szCs w:val="18"/>
        </w:rPr>
      </w:pPr>
      <w:r w:rsidRPr="00436992">
        <w:rPr>
          <w:rStyle w:val="FootnoteReference"/>
          <w:rFonts w:asciiTheme="minorHAnsi" w:hAnsiTheme="minorHAnsi" w:cstheme="minorHAnsi"/>
          <w:sz w:val="18"/>
          <w:szCs w:val="18"/>
        </w:rPr>
        <w:footnoteRef/>
      </w:r>
      <w:r w:rsidRPr="00436992">
        <w:rPr>
          <w:rFonts w:asciiTheme="minorHAnsi" w:hAnsiTheme="minorHAnsi" w:cstheme="minorHAnsi"/>
          <w:sz w:val="18"/>
          <w:szCs w:val="18"/>
        </w:rPr>
        <w:t xml:space="preserve"> The Commonwealth Fund, (2017) Designing a High-Performing Health Care System for Patients with Complex Needs: Ten Recommendations for Policymakers Accessed 5 February 2017 </w:t>
      </w:r>
      <w:hyperlink r:id="rId1" w:history="1">
        <w:r w:rsidRPr="00436992">
          <w:rPr>
            <w:rStyle w:val="Hyperlink"/>
            <w:rFonts w:asciiTheme="minorHAnsi" w:hAnsiTheme="minorHAnsi" w:cstheme="minorHAnsi"/>
            <w:sz w:val="18"/>
            <w:szCs w:val="18"/>
          </w:rPr>
          <w:t>http://www.commonwealthfund.org/publications/other/2017/ten-recommendations</w:t>
        </w:r>
      </w:hyperlink>
      <w:r w:rsidRPr="00436992">
        <w:rPr>
          <w:rStyle w:val="Hyperlink"/>
          <w:rFonts w:asciiTheme="minorHAnsi" w:hAnsiTheme="minorHAnsi" w:cstheme="minorHAnsi"/>
          <w:sz w:val="18"/>
          <w:szCs w:val="18"/>
        </w:rPr>
        <w:t xml:space="preserve"> </w:t>
      </w:r>
    </w:p>
  </w:footnote>
  <w:footnote w:id="3">
    <w:p w:rsidR="00F66F3C" w:rsidRPr="00436992" w:rsidRDefault="00F66F3C" w:rsidP="00BB2656">
      <w:pPr>
        <w:pStyle w:val="FootnoteText"/>
        <w:rPr>
          <w:rFonts w:asciiTheme="minorHAnsi" w:hAnsiTheme="minorHAnsi" w:cstheme="minorHAnsi"/>
          <w:sz w:val="18"/>
          <w:szCs w:val="18"/>
        </w:rPr>
      </w:pPr>
      <w:r w:rsidRPr="00436992">
        <w:rPr>
          <w:rStyle w:val="FootnoteReference"/>
          <w:rFonts w:asciiTheme="minorHAnsi" w:hAnsiTheme="minorHAnsi" w:cstheme="minorHAnsi"/>
          <w:sz w:val="18"/>
          <w:szCs w:val="18"/>
        </w:rPr>
        <w:footnoteRef/>
      </w:r>
      <w:r w:rsidRPr="00436992">
        <w:rPr>
          <w:rFonts w:asciiTheme="minorHAnsi" w:hAnsiTheme="minorHAnsi" w:cstheme="minorHAnsi"/>
          <w:sz w:val="18"/>
          <w:szCs w:val="18"/>
        </w:rPr>
        <w:t xml:space="preserve"> Wagner EH, et al (2001) Improving chronic illness care: translating evidence into action. Health Aff (Millwood);20:64-78</w:t>
      </w:r>
    </w:p>
  </w:footnote>
  <w:footnote w:id="4">
    <w:p w:rsidR="00F66F3C" w:rsidRPr="00436992" w:rsidRDefault="00F66F3C" w:rsidP="00BB2656">
      <w:pPr>
        <w:pStyle w:val="FootnoteText"/>
        <w:rPr>
          <w:rFonts w:asciiTheme="minorHAnsi" w:hAnsiTheme="minorHAnsi" w:cstheme="minorHAnsi"/>
          <w:sz w:val="18"/>
          <w:szCs w:val="18"/>
        </w:rPr>
      </w:pPr>
      <w:r w:rsidRPr="00436992">
        <w:rPr>
          <w:rStyle w:val="FootnoteReference"/>
          <w:rFonts w:asciiTheme="minorHAnsi" w:hAnsiTheme="minorHAnsi" w:cstheme="minorHAnsi"/>
          <w:sz w:val="18"/>
          <w:szCs w:val="18"/>
        </w:rPr>
        <w:footnoteRef/>
      </w:r>
      <w:r w:rsidRPr="00436992">
        <w:rPr>
          <w:rFonts w:asciiTheme="minorHAnsi" w:hAnsiTheme="minorHAnsi" w:cstheme="minorHAnsi"/>
          <w:sz w:val="18"/>
          <w:szCs w:val="18"/>
        </w:rPr>
        <w:t xml:space="preserve"> Department of Health, Health Care Homes Accessed 14 February 2017 </w:t>
      </w:r>
      <w:hyperlink r:id="rId2" w:history="1">
        <w:r w:rsidRPr="00436992">
          <w:rPr>
            <w:rFonts w:asciiTheme="minorHAnsi" w:hAnsiTheme="minorHAnsi" w:cstheme="minorHAnsi"/>
            <w:sz w:val="18"/>
            <w:szCs w:val="18"/>
          </w:rPr>
          <w:t>http://www.health.gov.au/internet/ministers/publishing.nsf/Content/health-mediarel-yr2016-ley024.htm</w:t>
        </w:r>
      </w:hyperlink>
    </w:p>
  </w:footnote>
  <w:footnote w:id="5">
    <w:p w:rsidR="00F66F3C" w:rsidRDefault="00F66F3C" w:rsidP="00BB2656">
      <w:pPr>
        <w:pStyle w:val="FootnoteText"/>
      </w:pPr>
      <w:r w:rsidRPr="00436992">
        <w:rPr>
          <w:rStyle w:val="FootnoteReference"/>
          <w:rFonts w:asciiTheme="minorHAnsi" w:hAnsiTheme="minorHAnsi" w:cstheme="minorHAnsi"/>
          <w:sz w:val="18"/>
          <w:szCs w:val="18"/>
        </w:rPr>
        <w:footnoteRef/>
      </w:r>
      <w:r w:rsidRPr="00436992">
        <w:rPr>
          <w:rFonts w:asciiTheme="minorHAnsi" w:hAnsiTheme="minorHAnsi" w:cstheme="minorHAnsi"/>
          <w:sz w:val="18"/>
          <w:szCs w:val="18"/>
        </w:rPr>
        <w:t xml:space="preserve"> Report to Government on the Findings of the Primary Health Care Advisory Group (2015) Better Outcomes for people with Chronic and Complex Health Conditions</w:t>
      </w:r>
    </w:p>
  </w:footnote>
  <w:footnote w:id="6">
    <w:p w:rsidR="00F66F3C" w:rsidRPr="00436992" w:rsidRDefault="00F66F3C" w:rsidP="002275FB">
      <w:pPr>
        <w:pStyle w:val="FootnoteText"/>
        <w:rPr>
          <w:sz w:val="18"/>
          <w:szCs w:val="18"/>
        </w:rPr>
      </w:pPr>
      <w:r w:rsidRPr="00436992">
        <w:rPr>
          <w:rStyle w:val="FootnoteReference"/>
          <w:sz w:val="18"/>
          <w:szCs w:val="18"/>
        </w:rPr>
        <w:footnoteRef/>
      </w:r>
      <w:r w:rsidRPr="00436992">
        <w:rPr>
          <w:sz w:val="18"/>
          <w:szCs w:val="18"/>
        </w:rPr>
        <w:t xml:space="preserve"> PwC. (2014). Review of Non-Admitted Classifications. Commissioned by the Independent Hospital Pricing Authority. Available at </w:t>
      </w:r>
      <w:hyperlink r:id="rId3" w:history="1">
        <w:r w:rsidRPr="00436992">
          <w:rPr>
            <w:rStyle w:val="Hyperlink"/>
            <w:sz w:val="18"/>
            <w:szCs w:val="18"/>
          </w:rPr>
          <w:t>https://www.ihpa.gov.au/publications/review-non-admitted-classifications</w:t>
        </w:r>
      </w:hyperlink>
    </w:p>
  </w:footnote>
  <w:footnote w:id="7">
    <w:p w:rsidR="00F66F3C" w:rsidRDefault="00F66F3C" w:rsidP="00956426">
      <w:pPr>
        <w:pStyle w:val="FootnoteText"/>
      </w:pPr>
      <w:r w:rsidRPr="00436992">
        <w:rPr>
          <w:rStyle w:val="FootnoteReference"/>
          <w:sz w:val="18"/>
          <w:szCs w:val="18"/>
        </w:rPr>
        <w:footnoteRef/>
      </w:r>
      <w:r w:rsidRPr="00436992">
        <w:rPr>
          <w:sz w:val="18"/>
          <w:szCs w:val="18"/>
        </w:rPr>
        <w:t xml:space="preserve"> Independent Hospital Pricing Authority, (2015). Tier 2 Non-Admitted Services Compendium 2016-17. Available at </w:t>
      </w:r>
      <w:hyperlink r:id="rId4" w:history="1">
        <w:r w:rsidRPr="00436992">
          <w:rPr>
            <w:rStyle w:val="Hyperlink"/>
            <w:sz w:val="18"/>
            <w:szCs w:val="18"/>
          </w:rPr>
          <w:t>https://www.ihpa.gov.au/publications/tier-2-non-admitted-services-compendium-2016-17</w:t>
        </w:r>
      </w:hyperlink>
      <w:r>
        <w:t xml:space="preserve"> </w:t>
      </w:r>
    </w:p>
  </w:footnote>
  <w:footnote w:id="8">
    <w:p w:rsidR="00F66F3C" w:rsidRPr="00FF6F1A" w:rsidRDefault="00F66F3C" w:rsidP="001E4C63">
      <w:pPr>
        <w:pStyle w:val="FootnoteText"/>
        <w:rPr>
          <w:sz w:val="18"/>
          <w:szCs w:val="18"/>
        </w:rPr>
      </w:pPr>
      <w:r w:rsidRPr="00FF6F1A">
        <w:rPr>
          <w:rStyle w:val="FootnoteReference"/>
          <w:sz w:val="18"/>
          <w:szCs w:val="18"/>
        </w:rPr>
        <w:footnoteRef/>
      </w:r>
      <w:r w:rsidRPr="00FF6F1A">
        <w:rPr>
          <w:sz w:val="18"/>
          <w:szCs w:val="18"/>
        </w:rPr>
        <w:t xml:space="preserve"> Britt H, et al. (2016). General practice activity in Australia 2015–16. General practice series no. 40. Sydney: Sydney University Press, 2016.</w:t>
      </w:r>
    </w:p>
  </w:footnote>
  <w:footnote w:id="9">
    <w:p w:rsidR="00F66F3C" w:rsidRPr="00FF6F1A" w:rsidRDefault="00F66F3C" w:rsidP="001E4C63">
      <w:pPr>
        <w:pStyle w:val="FootnoteText"/>
        <w:rPr>
          <w:sz w:val="18"/>
          <w:szCs w:val="18"/>
        </w:rPr>
      </w:pPr>
      <w:r w:rsidRPr="00FF6F1A">
        <w:rPr>
          <w:rStyle w:val="FootnoteReference"/>
          <w:sz w:val="18"/>
          <w:szCs w:val="18"/>
        </w:rPr>
        <w:footnoteRef/>
      </w:r>
      <w:r w:rsidRPr="00FF6F1A">
        <w:rPr>
          <w:sz w:val="18"/>
          <w:szCs w:val="18"/>
        </w:rPr>
        <w:t xml:space="preserve"> Ibid, 16.</w:t>
      </w:r>
    </w:p>
  </w:footnote>
  <w:footnote w:id="10">
    <w:p w:rsidR="00F66F3C" w:rsidRPr="00E96C37" w:rsidRDefault="00F66F3C" w:rsidP="00E96C37">
      <w:pPr>
        <w:pStyle w:val="FootnoteText"/>
        <w:rPr>
          <w:sz w:val="18"/>
          <w:szCs w:val="18"/>
        </w:rPr>
      </w:pPr>
      <w:r w:rsidRPr="00FF6F1A">
        <w:rPr>
          <w:rStyle w:val="FootnoteReference"/>
          <w:sz w:val="18"/>
          <w:szCs w:val="18"/>
        </w:rPr>
        <w:footnoteRef/>
      </w:r>
      <w:r>
        <w:rPr>
          <w:sz w:val="18"/>
          <w:szCs w:val="18"/>
        </w:rPr>
        <w:t xml:space="preserve"> </w:t>
      </w:r>
      <w:r w:rsidRPr="0007270D">
        <w:rPr>
          <w:sz w:val="18"/>
          <w:szCs w:val="18"/>
        </w:rPr>
        <w:t>Lamberts H, et al. (1985) Results of the International Field Trial with the Reason for Encounter Classification. Medecine sociale et preventive; 30:80-87.</w:t>
      </w:r>
    </w:p>
  </w:footnote>
  <w:footnote w:id="11">
    <w:p w:rsidR="00F66F3C" w:rsidRPr="00FF6F1A" w:rsidRDefault="00F66F3C" w:rsidP="00FB28F4">
      <w:pPr>
        <w:pStyle w:val="FootnoteText"/>
        <w:rPr>
          <w:sz w:val="18"/>
          <w:szCs w:val="18"/>
        </w:rPr>
      </w:pPr>
      <w:r w:rsidRPr="00FF6F1A">
        <w:rPr>
          <w:rStyle w:val="FootnoteReference"/>
          <w:sz w:val="18"/>
          <w:szCs w:val="18"/>
        </w:rPr>
        <w:footnoteRef/>
      </w:r>
      <w:r w:rsidRPr="00FF6F1A">
        <w:rPr>
          <w:sz w:val="18"/>
          <w:szCs w:val="18"/>
        </w:rPr>
        <w:t xml:space="preserve"> Independent Hospital Pricing Authority (2014). Investigative review of classification systems for emergency care. Available at </w:t>
      </w:r>
      <w:hyperlink r:id="rId5" w:history="1">
        <w:r w:rsidRPr="00FF6F1A">
          <w:rPr>
            <w:rStyle w:val="Hyperlink"/>
            <w:sz w:val="18"/>
            <w:szCs w:val="18"/>
          </w:rPr>
          <w:t>https://www.ihpa.gov.au/publications/investigative-review-classification-systems-emergency-care</w:t>
        </w:r>
      </w:hyperlink>
    </w:p>
  </w:footnote>
  <w:footnote w:id="12">
    <w:p w:rsidR="00F66F3C" w:rsidRDefault="00F66F3C" w:rsidP="00781C58">
      <w:pPr>
        <w:pStyle w:val="NoSpacing"/>
      </w:pPr>
      <w:r>
        <w:rPr>
          <w:rStyle w:val="FootnoteReference"/>
        </w:rPr>
        <w:footnoteRef/>
      </w:r>
      <w:r>
        <w:t xml:space="preserve"> </w:t>
      </w:r>
      <w:r w:rsidRPr="00FB28F4">
        <w:rPr>
          <w:sz w:val="18"/>
          <w:szCs w:val="18"/>
        </w:rPr>
        <w:t xml:space="preserve">World Health Organisation (2016). International Classification of Health Interventions (ICHI). Available at </w:t>
      </w:r>
      <w:hyperlink r:id="rId6" w:history="1">
        <w:r w:rsidRPr="00FB28F4">
          <w:rPr>
            <w:rStyle w:val="Hyperlink"/>
            <w:sz w:val="18"/>
            <w:szCs w:val="18"/>
          </w:rPr>
          <w:t>http://www.who.int/classifications/ichi/en/</w:t>
        </w:r>
      </w:hyperlink>
    </w:p>
  </w:footnote>
  <w:footnote w:id="13">
    <w:p w:rsidR="00F66F3C" w:rsidRDefault="00F66F3C" w:rsidP="00FB28F4">
      <w:pPr>
        <w:pStyle w:val="FootnoteText"/>
        <w:ind w:left="0" w:firstLine="0"/>
      </w:pPr>
      <w:r>
        <w:rPr>
          <w:rStyle w:val="FootnoteReference"/>
        </w:rPr>
        <w:footnoteRef/>
      </w:r>
      <w:r>
        <w:t xml:space="preserve"> </w:t>
      </w:r>
      <w:r w:rsidRPr="00FB28F4">
        <w:rPr>
          <w:sz w:val="18"/>
        </w:rPr>
        <w:t xml:space="preserve">Australian Institute of Health and Welfare (2012). National Health Data Dictionary. Version 16 Cat. no. HWI 119. Canberra: AIHW. Available at </w:t>
      </w:r>
      <w:hyperlink r:id="rId7" w:history="1">
        <w:r w:rsidRPr="00FB28F4">
          <w:rPr>
            <w:rStyle w:val="Hyperlink"/>
            <w:sz w:val="18"/>
          </w:rPr>
          <w:t>http://www.aihw.gov.au/WorkArea/DownloadAsset.aspx?id=10737422824</w:t>
        </w:r>
      </w:hyperlink>
    </w:p>
    <w:p w:rsidR="00F66F3C" w:rsidRPr="00FB28F4" w:rsidRDefault="00F66F3C" w:rsidP="00FB28F4">
      <w:pPr>
        <w:pStyle w:val="FootnoteText"/>
        <w:ind w:left="0" w:firstLine="0"/>
        <w:rPr>
          <w:sz w:val="2"/>
        </w:rPr>
      </w:pPr>
    </w:p>
  </w:footnote>
  <w:footnote w:id="14">
    <w:p w:rsidR="00F66F3C" w:rsidRDefault="00F66F3C" w:rsidP="00FB28F4">
      <w:pPr>
        <w:pStyle w:val="NoSpacing"/>
      </w:pPr>
      <w:r>
        <w:rPr>
          <w:rStyle w:val="FootnoteReference"/>
        </w:rPr>
        <w:footnoteRef/>
      </w:r>
      <w:r>
        <w:t xml:space="preserve"> </w:t>
      </w:r>
      <w:r w:rsidRPr="00FB28F4">
        <w:rPr>
          <w:sz w:val="18"/>
          <w:szCs w:val="18"/>
        </w:rPr>
        <w:t xml:space="preserve">The Department of Health (2003). Impact of comorbidity on the course of illness and use of services. Available at </w:t>
      </w:r>
      <w:hyperlink r:id="rId8" w:history="1">
        <w:r w:rsidRPr="00FB28F4">
          <w:rPr>
            <w:rStyle w:val="Hyperlink"/>
            <w:sz w:val="18"/>
            <w:szCs w:val="18"/>
          </w:rPr>
          <w:t>http://www.health.gov.au/internet/publications/publishing.nsf/Content/drugtreat-pubs-comorbid-toc~drugtreat-pubs-comorbid-6~drugtreat-pubs-comorbid-6-2</w:t>
        </w:r>
      </w:hyperlink>
    </w:p>
  </w:footnote>
  <w:footnote w:id="15">
    <w:p w:rsidR="00F66F3C" w:rsidRDefault="00F66F3C" w:rsidP="00FB28F4">
      <w:pPr>
        <w:pStyle w:val="NoSpacing"/>
      </w:pPr>
      <w:r>
        <w:rPr>
          <w:rStyle w:val="FootnoteReference"/>
        </w:rPr>
        <w:footnoteRef/>
      </w:r>
      <w:r>
        <w:t xml:space="preserve"> </w:t>
      </w:r>
      <w:r w:rsidRPr="00FB28F4">
        <w:rPr>
          <w:sz w:val="18"/>
          <w:szCs w:val="18"/>
        </w:rPr>
        <w:t>Mitchell GK et al. (2008). Multidisciplinary care planning and teamwork in primary care. Med J Aust 188(8):S61–4.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F3C" w:rsidRPr="005F219D" w:rsidRDefault="00F66F3C" w:rsidP="00A85487">
    <w:pPr>
      <w:pStyle w:val="Header"/>
      <w:tabs>
        <w:tab w:val="clear" w:pos="10319"/>
        <w:tab w:val="left" w:pos="9814"/>
        <w:tab w:val="right" w:pos="9923"/>
      </w:tabs>
      <w:rPr>
        <w:color w:val="008A00" w:themeColor="accent2"/>
      </w:rPr>
    </w:pPr>
    <w:r>
      <w:rPr>
        <w:noProof/>
        <w:color w:val="FFFFFF" w:themeColor="background1"/>
      </w:rPr>
      <w:drawing>
        <wp:anchor distT="0" distB="0" distL="114300" distR="114300" simplePos="0" relativeHeight="251657216" behindDoc="1" locked="0" layoutInCell="0" allowOverlap="1" wp14:anchorId="5CCE7EC7" wp14:editId="78E26EFB">
          <wp:simplePos x="0" y="0"/>
          <wp:positionH relativeFrom="page">
            <wp:align>left</wp:align>
          </wp:positionH>
          <wp:positionV relativeFrom="page">
            <wp:align>top</wp:align>
          </wp:positionV>
          <wp:extent cx="6080400" cy="1011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80400" cy="1011600"/>
                  </a:xfrm>
                  <a:prstGeom prst="rect">
                    <a:avLst/>
                  </a:prstGeom>
                </pic:spPr>
              </pic:pic>
            </a:graphicData>
          </a:graphic>
        </wp:anchor>
      </w:drawing>
    </w:r>
    <w:r>
      <w:rPr>
        <w:color w:val="FFFFFF" w:themeColor="background1"/>
      </w:rPr>
      <w:t>Australian Non-Admitted Care Classification Development</w:t>
    </w:r>
    <w:r>
      <w:rPr>
        <w:color w:val="FFFFFF" w:themeColor="background1"/>
      </w:rPr>
      <w:tab/>
    </w:r>
    <w:r>
      <w:rPr>
        <w:color w:val="FFFFFF" w:themeColor="background1"/>
      </w:rPr>
      <w:tab/>
    </w:r>
    <w:r>
      <w:fldChar w:fldCharType="begin"/>
    </w:r>
    <w:r>
      <w:instrText xml:space="preserve"> PAGE   \* MERGEFORMAT </w:instrText>
    </w:r>
    <w:r>
      <w:fldChar w:fldCharType="separate"/>
    </w:r>
    <w:r w:rsidR="00A9090B" w:rsidRPr="00A9090B">
      <w:rPr>
        <w:noProof/>
        <w:color w:val="008A00" w:themeColor="accent2"/>
      </w:rPr>
      <w:t>2</w:t>
    </w:r>
    <w:r>
      <w:rPr>
        <w:noProof/>
        <w:color w:val="008A00" w:themeColor="accent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CB428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6E1A1E"/>
    <w:multiLevelType w:val="hybridMultilevel"/>
    <w:tmpl w:val="4C329DF0"/>
    <w:lvl w:ilvl="0" w:tplc="B66CE392">
      <w:start w:val="1"/>
      <w:numFmt w:val="bullet"/>
      <w:pStyle w:val="Bullet1"/>
      <w:lvlText w:val=""/>
      <w:lvlJc w:val="left"/>
      <w:pPr>
        <w:ind w:left="720" w:hanging="360"/>
      </w:pPr>
      <w:rPr>
        <w:rFonts w:ascii="Wingdings" w:hAnsi="Wingdings" w:hint="default"/>
        <w:color w:val="333132" w:themeColor="text2"/>
        <w:sz w:val="22"/>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A67A82"/>
    <w:multiLevelType w:val="hybridMultilevel"/>
    <w:tmpl w:val="396A13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4F277DF"/>
    <w:multiLevelType w:val="hybridMultilevel"/>
    <w:tmpl w:val="02FE2782"/>
    <w:lvl w:ilvl="0" w:tplc="A88480EE">
      <w:start w:val="3"/>
      <w:numFmt w:val="bullet"/>
      <w:lvlText w:val="-"/>
      <w:lvlJc w:val="left"/>
      <w:pPr>
        <w:ind w:left="720" w:hanging="360"/>
      </w:pPr>
      <w:rPr>
        <w:rFonts w:ascii="Arial" w:eastAsia="Times New Roman" w:hAnsi="Arial" w:cs="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A396A4A"/>
    <w:multiLevelType w:val="hybridMultilevel"/>
    <w:tmpl w:val="83D2932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02B61A9"/>
    <w:multiLevelType w:val="hybridMultilevel"/>
    <w:tmpl w:val="A15A7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1DC5912"/>
    <w:multiLevelType w:val="hybridMultilevel"/>
    <w:tmpl w:val="9FA89D9E"/>
    <w:lvl w:ilvl="0" w:tplc="A88480EE">
      <w:start w:val="3"/>
      <w:numFmt w:val="bullet"/>
      <w:lvlText w:val="-"/>
      <w:lvlJc w:val="left"/>
      <w:pPr>
        <w:ind w:left="720" w:hanging="360"/>
      </w:pPr>
      <w:rPr>
        <w:rFonts w:ascii="Arial" w:eastAsia="Times New Roman" w:hAnsi="Arial" w:cs="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25D3418"/>
    <w:multiLevelType w:val="multilevel"/>
    <w:tmpl w:val="8DF465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126E31F0"/>
    <w:multiLevelType w:val="hybridMultilevel"/>
    <w:tmpl w:val="0C905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36360D1"/>
    <w:multiLevelType w:val="hybridMultilevel"/>
    <w:tmpl w:val="47F0341A"/>
    <w:lvl w:ilvl="0" w:tplc="A88480EE">
      <w:start w:val="3"/>
      <w:numFmt w:val="bullet"/>
      <w:lvlText w:val="-"/>
      <w:lvlJc w:val="left"/>
      <w:pPr>
        <w:ind w:left="720" w:hanging="360"/>
      </w:pPr>
      <w:rPr>
        <w:rFonts w:ascii="Arial" w:eastAsia="Times New Roman" w:hAnsi="Arial" w:cs="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3E2798D"/>
    <w:multiLevelType w:val="hybridMultilevel"/>
    <w:tmpl w:val="83688CB0"/>
    <w:lvl w:ilvl="0" w:tplc="A88480EE">
      <w:start w:val="3"/>
      <w:numFmt w:val="bullet"/>
      <w:lvlText w:val="-"/>
      <w:lvlJc w:val="left"/>
      <w:pPr>
        <w:ind w:left="720" w:hanging="360"/>
      </w:pPr>
      <w:rPr>
        <w:rFonts w:ascii="Arial" w:eastAsia="Times New Roman" w:hAnsi="Arial" w:cs="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519020B"/>
    <w:multiLevelType w:val="hybridMultilevel"/>
    <w:tmpl w:val="7234D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60A3FBB"/>
    <w:multiLevelType w:val="hybridMultilevel"/>
    <w:tmpl w:val="59905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6B42633"/>
    <w:multiLevelType w:val="hybridMultilevel"/>
    <w:tmpl w:val="64ACB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82B6AD1"/>
    <w:multiLevelType w:val="hybridMultilevel"/>
    <w:tmpl w:val="2AC8909C"/>
    <w:lvl w:ilvl="0" w:tplc="A88480EE">
      <w:start w:val="3"/>
      <w:numFmt w:val="bullet"/>
      <w:lvlText w:val="-"/>
      <w:lvlJc w:val="left"/>
      <w:pPr>
        <w:ind w:left="720" w:hanging="360"/>
      </w:pPr>
      <w:rPr>
        <w:rFonts w:ascii="Arial" w:eastAsia="Times New Roman" w:hAnsi="Arial" w:cs="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BBE78A3"/>
    <w:multiLevelType w:val="multilevel"/>
    <w:tmpl w:val="E02A4FA6"/>
    <w:lvl w:ilvl="0">
      <w:start w:val="1"/>
      <w:numFmt w:val="decimal"/>
      <w:lvlText w:val="%1."/>
      <w:lvlJc w:val="left"/>
      <w:pPr>
        <w:ind w:left="1080" w:hanging="720"/>
      </w:pPr>
      <w:rPr>
        <w:rFonts w:hint="default"/>
      </w:rPr>
    </w:lvl>
    <w:lvl w:ilvl="1">
      <w:start w:val="1"/>
      <w:numFmt w:val="decimal"/>
      <w:isLgl/>
      <w:lvlText w:val="%1.%2"/>
      <w:lvlJc w:val="left"/>
      <w:pPr>
        <w:ind w:left="1095" w:hanging="735"/>
      </w:pPr>
      <w:rPr>
        <w:rFonts w:hint="default"/>
      </w:rPr>
    </w:lvl>
    <w:lvl w:ilvl="2">
      <w:start w:val="1"/>
      <w:numFmt w:val="decimal"/>
      <w:isLgl/>
      <w:lvlText w:val="%1.%2.%3"/>
      <w:lvlJc w:val="left"/>
      <w:pPr>
        <w:ind w:left="1095" w:hanging="73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1DD93D45"/>
    <w:multiLevelType w:val="hybridMultilevel"/>
    <w:tmpl w:val="83443A0E"/>
    <w:lvl w:ilvl="0" w:tplc="A88480EE">
      <w:start w:val="3"/>
      <w:numFmt w:val="bullet"/>
      <w:lvlText w:val="-"/>
      <w:lvlJc w:val="left"/>
      <w:pPr>
        <w:ind w:left="720" w:hanging="360"/>
      </w:pPr>
      <w:rPr>
        <w:rFonts w:ascii="Arial" w:eastAsia="Times New Roman" w:hAnsi="Arial" w:cs="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3AB06B0"/>
    <w:multiLevelType w:val="hybridMultilevel"/>
    <w:tmpl w:val="7D862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50431C7"/>
    <w:multiLevelType w:val="hybridMultilevel"/>
    <w:tmpl w:val="C9FC5512"/>
    <w:lvl w:ilvl="0" w:tplc="A88480EE">
      <w:start w:val="3"/>
      <w:numFmt w:val="bullet"/>
      <w:lvlText w:val="-"/>
      <w:lvlJc w:val="left"/>
      <w:pPr>
        <w:ind w:left="720" w:hanging="360"/>
      </w:pPr>
      <w:rPr>
        <w:rFonts w:ascii="Arial" w:eastAsia="Times New Roman" w:hAnsi="Arial" w:cs="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66649C0"/>
    <w:multiLevelType w:val="hybridMultilevel"/>
    <w:tmpl w:val="26247C78"/>
    <w:lvl w:ilvl="0" w:tplc="A88480EE">
      <w:start w:val="3"/>
      <w:numFmt w:val="bullet"/>
      <w:lvlText w:val="-"/>
      <w:lvlJc w:val="left"/>
      <w:pPr>
        <w:ind w:left="720" w:hanging="360"/>
      </w:pPr>
      <w:rPr>
        <w:rFonts w:ascii="Arial" w:eastAsia="Times New Roman" w:hAnsi="Arial" w:cs="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85B62DD"/>
    <w:multiLevelType w:val="hybridMultilevel"/>
    <w:tmpl w:val="E4E02490"/>
    <w:lvl w:ilvl="0" w:tplc="A88480EE">
      <w:start w:val="3"/>
      <w:numFmt w:val="bullet"/>
      <w:lvlText w:val="-"/>
      <w:lvlJc w:val="left"/>
      <w:pPr>
        <w:ind w:left="720" w:hanging="360"/>
      </w:pPr>
      <w:rPr>
        <w:rFonts w:ascii="Arial" w:eastAsia="Times New Roman" w:hAnsi="Arial" w:cs="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C9049BD"/>
    <w:multiLevelType w:val="hybridMultilevel"/>
    <w:tmpl w:val="E95E785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2ED904AA"/>
    <w:multiLevelType w:val="hybridMultilevel"/>
    <w:tmpl w:val="9C40DD2A"/>
    <w:lvl w:ilvl="0" w:tplc="A88480EE">
      <w:start w:val="3"/>
      <w:numFmt w:val="bullet"/>
      <w:lvlText w:val="-"/>
      <w:lvlJc w:val="left"/>
      <w:pPr>
        <w:ind w:left="720" w:hanging="360"/>
      </w:pPr>
      <w:rPr>
        <w:rFonts w:ascii="Arial" w:eastAsia="Times New Roman" w:hAnsi="Arial" w:cs="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1D503E5"/>
    <w:multiLevelType w:val="hybridMultilevel"/>
    <w:tmpl w:val="36F24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2E12A44"/>
    <w:multiLevelType w:val="hybridMultilevel"/>
    <w:tmpl w:val="353471BC"/>
    <w:lvl w:ilvl="0" w:tplc="A88480EE">
      <w:start w:val="3"/>
      <w:numFmt w:val="bullet"/>
      <w:lvlText w:val="-"/>
      <w:lvlJc w:val="left"/>
      <w:pPr>
        <w:ind w:left="720" w:hanging="360"/>
      </w:pPr>
      <w:rPr>
        <w:rFonts w:ascii="Arial" w:eastAsia="Times New Roman" w:hAnsi="Arial" w:cs="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3F032CE"/>
    <w:multiLevelType w:val="hybridMultilevel"/>
    <w:tmpl w:val="A0E28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5A82F38"/>
    <w:multiLevelType w:val="hybridMultilevel"/>
    <w:tmpl w:val="4B72A570"/>
    <w:lvl w:ilvl="0" w:tplc="A88480EE">
      <w:start w:val="3"/>
      <w:numFmt w:val="bullet"/>
      <w:lvlText w:val="-"/>
      <w:lvlJc w:val="left"/>
      <w:pPr>
        <w:ind w:left="720" w:hanging="360"/>
      </w:pPr>
      <w:rPr>
        <w:rFonts w:ascii="Arial" w:eastAsia="Times New Roman" w:hAnsi="Arial" w:cs="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87D4E09"/>
    <w:multiLevelType w:val="hybridMultilevel"/>
    <w:tmpl w:val="08BEACAC"/>
    <w:lvl w:ilvl="0" w:tplc="A88480EE">
      <w:start w:val="3"/>
      <w:numFmt w:val="bullet"/>
      <w:lvlText w:val="-"/>
      <w:lvlJc w:val="left"/>
      <w:pPr>
        <w:ind w:left="720" w:hanging="360"/>
      </w:pPr>
      <w:rPr>
        <w:rFonts w:ascii="Arial" w:eastAsia="Times New Roman" w:hAnsi="Arial" w:cs="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8EB3F91"/>
    <w:multiLevelType w:val="hybridMultilevel"/>
    <w:tmpl w:val="B56802B0"/>
    <w:lvl w:ilvl="0" w:tplc="A88480EE">
      <w:start w:val="3"/>
      <w:numFmt w:val="bullet"/>
      <w:lvlText w:val="-"/>
      <w:lvlJc w:val="left"/>
      <w:pPr>
        <w:ind w:left="720" w:hanging="360"/>
      </w:pPr>
      <w:rPr>
        <w:rFonts w:ascii="Arial" w:eastAsia="Times New Roman" w:hAnsi="Arial" w:cs="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398D22F0"/>
    <w:multiLevelType w:val="hybridMultilevel"/>
    <w:tmpl w:val="EF24F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399956C3"/>
    <w:multiLevelType w:val="hybridMultilevel"/>
    <w:tmpl w:val="9FE23694"/>
    <w:lvl w:ilvl="0" w:tplc="A88480EE">
      <w:start w:val="3"/>
      <w:numFmt w:val="bullet"/>
      <w:lvlText w:val="-"/>
      <w:lvlJc w:val="left"/>
      <w:pPr>
        <w:ind w:left="720" w:hanging="360"/>
      </w:pPr>
      <w:rPr>
        <w:rFonts w:ascii="Arial" w:eastAsia="Times New Roman" w:hAnsi="Arial" w:cs="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3CDA3F90"/>
    <w:multiLevelType w:val="hybridMultilevel"/>
    <w:tmpl w:val="52445C48"/>
    <w:lvl w:ilvl="0" w:tplc="A88480EE">
      <w:start w:val="3"/>
      <w:numFmt w:val="bullet"/>
      <w:lvlText w:val="-"/>
      <w:lvlJc w:val="left"/>
      <w:pPr>
        <w:ind w:left="720" w:hanging="360"/>
      </w:pPr>
      <w:rPr>
        <w:rFonts w:ascii="Arial" w:eastAsia="Times New Roman" w:hAnsi="Arial" w:cs="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3D5477A5"/>
    <w:multiLevelType w:val="hybridMultilevel"/>
    <w:tmpl w:val="77D23C12"/>
    <w:lvl w:ilvl="0" w:tplc="A88480EE">
      <w:start w:val="3"/>
      <w:numFmt w:val="bullet"/>
      <w:lvlText w:val="-"/>
      <w:lvlJc w:val="left"/>
      <w:pPr>
        <w:ind w:left="720" w:hanging="360"/>
      </w:pPr>
      <w:rPr>
        <w:rFonts w:ascii="Arial" w:eastAsia="Times New Roman" w:hAnsi="Arial" w:cs="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3D616BAF"/>
    <w:multiLevelType w:val="hybridMultilevel"/>
    <w:tmpl w:val="D982F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3EE17DB5"/>
    <w:multiLevelType w:val="hybridMultilevel"/>
    <w:tmpl w:val="B40A7CD6"/>
    <w:lvl w:ilvl="0" w:tplc="A88480EE">
      <w:start w:val="3"/>
      <w:numFmt w:val="bullet"/>
      <w:lvlText w:val="-"/>
      <w:lvlJc w:val="left"/>
      <w:pPr>
        <w:ind w:left="720" w:hanging="360"/>
      </w:pPr>
      <w:rPr>
        <w:rFonts w:ascii="Arial" w:eastAsia="Times New Roman" w:hAnsi="Arial" w:cs="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3F7659A0"/>
    <w:multiLevelType w:val="hybridMultilevel"/>
    <w:tmpl w:val="0DB8A300"/>
    <w:lvl w:ilvl="0" w:tplc="A88480EE">
      <w:start w:val="3"/>
      <w:numFmt w:val="bullet"/>
      <w:lvlText w:val="-"/>
      <w:lvlJc w:val="left"/>
      <w:pPr>
        <w:ind w:left="720" w:hanging="360"/>
      </w:pPr>
      <w:rPr>
        <w:rFonts w:ascii="Arial" w:eastAsia="Times New Roman" w:hAnsi="Arial" w:cs="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41034324"/>
    <w:multiLevelType w:val="hybridMultilevel"/>
    <w:tmpl w:val="F00CAE8E"/>
    <w:lvl w:ilvl="0" w:tplc="A88480EE">
      <w:start w:val="3"/>
      <w:numFmt w:val="bullet"/>
      <w:lvlText w:val="-"/>
      <w:lvlJc w:val="left"/>
      <w:pPr>
        <w:ind w:left="720" w:hanging="360"/>
      </w:pPr>
      <w:rPr>
        <w:rFonts w:ascii="Arial" w:eastAsia="Times New Roman" w:hAnsi="Arial" w:cs="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42F61F04"/>
    <w:multiLevelType w:val="hybridMultilevel"/>
    <w:tmpl w:val="39CCA2F2"/>
    <w:lvl w:ilvl="0" w:tplc="A88480EE">
      <w:start w:val="3"/>
      <w:numFmt w:val="bullet"/>
      <w:lvlText w:val="-"/>
      <w:lvlJc w:val="left"/>
      <w:pPr>
        <w:ind w:left="720" w:hanging="360"/>
      </w:pPr>
      <w:rPr>
        <w:rFonts w:ascii="Arial" w:eastAsia="Times New Roman" w:hAnsi="Arial" w:cs="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436238D4"/>
    <w:multiLevelType w:val="hybridMultilevel"/>
    <w:tmpl w:val="B680D50A"/>
    <w:lvl w:ilvl="0" w:tplc="A88480EE">
      <w:start w:val="3"/>
      <w:numFmt w:val="bullet"/>
      <w:lvlText w:val="-"/>
      <w:lvlJc w:val="left"/>
      <w:pPr>
        <w:ind w:left="720" w:hanging="360"/>
      </w:pPr>
      <w:rPr>
        <w:rFonts w:ascii="Arial" w:eastAsia="Times New Roman" w:hAnsi="Arial" w:cs="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436A7891"/>
    <w:multiLevelType w:val="hybridMultilevel"/>
    <w:tmpl w:val="64046EA0"/>
    <w:lvl w:ilvl="0" w:tplc="83F4A3F6">
      <w:start w:val="1"/>
      <w:numFmt w:val="decimal"/>
      <w:pStyle w:val="FigureHeading"/>
      <w:lvlText w:val="Figure %1."/>
      <w:lvlJc w:val="left"/>
      <w:pPr>
        <w:ind w:left="360" w:hanging="360"/>
      </w:pPr>
      <w:rPr>
        <w:rFonts w:ascii="Arial Bold" w:hAnsi="Arial Bold" w:hint="default"/>
        <w:b/>
        <w:i w:val="0"/>
        <w:color w:val="008A00" w:themeColor="accent2"/>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nsid w:val="454D6CF1"/>
    <w:multiLevelType w:val="hybridMultilevel"/>
    <w:tmpl w:val="55340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45A472BC"/>
    <w:multiLevelType w:val="hybridMultilevel"/>
    <w:tmpl w:val="EF623576"/>
    <w:lvl w:ilvl="0" w:tplc="A88480EE">
      <w:start w:val="3"/>
      <w:numFmt w:val="bullet"/>
      <w:lvlText w:val="-"/>
      <w:lvlJc w:val="left"/>
      <w:pPr>
        <w:ind w:left="720" w:hanging="360"/>
      </w:pPr>
      <w:rPr>
        <w:rFonts w:ascii="Arial" w:eastAsia="Times New Roman" w:hAnsi="Arial" w:cs="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468345B4"/>
    <w:multiLevelType w:val="hybridMultilevel"/>
    <w:tmpl w:val="4866DB86"/>
    <w:lvl w:ilvl="0" w:tplc="A88480EE">
      <w:start w:val="3"/>
      <w:numFmt w:val="bullet"/>
      <w:lvlText w:val="-"/>
      <w:lvlJc w:val="left"/>
      <w:pPr>
        <w:ind w:left="720" w:hanging="360"/>
      </w:pPr>
      <w:rPr>
        <w:rFonts w:ascii="Arial" w:eastAsia="Times New Roman" w:hAnsi="Arial" w:cs="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46F574F7"/>
    <w:multiLevelType w:val="hybridMultilevel"/>
    <w:tmpl w:val="D7740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497F640D"/>
    <w:multiLevelType w:val="hybridMultilevel"/>
    <w:tmpl w:val="592AF56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4B9E2339"/>
    <w:multiLevelType w:val="hybridMultilevel"/>
    <w:tmpl w:val="76C62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4E6D772F"/>
    <w:multiLevelType w:val="hybridMultilevel"/>
    <w:tmpl w:val="48F2F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5008784F"/>
    <w:multiLevelType w:val="hybridMultilevel"/>
    <w:tmpl w:val="6580552E"/>
    <w:lvl w:ilvl="0" w:tplc="A88480EE">
      <w:start w:val="3"/>
      <w:numFmt w:val="bullet"/>
      <w:lvlText w:val="-"/>
      <w:lvlJc w:val="left"/>
      <w:pPr>
        <w:ind w:left="720" w:hanging="360"/>
      </w:pPr>
      <w:rPr>
        <w:rFonts w:ascii="Arial" w:eastAsia="Times New Roman" w:hAnsi="Arial" w:cs="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5265394A"/>
    <w:multiLevelType w:val="hybridMultilevel"/>
    <w:tmpl w:val="02583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532D324F"/>
    <w:multiLevelType w:val="hybridMultilevel"/>
    <w:tmpl w:val="646E4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53610249"/>
    <w:multiLevelType w:val="hybridMultilevel"/>
    <w:tmpl w:val="8DCA158A"/>
    <w:lvl w:ilvl="0" w:tplc="A88480EE">
      <w:start w:val="3"/>
      <w:numFmt w:val="bullet"/>
      <w:lvlText w:val="-"/>
      <w:lvlJc w:val="left"/>
      <w:pPr>
        <w:ind w:left="720" w:hanging="360"/>
      </w:pPr>
      <w:rPr>
        <w:rFonts w:ascii="Arial" w:eastAsia="Times New Roman" w:hAnsi="Arial" w:cs="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56B179EC"/>
    <w:multiLevelType w:val="hybridMultilevel"/>
    <w:tmpl w:val="3598940C"/>
    <w:lvl w:ilvl="0" w:tplc="A88480EE">
      <w:start w:val="3"/>
      <w:numFmt w:val="bullet"/>
      <w:lvlText w:val="-"/>
      <w:lvlJc w:val="left"/>
      <w:pPr>
        <w:ind w:left="720" w:hanging="360"/>
      </w:pPr>
      <w:rPr>
        <w:rFonts w:ascii="Arial" w:eastAsia="Times New Roman" w:hAnsi="Arial" w:cs="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57314570"/>
    <w:multiLevelType w:val="hybridMultilevel"/>
    <w:tmpl w:val="48CC1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5A413872"/>
    <w:multiLevelType w:val="hybridMultilevel"/>
    <w:tmpl w:val="712AD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5C4472D2"/>
    <w:multiLevelType w:val="hybridMultilevel"/>
    <w:tmpl w:val="8750A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601609B8"/>
    <w:multiLevelType w:val="hybridMultilevel"/>
    <w:tmpl w:val="2CC83E12"/>
    <w:lvl w:ilvl="0" w:tplc="A88480EE">
      <w:start w:val="3"/>
      <w:numFmt w:val="bullet"/>
      <w:lvlText w:val="-"/>
      <w:lvlJc w:val="left"/>
      <w:pPr>
        <w:ind w:left="720" w:hanging="360"/>
      </w:pPr>
      <w:rPr>
        <w:rFonts w:ascii="Arial" w:eastAsia="Times New Roman" w:hAnsi="Arial" w:cs="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56">
    <w:nsid w:val="63CF457D"/>
    <w:multiLevelType w:val="hybridMultilevel"/>
    <w:tmpl w:val="34863FB6"/>
    <w:lvl w:ilvl="0" w:tplc="A88480EE">
      <w:start w:val="3"/>
      <w:numFmt w:val="bullet"/>
      <w:lvlText w:val="-"/>
      <w:lvlJc w:val="left"/>
      <w:pPr>
        <w:ind w:left="720" w:hanging="360"/>
      </w:pPr>
      <w:rPr>
        <w:rFonts w:ascii="Arial" w:eastAsia="Times New Roman" w:hAnsi="Arial" w:cs="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57">
    <w:nsid w:val="64414F30"/>
    <w:multiLevelType w:val="hybridMultilevel"/>
    <w:tmpl w:val="730CFBB8"/>
    <w:lvl w:ilvl="0" w:tplc="A88480EE">
      <w:start w:val="3"/>
      <w:numFmt w:val="bullet"/>
      <w:lvlText w:val="-"/>
      <w:lvlJc w:val="left"/>
      <w:pPr>
        <w:ind w:left="720" w:hanging="360"/>
      </w:pPr>
      <w:rPr>
        <w:rFonts w:ascii="Arial" w:eastAsia="Times New Roman" w:hAnsi="Arial" w:cs="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58">
    <w:nsid w:val="64502FE8"/>
    <w:multiLevelType w:val="hybridMultilevel"/>
    <w:tmpl w:val="35A2DC12"/>
    <w:lvl w:ilvl="0" w:tplc="A88480EE">
      <w:start w:val="3"/>
      <w:numFmt w:val="bullet"/>
      <w:lvlText w:val="-"/>
      <w:lvlJc w:val="left"/>
      <w:pPr>
        <w:ind w:left="720" w:hanging="360"/>
      </w:pPr>
      <w:rPr>
        <w:rFonts w:ascii="Arial" w:eastAsia="Times New Roman" w:hAnsi="Arial" w:cs="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59">
    <w:nsid w:val="645B3B9A"/>
    <w:multiLevelType w:val="hybridMultilevel"/>
    <w:tmpl w:val="4C9C73C8"/>
    <w:lvl w:ilvl="0" w:tplc="A88480EE">
      <w:start w:val="3"/>
      <w:numFmt w:val="bullet"/>
      <w:lvlText w:val="-"/>
      <w:lvlJc w:val="left"/>
      <w:pPr>
        <w:ind w:left="720" w:hanging="360"/>
      </w:pPr>
      <w:rPr>
        <w:rFonts w:ascii="Arial" w:eastAsia="Times New Roman" w:hAnsi="Arial" w:cs="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60">
    <w:nsid w:val="68606C7E"/>
    <w:multiLevelType w:val="hybridMultilevel"/>
    <w:tmpl w:val="BFA49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61">
    <w:nsid w:val="6AD421AA"/>
    <w:multiLevelType w:val="hybridMultilevel"/>
    <w:tmpl w:val="42345A86"/>
    <w:lvl w:ilvl="0" w:tplc="A88480EE">
      <w:start w:val="3"/>
      <w:numFmt w:val="bullet"/>
      <w:lvlText w:val="-"/>
      <w:lvlJc w:val="left"/>
      <w:pPr>
        <w:ind w:left="720" w:hanging="360"/>
      </w:pPr>
      <w:rPr>
        <w:rFonts w:ascii="Arial" w:eastAsia="Times New Roman" w:hAnsi="Arial" w:cs="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62">
    <w:nsid w:val="6CAA00F5"/>
    <w:multiLevelType w:val="hybridMultilevel"/>
    <w:tmpl w:val="9CF2877C"/>
    <w:lvl w:ilvl="0" w:tplc="A88480EE">
      <w:start w:val="3"/>
      <w:numFmt w:val="bullet"/>
      <w:lvlText w:val="-"/>
      <w:lvlJc w:val="left"/>
      <w:pPr>
        <w:ind w:left="720" w:hanging="360"/>
      </w:pPr>
      <w:rPr>
        <w:rFonts w:ascii="Arial" w:eastAsia="Times New Roman" w:hAnsi="Arial" w:cs="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63">
    <w:nsid w:val="6D617098"/>
    <w:multiLevelType w:val="hybridMultilevel"/>
    <w:tmpl w:val="6BBCA18C"/>
    <w:lvl w:ilvl="0" w:tplc="A88480EE">
      <w:start w:val="3"/>
      <w:numFmt w:val="bullet"/>
      <w:lvlText w:val="-"/>
      <w:lvlJc w:val="left"/>
      <w:pPr>
        <w:ind w:left="720" w:hanging="360"/>
      </w:pPr>
      <w:rPr>
        <w:rFonts w:ascii="Arial" w:eastAsia="Times New Roman" w:hAnsi="Arial" w:cs="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64">
    <w:nsid w:val="6E60349B"/>
    <w:multiLevelType w:val="hybridMultilevel"/>
    <w:tmpl w:val="B5306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65">
    <w:nsid w:val="6F9A2A65"/>
    <w:multiLevelType w:val="hybridMultilevel"/>
    <w:tmpl w:val="595445EA"/>
    <w:lvl w:ilvl="0" w:tplc="A88480EE">
      <w:start w:val="3"/>
      <w:numFmt w:val="bullet"/>
      <w:lvlText w:val="-"/>
      <w:lvlJc w:val="left"/>
      <w:pPr>
        <w:ind w:left="720" w:hanging="360"/>
      </w:pPr>
      <w:rPr>
        <w:rFonts w:ascii="Arial" w:eastAsia="Times New Roman" w:hAnsi="Arial" w:cs="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66">
    <w:nsid w:val="70733F81"/>
    <w:multiLevelType w:val="hybridMultilevel"/>
    <w:tmpl w:val="CDC0E7D8"/>
    <w:lvl w:ilvl="0" w:tplc="A88480EE">
      <w:start w:val="3"/>
      <w:numFmt w:val="bullet"/>
      <w:lvlText w:val="-"/>
      <w:lvlJc w:val="left"/>
      <w:pPr>
        <w:ind w:left="720" w:hanging="360"/>
      </w:pPr>
      <w:rPr>
        <w:rFonts w:ascii="Arial" w:eastAsia="Times New Roman" w:hAnsi="Arial" w:cs="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67">
    <w:nsid w:val="72D4033B"/>
    <w:multiLevelType w:val="hybridMultilevel"/>
    <w:tmpl w:val="3514B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68">
    <w:nsid w:val="753E12E4"/>
    <w:multiLevelType w:val="hybridMultilevel"/>
    <w:tmpl w:val="9B522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69">
    <w:nsid w:val="778213BB"/>
    <w:multiLevelType w:val="hybridMultilevel"/>
    <w:tmpl w:val="4A864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70">
    <w:nsid w:val="78034E35"/>
    <w:multiLevelType w:val="hybridMultilevel"/>
    <w:tmpl w:val="08E0BC6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nsid w:val="795741EB"/>
    <w:multiLevelType w:val="hybridMultilevel"/>
    <w:tmpl w:val="459A7552"/>
    <w:lvl w:ilvl="0" w:tplc="A88480EE">
      <w:start w:val="3"/>
      <w:numFmt w:val="bullet"/>
      <w:lvlText w:val="-"/>
      <w:lvlJc w:val="left"/>
      <w:pPr>
        <w:ind w:left="720" w:hanging="360"/>
      </w:pPr>
      <w:rPr>
        <w:rFonts w:ascii="Arial" w:eastAsia="Times New Roman" w:hAnsi="Arial" w:cs="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72">
    <w:nsid w:val="796D27BF"/>
    <w:multiLevelType w:val="hybridMultilevel"/>
    <w:tmpl w:val="F0F4785E"/>
    <w:lvl w:ilvl="0" w:tplc="A88480EE">
      <w:start w:val="3"/>
      <w:numFmt w:val="bullet"/>
      <w:lvlText w:val="-"/>
      <w:lvlJc w:val="left"/>
      <w:pPr>
        <w:ind w:left="720" w:hanging="360"/>
      </w:pPr>
      <w:rPr>
        <w:rFonts w:ascii="Arial" w:eastAsia="Times New Roman" w:hAnsi="Arial" w:cs="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73">
    <w:nsid w:val="7A9C0ADE"/>
    <w:multiLevelType w:val="hybridMultilevel"/>
    <w:tmpl w:val="54128CBC"/>
    <w:lvl w:ilvl="0" w:tplc="A88480EE">
      <w:start w:val="3"/>
      <w:numFmt w:val="bullet"/>
      <w:lvlText w:val="-"/>
      <w:lvlJc w:val="left"/>
      <w:pPr>
        <w:ind w:left="720" w:hanging="360"/>
      </w:pPr>
      <w:rPr>
        <w:rFonts w:ascii="Arial" w:eastAsia="Times New Roman" w:hAnsi="Arial" w:cs="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74">
    <w:nsid w:val="7BF37FC2"/>
    <w:multiLevelType w:val="multilevel"/>
    <w:tmpl w:val="E02A4FA6"/>
    <w:lvl w:ilvl="0">
      <w:start w:val="1"/>
      <w:numFmt w:val="decimal"/>
      <w:lvlText w:val="%1."/>
      <w:lvlJc w:val="left"/>
      <w:pPr>
        <w:ind w:left="1080" w:hanging="720"/>
      </w:pPr>
      <w:rPr>
        <w:rFonts w:hint="default"/>
      </w:rPr>
    </w:lvl>
    <w:lvl w:ilvl="1">
      <w:start w:val="1"/>
      <w:numFmt w:val="decimal"/>
      <w:isLgl/>
      <w:lvlText w:val="%1.%2"/>
      <w:lvlJc w:val="left"/>
      <w:pPr>
        <w:ind w:left="1095" w:hanging="735"/>
      </w:pPr>
      <w:rPr>
        <w:rFonts w:hint="default"/>
      </w:rPr>
    </w:lvl>
    <w:lvl w:ilvl="2">
      <w:start w:val="1"/>
      <w:numFmt w:val="decimal"/>
      <w:isLgl/>
      <w:lvlText w:val="%1.%2.%3"/>
      <w:lvlJc w:val="left"/>
      <w:pPr>
        <w:ind w:left="1095" w:hanging="73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5">
    <w:nsid w:val="7CE64A0C"/>
    <w:multiLevelType w:val="hybridMultilevel"/>
    <w:tmpl w:val="01789E68"/>
    <w:lvl w:ilvl="0" w:tplc="A88480EE">
      <w:start w:val="3"/>
      <w:numFmt w:val="bullet"/>
      <w:lvlText w:val="-"/>
      <w:lvlJc w:val="left"/>
      <w:pPr>
        <w:ind w:left="720" w:hanging="360"/>
      </w:pPr>
      <w:rPr>
        <w:rFonts w:ascii="Arial" w:eastAsia="Times New Roman" w:hAnsi="Arial" w:cs="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76">
    <w:nsid w:val="7DB30844"/>
    <w:multiLevelType w:val="hybridMultilevel"/>
    <w:tmpl w:val="6D582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9"/>
  </w:num>
  <w:num w:numId="3">
    <w:abstractNumId w:val="76"/>
  </w:num>
  <w:num w:numId="4">
    <w:abstractNumId w:val="44"/>
  </w:num>
  <w:num w:numId="5">
    <w:abstractNumId w:val="23"/>
  </w:num>
  <w:num w:numId="6">
    <w:abstractNumId w:val="21"/>
  </w:num>
  <w:num w:numId="7">
    <w:abstractNumId w:val="40"/>
  </w:num>
  <w:num w:numId="8">
    <w:abstractNumId w:val="45"/>
  </w:num>
  <w:num w:numId="9">
    <w:abstractNumId w:val="68"/>
  </w:num>
  <w:num w:numId="10">
    <w:abstractNumId w:val="9"/>
  </w:num>
  <w:num w:numId="11">
    <w:abstractNumId w:val="10"/>
  </w:num>
  <w:num w:numId="12">
    <w:abstractNumId w:val="8"/>
  </w:num>
  <w:num w:numId="13">
    <w:abstractNumId w:val="26"/>
  </w:num>
  <w:num w:numId="14">
    <w:abstractNumId w:val="56"/>
  </w:num>
  <w:num w:numId="15">
    <w:abstractNumId w:val="66"/>
  </w:num>
  <w:num w:numId="16">
    <w:abstractNumId w:val="29"/>
  </w:num>
  <w:num w:numId="17">
    <w:abstractNumId w:val="54"/>
  </w:num>
  <w:num w:numId="18">
    <w:abstractNumId w:val="49"/>
  </w:num>
  <w:num w:numId="19">
    <w:abstractNumId w:val="18"/>
  </w:num>
  <w:num w:numId="20">
    <w:abstractNumId w:val="3"/>
  </w:num>
  <w:num w:numId="21">
    <w:abstractNumId w:val="20"/>
  </w:num>
  <w:num w:numId="22">
    <w:abstractNumId w:val="41"/>
  </w:num>
  <w:num w:numId="23">
    <w:abstractNumId w:val="13"/>
  </w:num>
  <w:num w:numId="24">
    <w:abstractNumId w:val="28"/>
  </w:num>
  <w:num w:numId="25">
    <w:abstractNumId w:val="33"/>
  </w:num>
  <w:num w:numId="26">
    <w:abstractNumId w:val="34"/>
  </w:num>
  <w:num w:numId="27">
    <w:abstractNumId w:val="32"/>
  </w:num>
  <w:num w:numId="28">
    <w:abstractNumId w:val="43"/>
  </w:num>
  <w:num w:numId="29">
    <w:abstractNumId w:val="47"/>
  </w:num>
  <w:num w:numId="30">
    <w:abstractNumId w:val="73"/>
  </w:num>
  <w:num w:numId="31">
    <w:abstractNumId w:val="46"/>
  </w:num>
  <w:num w:numId="32">
    <w:abstractNumId w:val="31"/>
  </w:num>
  <w:num w:numId="33">
    <w:abstractNumId w:val="59"/>
  </w:num>
  <w:num w:numId="34">
    <w:abstractNumId w:val="69"/>
  </w:num>
  <w:num w:numId="35">
    <w:abstractNumId w:val="57"/>
  </w:num>
  <w:num w:numId="36">
    <w:abstractNumId w:val="42"/>
  </w:num>
  <w:num w:numId="37">
    <w:abstractNumId w:val="5"/>
  </w:num>
  <w:num w:numId="38">
    <w:abstractNumId w:val="6"/>
  </w:num>
  <w:num w:numId="39">
    <w:abstractNumId w:val="27"/>
  </w:num>
  <w:num w:numId="40">
    <w:abstractNumId w:val="14"/>
  </w:num>
  <w:num w:numId="41">
    <w:abstractNumId w:val="65"/>
  </w:num>
  <w:num w:numId="42">
    <w:abstractNumId w:val="36"/>
  </w:num>
  <w:num w:numId="43">
    <w:abstractNumId w:val="58"/>
  </w:num>
  <w:num w:numId="44">
    <w:abstractNumId w:val="25"/>
  </w:num>
  <w:num w:numId="45">
    <w:abstractNumId w:val="63"/>
  </w:num>
  <w:num w:numId="46">
    <w:abstractNumId w:val="64"/>
  </w:num>
  <w:num w:numId="47">
    <w:abstractNumId w:val="38"/>
  </w:num>
  <w:num w:numId="48">
    <w:abstractNumId w:val="30"/>
  </w:num>
  <w:num w:numId="49">
    <w:abstractNumId w:val="24"/>
  </w:num>
  <w:num w:numId="50">
    <w:abstractNumId w:val="62"/>
  </w:num>
  <w:num w:numId="51">
    <w:abstractNumId w:val="51"/>
  </w:num>
  <w:num w:numId="52">
    <w:abstractNumId w:val="53"/>
  </w:num>
  <w:num w:numId="53">
    <w:abstractNumId w:val="19"/>
  </w:num>
  <w:num w:numId="54">
    <w:abstractNumId w:val="71"/>
  </w:num>
  <w:num w:numId="55">
    <w:abstractNumId w:val="11"/>
  </w:num>
  <w:num w:numId="56">
    <w:abstractNumId w:val="61"/>
  </w:num>
  <w:num w:numId="57">
    <w:abstractNumId w:val="72"/>
  </w:num>
  <w:num w:numId="58">
    <w:abstractNumId w:val="37"/>
  </w:num>
  <w:num w:numId="59">
    <w:abstractNumId w:val="17"/>
  </w:num>
  <w:num w:numId="60">
    <w:abstractNumId w:val="22"/>
  </w:num>
  <w:num w:numId="61">
    <w:abstractNumId w:val="75"/>
  </w:num>
  <w:num w:numId="62">
    <w:abstractNumId w:val="60"/>
  </w:num>
  <w:num w:numId="63">
    <w:abstractNumId w:val="50"/>
  </w:num>
  <w:num w:numId="64">
    <w:abstractNumId w:val="55"/>
  </w:num>
  <w:num w:numId="65">
    <w:abstractNumId w:val="35"/>
  </w:num>
  <w:num w:numId="66">
    <w:abstractNumId w:val="67"/>
  </w:num>
  <w:num w:numId="67">
    <w:abstractNumId w:val="48"/>
  </w:num>
  <w:num w:numId="68">
    <w:abstractNumId w:val="16"/>
  </w:num>
  <w:num w:numId="69">
    <w:abstractNumId w:val="15"/>
  </w:num>
  <w:num w:numId="70">
    <w:abstractNumId w:val="1"/>
  </w:num>
  <w:num w:numId="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
  </w:num>
  <w:num w:numId="73">
    <w:abstractNumId w:val="70"/>
  </w:num>
  <w:num w:numId="74">
    <w:abstractNumId w:val="74"/>
  </w:num>
  <w:num w:numId="75">
    <w:abstractNumId w:val="7"/>
  </w:num>
  <w:num w:numId="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2"/>
  </w:num>
  <w:num w:numId="88">
    <w:abstractNumId w:val="2"/>
  </w:num>
  <w:num w:numId="89">
    <w:abstractNumId w:val="12"/>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37"/>
  <w:defaultTableStyle w:val="DefaultTable"/>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9BC"/>
    <w:rsid w:val="00004932"/>
    <w:rsid w:val="00005785"/>
    <w:rsid w:val="00006876"/>
    <w:rsid w:val="000079AD"/>
    <w:rsid w:val="00007D1F"/>
    <w:rsid w:val="00010BD6"/>
    <w:rsid w:val="00010D84"/>
    <w:rsid w:val="00010F15"/>
    <w:rsid w:val="00011CE3"/>
    <w:rsid w:val="00014AC4"/>
    <w:rsid w:val="00016907"/>
    <w:rsid w:val="00020046"/>
    <w:rsid w:val="00022E9C"/>
    <w:rsid w:val="00024EF0"/>
    <w:rsid w:val="00025631"/>
    <w:rsid w:val="00026471"/>
    <w:rsid w:val="00027A61"/>
    <w:rsid w:val="00027B26"/>
    <w:rsid w:val="00030705"/>
    <w:rsid w:val="00032861"/>
    <w:rsid w:val="00032B77"/>
    <w:rsid w:val="00034BDB"/>
    <w:rsid w:val="00040F0F"/>
    <w:rsid w:val="00042285"/>
    <w:rsid w:val="00043256"/>
    <w:rsid w:val="00045A89"/>
    <w:rsid w:val="00046F8E"/>
    <w:rsid w:val="00047524"/>
    <w:rsid w:val="0005040E"/>
    <w:rsid w:val="0005087D"/>
    <w:rsid w:val="00050F9E"/>
    <w:rsid w:val="00050FC1"/>
    <w:rsid w:val="000547EF"/>
    <w:rsid w:val="00056004"/>
    <w:rsid w:val="0006075A"/>
    <w:rsid w:val="000609C8"/>
    <w:rsid w:val="00060D50"/>
    <w:rsid w:val="00061C84"/>
    <w:rsid w:val="00062484"/>
    <w:rsid w:val="00063129"/>
    <w:rsid w:val="00064EE9"/>
    <w:rsid w:val="00065022"/>
    <w:rsid w:val="00065A5E"/>
    <w:rsid w:val="00070681"/>
    <w:rsid w:val="0007270D"/>
    <w:rsid w:val="00073C2E"/>
    <w:rsid w:val="00074948"/>
    <w:rsid w:val="00074977"/>
    <w:rsid w:val="000776CA"/>
    <w:rsid w:val="00080A09"/>
    <w:rsid w:val="00081CEB"/>
    <w:rsid w:val="000827C4"/>
    <w:rsid w:val="00083082"/>
    <w:rsid w:val="00087B2C"/>
    <w:rsid w:val="00087DBD"/>
    <w:rsid w:val="000902F7"/>
    <w:rsid w:val="00090718"/>
    <w:rsid w:val="000912BE"/>
    <w:rsid w:val="00091B4E"/>
    <w:rsid w:val="00091CD7"/>
    <w:rsid w:val="00093DD5"/>
    <w:rsid w:val="000953EE"/>
    <w:rsid w:val="000A0269"/>
    <w:rsid w:val="000A03DD"/>
    <w:rsid w:val="000A04D3"/>
    <w:rsid w:val="000A1A09"/>
    <w:rsid w:val="000A2E57"/>
    <w:rsid w:val="000A30E6"/>
    <w:rsid w:val="000A47A8"/>
    <w:rsid w:val="000A60F9"/>
    <w:rsid w:val="000A73FB"/>
    <w:rsid w:val="000B05E8"/>
    <w:rsid w:val="000B1A36"/>
    <w:rsid w:val="000B218A"/>
    <w:rsid w:val="000B55F1"/>
    <w:rsid w:val="000B6AE8"/>
    <w:rsid w:val="000B6DB6"/>
    <w:rsid w:val="000C014D"/>
    <w:rsid w:val="000C29B4"/>
    <w:rsid w:val="000C4CED"/>
    <w:rsid w:val="000C5CD8"/>
    <w:rsid w:val="000C73B6"/>
    <w:rsid w:val="000C7A3F"/>
    <w:rsid w:val="000C7A69"/>
    <w:rsid w:val="000D1158"/>
    <w:rsid w:val="000D4703"/>
    <w:rsid w:val="000D47DA"/>
    <w:rsid w:val="000D61CD"/>
    <w:rsid w:val="000E12D4"/>
    <w:rsid w:val="000E39EF"/>
    <w:rsid w:val="000E3F39"/>
    <w:rsid w:val="000E506B"/>
    <w:rsid w:val="000E54C8"/>
    <w:rsid w:val="000E620E"/>
    <w:rsid w:val="000F180F"/>
    <w:rsid w:val="000F2063"/>
    <w:rsid w:val="000F3A92"/>
    <w:rsid w:val="000F3D28"/>
    <w:rsid w:val="000F4088"/>
    <w:rsid w:val="000F63C4"/>
    <w:rsid w:val="00100200"/>
    <w:rsid w:val="00100640"/>
    <w:rsid w:val="00101374"/>
    <w:rsid w:val="0010226F"/>
    <w:rsid w:val="0010263D"/>
    <w:rsid w:val="00102824"/>
    <w:rsid w:val="0010300A"/>
    <w:rsid w:val="00105C34"/>
    <w:rsid w:val="00105E75"/>
    <w:rsid w:val="001069CB"/>
    <w:rsid w:val="001075E9"/>
    <w:rsid w:val="00107B94"/>
    <w:rsid w:val="001105E4"/>
    <w:rsid w:val="001131F0"/>
    <w:rsid w:val="001139C7"/>
    <w:rsid w:val="00114EBC"/>
    <w:rsid w:val="0011702E"/>
    <w:rsid w:val="00120C31"/>
    <w:rsid w:val="00122840"/>
    <w:rsid w:val="0012427E"/>
    <w:rsid w:val="001247E0"/>
    <w:rsid w:val="00126750"/>
    <w:rsid w:val="001271A1"/>
    <w:rsid w:val="00131C0F"/>
    <w:rsid w:val="001325BF"/>
    <w:rsid w:val="00132F0D"/>
    <w:rsid w:val="00133713"/>
    <w:rsid w:val="00135B7E"/>
    <w:rsid w:val="0013655C"/>
    <w:rsid w:val="001372BF"/>
    <w:rsid w:val="001401BF"/>
    <w:rsid w:val="00140FC9"/>
    <w:rsid w:val="001413C5"/>
    <w:rsid w:val="0014231B"/>
    <w:rsid w:val="00142956"/>
    <w:rsid w:val="00142D10"/>
    <w:rsid w:val="00144868"/>
    <w:rsid w:val="001452BC"/>
    <w:rsid w:val="00150D2A"/>
    <w:rsid w:val="00150E25"/>
    <w:rsid w:val="00150EA9"/>
    <w:rsid w:val="00151650"/>
    <w:rsid w:val="00151EBD"/>
    <w:rsid w:val="00155B98"/>
    <w:rsid w:val="00157001"/>
    <w:rsid w:val="00157709"/>
    <w:rsid w:val="00160E91"/>
    <w:rsid w:val="0016264F"/>
    <w:rsid w:val="00165626"/>
    <w:rsid w:val="00167CF4"/>
    <w:rsid w:val="0017147C"/>
    <w:rsid w:val="0017194E"/>
    <w:rsid w:val="0017249B"/>
    <w:rsid w:val="001725AE"/>
    <w:rsid w:val="00176A45"/>
    <w:rsid w:val="00177EC4"/>
    <w:rsid w:val="00181533"/>
    <w:rsid w:val="00181C65"/>
    <w:rsid w:val="001824C8"/>
    <w:rsid w:val="00182698"/>
    <w:rsid w:val="0018361D"/>
    <w:rsid w:val="0018626F"/>
    <w:rsid w:val="001864FD"/>
    <w:rsid w:val="0018664A"/>
    <w:rsid w:val="00193D46"/>
    <w:rsid w:val="001943DD"/>
    <w:rsid w:val="00196BAC"/>
    <w:rsid w:val="00196D07"/>
    <w:rsid w:val="001A13F6"/>
    <w:rsid w:val="001A2D6E"/>
    <w:rsid w:val="001A2D78"/>
    <w:rsid w:val="001A4553"/>
    <w:rsid w:val="001A7249"/>
    <w:rsid w:val="001B08FD"/>
    <w:rsid w:val="001B1C20"/>
    <w:rsid w:val="001B1DE5"/>
    <w:rsid w:val="001B385A"/>
    <w:rsid w:val="001B3904"/>
    <w:rsid w:val="001B3AEC"/>
    <w:rsid w:val="001B3E8D"/>
    <w:rsid w:val="001B5259"/>
    <w:rsid w:val="001B60D4"/>
    <w:rsid w:val="001B6F28"/>
    <w:rsid w:val="001C3472"/>
    <w:rsid w:val="001C4F4F"/>
    <w:rsid w:val="001C6BA1"/>
    <w:rsid w:val="001D141C"/>
    <w:rsid w:val="001D2904"/>
    <w:rsid w:val="001D4F22"/>
    <w:rsid w:val="001D652D"/>
    <w:rsid w:val="001D693F"/>
    <w:rsid w:val="001D6F9E"/>
    <w:rsid w:val="001D72E8"/>
    <w:rsid w:val="001D7421"/>
    <w:rsid w:val="001E0E34"/>
    <w:rsid w:val="001E29E2"/>
    <w:rsid w:val="001E38FB"/>
    <w:rsid w:val="001E48D3"/>
    <w:rsid w:val="001E4C63"/>
    <w:rsid w:val="001E52C2"/>
    <w:rsid w:val="001F0264"/>
    <w:rsid w:val="001F0BE1"/>
    <w:rsid w:val="001F101A"/>
    <w:rsid w:val="001F24EF"/>
    <w:rsid w:val="001F3C9B"/>
    <w:rsid w:val="001F3EF6"/>
    <w:rsid w:val="001F56C7"/>
    <w:rsid w:val="00201F0B"/>
    <w:rsid w:val="00203039"/>
    <w:rsid w:val="00204B17"/>
    <w:rsid w:val="002069D2"/>
    <w:rsid w:val="00211DA2"/>
    <w:rsid w:val="00213693"/>
    <w:rsid w:val="00214CBE"/>
    <w:rsid w:val="00215CCB"/>
    <w:rsid w:val="002165A1"/>
    <w:rsid w:val="00216CF5"/>
    <w:rsid w:val="00216E8E"/>
    <w:rsid w:val="0022037B"/>
    <w:rsid w:val="00221822"/>
    <w:rsid w:val="00222799"/>
    <w:rsid w:val="00222C8D"/>
    <w:rsid w:val="002256A8"/>
    <w:rsid w:val="00227193"/>
    <w:rsid w:val="00227397"/>
    <w:rsid w:val="002275FB"/>
    <w:rsid w:val="00230E6B"/>
    <w:rsid w:val="00232B97"/>
    <w:rsid w:val="0023523A"/>
    <w:rsid w:val="0023757C"/>
    <w:rsid w:val="00237C47"/>
    <w:rsid w:val="002402E4"/>
    <w:rsid w:val="002421A0"/>
    <w:rsid w:val="00242B98"/>
    <w:rsid w:val="002445A1"/>
    <w:rsid w:val="00246FE6"/>
    <w:rsid w:val="002470E3"/>
    <w:rsid w:val="00251EE8"/>
    <w:rsid w:val="0025207D"/>
    <w:rsid w:val="00252F84"/>
    <w:rsid w:val="00254DE9"/>
    <w:rsid w:val="00256474"/>
    <w:rsid w:val="00257C32"/>
    <w:rsid w:val="002615D3"/>
    <w:rsid w:val="00263A5F"/>
    <w:rsid w:val="002672F1"/>
    <w:rsid w:val="00271414"/>
    <w:rsid w:val="00271922"/>
    <w:rsid w:val="00273412"/>
    <w:rsid w:val="0027373F"/>
    <w:rsid w:val="00273D9B"/>
    <w:rsid w:val="00274ACF"/>
    <w:rsid w:val="00277F04"/>
    <w:rsid w:val="0028159B"/>
    <w:rsid w:val="00282671"/>
    <w:rsid w:val="00282861"/>
    <w:rsid w:val="00283F22"/>
    <w:rsid w:val="002843E2"/>
    <w:rsid w:val="002867B1"/>
    <w:rsid w:val="00287BAA"/>
    <w:rsid w:val="0029187F"/>
    <w:rsid w:val="00293489"/>
    <w:rsid w:val="0029512D"/>
    <w:rsid w:val="00295776"/>
    <w:rsid w:val="00296F5E"/>
    <w:rsid w:val="002A30F0"/>
    <w:rsid w:val="002A343A"/>
    <w:rsid w:val="002A4A00"/>
    <w:rsid w:val="002A4C1B"/>
    <w:rsid w:val="002A6DF5"/>
    <w:rsid w:val="002B02E9"/>
    <w:rsid w:val="002B6406"/>
    <w:rsid w:val="002B6809"/>
    <w:rsid w:val="002C4231"/>
    <w:rsid w:val="002C7080"/>
    <w:rsid w:val="002C7619"/>
    <w:rsid w:val="002D00B0"/>
    <w:rsid w:val="002D2364"/>
    <w:rsid w:val="002D2E16"/>
    <w:rsid w:val="002D551D"/>
    <w:rsid w:val="002E310C"/>
    <w:rsid w:val="002E45F0"/>
    <w:rsid w:val="002E7778"/>
    <w:rsid w:val="002F151C"/>
    <w:rsid w:val="002F15FC"/>
    <w:rsid w:val="002F2949"/>
    <w:rsid w:val="002F7983"/>
    <w:rsid w:val="00301016"/>
    <w:rsid w:val="0030300D"/>
    <w:rsid w:val="00304B3E"/>
    <w:rsid w:val="00304D97"/>
    <w:rsid w:val="0031180A"/>
    <w:rsid w:val="00313127"/>
    <w:rsid w:val="00313304"/>
    <w:rsid w:val="003155F4"/>
    <w:rsid w:val="0031757A"/>
    <w:rsid w:val="00320309"/>
    <w:rsid w:val="00321D1E"/>
    <w:rsid w:val="00322F54"/>
    <w:rsid w:val="0032404C"/>
    <w:rsid w:val="0032530E"/>
    <w:rsid w:val="00325A61"/>
    <w:rsid w:val="003260B2"/>
    <w:rsid w:val="00326976"/>
    <w:rsid w:val="00327057"/>
    <w:rsid w:val="003311D7"/>
    <w:rsid w:val="00332B8B"/>
    <w:rsid w:val="00333996"/>
    <w:rsid w:val="00333EC5"/>
    <w:rsid w:val="0033521E"/>
    <w:rsid w:val="00337CA2"/>
    <w:rsid w:val="0034019B"/>
    <w:rsid w:val="003404A4"/>
    <w:rsid w:val="00344411"/>
    <w:rsid w:val="00345D1D"/>
    <w:rsid w:val="003468C8"/>
    <w:rsid w:val="00347104"/>
    <w:rsid w:val="00347ECF"/>
    <w:rsid w:val="00350852"/>
    <w:rsid w:val="0035096E"/>
    <w:rsid w:val="0035219F"/>
    <w:rsid w:val="00353801"/>
    <w:rsid w:val="00355D01"/>
    <w:rsid w:val="00356C24"/>
    <w:rsid w:val="00360B81"/>
    <w:rsid w:val="00362CD9"/>
    <w:rsid w:val="00366283"/>
    <w:rsid w:val="0036708F"/>
    <w:rsid w:val="0036777E"/>
    <w:rsid w:val="003701FA"/>
    <w:rsid w:val="0037056E"/>
    <w:rsid w:val="00372A26"/>
    <w:rsid w:val="0037484C"/>
    <w:rsid w:val="003749CD"/>
    <w:rsid w:val="00374A6C"/>
    <w:rsid w:val="00381954"/>
    <w:rsid w:val="00382718"/>
    <w:rsid w:val="00382B3B"/>
    <w:rsid w:val="00384ADA"/>
    <w:rsid w:val="00385E92"/>
    <w:rsid w:val="00385ED2"/>
    <w:rsid w:val="00387825"/>
    <w:rsid w:val="00391F86"/>
    <w:rsid w:val="003923FB"/>
    <w:rsid w:val="00392A3F"/>
    <w:rsid w:val="00393F00"/>
    <w:rsid w:val="003945C0"/>
    <w:rsid w:val="003A094F"/>
    <w:rsid w:val="003A25A7"/>
    <w:rsid w:val="003A3171"/>
    <w:rsid w:val="003A60DC"/>
    <w:rsid w:val="003B465D"/>
    <w:rsid w:val="003B535C"/>
    <w:rsid w:val="003C13A6"/>
    <w:rsid w:val="003C2120"/>
    <w:rsid w:val="003C24A0"/>
    <w:rsid w:val="003C2734"/>
    <w:rsid w:val="003D030E"/>
    <w:rsid w:val="003D040D"/>
    <w:rsid w:val="003D1F49"/>
    <w:rsid w:val="003D2061"/>
    <w:rsid w:val="003D6276"/>
    <w:rsid w:val="003E1130"/>
    <w:rsid w:val="003E1FE3"/>
    <w:rsid w:val="003E32A7"/>
    <w:rsid w:val="003F1A33"/>
    <w:rsid w:val="003F2A07"/>
    <w:rsid w:val="003F3072"/>
    <w:rsid w:val="003F3F89"/>
    <w:rsid w:val="003F6CF0"/>
    <w:rsid w:val="003F6CF9"/>
    <w:rsid w:val="00401CFB"/>
    <w:rsid w:val="004024E4"/>
    <w:rsid w:val="00403E40"/>
    <w:rsid w:val="00405E59"/>
    <w:rsid w:val="00406078"/>
    <w:rsid w:val="00406289"/>
    <w:rsid w:val="0040646A"/>
    <w:rsid w:val="00406578"/>
    <w:rsid w:val="004074EF"/>
    <w:rsid w:val="004102C3"/>
    <w:rsid w:val="0041307C"/>
    <w:rsid w:val="00413699"/>
    <w:rsid w:val="004167B4"/>
    <w:rsid w:val="004167BC"/>
    <w:rsid w:val="0042032D"/>
    <w:rsid w:val="004225DC"/>
    <w:rsid w:val="00423A41"/>
    <w:rsid w:val="00425247"/>
    <w:rsid w:val="00425FBA"/>
    <w:rsid w:val="00430D7E"/>
    <w:rsid w:val="00432332"/>
    <w:rsid w:val="00432368"/>
    <w:rsid w:val="00433B04"/>
    <w:rsid w:val="00434989"/>
    <w:rsid w:val="00436814"/>
    <w:rsid w:val="00436992"/>
    <w:rsid w:val="0043784D"/>
    <w:rsid w:val="00440256"/>
    <w:rsid w:val="00440E22"/>
    <w:rsid w:val="00442164"/>
    <w:rsid w:val="00443733"/>
    <w:rsid w:val="0044547D"/>
    <w:rsid w:val="004461FB"/>
    <w:rsid w:val="00446F93"/>
    <w:rsid w:val="0045070D"/>
    <w:rsid w:val="00451460"/>
    <w:rsid w:val="00451704"/>
    <w:rsid w:val="00451A74"/>
    <w:rsid w:val="004538DA"/>
    <w:rsid w:val="004552AB"/>
    <w:rsid w:val="0045622C"/>
    <w:rsid w:val="00460499"/>
    <w:rsid w:val="00460CF8"/>
    <w:rsid w:val="00462231"/>
    <w:rsid w:val="004627DD"/>
    <w:rsid w:val="00464FB1"/>
    <w:rsid w:val="004669EE"/>
    <w:rsid w:val="00467185"/>
    <w:rsid w:val="00467736"/>
    <w:rsid w:val="0047050C"/>
    <w:rsid w:val="00471E67"/>
    <w:rsid w:val="0047219F"/>
    <w:rsid w:val="00472678"/>
    <w:rsid w:val="004750DB"/>
    <w:rsid w:val="0047601C"/>
    <w:rsid w:val="00480209"/>
    <w:rsid w:val="00480F21"/>
    <w:rsid w:val="0048108E"/>
    <w:rsid w:val="0048406E"/>
    <w:rsid w:val="0048537F"/>
    <w:rsid w:val="004874E5"/>
    <w:rsid w:val="00487885"/>
    <w:rsid w:val="00487CC3"/>
    <w:rsid w:val="00490A65"/>
    <w:rsid w:val="0049116C"/>
    <w:rsid w:val="004930C9"/>
    <w:rsid w:val="004936FA"/>
    <w:rsid w:val="00493A70"/>
    <w:rsid w:val="00493F62"/>
    <w:rsid w:val="00494832"/>
    <w:rsid w:val="004957C2"/>
    <w:rsid w:val="00495AF1"/>
    <w:rsid w:val="00496B9C"/>
    <w:rsid w:val="00496ED1"/>
    <w:rsid w:val="00497A89"/>
    <w:rsid w:val="00497C6D"/>
    <w:rsid w:val="004A4CED"/>
    <w:rsid w:val="004A6BE6"/>
    <w:rsid w:val="004A759A"/>
    <w:rsid w:val="004B0828"/>
    <w:rsid w:val="004B3304"/>
    <w:rsid w:val="004B3DF1"/>
    <w:rsid w:val="004B4BC0"/>
    <w:rsid w:val="004B5555"/>
    <w:rsid w:val="004C0484"/>
    <w:rsid w:val="004C40F9"/>
    <w:rsid w:val="004C777E"/>
    <w:rsid w:val="004D16A4"/>
    <w:rsid w:val="004D32F5"/>
    <w:rsid w:val="004D56D9"/>
    <w:rsid w:val="004D750E"/>
    <w:rsid w:val="004D75B2"/>
    <w:rsid w:val="004E2D9C"/>
    <w:rsid w:val="004E5794"/>
    <w:rsid w:val="004E6682"/>
    <w:rsid w:val="004E6D8A"/>
    <w:rsid w:val="004F15EF"/>
    <w:rsid w:val="004F22FE"/>
    <w:rsid w:val="004F4054"/>
    <w:rsid w:val="004F6E85"/>
    <w:rsid w:val="004F774D"/>
    <w:rsid w:val="005013B0"/>
    <w:rsid w:val="005015E4"/>
    <w:rsid w:val="005017A6"/>
    <w:rsid w:val="005021FF"/>
    <w:rsid w:val="0050291D"/>
    <w:rsid w:val="00505AB5"/>
    <w:rsid w:val="00505D56"/>
    <w:rsid w:val="005064CD"/>
    <w:rsid w:val="00506C00"/>
    <w:rsid w:val="00511016"/>
    <w:rsid w:val="0051514D"/>
    <w:rsid w:val="005159B3"/>
    <w:rsid w:val="005175F1"/>
    <w:rsid w:val="00522C03"/>
    <w:rsid w:val="00523D14"/>
    <w:rsid w:val="00525EA4"/>
    <w:rsid w:val="00526C8C"/>
    <w:rsid w:val="0052791F"/>
    <w:rsid w:val="00532CFF"/>
    <w:rsid w:val="00536880"/>
    <w:rsid w:val="00540A15"/>
    <w:rsid w:val="00540AD0"/>
    <w:rsid w:val="00543A76"/>
    <w:rsid w:val="00544DFE"/>
    <w:rsid w:val="00546C9A"/>
    <w:rsid w:val="0054707E"/>
    <w:rsid w:val="005523D1"/>
    <w:rsid w:val="00553D08"/>
    <w:rsid w:val="0055532E"/>
    <w:rsid w:val="00555930"/>
    <w:rsid w:val="00555BC3"/>
    <w:rsid w:val="00557C8E"/>
    <w:rsid w:val="00560432"/>
    <w:rsid w:val="00561B2B"/>
    <w:rsid w:val="0056357E"/>
    <w:rsid w:val="00563B3F"/>
    <w:rsid w:val="00564952"/>
    <w:rsid w:val="00571AB1"/>
    <w:rsid w:val="00573BF2"/>
    <w:rsid w:val="00577E1C"/>
    <w:rsid w:val="00580DB1"/>
    <w:rsid w:val="005814AC"/>
    <w:rsid w:val="00584676"/>
    <w:rsid w:val="005854B7"/>
    <w:rsid w:val="00587AB1"/>
    <w:rsid w:val="0059070B"/>
    <w:rsid w:val="0059227E"/>
    <w:rsid w:val="0059283C"/>
    <w:rsid w:val="005936DC"/>
    <w:rsid w:val="00597619"/>
    <w:rsid w:val="005A0D95"/>
    <w:rsid w:val="005A224B"/>
    <w:rsid w:val="005A4147"/>
    <w:rsid w:val="005A7F62"/>
    <w:rsid w:val="005B1225"/>
    <w:rsid w:val="005B14AC"/>
    <w:rsid w:val="005B17D8"/>
    <w:rsid w:val="005B1D82"/>
    <w:rsid w:val="005B4077"/>
    <w:rsid w:val="005C0E01"/>
    <w:rsid w:val="005C1A96"/>
    <w:rsid w:val="005C1FCC"/>
    <w:rsid w:val="005C28B0"/>
    <w:rsid w:val="005C2F01"/>
    <w:rsid w:val="005C49D3"/>
    <w:rsid w:val="005C5F3C"/>
    <w:rsid w:val="005D01BE"/>
    <w:rsid w:val="005D04F8"/>
    <w:rsid w:val="005D1177"/>
    <w:rsid w:val="005D1D13"/>
    <w:rsid w:val="005D2F77"/>
    <w:rsid w:val="005D4305"/>
    <w:rsid w:val="005D5460"/>
    <w:rsid w:val="005E08CD"/>
    <w:rsid w:val="005E0C9D"/>
    <w:rsid w:val="005E23CD"/>
    <w:rsid w:val="005E34DF"/>
    <w:rsid w:val="005E37E8"/>
    <w:rsid w:val="005E4680"/>
    <w:rsid w:val="005E74C5"/>
    <w:rsid w:val="005F11EB"/>
    <w:rsid w:val="005F219D"/>
    <w:rsid w:val="005F2437"/>
    <w:rsid w:val="005F318A"/>
    <w:rsid w:val="005F37CA"/>
    <w:rsid w:val="005F38D0"/>
    <w:rsid w:val="005F3F61"/>
    <w:rsid w:val="005F4C49"/>
    <w:rsid w:val="005F4FDE"/>
    <w:rsid w:val="005F54FD"/>
    <w:rsid w:val="005F7710"/>
    <w:rsid w:val="006004F7"/>
    <w:rsid w:val="00603261"/>
    <w:rsid w:val="0060395E"/>
    <w:rsid w:val="00607597"/>
    <w:rsid w:val="00610458"/>
    <w:rsid w:val="00610EA3"/>
    <w:rsid w:val="00610F93"/>
    <w:rsid w:val="006127CC"/>
    <w:rsid w:val="006138EF"/>
    <w:rsid w:val="00615923"/>
    <w:rsid w:val="00617450"/>
    <w:rsid w:val="00617D0B"/>
    <w:rsid w:val="00622E1E"/>
    <w:rsid w:val="006243C6"/>
    <w:rsid w:val="006273BC"/>
    <w:rsid w:val="00631F44"/>
    <w:rsid w:val="00632009"/>
    <w:rsid w:val="00633CF1"/>
    <w:rsid w:val="0063532A"/>
    <w:rsid w:val="00635A6C"/>
    <w:rsid w:val="006365BC"/>
    <w:rsid w:val="00637091"/>
    <w:rsid w:val="00641C11"/>
    <w:rsid w:val="00641D5A"/>
    <w:rsid w:val="00642514"/>
    <w:rsid w:val="00642839"/>
    <w:rsid w:val="00642A51"/>
    <w:rsid w:val="00642C1A"/>
    <w:rsid w:val="00644F6B"/>
    <w:rsid w:val="006457F8"/>
    <w:rsid w:val="00645A17"/>
    <w:rsid w:val="00645CCB"/>
    <w:rsid w:val="0064700E"/>
    <w:rsid w:val="006478CB"/>
    <w:rsid w:val="00650B88"/>
    <w:rsid w:val="00652C58"/>
    <w:rsid w:val="006530EF"/>
    <w:rsid w:val="006554DD"/>
    <w:rsid w:val="00656035"/>
    <w:rsid w:val="006566C1"/>
    <w:rsid w:val="00660951"/>
    <w:rsid w:val="006613DC"/>
    <w:rsid w:val="006636E2"/>
    <w:rsid w:val="00664474"/>
    <w:rsid w:val="00664D27"/>
    <w:rsid w:val="00666273"/>
    <w:rsid w:val="00667FA9"/>
    <w:rsid w:val="006709CE"/>
    <w:rsid w:val="0067233D"/>
    <w:rsid w:val="00672B2E"/>
    <w:rsid w:val="006745AE"/>
    <w:rsid w:val="00676870"/>
    <w:rsid w:val="00676990"/>
    <w:rsid w:val="00676AF3"/>
    <w:rsid w:val="006772A3"/>
    <w:rsid w:val="00677895"/>
    <w:rsid w:val="00677BEF"/>
    <w:rsid w:val="006814A3"/>
    <w:rsid w:val="00682AFC"/>
    <w:rsid w:val="00683344"/>
    <w:rsid w:val="00684123"/>
    <w:rsid w:val="00684FC9"/>
    <w:rsid w:val="0069072B"/>
    <w:rsid w:val="0069174B"/>
    <w:rsid w:val="00691F7F"/>
    <w:rsid w:val="00693340"/>
    <w:rsid w:val="00693A52"/>
    <w:rsid w:val="006A04C7"/>
    <w:rsid w:val="006A2AD5"/>
    <w:rsid w:val="006A2DC9"/>
    <w:rsid w:val="006A7110"/>
    <w:rsid w:val="006B05E3"/>
    <w:rsid w:val="006B09BC"/>
    <w:rsid w:val="006B4187"/>
    <w:rsid w:val="006B5250"/>
    <w:rsid w:val="006B6D5D"/>
    <w:rsid w:val="006B7B5A"/>
    <w:rsid w:val="006C0801"/>
    <w:rsid w:val="006C0C2C"/>
    <w:rsid w:val="006C1EAA"/>
    <w:rsid w:val="006C216F"/>
    <w:rsid w:val="006C2D2F"/>
    <w:rsid w:val="006C45D4"/>
    <w:rsid w:val="006C4B04"/>
    <w:rsid w:val="006C6082"/>
    <w:rsid w:val="006C74B4"/>
    <w:rsid w:val="006D0BDF"/>
    <w:rsid w:val="006D2042"/>
    <w:rsid w:val="006D66E3"/>
    <w:rsid w:val="006D7855"/>
    <w:rsid w:val="006D7DE6"/>
    <w:rsid w:val="006E010C"/>
    <w:rsid w:val="006E1003"/>
    <w:rsid w:val="006E16BF"/>
    <w:rsid w:val="006E18F0"/>
    <w:rsid w:val="006E1E3B"/>
    <w:rsid w:val="006E3613"/>
    <w:rsid w:val="006E38AF"/>
    <w:rsid w:val="006E4F93"/>
    <w:rsid w:val="006F0178"/>
    <w:rsid w:val="006F3888"/>
    <w:rsid w:val="00700135"/>
    <w:rsid w:val="0070400B"/>
    <w:rsid w:val="00705180"/>
    <w:rsid w:val="00710EBC"/>
    <w:rsid w:val="00711605"/>
    <w:rsid w:val="00711DF6"/>
    <w:rsid w:val="00716FBC"/>
    <w:rsid w:val="00717090"/>
    <w:rsid w:val="00720739"/>
    <w:rsid w:val="00721054"/>
    <w:rsid w:val="007217BB"/>
    <w:rsid w:val="00721B06"/>
    <w:rsid w:val="0072253E"/>
    <w:rsid w:val="00723E1F"/>
    <w:rsid w:val="0072443D"/>
    <w:rsid w:val="007247E5"/>
    <w:rsid w:val="007248B7"/>
    <w:rsid w:val="007254CA"/>
    <w:rsid w:val="00730CF8"/>
    <w:rsid w:val="00731A90"/>
    <w:rsid w:val="00732608"/>
    <w:rsid w:val="00733251"/>
    <w:rsid w:val="007336CF"/>
    <w:rsid w:val="0073424C"/>
    <w:rsid w:val="00736DCA"/>
    <w:rsid w:val="0074327F"/>
    <w:rsid w:val="00744BBE"/>
    <w:rsid w:val="007451EA"/>
    <w:rsid w:val="00745C47"/>
    <w:rsid w:val="0075003D"/>
    <w:rsid w:val="00751D97"/>
    <w:rsid w:val="00752C55"/>
    <w:rsid w:val="00753E41"/>
    <w:rsid w:val="007562D4"/>
    <w:rsid w:val="0075630D"/>
    <w:rsid w:val="007573FA"/>
    <w:rsid w:val="0075754D"/>
    <w:rsid w:val="00761DBF"/>
    <w:rsid w:val="00761FCF"/>
    <w:rsid w:val="007628E2"/>
    <w:rsid w:val="00765503"/>
    <w:rsid w:val="0076574B"/>
    <w:rsid w:val="00765B08"/>
    <w:rsid w:val="00766482"/>
    <w:rsid w:val="00767B7E"/>
    <w:rsid w:val="00771D7D"/>
    <w:rsid w:val="0077366F"/>
    <w:rsid w:val="007745B7"/>
    <w:rsid w:val="007750C8"/>
    <w:rsid w:val="00776538"/>
    <w:rsid w:val="007802BE"/>
    <w:rsid w:val="00780EEF"/>
    <w:rsid w:val="0078134C"/>
    <w:rsid w:val="00781C47"/>
    <w:rsid w:val="00781C58"/>
    <w:rsid w:val="007837C7"/>
    <w:rsid w:val="00784B44"/>
    <w:rsid w:val="00785465"/>
    <w:rsid w:val="00787656"/>
    <w:rsid w:val="00791767"/>
    <w:rsid w:val="0079268A"/>
    <w:rsid w:val="00793CD0"/>
    <w:rsid w:val="00794859"/>
    <w:rsid w:val="00795C9D"/>
    <w:rsid w:val="00797C88"/>
    <w:rsid w:val="007A018E"/>
    <w:rsid w:val="007A1013"/>
    <w:rsid w:val="007A4CA9"/>
    <w:rsid w:val="007A4D0E"/>
    <w:rsid w:val="007A7D19"/>
    <w:rsid w:val="007A7EC2"/>
    <w:rsid w:val="007B042D"/>
    <w:rsid w:val="007B05BB"/>
    <w:rsid w:val="007B2298"/>
    <w:rsid w:val="007B6E0A"/>
    <w:rsid w:val="007B70DA"/>
    <w:rsid w:val="007B764C"/>
    <w:rsid w:val="007C0F9C"/>
    <w:rsid w:val="007C0FF2"/>
    <w:rsid w:val="007C118A"/>
    <w:rsid w:val="007C1459"/>
    <w:rsid w:val="007C3DAB"/>
    <w:rsid w:val="007C636F"/>
    <w:rsid w:val="007D043D"/>
    <w:rsid w:val="007D3639"/>
    <w:rsid w:val="007D39EB"/>
    <w:rsid w:val="007D7183"/>
    <w:rsid w:val="007E508C"/>
    <w:rsid w:val="007E6E56"/>
    <w:rsid w:val="007E74E1"/>
    <w:rsid w:val="007E77A8"/>
    <w:rsid w:val="007F491C"/>
    <w:rsid w:val="00802B08"/>
    <w:rsid w:val="00803BF8"/>
    <w:rsid w:val="008061C9"/>
    <w:rsid w:val="008066D8"/>
    <w:rsid w:val="00811A18"/>
    <w:rsid w:val="008130D3"/>
    <w:rsid w:val="00813711"/>
    <w:rsid w:val="00821E64"/>
    <w:rsid w:val="008263C2"/>
    <w:rsid w:val="0082693D"/>
    <w:rsid w:val="008307DB"/>
    <w:rsid w:val="00832DB5"/>
    <w:rsid w:val="00833398"/>
    <w:rsid w:val="00835D9D"/>
    <w:rsid w:val="00835FC9"/>
    <w:rsid w:val="00836842"/>
    <w:rsid w:val="008368F8"/>
    <w:rsid w:val="008370E3"/>
    <w:rsid w:val="00837198"/>
    <w:rsid w:val="008401D1"/>
    <w:rsid w:val="008413C2"/>
    <w:rsid w:val="008418FA"/>
    <w:rsid w:val="00842959"/>
    <w:rsid w:val="00843390"/>
    <w:rsid w:val="0085235A"/>
    <w:rsid w:val="00854138"/>
    <w:rsid w:val="00854410"/>
    <w:rsid w:val="008544DF"/>
    <w:rsid w:val="008558F8"/>
    <w:rsid w:val="00860AAD"/>
    <w:rsid w:val="00861AA6"/>
    <w:rsid w:val="00863691"/>
    <w:rsid w:val="008671C5"/>
    <w:rsid w:val="008708F3"/>
    <w:rsid w:val="00871354"/>
    <w:rsid w:val="00873611"/>
    <w:rsid w:val="00873C8F"/>
    <w:rsid w:val="00874FB3"/>
    <w:rsid w:val="00880BE3"/>
    <w:rsid w:val="00881359"/>
    <w:rsid w:val="00882093"/>
    <w:rsid w:val="00882588"/>
    <w:rsid w:val="00882C44"/>
    <w:rsid w:val="00884ADE"/>
    <w:rsid w:val="008856CF"/>
    <w:rsid w:val="00885864"/>
    <w:rsid w:val="00890A1D"/>
    <w:rsid w:val="0089383B"/>
    <w:rsid w:val="0089534B"/>
    <w:rsid w:val="0089616F"/>
    <w:rsid w:val="008A0232"/>
    <w:rsid w:val="008A433B"/>
    <w:rsid w:val="008A72A7"/>
    <w:rsid w:val="008B0470"/>
    <w:rsid w:val="008B06C5"/>
    <w:rsid w:val="008B164E"/>
    <w:rsid w:val="008B502A"/>
    <w:rsid w:val="008B567C"/>
    <w:rsid w:val="008B57D8"/>
    <w:rsid w:val="008B7A65"/>
    <w:rsid w:val="008C1219"/>
    <w:rsid w:val="008C123E"/>
    <w:rsid w:val="008C137D"/>
    <w:rsid w:val="008C22DD"/>
    <w:rsid w:val="008C3ED0"/>
    <w:rsid w:val="008C4882"/>
    <w:rsid w:val="008C520A"/>
    <w:rsid w:val="008C5E94"/>
    <w:rsid w:val="008D0488"/>
    <w:rsid w:val="008D196A"/>
    <w:rsid w:val="008D48EF"/>
    <w:rsid w:val="008D60AA"/>
    <w:rsid w:val="008E3EF2"/>
    <w:rsid w:val="008E51C9"/>
    <w:rsid w:val="008E5BEB"/>
    <w:rsid w:val="008E5FE6"/>
    <w:rsid w:val="008E6306"/>
    <w:rsid w:val="008E7D06"/>
    <w:rsid w:val="008F3813"/>
    <w:rsid w:val="008F4244"/>
    <w:rsid w:val="008F53CC"/>
    <w:rsid w:val="008F5FCC"/>
    <w:rsid w:val="008F68F7"/>
    <w:rsid w:val="009005A6"/>
    <w:rsid w:val="009006CF"/>
    <w:rsid w:val="00900C71"/>
    <w:rsid w:val="00902A1C"/>
    <w:rsid w:val="009037B6"/>
    <w:rsid w:val="00906A0B"/>
    <w:rsid w:val="00906CBE"/>
    <w:rsid w:val="00907AB3"/>
    <w:rsid w:val="00910024"/>
    <w:rsid w:val="00910384"/>
    <w:rsid w:val="0091643D"/>
    <w:rsid w:val="00916E33"/>
    <w:rsid w:val="0092093B"/>
    <w:rsid w:val="00922DF9"/>
    <w:rsid w:val="00930669"/>
    <w:rsid w:val="00932C33"/>
    <w:rsid w:val="00933853"/>
    <w:rsid w:val="00935410"/>
    <w:rsid w:val="009373E5"/>
    <w:rsid w:val="009427A1"/>
    <w:rsid w:val="00942FFE"/>
    <w:rsid w:val="009444B3"/>
    <w:rsid w:val="00953CFC"/>
    <w:rsid w:val="00955046"/>
    <w:rsid w:val="009551E0"/>
    <w:rsid w:val="00956426"/>
    <w:rsid w:val="0095654E"/>
    <w:rsid w:val="009569DF"/>
    <w:rsid w:val="00956F3C"/>
    <w:rsid w:val="00965AB5"/>
    <w:rsid w:val="00970588"/>
    <w:rsid w:val="00971C34"/>
    <w:rsid w:val="00972488"/>
    <w:rsid w:val="009724C3"/>
    <w:rsid w:val="009726D0"/>
    <w:rsid w:val="0097421D"/>
    <w:rsid w:val="00974539"/>
    <w:rsid w:val="00976117"/>
    <w:rsid w:val="009768EE"/>
    <w:rsid w:val="00976A23"/>
    <w:rsid w:val="009800BC"/>
    <w:rsid w:val="009816F6"/>
    <w:rsid w:val="009852FB"/>
    <w:rsid w:val="00985B86"/>
    <w:rsid w:val="00987A01"/>
    <w:rsid w:val="009900F0"/>
    <w:rsid w:val="00990B9B"/>
    <w:rsid w:val="00991769"/>
    <w:rsid w:val="00992C0E"/>
    <w:rsid w:val="00993236"/>
    <w:rsid w:val="00993D8C"/>
    <w:rsid w:val="00994333"/>
    <w:rsid w:val="00994E3D"/>
    <w:rsid w:val="0099551B"/>
    <w:rsid w:val="009A297E"/>
    <w:rsid w:val="009A3AD9"/>
    <w:rsid w:val="009A55D4"/>
    <w:rsid w:val="009A6127"/>
    <w:rsid w:val="009B0CC1"/>
    <w:rsid w:val="009B2D9E"/>
    <w:rsid w:val="009B4FE6"/>
    <w:rsid w:val="009B5189"/>
    <w:rsid w:val="009B5A51"/>
    <w:rsid w:val="009B713C"/>
    <w:rsid w:val="009C0F18"/>
    <w:rsid w:val="009C12C6"/>
    <w:rsid w:val="009C2555"/>
    <w:rsid w:val="009C7778"/>
    <w:rsid w:val="009D06AE"/>
    <w:rsid w:val="009D09E2"/>
    <w:rsid w:val="009D1CF3"/>
    <w:rsid w:val="009D1E42"/>
    <w:rsid w:val="009D4804"/>
    <w:rsid w:val="009D7148"/>
    <w:rsid w:val="009E02FD"/>
    <w:rsid w:val="009E2827"/>
    <w:rsid w:val="009E4C74"/>
    <w:rsid w:val="009E62B6"/>
    <w:rsid w:val="009F35DA"/>
    <w:rsid w:val="009F43D0"/>
    <w:rsid w:val="009F49FB"/>
    <w:rsid w:val="00A00568"/>
    <w:rsid w:val="00A00884"/>
    <w:rsid w:val="00A02F62"/>
    <w:rsid w:val="00A02FA3"/>
    <w:rsid w:val="00A030C3"/>
    <w:rsid w:val="00A03316"/>
    <w:rsid w:val="00A04729"/>
    <w:rsid w:val="00A04803"/>
    <w:rsid w:val="00A10147"/>
    <w:rsid w:val="00A11331"/>
    <w:rsid w:val="00A11C5F"/>
    <w:rsid w:val="00A12411"/>
    <w:rsid w:val="00A131E6"/>
    <w:rsid w:val="00A13843"/>
    <w:rsid w:val="00A146A5"/>
    <w:rsid w:val="00A17466"/>
    <w:rsid w:val="00A204B3"/>
    <w:rsid w:val="00A20576"/>
    <w:rsid w:val="00A21593"/>
    <w:rsid w:val="00A221F7"/>
    <w:rsid w:val="00A22C21"/>
    <w:rsid w:val="00A25A3D"/>
    <w:rsid w:val="00A2604E"/>
    <w:rsid w:val="00A277B7"/>
    <w:rsid w:val="00A31CCE"/>
    <w:rsid w:val="00A327D4"/>
    <w:rsid w:val="00A33C95"/>
    <w:rsid w:val="00A34FF3"/>
    <w:rsid w:val="00A35351"/>
    <w:rsid w:val="00A360CE"/>
    <w:rsid w:val="00A361C7"/>
    <w:rsid w:val="00A36723"/>
    <w:rsid w:val="00A3691B"/>
    <w:rsid w:val="00A41201"/>
    <w:rsid w:val="00A46DF5"/>
    <w:rsid w:val="00A5149A"/>
    <w:rsid w:val="00A5280B"/>
    <w:rsid w:val="00A53650"/>
    <w:rsid w:val="00A53E51"/>
    <w:rsid w:val="00A565B9"/>
    <w:rsid w:val="00A57183"/>
    <w:rsid w:val="00A57FA8"/>
    <w:rsid w:val="00A60693"/>
    <w:rsid w:val="00A6196D"/>
    <w:rsid w:val="00A619C0"/>
    <w:rsid w:val="00A61ADF"/>
    <w:rsid w:val="00A624CB"/>
    <w:rsid w:val="00A62AC0"/>
    <w:rsid w:val="00A64495"/>
    <w:rsid w:val="00A646C2"/>
    <w:rsid w:val="00A65B76"/>
    <w:rsid w:val="00A6766C"/>
    <w:rsid w:val="00A72765"/>
    <w:rsid w:val="00A76BD2"/>
    <w:rsid w:val="00A777EE"/>
    <w:rsid w:val="00A81C4B"/>
    <w:rsid w:val="00A8267D"/>
    <w:rsid w:val="00A82E14"/>
    <w:rsid w:val="00A83032"/>
    <w:rsid w:val="00A83F9B"/>
    <w:rsid w:val="00A85487"/>
    <w:rsid w:val="00A8688E"/>
    <w:rsid w:val="00A871B9"/>
    <w:rsid w:val="00A8722B"/>
    <w:rsid w:val="00A87A5E"/>
    <w:rsid w:val="00A901E9"/>
    <w:rsid w:val="00A9090B"/>
    <w:rsid w:val="00A90C33"/>
    <w:rsid w:val="00A9140A"/>
    <w:rsid w:val="00A917B6"/>
    <w:rsid w:val="00A91831"/>
    <w:rsid w:val="00A91B3B"/>
    <w:rsid w:val="00A93B4F"/>
    <w:rsid w:val="00A93D36"/>
    <w:rsid w:val="00A94C01"/>
    <w:rsid w:val="00A94F7A"/>
    <w:rsid w:val="00A957B7"/>
    <w:rsid w:val="00A95D3B"/>
    <w:rsid w:val="00A96624"/>
    <w:rsid w:val="00A97341"/>
    <w:rsid w:val="00AA0081"/>
    <w:rsid w:val="00AA4E4D"/>
    <w:rsid w:val="00AB09ED"/>
    <w:rsid w:val="00AB3DC0"/>
    <w:rsid w:val="00AB4CBB"/>
    <w:rsid w:val="00AB63EB"/>
    <w:rsid w:val="00AB6EDE"/>
    <w:rsid w:val="00AC125E"/>
    <w:rsid w:val="00AC45DF"/>
    <w:rsid w:val="00AC474D"/>
    <w:rsid w:val="00AC4DFD"/>
    <w:rsid w:val="00AC5663"/>
    <w:rsid w:val="00AC58FD"/>
    <w:rsid w:val="00AD0F6D"/>
    <w:rsid w:val="00AD1166"/>
    <w:rsid w:val="00AD1708"/>
    <w:rsid w:val="00AD19D2"/>
    <w:rsid w:val="00AD1A96"/>
    <w:rsid w:val="00AD3042"/>
    <w:rsid w:val="00AD418C"/>
    <w:rsid w:val="00AD793A"/>
    <w:rsid w:val="00AE0120"/>
    <w:rsid w:val="00AE3038"/>
    <w:rsid w:val="00AE3D4A"/>
    <w:rsid w:val="00AE5956"/>
    <w:rsid w:val="00AE5B67"/>
    <w:rsid w:val="00AE619F"/>
    <w:rsid w:val="00AE7500"/>
    <w:rsid w:val="00AE7A88"/>
    <w:rsid w:val="00AF1162"/>
    <w:rsid w:val="00AF2A56"/>
    <w:rsid w:val="00AF5431"/>
    <w:rsid w:val="00AF63AB"/>
    <w:rsid w:val="00B01784"/>
    <w:rsid w:val="00B02508"/>
    <w:rsid w:val="00B02509"/>
    <w:rsid w:val="00B0388B"/>
    <w:rsid w:val="00B03BEE"/>
    <w:rsid w:val="00B04A18"/>
    <w:rsid w:val="00B0517E"/>
    <w:rsid w:val="00B06F3D"/>
    <w:rsid w:val="00B0795B"/>
    <w:rsid w:val="00B11314"/>
    <w:rsid w:val="00B113E3"/>
    <w:rsid w:val="00B1156A"/>
    <w:rsid w:val="00B124A9"/>
    <w:rsid w:val="00B1296F"/>
    <w:rsid w:val="00B138E3"/>
    <w:rsid w:val="00B13FB5"/>
    <w:rsid w:val="00B15DD2"/>
    <w:rsid w:val="00B178FA"/>
    <w:rsid w:val="00B17D8E"/>
    <w:rsid w:val="00B207C3"/>
    <w:rsid w:val="00B23267"/>
    <w:rsid w:val="00B23906"/>
    <w:rsid w:val="00B24125"/>
    <w:rsid w:val="00B257BF"/>
    <w:rsid w:val="00B27149"/>
    <w:rsid w:val="00B272E0"/>
    <w:rsid w:val="00B327FE"/>
    <w:rsid w:val="00B33A59"/>
    <w:rsid w:val="00B35B4D"/>
    <w:rsid w:val="00B362F0"/>
    <w:rsid w:val="00B36652"/>
    <w:rsid w:val="00B37CC4"/>
    <w:rsid w:val="00B425AB"/>
    <w:rsid w:val="00B455C5"/>
    <w:rsid w:val="00B47090"/>
    <w:rsid w:val="00B5018C"/>
    <w:rsid w:val="00B532D1"/>
    <w:rsid w:val="00B61E3E"/>
    <w:rsid w:val="00B63903"/>
    <w:rsid w:val="00B67A79"/>
    <w:rsid w:val="00B7169E"/>
    <w:rsid w:val="00B7234C"/>
    <w:rsid w:val="00B72D62"/>
    <w:rsid w:val="00B73392"/>
    <w:rsid w:val="00B767AF"/>
    <w:rsid w:val="00B80511"/>
    <w:rsid w:val="00B80798"/>
    <w:rsid w:val="00B80876"/>
    <w:rsid w:val="00B82C3C"/>
    <w:rsid w:val="00B82DE6"/>
    <w:rsid w:val="00B831CD"/>
    <w:rsid w:val="00B8457F"/>
    <w:rsid w:val="00B85329"/>
    <w:rsid w:val="00B91B9D"/>
    <w:rsid w:val="00B93AB9"/>
    <w:rsid w:val="00BA5380"/>
    <w:rsid w:val="00BA5E20"/>
    <w:rsid w:val="00BA607C"/>
    <w:rsid w:val="00BA6734"/>
    <w:rsid w:val="00BB08E5"/>
    <w:rsid w:val="00BB187F"/>
    <w:rsid w:val="00BB2656"/>
    <w:rsid w:val="00BB3E2A"/>
    <w:rsid w:val="00BB4156"/>
    <w:rsid w:val="00BB7121"/>
    <w:rsid w:val="00BC0479"/>
    <w:rsid w:val="00BC1651"/>
    <w:rsid w:val="00BC16F5"/>
    <w:rsid w:val="00BC18FF"/>
    <w:rsid w:val="00BC287D"/>
    <w:rsid w:val="00BC2A38"/>
    <w:rsid w:val="00BC46EB"/>
    <w:rsid w:val="00BC5833"/>
    <w:rsid w:val="00BC643B"/>
    <w:rsid w:val="00BD1BDD"/>
    <w:rsid w:val="00BD32E5"/>
    <w:rsid w:val="00BD36C4"/>
    <w:rsid w:val="00BE1095"/>
    <w:rsid w:val="00BE150A"/>
    <w:rsid w:val="00BE4BDC"/>
    <w:rsid w:val="00BE6767"/>
    <w:rsid w:val="00BE78EC"/>
    <w:rsid w:val="00BF2938"/>
    <w:rsid w:val="00BF46EE"/>
    <w:rsid w:val="00BF635B"/>
    <w:rsid w:val="00C01B89"/>
    <w:rsid w:val="00C0216F"/>
    <w:rsid w:val="00C02C49"/>
    <w:rsid w:val="00C02F2E"/>
    <w:rsid w:val="00C03489"/>
    <w:rsid w:val="00C0401D"/>
    <w:rsid w:val="00C0613C"/>
    <w:rsid w:val="00C10D05"/>
    <w:rsid w:val="00C1446A"/>
    <w:rsid w:val="00C14FBA"/>
    <w:rsid w:val="00C15EA1"/>
    <w:rsid w:val="00C162A1"/>
    <w:rsid w:val="00C17A8E"/>
    <w:rsid w:val="00C24F70"/>
    <w:rsid w:val="00C252A1"/>
    <w:rsid w:val="00C25DC2"/>
    <w:rsid w:val="00C277F6"/>
    <w:rsid w:val="00C303D7"/>
    <w:rsid w:val="00C30658"/>
    <w:rsid w:val="00C33479"/>
    <w:rsid w:val="00C35B42"/>
    <w:rsid w:val="00C35F4A"/>
    <w:rsid w:val="00C37C9F"/>
    <w:rsid w:val="00C40351"/>
    <w:rsid w:val="00C40ED2"/>
    <w:rsid w:val="00C41F10"/>
    <w:rsid w:val="00C432DD"/>
    <w:rsid w:val="00C4423A"/>
    <w:rsid w:val="00C456E2"/>
    <w:rsid w:val="00C501FE"/>
    <w:rsid w:val="00C56FBE"/>
    <w:rsid w:val="00C5784B"/>
    <w:rsid w:val="00C62D42"/>
    <w:rsid w:val="00C639FF"/>
    <w:rsid w:val="00C6442A"/>
    <w:rsid w:val="00C64D15"/>
    <w:rsid w:val="00C66088"/>
    <w:rsid w:val="00C675A1"/>
    <w:rsid w:val="00C67C4C"/>
    <w:rsid w:val="00C74B5D"/>
    <w:rsid w:val="00C74F74"/>
    <w:rsid w:val="00C7554B"/>
    <w:rsid w:val="00C77410"/>
    <w:rsid w:val="00C80951"/>
    <w:rsid w:val="00C8205E"/>
    <w:rsid w:val="00C82EB5"/>
    <w:rsid w:val="00C8599F"/>
    <w:rsid w:val="00C8705D"/>
    <w:rsid w:val="00C87966"/>
    <w:rsid w:val="00C902DE"/>
    <w:rsid w:val="00C90BC4"/>
    <w:rsid w:val="00C91455"/>
    <w:rsid w:val="00C916AE"/>
    <w:rsid w:val="00C91BFB"/>
    <w:rsid w:val="00C93AAA"/>
    <w:rsid w:val="00C95FCD"/>
    <w:rsid w:val="00C97188"/>
    <w:rsid w:val="00CA0639"/>
    <w:rsid w:val="00CA11D0"/>
    <w:rsid w:val="00CA2E02"/>
    <w:rsid w:val="00CA583A"/>
    <w:rsid w:val="00CA5EC6"/>
    <w:rsid w:val="00CB5744"/>
    <w:rsid w:val="00CB7022"/>
    <w:rsid w:val="00CB7BC5"/>
    <w:rsid w:val="00CC249D"/>
    <w:rsid w:val="00CC49A5"/>
    <w:rsid w:val="00CC586D"/>
    <w:rsid w:val="00CC7DBC"/>
    <w:rsid w:val="00CD1BA3"/>
    <w:rsid w:val="00CD1D23"/>
    <w:rsid w:val="00CD3612"/>
    <w:rsid w:val="00CD38B7"/>
    <w:rsid w:val="00CD3E69"/>
    <w:rsid w:val="00CD6B7D"/>
    <w:rsid w:val="00CD7D29"/>
    <w:rsid w:val="00CE0847"/>
    <w:rsid w:val="00CE0B6C"/>
    <w:rsid w:val="00CE1146"/>
    <w:rsid w:val="00CE11D0"/>
    <w:rsid w:val="00CE3914"/>
    <w:rsid w:val="00CE4708"/>
    <w:rsid w:val="00CE4C50"/>
    <w:rsid w:val="00CE6858"/>
    <w:rsid w:val="00CE7450"/>
    <w:rsid w:val="00CE770C"/>
    <w:rsid w:val="00CF50BE"/>
    <w:rsid w:val="00CF5E15"/>
    <w:rsid w:val="00CF715B"/>
    <w:rsid w:val="00CF7625"/>
    <w:rsid w:val="00D025AA"/>
    <w:rsid w:val="00D0321D"/>
    <w:rsid w:val="00D0506A"/>
    <w:rsid w:val="00D11ACB"/>
    <w:rsid w:val="00D1289C"/>
    <w:rsid w:val="00D1666F"/>
    <w:rsid w:val="00D2071A"/>
    <w:rsid w:val="00D24419"/>
    <w:rsid w:val="00D24931"/>
    <w:rsid w:val="00D30F73"/>
    <w:rsid w:val="00D30F97"/>
    <w:rsid w:val="00D313A0"/>
    <w:rsid w:val="00D32671"/>
    <w:rsid w:val="00D36FE0"/>
    <w:rsid w:val="00D40799"/>
    <w:rsid w:val="00D41A06"/>
    <w:rsid w:val="00D42309"/>
    <w:rsid w:val="00D42ABF"/>
    <w:rsid w:val="00D42F40"/>
    <w:rsid w:val="00D445D0"/>
    <w:rsid w:val="00D450A7"/>
    <w:rsid w:val="00D45B67"/>
    <w:rsid w:val="00D463AF"/>
    <w:rsid w:val="00D5034A"/>
    <w:rsid w:val="00D51F49"/>
    <w:rsid w:val="00D52620"/>
    <w:rsid w:val="00D54C4B"/>
    <w:rsid w:val="00D55EE8"/>
    <w:rsid w:val="00D562CB"/>
    <w:rsid w:val="00D569D1"/>
    <w:rsid w:val="00D56AD8"/>
    <w:rsid w:val="00D56C05"/>
    <w:rsid w:val="00D5785A"/>
    <w:rsid w:val="00D628F9"/>
    <w:rsid w:val="00D6375F"/>
    <w:rsid w:val="00D64C48"/>
    <w:rsid w:val="00D6680B"/>
    <w:rsid w:val="00D72F4F"/>
    <w:rsid w:val="00D731C4"/>
    <w:rsid w:val="00D74EB4"/>
    <w:rsid w:val="00D74EF9"/>
    <w:rsid w:val="00D801FC"/>
    <w:rsid w:val="00D80BC3"/>
    <w:rsid w:val="00D84E3E"/>
    <w:rsid w:val="00D85BE0"/>
    <w:rsid w:val="00D87FD7"/>
    <w:rsid w:val="00D9048F"/>
    <w:rsid w:val="00D91466"/>
    <w:rsid w:val="00D915ED"/>
    <w:rsid w:val="00D92300"/>
    <w:rsid w:val="00D94AFC"/>
    <w:rsid w:val="00D950E6"/>
    <w:rsid w:val="00D97047"/>
    <w:rsid w:val="00DA3619"/>
    <w:rsid w:val="00DA3AFF"/>
    <w:rsid w:val="00DA3B6B"/>
    <w:rsid w:val="00DA3F65"/>
    <w:rsid w:val="00DA7C06"/>
    <w:rsid w:val="00DB0448"/>
    <w:rsid w:val="00DB052C"/>
    <w:rsid w:val="00DB0B88"/>
    <w:rsid w:val="00DB1652"/>
    <w:rsid w:val="00DB31FB"/>
    <w:rsid w:val="00DB3DC4"/>
    <w:rsid w:val="00DB4407"/>
    <w:rsid w:val="00DB58A6"/>
    <w:rsid w:val="00DB6B99"/>
    <w:rsid w:val="00DC001A"/>
    <w:rsid w:val="00DC4DFA"/>
    <w:rsid w:val="00DC6598"/>
    <w:rsid w:val="00DD0149"/>
    <w:rsid w:val="00DD4F44"/>
    <w:rsid w:val="00DD686C"/>
    <w:rsid w:val="00DD7C9F"/>
    <w:rsid w:val="00DE067D"/>
    <w:rsid w:val="00DE2AC3"/>
    <w:rsid w:val="00DE2E40"/>
    <w:rsid w:val="00DE3598"/>
    <w:rsid w:val="00DE3FBD"/>
    <w:rsid w:val="00DE43F5"/>
    <w:rsid w:val="00DE4B73"/>
    <w:rsid w:val="00DE6498"/>
    <w:rsid w:val="00DE65FB"/>
    <w:rsid w:val="00DE6F0B"/>
    <w:rsid w:val="00DF3E8D"/>
    <w:rsid w:val="00DF420A"/>
    <w:rsid w:val="00E0033D"/>
    <w:rsid w:val="00E02472"/>
    <w:rsid w:val="00E041F0"/>
    <w:rsid w:val="00E128D8"/>
    <w:rsid w:val="00E130C3"/>
    <w:rsid w:val="00E15039"/>
    <w:rsid w:val="00E15D40"/>
    <w:rsid w:val="00E1638E"/>
    <w:rsid w:val="00E17EDF"/>
    <w:rsid w:val="00E2082D"/>
    <w:rsid w:val="00E221E2"/>
    <w:rsid w:val="00E236D9"/>
    <w:rsid w:val="00E24303"/>
    <w:rsid w:val="00E27A16"/>
    <w:rsid w:val="00E40F7B"/>
    <w:rsid w:val="00E41B13"/>
    <w:rsid w:val="00E45AEC"/>
    <w:rsid w:val="00E46D60"/>
    <w:rsid w:val="00E47C33"/>
    <w:rsid w:val="00E47F58"/>
    <w:rsid w:val="00E5021B"/>
    <w:rsid w:val="00E50939"/>
    <w:rsid w:val="00E54BFC"/>
    <w:rsid w:val="00E56D9D"/>
    <w:rsid w:val="00E60E2E"/>
    <w:rsid w:val="00E646B8"/>
    <w:rsid w:val="00E666CA"/>
    <w:rsid w:val="00E71247"/>
    <w:rsid w:val="00E71A2D"/>
    <w:rsid w:val="00E73420"/>
    <w:rsid w:val="00E74A73"/>
    <w:rsid w:val="00E80BF1"/>
    <w:rsid w:val="00E823C1"/>
    <w:rsid w:val="00E82902"/>
    <w:rsid w:val="00E82DB7"/>
    <w:rsid w:val="00E83904"/>
    <w:rsid w:val="00E8579C"/>
    <w:rsid w:val="00E865FE"/>
    <w:rsid w:val="00E86C34"/>
    <w:rsid w:val="00E877CE"/>
    <w:rsid w:val="00E91408"/>
    <w:rsid w:val="00E91759"/>
    <w:rsid w:val="00E92926"/>
    <w:rsid w:val="00E9654B"/>
    <w:rsid w:val="00E967BC"/>
    <w:rsid w:val="00E96C37"/>
    <w:rsid w:val="00E977F6"/>
    <w:rsid w:val="00EA18DB"/>
    <w:rsid w:val="00EA2FBA"/>
    <w:rsid w:val="00EA47CA"/>
    <w:rsid w:val="00EA4D5B"/>
    <w:rsid w:val="00EA4DC5"/>
    <w:rsid w:val="00EA568E"/>
    <w:rsid w:val="00EA5F1F"/>
    <w:rsid w:val="00EA66DF"/>
    <w:rsid w:val="00EA6ADC"/>
    <w:rsid w:val="00EB13A7"/>
    <w:rsid w:val="00EB14DF"/>
    <w:rsid w:val="00EB1A4D"/>
    <w:rsid w:val="00EB3A07"/>
    <w:rsid w:val="00EB5539"/>
    <w:rsid w:val="00EB7CB8"/>
    <w:rsid w:val="00EC2C42"/>
    <w:rsid w:val="00EC3F31"/>
    <w:rsid w:val="00EC4921"/>
    <w:rsid w:val="00EC52E7"/>
    <w:rsid w:val="00ED3698"/>
    <w:rsid w:val="00ED4794"/>
    <w:rsid w:val="00ED580A"/>
    <w:rsid w:val="00EE00F8"/>
    <w:rsid w:val="00EE0FF5"/>
    <w:rsid w:val="00EE265C"/>
    <w:rsid w:val="00EE3ED2"/>
    <w:rsid w:val="00EE5636"/>
    <w:rsid w:val="00EE5C63"/>
    <w:rsid w:val="00EE665D"/>
    <w:rsid w:val="00EF51DC"/>
    <w:rsid w:val="00F0095C"/>
    <w:rsid w:val="00F010E2"/>
    <w:rsid w:val="00F01129"/>
    <w:rsid w:val="00F011F0"/>
    <w:rsid w:val="00F01CCA"/>
    <w:rsid w:val="00F01F2C"/>
    <w:rsid w:val="00F02104"/>
    <w:rsid w:val="00F06679"/>
    <w:rsid w:val="00F06C17"/>
    <w:rsid w:val="00F141B5"/>
    <w:rsid w:val="00F1481F"/>
    <w:rsid w:val="00F1632B"/>
    <w:rsid w:val="00F166F9"/>
    <w:rsid w:val="00F23C87"/>
    <w:rsid w:val="00F23EBD"/>
    <w:rsid w:val="00F244B6"/>
    <w:rsid w:val="00F30C6D"/>
    <w:rsid w:val="00F334CB"/>
    <w:rsid w:val="00F3495A"/>
    <w:rsid w:val="00F34E2C"/>
    <w:rsid w:val="00F370BC"/>
    <w:rsid w:val="00F37143"/>
    <w:rsid w:val="00F412E7"/>
    <w:rsid w:val="00F474B9"/>
    <w:rsid w:val="00F50562"/>
    <w:rsid w:val="00F50A92"/>
    <w:rsid w:val="00F50D01"/>
    <w:rsid w:val="00F539C1"/>
    <w:rsid w:val="00F549B6"/>
    <w:rsid w:val="00F554DD"/>
    <w:rsid w:val="00F56BC1"/>
    <w:rsid w:val="00F574CE"/>
    <w:rsid w:val="00F618C4"/>
    <w:rsid w:val="00F65774"/>
    <w:rsid w:val="00F65A34"/>
    <w:rsid w:val="00F65F4C"/>
    <w:rsid w:val="00F66F3C"/>
    <w:rsid w:val="00F70551"/>
    <w:rsid w:val="00F71A60"/>
    <w:rsid w:val="00F725DA"/>
    <w:rsid w:val="00F7536E"/>
    <w:rsid w:val="00F75652"/>
    <w:rsid w:val="00F77173"/>
    <w:rsid w:val="00F8109B"/>
    <w:rsid w:val="00F8168B"/>
    <w:rsid w:val="00F81CF2"/>
    <w:rsid w:val="00F81F93"/>
    <w:rsid w:val="00F82B87"/>
    <w:rsid w:val="00F857D1"/>
    <w:rsid w:val="00F874D9"/>
    <w:rsid w:val="00F90763"/>
    <w:rsid w:val="00F908AC"/>
    <w:rsid w:val="00F91DCC"/>
    <w:rsid w:val="00F92259"/>
    <w:rsid w:val="00F9323F"/>
    <w:rsid w:val="00F93566"/>
    <w:rsid w:val="00F943FE"/>
    <w:rsid w:val="00F95814"/>
    <w:rsid w:val="00F95CE9"/>
    <w:rsid w:val="00F97100"/>
    <w:rsid w:val="00FA01D9"/>
    <w:rsid w:val="00FA383A"/>
    <w:rsid w:val="00FB28F4"/>
    <w:rsid w:val="00FC1DFB"/>
    <w:rsid w:val="00FC1EF2"/>
    <w:rsid w:val="00FC3343"/>
    <w:rsid w:val="00FC33BA"/>
    <w:rsid w:val="00FC35AB"/>
    <w:rsid w:val="00FC4E09"/>
    <w:rsid w:val="00FC6134"/>
    <w:rsid w:val="00FC654D"/>
    <w:rsid w:val="00FC776A"/>
    <w:rsid w:val="00FD0555"/>
    <w:rsid w:val="00FD22B1"/>
    <w:rsid w:val="00FD5961"/>
    <w:rsid w:val="00FD7413"/>
    <w:rsid w:val="00FE3EFA"/>
    <w:rsid w:val="00FE5C56"/>
    <w:rsid w:val="00FE5E20"/>
    <w:rsid w:val="00FE7AAC"/>
    <w:rsid w:val="00FE7B06"/>
    <w:rsid w:val="00FE7E98"/>
    <w:rsid w:val="00FF06BC"/>
    <w:rsid w:val="00FF20AC"/>
    <w:rsid w:val="00FF3801"/>
    <w:rsid w:val="00FF3A27"/>
    <w:rsid w:val="00FF3B27"/>
    <w:rsid w:val="00FF5CFA"/>
    <w:rsid w:val="00FF6F1A"/>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qFormat="1"/>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1"/>
    <w:qFormat/>
    <w:rsid w:val="002A4C1B"/>
    <w:pPr>
      <w:spacing w:before="120" w:after="120" w:line="260" w:lineRule="atLeast"/>
    </w:pPr>
    <w:rPr>
      <w:rFonts w:ascii="Arial" w:hAnsi="Arial"/>
      <w:sz w:val="22"/>
    </w:rPr>
  </w:style>
  <w:style w:type="paragraph" w:styleId="Heading1">
    <w:name w:val="heading 1"/>
    <w:basedOn w:val="Normal"/>
    <w:next w:val="Normal"/>
    <w:link w:val="Heading1Char"/>
    <w:uiPriority w:val="2"/>
    <w:qFormat/>
    <w:rsid w:val="00BC18FF"/>
    <w:pPr>
      <w:keepNext/>
      <w:keepLines/>
      <w:spacing w:before="0" w:after="1080" w:line="240" w:lineRule="auto"/>
      <w:contextualSpacing/>
      <w:outlineLvl w:val="0"/>
    </w:pPr>
    <w:rPr>
      <w:rFonts w:asciiTheme="majorHAnsi" w:hAnsiTheme="majorHAnsi"/>
      <w:b/>
      <w:sz w:val="64"/>
      <w:szCs w:val="44"/>
    </w:rPr>
  </w:style>
  <w:style w:type="paragraph" w:styleId="Heading2">
    <w:name w:val="heading 2"/>
    <w:basedOn w:val="Normal"/>
    <w:next w:val="Normal"/>
    <w:link w:val="Heading2Char"/>
    <w:uiPriority w:val="2"/>
    <w:qFormat/>
    <w:rsid w:val="00994E3D"/>
    <w:pPr>
      <w:keepNext/>
      <w:keepLines/>
      <w:spacing w:before="360"/>
      <w:contextualSpacing/>
      <w:outlineLvl w:val="1"/>
    </w:pPr>
    <w:rPr>
      <w:rFonts w:asciiTheme="majorHAnsi" w:hAnsiTheme="majorHAnsi"/>
      <w:b/>
      <w:sz w:val="28"/>
      <w:szCs w:val="44"/>
    </w:rPr>
  </w:style>
  <w:style w:type="paragraph" w:styleId="Heading3">
    <w:name w:val="heading 3"/>
    <w:basedOn w:val="Normal"/>
    <w:next w:val="Normal"/>
    <w:link w:val="Heading3Char"/>
    <w:qFormat/>
    <w:rsid w:val="00350852"/>
    <w:pPr>
      <w:keepNext/>
      <w:keepLines/>
      <w:spacing w:before="240" w:line="240" w:lineRule="auto"/>
      <w:contextualSpacing/>
      <w:outlineLvl w:val="2"/>
    </w:pPr>
    <w:rPr>
      <w:rFonts w:asciiTheme="majorHAnsi" w:hAnsiTheme="majorHAnsi"/>
      <w:b/>
      <w:color w:val="004200" w:themeColor="accent1"/>
      <w:sz w:val="24"/>
      <w:szCs w:val="28"/>
    </w:rPr>
  </w:style>
  <w:style w:type="paragraph" w:styleId="Heading4">
    <w:name w:val="heading 4"/>
    <w:basedOn w:val="Normal"/>
    <w:next w:val="Normal"/>
    <w:qFormat/>
    <w:rsid w:val="00EB13A7"/>
    <w:pPr>
      <w:keepNext/>
      <w:keepLines/>
      <w:spacing w:before="240"/>
      <w:contextualSpacing/>
      <w:outlineLvl w:val="3"/>
    </w:pPr>
    <w:rPr>
      <w:color w:val="636466" w:themeColor="accent4"/>
    </w:rPr>
  </w:style>
  <w:style w:type="paragraph" w:styleId="Heading5">
    <w:name w:val="heading 5"/>
    <w:basedOn w:val="Normal"/>
    <w:next w:val="Normal"/>
    <w:link w:val="Heading5Char"/>
    <w:qFormat/>
    <w:rsid w:val="002672F1"/>
    <w:pPr>
      <w:keepNext/>
      <w:spacing w:before="240"/>
      <w:contextualSpacing/>
      <w:outlineLvl w:val="4"/>
    </w:pPr>
    <w:rPr>
      <w:b/>
      <w:szCs w:val="22"/>
    </w:rPr>
  </w:style>
  <w:style w:type="paragraph" w:styleId="Heading6">
    <w:name w:val="heading 6"/>
    <w:basedOn w:val="Normal"/>
    <w:next w:val="Normal"/>
    <w:link w:val="Heading6Char"/>
    <w:qFormat/>
    <w:rsid w:val="002672F1"/>
    <w:pPr>
      <w:keepNext/>
      <w:spacing w:before="240"/>
      <w:contextualSpacing/>
      <w:outlineLvl w:val="5"/>
    </w:pPr>
    <w:rPr>
      <w:b/>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F219D"/>
    <w:pPr>
      <w:tabs>
        <w:tab w:val="right" w:pos="10319"/>
      </w:tabs>
      <w:spacing w:before="0" w:after="0" w:line="240" w:lineRule="auto"/>
    </w:pPr>
    <w:rPr>
      <w:b/>
      <w:sz w:val="16"/>
    </w:rPr>
  </w:style>
  <w:style w:type="paragraph" w:styleId="Title">
    <w:name w:val="Title"/>
    <w:basedOn w:val="Normal"/>
    <w:next w:val="Subtitle"/>
    <w:link w:val="TitleChar"/>
    <w:qFormat/>
    <w:rsid w:val="001D6F9E"/>
    <w:pPr>
      <w:spacing w:before="480" w:after="360" w:line="204" w:lineRule="auto"/>
      <w:contextualSpacing/>
      <w:outlineLvl w:val="0"/>
    </w:pPr>
    <w:rPr>
      <w:rFonts w:ascii="Arial Bold" w:hAnsi="Arial Bold" w:cs="Arial"/>
      <w:b/>
      <w:bCs/>
      <w:color w:val="FFFFFF" w:themeColor="background1"/>
      <w:kern w:val="28"/>
      <w:sz w:val="84"/>
      <w:szCs w:val="32"/>
    </w:rPr>
  </w:style>
  <w:style w:type="paragraph" w:styleId="ListBullet">
    <w:name w:val="List Bullet"/>
    <w:basedOn w:val="Normal"/>
    <w:uiPriority w:val="3"/>
    <w:qFormat/>
    <w:rsid w:val="00D91466"/>
    <w:pPr>
      <w:numPr>
        <w:numId w:val="1"/>
      </w:numPr>
      <w:spacing w:before="60" w:after="60"/>
    </w:pPr>
  </w:style>
  <w:style w:type="paragraph" w:styleId="Footer">
    <w:name w:val="footer"/>
    <w:basedOn w:val="Header"/>
    <w:link w:val="FooterChar"/>
    <w:uiPriority w:val="99"/>
    <w:rsid w:val="00733251"/>
    <w:pPr>
      <w:tabs>
        <w:tab w:val="right" w:pos="9639"/>
      </w:tabs>
    </w:pPr>
  </w:style>
  <w:style w:type="character" w:styleId="Hyperlink">
    <w:name w:val="Hyperlink"/>
    <w:basedOn w:val="DefaultParagraphFont"/>
    <w:uiPriority w:val="99"/>
    <w:rsid w:val="002A4C1B"/>
    <w:rPr>
      <w:color w:val="0000FF"/>
      <w:u w:val="single"/>
    </w:rPr>
  </w:style>
  <w:style w:type="character" w:customStyle="1" w:styleId="Heading5Char">
    <w:name w:val="Heading 5 Char"/>
    <w:basedOn w:val="DefaultParagraphFont"/>
    <w:link w:val="Heading5"/>
    <w:semiHidden/>
    <w:rsid w:val="001D2904"/>
    <w:rPr>
      <w:rFonts w:ascii="Arial" w:hAnsi="Arial"/>
      <w:b/>
      <w:sz w:val="22"/>
      <w:szCs w:val="22"/>
    </w:rPr>
  </w:style>
  <w:style w:type="table" w:styleId="TableGrid">
    <w:name w:val="Table Grid"/>
    <w:basedOn w:val="TableNormal"/>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97C88"/>
    <w:pPr>
      <w:spacing w:before="0" w:after="0" w:line="240" w:lineRule="auto"/>
      <w:ind w:left="142" w:hanging="142"/>
    </w:pPr>
    <w:rPr>
      <w:szCs w:val="20"/>
    </w:rPr>
  </w:style>
  <w:style w:type="character" w:customStyle="1" w:styleId="FootnoteTextChar">
    <w:name w:val="Footnote Text Char"/>
    <w:basedOn w:val="DefaultParagraphFont"/>
    <w:link w:val="FootnoteText"/>
    <w:uiPriority w:val="99"/>
    <w:rsid w:val="00797C88"/>
    <w:rPr>
      <w:rFonts w:ascii="Arial" w:hAnsi="Arial"/>
      <w:sz w:val="22"/>
    </w:rPr>
  </w:style>
  <w:style w:type="character" w:styleId="FootnoteReference">
    <w:name w:val="footnote reference"/>
    <w:basedOn w:val="DefaultParagraphFont"/>
    <w:uiPriority w:val="99"/>
    <w:rsid w:val="00843390"/>
    <w:rPr>
      <w:vertAlign w:val="superscript"/>
    </w:rPr>
  </w:style>
  <w:style w:type="paragraph" w:styleId="ListParagraph">
    <w:name w:val="List Paragraph"/>
    <w:aliases w:val="List Paragraph1,Recommendation"/>
    <w:basedOn w:val="Normal"/>
    <w:link w:val="ListParagraphChar"/>
    <w:uiPriority w:val="34"/>
    <w:qFormat/>
    <w:rsid w:val="00010D84"/>
    <w:pPr>
      <w:ind w:left="720"/>
    </w:pPr>
  </w:style>
  <w:style w:type="character" w:customStyle="1" w:styleId="Heading2Char">
    <w:name w:val="Heading 2 Char"/>
    <w:basedOn w:val="DefaultParagraphFont"/>
    <w:link w:val="Heading2"/>
    <w:uiPriority w:val="2"/>
    <w:rsid w:val="00994E3D"/>
    <w:rPr>
      <w:rFonts w:asciiTheme="majorHAnsi" w:hAnsiTheme="majorHAnsi"/>
      <w:b/>
      <w:sz w:val="28"/>
      <w:szCs w:val="44"/>
    </w:rPr>
  </w:style>
  <w:style w:type="paragraph" w:styleId="TOC1">
    <w:name w:val="toc 1"/>
    <w:basedOn w:val="Normal"/>
    <w:next w:val="Normal"/>
    <w:autoRedefine/>
    <w:uiPriority w:val="39"/>
    <w:qFormat/>
    <w:rsid w:val="004F6E85"/>
    <w:pPr>
      <w:tabs>
        <w:tab w:val="left" w:pos="440"/>
        <w:tab w:val="right" w:leader="dot" w:pos="8931"/>
      </w:tabs>
      <w:spacing w:before="240" w:after="60" w:line="240" w:lineRule="auto"/>
      <w:ind w:right="567"/>
    </w:pPr>
    <w:rPr>
      <w:noProof/>
    </w:rPr>
  </w:style>
  <w:style w:type="paragraph" w:styleId="TOC2">
    <w:name w:val="toc 2"/>
    <w:basedOn w:val="Normal"/>
    <w:next w:val="Normal"/>
    <w:autoRedefine/>
    <w:uiPriority w:val="39"/>
    <w:qFormat/>
    <w:rsid w:val="004F6E85"/>
    <w:pPr>
      <w:tabs>
        <w:tab w:val="left" w:pos="660"/>
        <w:tab w:val="right" w:leader="dot" w:pos="8931"/>
      </w:tabs>
      <w:spacing w:before="60" w:after="60" w:line="240" w:lineRule="auto"/>
      <w:ind w:right="567"/>
    </w:pPr>
    <w:rPr>
      <w:noProof/>
    </w:rPr>
  </w:style>
  <w:style w:type="paragraph" w:customStyle="1" w:styleId="TableText">
    <w:name w:val="Table Text"/>
    <w:basedOn w:val="Normal"/>
    <w:uiPriority w:val="99"/>
    <w:qFormat/>
    <w:rsid w:val="009005A6"/>
    <w:pPr>
      <w:spacing w:before="80" w:after="80" w:line="240" w:lineRule="atLeast"/>
    </w:pPr>
    <w:rPr>
      <w:sz w:val="20"/>
    </w:rPr>
  </w:style>
  <w:style w:type="character" w:styleId="Emphasis">
    <w:name w:val="Emphasis"/>
    <w:basedOn w:val="DefaultParagraphFont"/>
    <w:qFormat/>
    <w:rsid w:val="00D92300"/>
    <w:rPr>
      <w:i/>
      <w:iCs/>
    </w:rPr>
  </w:style>
  <w:style w:type="character" w:customStyle="1" w:styleId="Heading6Char">
    <w:name w:val="Heading 6 Char"/>
    <w:basedOn w:val="DefaultParagraphFont"/>
    <w:link w:val="Heading6"/>
    <w:semiHidden/>
    <w:rsid w:val="001D2904"/>
    <w:rPr>
      <w:rFonts w:ascii="Arial" w:hAnsi="Arial"/>
      <w:b/>
      <w:szCs w:val="22"/>
    </w:rPr>
  </w:style>
  <w:style w:type="table" w:customStyle="1" w:styleId="DefaultTable">
    <w:name w:val="Default Table"/>
    <w:basedOn w:val="TableNormal"/>
    <w:uiPriority w:val="99"/>
    <w:rsid w:val="00733251"/>
    <w:tblPr>
      <w:tblStyleRowBandSize w:val="1"/>
      <w:tblInd w:w="85" w:type="dxa"/>
      <w:tblBorders>
        <w:bottom w:val="single" w:sz="4" w:space="0" w:color="auto"/>
        <w:insideV w:val="single" w:sz="4" w:space="0" w:color="auto"/>
      </w:tblBorders>
      <w:tblCellMar>
        <w:left w:w="85" w:type="dxa"/>
        <w:right w:w="85" w:type="dxa"/>
      </w:tblCellMar>
    </w:tblPr>
    <w:trPr>
      <w:cantSplit/>
    </w:trPr>
    <w:tblStylePr w:type="firstRow">
      <w:pPr>
        <w:jc w:val="left"/>
      </w:pPr>
      <w:rPr>
        <w:b/>
        <w:color w:val="008A00" w:themeColor="accent2"/>
      </w:rPr>
      <w:tblPr/>
      <w:trPr>
        <w:tblHeader/>
      </w:trPr>
      <w:tcPr>
        <w:vAlign w:val="bottom"/>
      </w:tcPr>
    </w:tblStylePr>
    <w:tblStylePr w:type="firstCol">
      <w:rPr>
        <w:b/>
      </w:rPr>
      <w:tblPr/>
      <w:tcPr>
        <w:tcBorders>
          <w:top w:val="nil"/>
          <w:left w:val="nil"/>
          <w:bottom w:val="single" w:sz="4" w:space="0" w:color="auto"/>
          <w:right w:val="nil"/>
          <w:insideH w:val="nil"/>
          <w:insideV w:val="nil"/>
          <w:tl2br w:val="nil"/>
          <w:tr2bl w:val="nil"/>
        </w:tcBorders>
      </w:tcPr>
    </w:tblStylePr>
    <w:tblStylePr w:type="band1Horz">
      <w:tblPr/>
      <w:tcPr>
        <w:shd w:val="clear" w:color="auto" w:fill="E6E7E9"/>
      </w:tcPr>
    </w:tblStylePr>
  </w:style>
  <w:style w:type="paragraph" w:styleId="TOCHeading">
    <w:name w:val="TOC Heading"/>
    <w:basedOn w:val="Heading1"/>
    <w:next w:val="Normal"/>
    <w:uiPriority w:val="39"/>
    <w:qFormat/>
    <w:rsid w:val="002256A8"/>
    <w:pPr>
      <w:outlineLvl w:val="9"/>
    </w:pPr>
    <w:rPr>
      <w:rFonts w:eastAsiaTheme="majorEastAsia" w:cstheme="majorBidi"/>
      <w:bCs/>
      <w:szCs w:val="28"/>
    </w:rPr>
  </w:style>
  <w:style w:type="paragraph" w:customStyle="1" w:styleId="SourceNotesText">
    <w:name w:val="Source/Notes Text"/>
    <w:basedOn w:val="Normal"/>
    <w:uiPriority w:val="9"/>
    <w:qFormat/>
    <w:rsid w:val="007802BE"/>
    <w:pPr>
      <w:spacing w:line="240" w:lineRule="auto"/>
    </w:pPr>
    <w:rPr>
      <w:sz w:val="18"/>
      <w:szCs w:val="16"/>
    </w:rPr>
  </w:style>
  <w:style w:type="character" w:styleId="Strong">
    <w:name w:val="Strong"/>
    <w:basedOn w:val="DefaultParagraphFont"/>
    <w:uiPriority w:val="22"/>
    <w:qFormat/>
    <w:rsid w:val="00D45B67"/>
    <w:rPr>
      <w:b/>
      <w:bCs/>
    </w:rPr>
  </w:style>
  <w:style w:type="paragraph" w:customStyle="1" w:styleId="Intro">
    <w:name w:val="Intro"/>
    <w:basedOn w:val="Normal"/>
    <w:uiPriority w:val="2"/>
    <w:qFormat/>
    <w:rsid w:val="00571AB1"/>
    <w:rPr>
      <w:color w:val="008A00"/>
      <w:szCs w:val="30"/>
    </w:rPr>
  </w:style>
  <w:style w:type="paragraph" w:styleId="BalloonText">
    <w:name w:val="Balloon Text"/>
    <w:basedOn w:val="Normal"/>
    <w:link w:val="BalloonTextChar"/>
    <w:rsid w:val="001B5259"/>
    <w:rPr>
      <w:rFonts w:ascii="Tahoma" w:hAnsi="Tahoma" w:cs="Tahoma"/>
      <w:sz w:val="16"/>
      <w:szCs w:val="16"/>
    </w:rPr>
  </w:style>
  <w:style w:type="character" w:customStyle="1" w:styleId="BalloonTextChar">
    <w:name w:val="Balloon Text Char"/>
    <w:basedOn w:val="DefaultParagraphFont"/>
    <w:link w:val="BalloonText"/>
    <w:rsid w:val="001D2904"/>
    <w:rPr>
      <w:rFonts w:ascii="Tahoma" w:hAnsi="Tahoma" w:cs="Tahoma"/>
      <w:sz w:val="16"/>
      <w:szCs w:val="16"/>
    </w:rPr>
  </w:style>
  <w:style w:type="paragraph" w:styleId="NoSpacing">
    <w:name w:val="No Spacing"/>
    <w:uiPriority w:val="1"/>
    <w:qFormat/>
    <w:rsid w:val="00406578"/>
    <w:rPr>
      <w:rFonts w:ascii="Arial" w:hAnsi="Arial"/>
      <w:sz w:val="22"/>
    </w:rPr>
  </w:style>
  <w:style w:type="paragraph" w:styleId="EndnoteText">
    <w:name w:val="endnote text"/>
    <w:basedOn w:val="Normal"/>
    <w:link w:val="EndnoteTextChar"/>
    <w:semiHidden/>
    <w:rsid w:val="00EE265C"/>
    <w:rPr>
      <w:sz w:val="20"/>
      <w:szCs w:val="20"/>
    </w:rPr>
  </w:style>
  <w:style w:type="character" w:customStyle="1" w:styleId="EndnoteTextChar">
    <w:name w:val="Endnote Text Char"/>
    <w:basedOn w:val="DefaultParagraphFont"/>
    <w:link w:val="EndnoteText"/>
    <w:semiHidden/>
    <w:rsid w:val="001D2904"/>
    <w:rPr>
      <w:rFonts w:ascii="Arial" w:hAnsi="Arial"/>
    </w:rPr>
  </w:style>
  <w:style w:type="character" w:styleId="EndnoteReference">
    <w:name w:val="endnote reference"/>
    <w:basedOn w:val="DefaultParagraphFont"/>
    <w:semiHidden/>
    <w:rsid w:val="00EE265C"/>
    <w:rPr>
      <w:vertAlign w:val="superscript"/>
    </w:rPr>
  </w:style>
  <w:style w:type="character" w:styleId="FollowedHyperlink">
    <w:name w:val="FollowedHyperlink"/>
    <w:basedOn w:val="DefaultParagraphFont"/>
    <w:semiHidden/>
    <w:rsid w:val="000E39EF"/>
    <w:rPr>
      <w:color w:val="000000" w:themeColor="followedHyperlink"/>
      <w:u w:val="single"/>
    </w:rPr>
  </w:style>
  <w:style w:type="paragraph" w:styleId="Subtitle">
    <w:name w:val="Subtitle"/>
    <w:basedOn w:val="Normal"/>
    <w:next w:val="Versionanddate"/>
    <w:link w:val="SubtitleChar"/>
    <w:qFormat/>
    <w:rsid w:val="00E15D40"/>
    <w:pPr>
      <w:numPr>
        <w:ilvl w:val="1"/>
      </w:numPr>
      <w:spacing w:before="480" w:after="360"/>
    </w:pPr>
    <w:rPr>
      <w:rFonts w:asciiTheme="majorHAnsi" w:eastAsiaTheme="majorEastAsia" w:hAnsiTheme="majorHAnsi" w:cstheme="majorBidi"/>
      <w:b/>
      <w:iCs/>
      <w:color w:val="FFFFFF" w:themeColor="background1"/>
      <w:sz w:val="40"/>
    </w:rPr>
  </w:style>
  <w:style w:type="character" w:customStyle="1" w:styleId="SubtitleChar">
    <w:name w:val="Subtitle Char"/>
    <w:basedOn w:val="DefaultParagraphFont"/>
    <w:link w:val="Subtitle"/>
    <w:rsid w:val="00E15D40"/>
    <w:rPr>
      <w:rFonts w:asciiTheme="majorHAnsi" w:eastAsiaTheme="majorEastAsia" w:hAnsiTheme="majorHAnsi" w:cstheme="majorBidi"/>
      <w:b/>
      <w:iCs/>
      <w:color w:val="FFFFFF" w:themeColor="background1"/>
      <w:sz w:val="40"/>
      <w:szCs w:val="24"/>
    </w:rPr>
  </w:style>
  <w:style w:type="paragraph" w:customStyle="1" w:styleId="TableHeading">
    <w:name w:val="Table Heading"/>
    <w:basedOn w:val="Normal"/>
    <w:next w:val="TableText"/>
    <w:uiPriority w:val="99"/>
    <w:rsid w:val="00835FC9"/>
    <w:pPr>
      <w:keepNext/>
      <w:keepLines/>
      <w:spacing w:before="360"/>
      <w:contextualSpacing/>
    </w:pPr>
    <w:rPr>
      <w:b/>
      <w:szCs w:val="20"/>
    </w:rPr>
  </w:style>
  <w:style w:type="paragraph" w:customStyle="1" w:styleId="FigureHeading">
    <w:name w:val="Figure Heading"/>
    <w:basedOn w:val="Normal"/>
    <w:next w:val="Normal"/>
    <w:uiPriority w:val="99"/>
    <w:qFormat/>
    <w:rsid w:val="00E74A73"/>
    <w:pPr>
      <w:keepNext/>
      <w:keepLines/>
      <w:numPr>
        <w:numId w:val="2"/>
      </w:numPr>
      <w:tabs>
        <w:tab w:val="left" w:pos="907"/>
      </w:tabs>
      <w:ind w:left="907" w:hanging="907"/>
      <w:contextualSpacing/>
    </w:pPr>
  </w:style>
  <w:style w:type="paragraph" w:customStyle="1" w:styleId="FinancialsH1">
    <w:name w:val="Financials H1"/>
    <w:basedOn w:val="Heading1"/>
    <w:next w:val="Normal"/>
    <w:uiPriority w:val="1"/>
    <w:semiHidden/>
    <w:rsid w:val="00010D84"/>
    <w:pPr>
      <w:spacing w:after="360"/>
    </w:pPr>
    <w:rPr>
      <w:color w:val="008A00" w:themeColor="accent2"/>
      <w:sz w:val="44"/>
    </w:rPr>
  </w:style>
  <w:style w:type="paragraph" w:customStyle="1" w:styleId="FinancialsH2">
    <w:name w:val="Financials H2"/>
    <w:basedOn w:val="Heading2"/>
    <w:next w:val="Normal"/>
    <w:uiPriority w:val="1"/>
    <w:semiHidden/>
    <w:rsid w:val="00FC654D"/>
    <w:pPr>
      <w:spacing w:after="0" w:line="240" w:lineRule="auto"/>
    </w:pPr>
    <w:rPr>
      <w:rFonts w:ascii="Arial Bold" w:hAnsi="Arial Bold"/>
      <w:caps/>
      <w:sz w:val="24"/>
      <w:szCs w:val="24"/>
    </w:rPr>
  </w:style>
  <w:style w:type="paragraph" w:customStyle="1" w:styleId="FinancialsH3">
    <w:name w:val="Financials H3"/>
    <w:basedOn w:val="Heading3"/>
    <w:uiPriority w:val="1"/>
    <w:semiHidden/>
    <w:rsid w:val="00A00568"/>
    <w:rPr>
      <w:szCs w:val="22"/>
      <w:lang w:val="en-GB"/>
    </w:rPr>
  </w:style>
  <w:style w:type="paragraph" w:customStyle="1" w:styleId="FinancialsH4">
    <w:name w:val="Financials H4"/>
    <w:basedOn w:val="Heading4"/>
    <w:uiPriority w:val="1"/>
    <w:semiHidden/>
    <w:rsid w:val="00A00568"/>
    <w:pPr>
      <w:spacing w:before="120"/>
    </w:pPr>
    <w:rPr>
      <w:rFonts w:ascii="Arial Bold" w:hAnsi="Arial Bold"/>
      <w:lang w:val="en-GB"/>
    </w:rPr>
  </w:style>
  <w:style w:type="paragraph" w:customStyle="1" w:styleId="FinancialsH5">
    <w:name w:val="Financials H5"/>
    <w:basedOn w:val="Heading5"/>
    <w:uiPriority w:val="1"/>
    <w:semiHidden/>
    <w:rsid w:val="00A00568"/>
    <w:pPr>
      <w:spacing w:before="120"/>
    </w:pPr>
    <w:rPr>
      <w:bCs/>
      <w:lang w:val="en-GB"/>
    </w:rPr>
  </w:style>
  <w:style w:type="paragraph" w:customStyle="1" w:styleId="FinancialsTableH2">
    <w:name w:val="Financials Table H2"/>
    <w:basedOn w:val="TableText"/>
    <w:uiPriority w:val="1"/>
    <w:semiHidden/>
    <w:rsid w:val="00660951"/>
    <w:pPr>
      <w:spacing w:before="120" w:after="40" w:line="240" w:lineRule="auto"/>
    </w:pPr>
    <w:rPr>
      <w:b/>
      <w:color w:val="008A00" w:themeColor="accent2"/>
    </w:rPr>
  </w:style>
  <w:style w:type="paragraph" w:customStyle="1" w:styleId="FinancialsTableText">
    <w:name w:val="Financials Table Text"/>
    <w:basedOn w:val="TableText"/>
    <w:uiPriority w:val="1"/>
    <w:semiHidden/>
    <w:rsid w:val="00660951"/>
    <w:pPr>
      <w:spacing w:before="40" w:after="40" w:line="240" w:lineRule="auto"/>
    </w:pPr>
  </w:style>
  <w:style w:type="paragraph" w:customStyle="1" w:styleId="FinancialsTableTextIndented">
    <w:name w:val="Financials Table Text Indented"/>
    <w:basedOn w:val="TableText"/>
    <w:uiPriority w:val="1"/>
    <w:semiHidden/>
    <w:rsid w:val="00F3495A"/>
    <w:pPr>
      <w:spacing w:before="40" w:after="40" w:line="240" w:lineRule="auto"/>
      <w:ind w:left="170"/>
    </w:pPr>
    <w:rPr>
      <w:i/>
    </w:rPr>
  </w:style>
  <w:style w:type="paragraph" w:customStyle="1" w:styleId="FinancialsTableH1">
    <w:name w:val="Financials Table H1"/>
    <w:basedOn w:val="TableText"/>
    <w:uiPriority w:val="1"/>
    <w:semiHidden/>
    <w:rsid w:val="007A7D19"/>
    <w:pPr>
      <w:spacing w:before="160" w:after="40" w:line="240" w:lineRule="auto"/>
    </w:pPr>
    <w:rPr>
      <w:rFonts w:ascii="Arial Bold" w:hAnsi="Arial Bold"/>
      <w:b/>
      <w:caps/>
    </w:rPr>
  </w:style>
  <w:style w:type="paragraph" w:customStyle="1" w:styleId="NoParagraphStyle">
    <w:name w:val="[No Paragraph Style]"/>
    <w:rsid w:val="00536880"/>
    <w:pPr>
      <w:autoSpaceDE w:val="0"/>
      <w:autoSpaceDN w:val="0"/>
      <w:adjustRightInd w:val="0"/>
      <w:spacing w:line="288" w:lineRule="auto"/>
      <w:textAlignment w:val="center"/>
    </w:pPr>
    <w:rPr>
      <w:rFonts w:ascii="Arial" w:hAnsi="Arial" w:cs="Arial"/>
      <w:color w:val="000000"/>
      <w:lang w:val="en-US"/>
    </w:rPr>
  </w:style>
  <w:style w:type="paragraph" w:customStyle="1" w:styleId="AppendixH1">
    <w:name w:val="Appendix H1"/>
    <w:basedOn w:val="FinancialsH1"/>
    <w:uiPriority w:val="1"/>
    <w:semiHidden/>
    <w:rsid w:val="00FC6134"/>
  </w:style>
  <w:style w:type="paragraph" w:customStyle="1" w:styleId="AppendixH2">
    <w:name w:val="Appendix H2"/>
    <w:basedOn w:val="FinancialsH2"/>
    <w:uiPriority w:val="1"/>
    <w:semiHidden/>
    <w:rsid w:val="00FC6134"/>
  </w:style>
  <w:style w:type="character" w:styleId="PageNumber">
    <w:name w:val="page number"/>
    <w:basedOn w:val="DefaultParagraphFont"/>
    <w:semiHidden/>
    <w:unhideWhenUsed/>
    <w:rsid w:val="005F219D"/>
    <w:rPr>
      <w:rFonts w:asciiTheme="minorHAnsi" w:hAnsiTheme="minorHAnsi"/>
      <w:b/>
      <w:color w:val="008A00" w:themeColor="accent2"/>
      <w:sz w:val="16"/>
    </w:rPr>
  </w:style>
  <w:style w:type="paragraph" w:customStyle="1" w:styleId="p1">
    <w:name w:val="p1"/>
    <w:basedOn w:val="Normal"/>
    <w:rsid w:val="00C303D7"/>
    <w:pPr>
      <w:spacing w:before="0" w:after="86" w:line="240" w:lineRule="auto"/>
    </w:pPr>
    <w:rPr>
      <w:rFonts w:cs="Arial"/>
      <w:sz w:val="12"/>
      <w:szCs w:val="12"/>
      <w:lang w:val="en-US" w:eastAsia="en-US"/>
    </w:rPr>
  </w:style>
  <w:style w:type="paragraph" w:customStyle="1" w:styleId="p2">
    <w:name w:val="p2"/>
    <w:basedOn w:val="Normal"/>
    <w:rsid w:val="00C303D7"/>
    <w:pPr>
      <w:spacing w:before="0" w:after="0" w:line="240" w:lineRule="auto"/>
    </w:pPr>
    <w:rPr>
      <w:rFonts w:cs="Arial"/>
      <w:color w:val="005100"/>
      <w:sz w:val="12"/>
      <w:szCs w:val="12"/>
      <w:lang w:val="en-US" w:eastAsia="en-US"/>
    </w:rPr>
  </w:style>
  <w:style w:type="paragraph" w:customStyle="1" w:styleId="p3">
    <w:name w:val="p3"/>
    <w:basedOn w:val="Normal"/>
    <w:rsid w:val="00C303D7"/>
    <w:pPr>
      <w:spacing w:before="0" w:after="86" w:line="240" w:lineRule="auto"/>
    </w:pPr>
    <w:rPr>
      <w:rFonts w:cs="Arial"/>
      <w:color w:val="005100"/>
      <w:sz w:val="12"/>
      <w:szCs w:val="12"/>
      <w:lang w:val="en-US" w:eastAsia="en-US"/>
    </w:rPr>
  </w:style>
  <w:style w:type="paragraph" w:customStyle="1" w:styleId="p4">
    <w:name w:val="p4"/>
    <w:basedOn w:val="Normal"/>
    <w:rsid w:val="00C303D7"/>
    <w:pPr>
      <w:spacing w:before="0" w:after="0" w:line="240" w:lineRule="auto"/>
    </w:pPr>
    <w:rPr>
      <w:rFonts w:cs="Arial"/>
      <w:sz w:val="12"/>
      <w:szCs w:val="12"/>
      <w:lang w:val="en-US" w:eastAsia="en-US"/>
    </w:rPr>
  </w:style>
  <w:style w:type="character" w:customStyle="1" w:styleId="s2">
    <w:name w:val="s2"/>
    <w:basedOn w:val="DefaultParagraphFont"/>
    <w:rsid w:val="00C303D7"/>
    <w:rPr>
      <w:color w:val="000000"/>
    </w:rPr>
  </w:style>
  <w:style w:type="character" w:customStyle="1" w:styleId="s1">
    <w:name w:val="s1"/>
    <w:basedOn w:val="DefaultParagraphFont"/>
    <w:rsid w:val="00C303D7"/>
  </w:style>
  <w:style w:type="character" w:customStyle="1" w:styleId="apple-converted-space">
    <w:name w:val="apple-converted-space"/>
    <w:basedOn w:val="DefaultParagraphFont"/>
    <w:rsid w:val="00C303D7"/>
  </w:style>
  <w:style w:type="paragraph" w:customStyle="1" w:styleId="Address">
    <w:name w:val="Address"/>
    <w:basedOn w:val="Normal"/>
    <w:uiPriority w:val="1"/>
    <w:qFormat/>
    <w:rsid w:val="00C303D7"/>
    <w:pPr>
      <w:spacing w:before="0" w:after="0" w:line="192" w:lineRule="exact"/>
    </w:pPr>
    <w:rPr>
      <w:b/>
      <w:bCs/>
      <w:color w:val="FFFFFF" w:themeColor="background1"/>
      <w:sz w:val="16"/>
      <w:szCs w:val="16"/>
    </w:rPr>
  </w:style>
  <w:style w:type="paragraph" w:customStyle="1" w:styleId="Act">
    <w:name w:val="Act"/>
    <w:basedOn w:val="Normal"/>
    <w:uiPriority w:val="1"/>
    <w:qFormat/>
    <w:rsid w:val="00E15D40"/>
    <w:pPr>
      <w:spacing w:before="0" w:after="0" w:line="240" w:lineRule="auto"/>
    </w:pPr>
    <w:rPr>
      <w:i/>
    </w:rPr>
  </w:style>
  <w:style w:type="paragraph" w:customStyle="1" w:styleId="Disclaimer">
    <w:name w:val="Disclaimer"/>
    <w:basedOn w:val="Normal"/>
    <w:uiPriority w:val="1"/>
    <w:qFormat/>
    <w:rsid w:val="00E15D40"/>
    <w:pPr>
      <w:spacing w:before="0" w:after="0" w:line="240" w:lineRule="auto"/>
    </w:pPr>
    <w:rPr>
      <w:i/>
    </w:rPr>
  </w:style>
  <w:style w:type="paragraph" w:customStyle="1" w:styleId="Organisationname">
    <w:name w:val="Organisation name"/>
    <w:basedOn w:val="CommentSubject"/>
    <w:autoRedefine/>
    <w:uiPriority w:val="1"/>
    <w:qFormat/>
    <w:rsid w:val="0047601C"/>
    <w:pPr>
      <w:spacing w:before="0" w:after="1320" w:line="260" w:lineRule="atLeast"/>
    </w:pPr>
    <w:rPr>
      <w:noProof/>
      <w:color w:val="FFFFFF" w:themeColor="background1"/>
    </w:rPr>
  </w:style>
  <w:style w:type="paragraph" w:styleId="CommentText">
    <w:name w:val="annotation text"/>
    <w:basedOn w:val="Normal"/>
    <w:link w:val="CommentTextChar"/>
    <w:unhideWhenUsed/>
    <w:rsid w:val="00E15D40"/>
    <w:pPr>
      <w:spacing w:line="240" w:lineRule="auto"/>
    </w:pPr>
    <w:rPr>
      <w:sz w:val="20"/>
      <w:szCs w:val="20"/>
    </w:rPr>
  </w:style>
  <w:style w:type="character" w:customStyle="1" w:styleId="CommentTextChar">
    <w:name w:val="Comment Text Char"/>
    <w:basedOn w:val="DefaultParagraphFont"/>
    <w:link w:val="CommentText"/>
    <w:rsid w:val="00E15D40"/>
    <w:rPr>
      <w:rFonts w:ascii="Arial" w:hAnsi="Arial"/>
    </w:rPr>
  </w:style>
  <w:style w:type="paragraph" w:styleId="CommentSubject">
    <w:name w:val="annotation subject"/>
    <w:basedOn w:val="CommentText"/>
    <w:next w:val="CommentText"/>
    <w:link w:val="CommentSubjectChar"/>
    <w:unhideWhenUsed/>
    <w:rsid w:val="00E15D40"/>
    <w:rPr>
      <w:b/>
      <w:bCs/>
    </w:rPr>
  </w:style>
  <w:style w:type="character" w:customStyle="1" w:styleId="CommentSubjectChar">
    <w:name w:val="Comment Subject Char"/>
    <w:basedOn w:val="CommentTextChar"/>
    <w:link w:val="CommentSubject"/>
    <w:rsid w:val="00E15D40"/>
    <w:rPr>
      <w:rFonts w:ascii="Arial" w:hAnsi="Arial"/>
      <w:b/>
      <w:bCs/>
    </w:rPr>
  </w:style>
  <w:style w:type="paragraph" w:customStyle="1" w:styleId="Versionanddate">
    <w:name w:val="Version and date"/>
    <w:basedOn w:val="Subtitle"/>
    <w:uiPriority w:val="1"/>
    <w:qFormat/>
    <w:rsid w:val="00E15D40"/>
    <w:rPr>
      <w:color w:val="7EC352" w:themeColor="accent3"/>
      <w:sz w:val="28"/>
      <w:szCs w:val="28"/>
    </w:rPr>
  </w:style>
  <w:style w:type="paragraph" w:customStyle="1" w:styleId="Report">
    <w:name w:val="Report"/>
    <w:basedOn w:val="Normal"/>
    <w:next w:val="Normal"/>
    <w:uiPriority w:val="1"/>
    <w:qFormat/>
    <w:rsid w:val="002A4C1B"/>
    <w:pPr>
      <w:spacing w:before="4000" w:after="200" w:line="276" w:lineRule="auto"/>
    </w:pPr>
    <w:rPr>
      <w:b/>
    </w:rPr>
  </w:style>
  <w:style w:type="paragraph" w:styleId="NormalIndent">
    <w:name w:val="Normal Indent"/>
    <w:basedOn w:val="Normal"/>
    <w:unhideWhenUsed/>
    <w:rsid w:val="002A4C1B"/>
    <w:pPr>
      <w:ind w:left="720"/>
    </w:pPr>
  </w:style>
  <w:style w:type="character" w:styleId="IntenseReference">
    <w:name w:val="Intense Reference"/>
    <w:basedOn w:val="DefaultParagraphFont"/>
    <w:uiPriority w:val="32"/>
    <w:qFormat/>
    <w:rsid w:val="00B04A18"/>
    <w:rPr>
      <w:b/>
      <w:bCs/>
      <w:i/>
      <w:smallCaps/>
      <w:color w:val="008A00" w:themeColor="accent2"/>
      <w:spacing w:val="5"/>
      <w:u w:val="none"/>
    </w:rPr>
  </w:style>
  <w:style w:type="character" w:customStyle="1" w:styleId="ListParagraphChar">
    <w:name w:val="List Paragraph Char"/>
    <w:aliases w:val="List Paragraph1 Char,Recommendation Char"/>
    <w:link w:val="ListParagraph"/>
    <w:uiPriority w:val="34"/>
    <w:locked/>
    <w:rsid w:val="00BB2656"/>
    <w:rPr>
      <w:rFonts w:ascii="Arial" w:hAnsi="Arial"/>
      <w:sz w:val="22"/>
      <w:szCs w:val="24"/>
    </w:rPr>
  </w:style>
  <w:style w:type="table" w:customStyle="1" w:styleId="ListTable3-Accent51">
    <w:name w:val="List Table 3 - Accent 51"/>
    <w:basedOn w:val="TableNormal"/>
    <w:uiPriority w:val="48"/>
    <w:rsid w:val="00EA4D5B"/>
    <w:rPr>
      <w:rFonts w:asciiTheme="minorHAnsi" w:eastAsiaTheme="minorHAnsi" w:hAnsiTheme="minorHAnsi" w:cstheme="minorBidi"/>
      <w:sz w:val="22"/>
      <w:szCs w:val="22"/>
      <w:lang w:eastAsia="en-US"/>
    </w:rPr>
    <w:tblPr>
      <w:tblStyleRowBandSize w:val="1"/>
      <w:tblStyleColBandSize w:val="1"/>
      <w:tblBorders>
        <w:top w:val="single" w:sz="4" w:space="0" w:color="939598" w:themeColor="accent5"/>
        <w:left w:val="single" w:sz="4" w:space="0" w:color="939598" w:themeColor="accent5"/>
        <w:bottom w:val="single" w:sz="4" w:space="0" w:color="939598" w:themeColor="accent5"/>
        <w:right w:val="single" w:sz="4" w:space="0" w:color="939598" w:themeColor="accent5"/>
      </w:tblBorders>
    </w:tblPr>
    <w:tblStylePr w:type="firstRow">
      <w:rPr>
        <w:b/>
        <w:bCs/>
        <w:color w:val="FFFFFF" w:themeColor="background1"/>
      </w:rPr>
      <w:tblPr/>
      <w:tcPr>
        <w:shd w:val="clear" w:color="auto" w:fill="939598" w:themeFill="accent5"/>
      </w:tcPr>
    </w:tblStylePr>
    <w:tblStylePr w:type="lastRow">
      <w:rPr>
        <w:b/>
        <w:bCs/>
      </w:rPr>
      <w:tblPr/>
      <w:tcPr>
        <w:tcBorders>
          <w:top w:val="double" w:sz="4" w:space="0" w:color="93959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39598" w:themeColor="accent5"/>
          <w:right w:val="single" w:sz="4" w:space="0" w:color="939598" w:themeColor="accent5"/>
        </w:tcBorders>
      </w:tcPr>
    </w:tblStylePr>
    <w:tblStylePr w:type="band1Horz">
      <w:tblPr/>
      <w:tcPr>
        <w:tcBorders>
          <w:top w:val="single" w:sz="4" w:space="0" w:color="939598" w:themeColor="accent5"/>
          <w:bottom w:val="single" w:sz="4" w:space="0" w:color="93959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39598" w:themeColor="accent5"/>
          <w:left w:val="nil"/>
        </w:tcBorders>
      </w:tcPr>
    </w:tblStylePr>
    <w:tblStylePr w:type="swCell">
      <w:tblPr/>
      <w:tcPr>
        <w:tcBorders>
          <w:top w:val="double" w:sz="4" w:space="0" w:color="939598" w:themeColor="accent5"/>
          <w:right w:val="nil"/>
        </w:tcBorders>
      </w:tcPr>
    </w:tblStylePr>
  </w:style>
  <w:style w:type="character" w:customStyle="1" w:styleId="tgc">
    <w:name w:val="_tgc"/>
    <w:basedOn w:val="DefaultParagraphFont"/>
    <w:rsid w:val="00956426"/>
  </w:style>
  <w:style w:type="paragraph" w:styleId="Caption">
    <w:name w:val="caption"/>
    <w:basedOn w:val="Normal"/>
    <w:next w:val="Normal"/>
    <w:unhideWhenUsed/>
    <w:qFormat/>
    <w:rsid w:val="008F53CC"/>
    <w:pPr>
      <w:spacing w:before="0" w:after="200" w:line="240" w:lineRule="auto"/>
    </w:pPr>
    <w:rPr>
      <w:b/>
      <w:bCs/>
      <w:color w:val="004200" w:themeColor="accent1"/>
      <w:sz w:val="18"/>
      <w:szCs w:val="18"/>
    </w:rPr>
  </w:style>
  <w:style w:type="paragraph" w:styleId="TOC3">
    <w:name w:val="toc 3"/>
    <w:basedOn w:val="Normal"/>
    <w:next w:val="Normal"/>
    <w:autoRedefine/>
    <w:uiPriority w:val="39"/>
    <w:unhideWhenUsed/>
    <w:qFormat/>
    <w:rsid w:val="004F6E85"/>
    <w:pPr>
      <w:tabs>
        <w:tab w:val="left" w:pos="1276"/>
        <w:tab w:val="right" w:leader="dot" w:pos="8931"/>
      </w:tabs>
      <w:spacing w:after="100"/>
      <w:ind w:left="1276" w:right="798" w:hanging="836"/>
    </w:pPr>
  </w:style>
  <w:style w:type="character" w:styleId="CommentReference">
    <w:name w:val="annotation reference"/>
    <w:basedOn w:val="DefaultParagraphFont"/>
    <w:unhideWhenUsed/>
    <w:rsid w:val="00333996"/>
    <w:rPr>
      <w:sz w:val="16"/>
      <w:szCs w:val="16"/>
    </w:rPr>
  </w:style>
  <w:style w:type="character" w:customStyle="1" w:styleId="TitleChar">
    <w:name w:val="Title Char"/>
    <w:basedOn w:val="DefaultParagraphFont"/>
    <w:link w:val="Title"/>
    <w:rsid w:val="001E4C63"/>
    <w:rPr>
      <w:rFonts w:ascii="Arial Bold" w:hAnsi="Arial Bold" w:cs="Arial"/>
      <w:b/>
      <w:bCs/>
      <w:color w:val="FFFFFF" w:themeColor="background1"/>
      <w:kern w:val="28"/>
      <w:sz w:val="84"/>
      <w:szCs w:val="32"/>
    </w:rPr>
  </w:style>
  <w:style w:type="character" w:styleId="SubtleEmphasis">
    <w:name w:val="Subtle Emphasis"/>
    <w:basedOn w:val="DefaultParagraphFont"/>
    <w:uiPriority w:val="19"/>
    <w:qFormat/>
    <w:rsid w:val="001E4C63"/>
    <w:rPr>
      <w:i/>
      <w:iCs/>
      <w:color w:val="808080" w:themeColor="text1" w:themeTint="7F"/>
    </w:rPr>
  </w:style>
  <w:style w:type="character" w:styleId="IntenseEmphasis">
    <w:name w:val="Intense Emphasis"/>
    <w:basedOn w:val="DefaultParagraphFont"/>
    <w:uiPriority w:val="21"/>
    <w:qFormat/>
    <w:rsid w:val="001E4C63"/>
    <w:rPr>
      <w:b/>
      <w:bCs/>
      <w:i/>
      <w:iCs/>
      <w:color w:val="004200" w:themeColor="accent1"/>
    </w:rPr>
  </w:style>
  <w:style w:type="paragraph" w:styleId="Quote">
    <w:name w:val="Quote"/>
    <w:basedOn w:val="Normal"/>
    <w:next w:val="Normal"/>
    <w:link w:val="QuoteChar"/>
    <w:uiPriority w:val="29"/>
    <w:qFormat/>
    <w:rsid w:val="001E4C63"/>
    <w:pPr>
      <w:spacing w:before="0" w:after="0" w:line="240" w:lineRule="auto"/>
    </w:pPr>
    <w:rPr>
      <w:rFonts w:ascii="Times New Roman" w:hAnsi="Times New Roman"/>
      <w:i/>
      <w:iCs/>
      <w:color w:val="000000" w:themeColor="text1"/>
      <w:sz w:val="24"/>
      <w:lang w:eastAsia="en-US"/>
    </w:rPr>
  </w:style>
  <w:style w:type="character" w:customStyle="1" w:styleId="QuoteChar">
    <w:name w:val="Quote Char"/>
    <w:basedOn w:val="DefaultParagraphFont"/>
    <w:link w:val="Quote"/>
    <w:uiPriority w:val="29"/>
    <w:rsid w:val="001E4C63"/>
    <w:rPr>
      <w:i/>
      <w:iCs/>
      <w:color w:val="000000" w:themeColor="text1"/>
      <w:sz w:val="24"/>
      <w:szCs w:val="24"/>
      <w:lang w:eastAsia="en-US"/>
    </w:rPr>
  </w:style>
  <w:style w:type="paragraph" w:styleId="IntenseQuote">
    <w:name w:val="Intense Quote"/>
    <w:basedOn w:val="Normal"/>
    <w:next w:val="Normal"/>
    <w:link w:val="IntenseQuoteChar"/>
    <w:uiPriority w:val="30"/>
    <w:qFormat/>
    <w:rsid w:val="001E4C63"/>
    <w:pPr>
      <w:pBdr>
        <w:bottom w:val="single" w:sz="4" w:space="4" w:color="004200" w:themeColor="accent1"/>
      </w:pBdr>
      <w:spacing w:before="200" w:after="280" w:line="240" w:lineRule="auto"/>
      <w:ind w:left="936" w:right="936"/>
    </w:pPr>
    <w:rPr>
      <w:rFonts w:ascii="Times New Roman" w:hAnsi="Times New Roman"/>
      <w:b/>
      <w:bCs/>
      <w:i/>
      <w:iCs/>
      <w:color w:val="004200" w:themeColor="accent1"/>
      <w:sz w:val="24"/>
      <w:lang w:eastAsia="en-US"/>
    </w:rPr>
  </w:style>
  <w:style w:type="character" w:customStyle="1" w:styleId="IntenseQuoteChar">
    <w:name w:val="Intense Quote Char"/>
    <w:basedOn w:val="DefaultParagraphFont"/>
    <w:link w:val="IntenseQuote"/>
    <w:uiPriority w:val="30"/>
    <w:rsid w:val="001E4C63"/>
    <w:rPr>
      <w:b/>
      <w:bCs/>
      <w:i/>
      <w:iCs/>
      <w:color w:val="004200" w:themeColor="accent1"/>
      <w:sz w:val="24"/>
      <w:szCs w:val="24"/>
      <w:lang w:eastAsia="en-US"/>
    </w:rPr>
  </w:style>
  <w:style w:type="character" w:styleId="SubtleReference">
    <w:name w:val="Subtle Reference"/>
    <w:basedOn w:val="DefaultParagraphFont"/>
    <w:uiPriority w:val="31"/>
    <w:qFormat/>
    <w:rsid w:val="001E4C63"/>
    <w:rPr>
      <w:smallCaps/>
      <w:color w:val="008A00" w:themeColor="accent2"/>
      <w:u w:val="single"/>
    </w:rPr>
  </w:style>
  <w:style w:type="character" w:styleId="BookTitle">
    <w:name w:val="Book Title"/>
    <w:basedOn w:val="DefaultParagraphFont"/>
    <w:uiPriority w:val="33"/>
    <w:qFormat/>
    <w:rsid w:val="001E4C63"/>
    <w:rPr>
      <w:b/>
      <w:bCs/>
      <w:smallCaps/>
      <w:spacing w:val="5"/>
    </w:rPr>
  </w:style>
  <w:style w:type="table" w:styleId="LightList-Accent1">
    <w:name w:val="Light List Accent 1"/>
    <w:basedOn w:val="TableNormal"/>
    <w:uiPriority w:val="61"/>
    <w:rsid w:val="001E4C63"/>
    <w:tblPr>
      <w:tblStyleRowBandSize w:val="1"/>
      <w:tblStyleColBandSize w:val="1"/>
      <w:tblBorders>
        <w:top w:val="single" w:sz="8" w:space="0" w:color="004200" w:themeColor="accent1"/>
        <w:left w:val="single" w:sz="8" w:space="0" w:color="004200" w:themeColor="accent1"/>
        <w:bottom w:val="single" w:sz="8" w:space="0" w:color="004200" w:themeColor="accent1"/>
        <w:right w:val="single" w:sz="8" w:space="0" w:color="004200" w:themeColor="accent1"/>
      </w:tblBorders>
    </w:tblPr>
    <w:tblStylePr w:type="firstRow">
      <w:pPr>
        <w:spacing w:before="0" w:after="0" w:line="240" w:lineRule="auto"/>
      </w:pPr>
      <w:rPr>
        <w:b/>
        <w:bCs/>
        <w:color w:val="FFFFFF" w:themeColor="background1"/>
      </w:rPr>
      <w:tblPr/>
      <w:tcPr>
        <w:shd w:val="clear" w:color="auto" w:fill="004200" w:themeFill="accent1"/>
      </w:tcPr>
    </w:tblStylePr>
    <w:tblStylePr w:type="lastRow">
      <w:pPr>
        <w:spacing w:before="0" w:after="0" w:line="240" w:lineRule="auto"/>
      </w:pPr>
      <w:rPr>
        <w:b/>
        <w:bCs/>
      </w:rPr>
      <w:tblPr/>
      <w:tcPr>
        <w:tcBorders>
          <w:top w:val="double" w:sz="6" w:space="0" w:color="004200" w:themeColor="accent1"/>
          <w:left w:val="single" w:sz="8" w:space="0" w:color="004200" w:themeColor="accent1"/>
          <w:bottom w:val="single" w:sz="8" w:space="0" w:color="004200" w:themeColor="accent1"/>
          <w:right w:val="single" w:sz="8" w:space="0" w:color="004200" w:themeColor="accent1"/>
        </w:tcBorders>
      </w:tcPr>
    </w:tblStylePr>
    <w:tblStylePr w:type="firstCol">
      <w:rPr>
        <w:b/>
        <w:bCs/>
      </w:rPr>
    </w:tblStylePr>
    <w:tblStylePr w:type="lastCol">
      <w:rPr>
        <w:b/>
        <w:bCs/>
      </w:rPr>
    </w:tblStylePr>
    <w:tblStylePr w:type="band1Vert">
      <w:tblPr/>
      <w:tcPr>
        <w:tcBorders>
          <w:top w:val="single" w:sz="8" w:space="0" w:color="004200" w:themeColor="accent1"/>
          <w:left w:val="single" w:sz="8" w:space="0" w:color="004200" w:themeColor="accent1"/>
          <w:bottom w:val="single" w:sz="8" w:space="0" w:color="004200" w:themeColor="accent1"/>
          <w:right w:val="single" w:sz="8" w:space="0" w:color="004200" w:themeColor="accent1"/>
        </w:tcBorders>
      </w:tcPr>
    </w:tblStylePr>
    <w:tblStylePr w:type="band1Horz">
      <w:tblPr/>
      <w:tcPr>
        <w:tcBorders>
          <w:top w:val="single" w:sz="8" w:space="0" w:color="004200" w:themeColor="accent1"/>
          <w:left w:val="single" w:sz="8" w:space="0" w:color="004200" w:themeColor="accent1"/>
          <w:bottom w:val="single" w:sz="8" w:space="0" w:color="004200" w:themeColor="accent1"/>
          <w:right w:val="single" w:sz="8" w:space="0" w:color="004200" w:themeColor="accent1"/>
        </w:tcBorders>
      </w:tcPr>
    </w:tblStylePr>
  </w:style>
  <w:style w:type="character" w:customStyle="1" w:styleId="HeaderChar">
    <w:name w:val="Header Char"/>
    <w:basedOn w:val="DefaultParagraphFont"/>
    <w:link w:val="Header"/>
    <w:rsid w:val="001E4C63"/>
    <w:rPr>
      <w:rFonts w:ascii="Arial" w:hAnsi="Arial"/>
      <w:b/>
      <w:sz w:val="16"/>
      <w:szCs w:val="24"/>
    </w:rPr>
  </w:style>
  <w:style w:type="character" w:customStyle="1" w:styleId="FooterChar">
    <w:name w:val="Footer Char"/>
    <w:basedOn w:val="DefaultParagraphFont"/>
    <w:link w:val="Footer"/>
    <w:uiPriority w:val="99"/>
    <w:rsid w:val="001E4C63"/>
    <w:rPr>
      <w:rFonts w:ascii="Arial" w:hAnsi="Arial"/>
      <w:b/>
      <w:sz w:val="16"/>
      <w:szCs w:val="24"/>
    </w:rPr>
  </w:style>
  <w:style w:type="character" w:customStyle="1" w:styleId="Heading1Char">
    <w:name w:val="Heading 1 Char"/>
    <w:basedOn w:val="DefaultParagraphFont"/>
    <w:link w:val="Heading1"/>
    <w:uiPriority w:val="4"/>
    <w:rsid w:val="001E4C63"/>
    <w:rPr>
      <w:rFonts w:asciiTheme="majorHAnsi" w:hAnsiTheme="majorHAnsi"/>
      <w:b/>
      <w:sz w:val="64"/>
      <w:szCs w:val="44"/>
    </w:rPr>
  </w:style>
  <w:style w:type="paragraph" w:customStyle="1" w:styleId="OrganisationName0">
    <w:name w:val="Organisation Name"/>
    <w:basedOn w:val="Normal"/>
    <w:next w:val="Title"/>
    <w:uiPriority w:val="10"/>
    <w:qFormat/>
    <w:rsid w:val="001E4C63"/>
    <w:pPr>
      <w:spacing w:before="0" w:line="240" w:lineRule="auto"/>
      <w:jc w:val="center"/>
    </w:pPr>
    <w:rPr>
      <w:rFonts w:asciiTheme="minorHAnsi" w:eastAsiaTheme="minorHAnsi" w:hAnsiTheme="minorHAnsi" w:cstheme="minorBidi"/>
      <w:b/>
      <w:sz w:val="36"/>
      <w:szCs w:val="36"/>
      <w:lang w:eastAsia="en-US"/>
    </w:rPr>
  </w:style>
  <w:style w:type="paragraph" w:customStyle="1" w:styleId="Bullet1">
    <w:name w:val="Bullet 1"/>
    <w:basedOn w:val="Normal"/>
    <w:uiPriority w:val="34"/>
    <w:semiHidden/>
    <w:rsid w:val="00405E59"/>
    <w:pPr>
      <w:numPr>
        <w:numId w:val="70"/>
      </w:numPr>
      <w:spacing w:before="0" w:after="200" w:line="240" w:lineRule="auto"/>
    </w:pPr>
    <w:rPr>
      <w:rFonts w:asciiTheme="minorHAnsi" w:eastAsiaTheme="minorHAnsi" w:hAnsiTheme="minorHAnsi" w:cstheme="minorBidi"/>
      <w:szCs w:val="22"/>
      <w:lang w:eastAsia="en-US"/>
    </w:rPr>
  </w:style>
  <w:style w:type="character" w:customStyle="1" w:styleId="Heading3Char">
    <w:name w:val="Heading 3 Char"/>
    <w:basedOn w:val="DefaultParagraphFont"/>
    <w:link w:val="Heading3"/>
    <w:rsid w:val="00222799"/>
    <w:rPr>
      <w:rFonts w:asciiTheme="majorHAnsi" w:hAnsiTheme="majorHAnsi"/>
      <w:b/>
      <w:color w:val="004200" w:themeColor="accent1"/>
      <w:sz w:val="24"/>
      <w:szCs w:val="28"/>
    </w:rPr>
  </w:style>
  <w:style w:type="paragraph" w:styleId="Revision">
    <w:name w:val="Revision"/>
    <w:hidden/>
    <w:uiPriority w:val="99"/>
    <w:semiHidden/>
    <w:rsid w:val="001F0264"/>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qFormat="1"/>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1"/>
    <w:qFormat/>
    <w:rsid w:val="002A4C1B"/>
    <w:pPr>
      <w:spacing w:before="120" w:after="120" w:line="260" w:lineRule="atLeast"/>
    </w:pPr>
    <w:rPr>
      <w:rFonts w:ascii="Arial" w:hAnsi="Arial"/>
      <w:sz w:val="22"/>
    </w:rPr>
  </w:style>
  <w:style w:type="paragraph" w:styleId="Heading1">
    <w:name w:val="heading 1"/>
    <w:basedOn w:val="Normal"/>
    <w:next w:val="Normal"/>
    <w:link w:val="Heading1Char"/>
    <w:uiPriority w:val="2"/>
    <w:qFormat/>
    <w:rsid w:val="00BC18FF"/>
    <w:pPr>
      <w:keepNext/>
      <w:keepLines/>
      <w:spacing w:before="0" w:after="1080" w:line="240" w:lineRule="auto"/>
      <w:contextualSpacing/>
      <w:outlineLvl w:val="0"/>
    </w:pPr>
    <w:rPr>
      <w:rFonts w:asciiTheme="majorHAnsi" w:hAnsiTheme="majorHAnsi"/>
      <w:b/>
      <w:sz w:val="64"/>
      <w:szCs w:val="44"/>
    </w:rPr>
  </w:style>
  <w:style w:type="paragraph" w:styleId="Heading2">
    <w:name w:val="heading 2"/>
    <w:basedOn w:val="Normal"/>
    <w:next w:val="Normal"/>
    <w:link w:val="Heading2Char"/>
    <w:uiPriority w:val="2"/>
    <w:qFormat/>
    <w:rsid w:val="00994E3D"/>
    <w:pPr>
      <w:keepNext/>
      <w:keepLines/>
      <w:spacing w:before="360"/>
      <w:contextualSpacing/>
      <w:outlineLvl w:val="1"/>
    </w:pPr>
    <w:rPr>
      <w:rFonts w:asciiTheme="majorHAnsi" w:hAnsiTheme="majorHAnsi"/>
      <w:b/>
      <w:sz w:val="28"/>
      <w:szCs w:val="44"/>
    </w:rPr>
  </w:style>
  <w:style w:type="paragraph" w:styleId="Heading3">
    <w:name w:val="heading 3"/>
    <w:basedOn w:val="Normal"/>
    <w:next w:val="Normal"/>
    <w:link w:val="Heading3Char"/>
    <w:qFormat/>
    <w:rsid w:val="00350852"/>
    <w:pPr>
      <w:keepNext/>
      <w:keepLines/>
      <w:spacing w:before="240" w:line="240" w:lineRule="auto"/>
      <w:contextualSpacing/>
      <w:outlineLvl w:val="2"/>
    </w:pPr>
    <w:rPr>
      <w:rFonts w:asciiTheme="majorHAnsi" w:hAnsiTheme="majorHAnsi"/>
      <w:b/>
      <w:color w:val="004200" w:themeColor="accent1"/>
      <w:sz w:val="24"/>
      <w:szCs w:val="28"/>
    </w:rPr>
  </w:style>
  <w:style w:type="paragraph" w:styleId="Heading4">
    <w:name w:val="heading 4"/>
    <w:basedOn w:val="Normal"/>
    <w:next w:val="Normal"/>
    <w:qFormat/>
    <w:rsid w:val="00EB13A7"/>
    <w:pPr>
      <w:keepNext/>
      <w:keepLines/>
      <w:spacing w:before="240"/>
      <w:contextualSpacing/>
      <w:outlineLvl w:val="3"/>
    </w:pPr>
    <w:rPr>
      <w:color w:val="636466" w:themeColor="accent4"/>
    </w:rPr>
  </w:style>
  <w:style w:type="paragraph" w:styleId="Heading5">
    <w:name w:val="heading 5"/>
    <w:basedOn w:val="Normal"/>
    <w:next w:val="Normal"/>
    <w:link w:val="Heading5Char"/>
    <w:qFormat/>
    <w:rsid w:val="002672F1"/>
    <w:pPr>
      <w:keepNext/>
      <w:spacing w:before="240"/>
      <w:contextualSpacing/>
      <w:outlineLvl w:val="4"/>
    </w:pPr>
    <w:rPr>
      <w:b/>
      <w:szCs w:val="22"/>
    </w:rPr>
  </w:style>
  <w:style w:type="paragraph" w:styleId="Heading6">
    <w:name w:val="heading 6"/>
    <w:basedOn w:val="Normal"/>
    <w:next w:val="Normal"/>
    <w:link w:val="Heading6Char"/>
    <w:qFormat/>
    <w:rsid w:val="002672F1"/>
    <w:pPr>
      <w:keepNext/>
      <w:spacing w:before="240"/>
      <w:contextualSpacing/>
      <w:outlineLvl w:val="5"/>
    </w:pPr>
    <w:rPr>
      <w:b/>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F219D"/>
    <w:pPr>
      <w:tabs>
        <w:tab w:val="right" w:pos="10319"/>
      </w:tabs>
      <w:spacing w:before="0" w:after="0" w:line="240" w:lineRule="auto"/>
    </w:pPr>
    <w:rPr>
      <w:b/>
      <w:sz w:val="16"/>
    </w:rPr>
  </w:style>
  <w:style w:type="paragraph" w:styleId="Title">
    <w:name w:val="Title"/>
    <w:basedOn w:val="Normal"/>
    <w:next w:val="Subtitle"/>
    <w:link w:val="TitleChar"/>
    <w:qFormat/>
    <w:rsid w:val="001D6F9E"/>
    <w:pPr>
      <w:spacing w:before="480" w:after="360" w:line="204" w:lineRule="auto"/>
      <w:contextualSpacing/>
      <w:outlineLvl w:val="0"/>
    </w:pPr>
    <w:rPr>
      <w:rFonts w:ascii="Arial Bold" w:hAnsi="Arial Bold" w:cs="Arial"/>
      <w:b/>
      <w:bCs/>
      <w:color w:val="FFFFFF" w:themeColor="background1"/>
      <w:kern w:val="28"/>
      <w:sz w:val="84"/>
      <w:szCs w:val="32"/>
    </w:rPr>
  </w:style>
  <w:style w:type="paragraph" w:styleId="ListBullet">
    <w:name w:val="List Bullet"/>
    <w:basedOn w:val="Normal"/>
    <w:uiPriority w:val="3"/>
    <w:qFormat/>
    <w:rsid w:val="00D91466"/>
    <w:pPr>
      <w:numPr>
        <w:numId w:val="1"/>
      </w:numPr>
      <w:spacing w:before="60" w:after="60"/>
    </w:pPr>
  </w:style>
  <w:style w:type="paragraph" w:styleId="Footer">
    <w:name w:val="footer"/>
    <w:basedOn w:val="Header"/>
    <w:link w:val="FooterChar"/>
    <w:uiPriority w:val="99"/>
    <w:rsid w:val="00733251"/>
    <w:pPr>
      <w:tabs>
        <w:tab w:val="right" w:pos="9639"/>
      </w:tabs>
    </w:pPr>
  </w:style>
  <w:style w:type="character" w:styleId="Hyperlink">
    <w:name w:val="Hyperlink"/>
    <w:basedOn w:val="DefaultParagraphFont"/>
    <w:uiPriority w:val="99"/>
    <w:rsid w:val="002A4C1B"/>
    <w:rPr>
      <w:color w:val="0000FF"/>
      <w:u w:val="single"/>
    </w:rPr>
  </w:style>
  <w:style w:type="character" w:customStyle="1" w:styleId="Heading5Char">
    <w:name w:val="Heading 5 Char"/>
    <w:basedOn w:val="DefaultParagraphFont"/>
    <w:link w:val="Heading5"/>
    <w:semiHidden/>
    <w:rsid w:val="001D2904"/>
    <w:rPr>
      <w:rFonts w:ascii="Arial" w:hAnsi="Arial"/>
      <w:b/>
      <w:sz w:val="22"/>
      <w:szCs w:val="22"/>
    </w:rPr>
  </w:style>
  <w:style w:type="table" w:styleId="TableGrid">
    <w:name w:val="Table Grid"/>
    <w:basedOn w:val="TableNormal"/>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97C88"/>
    <w:pPr>
      <w:spacing w:before="0" w:after="0" w:line="240" w:lineRule="auto"/>
      <w:ind w:left="142" w:hanging="142"/>
    </w:pPr>
    <w:rPr>
      <w:szCs w:val="20"/>
    </w:rPr>
  </w:style>
  <w:style w:type="character" w:customStyle="1" w:styleId="FootnoteTextChar">
    <w:name w:val="Footnote Text Char"/>
    <w:basedOn w:val="DefaultParagraphFont"/>
    <w:link w:val="FootnoteText"/>
    <w:uiPriority w:val="99"/>
    <w:rsid w:val="00797C88"/>
    <w:rPr>
      <w:rFonts w:ascii="Arial" w:hAnsi="Arial"/>
      <w:sz w:val="22"/>
    </w:rPr>
  </w:style>
  <w:style w:type="character" w:styleId="FootnoteReference">
    <w:name w:val="footnote reference"/>
    <w:basedOn w:val="DefaultParagraphFont"/>
    <w:uiPriority w:val="99"/>
    <w:rsid w:val="00843390"/>
    <w:rPr>
      <w:vertAlign w:val="superscript"/>
    </w:rPr>
  </w:style>
  <w:style w:type="paragraph" w:styleId="ListParagraph">
    <w:name w:val="List Paragraph"/>
    <w:aliases w:val="List Paragraph1,Recommendation"/>
    <w:basedOn w:val="Normal"/>
    <w:link w:val="ListParagraphChar"/>
    <w:uiPriority w:val="34"/>
    <w:qFormat/>
    <w:rsid w:val="00010D84"/>
    <w:pPr>
      <w:ind w:left="720"/>
    </w:pPr>
  </w:style>
  <w:style w:type="character" w:customStyle="1" w:styleId="Heading2Char">
    <w:name w:val="Heading 2 Char"/>
    <w:basedOn w:val="DefaultParagraphFont"/>
    <w:link w:val="Heading2"/>
    <w:uiPriority w:val="2"/>
    <w:rsid w:val="00994E3D"/>
    <w:rPr>
      <w:rFonts w:asciiTheme="majorHAnsi" w:hAnsiTheme="majorHAnsi"/>
      <w:b/>
      <w:sz w:val="28"/>
      <w:szCs w:val="44"/>
    </w:rPr>
  </w:style>
  <w:style w:type="paragraph" w:styleId="TOC1">
    <w:name w:val="toc 1"/>
    <w:basedOn w:val="Normal"/>
    <w:next w:val="Normal"/>
    <w:autoRedefine/>
    <w:uiPriority w:val="39"/>
    <w:qFormat/>
    <w:rsid w:val="004F6E85"/>
    <w:pPr>
      <w:tabs>
        <w:tab w:val="left" w:pos="440"/>
        <w:tab w:val="right" w:leader="dot" w:pos="8931"/>
      </w:tabs>
      <w:spacing w:before="240" w:after="60" w:line="240" w:lineRule="auto"/>
      <w:ind w:right="567"/>
    </w:pPr>
    <w:rPr>
      <w:noProof/>
    </w:rPr>
  </w:style>
  <w:style w:type="paragraph" w:styleId="TOC2">
    <w:name w:val="toc 2"/>
    <w:basedOn w:val="Normal"/>
    <w:next w:val="Normal"/>
    <w:autoRedefine/>
    <w:uiPriority w:val="39"/>
    <w:qFormat/>
    <w:rsid w:val="004F6E85"/>
    <w:pPr>
      <w:tabs>
        <w:tab w:val="left" w:pos="660"/>
        <w:tab w:val="right" w:leader="dot" w:pos="8931"/>
      </w:tabs>
      <w:spacing w:before="60" w:after="60" w:line="240" w:lineRule="auto"/>
      <w:ind w:right="567"/>
    </w:pPr>
    <w:rPr>
      <w:noProof/>
    </w:rPr>
  </w:style>
  <w:style w:type="paragraph" w:customStyle="1" w:styleId="TableText">
    <w:name w:val="Table Text"/>
    <w:basedOn w:val="Normal"/>
    <w:uiPriority w:val="99"/>
    <w:qFormat/>
    <w:rsid w:val="009005A6"/>
    <w:pPr>
      <w:spacing w:before="80" w:after="80" w:line="240" w:lineRule="atLeast"/>
    </w:pPr>
    <w:rPr>
      <w:sz w:val="20"/>
    </w:rPr>
  </w:style>
  <w:style w:type="character" w:styleId="Emphasis">
    <w:name w:val="Emphasis"/>
    <w:basedOn w:val="DefaultParagraphFont"/>
    <w:qFormat/>
    <w:rsid w:val="00D92300"/>
    <w:rPr>
      <w:i/>
      <w:iCs/>
    </w:rPr>
  </w:style>
  <w:style w:type="character" w:customStyle="1" w:styleId="Heading6Char">
    <w:name w:val="Heading 6 Char"/>
    <w:basedOn w:val="DefaultParagraphFont"/>
    <w:link w:val="Heading6"/>
    <w:semiHidden/>
    <w:rsid w:val="001D2904"/>
    <w:rPr>
      <w:rFonts w:ascii="Arial" w:hAnsi="Arial"/>
      <w:b/>
      <w:szCs w:val="22"/>
    </w:rPr>
  </w:style>
  <w:style w:type="table" w:customStyle="1" w:styleId="DefaultTable">
    <w:name w:val="Default Table"/>
    <w:basedOn w:val="TableNormal"/>
    <w:uiPriority w:val="99"/>
    <w:rsid w:val="00733251"/>
    <w:tblPr>
      <w:tblStyleRowBandSize w:val="1"/>
      <w:tblInd w:w="85" w:type="dxa"/>
      <w:tblBorders>
        <w:bottom w:val="single" w:sz="4" w:space="0" w:color="auto"/>
        <w:insideV w:val="single" w:sz="4" w:space="0" w:color="auto"/>
      </w:tblBorders>
      <w:tblCellMar>
        <w:left w:w="85" w:type="dxa"/>
        <w:right w:w="85" w:type="dxa"/>
      </w:tblCellMar>
    </w:tblPr>
    <w:trPr>
      <w:cantSplit/>
    </w:trPr>
    <w:tblStylePr w:type="firstRow">
      <w:pPr>
        <w:jc w:val="left"/>
      </w:pPr>
      <w:rPr>
        <w:b/>
        <w:color w:val="008A00" w:themeColor="accent2"/>
      </w:rPr>
      <w:tblPr/>
      <w:trPr>
        <w:tblHeader/>
      </w:trPr>
      <w:tcPr>
        <w:vAlign w:val="bottom"/>
      </w:tcPr>
    </w:tblStylePr>
    <w:tblStylePr w:type="firstCol">
      <w:rPr>
        <w:b/>
      </w:rPr>
      <w:tblPr/>
      <w:tcPr>
        <w:tcBorders>
          <w:top w:val="nil"/>
          <w:left w:val="nil"/>
          <w:bottom w:val="single" w:sz="4" w:space="0" w:color="auto"/>
          <w:right w:val="nil"/>
          <w:insideH w:val="nil"/>
          <w:insideV w:val="nil"/>
          <w:tl2br w:val="nil"/>
          <w:tr2bl w:val="nil"/>
        </w:tcBorders>
      </w:tcPr>
    </w:tblStylePr>
    <w:tblStylePr w:type="band1Horz">
      <w:tblPr/>
      <w:tcPr>
        <w:shd w:val="clear" w:color="auto" w:fill="E6E7E9"/>
      </w:tcPr>
    </w:tblStylePr>
  </w:style>
  <w:style w:type="paragraph" w:styleId="TOCHeading">
    <w:name w:val="TOC Heading"/>
    <w:basedOn w:val="Heading1"/>
    <w:next w:val="Normal"/>
    <w:uiPriority w:val="39"/>
    <w:qFormat/>
    <w:rsid w:val="002256A8"/>
    <w:pPr>
      <w:outlineLvl w:val="9"/>
    </w:pPr>
    <w:rPr>
      <w:rFonts w:eastAsiaTheme="majorEastAsia" w:cstheme="majorBidi"/>
      <w:bCs/>
      <w:szCs w:val="28"/>
    </w:rPr>
  </w:style>
  <w:style w:type="paragraph" w:customStyle="1" w:styleId="SourceNotesText">
    <w:name w:val="Source/Notes Text"/>
    <w:basedOn w:val="Normal"/>
    <w:uiPriority w:val="9"/>
    <w:qFormat/>
    <w:rsid w:val="007802BE"/>
    <w:pPr>
      <w:spacing w:line="240" w:lineRule="auto"/>
    </w:pPr>
    <w:rPr>
      <w:sz w:val="18"/>
      <w:szCs w:val="16"/>
    </w:rPr>
  </w:style>
  <w:style w:type="character" w:styleId="Strong">
    <w:name w:val="Strong"/>
    <w:basedOn w:val="DefaultParagraphFont"/>
    <w:uiPriority w:val="22"/>
    <w:qFormat/>
    <w:rsid w:val="00D45B67"/>
    <w:rPr>
      <w:b/>
      <w:bCs/>
    </w:rPr>
  </w:style>
  <w:style w:type="paragraph" w:customStyle="1" w:styleId="Intro">
    <w:name w:val="Intro"/>
    <w:basedOn w:val="Normal"/>
    <w:uiPriority w:val="2"/>
    <w:qFormat/>
    <w:rsid w:val="00571AB1"/>
    <w:rPr>
      <w:color w:val="008A00"/>
      <w:szCs w:val="30"/>
    </w:rPr>
  </w:style>
  <w:style w:type="paragraph" w:styleId="BalloonText">
    <w:name w:val="Balloon Text"/>
    <w:basedOn w:val="Normal"/>
    <w:link w:val="BalloonTextChar"/>
    <w:rsid w:val="001B5259"/>
    <w:rPr>
      <w:rFonts w:ascii="Tahoma" w:hAnsi="Tahoma" w:cs="Tahoma"/>
      <w:sz w:val="16"/>
      <w:szCs w:val="16"/>
    </w:rPr>
  </w:style>
  <w:style w:type="character" w:customStyle="1" w:styleId="BalloonTextChar">
    <w:name w:val="Balloon Text Char"/>
    <w:basedOn w:val="DefaultParagraphFont"/>
    <w:link w:val="BalloonText"/>
    <w:rsid w:val="001D2904"/>
    <w:rPr>
      <w:rFonts w:ascii="Tahoma" w:hAnsi="Tahoma" w:cs="Tahoma"/>
      <w:sz w:val="16"/>
      <w:szCs w:val="16"/>
    </w:rPr>
  </w:style>
  <w:style w:type="paragraph" w:styleId="NoSpacing">
    <w:name w:val="No Spacing"/>
    <w:uiPriority w:val="1"/>
    <w:qFormat/>
    <w:rsid w:val="00406578"/>
    <w:rPr>
      <w:rFonts w:ascii="Arial" w:hAnsi="Arial"/>
      <w:sz w:val="22"/>
    </w:rPr>
  </w:style>
  <w:style w:type="paragraph" w:styleId="EndnoteText">
    <w:name w:val="endnote text"/>
    <w:basedOn w:val="Normal"/>
    <w:link w:val="EndnoteTextChar"/>
    <w:semiHidden/>
    <w:rsid w:val="00EE265C"/>
    <w:rPr>
      <w:sz w:val="20"/>
      <w:szCs w:val="20"/>
    </w:rPr>
  </w:style>
  <w:style w:type="character" w:customStyle="1" w:styleId="EndnoteTextChar">
    <w:name w:val="Endnote Text Char"/>
    <w:basedOn w:val="DefaultParagraphFont"/>
    <w:link w:val="EndnoteText"/>
    <w:semiHidden/>
    <w:rsid w:val="001D2904"/>
    <w:rPr>
      <w:rFonts w:ascii="Arial" w:hAnsi="Arial"/>
    </w:rPr>
  </w:style>
  <w:style w:type="character" w:styleId="EndnoteReference">
    <w:name w:val="endnote reference"/>
    <w:basedOn w:val="DefaultParagraphFont"/>
    <w:semiHidden/>
    <w:rsid w:val="00EE265C"/>
    <w:rPr>
      <w:vertAlign w:val="superscript"/>
    </w:rPr>
  </w:style>
  <w:style w:type="character" w:styleId="FollowedHyperlink">
    <w:name w:val="FollowedHyperlink"/>
    <w:basedOn w:val="DefaultParagraphFont"/>
    <w:semiHidden/>
    <w:rsid w:val="000E39EF"/>
    <w:rPr>
      <w:color w:val="000000" w:themeColor="followedHyperlink"/>
      <w:u w:val="single"/>
    </w:rPr>
  </w:style>
  <w:style w:type="paragraph" w:styleId="Subtitle">
    <w:name w:val="Subtitle"/>
    <w:basedOn w:val="Normal"/>
    <w:next w:val="Versionanddate"/>
    <w:link w:val="SubtitleChar"/>
    <w:qFormat/>
    <w:rsid w:val="00E15D40"/>
    <w:pPr>
      <w:numPr>
        <w:ilvl w:val="1"/>
      </w:numPr>
      <w:spacing w:before="480" w:after="360"/>
    </w:pPr>
    <w:rPr>
      <w:rFonts w:asciiTheme="majorHAnsi" w:eastAsiaTheme="majorEastAsia" w:hAnsiTheme="majorHAnsi" w:cstheme="majorBidi"/>
      <w:b/>
      <w:iCs/>
      <w:color w:val="FFFFFF" w:themeColor="background1"/>
      <w:sz w:val="40"/>
    </w:rPr>
  </w:style>
  <w:style w:type="character" w:customStyle="1" w:styleId="SubtitleChar">
    <w:name w:val="Subtitle Char"/>
    <w:basedOn w:val="DefaultParagraphFont"/>
    <w:link w:val="Subtitle"/>
    <w:rsid w:val="00E15D40"/>
    <w:rPr>
      <w:rFonts w:asciiTheme="majorHAnsi" w:eastAsiaTheme="majorEastAsia" w:hAnsiTheme="majorHAnsi" w:cstheme="majorBidi"/>
      <w:b/>
      <w:iCs/>
      <w:color w:val="FFFFFF" w:themeColor="background1"/>
      <w:sz w:val="40"/>
      <w:szCs w:val="24"/>
    </w:rPr>
  </w:style>
  <w:style w:type="paragraph" w:customStyle="1" w:styleId="TableHeading">
    <w:name w:val="Table Heading"/>
    <w:basedOn w:val="Normal"/>
    <w:next w:val="TableText"/>
    <w:uiPriority w:val="99"/>
    <w:rsid w:val="00835FC9"/>
    <w:pPr>
      <w:keepNext/>
      <w:keepLines/>
      <w:spacing w:before="360"/>
      <w:contextualSpacing/>
    </w:pPr>
    <w:rPr>
      <w:b/>
      <w:szCs w:val="20"/>
    </w:rPr>
  </w:style>
  <w:style w:type="paragraph" w:customStyle="1" w:styleId="FigureHeading">
    <w:name w:val="Figure Heading"/>
    <w:basedOn w:val="Normal"/>
    <w:next w:val="Normal"/>
    <w:uiPriority w:val="99"/>
    <w:qFormat/>
    <w:rsid w:val="00E74A73"/>
    <w:pPr>
      <w:keepNext/>
      <w:keepLines/>
      <w:numPr>
        <w:numId w:val="2"/>
      </w:numPr>
      <w:tabs>
        <w:tab w:val="left" w:pos="907"/>
      </w:tabs>
      <w:ind w:left="907" w:hanging="907"/>
      <w:contextualSpacing/>
    </w:pPr>
  </w:style>
  <w:style w:type="paragraph" w:customStyle="1" w:styleId="FinancialsH1">
    <w:name w:val="Financials H1"/>
    <w:basedOn w:val="Heading1"/>
    <w:next w:val="Normal"/>
    <w:uiPriority w:val="1"/>
    <w:semiHidden/>
    <w:rsid w:val="00010D84"/>
    <w:pPr>
      <w:spacing w:after="360"/>
    </w:pPr>
    <w:rPr>
      <w:color w:val="008A00" w:themeColor="accent2"/>
      <w:sz w:val="44"/>
    </w:rPr>
  </w:style>
  <w:style w:type="paragraph" w:customStyle="1" w:styleId="FinancialsH2">
    <w:name w:val="Financials H2"/>
    <w:basedOn w:val="Heading2"/>
    <w:next w:val="Normal"/>
    <w:uiPriority w:val="1"/>
    <w:semiHidden/>
    <w:rsid w:val="00FC654D"/>
    <w:pPr>
      <w:spacing w:after="0" w:line="240" w:lineRule="auto"/>
    </w:pPr>
    <w:rPr>
      <w:rFonts w:ascii="Arial Bold" w:hAnsi="Arial Bold"/>
      <w:caps/>
      <w:sz w:val="24"/>
      <w:szCs w:val="24"/>
    </w:rPr>
  </w:style>
  <w:style w:type="paragraph" w:customStyle="1" w:styleId="FinancialsH3">
    <w:name w:val="Financials H3"/>
    <w:basedOn w:val="Heading3"/>
    <w:uiPriority w:val="1"/>
    <w:semiHidden/>
    <w:rsid w:val="00A00568"/>
    <w:rPr>
      <w:szCs w:val="22"/>
      <w:lang w:val="en-GB"/>
    </w:rPr>
  </w:style>
  <w:style w:type="paragraph" w:customStyle="1" w:styleId="FinancialsH4">
    <w:name w:val="Financials H4"/>
    <w:basedOn w:val="Heading4"/>
    <w:uiPriority w:val="1"/>
    <w:semiHidden/>
    <w:rsid w:val="00A00568"/>
    <w:pPr>
      <w:spacing w:before="120"/>
    </w:pPr>
    <w:rPr>
      <w:rFonts w:ascii="Arial Bold" w:hAnsi="Arial Bold"/>
      <w:lang w:val="en-GB"/>
    </w:rPr>
  </w:style>
  <w:style w:type="paragraph" w:customStyle="1" w:styleId="FinancialsH5">
    <w:name w:val="Financials H5"/>
    <w:basedOn w:val="Heading5"/>
    <w:uiPriority w:val="1"/>
    <w:semiHidden/>
    <w:rsid w:val="00A00568"/>
    <w:pPr>
      <w:spacing w:before="120"/>
    </w:pPr>
    <w:rPr>
      <w:bCs/>
      <w:lang w:val="en-GB"/>
    </w:rPr>
  </w:style>
  <w:style w:type="paragraph" w:customStyle="1" w:styleId="FinancialsTableH2">
    <w:name w:val="Financials Table H2"/>
    <w:basedOn w:val="TableText"/>
    <w:uiPriority w:val="1"/>
    <w:semiHidden/>
    <w:rsid w:val="00660951"/>
    <w:pPr>
      <w:spacing w:before="120" w:after="40" w:line="240" w:lineRule="auto"/>
    </w:pPr>
    <w:rPr>
      <w:b/>
      <w:color w:val="008A00" w:themeColor="accent2"/>
    </w:rPr>
  </w:style>
  <w:style w:type="paragraph" w:customStyle="1" w:styleId="FinancialsTableText">
    <w:name w:val="Financials Table Text"/>
    <w:basedOn w:val="TableText"/>
    <w:uiPriority w:val="1"/>
    <w:semiHidden/>
    <w:rsid w:val="00660951"/>
    <w:pPr>
      <w:spacing w:before="40" w:after="40" w:line="240" w:lineRule="auto"/>
    </w:pPr>
  </w:style>
  <w:style w:type="paragraph" w:customStyle="1" w:styleId="FinancialsTableTextIndented">
    <w:name w:val="Financials Table Text Indented"/>
    <w:basedOn w:val="TableText"/>
    <w:uiPriority w:val="1"/>
    <w:semiHidden/>
    <w:rsid w:val="00F3495A"/>
    <w:pPr>
      <w:spacing w:before="40" w:after="40" w:line="240" w:lineRule="auto"/>
      <w:ind w:left="170"/>
    </w:pPr>
    <w:rPr>
      <w:i/>
    </w:rPr>
  </w:style>
  <w:style w:type="paragraph" w:customStyle="1" w:styleId="FinancialsTableH1">
    <w:name w:val="Financials Table H1"/>
    <w:basedOn w:val="TableText"/>
    <w:uiPriority w:val="1"/>
    <w:semiHidden/>
    <w:rsid w:val="007A7D19"/>
    <w:pPr>
      <w:spacing w:before="160" w:after="40" w:line="240" w:lineRule="auto"/>
    </w:pPr>
    <w:rPr>
      <w:rFonts w:ascii="Arial Bold" w:hAnsi="Arial Bold"/>
      <w:b/>
      <w:caps/>
    </w:rPr>
  </w:style>
  <w:style w:type="paragraph" w:customStyle="1" w:styleId="NoParagraphStyle">
    <w:name w:val="[No Paragraph Style]"/>
    <w:rsid w:val="00536880"/>
    <w:pPr>
      <w:autoSpaceDE w:val="0"/>
      <w:autoSpaceDN w:val="0"/>
      <w:adjustRightInd w:val="0"/>
      <w:spacing w:line="288" w:lineRule="auto"/>
      <w:textAlignment w:val="center"/>
    </w:pPr>
    <w:rPr>
      <w:rFonts w:ascii="Arial" w:hAnsi="Arial" w:cs="Arial"/>
      <w:color w:val="000000"/>
      <w:lang w:val="en-US"/>
    </w:rPr>
  </w:style>
  <w:style w:type="paragraph" w:customStyle="1" w:styleId="AppendixH1">
    <w:name w:val="Appendix H1"/>
    <w:basedOn w:val="FinancialsH1"/>
    <w:uiPriority w:val="1"/>
    <w:semiHidden/>
    <w:rsid w:val="00FC6134"/>
  </w:style>
  <w:style w:type="paragraph" w:customStyle="1" w:styleId="AppendixH2">
    <w:name w:val="Appendix H2"/>
    <w:basedOn w:val="FinancialsH2"/>
    <w:uiPriority w:val="1"/>
    <w:semiHidden/>
    <w:rsid w:val="00FC6134"/>
  </w:style>
  <w:style w:type="character" w:styleId="PageNumber">
    <w:name w:val="page number"/>
    <w:basedOn w:val="DefaultParagraphFont"/>
    <w:semiHidden/>
    <w:unhideWhenUsed/>
    <w:rsid w:val="005F219D"/>
    <w:rPr>
      <w:rFonts w:asciiTheme="minorHAnsi" w:hAnsiTheme="minorHAnsi"/>
      <w:b/>
      <w:color w:val="008A00" w:themeColor="accent2"/>
      <w:sz w:val="16"/>
    </w:rPr>
  </w:style>
  <w:style w:type="paragraph" w:customStyle="1" w:styleId="p1">
    <w:name w:val="p1"/>
    <w:basedOn w:val="Normal"/>
    <w:rsid w:val="00C303D7"/>
    <w:pPr>
      <w:spacing w:before="0" w:after="86" w:line="240" w:lineRule="auto"/>
    </w:pPr>
    <w:rPr>
      <w:rFonts w:cs="Arial"/>
      <w:sz w:val="12"/>
      <w:szCs w:val="12"/>
      <w:lang w:val="en-US" w:eastAsia="en-US"/>
    </w:rPr>
  </w:style>
  <w:style w:type="paragraph" w:customStyle="1" w:styleId="p2">
    <w:name w:val="p2"/>
    <w:basedOn w:val="Normal"/>
    <w:rsid w:val="00C303D7"/>
    <w:pPr>
      <w:spacing w:before="0" w:after="0" w:line="240" w:lineRule="auto"/>
    </w:pPr>
    <w:rPr>
      <w:rFonts w:cs="Arial"/>
      <w:color w:val="005100"/>
      <w:sz w:val="12"/>
      <w:szCs w:val="12"/>
      <w:lang w:val="en-US" w:eastAsia="en-US"/>
    </w:rPr>
  </w:style>
  <w:style w:type="paragraph" w:customStyle="1" w:styleId="p3">
    <w:name w:val="p3"/>
    <w:basedOn w:val="Normal"/>
    <w:rsid w:val="00C303D7"/>
    <w:pPr>
      <w:spacing w:before="0" w:after="86" w:line="240" w:lineRule="auto"/>
    </w:pPr>
    <w:rPr>
      <w:rFonts w:cs="Arial"/>
      <w:color w:val="005100"/>
      <w:sz w:val="12"/>
      <w:szCs w:val="12"/>
      <w:lang w:val="en-US" w:eastAsia="en-US"/>
    </w:rPr>
  </w:style>
  <w:style w:type="paragraph" w:customStyle="1" w:styleId="p4">
    <w:name w:val="p4"/>
    <w:basedOn w:val="Normal"/>
    <w:rsid w:val="00C303D7"/>
    <w:pPr>
      <w:spacing w:before="0" w:after="0" w:line="240" w:lineRule="auto"/>
    </w:pPr>
    <w:rPr>
      <w:rFonts w:cs="Arial"/>
      <w:sz w:val="12"/>
      <w:szCs w:val="12"/>
      <w:lang w:val="en-US" w:eastAsia="en-US"/>
    </w:rPr>
  </w:style>
  <w:style w:type="character" w:customStyle="1" w:styleId="s2">
    <w:name w:val="s2"/>
    <w:basedOn w:val="DefaultParagraphFont"/>
    <w:rsid w:val="00C303D7"/>
    <w:rPr>
      <w:color w:val="000000"/>
    </w:rPr>
  </w:style>
  <w:style w:type="character" w:customStyle="1" w:styleId="s1">
    <w:name w:val="s1"/>
    <w:basedOn w:val="DefaultParagraphFont"/>
    <w:rsid w:val="00C303D7"/>
  </w:style>
  <w:style w:type="character" w:customStyle="1" w:styleId="apple-converted-space">
    <w:name w:val="apple-converted-space"/>
    <w:basedOn w:val="DefaultParagraphFont"/>
    <w:rsid w:val="00C303D7"/>
  </w:style>
  <w:style w:type="paragraph" w:customStyle="1" w:styleId="Address">
    <w:name w:val="Address"/>
    <w:basedOn w:val="Normal"/>
    <w:uiPriority w:val="1"/>
    <w:qFormat/>
    <w:rsid w:val="00C303D7"/>
    <w:pPr>
      <w:spacing w:before="0" w:after="0" w:line="192" w:lineRule="exact"/>
    </w:pPr>
    <w:rPr>
      <w:b/>
      <w:bCs/>
      <w:color w:val="FFFFFF" w:themeColor="background1"/>
      <w:sz w:val="16"/>
      <w:szCs w:val="16"/>
    </w:rPr>
  </w:style>
  <w:style w:type="paragraph" w:customStyle="1" w:styleId="Act">
    <w:name w:val="Act"/>
    <w:basedOn w:val="Normal"/>
    <w:uiPriority w:val="1"/>
    <w:qFormat/>
    <w:rsid w:val="00E15D40"/>
    <w:pPr>
      <w:spacing w:before="0" w:after="0" w:line="240" w:lineRule="auto"/>
    </w:pPr>
    <w:rPr>
      <w:i/>
    </w:rPr>
  </w:style>
  <w:style w:type="paragraph" w:customStyle="1" w:styleId="Disclaimer">
    <w:name w:val="Disclaimer"/>
    <w:basedOn w:val="Normal"/>
    <w:uiPriority w:val="1"/>
    <w:qFormat/>
    <w:rsid w:val="00E15D40"/>
    <w:pPr>
      <w:spacing w:before="0" w:after="0" w:line="240" w:lineRule="auto"/>
    </w:pPr>
    <w:rPr>
      <w:i/>
    </w:rPr>
  </w:style>
  <w:style w:type="paragraph" w:customStyle="1" w:styleId="Organisationname">
    <w:name w:val="Organisation name"/>
    <w:basedOn w:val="CommentSubject"/>
    <w:autoRedefine/>
    <w:uiPriority w:val="1"/>
    <w:qFormat/>
    <w:rsid w:val="0047601C"/>
    <w:pPr>
      <w:spacing w:before="0" w:after="1320" w:line="260" w:lineRule="atLeast"/>
    </w:pPr>
    <w:rPr>
      <w:noProof/>
      <w:color w:val="FFFFFF" w:themeColor="background1"/>
    </w:rPr>
  </w:style>
  <w:style w:type="paragraph" w:styleId="CommentText">
    <w:name w:val="annotation text"/>
    <w:basedOn w:val="Normal"/>
    <w:link w:val="CommentTextChar"/>
    <w:unhideWhenUsed/>
    <w:rsid w:val="00E15D40"/>
    <w:pPr>
      <w:spacing w:line="240" w:lineRule="auto"/>
    </w:pPr>
    <w:rPr>
      <w:sz w:val="20"/>
      <w:szCs w:val="20"/>
    </w:rPr>
  </w:style>
  <w:style w:type="character" w:customStyle="1" w:styleId="CommentTextChar">
    <w:name w:val="Comment Text Char"/>
    <w:basedOn w:val="DefaultParagraphFont"/>
    <w:link w:val="CommentText"/>
    <w:rsid w:val="00E15D40"/>
    <w:rPr>
      <w:rFonts w:ascii="Arial" w:hAnsi="Arial"/>
    </w:rPr>
  </w:style>
  <w:style w:type="paragraph" w:styleId="CommentSubject">
    <w:name w:val="annotation subject"/>
    <w:basedOn w:val="CommentText"/>
    <w:next w:val="CommentText"/>
    <w:link w:val="CommentSubjectChar"/>
    <w:unhideWhenUsed/>
    <w:rsid w:val="00E15D40"/>
    <w:rPr>
      <w:b/>
      <w:bCs/>
    </w:rPr>
  </w:style>
  <w:style w:type="character" w:customStyle="1" w:styleId="CommentSubjectChar">
    <w:name w:val="Comment Subject Char"/>
    <w:basedOn w:val="CommentTextChar"/>
    <w:link w:val="CommentSubject"/>
    <w:rsid w:val="00E15D40"/>
    <w:rPr>
      <w:rFonts w:ascii="Arial" w:hAnsi="Arial"/>
      <w:b/>
      <w:bCs/>
    </w:rPr>
  </w:style>
  <w:style w:type="paragraph" w:customStyle="1" w:styleId="Versionanddate">
    <w:name w:val="Version and date"/>
    <w:basedOn w:val="Subtitle"/>
    <w:uiPriority w:val="1"/>
    <w:qFormat/>
    <w:rsid w:val="00E15D40"/>
    <w:rPr>
      <w:color w:val="7EC352" w:themeColor="accent3"/>
      <w:sz w:val="28"/>
      <w:szCs w:val="28"/>
    </w:rPr>
  </w:style>
  <w:style w:type="paragraph" w:customStyle="1" w:styleId="Report">
    <w:name w:val="Report"/>
    <w:basedOn w:val="Normal"/>
    <w:next w:val="Normal"/>
    <w:uiPriority w:val="1"/>
    <w:qFormat/>
    <w:rsid w:val="002A4C1B"/>
    <w:pPr>
      <w:spacing w:before="4000" w:after="200" w:line="276" w:lineRule="auto"/>
    </w:pPr>
    <w:rPr>
      <w:b/>
    </w:rPr>
  </w:style>
  <w:style w:type="paragraph" w:styleId="NormalIndent">
    <w:name w:val="Normal Indent"/>
    <w:basedOn w:val="Normal"/>
    <w:unhideWhenUsed/>
    <w:rsid w:val="002A4C1B"/>
    <w:pPr>
      <w:ind w:left="720"/>
    </w:pPr>
  </w:style>
  <w:style w:type="character" w:styleId="IntenseReference">
    <w:name w:val="Intense Reference"/>
    <w:basedOn w:val="DefaultParagraphFont"/>
    <w:uiPriority w:val="32"/>
    <w:qFormat/>
    <w:rsid w:val="00B04A18"/>
    <w:rPr>
      <w:b/>
      <w:bCs/>
      <w:i/>
      <w:smallCaps/>
      <w:color w:val="008A00" w:themeColor="accent2"/>
      <w:spacing w:val="5"/>
      <w:u w:val="none"/>
    </w:rPr>
  </w:style>
  <w:style w:type="character" w:customStyle="1" w:styleId="ListParagraphChar">
    <w:name w:val="List Paragraph Char"/>
    <w:aliases w:val="List Paragraph1 Char,Recommendation Char"/>
    <w:link w:val="ListParagraph"/>
    <w:uiPriority w:val="34"/>
    <w:locked/>
    <w:rsid w:val="00BB2656"/>
    <w:rPr>
      <w:rFonts w:ascii="Arial" w:hAnsi="Arial"/>
      <w:sz w:val="22"/>
      <w:szCs w:val="24"/>
    </w:rPr>
  </w:style>
  <w:style w:type="table" w:customStyle="1" w:styleId="ListTable3-Accent51">
    <w:name w:val="List Table 3 - Accent 51"/>
    <w:basedOn w:val="TableNormal"/>
    <w:uiPriority w:val="48"/>
    <w:rsid w:val="00EA4D5B"/>
    <w:rPr>
      <w:rFonts w:asciiTheme="minorHAnsi" w:eastAsiaTheme="minorHAnsi" w:hAnsiTheme="minorHAnsi" w:cstheme="minorBidi"/>
      <w:sz w:val="22"/>
      <w:szCs w:val="22"/>
      <w:lang w:eastAsia="en-US"/>
    </w:rPr>
    <w:tblPr>
      <w:tblStyleRowBandSize w:val="1"/>
      <w:tblStyleColBandSize w:val="1"/>
      <w:tblBorders>
        <w:top w:val="single" w:sz="4" w:space="0" w:color="939598" w:themeColor="accent5"/>
        <w:left w:val="single" w:sz="4" w:space="0" w:color="939598" w:themeColor="accent5"/>
        <w:bottom w:val="single" w:sz="4" w:space="0" w:color="939598" w:themeColor="accent5"/>
        <w:right w:val="single" w:sz="4" w:space="0" w:color="939598" w:themeColor="accent5"/>
      </w:tblBorders>
    </w:tblPr>
    <w:tblStylePr w:type="firstRow">
      <w:rPr>
        <w:b/>
        <w:bCs/>
        <w:color w:val="FFFFFF" w:themeColor="background1"/>
      </w:rPr>
      <w:tblPr/>
      <w:tcPr>
        <w:shd w:val="clear" w:color="auto" w:fill="939598" w:themeFill="accent5"/>
      </w:tcPr>
    </w:tblStylePr>
    <w:tblStylePr w:type="lastRow">
      <w:rPr>
        <w:b/>
        <w:bCs/>
      </w:rPr>
      <w:tblPr/>
      <w:tcPr>
        <w:tcBorders>
          <w:top w:val="double" w:sz="4" w:space="0" w:color="93959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39598" w:themeColor="accent5"/>
          <w:right w:val="single" w:sz="4" w:space="0" w:color="939598" w:themeColor="accent5"/>
        </w:tcBorders>
      </w:tcPr>
    </w:tblStylePr>
    <w:tblStylePr w:type="band1Horz">
      <w:tblPr/>
      <w:tcPr>
        <w:tcBorders>
          <w:top w:val="single" w:sz="4" w:space="0" w:color="939598" w:themeColor="accent5"/>
          <w:bottom w:val="single" w:sz="4" w:space="0" w:color="93959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39598" w:themeColor="accent5"/>
          <w:left w:val="nil"/>
        </w:tcBorders>
      </w:tcPr>
    </w:tblStylePr>
    <w:tblStylePr w:type="swCell">
      <w:tblPr/>
      <w:tcPr>
        <w:tcBorders>
          <w:top w:val="double" w:sz="4" w:space="0" w:color="939598" w:themeColor="accent5"/>
          <w:right w:val="nil"/>
        </w:tcBorders>
      </w:tcPr>
    </w:tblStylePr>
  </w:style>
  <w:style w:type="character" w:customStyle="1" w:styleId="tgc">
    <w:name w:val="_tgc"/>
    <w:basedOn w:val="DefaultParagraphFont"/>
    <w:rsid w:val="00956426"/>
  </w:style>
  <w:style w:type="paragraph" w:styleId="Caption">
    <w:name w:val="caption"/>
    <w:basedOn w:val="Normal"/>
    <w:next w:val="Normal"/>
    <w:unhideWhenUsed/>
    <w:qFormat/>
    <w:rsid w:val="008F53CC"/>
    <w:pPr>
      <w:spacing w:before="0" w:after="200" w:line="240" w:lineRule="auto"/>
    </w:pPr>
    <w:rPr>
      <w:b/>
      <w:bCs/>
      <w:color w:val="004200" w:themeColor="accent1"/>
      <w:sz w:val="18"/>
      <w:szCs w:val="18"/>
    </w:rPr>
  </w:style>
  <w:style w:type="paragraph" w:styleId="TOC3">
    <w:name w:val="toc 3"/>
    <w:basedOn w:val="Normal"/>
    <w:next w:val="Normal"/>
    <w:autoRedefine/>
    <w:uiPriority w:val="39"/>
    <w:unhideWhenUsed/>
    <w:qFormat/>
    <w:rsid w:val="004F6E85"/>
    <w:pPr>
      <w:tabs>
        <w:tab w:val="left" w:pos="1276"/>
        <w:tab w:val="right" w:leader="dot" w:pos="8931"/>
      </w:tabs>
      <w:spacing w:after="100"/>
      <w:ind w:left="1276" w:right="798" w:hanging="836"/>
    </w:pPr>
  </w:style>
  <w:style w:type="character" w:styleId="CommentReference">
    <w:name w:val="annotation reference"/>
    <w:basedOn w:val="DefaultParagraphFont"/>
    <w:unhideWhenUsed/>
    <w:rsid w:val="00333996"/>
    <w:rPr>
      <w:sz w:val="16"/>
      <w:szCs w:val="16"/>
    </w:rPr>
  </w:style>
  <w:style w:type="character" w:customStyle="1" w:styleId="TitleChar">
    <w:name w:val="Title Char"/>
    <w:basedOn w:val="DefaultParagraphFont"/>
    <w:link w:val="Title"/>
    <w:rsid w:val="001E4C63"/>
    <w:rPr>
      <w:rFonts w:ascii="Arial Bold" w:hAnsi="Arial Bold" w:cs="Arial"/>
      <w:b/>
      <w:bCs/>
      <w:color w:val="FFFFFF" w:themeColor="background1"/>
      <w:kern w:val="28"/>
      <w:sz w:val="84"/>
      <w:szCs w:val="32"/>
    </w:rPr>
  </w:style>
  <w:style w:type="character" w:styleId="SubtleEmphasis">
    <w:name w:val="Subtle Emphasis"/>
    <w:basedOn w:val="DefaultParagraphFont"/>
    <w:uiPriority w:val="19"/>
    <w:qFormat/>
    <w:rsid w:val="001E4C63"/>
    <w:rPr>
      <w:i/>
      <w:iCs/>
      <w:color w:val="808080" w:themeColor="text1" w:themeTint="7F"/>
    </w:rPr>
  </w:style>
  <w:style w:type="character" w:styleId="IntenseEmphasis">
    <w:name w:val="Intense Emphasis"/>
    <w:basedOn w:val="DefaultParagraphFont"/>
    <w:uiPriority w:val="21"/>
    <w:qFormat/>
    <w:rsid w:val="001E4C63"/>
    <w:rPr>
      <w:b/>
      <w:bCs/>
      <w:i/>
      <w:iCs/>
      <w:color w:val="004200" w:themeColor="accent1"/>
    </w:rPr>
  </w:style>
  <w:style w:type="paragraph" w:styleId="Quote">
    <w:name w:val="Quote"/>
    <w:basedOn w:val="Normal"/>
    <w:next w:val="Normal"/>
    <w:link w:val="QuoteChar"/>
    <w:uiPriority w:val="29"/>
    <w:qFormat/>
    <w:rsid w:val="001E4C63"/>
    <w:pPr>
      <w:spacing w:before="0" w:after="0" w:line="240" w:lineRule="auto"/>
    </w:pPr>
    <w:rPr>
      <w:rFonts w:ascii="Times New Roman" w:hAnsi="Times New Roman"/>
      <w:i/>
      <w:iCs/>
      <w:color w:val="000000" w:themeColor="text1"/>
      <w:sz w:val="24"/>
      <w:lang w:eastAsia="en-US"/>
    </w:rPr>
  </w:style>
  <w:style w:type="character" w:customStyle="1" w:styleId="QuoteChar">
    <w:name w:val="Quote Char"/>
    <w:basedOn w:val="DefaultParagraphFont"/>
    <w:link w:val="Quote"/>
    <w:uiPriority w:val="29"/>
    <w:rsid w:val="001E4C63"/>
    <w:rPr>
      <w:i/>
      <w:iCs/>
      <w:color w:val="000000" w:themeColor="text1"/>
      <w:sz w:val="24"/>
      <w:szCs w:val="24"/>
      <w:lang w:eastAsia="en-US"/>
    </w:rPr>
  </w:style>
  <w:style w:type="paragraph" w:styleId="IntenseQuote">
    <w:name w:val="Intense Quote"/>
    <w:basedOn w:val="Normal"/>
    <w:next w:val="Normal"/>
    <w:link w:val="IntenseQuoteChar"/>
    <w:uiPriority w:val="30"/>
    <w:qFormat/>
    <w:rsid w:val="001E4C63"/>
    <w:pPr>
      <w:pBdr>
        <w:bottom w:val="single" w:sz="4" w:space="4" w:color="004200" w:themeColor="accent1"/>
      </w:pBdr>
      <w:spacing w:before="200" w:after="280" w:line="240" w:lineRule="auto"/>
      <w:ind w:left="936" w:right="936"/>
    </w:pPr>
    <w:rPr>
      <w:rFonts w:ascii="Times New Roman" w:hAnsi="Times New Roman"/>
      <w:b/>
      <w:bCs/>
      <w:i/>
      <w:iCs/>
      <w:color w:val="004200" w:themeColor="accent1"/>
      <w:sz w:val="24"/>
      <w:lang w:eastAsia="en-US"/>
    </w:rPr>
  </w:style>
  <w:style w:type="character" w:customStyle="1" w:styleId="IntenseQuoteChar">
    <w:name w:val="Intense Quote Char"/>
    <w:basedOn w:val="DefaultParagraphFont"/>
    <w:link w:val="IntenseQuote"/>
    <w:uiPriority w:val="30"/>
    <w:rsid w:val="001E4C63"/>
    <w:rPr>
      <w:b/>
      <w:bCs/>
      <w:i/>
      <w:iCs/>
      <w:color w:val="004200" w:themeColor="accent1"/>
      <w:sz w:val="24"/>
      <w:szCs w:val="24"/>
      <w:lang w:eastAsia="en-US"/>
    </w:rPr>
  </w:style>
  <w:style w:type="character" w:styleId="SubtleReference">
    <w:name w:val="Subtle Reference"/>
    <w:basedOn w:val="DefaultParagraphFont"/>
    <w:uiPriority w:val="31"/>
    <w:qFormat/>
    <w:rsid w:val="001E4C63"/>
    <w:rPr>
      <w:smallCaps/>
      <w:color w:val="008A00" w:themeColor="accent2"/>
      <w:u w:val="single"/>
    </w:rPr>
  </w:style>
  <w:style w:type="character" w:styleId="BookTitle">
    <w:name w:val="Book Title"/>
    <w:basedOn w:val="DefaultParagraphFont"/>
    <w:uiPriority w:val="33"/>
    <w:qFormat/>
    <w:rsid w:val="001E4C63"/>
    <w:rPr>
      <w:b/>
      <w:bCs/>
      <w:smallCaps/>
      <w:spacing w:val="5"/>
    </w:rPr>
  </w:style>
  <w:style w:type="table" w:styleId="LightList-Accent1">
    <w:name w:val="Light List Accent 1"/>
    <w:basedOn w:val="TableNormal"/>
    <w:uiPriority w:val="61"/>
    <w:rsid w:val="001E4C63"/>
    <w:tblPr>
      <w:tblStyleRowBandSize w:val="1"/>
      <w:tblStyleColBandSize w:val="1"/>
      <w:tblBorders>
        <w:top w:val="single" w:sz="8" w:space="0" w:color="004200" w:themeColor="accent1"/>
        <w:left w:val="single" w:sz="8" w:space="0" w:color="004200" w:themeColor="accent1"/>
        <w:bottom w:val="single" w:sz="8" w:space="0" w:color="004200" w:themeColor="accent1"/>
        <w:right w:val="single" w:sz="8" w:space="0" w:color="004200" w:themeColor="accent1"/>
      </w:tblBorders>
    </w:tblPr>
    <w:tblStylePr w:type="firstRow">
      <w:pPr>
        <w:spacing w:before="0" w:after="0" w:line="240" w:lineRule="auto"/>
      </w:pPr>
      <w:rPr>
        <w:b/>
        <w:bCs/>
        <w:color w:val="FFFFFF" w:themeColor="background1"/>
      </w:rPr>
      <w:tblPr/>
      <w:tcPr>
        <w:shd w:val="clear" w:color="auto" w:fill="004200" w:themeFill="accent1"/>
      </w:tcPr>
    </w:tblStylePr>
    <w:tblStylePr w:type="lastRow">
      <w:pPr>
        <w:spacing w:before="0" w:after="0" w:line="240" w:lineRule="auto"/>
      </w:pPr>
      <w:rPr>
        <w:b/>
        <w:bCs/>
      </w:rPr>
      <w:tblPr/>
      <w:tcPr>
        <w:tcBorders>
          <w:top w:val="double" w:sz="6" w:space="0" w:color="004200" w:themeColor="accent1"/>
          <w:left w:val="single" w:sz="8" w:space="0" w:color="004200" w:themeColor="accent1"/>
          <w:bottom w:val="single" w:sz="8" w:space="0" w:color="004200" w:themeColor="accent1"/>
          <w:right w:val="single" w:sz="8" w:space="0" w:color="004200" w:themeColor="accent1"/>
        </w:tcBorders>
      </w:tcPr>
    </w:tblStylePr>
    <w:tblStylePr w:type="firstCol">
      <w:rPr>
        <w:b/>
        <w:bCs/>
      </w:rPr>
    </w:tblStylePr>
    <w:tblStylePr w:type="lastCol">
      <w:rPr>
        <w:b/>
        <w:bCs/>
      </w:rPr>
    </w:tblStylePr>
    <w:tblStylePr w:type="band1Vert">
      <w:tblPr/>
      <w:tcPr>
        <w:tcBorders>
          <w:top w:val="single" w:sz="8" w:space="0" w:color="004200" w:themeColor="accent1"/>
          <w:left w:val="single" w:sz="8" w:space="0" w:color="004200" w:themeColor="accent1"/>
          <w:bottom w:val="single" w:sz="8" w:space="0" w:color="004200" w:themeColor="accent1"/>
          <w:right w:val="single" w:sz="8" w:space="0" w:color="004200" w:themeColor="accent1"/>
        </w:tcBorders>
      </w:tcPr>
    </w:tblStylePr>
    <w:tblStylePr w:type="band1Horz">
      <w:tblPr/>
      <w:tcPr>
        <w:tcBorders>
          <w:top w:val="single" w:sz="8" w:space="0" w:color="004200" w:themeColor="accent1"/>
          <w:left w:val="single" w:sz="8" w:space="0" w:color="004200" w:themeColor="accent1"/>
          <w:bottom w:val="single" w:sz="8" w:space="0" w:color="004200" w:themeColor="accent1"/>
          <w:right w:val="single" w:sz="8" w:space="0" w:color="004200" w:themeColor="accent1"/>
        </w:tcBorders>
      </w:tcPr>
    </w:tblStylePr>
  </w:style>
  <w:style w:type="character" w:customStyle="1" w:styleId="HeaderChar">
    <w:name w:val="Header Char"/>
    <w:basedOn w:val="DefaultParagraphFont"/>
    <w:link w:val="Header"/>
    <w:rsid w:val="001E4C63"/>
    <w:rPr>
      <w:rFonts w:ascii="Arial" w:hAnsi="Arial"/>
      <w:b/>
      <w:sz w:val="16"/>
      <w:szCs w:val="24"/>
    </w:rPr>
  </w:style>
  <w:style w:type="character" w:customStyle="1" w:styleId="FooterChar">
    <w:name w:val="Footer Char"/>
    <w:basedOn w:val="DefaultParagraphFont"/>
    <w:link w:val="Footer"/>
    <w:uiPriority w:val="99"/>
    <w:rsid w:val="001E4C63"/>
    <w:rPr>
      <w:rFonts w:ascii="Arial" w:hAnsi="Arial"/>
      <w:b/>
      <w:sz w:val="16"/>
      <w:szCs w:val="24"/>
    </w:rPr>
  </w:style>
  <w:style w:type="character" w:customStyle="1" w:styleId="Heading1Char">
    <w:name w:val="Heading 1 Char"/>
    <w:basedOn w:val="DefaultParagraphFont"/>
    <w:link w:val="Heading1"/>
    <w:uiPriority w:val="4"/>
    <w:rsid w:val="001E4C63"/>
    <w:rPr>
      <w:rFonts w:asciiTheme="majorHAnsi" w:hAnsiTheme="majorHAnsi"/>
      <w:b/>
      <w:sz w:val="64"/>
      <w:szCs w:val="44"/>
    </w:rPr>
  </w:style>
  <w:style w:type="paragraph" w:customStyle="1" w:styleId="OrganisationName0">
    <w:name w:val="Organisation Name"/>
    <w:basedOn w:val="Normal"/>
    <w:next w:val="Title"/>
    <w:uiPriority w:val="10"/>
    <w:qFormat/>
    <w:rsid w:val="001E4C63"/>
    <w:pPr>
      <w:spacing w:before="0" w:line="240" w:lineRule="auto"/>
      <w:jc w:val="center"/>
    </w:pPr>
    <w:rPr>
      <w:rFonts w:asciiTheme="minorHAnsi" w:eastAsiaTheme="minorHAnsi" w:hAnsiTheme="minorHAnsi" w:cstheme="minorBidi"/>
      <w:b/>
      <w:sz w:val="36"/>
      <w:szCs w:val="36"/>
      <w:lang w:eastAsia="en-US"/>
    </w:rPr>
  </w:style>
  <w:style w:type="paragraph" w:customStyle="1" w:styleId="Bullet1">
    <w:name w:val="Bullet 1"/>
    <w:basedOn w:val="Normal"/>
    <w:uiPriority w:val="34"/>
    <w:semiHidden/>
    <w:rsid w:val="00405E59"/>
    <w:pPr>
      <w:numPr>
        <w:numId w:val="70"/>
      </w:numPr>
      <w:spacing w:before="0" w:after="200" w:line="240" w:lineRule="auto"/>
    </w:pPr>
    <w:rPr>
      <w:rFonts w:asciiTheme="minorHAnsi" w:eastAsiaTheme="minorHAnsi" w:hAnsiTheme="minorHAnsi" w:cstheme="minorBidi"/>
      <w:szCs w:val="22"/>
      <w:lang w:eastAsia="en-US"/>
    </w:rPr>
  </w:style>
  <w:style w:type="character" w:customStyle="1" w:styleId="Heading3Char">
    <w:name w:val="Heading 3 Char"/>
    <w:basedOn w:val="DefaultParagraphFont"/>
    <w:link w:val="Heading3"/>
    <w:rsid w:val="00222799"/>
    <w:rPr>
      <w:rFonts w:asciiTheme="majorHAnsi" w:hAnsiTheme="majorHAnsi"/>
      <w:b/>
      <w:color w:val="004200" w:themeColor="accent1"/>
      <w:sz w:val="24"/>
      <w:szCs w:val="28"/>
    </w:rPr>
  </w:style>
  <w:style w:type="paragraph" w:styleId="Revision">
    <w:name w:val="Revision"/>
    <w:hidden/>
    <w:uiPriority w:val="99"/>
    <w:semiHidden/>
    <w:rsid w:val="001F0264"/>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06569">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76046541">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 w:id="211015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hyperlink" Target="mailto:enquiries.ihpa@health.gov.a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creativecommons.org/licenses/by/3.0/au/legalcode" TargetMode="External"/><Relationship Id="rId17" Type="http://schemas.openxmlformats.org/officeDocument/2006/relationships/hyperlink" Target="http://www.ihpa.gov.au/"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ihpa.gov.au/internet/ihpa/publishing.nsf/Content/mental-health"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3.0/au/deed.en" TargetMode="External"/><Relationship Id="rId5" Type="http://schemas.openxmlformats.org/officeDocument/2006/relationships/settings" Target="settings.xml"/><Relationship Id="rId15" Type="http://schemas.openxmlformats.org/officeDocument/2006/relationships/hyperlink" Target="mailto:submissions.ihpa@ihpa.gov.au" TargetMode="External"/><Relationship Id="rId10" Type="http://schemas.openxmlformats.org/officeDocument/2006/relationships/header" Target="header1.xml"/><Relationship Id="rId19" Type="http://schemas.openxmlformats.org/officeDocument/2006/relationships/hyperlink" Target="mailto:submissions.ihpa@ihpa.gov.a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creativecommons.org/licenses/by/3.0/au/deed.en"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health.gov.au/internet/publications/publishing.nsf/Content/drugtreat-pubs-comorbid-toc~drugtreat-pubs-comorbid-6~drugtreat-pubs-comorbid-6-2" TargetMode="External"/><Relationship Id="rId3" Type="http://schemas.openxmlformats.org/officeDocument/2006/relationships/hyperlink" Target="https://www.ihpa.gov.au/publications/review-non-admitted-classifications" TargetMode="External"/><Relationship Id="rId7" Type="http://schemas.openxmlformats.org/officeDocument/2006/relationships/hyperlink" Target="http://www.aihw.gov.au/WorkArea/DownloadAsset.aspx?id=10737422824" TargetMode="External"/><Relationship Id="rId2" Type="http://schemas.openxmlformats.org/officeDocument/2006/relationships/hyperlink" Target="http://www.health.gov.au/internet/ministers/publishing.nsf/Content/health-mediarel-yr2016-ley024.htm" TargetMode="External"/><Relationship Id="rId1" Type="http://schemas.openxmlformats.org/officeDocument/2006/relationships/hyperlink" Target="http://www.commonwealthfund.org/publications/other/2017/ten-recommendations" TargetMode="External"/><Relationship Id="rId6" Type="http://schemas.openxmlformats.org/officeDocument/2006/relationships/hyperlink" Target="http://www.who.int/classifications/ichi/en/" TargetMode="External"/><Relationship Id="rId5" Type="http://schemas.openxmlformats.org/officeDocument/2006/relationships/hyperlink" Target="https://www.ihpa.gov.au/publications/investigative-review-classification-systems-emergency-care" TargetMode="External"/><Relationship Id="rId4" Type="http://schemas.openxmlformats.org/officeDocument/2006/relationships/hyperlink" Target="https://www.ihpa.gov.au/publications/tier-2-non-admitted-services-compendium-2016-1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IHPA">
      <a:dk1>
        <a:sysClr val="windowText" lastClr="000000"/>
      </a:dk1>
      <a:lt1>
        <a:sysClr val="window" lastClr="FFFFFF"/>
      </a:lt1>
      <a:dk2>
        <a:srgbClr val="333132"/>
      </a:dk2>
      <a:lt2>
        <a:srgbClr val="FFFFFF"/>
      </a:lt2>
      <a:accent1>
        <a:srgbClr val="004200"/>
      </a:accent1>
      <a:accent2>
        <a:srgbClr val="008A00"/>
      </a:accent2>
      <a:accent3>
        <a:srgbClr val="7EC352"/>
      </a:accent3>
      <a:accent4>
        <a:srgbClr val="636466"/>
      </a:accent4>
      <a:accent5>
        <a:srgbClr val="939598"/>
      </a:accent5>
      <a:accent6>
        <a:srgbClr val="C7C8CA"/>
      </a:accent6>
      <a:hlink>
        <a:srgbClr val="000000"/>
      </a:hlink>
      <a:folHlink>
        <a:srgbClr val="000000"/>
      </a:folHlink>
    </a:clrScheme>
    <a:fontScheme name="IHP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2E260-ED47-4F3E-ADA0-F103BAA0B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14657</Words>
  <Characters>83549</Characters>
  <Application>Microsoft Office Word</Application>
  <DocSecurity>4</DocSecurity>
  <Lines>696</Lines>
  <Paragraphs>196</Paragraphs>
  <ScaleCrop>false</ScaleCrop>
  <HeadingPairs>
    <vt:vector size="2" baseType="variant">
      <vt:variant>
        <vt:lpstr>Title</vt:lpstr>
      </vt:variant>
      <vt:variant>
        <vt:i4>1</vt:i4>
      </vt:variant>
    </vt:vector>
  </HeadingPairs>
  <TitlesOfParts>
    <vt:vector size="1" baseType="lpstr">
      <vt:lpstr>Australian Non-Admitted Care Classification Development Stakeholder Consultation Paper</vt:lpstr>
    </vt:vector>
  </TitlesOfParts>
  <LinksUpToDate>false</LinksUpToDate>
  <CharactersWithSpaces>98010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Non-Admitted Care Classification Development Stakeholder Consultation Paper</dc:title>
  <dc:creator/>
  <cp:lastModifiedBy/>
  <cp:revision>1</cp:revision>
  <dcterms:created xsi:type="dcterms:W3CDTF">2018-02-09T02:38:00Z</dcterms:created>
  <dcterms:modified xsi:type="dcterms:W3CDTF">2018-02-09T02:38:00Z</dcterms:modified>
</cp:coreProperties>
</file>