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19F" w:rsidRPr="00797C88" w:rsidRDefault="0035219F" w:rsidP="0047601C">
      <w:pPr>
        <w:pStyle w:val="Organisationname"/>
      </w:pPr>
      <w:r w:rsidRPr="00797C88">
        <w:drawing>
          <wp:anchor distT="0" distB="0" distL="114300" distR="114300" simplePos="0" relativeHeight="251659264" behindDoc="1" locked="0" layoutInCell="0" allowOverlap="1" wp14:anchorId="732951CB" wp14:editId="1333BB21">
            <wp:simplePos x="0" y="0"/>
            <wp:positionH relativeFrom="page">
              <wp:posOffset>10633</wp:posOffset>
            </wp:positionH>
            <wp:positionV relativeFrom="page">
              <wp:align>top</wp:align>
            </wp:positionV>
            <wp:extent cx="7836195" cy="10693388"/>
            <wp:effectExtent l="0" t="0" r="0" b="0"/>
            <wp:wrapNone/>
            <wp:docPr id="2" name="Picture 2" descr="The logo for the Independent Hospital Pricing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nt_Cove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36195" cy="10693388"/>
                    </a:xfrm>
                    <a:prstGeom prst="rect">
                      <a:avLst/>
                    </a:prstGeom>
                  </pic:spPr>
                </pic:pic>
              </a:graphicData>
            </a:graphic>
            <wp14:sizeRelH relativeFrom="margin">
              <wp14:pctWidth>0</wp14:pctWidth>
            </wp14:sizeRelH>
            <wp14:sizeRelV relativeFrom="margin">
              <wp14:pctHeight>0</wp14:pctHeight>
            </wp14:sizeRelV>
          </wp:anchor>
        </w:drawing>
      </w:r>
      <w:r w:rsidRPr="00797C88">
        <w:t>Independent Hospital Pricing Authority</w:t>
      </w:r>
    </w:p>
    <w:p w:rsidR="00331B48" w:rsidRDefault="006D258D" w:rsidP="0064379C">
      <w:pPr>
        <w:pStyle w:val="Subtitle"/>
        <w:rPr>
          <w:rFonts w:ascii="Arial Bold" w:eastAsia="Times New Roman" w:hAnsi="Arial Bold" w:cs="Arial"/>
          <w:bCs/>
          <w:iCs w:val="0"/>
          <w:kern w:val="28"/>
          <w:sz w:val="84"/>
          <w:szCs w:val="32"/>
        </w:rPr>
      </w:pPr>
      <w:bookmarkStart w:id="0" w:name="_GoBack"/>
      <w:r w:rsidRPr="006D258D">
        <w:rPr>
          <w:rFonts w:ascii="Arial Bold" w:eastAsia="Times New Roman" w:hAnsi="Arial Bold" w:cs="Arial"/>
          <w:bCs/>
          <w:iCs w:val="0"/>
          <w:kern w:val="28"/>
          <w:sz w:val="84"/>
          <w:szCs w:val="32"/>
        </w:rPr>
        <w:t>Development of the Australian Teaching and Training Classification</w:t>
      </w:r>
    </w:p>
    <w:p w:rsidR="00E15D40" w:rsidRDefault="006D258D" w:rsidP="0064379C">
      <w:pPr>
        <w:pStyle w:val="Subtitle"/>
      </w:pPr>
      <w:r>
        <w:t>Public c</w:t>
      </w:r>
      <w:r w:rsidR="0064379C" w:rsidRPr="0064379C">
        <w:t>onsultation</w:t>
      </w:r>
    </w:p>
    <w:bookmarkEnd w:id="0"/>
    <w:p w:rsidR="00EC2C42" w:rsidRDefault="0064379C" w:rsidP="00EC2C42">
      <w:pPr>
        <w:pStyle w:val="Versionanddate"/>
        <w:rPr>
          <w:color w:val="004200" w:themeColor="accent1"/>
        </w:rPr>
        <w:sectPr w:rsidR="00EC2C42" w:rsidSect="006D7DE6">
          <w:headerReference w:type="default" r:id="rId10"/>
          <w:pgSz w:w="11906" w:h="16838" w:code="9"/>
          <w:pgMar w:top="2041" w:right="3232" w:bottom="1021" w:left="1021" w:header="680" w:footer="510" w:gutter="0"/>
          <w:pgNumType w:start="1"/>
          <w:cols w:space="708"/>
          <w:docGrid w:linePitch="360"/>
        </w:sectPr>
      </w:pPr>
      <w:r>
        <w:rPr>
          <w:color w:val="004200" w:themeColor="accent1"/>
        </w:rPr>
        <w:t xml:space="preserve">Version 0.1, </w:t>
      </w:r>
      <w:r w:rsidR="00DE6447">
        <w:rPr>
          <w:color w:val="004200" w:themeColor="accent1"/>
        </w:rPr>
        <w:t>August</w:t>
      </w:r>
      <w:r>
        <w:rPr>
          <w:color w:val="004200" w:themeColor="accent1"/>
        </w:rPr>
        <w:t xml:space="preserve"> 2017</w:t>
      </w:r>
      <w:bookmarkStart w:id="1" w:name="_Toc432437392"/>
    </w:p>
    <w:bookmarkEnd w:id="1"/>
    <w:p w:rsidR="00534DAC" w:rsidRDefault="00534DAC" w:rsidP="00534DAC">
      <w:pPr>
        <w:pStyle w:val="Report"/>
        <w:spacing w:before="1000"/>
      </w:pPr>
    </w:p>
    <w:p w:rsidR="00534DAC" w:rsidRDefault="00534DAC" w:rsidP="00534DAC">
      <w:pPr>
        <w:pStyle w:val="Report"/>
        <w:spacing w:before="0"/>
      </w:pPr>
      <w:r>
        <w:t>Version history</w:t>
      </w:r>
    </w:p>
    <w:tbl>
      <w:tblPr>
        <w:tblStyle w:val="DefaultTable"/>
        <w:tblW w:w="0" w:type="auto"/>
        <w:tblBorders>
          <w:top w:val="single" w:sz="4" w:space="0" w:color="auto"/>
          <w:left w:val="single" w:sz="4" w:space="0" w:color="auto"/>
          <w:right w:val="single" w:sz="4" w:space="0" w:color="auto"/>
          <w:insideH w:val="single" w:sz="4" w:space="0" w:color="auto"/>
        </w:tblBorders>
        <w:tblLook w:val="04A0" w:firstRow="1" w:lastRow="0" w:firstColumn="1" w:lastColumn="0" w:noHBand="0" w:noVBand="1"/>
        <w:tblDescription w:val="Version control history table"/>
      </w:tblPr>
      <w:tblGrid>
        <w:gridCol w:w="1134"/>
        <w:gridCol w:w="1701"/>
        <w:gridCol w:w="6237"/>
      </w:tblGrid>
      <w:tr w:rsidR="00534DAC" w:rsidRPr="00534DAC" w:rsidTr="00534DA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top w:val="none" w:sz="0" w:space="0" w:color="auto"/>
              <w:left w:val="none" w:sz="0" w:space="0" w:color="auto"/>
              <w:bottom w:val="single" w:sz="4" w:space="0" w:color="auto"/>
              <w:right w:val="none" w:sz="0" w:space="0" w:color="auto"/>
              <w:tl2br w:val="none" w:sz="0" w:space="0" w:color="auto"/>
              <w:tr2bl w:val="none" w:sz="0" w:space="0" w:color="auto"/>
            </w:tcBorders>
            <w:shd w:val="clear" w:color="auto" w:fill="008A00" w:themeFill="accent2"/>
          </w:tcPr>
          <w:p w:rsidR="00534DAC" w:rsidRPr="00534DAC" w:rsidRDefault="00534DAC" w:rsidP="00534DAC">
            <w:pPr>
              <w:rPr>
                <w:rFonts w:ascii="Arial Bold" w:hAnsi="Arial Bold"/>
                <w:color w:val="FFFFFF" w:themeColor="background1"/>
              </w:rPr>
            </w:pPr>
            <w:r w:rsidRPr="00534DAC">
              <w:rPr>
                <w:rFonts w:ascii="Arial Bold" w:hAnsi="Arial Bold"/>
                <w:color w:val="FFFFFF" w:themeColor="background1"/>
              </w:rPr>
              <w:t>Version</w:t>
            </w:r>
          </w:p>
        </w:tc>
        <w:tc>
          <w:tcPr>
            <w:tcW w:w="1701"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Effective Dates</w:t>
            </w:r>
          </w:p>
        </w:tc>
        <w:tc>
          <w:tcPr>
            <w:tcW w:w="6237" w:type="dxa"/>
            <w:tcBorders>
              <w:bottom w:val="single" w:sz="4" w:space="0" w:color="auto"/>
            </w:tcBorders>
            <w:shd w:val="clear" w:color="auto" w:fill="008A00" w:themeFill="accent2"/>
          </w:tcPr>
          <w:p w:rsidR="00534DAC" w:rsidRPr="00534DAC" w:rsidRDefault="00534DAC" w:rsidP="00534DAC">
            <w:pPr>
              <w:cnfStyle w:val="100000000000" w:firstRow="1" w:lastRow="0" w:firstColumn="0" w:lastColumn="0" w:oddVBand="0" w:evenVBand="0" w:oddHBand="0" w:evenHBand="0" w:firstRowFirstColumn="0" w:firstRowLastColumn="0" w:lastRowFirstColumn="0" w:lastRowLastColumn="0"/>
              <w:rPr>
                <w:rFonts w:ascii="Arial Bold" w:hAnsi="Arial Bold"/>
                <w:color w:val="FFFFFF" w:themeColor="background1"/>
              </w:rPr>
            </w:pPr>
            <w:r w:rsidRPr="00534DAC">
              <w:rPr>
                <w:rFonts w:ascii="Arial Bold" w:hAnsi="Arial Bold"/>
                <w:color w:val="FFFFFF" w:themeColor="background1"/>
              </w:rPr>
              <w:t>Change Summary</w:t>
            </w: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none" w:sz="0" w:space="0" w:color="auto"/>
              <w:bottom w:val="single" w:sz="4" w:space="0" w:color="auto"/>
              <w:right w:val="none" w:sz="0" w:space="0" w:color="auto"/>
              <w:tl2br w:val="none" w:sz="0" w:space="0" w:color="auto"/>
              <w:tr2bl w:val="none" w:sz="0" w:space="0" w:color="auto"/>
            </w:tcBorders>
            <w:shd w:val="clear" w:color="auto" w:fill="auto"/>
          </w:tcPr>
          <w:p w:rsidR="00534DAC" w:rsidRPr="00534DAC" w:rsidRDefault="0048685F" w:rsidP="00534DAC">
            <w:pPr>
              <w:rPr>
                <w:b w:val="0"/>
              </w:rPr>
            </w:pPr>
            <w:r>
              <w:rPr>
                <w:b w:val="0"/>
              </w:rPr>
              <w:t>0.1</w:t>
            </w:r>
          </w:p>
        </w:tc>
        <w:tc>
          <w:tcPr>
            <w:tcW w:w="1701" w:type="dxa"/>
            <w:shd w:val="clear" w:color="auto" w:fill="auto"/>
          </w:tcPr>
          <w:p w:rsidR="00534DAC" w:rsidRPr="00534DAC" w:rsidRDefault="00DE6447" w:rsidP="00534DAC">
            <w:pPr>
              <w:cnfStyle w:val="000000100000" w:firstRow="0" w:lastRow="0" w:firstColumn="0" w:lastColumn="0" w:oddVBand="0" w:evenVBand="0" w:oddHBand="1" w:evenHBand="0" w:firstRowFirstColumn="0" w:firstRowLastColumn="0" w:lastRowFirstColumn="0" w:lastRowLastColumn="0"/>
            </w:pPr>
            <w:r>
              <w:t>August</w:t>
            </w:r>
            <w:r w:rsidR="0048685F">
              <w:t xml:space="preserve"> 2017</w:t>
            </w:r>
          </w:p>
        </w:tc>
        <w:tc>
          <w:tcPr>
            <w:tcW w:w="6237" w:type="dxa"/>
            <w:shd w:val="clear" w:color="auto" w:fill="auto"/>
          </w:tcPr>
          <w:p w:rsidR="00534DAC" w:rsidRPr="00534DAC" w:rsidRDefault="00E50542" w:rsidP="0048685F">
            <w:pPr>
              <w:cnfStyle w:val="000000100000" w:firstRow="0" w:lastRow="0" w:firstColumn="0" w:lastColumn="0" w:oddVBand="0" w:evenVBand="0" w:oddHBand="1" w:evenHBand="0" w:firstRowFirstColumn="0" w:firstRowLastColumn="0" w:lastRowFirstColumn="0" w:lastRowLastColumn="0"/>
            </w:pPr>
            <w:r>
              <w:t xml:space="preserve">Final </w:t>
            </w:r>
            <w:r w:rsidR="00534DAC">
              <w:t xml:space="preserve">version </w:t>
            </w:r>
            <w:r w:rsidR="0048685F">
              <w:t xml:space="preserve">of </w:t>
            </w:r>
            <w:r w:rsidR="00934F80">
              <w:t xml:space="preserve">ATTC </w:t>
            </w:r>
            <w:r w:rsidR="00534DAC">
              <w:t>public consultation</w:t>
            </w:r>
            <w:r w:rsidR="0048685F">
              <w:t xml:space="preserve"> document</w:t>
            </w:r>
          </w:p>
        </w:tc>
      </w:tr>
      <w:tr w:rsidR="00534DAC" w:rsidTr="00534DAC">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bottom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c>
          <w:tcPr>
            <w:tcW w:w="6237" w:type="dxa"/>
            <w:shd w:val="clear" w:color="auto" w:fill="auto"/>
          </w:tcPr>
          <w:p w:rsidR="00534DAC" w:rsidRPr="00534DAC" w:rsidRDefault="00534DAC" w:rsidP="00534DAC">
            <w:pPr>
              <w:cnfStyle w:val="000000000000" w:firstRow="0" w:lastRow="0" w:firstColumn="0" w:lastColumn="0" w:oddVBand="0" w:evenVBand="0" w:oddHBand="0" w:evenHBand="0" w:firstRowFirstColumn="0" w:firstRowLastColumn="0" w:lastRowFirstColumn="0" w:lastRowLastColumn="0"/>
            </w:pPr>
          </w:p>
        </w:tc>
      </w:tr>
      <w:tr w:rsidR="00534DAC" w:rsidTr="00534DA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34" w:type="dxa"/>
            <w:tcBorders>
              <w:left w:val="single" w:sz="4" w:space="0" w:color="auto"/>
            </w:tcBorders>
            <w:shd w:val="clear" w:color="auto" w:fill="auto"/>
          </w:tcPr>
          <w:p w:rsidR="00534DAC" w:rsidRPr="00534DAC" w:rsidRDefault="00534DAC" w:rsidP="00534DAC">
            <w:pPr>
              <w:rPr>
                <w:b w:val="0"/>
              </w:rPr>
            </w:pPr>
          </w:p>
        </w:tc>
        <w:tc>
          <w:tcPr>
            <w:tcW w:w="1701"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c>
          <w:tcPr>
            <w:tcW w:w="6237" w:type="dxa"/>
            <w:shd w:val="clear" w:color="auto" w:fill="auto"/>
          </w:tcPr>
          <w:p w:rsidR="00534DAC" w:rsidRPr="00534DAC" w:rsidRDefault="00534DAC" w:rsidP="00534DAC">
            <w:pPr>
              <w:cnfStyle w:val="000000100000" w:firstRow="0" w:lastRow="0" w:firstColumn="0" w:lastColumn="0" w:oddVBand="0" w:evenVBand="0" w:oddHBand="1" w:evenHBand="0" w:firstRowFirstColumn="0" w:firstRowLastColumn="0" w:lastRowFirstColumn="0" w:lastRowLastColumn="0"/>
            </w:pPr>
          </w:p>
        </w:tc>
      </w:tr>
    </w:tbl>
    <w:p w:rsidR="00534DAC" w:rsidRPr="00534DAC" w:rsidRDefault="00534DAC" w:rsidP="00534DAC"/>
    <w:p w:rsidR="002A4C1B" w:rsidRPr="00EC2C42" w:rsidRDefault="0064379C" w:rsidP="00534DAC">
      <w:pPr>
        <w:pStyle w:val="Report"/>
        <w:spacing w:before="800"/>
      </w:pPr>
      <w:r>
        <w:t xml:space="preserve">Development of the Australian Teaching and Training Classification – </w:t>
      </w:r>
      <w:r>
        <w:br/>
        <w:t xml:space="preserve">public consultation paper, version 0.1, </w:t>
      </w:r>
      <w:r w:rsidR="00DE6447">
        <w:t>August</w:t>
      </w:r>
      <w:r>
        <w:t xml:space="preserve"> 2017</w:t>
      </w:r>
    </w:p>
    <w:p w:rsidR="002A4C1B" w:rsidRDefault="002A4C1B" w:rsidP="002A4C1B"/>
    <w:p w:rsidR="002A4C1B" w:rsidRDefault="002A4C1B" w:rsidP="002A4C1B">
      <w:r>
        <w:t>© Independent Hospital Pricing Authority 201</w:t>
      </w:r>
      <w:r w:rsidR="003B465D">
        <w:t>7</w:t>
      </w:r>
    </w:p>
    <w:p w:rsidR="002A4C1B" w:rsidRDefault="002A4C1B" w:rsidP="002A4C1B">
      <w:r>
        <w:t xml:space="preserve">This publication is available for your use under a </w:t>
      </w:r>
      <w:hyperlink r:id="rId11" w:history="1">
        <w:r w:rsidRPr="002A4C1B">
          <w:rPr>
            <w:rStyle w:val="Hyperlink"/>
          </w:rPr>
          <w:t>Creative Commons BY Attribution 3.0 Australia</w:t>
        </w:r>
      </w:hyperlink>
      <w:r>
        <w:t xml:space="preserve"> licence, with the exception of the Independent Hospital Pricing Authority logo, photographs, images, signatures and where otherwise stated. The full licence terms are available from </w:t>
      </w:r>
      <w:hyperlink r:id="rId12" w:history="1">
        <w:r w:rsidRPr="002A4C1B">
          <w:rPr>
            <w:rStyle w:val="Hyperlink"/>
          </w:rPr>
          <w:t>the Creative Commons website</w:t>
        </w:r>
      </w:hyperlink>
      <w:r>
        <w:t>.</w:t>
      </w:r>
    </w:p>
    <w:p w:rsidR="002A4C1B" w:rsidRDefault="002A4C1B" w:rsidP="002A4C1B">
      <w:r w:rsidRPr="006150B7">
        <w:rPr>
          <w:rFonts w:cs="Calibri"/>
          <w:noProof/>
          <w:sz w:val="24"/>
        </w:rPr>
        <w:drawing>
          <wp:inline distT="0" distB="0" distL="0" distR="0" wp14:anchorId="152D3C54" wp14:editId="03700DAE">
            <wp:extent cx="809625" cy="285750"/>
            <wp:effectExtent l="0" t="0" r="9525" b="0"/>
            <wp:docPr id="10" name="Picture 10" descr="CC by_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 by_gre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09625" cy="285750"/>
                    </a:xfrm>
                    <a:prstGeom prst="rect">
                      <a:avLst/>
                    </a:prstGeom>
                    <a:noFill/>
                    <a:ln>
                      <a:noFill/>
                    </a:ln>
                  </pic:spPr>
                </pic:pic>
              </a:graphicData>
            </a:graphic>
          </wp:inline>
        </w:drawing>
      </w:r>
    </w:p>
    <w:p w:rsidR="002A4C1B" w:rsidRDefault="002A4C1B" w:rsidP="002A4C1B">
      <w:r>
        <w:t xml:space="preserve">Use of Independent Hospital Pricing Authority material under a </w:t>
      </w:r>
      <w:hyperlink r:id="rId14" w:history="1">
        <w:r w:rsidRPr="002A4C1B">
          <w:rPr>
            <w:rStyle w:val="Hyperlink"/>
          </w:rPr>
          <w:t>Creative Commons BY Attribution 3.0 Australia</w:t>
        </w:r>
      </w:hyperlink>
      <w:r>
        <w:t xml:space="preserve"> licence requires you to attribute the work (but not in any way that suggests that the Independent Hospital Pricing Authority endorses you or your use of the work).</w:t>
      </w:r>
    </w:p>
    <w:p w:rsidR="002A4C1B" w:rsidRPr="002A4C1B" w:rsidRDefault="002A4C1B" w:rsidP="002A4C1B">
      <w:pPr>
        <w:rPr>
          <w:i/>
        </w:rPr>
      </w:pPr>
      <w:proofErr w:type="gramStart"/>
      <w:r w:rsidRPr="002A4C1B">
        <w:rPr>
          <w:i/>
        </w:rPr>
        <w:t>Independent Hospital Pricing Authority material used 'as supplied'.</w:t>
      </w:r>
      <w:proofErr w:type="gramEnd"/>
    </w:p>
    <w:p w:rsidR="002A4C1B" w:rsidRDefault="002A4C1B" w:rsidP="002A4C1B">
      <w:r>
        <w:t>Provided you have not modified or transformed Independent Hospital Pricing Authority material in any way including, for example, by changing Independent Hospital Pricing Authority text – then the Independent Hospital Pricing Authority prefers the following attribution:</w:t>
      </w:r>
    </w:p>
    <w:p w:rsidR="002A4C1B" w:rsidRPr="002A4C1B" w:rsidRDefault="002A4C1B" w:rsidP="002A4C1B">
      <w:pPr>
        <w:pStyle w:val="NormalIndent"/>
        <w:rPr>
          <w:i/>
        </w:rPr>
      </w:pPr>
      <w:r w:rsidRPr="002A4C1B">
        <w:rPr>
          <w:i/>
        </w:rPr>
        <w:t>Source: The Independent Hospital Pricing Authority</w:t>
      </w:r>
      <w:r w:rsidRPr="002A4C1B">
        <w:rPr>
          <w:i/>
        </w:rPr>
        <w:br w:type="page"/>
      </w:r>
    </w:p>
    <w:sdt>
      <w:sdtPr>
        <w:rPr>
          <w:rFonts w:ascii="Arial" w:eastAsia="Times New Roman" w:hAnsi="Arial" w:cs="Times New Roman"/>
          <w:b w:val="0"/>
          <w:bCs w:val="0"/>
          <w:caps/>
          <w:sz w:val="22"/>
          <w:szCs w:val="24"/>
        </w:rPr>
        <w:id w:val="-1185829911"/>
        <w:docPartObj>
          <w:docPartGallery w:val="Table of Contents"/>
          <w:docPartUnique/>
        </w:docPartObj>
      </w:sdtPr>
      <w:sdtEndPr>
        <w:rPr>
          <w:caps w:val="0"/>
          <w:noProof/>
        </w:rPr>
      </w:sdtEndPr>
      <w:sdtContent>
        <w:p w:rsidR="0064379C" w:rsidRDefault="0064379C" w:rsidP="0064379C">
          <w:pPr>
            <w:pStyle w:val="TOCHeading"/>
            <w:spacing w:line="276" w:lineRule="auto"/>
          </w:pPr>
          <w:r>
            <w:t>Table of Contents</w:t>
          </w:r>
        </w:p>
        <w:p w:rsidR="00232CEF" w:rsidRDefault="0064379C">
          <w:pPr>
            <w:pStyle w:val="TOC1"/>
            <w:rPr>
              <w:rFonts w:asciiTheme="minorHAnsi" w:eastAsiaTheme="minorEastAsia" w:hAnsiTheme="minorHAnsi" w:cstheme="minorBidi"/>
              <w:szCs w:val="22"/>
            </w:rPr>
          </w:pPr>
          <w:r>
            <w:rPr>
              <w:sz w:val="28"/>
            </w:rPr>
            <w:fldChar w:fldCharType="begin"/>
          </w:r>
          <w:r>
            <w:instrText xml:space="preserve"> TOC \o "1-3" \h \z \u </w:instrText>
          </w:r>
          <w:r>
            <w:rPr>
              <w:sz w:val="28"/>
            </w:rPr>
            <w:fldChar w:fldCharType="separate"/>
          </w:r>
          <w:hyperlink w:anchor="_Toc488332240" w:history="1">
            <w:r w:rsidR="00232CEF" w:rsidRPr="00EF3632">
              <w:rPr>
                <w:rStyle w:val="Hyperlink"/>
                <w:rFonts w:cs="Arial"/>
              </w:rPr>
              <w:t>Acronyms</w:t>
            </w:r>
            <w:r w:rsidR="00232CEF">
              <w:rPr>
                <w:webHidden/>
              </w:rPr>
              <w:tab/>
            </w:r>
            <w:r w:rsidR="00232CEF">
              <w:rPr>
                <w:webHidden/>
              </w:rPr>
              <w:fldChar w:fldCharType="begin"/>
            </w:r>
            <w:r w:rsidR="00232CEF">
              <w:rPr>
                <w:webHidden/>
              </w:rPr>
              <w:instrText xml:space="preserve"> PAGEREF _Toc488332240 \h </w:instrText>
            </w:r>
            <w:r w:rsidR="00232CEF">
              <w:rPr>
                <w:webHidden/>
              </w:rPr>
            </w:r>
            <w:r w:rsidR="00232CEF">
              <w:rPr>
                <w:webHidden/>
              </w:rPr>
              <w:fldChar w:fldCharType="separate"/>
            </w:r>
            <w:r w:rsidR="0025512F">
              <w:rPr>
                <w:webHidden/>
              </w:rPr>
              <w:t>4</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41" w:history="1">
            <w:r w:rsidR="00232CEF" w:rsidRPr="00EF3632">
              <w:rPr>
                <w:rStyle w:val="Hyperlink"/>
              </w:rPr>
              <w:t>Executive summary</w:t>
            </w:r>
            <w:r w:rsidR="00232CEF">
              <w:rPr>
                <w:webHidden/>
              </w:rPr>
              <w:tab/>
            </w:r>
            <w:r w:rsidR="00232CEF">
              <w:rPr>
                <w:webHidden/>
              </w:rPr>
              <w:fldChar w:fldCharType="begin"/>
            </w:r>
            <w:r w:rsidR="00232CEF">
              <w:rPr>
                <w:webHidden/>
              </w:rPr>
              <w:instrText xml:space="preserve"> PAGEREF _Toc488332241 \h </w:instrText>
            </w:r>
            <w:r w:rsidR="00232CEF">
              <w:rPr>
                <w:webHidden/>
              </w:rPr>
            </w:r>
            <w:r w:rsidR="00232CEF">
              <w:rPr>
                <w:webHidden/>
              </w:rPr>
              <w:fldChar w:fldCharType="separate"/>
            </w:r>
            <w:r w:rsidR="0025512F">
              <w:rPr>
                <w:webHidden/>
              </w:rPr>
              <w:t>5</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2" w:history="1">
            <w:r w:rsidR="00232CEF" w:rsidRPr="00EF3632">
              <w:rPr>
                <w:rStyle w:val="Hyperlink"/>
              </w:rPr>
              <w:t>Acknowledgments</w:t>
            </w:r>
            <w:r w:rsidR="00232CEF">
              <w:rPr>
                <w:webHidden/>
              </w:rPr>
              <w:tab/>
            </w:r>
            <w:r w:rsidR="00232CEF">
              <w:rPr>
                <w:webHidden/>
              </w:rPr>
              <w:fldChar w:fldCharType="begin"/>
            </w:r>
            <w:r w:rsidR="00232CEF">
              <w:rPr>
                <w:webHidden/>
              </w:rPr>
              <w:instrText xml:space="preserve"> PAGEREF _Toc488332242 \h </w:instrText>
            </w:r>
            <w:r w:rsidR="00232CEF">
              <w:rPr>
                <w:webHidden/>
              </w:rPr>
            </w:r>
            <w:r w:rsidR="00232CEF">
              <w:rPr>
                <w:webHidden/>
              </w:rPr>
              <w:fldChar w:fldCharType="separate"/>
            </w:r>
            <w:r w:rsidR="0025512F">
              <w:rPr>
                <w:webHidden/>
              </w:rPr>
              <w:t>7</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3" w:history="1">
            <w:r w:rsidR="00232CEF" w:rsidRPr="00EF3632">
              <w:rPr>
                <w:rStyle w:val="Hyperlink"/>
              </w:rPr>
              <w:t>Submissions</w:t>
            </w:r>
            <w:r w:rsidR="00232CEF">
              <w:rPr>
                <w:webHidden/>
              </w:rPr>
              <w:tab/>
            </w:r>
            <w:r w:rsidR="00232CEF">
              <w:rPr>
                <w:webHidden/>
              </w:rPr>
              <w:fldChar w:fldCharType="begin"/>
            </w:r>
            <w:r w:rsidR="00232CEF">
              <w:rPr>
                <w:webHidden/>
              </w:rPr>
              <w:instrText xml:space="preserve"> PAGEREF _Toc488332243 \h </w:instrText>
            </w:r>
            <w:r w:rsidR="00232CEF">
              <w:rPr>
                <w:webHidden/>
              </w:rPr>
            </w:r>
            <w:r w:rsidR="00232CEF">
              <w:rPr>
                <w:webHidden/>
              </w:rPr>
              <w:fldChar w:fldCharType="separate"/>
            </w:r>
            <w:r w:rsidR="0025512F">
              <w:rPr>
                <w:webHidden/>
              </w:rPr>
              <w:t>7</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4" w:history="1">
            <w:r w:rsidR="00232CEF" w:rsidRPr="00EF3632">
              <w:rPr>
                <w:rStyle w:val="Hyperlink"/>
              </w:rPr>
              <w:t>More information</w:t>
            </w:r>
            <w:r w:rsidR="00232CEF">
              <w:rPr>
                <w:webHidden/>
              </w:rPr>
              <w:tab/>
            </w:r>
            <w:r w:rsidR="00232CEF">
              <w:rPr>
                <w:webHidden/>
              </w:rPr>
              <w:fldChar w:fldCharType="begin"/>
            </w:r>
            <w:r w:rsidR="00232CEF">
              <w:rPr>
                <w:webHidden/>
              </w:rPr>
              <w:instrText xml:space="preserve"> PAGEREF _Toc488332244 \h </w:instrText>
            </w:r>
            <w:r w:rsidR="00232CEF">
              <w:rPr>
                <w:webHidden/>
              </w:rPr>
            </w:r>
            <w:r w:rsidR="00232CEF">
              <w:rPr>
                <w:webHidden/>
              </w:rPr>
              <w:fldChar w:fldCharType="separate"/>
            </w:r>
            <w:r w:rsidR="0025512F">
              <w:rPr>
                <w:webHidden/>
              </w:rPr>
              <w:t>7</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45" w:history="1">
            <w:r w:rsidR="00232CEF" w:rsidRPr="00EF3632">
              <w:rPr>
                <w:rStyle w:val="Hyperlink"/>
              </w:rPr>
              <w:t>Summary of Consultation questions</w:t>
            </w:r>
            <w:r w:rsidR="00232CEF">
              <w:rPr>
                <w:webHidden/>
              </w:rPr>
              <w:tab/>
            </w:r>
            <w:r w:rsidR="00232CEF">
              <w:rPr>
                <w:webHidden/>
              </w:rPr>
              <w:fldChar w:fldCharType="begin"/>
            </w:r>
            <w:r w:rsidR="00232CEF">
              <w:rPr>
                <w:webHidden/>
              </w:rPr>
              <w:instrText xml:space="preserve"> PAGEREF _Toc488332245 \h </w:instrText>
            </w:r>
            <w:r w:rsidR="00232CEF">
              <w:rPr>
                <w:webHidden/>
              </w:rPr>
            </w:r>
            <w:r w:rsidR="00232CEF">
              <w:rPr>
                <w:webHidden/>
              </w:rPr>
              <w:fldChar w:fldCharType="separate"/>
            </w:r>
            <w:r w:rsidR="0025512F">
              <w:rPr>
                <w:webHidden/>
              </w:rPr>
              <w:t>8</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46" w:history="1">
            <w:r w:rsidR="00232CEF" w:rsidRPr="00EF3632">
              <w:rPr>
                <w:rStyle w:val="Hyperlink"/>
              </w:rPr>
              <w:t>1.</w:t>
            </w:r>
            <w:r w:rsidR="00232CEF">
              <w:rPr>
                <w:rFonts w:asciiTheme="minorHAnsi" w:eastAsiaTheme="minorEastAsia" w:hAnsiTheme="minorHAnsi" w:cstheme="minorBidi"/>
                <w:szCs w:val="22"/>
              </w:rPr>
              <w:tab/>
            </w:r>
            <w:r w:rsidR="00232CEF" w:rsidRPr="00EF3632">
              <w:rPr>
                <w:rStyle w:val="Hyperlink"/>
              </w:rPr>
              <w:t>Context</w:t>
            </w:r>
            <w:r w:rsidR="00232CEF">
              <w:rPr>
                <w:webHidden/>
              </w:rPr>
              <w:tab/>
            </w:r>
            <w:r w:rsidR="00232CEF">
              <w:rPr>
                <w:webHidden/>
              </w:rPr>
              <w:fldChar w:fldCharType="begin"/>
            </w:r>
            <w:r w:rsidR="00232CEF">
              <w:rPr>
                <w:webHidden/>
              </w:rPr>
              <w:instrText xml:space="preserve"> PAGEREF _Toc488332246 \h </w:instrText>
            </w:r>
            <w:r w:rsidR="00232CEF">
              <w:rPr>
                <w:webHidden/>
              </w:rPr>
            </w:r>
            <w:r w:rsidR="00232CEF">
              <w:rPr>
                <w:webHidden/>
              </w:rPr>
              <w:fldChar w:fldCharType="separate"/>
            </w:r>
            <w:r w:rsidR="0025512F">
              <w:rPr>
                <w:webHidden/>
              </w:rPr>
              <w:t>9</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7" w:history="1">
            <w:r w:rsidR="00232CEF" w:rsidRPr="00EF3632">
              <w:rPr>
                <w:rStyle w:val="Hyperlink"/>
              </w:rPr>
              <w:t>IHPA</w:t>
            </w:r>
            <w:r w:rsidR="00232CEF">
              <w:rPr>
                <w:webHidden/>
              </w:rPr>
              <w:tab/>
            </w:r>
            <w:r w:rsidR="00232CEF">
              <w:rPr>
                <w:webHidden/>
              </w:rPr>
              <w:fldChar w:fldCharType="begin"/>
            </w:r>
            <w:r w:rsidR="00232CEF">
              <w:rPr>
                <w:webHidden/>
              </w:rPr>
              <w:instrText xml:space="preserve"> PAGEREF _Toc488332247 \h </w:instrText>
            </w:r>
            <w:r w:rsidR="00232CEF">
              <w:rPr>
                <w:webHidden/>
              </w:rPr>
            </w:r>
            <w:r w:rsidR="00232CEF">
              <w:rPr>
                <w:webHidden/>
              </w:rPr>
              <w:fldChar w:fldCharType="separate"/>
            </w:r>
            <w:r w:rsidR="0025512F">
              <w:rPr>
                <w:webHidden/>
              </w:rPr>
              <w:t>9</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8" w:history="1">
            <w:r w:rsidR="00232CEF" w:rsidRPr="00EF3632">
              <w:rPr>
                <w:rStyle w:val="Hyperlink"/>
              </w:rPr>
              <w:t>Classification systems</w:t>
            </w:r>
            <w:r w:rsidR="00232CEF">
              <w:rPr>
                <w:webHidden/>
              </w:rPr>
              <w:tab/>
            </w:r>
            <w:r w:rsidR="00232CEF">
              <w:rPr>
                <w:webHidden/>
              </w:rPr>
              <w:fldChar w:fldCharType="begin"/>
            </w:r>
            <w:r w:rsidR="00232CEF">
              <w:rPr>
                <w:webHidden/>
              </w:rPr>
              <w:instrText xml:space="preserve"> PAGEREF _Toc488332248 \h </w:instrText>
            </w:r>
            <w:r w:rsidR="00232CEF">
              <w:rPr>
                <w:webHidden/>
              </w:rPr>
            </w:r>
            <w:r w:rsidR="00232CEF">
              <w:rPr>
                <w:webHidden/>
              </w:rPr>
              <w:fldChar w:fldCharType="separate"/>
            </w:r>
            <w:r w:rsidR="0025512F">
              <w:rPr>
                <w:webHidden/>
              </w:rPr>
              <w:t>9</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49" w:history="1">
            <w:r w:rsidR="00232CEF" w:rsidRPr="00EF3632">
              <w:rPr>
                <w:rStyle w:val="Hyperlink"/>
              </w:rPr>
              <w:t>Current status of funding of TTR activities provided in public hospitals in Australia</w:t>
            </w:r>
            <w:r w:rsidR="00232CEF">
              <w:rPr>
                <w:webHidden/>
              </w:rPr>
              <w:tab/>
            </w:r>
            <w:r w:rsidR="00232CEF">
              <w:rPr>
                <w:webHidden/>
              </w:rPr>
              <w:fldChar w:fldCharType="begin"/>
            </w:r>
            <w:r w:rsidR="00232CEF">
              <w:rPr>
                <w:webHidden/>
              </w:rPr>
              <w:instrText xml:space="preserve"> PAGEREF _Toc488332249 \h </w:instrText>
            </w:r>
            <w:r w:rsidR="00232CEF">
              <w:rPr>
                <w:webHidden/>
              </w:rPr>
            </w:r>
            <w:r w:rsidR="00232CEF">
              <w:rPr>
                <w:webHidden/>
              </w:rPr>
              <w:fldChar w:fldCharType="separate"/>
            </w:r>
            <w:r w:rsidR="0025512F">
              <w:rPr>
                <w:webHidden/>
              </w:rPr>
              <w:t>9</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50" w:history="1">
            <w:r w:rsidR="00232CEF" w:rsidRPr="00EF3632">
              <w:rPr>
                <w:rStyle w:val="Hyperlink"/>
              </w:rPr>
              <w:t>Benefits of the ATTC</w:t>
            </w:r>
            <w:r w:rsidR="00232CEF">
              <w:rPr>
                <w:webHidden/>
              </w:rPr>
              <w:tab/>
            </w:r>
            <w:r w:rsidR="00232CEF">
              <w:rPr>
                <w:webHidden/>
              </w:rPr>
              <w:fldChar w:fldCharType="begin"/>
            </w:r>
            <w:r w:rsidR="00232CEF">
              <w:rPr>
                <w:webHidden/>
              </w:rPr>
              <w:instrText xml:space="preserve"> PAGEREF _Toc488332250 \h </w:instrText>
            </w:r>
            <w:r w:rsidR="00232CEF">
              <w:rPr>
                <w:webHidden/>
              </w:rPr>
            </w:r>
            <w:r w:rsidR="00232CEF">
              <w:rPr>
                <w:webHidden/>
              </w:rPr>
              <w:fldChar w:fldCharType="separate"/>
            </w:r>
            <w:r w:rsidR="0025512F">
              <w:rPr>
                <w:webHidden/>
              </w:rPr>
              <w:t>10</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51" w:history="1">
            <w:r w:rsidR="00232CEF" w:rsidRPr="00EF3632">
              <w:rPr>
                <w:rStyle w:val="Hyperlink"/>
              </w:rPr>
              <w:t>Stakeholder engagement in the TTR Work Program</w:t>
            </w:r>
            <w:r w:rsidR="00232CEF">
              <w:rPr>
                <w:webHidden/>
              </w:rPr>
              <w:tab/>
            </w:r>
            <w:r w:rsidR="00232CEF">
              <w:rPr>
                <w:webHidden/>
              </w:rPr>
              <w:fldChar w:fldCharType="begin"/>
            </w:r>
            <w:r w:rsidR="00232CEF">
              <w:rPr>
                <w:webHidden/>
              </w:rPr>
              <w:instrText xml:space="preserve"> PAGEREF _Toc488332251 \h </w:instrText>
            </w:r>
            <w:r w:rsidR="00232CEF">
              <w:rPr>
                <w:webHidden/>
              </w:rPr>
            </w:r>
            <w:r w:rsidR="00232CEF">
              <w:rPr>
                <w:webHidden/>
              </w:rPr>
              <w:fldChar w:fldCharType="separate"/>
            </w:r>
            <w:r w:rsidR="0025512F">
              <w:rPr>
                <w:webHidden/>
              </w:rPr>
              <w:t>10</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52" w:history="1">
            <w:r w:rsidR="00232CEF" w:rsidRPr="00EF3632">
              <w:rPr>
                <w:rStyle w:val="Hyperlink"/>
              </w:rPr>
              <w:t>2.</w:t>
            </w:r>
            <w:r w:rsidR="00232CEF">
              <w:rPr>
                <w:rFonts w:asciiTheme="minorHAnsi" w:eastAsiaTheme="minorEastAsia" w:hAnsiTheme="minorHAnsi" w:cstheme="minorBidi"/>
                <w:szCs w:val="22"/>
              </w:rPr>
              <w:tab/>
            </w:r>
            <w:r w:rsidR="00232CEF" w:rsidRPr="00EF3632">
              <w:rPr>
                <w:rStyle w:val="Hyperlink"/>
              </w:rPr>
              <w:t>Work undertaken to date</w:t>
            </w:r>
            <w:r w:rsidR="00232CEF">
              <w:rPr>
                <w:webHidden/>
              </w:rPr>
              <w:tab/>
            </w:r>
            <w:r w:rsidR="00232CEF">
              <w:rPr>
                <w:webHidden/>
              </w:rPr>
              <w:fldChar w:fldCharType="begin"/>
            </w:r>
            <w:r w:rsidR="00232CEF">
              <w:rPr>
                <w:webHidden/>
              </w:rPr>
              <w:instrText xml:space="preserve"> PAGEREF _Toc488332252 \h </w:instrText>
            </w:r>
            <w:r w:rsidR="00232CEF">
              <w:rPr>
                <w:webHidden/>
              </w:rPr>
            </w:r>
            <w:r w:rsidR="00232CEF">
              <w:rPr>
                <w:webHidden/>
              </w:rPr>
              <w:fldChar w:fldCharType="separate"/>
            </w:r>
            <w:r w:rsidR="0025512F">
              <w:rPr>
                <w:webHidden/>
              </w:rPr>
              <w:t>12</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53" w:history="1">
            <w:r w:rsidR="00232CEF" w:rsidRPr="00EF3632">
              <w:rPr>
                <w:rStyle w:val="Hyperlink"/>
              </w:rPr>
              <w:t>Definitions and cost drivers project</w:t>
            </w:r>
            <w:r w:rsidR="00232CEF">
              <w:rPr>
                <w:webHidden/>
              </w:rPr>
              <w:tab/>
            </w:r>
            <w:r w:rsidR="00232CEF">
              <w:rPr>
                <w:webHidden/>
              </w:rPr>
              <w:fldChar w:fldCharType="begin"/>
            </w:r>
            <w:r w:rsidR="00232CEF">
              <w:rPr>
                <w:webHidden/>
              </w:rPr>
              <w:instrText xml:space="preserve"> PAGEREF _Toc488332253 \h </w:instrText>
            </w:r>
            <w:r w:rsidR="00232CEF">
              <w:rPr>
                <w:webHidden/>
              </w:rPr>
            </w:r>
            <w:r w:rsidR="00232CEF">
              <w:rPr>
                <w:webHidden/>
              </w:rPr>
              <w:fldChar w:fldCharType="separate"/>
            </w:r>
            <w:r w:rsidR="0025512F">
              <w:rPr>
                <w:webHidden/>
              </w:rPr>
              <w:t>12</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54" w:history="1">
            <w:r w:rsidR="00232CEF" w:rsidRPr="00EF3632">
              <w:rPr>
                <w:rStyle w:val="Hyperlink"/>
                <w:noProof/>
              </w:rPr>
              <w:t>Definitions</w:t>
            </w:r>
            <w:r w:rsidR="00232CEF">
              <w:rPr>
                <w:noProof/>
                <w:webHidden/>
              </w:rPr>
              <w:tab/>
            </w:r>
            <w:r w:rsidR="00232CEF">
              <w:rPr>
                <w:noProof/>
                <w:webHidden/>
              </w:rPr>
              <w:fldChar w:fldCharType="begin"/>
            </w:r>
            <w:r w:rsidR="00232CEF">
              <w:rPr>
                <w:noProof/>
                <w:webHidden/>
              </w:rPr>
              <w:instrText xml:space="preserve"> PAGEREF _Toc488332254 \h </w:instrText>
            </w:r>
            <w:r w:rsidR="00232CEF">
              <w:rPr>
                <w:noProof/>
                <w:webHidden/>
              </w:rPr>
            </w:r>
            <w:r w:rsidR="00232CEF">
              <w:rPr>
                <w:noProof/>
                <w:webHidden/>
              </w:rPr>
              <w:fldChar w:fldCharType="separate"/>
            </w:r>
            <w:r w:rsidR="0025512F">
              <w:rPr>
                <w:noProof/>
                <w:webHidden/>
              </w:rPr>
              <w:t>12</w:t>
            </w:r>
            <w:r w:rsidR="00232CEF">
              <w:rPr>
                <w:noProof/>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55" w:history="1">
            <w:r w:rsidR="00232CEF" w:rsidRPr="00EF3632">
              <w:rPr>
                <w:rStyle w:val="Hyperlink"/>
                <w:noProof/>
              </w:rPr>
              <w:t>Cost drivers and recommended classification structure</w:t>
            </w:r>
            <w:r w:rsidR="00232CEF">
              <w:rPr>
                <w:noProof/>
                <w:webHidden/>
              </w:rPr>
              <w:tab/>
            </w:r>
            <w:r w:rsidR="00232CEF">
              <w:rPr>
                <w:noProof/>
                <w:webHidden/>
              </w:rPr>
              <w:fldChar w:fldCharType="begin"/>
            </w:r>
            <w:r w:rsidR="00232CEF">
              <w:rPr>
                <w:noProof/>
                <w:webHidden/>
              </w:rPr>
              <w:instrText xml:space="preserve"> PAGEREF _Toc488332255 \h </w:instrText>
            </w:r>
            <w:r w:rsidR="00232CEF">
              <w:rPr>
                <w:noProof/>
                <w:webHidden/>
              </w:rPr>
            </w:r>
            <w:r w:rsidR="00232CEF">
              <w:rPr>
                <w:noProof/>
                <w:webHidden/>
              </w:rPr>
              <w:fldChar w:fldCharType="separate"/>
            </w:r>
            <w:r w:rsidR="0025512F">
              <w:rPr>
                <w:noProof/>
                <w:webHidden/>
              </w:rPr>
              <w:t>13</w:t>
            </w:r>
            <w:r w:rsidR="00232CEF">
              <w:rPr>
                <w:noProof/>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56" w:history="1">
            <w:r w:rsidR="00232CEF" w:rsidRPr="00EF3632">
              <w:rPr>
                <w:rStyle w:val="Hyperlink"/>
                <w:noProof/>
              </w:rPr>
              <w:t>Classification framework for teaching and training</w:t>
            </w:r>
            <w:r w:rsidR="00232CEF">
              <w:rPr>
                <w:noProof/>
                <w:webHidden/>
              </w:rPr>
              <w:tab/>
            </w:r>
            <w:r w:rsidR="00232CEF">
              <w:rPr>
                <w:noProof/>
                <w:webHidden/>
              </w:rPr>
              <w:fldChar w:fldCharType="begin"/>
            </w:r>
            <w:r w:rsidR="00232CEF">
              <w:rPr>
                <w:noProof/>
                <w:webHidden/>
              </w:rPr>
              <w:instrText xml:space="preserve"> PAGEREF _Toc488332256 \h </w:instrText>
            </w:r>
            <w:r w:rsidR="00232CEF">
              <w:rPr>
                <w:noProof/>
                <w:webHidden/>
              </w:rPr>
            </w:r>
            <w:r w:rsidR="00232CEF">
              <w:rPr>
                <w:noProof/>
                <w:webHidden/>
              </w:rPr>
              <w:fldChar w:fldCharType="separate"/>
            </w:r>
            <w:r w:rsidR="0025512F">
              <w:rPr>
                <w:noProof/>
                <w:webHidden/>
              </w:rPr>
              <w:t>13</w:t>
            </w:r>
            <w:r w:rsidR="00232CEF">
              <w:rPr>
                <w:noProof/>
                <w:webHidden/>
              </w:rPr>
              <w:fldChar w:fldCharType="end"/>
            </w:r>
          </w:hyperlink>
        </w:p>
        <w:p w:rsidR="00232CEF" w:rsidRDefault="006D258D">
          <w:pPr>
            <w:pStyle w:val="TOC2"/>
            <w:rPr>
              <w:rFonts w:asciiTheme="minorHAnsi" w:eastAsiaTheme="minorEastAsia" w:hAnsiTheme="minorHAnsi" w:cstheme="minorBidi"/>
              <w:szCs w:val="22"/>
            </w:rPr>
          </w:pPr>
          <w:hyperlink w:anchor="_Toc488332257" w:history="1">
            <w:r w:rsidR="00232CEF" w:rsidRPr="00EF3632">
              <w:rPr>
                <w:rStyle w:val="Hyperlink"/>
              </w:rPr>
              <w:t>The commencement of national data collection for teaching and training</w:t>
            </w:r>
            <w:r w:rsidR="00232CEF">
              <w:rPr>
                <w:webHidden/>
              </w:rPr>
              <w:tab/>
            </w:r>
            <w:r w:rsidR="00232CEF">
              <w:rPr>
                <w:webHidden/>
              </w:rPr>
              <w:fldChar w:fldCharType="begin"/>
            </w:r>
            <w:r w:rsidR="00232CEF">
              <w:rPr>
                <w:webHidden/>
              </w:rPr>
              <w:instrText xml:space="preserve"> PAGEREF _Toc488332257 \h </w:instrText>
            </w:r>
            <w:r w:rsidR="00232CEF">
              <w:rPr>
                <w:webHidden/>
              </w:rPr>
            </w:r>
            <w:r w:rsidR="00232CEF">
              <w:rPr>
                <w:webHidden/>
              </w:rPr>
              <w:fldChar w:fldCharType="separate"/>
            </w:r>
            <w:r w:rsidR="0025512F">
              <w:rPr>
                <w:webHidden/>
              </w:rPr>
              <w:t>13</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58" w:history="1">
            <w:r w:rsidR="00232CEF" w:rsidRPr="00EF3632">
              <w:rPr>
                <w:rStyle w:val="Hyperlink"/>
              </w:rPr>
              <w:t>TTR Costing Study</w:t>
            </w:r>
            <w:r w:rsidR="00232CEF">
              <w:rPr>
                <w:webHidden/>
              </w:rPr>
              <w:tab/>
            </w:r>
            <w:r w:rsidR="00232CEF">
              <w:rPr>
                <w:webHidden/>
              </w:rPr>
              <w:fldChar w:fldCharType="begin"/>
            </w:r>
            <w:r w:rsidR="00232CEF">
              <w:rPr>
                <w:webHidden/>
              </w:rPr>
              <w:instrText xml:space="preserve"> PAGEREF _Toc488332258 \h </w:instrText>
            </w:r>
            <w:r w:rsidR="00232CEF">
              <w:rPr>
                <w:webHidden/>
              </w:rPr>
            </w:r>
            <w:r w:rsidR="00232CEF">
              <w:rPr>
                <w:webHidden/>
              </w:rPr>
              <w:fldChar w:fldCharType="separate"/>
            </w:r>
            <w:r w:rsidR="0025512F">
              <w:rPr>
                <w:webHidden/>
              </w:rPr>
              <w:t>14</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59" w:history="1">
            <w:r w:rsidR="00232CEF" w:rsidRPr="00EF3632">
              <w:rPr>
                <w:rStyle w:val="Hyperlink"/>
              </w:rPr>
              <w:t>TTR Costing Study data set</w:t>
            </w:r>
            <w:r w:rsidR="00232CEF">
              <w:rPr>
                <w:webHidden/>
              </w:rPr>
              <w:tab/>
            </w:r>
            <w:r w:rsidR="00232CEF">
              <w:rPr>
                <w:webHidden/>
              </w:rPr>
              <w:fldChar w:fldCharType="begin"/>
            </w:r>
            <w:r w:rsidR="00232CEF">
              <w:rPr>
                <w:webHidden/>
              </w:rPr>
              <w:instrText xml:space="preserve"> PAGEREF _Toc488332259 \h </w:instrText>
            </w:r>
            <w:r w:rsidR="00232CEF">
              <w:rPr>
                <w:webHidden/>
              </w:rPr>
            </w:r>
            <w:r w:rsidR="00232CEF">
              <w:rPr>
                <w:webHidden/>
              </w:rPr>
              <w:fldChar w:fldCharType="separate"/>
            </w:r>
            <w:r w:rsidR="0025512F">
              <w:rPr>
                <w:webHidden/>
              </w:rPr>
              <w:t>15</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60" w:history="1">
            <w:r w:rsidR="00232CEF" w:rsidRPr="00EF3632">
              <w:rPr>
                <w:rStyle w:val="Hyperlink"/>
              </w:rPr>
              <w:t>3.</w:t>
            </w:r>
            <w:r w:rsidR="00232CEF">
              <w:rPr>
                <w:rFonts w:asciiTheme="minorHAnsi" w:eastAsiaTheme="minorEastAsia" w:hAnsiTheme="minorHAnsi" w:cstheme="minorBidi"/>
                <w:szCs w:val="22"/>
              </w:rPr>
              <w:tab/>
            </w:r>
            <w:r w:rsidR="00232CEF" w:rsidRPr="00EF3632">
              <w:rPr>
                <w:rStyle w:val="Hyperlink"/>
              </w:rPr>
              <w:t>Development of the ATTC Version 1.0</w:t>
            </w:r>
            <w:r w:rsidR="00232CEF">
              <w:rPr>
                <w:webHidden/>
              </w:rPr>
              <w:tab/>
            </w:r>
            <w:r w:rsidR="00232CEF">
              <w:rPr>
                <w:webHidden/>
              </w:rPr>
              <w:fldChar w:fldCharType="begin"/>
            </w:r>
            <w:r w:rsidR="00232CEF">
              <w:rPr>
                <w:webHidden/>
              </w:rPr>
              <w:instrText xml:space="preserve"> PAGEREF _Toc488332260 \h </w:instrText>
            </w:r>
            <w:r w:rsidR="00232CEF">
              <w:rPr>
                <w:webHidden/>
              </w:rPr>
            </w:r>
            <w:r w:rsidR="00232CEF">
              <w:rPr>
                <w:webHidden/>
              </w:rPr>
              <w:fldChar w:fldCharType="separate"/>
            </w:r>
            <w:r w:rsidR="0025512F">
              <w:rPr>
                <w:webHidden/>
              </w:rPr>
              <w:t>16</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61" w:history="1">
            <w:r w:rsidR="00232CEF" w:rsidRPr="00EF3632">
              <w:rPr>
                <w:rStyle w:val="Hyperlink"/>
              </w:rPr>
              <w:t>Classification development decisions</w:t>
            </w:r>
            <w:r w:rsidR="00232CEF">
              <w:rPr>
                <w:webHidden/>
              </w:rPr>
              <w:tab/>
            </w:r>
            <w:r w:rsidR="00232CEF">
              <w:rPr>
                <w:webHidden/>
              </w:rPr>
              <w:fldChar w:fldCharType="begin"/>
            </w:r>
            <w:r w:rsidR="00232CEF">
              <w:rPr>
                <w:webHidden/>
              </w:rPr>
              <w:instrText xml:space="preserve"> PAGEREF _Toc488332261 \h </w:instrText>
            </w:r>
            <w:r w:rsidR="00232CEF">
              <w:rPr>
                <w:webHidden/>
              </w:rPr>
            </w:r>
            <w:r w:rsidR="00232CEF">
              <w:rPr>
                <w:webHidden/>
              </w:rPr>
              <w:fldChar w:fldCharType="separate"/>
            </w:r>
            <w:r w:rsidR="0025512F">
              <w:rPr>
                <w:webHidden/>
              </w:rPr>
              <w:t>16</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62" w:history="1">
            <w:r w:rsidR="00232CEF" w:rsidRPr="00EF3632">
              <w:rPr>
                <w:rStyle w:val="Hyperlink"/>
                <w:noProof/>
              </w:rPr>
              <w:t>Unit of activity</w:t>
            </w:r>
            <w:r w:rsidR="00232CEF">
              <w:rPr>
                <w:noProof/>
                <w:webHidden/>
              </w:rPr>
              <w:tab/>
            </w:r>
            <w:r w:rsidR="00232CEF">
              <w:rPr>
                <w:noProof/>
                <w:webHidden/>
              </w:rPr>
              <w:fldChar w:fldCharType="begin"/>
            </w:r>
            <w:r w:rsidR="00232CEF">
              <w:rPr>
                <w:noProof/>
                <w:webHidden/>
              </w:rPr>
              <w:instrText xml:space="preserve"> PAGEREF _Toc488332262 \h </w:instrText>
            </w:r>
            <w:r w:rsidR="00232CEF">
              <w:rPr>
                <w:noProof/>
                <w:webHidden/>
              </w:rPr>
            </w:r>
            <w:r w:rsidR="00232CEF">
              <w:rPr>
                <w:noProof/>
                <w:webHidden/>
              </w:rPr>
              <w:fldChar w:fldCharType="separate"/>
            </w:r>
            <w:r w:rsidR="0025512F">
              <w:rPr>
                <w:noProof/>
                <w:webHidden/>
              </w:rPr>
              <w:t>16</w:t>
            </w:r>
            <w:r w:rsidR="00232CEF">
              <w:rPr>
                <w:noProof/>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63" w:history="1">
            <w:r w:rsidR="00232CEF" w:rsidRPr="00EF3632">
              <w:rPr>
                <w:rStyle w:val="Hyperlink"/>
                <w:noProof/>
              </w:rPr>
              <w:t>Exclusion of embedded costs</w:t>
            </w:r>
            <w:r w:rsidR="00232CEF">
              <w:rPr>
                <w:noProof/>
                <w:webHidden/>
              </w:rPr>
              <w:tab/>
            </w:r>
            <w:r w:rsidR="00232CEF">
              <w:rPr>
                <w:noProof/>
                <w:webHidden/>
              </w:rPr>
              <w:fldChar w:fldCharType="begin"/>
            </w:r>
            <w:r w:rsidR="00232CEF">
              <w:rPr>
                <w:noProof/>
                <w:webHidden/>
              </w:rPr>
              <w:instrText xml:space="preserve"> PAGEREF _Toc488332263 \h </w:instrText>
            </w:r>
            <w:r w:rsidR="00232CEF">
              <w:rPr>
                <w:noProof/>
                <w:webHidden/>
              </w:rPr>
            </w:r>
            <w:r w:rsidR="00232CEF">
              <w:rPr>
                <w:noProof/>
                <w:webHidden/>
              </w:rPr>
              <w:fldChar w:fldCharType="separate"/>
            </w:r>
            <w:r w:rsidR="0025512F">
              <w:rPr>
                <w:noProof/>
                <w:webHidden/>
              </w:rPr>
              <w:t>16</w:t>
            </w:r>
            <w:r w:rsidR="00232CEF">
              <w:rPr>
                <w:noProof/>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64" w:history="1">
            <w:r w:rsidR="00232CEF" w:rsidRPr="00EF3632">
              <w:rPr>
                <w:rStyle w:val="Hyperlink"/>
                <w:noProof/>
              </w:rPr>
              <w:t>Exclusion of overhead costs</w:t>
            </w:r>
            <w:r w:rsidR="00232CEF">
              <w:rPr>
                <w:noProof/>
                <w:webHidden/>
              </w:rPr>
              <w:tab/>
            </w:r>
            <w:r w:rsidR="00232CEF">
              <w:rPr>
                <w:noProof/>
                <w:webHidden/>
              </w:rPr>
              <w:fldChar w:fldCharType="begin"/>
            </w:r>
            <w:r w:rsidR="00232CEF">
              <w:rPr>
                <w:noProof/>
                <w:webHidden/>
              </w:rPr>
              <w:instrText xml:space="preserve"> PAGEREF _Toc488332264 \h </w:instrText>
            </w:r>
            <w:r w:rsidR="00232CEF">
              <w:rPr>
                <w:noProof/>
                <w:webHidden/>
              </w:rPr>
            </w:r>
            <w:r w:rsidR="00232CEF">
              <w:rPr>
                <w:noProof/>
                <w:webHidden/>
              </w:rPr>
              <w:fldChar w:fldCharType="separate"/>
            </w:r>
            <w:r w:rsidR="0025512F">
              <w:rPr>
                <w:noProof/>
                <w:webHidden/>
              </w:rPr>
              <w:t>17</w:t>
            </w:r>
            <w:r w:rsidR="00232CEF">
              <w:rPr>
                <w:noProof/>
                <w:webHidden/>
              </w:rPr>
              <w:fldChar w:fldCharType="end"/>
            </w:r>
          </w:hyperlink>
        </w:p>
        <w:p w:rsidR="00232CEF" w:rsidRDefault="006D258D">
          <w:pPr>
            <w:pStyle w:val="TOC2"/>
            <w:rPr>
              <w:rFonts w:asciiTheme="minorHAnsi" w:eastAsiaTheme="minorEastAsia" w:hAnsiTheme="minorHAnsi" w:cstheme="minorBidi"/>
              <w:szCs w:val="22"/>
            </w:rPr>
          </w:pPr>
          <w:hyperlink w:anchor="_Toc488332265" w:history="1">
            <w:r w:rsidR="00232CEF" w:rsidRPr="00EF3632">
              <w:rPr>
                <w:rStyle w:val="Hyperlink"/>
              </w:rPr>
              <w:t>Data limitations</w:t>
            </w:r>
            <w:r w:rsidR="00232CEF">
              <w:rPr>
                <w:webHidden/>
              </w:rPr>
              <w:tab/>
            </w:r>
            <w:r w:rsidR="00232CEF">
              <w:rPr>
                <w:webHidden/>
              </w:rPr>
              <w:fldChar w:fldCharType="begin"/>
            </w:r>
            <w:r w:rsidR="00232CEF">
              <w:rPr>
                <w:webHidden/>
              </w:rPr>
              <w:instrText xml:space="preserve"> PAGEREF _Toc488332265 \h </w:instrText>
            </w:r>
            <w:r w:rsidR="00232CEF">
              <w:rPr>
                <w:webHidden/>
              </w:rPr>
            </w:r>
            <w:r w:rsidR="00232CEF">
              <w:rPr>
                <w:webHidden/>
              </w:rPr>
              <w:fldChar w:fldCharType="separate"/>
            </w:r>
            <w:r w:rsidR="0025512F">
              <w:rPr>
                <w:webHidden/>
              </w:rPr>
              <w:t>17</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66" w:history="1">
            <w:r w:rsidR="00232CEF" w:rsidRPr="00EF3632">
              <w:rPr>
                <w:rStyle w:val="Hyperlink"/>
              </w:rPr>
              <w:t>Data preparation</w:t>
            </w:r>
            <w:r w:rsidR="00232CEF">
              <w:rPr>
                <w:webHidden/>
              </w:rPr>
              <w:tab/>
            </w:r>
            <w:r w:rsidR="00232CEF">
              <w:rPr>
                <w:webHidden/>
              </w:rPr>
              <w:fldChar w:fldCharType="begin"/>
            </w:r>
            <w:r w:rsidR="00232CEF">
              <w:rPr>
                <w:webHidden/>
              </w:rPr>
              <w:instrText xml:space="preserve"> PAGEREF _Toc488332266 \h </w:instrText>
            </w:r>
            <w:r w:rsidR="00232CEF">
              <w:rPr>
                <w:webHidden/>
              </w:rPr>
            </w:r>
            <w:r w:rsidR="00232CEF">
              <w:rPr>
                <w:webHidden/>
              </w:rPr>
              <w:fldChar w:fldCharType="separate"/>
            </w:r>
            <w:r w:rsidR="0025512F">
              <w:rPr>
                <w:webHidden/>
              </w:rPr>
              <w:t>18</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67" w:history="1">
            <w:r w:rsidR="00232CEF" w:rsidRPr="00EF3632">
              <w:rPr>
                <w:rStyle w:val="Hyperlink"/>
                <w:noProof/>
              </w:rPr>
              <w:t>Timeframes of data used</w:t>
            </w:r>
            <w:r w:rsidR="00232CEF">
              <w:rPr>
                <w:noProof/>
                <w:webHidden/>
              </w:rPr>
              <w:tab/>
            </w:r>
            <w:r w:rsidR="00232CEF">
              <w:rPr>
                <w:noProof/>
                <w:webHidden/>
              </w:rPr>
              <w:fldChar w:fldCharType="begin"/>
            </w:r>
            <w:r w:rsidR="00232CEF">
              <w:rPr>
                <w:noProof/>
                <w:webHidden/>
              </w:rPr>
              <w:instrText xml:space="preserve"> PAGEREF _Toc488332267 \h </w:instrText>
            </w:r>
            <w:r w:rsidR="00232CEF">
              <w:rPr>
                <w:noProof/>
                <w:webHidden/>
              </w:rPr>
            </w:r>
            <w:r w:rsidR="00232CEF">
              <w:rPr>
                <w:noProof/>
                <w:webHidden/>
              </w:rPr>
              <w:fldChar w:fldCharType="separate"/>
            </w:r>
            <w:r w:rsidR="0025512F">
              <w:rPr>
                <w:noProof/>
                <w:webHidden/>
              </w:rPr>
              <w:t>18</w:t>
            </w:r>
            <w:r w:rsidR="00232CEF">
              <w:rPr>
                <w:noProof/>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68" w:history="1">
            <w:r w:rsidR="00232CEF" w:rsidRPr="00EF3632">
              <w:rPr>
                <w:rStyle w:val="Hyperlink"/>
                <w:noProof/>
              </w:rPr>
              <w:t>Trimming of outliers</w:t>
            </w:r>
            <w:r w:rsidR="00232CEF">
              <w:rPr>
                <w:noProof/>
                <w:webHidden/>
              </w:rPr>
              <w:tab/>
            </w:r>
            <w:r w:rsidR="00232CEF">
              <w:rPr>
                <w:noProof/>
                <w:webHidden/>
              </w:rPr>
              <w:fldChar w:fldCharType="begin"/>
            </w:r>
            <w:r w:rsidR="00232CEF">
              <w:rPr>
                <w:noProof/>
                <w:webHidden/>
              </w:rPr>
              <w:instrText xml:space="preserve"> PAGEREF _Toc488332268 \h </w:instrText>
            </w:r>
            <w:r w:rsidR="00232CEF">
              <w:rPr>
                <w:noProof/>
                <w:webHidden/>
              </w:rPr>
            </w:r>
            <w:r w:rsidR="00232CEF">
              <w:rPr>
                <w:noProof/>
                <w:webHidden/>
              </w:rPr>
              <w:fldChar w:fldCharType="separate"/>
            </w:r>
            <w:r w:rsidR="0025512F">
              <w:rPr>
                <w:noProof/>
                <w:webHidden/>
              </w:rPr>
              <w:t>18</w:t>
            </w:r>
            <w:r w:rsidR="00232CEF">
              <w:rPr>
                <w:noProof/>
                <w:webHidden/>
              </w:rPr>
              <w:fldChar w:fldCharType="end"/>
            </w:r>
          </w:hyperlink>
        </w:p>
        <w:p w:rsidR="00232CEF" w:rsidRDefault="006D258D">
          <w:pPr>
            <w:pStyle w:val="TOC2"/>
            <w:rPr>
              <w:rFonts w:asciiTheme="minorHAnsi" w:eastAsiaTheme="minorEastAsia" w:hAnsiTheme="minorHAnsi" w:cstheme="minorBidi"/>
              <w:szCs w:val="22"/>
            </w:rPr>
          </w:pPr>
          <w:hyperlink w:anchor="_Toc488332269" w:history="1">
            <w:r w:rsidR="00232CEF" w:rsidRPr="00EF3632">
              <w:rPr>
                <w:rStyle w:val="Hyperlink"/>
              </w:rPr>
              <w:t>Exploratory analysis</w:t>
            </w:r>
            <w:r w:rsidR="00232CEF">
              <w:rPr>
                <w:webHidden/>
              </w:rPr>
              <w:tab/>
            </w:r>
            <w:r w:rsidR="00232CEF">
              <w:rPr>
                <w:webHidden/>
              </w:rPr>
              <w:fldChar w:fldCharType="begin"/>
            </w:r>
            <w:r w:rsidR="00232CEF">
              <w:rPr>
                <w:webHidden/>
              </w:rPr>
              <w:instrText xml:space="preserve"> PAGEREF _Toc488332269 \h </w:instrText>
            </w:r>
            <w:r w:rsidR="00232CEF">
              <w:rPr>
                <w:webHidden/>
              </w:rPr>
            </w:r>
            <w:r w:rsidR="00232CEF">
              <w:rPr>
                <w:webHidden/>
              </w:rPr>
              <w:fldChar w:fldCharType="separate"/>
            </w:r>
            <w:r w:rsidR="0025512F">
              <w:rPr>
                <w:webHidden/>
              </w:rPr>
              <w:t>18</w:t>
            </w:r>
            <w:r w:rsidR="00232CEF">
              <w:rPr>
                <w:webHidden/>
              </w:rPr>
              <w:fldChar w:fldCharType="end"/>
            </w:r>
          </w:hyperlink>
        </w:p>
        <w:p w:rsidR="00232CEF" w:rsidRDefault="006D258D">
          <w:pPr>
            <w:pStyle w:val="TOC2"/>
          </w:pPr>
          <w:hyperlink w:anchor="_Toc488332270" w:history="1">
            <w:r w:rsidR="00232CEF" w:rsidRPr="00EF3632">
              <w:rPr>
                <w:rStyle w:val="Hyperlink"/>
              </w:rPr>
              <w:t>Data modelling for classification development</w:t>
            </w:r>
            <w:r w:rsidR="00232CEF">
              <w:rPr>
                <w:webHidden/>
              </w:rPr>
              <w:tab/>
            </w:r>
            <w:r w:rsidR="00232CEF">
              <w:rPr>
                <w:webHidden/>
              </w:rPr>
              <w:fldChar w:fldCharType="begin"/>
            </w:r>
            <w:r w:rsidR="00232CEF">
              <w:rPr>
                <w:webHidden/>
              </w:rPr>
              <w:instrText xml:space="preserve"> PAGEREF _Toc488332270 \h </w:instrText>
            </w:r>
            <w:r w:rsidR="00232CEF">
              <w:rPr>
                <w:webHidden/>
              </w:rPr>
            </w:r>
            <w:r w:rsidR="00232CEF">
              <w:rPr>
                <w:webHidden/>
              </w:rPr>
              <w:fldChar w:fldCharType="separate"/>
            </w:r>
            <w:r w:rsidR="0025512F">
              <w:rPr>
                <w:webHidden/>
              </w:rPr>
              <w:t>19</w:t>
            </w:r>
            <w:r w:rsidR="00232CEF">
              <w:rPr>
                <w:webHidden/>
              </w:rPr>
              <w:fldChar w:fldCharType="end"/>
            </w:r>
          </w:hyperlink>
        </w:p>
        <w:p w:rsidR="0089599A" w:rsidRDefault="0089599A" w:rsidP="0089599A">
          <w:pPr>
            <w:rPr>
              <w:rFonts w:eastAsiaTheme="minorEastAsia"/>
            </w:rPr>
          </w:pPr>
        </w:p>
        <w:p w:rsidR="0089599A" w:rsidRPr="0089599A" w:rsidRDefault="0089599A" w:rsidP="0089599A">
          <w:pPr>
            <w:rPr>
              <w:rFonts w:eastAsiaTheme="minorEastAsia"/>
            </w:rPr>
          </w:pPr>
        </w:p>
        <w:p w:rsidR="00232CEF" w:rsidRDefault="006D258D">
          <w:pPr>
            <w:pStyle w:val="TOC1"/>
            <w:rPr>
              <w:rFonts w:asciiTheme="minorHAnsi" w:eastAsiaTheme="minorEastAsia" w:hAnsiTheme="minorHAnsi" w:cstheme="minorBidi"/>
              <w:szCs w:val="22"/>
            </w:rPr>
          </w:pPr>
          <w:hyperlink w:anchor="_Toc488332271" w:history="1">
            <w:r w:rsidR="00232CEF" w:rsidRPr="00EF3632">
              <w:rPr>
                <w:rStyle w:val="Hyperlink"/>
              </w:rPr>
              <w:t>4.</w:t>
            </w:r>
            <w:r w:rsidR="00232CEF">
              <w:rPr>
                <w:rFonts w:asciiTheme="minorHAnsi" w:eastAsiaTheme="minorEastAsia" w:hAnsiTheme="minorHAnsi" w:cstheme="minorBidi"/>
                <w:szCs w:val="22"/>
              </w:rPr>
              <w:tab/>
            </w:r>
            <w:r w:rsidR="00232CEF" w:rsidRPr="00EF3632">
              <w:rPr>
                <w:rStyle w:val="Hyperlink"/>
              </w:rPr>
              <w:t>ATTC Version 1.0</w:t>
            </w:r>
            <w:r w:rsidR="00232CEF">
              <w:rPr>
                <w:webHidden/>
              </w:rPr>
              <w:tab/>
            </w:r>
            <w:r w:rsidR="00232CEF">
              <w:rPr>
                <w:webHidden/>
              </w:rPr>
              <w:fldChar w:fldCharType="begin"/>
            </w:r>
            <w:r w:rsidR="00232CEF">
              <w:rPr>
                <w:webHidden/>
              </w:rPr>
              <w:instrText xml:space="preserve"> PAGEREF _Toc488332271 \h </w:instrText>
            </w:r>
            <w:r w:rsidR="00232CEF">
              <w:rPr>
                <w:webHidden/>
              </w:rPr>
            </w:r>
            <w:r w:rsidR="00232CEF">
              <w:rPr>
                <w:webHidden/>
              </w:rPr>
              <w:fldChar w:fldCharType="separate"/>
            </w:r>
            <w:r w:rsidR="0025512F">
              <w:rPr>
                <w:webHidden/>
              </w:rPr>
              <w:t>21</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72" w:history="1">
            <w:r w:rsidR="00232CEF" w:rsidRPr="00EF3632">
              <w:rPr>
                <w:rStyle w:val="Hyperlink"/>
              </w:rPr>
              <w:t>ATTC Version 1.0</w:t>
            </w:r>
            <w:r w:rsidR="00232CEF">
              <w:rPr>
                <w:webHidden/>
              </w:rPr>
              <w:tab/>
            </w:r>
            <w:r w:rsidR="00232CEF">
              <w:rPr>
                <w:webHidden/>
              </w:rPr>
              <w:fldChar w:fldCharType="begin"/>
            </w:r>
            <w:r w:rsidR="00232CEF">
              <w:rPr>
                <w:webHidden/>
              </w:rPr>
              <w:instrText xml:space="preserve"> PAGEREF _Toc488332272 \h </w:instrText>
            </w:r>
            <w:r w:rsidR="00232CEF">
              <w:rPr>
                <w:webHidden/>
              </w:rPr>
            </w:r>
            <w:r w:rsidR="00232CEF">
              <w:rPr>
                <w:webHidden/>
              </w:rPr>
              <w:fldChar w:fldCharType="separate"/>
            </w:r>
            <w:r w:rsidR="0025512F">
              <w:rPr>
                <w:webHidden/>
              </w:rPr>
              <w:t>21</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73" w:history="1">
            <w:r w:rsidR="00232CEF" w:rsidRPr="00EF3632">
              <w:rPr>
                <w:rStyle w:val="Hyperlink"/>
              </w:rPr>
              <w:t>Performance of the splitting variables</w:t>
            </w:r>
            <w:r w:rsidR="00232CEF">
              <w:rPr>
                <w:webHidden/>
              </w:rPr>
              <w:tab/>
            </w:r>
            <w:r w:rsidR="00232CEF">
              <w:rPr>
                <w:webHidden/>
              </w:rPr>
              <w:fldChar w:fldCharType="begin"/>
            </w:r>
            <w:r w:rsidR="00232CEF">
              <w:rPr>
                <w:webHidden/>
              </w:rPr>
              <w:instrText xml:space="preserve"> PAGEREF _Toc488332273 \h </w:instrText>
            </w:r>
            <w:r w:rsidR="00232CEF">
              <w:rPr>
                <w:webHidden/>
              </w:rPr>
            </w:r>
            <w:r w:rsidR="00232CEF">
              <w:rPr>
                <w:webHidden/>
              </w:rPr>
              <w:fldChar w:fldCharType="separate"/>
            </w:r>
            <w:r w:rsidR="0025512F">
              <w:rPr>
                <w:webHidden/>
              </w:rPr>
              <w:t>23</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74" w:history="1">
            <w:r w:rsidR="00232CEF" w:rsidRPr="00EF3632">
              <w:rPr>
                <w:rStyle w:val="Hyperlink"/>
              </w:rPr>
              <w:t>Variables for consideration in future versions of the ATTC</w:t>
            </w:r>
            <w:r w:rsidR="00232CEF">
              <w:rPr>
                <w:webHidden/>
              </w:rPr>
              <w:tab/>
            </w:r>
            <w:r w:rsidR="00232CEF">
              <w:rPr>
                <w:webHidden/>
              </w:rPr>
              <w:fldChar w:fldCharType="begin"/>
            </w:r>
            <w:r w:rsidR="00232CEF">
              <w:rPr>
                <w:webHidden/>
              </w:rPr>
              <w:instrText xml:space="preserve"> PAGEREF _Toc488332274 \h </w:instrText>
            </w:r>
            <w:r w:rsidR="00232CEF">
              <w:rPr>
                <w:webHidden/>
              </w:rPr>
            </w:r>
            <w:r w:rsidR="00232CEF">
              <w:rPr>
                <w:webHidden/>
              </w:rPr>
              <w:fldChar w:fldCharType="separate"/>
            </w:r>
            <w:r w:rsidR="0025512F">
              <w:rPr>
                <w:webHidden/>
              </w:rPr>
              <w:t>23</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75" w:history="1">
            <w:r w:rsidR="00232CEF" w:rsidRPr="00EF3632">
              <w:rPr>
                <w:rStyle w:val="Hyperlink"/>
                <w:noProof/>
              </w:rPr>
              <w:t>Consultation questions</w:t>
            </w:r>
            <w:r w:rsidR="00232CEF">
              <w:rPr>
                <w:noProof/>
                <w:webHidden/>
              </w:rPr>
              <w:tab/>
            </w:r>
            <w:r w:rsidR="00232CEF">
              <w:rPr>
                <w:noProof/>
                <w:webHidden/>
              </w:rPr>
              <w:fldChar w:fldCharType="begin"/>
            </w:r>
            <w:r w:rsidR="00232CEF">
              <w:rPr>
                <w:noProof/>
                <w:webHidden/>
              </w:rPr>
              <w:instrText xml:space="preserve"> PAGEREF _Toc488332275 \h </w:instrText>
            </w:r>
            <w:r w:rsidR="00232CEF">
              <w:rPr>
                <w:noProof/>
                <w:webHidden/>
              </w:rPr>
            </w:r>
            <w:r w:rsidR="00232CEF">
              <w:rPr>
                <w:noProof/>
                <w:webHidden/>
              </w:rPr>
              <w:fldChar w:fldCharType="separate"/>
            </w:r>
            <w:r w:rsidR="0025512F">
              <w:rPr>
                <w:noProof/>
                <w:webHidden/>
              </w:rPr>
              <w:t>24</w:t>
            </w:r>
            <w:r w:rsidR="00232CEF">
              <w:rPr>
                <w:noProof/>
                <w:webHidden/>
              </w:rPr>
              <w:fldChar w:fldCharType="end"/>
            </w:r>
          </w:hyperlink>
        </w:p>
        <w:p w:rsidR="00232CEF" w:rsidRDefault="006D258D">
          <w:pPr>
            <w:pStyle w:val="TOC1"/>
            <w:rPr>
              <w:rFonts w:asciiTheme="minorHAnsi" w:eastAsiaTheme="minorEastAsia" w:hAnsiTheme="minorHAnsi" w:cstheme="minorBidi"/>
              <w:szCs w:val="22"/>
            </w:rPr>
          </w:pPr>
          <w:hyperlink w:anchor="_Toc488332276" w:history="1">
            <w:r w:rsidR="00232CEF" w:rsidRPr="00EF3632">
              <w:rPr>
                <w:rStyle w:val="Hyperlink"/>
              </w:rPr>
              <w:t>5.</w:t>
            </w:r>
            <w:r w:rsidR="00232CEF">
              <w:rPr>
                <w:rFonts w:asciiTheme="minorHAnsi" w:eastAsiaTheme="minorEastAsia" w:hAnsiTheme="minorHAnsi" w:cstheme="minorBidi"/>
                <w:szCs w:val="22"/>
              </w:rPr>
              <w:tab/>
            </w:r>
            <w:r w:rsidR="00232CEF" w:rsidRPr="00EF3632">
              <w:rPr>
                <w:rStyle w:val="Hyperlink"/>
              </w:rPr>
              <w:t>Next steps and further opportunities to participate</w:t>
            </w:r>
            <w:r w:rsidR="00232CEF">
              <w:rPr>
                <w:webHidden/>
              </w:rPr>
              <w:tab/>
            </w:r>
            <w:r w:rsidR="00232CEF">
              <w:rPr>
                <w:webHidden/>
              </w:rPr>
              <w:fldChar w:fldCharType="begin"/>
            </w:r>
            <w:r w:rsidR="00232CEF">
              <w:rPr>
                <w:webHidden/>
              </w:rPr>
              <w:instrText xml:space="preserve"> PAGEREF _Toc488332276 \h </w:instrText>
            </w:r>
            <w:r w:rsidR="00232CEF">
              <w:rPr>
                <w:webHidden/>
              </w:rPr>
            </w:r>
            <w:r w:rsidR="00232CEF">
              <w:rPr>
                <w:webHidden/>
              </w:rPr>
              <w:fldChar w:fldCharType="separate"/>
            </w:r>
            <w:r w:rsidR="0025512F">
              <w:rPr>
                <w:webHidden/>
              </w:rPr>
              <w:t>25</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77" w:history="1">
            <w:r w:rsidR="00232CEF" w:rsidRPr="00EF3632">
              <w:rPr>
                <w:rStyle w:val="Hyperlink"/>
              </w:rPr>
              <w:t>Finalise ATTC Version 1.0</w:t>
            </w:r>
            <w:r w:rsidR="00232CEF">
              <w:rPr>
                <w:webHidden/>
              </w:rPr>
              <w:tab/>
            </w:r>
            <w:r w:rsidR="00232CEF">
              <w:rPr>
                <w:webHidden/>
              </w:rPr>
              <w:fldChar w:fldCharType="begin"/>
            </w:r>
            <w:r w:rsidR="00232CEF">
              <w:rPr>
                <w:webHidden/>
              </w:rPr>
              <w:instrText xml:space="preserve"> PAGEREF _Toc488332277 \h </w:instrText>
            </w:r>
            <w:r w:rsidR="00232CEF">
              <w:rPr>
                <w:webHidden/>
              </w:rPr>
            </w:r>
            <w:r w:rsidR="00232CEF">
              <w:rPr>
                <w:webHidden/>
              </w:rPr>
              <w:fldChar w:fldCharType="separate"/>
            </w:r>
            <w:r w:rsidR="0025512F">
              <w:rPr>
                <w:webHidden/>
              </w:rPr>
              <w:t>25</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78" w:history="1">
            <w:r w:rsidR="00232CEF" w:rsidRPr="00EF3632">
              <w:rPr>
                <w:rStyle w:val="Hyperlink"/>
                <w:noProof/>
              </w:rPr>
              <w:t>Consultation questions</w:t>
            </w:r>
            <w:r w:rsidR="00232CEF">
              <w:rPr>
                <w:noProof/>
                <w:webHidden/>
              </w:rPr>
              <w:tab/>
            </w:r>
            <w:r w:rsidR="00232CEF">
              <w:rPr>
                <w:noProof/>
                <w:webHidden/>
              </w:rPr>
              <w:fldChar w:fldCharType="begin"/>
            </w:r>
            <w:r w:rsidR="00232CEF">
              <w:rPr>
                <w:noProof/>
                <w:webHidden/>
              </w:rPr>
              <w:instrText xml:space="preserve"> PAGEREF _Toc488332278 \h </w:instrText>
            </w:r>
            <w:r w:rsidR="00232CEF">
              <w:rPr>
                <w:noProof/>
                <w:webHidden/>
              </w:rPr>
            </w:r>
            <w:r w:rsidR="00232CEF">
              <w:rPr>
                <w:noProof/>
                <w:webHidden/>
              </w:rPr>
              <w:fldChar w:fldCharType="separate"/>
            </w:r>
            <w:r w:rsidR="0025512F">
              <w:rPr>
                <w:noProof/>
                <w:webHidden/>
              </w:rPr>
              <w:t>26</w:t>
            </w:r>
            <w:r w:rsidR="00232CEF">
              <w:rPr>
                <w:noProof/>
                <w:webHidden/>
              </w:rPr>
              <w:fldChar w:fldCharType="end"/>
            </w:r>
          </w:hyperlink>
        </w:p>
        <w:p w:rsidR="00232CEF" w:rsidRDefault="006D258D">
          <w:pPr>
            <w:pStyle w:val="TOC2"/>
            <w:rPr>
              <w:rFonts w:asciiTheme="minorHAnsi" w:eastAsiaTheme="minorEastAsia" w:hAnsiTheme="minorHAnsi" w:cstheme="minorBidi"/>
              <w:szCs w:val="22"/>
            </w:rPr>
          </w:pPr>
          <w:hyperlink w:anchor="_Toc488332279" w:history="1">
            <w:r w:rsidR="00232CEF" w:rsidRPr="00EF3632">
              <w:rPr>
                <w:rStyle w:val="Hyperlink"/>
              </w:rPr>
              <w:t>National implementation of the ATTC</w:t>
            </w:r>
            <w:r w:rsidR="00232CEF">
              <w:rPr>
                <w:webHidden/>
              </w:rPr>
              <w:tab/>
            </w:r>
            <w:r w:rsidR="00232CEF">
              <w:rPr>
                <w:webHidden/>
              </w:rPr>
              <w:fldChar w:fldCharType="begin"/>
            </w:r>
            <w:r w:rsidR="00232CEF">
              <w:rPr>
                <w:webHidden/>
              </w:rPr>
              <w:instrText xml:space="preserve"> PAGEREF _Toc488332279 \h </w:instrText>
            </w:r>
            <w:r w:rsidR="00232CEF">
              <w:rPr>
                <w:webHidden/>
              </w:rPr>
            </w:r>
            <w:r w:rsidR="00232CEF">
              <w:rPr>
                <w:webHidden/>
              </w:rPr>
              <w:fldChar w:fldCharType="separate"/>
            </w:r>
            <w:r w:rsidR="0025512F">
              <w:rPr>
                <w:webHidden/>
              </w:rPr>
              <w:t>26</w:t>
            </w:r>
            <w:r w:rsidR="00232CEF">
              <w:rPr>
                <w:webHidden/>
              </w:rPr>
              <w:fldChar w:fldCharType="end"/>
            </w:r>
          </w:hyperlink>
        </w:p>
        <w:p w:rsidR="00232CEF" w:rsidRDefault="006D258D">
          <w:pPr>
            <w:pStyle w:val="TOC2"/>
            <w:rPr>
              <w:rFonts w:asciiTheme="minorHAnsi" w:eastAsiaTheme="minorEastAsia" w:hAnsiTheme="minorHAnsi" w:cstheme="minorBidi"/>
              <w:szCs w:val="22"/>
            </w:rPr>
          </w:pPr>
          <w:hyperlink w:anchor="_Toc488332280" w:history="1">
            <w:r w:rsidR="00232CEF" w:rsidRPr="00EF3632">
              <w:rPr>
                <w:rStyle w:val="Hyperlink"/>
              </w:rPr>
              <w:t>Development of future iterations of the ATTC</w:t>
            </w:r>
            <w:r w:rsidR="00232CEF">
              <w:rPr>
                <w:webHidden/>
              </w:rPr>
              <w:tab/>
            </w:r>
            <w:r w:rsidR="00232CEF">
              <w:rPr>
                <w:webHidden/>
              </w:rPr>
              <w:fldChar w:fldCharType="begin"/>
            </w:r>
            <w:r w:rsidR="00232CEF">
              <w:rPr>
                <w:webHidden/>
              </w:rPr>
              <w:instrText xml:space="preserve"> PAGEREF _Toc488332280 \h </w:instrText>
            </w:r>
            <w:r w:rsidR="00232CEF">
              <w:rPr>
                <w:webHidden/>
              </w:rPr>
            </w:r>
            <w:r w:rsidR="00232CEF">
              <w:rPr>
                <w:webHidden/>
              </w:rPr>
              <w:fldChar w:fldCharType="separate"/>
            </w:r>
            <w:r w:rsidR="0025512F">
              <w:rPr>
                <w:webHidden/>
              </w:rPr>
              <w:t>26</w:t>
            </w:r>
            <w:r w:rsidR="00232CEF">
              <w:rPr>
                <w:webHidden/>
              </w:rPr>
              <w:fldChar w:fldCharType="end"/>
            </w:r>
          </w:hyperlink>
        </w:p>
        <w:p w:rsidR="00232CEF" w:rsidRDefault="006D258D" w:rsidP="0089599A">
          <w:pPr>
            <w:pStyle w:val="TOC3"/>
            <w:rPr>
              <w:rFonts w:asciiTheme="minorHAnsi" w:eastAsiaTheme="minorEastAsia" w:hAnsiTheme="minorHAnsi" w:cstheme="minorBidi"/>
              <w:noProof/>
              <w:szCs w:val="22"/>
            </w:rPr>
          </w:pPr>
          <w:hyperlink w:anchor="_Toc488332281" w:history="1">
            <w:r w:rsidR="00232CEF" w:rsidRPr="00EF3632">
              <w:rPr>
                <w:rStyle w:val="Hyperlink"/>
                <w:noProof/>
              </w:rPr>
              <w:t>Consultation questions</w:t>
            </w:r>
            <w:r w:rsidR="00232CEF">
              <w:rPr>
                <w:noProof/>
                <w:webHidden/>
              </w:rPr>
              <w:tab/>
            </w:r>
            <w:r w:rsidR="00232CEF">
              <w:rPr>
                <w:noProof/>
                <w:webHidden/>
              </w:rPr>
              <w:fldChar w:fldCharType="begin"/>
            </w:r>
            <w:r w:rsidR="00232CEF">
              <w:rPr>
                <w:noProof/>
                <w:webHidden/>
              </w:rPr>
              <w:instrText xml:space="preserve"> PAGEREF _Toc488332281 \h </w:instrText>
            </w:r>
            <w:r w:rsidR="00232CEF">
              <w:rPr>
                <w:noProof/>
                <w:webHidden/>
              </w:rPr>
            </w:r>
            <w:r w:rsidR="00232CEF">
              <w:rPr>
                <w:noProof/>
                <w:webHidden/>
              </w:rPr>
              <w:fldChar w:fldCharType="separate"/>
            </w:r>
            <w:r w:rsidR="0025512F">
              <w:rPr>
                <w:noProof/>
                <w:webHidden/>
              </w:rPr>
              <w:t>27</w:t>
            </w:r>
            <w:r w:rsidR="00232CEF">
              <w:rPr>
                <w:noProof/>
                <w:webHidden/>
              </w:rPr>
              <w:fldChar w:fldCharType="end"/>
            </w:r>
          </w:hyperlink>
        </w:p>
        <w:p w:rsidR="00232CEF" w:rsidRDefault="006D258D">
          <w:pPr>
            <w:pStyle w:val="TOC2"/>
            <w:rPr>
              <w:rFonts w:asciiTheme="minorHAnsi" w:eastAsiaTheme="minorEastAsia" w:hAnsiTheme="minorHAnsi" w:cstheme="minorBidi"/>
              <w:szCs w:val="22"/>
            </w:rPr>
          </w:pPr>
          <w:hyperlink w:anchor="_Toc488332282" w:history="1">
            <w:r w:rsidR="00232CEF" w:rsidRPr="00EF3632">
              <w:rPr>
                <w:rStyle w:val="Hyperlink"/>
              </w:rPr>
              <w:t>Pricing teaching and training activities using the ATTC</w:t>
            </w:r>
            <w:r w:rsidR="00232CEF">
              <w:rPr>
                <w:webHidden/>
              </w:rPr>
              <w:tab/>
            </w:r>
            <w:r w:rsidR="00232CEF">
              <w:rPr>
                <w:webHidden/>
              </w:rPr>
              <w:fldChar w:fldCharType="begin"/>
            </w:r>
            <w:r w:rsidR="00232CEF">
              <w:rPr>
                <w:webHidden/>
              </w:rPr>
              <w:instrText xml:space="preserve"> PAGEREF _Toc488332282 \h </w:instrText>
            </w:r>
            <w:r w:rsidR="00232CEF">
              <w:rPr>
                <w:webHidden/>
              </w:rPr>
            </w:r>
            <w:r w:rsidR="00232CEF">
              <w:rPr>
                <w:webHidden/>
              </w:rPr>
              <w:fldChar w:fldCharType="separate"/>
            </w:r>
            <w:r w:rsidR="0025512F">
              <w:rPr>
                <w:webHidden/>
              </w:rPr>
              <w:t>27</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83" w:history="1">
            <w:r w:rsidR="00232CEF" w:rsidRPr="00EF3632">
              <w:rPr>
                <w:rStyle w:val="Hyperlink"/>
              </w:rPr>
              <w:t>Appendix A: TTR costing study sites</w:t>
            </w:r>
            <w:r w:rsidR="00232CEF">
              <w:rPr>
                <w:webHidden/>
              </w:rPr>
              <w:tab/>
            </w:r>
            <w:r w:rsidR="00232CEF">
              <w:rPr>
                <w:webHidden/>
              </w:rPr>
              <w:fldChar w:fldCharType="begin"/>
            </w:r>
            <w:r w:rsidR="00232CEF">
              <w:rPr>
                <w:webHidden/>
              </w:rPr>
              <w:instrText xml:space="preserve"> PAGEREF _Toc488332283 \h </w:instrText>
            </w:r>
            <w:r w:rsidR="00232CEF">
              <w:rPr>
                <w:webHidden/>
              </w:rPr>
            </w:r>
            <w:r w:rsidR="00232CEF">
              <w:rPr>
                <w:webHidden/>
              </w:rPr>
              <w:fldChar w:fldCharType="separate"/>
            </w:r>
            <w:r w:rsidR="0025512F">
              <w:rPr>
                <w:webHidden/>
              </w:rPr>
              <w:t>27</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84" w:history="1">
            <w:r w:rsidR="00232CEF" w:rsidRPr="00EF3632">
              <w:rPr>
                <w:rStyle w:val="Hyperlink"/>
              </w:rPr>
              <w:t>Appendix B: Detailed outputs from statistical analysis and technical information</w:t>
            </w:r>
            <w:r w:rsidR="00232CEF">
              <w:rPr>
                <w:webHidden/>
              </w:rPr>
              <w:tab/>
            </w:r>
            <w:r w:rsidR="00232CEF">
              <w:rPr>
                <w:webHidden/>
              </w:rPr>
              <w:fldChar w:fldCharType="begin"/>
            </w:r>
            <w:r w:rsidR="00232CEF">
              <w:rPr>
                <w:webHidden/>
              </w:rPr>
              <w:instrText xml:space="preserve"> PAGEREF _Toc488332284 \h </w:instrText>
            </w:r>
            <w:r w:rsidR="00232CEF">
              <w:rPr>
                <w:webHidden/>
              </w:rPr>
            </w:r>
            <w:r w:rsidR="00232CEF">
              <w:rPr>
                <w:webHidden/>
              </w:rPr>
              <w:fldChar w:fldCharType="separate"/>
            </w:r>
            <w:r w:rsidR="0025512F">
              <w:rPr>
                <w:webHidden/>
              </w:rPr>
              <w:t>27</w:t>
            </w:r>
            <w:r w:rsidR="00232CEF">
              <w:rPr>
                <w:webHidden/>
              </w:rPr>
              <w:fldChar w:fldCharType="end"/>
            </w:r>
          </w:hyperlink>
        </w:p>
        <w:p w:rsidR="00232CEF" w:rsidRDefault="006D258D">
          <w:pPr>
            <w:pStyle w:val="TOC1"/>
            <w:rPr>
              <w:rFonts w:asciiTheme="minorHAnsi" w:eastAsiaTheme="minorEastAsia" w:hAnsiTheme="minorHAnsi" w:cstheme="minorBidi"/>
              <w:szCs w:val="22"/>
            </w:rPr>
          </w:pPr>
          <w:hyperlink w:anchor="_Toc488332285" w:history="1">
            <w:r w:rsidR="00232CEF" w:rsidRPr="00EF3632">
              <w:rPr>
                <w:rStyle w:val="Hyperlink"/>
                <w:lang w:eastAsia="ja-JP"/>
              </w:rPr>
              <w:t>Appendix C: ATTC Version 1.0</w:t>
            </w:r>
            <w:r w:rsidR="00232CEF">
              <w:rPr>
                <w:webHidden/>
              </w:rPr>
              <w:tab/>
            </w:r>
            <w:r w:rsidR="00232CEF">
              <w:rPr>
                <w:webHidden/>
              </w:rPr>
              <w:fldChar w:fldCharType="begin"/>
            </w:r>
            <w:r w:rsidR="00232CEF">
              <w:rPr>
                <w:webHidden/>
              </w:rPr>
              <w:instrText xml:space="preserve"> PAGEREF _Toc488332285 \h </w:instrText>
            </w:r>
            <w:r w:rsidR="00232CEF">
              <w:rPr>
                <w:webHidden/>
              </w:rPr>
            </w:r>
            <w:r w:rsidR="00232CEF">
              <w:rPr>
                <w:webHidden/>
              </w:rPr>
              <w:fldChar w:fldCharType="separate"/>
            </w:r>
            <w:r w:rsidR="0025512F">
              <w:rPr>
                <w:webHidden/>
              </w:rPr>
              <w:t>34</w:t>
            </w:r>
            <w:r w:rsidR="00232CEF">
              <w:rPr>
                <w:webHidden/>
              </w:rPr>
              <w:fldChar w:fldCharType="end"/>
            </w:r>
          </w:hyperlink>
        </w:p>
        <w:p w:rsidR="0064379C" w:rsidRDefault="0064379C" w:rsidP="00331B48">
          <w:pPr>
            <w:spacing w:before="60" w:after="60" w:line="276" w:lineRule="auto"/>
            <w:rPr>
              <w:noProof/>
            </w:rPr>
          </w:pPr>
          <w:r>
            <w:rPr>
              <w:b/>
              <w:bCs/>
              <w:noProof/>
            </w:rPr>
            <w:fldChar w:fldCharType="end"/>
          </w:r>
        </w:p>
      </w:sdtContent>
    </w:sdt>
    <w:p w:rsidR="0064379C" w:rsidRDefault="0064379C" w:rsidP="0064379C">
      <w:pPr>
        <w:spacing w:before="0" w:after="0" w:line="240" w:lineRule="auto"/>
        <w:rPr>
          <w:rFonts w:asciiTheme="majorHAnsi" w:hAnsiTheme="majorHAnsi"/>
          <w:b/>
          <w:sz w:val="64"/>
          <w:szCs w:val="44"/>
        </w:rPr>
      </w:pPr>
      <w:r>
        <w:t xml:space="preserve"> </w:t>
      </w:r>
      <w:r>
        <w:br w:type="page"/>
      </w:r>
    </w:p>
    <w:p w:rsidR="0064379C" w:rsidRPr="000B1758" w:rsidRDefault="00E17234" w:rsidP="0064379C">
      <w:pPr>
        <w:pStyle w:val="Heading1"/>
        <w:spacing w:after="160" w:line="276" w:lineRule="auto"/>
        <w:contextualSpacing w:val="0"/>
        <w:rPr>
          <w:rFonts w:cs="Arial"/>
        </w:rPr>
      </w:pPr>
      <w:bookmarkStart w:id="2" w:name="_Toc488332240"/>
      <w:r>
        <w:rPr>
          <w:rFonts w:cs="Arial"/>
        </w:rPr>
        <w:lastRenderedPageBreak/>
        <w:t>Acronyms</w:t>
      </w:r>
      <w:bookmarkEnd w:id="2"/>
    </w:p>
    <w:p w:rsidR="0064379C" w:rsidRPr="00410E81" w:rsidRDefault="0064379C" w:rsidP="00BA78FE">
      <w:pPr>
        <w:spacing w:after="160" w:line="276" w:lineRule="auto"/>
        <w:ind w:left="2694" w:hanging="2694"/>
      </w:pPr>
      <w:r w:rsidRPr="00410E81">
        <w:rPr>
          <w:b/>
        </w:rPr>
        <w:t>ABF</w:t>
      </w:r>
      <w:r w:rsidRPr="00410E81">
        <w:rPr>
          <w:b/>
        </w:rPr>
        <w:tab/>
      </w:r>
      <w:r w:rsidRPr="00410E81">
        <w:t xml:space="preserve">Activity Based Funding </w:t>
      </w:r>
    </w:p>
    <w:p w:rsidR="00763093" w:rsidRPr="00410E81" w:rsidRDefault="00763093" w:rsidP="00763093">
      <w:pPr>
        <w:spacing w:after="160" w:line="276" w:lineRule="auto"/>
        <w:ind w:left="2694" w:hanging="2694"/>
      </w:pPr>
      <w:r>
        <w:rPr>
          <w:b/>
        </w:rPr>
        <w:t>AHPCS</w:t>
      </w:r>
      <w:r w:rsidRPr="00410E81">
        <w:tab/>
        <w:t xml:space="preserve">Australian </w:t>
      </w:r>
      <w:r>
        <w:t>Hospital Patient Costing Standards</w:t>
      </w:r>
    </w:p>
    <w:p w:rsidR="00763093" w:rsidRPr="00410E81" w:rsidRDefault="00763093" w:rsidP="00763093">
      <w:pPr>
        <w:spacing w:after="160" w:line="276" w:lineRule="auto"/>
        <w:ind w:left="2694" w:hanging="2694"/>
      </w:pPr>
      <w:r w:rsidRPr="00410E81">
        <w:rPr>
          <w:b/>
        </w:rPr>
        <w:t>ATTC</w:t>
      </w:r>
      <w:r w:rsidRPr="00410E81">
        <w:tab/>
        <w:t>Australian Teaching and Training Classification</w:t>
      </w:r>
    </w:p>
    <w:p w:rsidR="0064379C" w:rsidRPr="00410E81" w:rsidRDefault="0064379C" w:rsidP="00BA78FE">
      <w:pPr>
        <w:spacing w:after="160" w:line="276" w:lineRule="auto"/>
        <w:ind w:left="2694" w:hanging="2694"/>
      </w:pPr>
      <w:r w:rsidRPr="00410E81">
        <w:rPr>
          <w:b/>
        </w:rPr>
        <w:t>COAG</w:t>
      </w:r>
      <w:r w:rsidRPr="00410E81">
        <w:tab/>
        <w:t>Council of Australian Governments</w:t>
      </w:r>
    </w:p>
    <w:p w:rsidR="0064379C" w:rsidRPr="00DF7176" w:rsidRDefault="0064379C" w:rsidP="00BA78FE">
      <w:pPr>
        <w:spacing w:after="160" w:line="276" w:lineRule="auto"/>
        <w:ind w:left="2694" w:hanging="2694"/>
        <w:rPr>
          <w:rFonts w:cs="Arial"/>
        </w:rPr>
      </w:pPr>
      <w:r w:rsidRPr="00DF7176">
        <w:rPr>
          <w:rFonts w:cs="Arial"/>
          <w:b/>
        </w:rPr>
        <w:t>CV</w:t>
      </w:r>
      <w:r>
        <w:rPr>
          <w:rFonts w:cs="Arial"/>
        </w:rPr>
        <w:tab/>
        <w:t>Coefficient of V</w:t>
      </w:r>
      <w:r w:rsidRPr="00DF7176">
        <w:rPr>
          <w:rFonts w:cs="Arial"/>
        </w:rPr>
        <w:t>ariation</w:t>
      </w:r>
    </w:p>
    <w:p w:rsidR="0064379C" w:rsidRPr="00410E81" w:rsidRDefault="0064379C" w:rsidP="00BA78FE">
      <w:pPr>
        <w:spacing w:after="160" w:line="276" w:lineRule="auto"/>
        <w:ind w:left="2694" w:hanging="2694"/>
      </w:pPr>
      <w:r w:rsidRPr="00410E81">
        <w:rPr>
          <w:b/>
        </w:rPr>
        <w:t>DSS</w:t>
      </w:r>
      <w:r w:rsidRPr="00410E81">
        <w:t xml:space="preserve"> </w:t>
      </w:r>
      <w:r w:rsidRPr="00410E81">
        <w:tab/>
        <w:t xml:space="preserve">Data Set Specification </w:t>
      </w:r>
    </w:p>
    <w:p w:rsidR="0064379C" w:rsidRPr="00410E81" w:rsidRDefault="0064379C" w:rsidP="00BA78FE">
      <w:pPr>
        <w:spacing w:after="160" w:line="276" w:lineRule="auto"/>
        <w:ind w:left="2694" w:hanging="2694"/>
        <w:rPr>
          <w:b/>
        </w:rPr>
      </w:pPr>
      <w:r w:rsidRPr="00410E81">
        <w:rPr>
          <w:b/>
        </w:rPr>
        <w:t>FTE</w:t>
      </w:r>
      <w:r w:rsidRPr="00410E81">
        <w:rPr>
          <w:b/>
        </w:rPr>
        <w:tab/>
      </w:r>
      <w:r w:rsidRPr="00410E81">
        <w:t>Full-Time Equivalent</w:t>
      </w:r>
    </w:p>
    <w:p w:rsidR="0064379C" w:rsidRPr="00DF7176" w:rsidRDefault="0064379C" w:rsidP="00BA78FE">
      <w:pPr>
        <w:spacing w:after="160" w:line="276" w:lineRule="auto"/>
        <w:ind w:left="2694" w:hanging="2694"/>
      </w:pPr>
      <w:r w:rsidRPr="00DF7176">
        <w:rPr>
          <w:b/>
        </w:rPr>
        <w:t>HTTA</w:t>
      </w:r>
      <w:r w:rsidRPr="00DF7176">
        <w:rPr>
          <w:b/>
        </w:rPr>
        <w:tab/>
      </w:r>
      <w:r w:rsidRPr="00DF7176">
        <w:t>Hospital Teaching and Training Activities</w:t>
      </w:r>
    </w:p>
    <w:p w:rsidR="0064379C" w:rsidRPr="00410E81" w:rsidRDefault="0064379C" w:rsidP="00BA78FE">
      <w:pPr>
        <w:spacing w:after="160" w:line="276" w:lineRule="auto"/>
        <w:ind w:left="2694" w:hanging="2694"/>
      </w:pPr>
      <w:r w:rsidRPr="00410E81">
        <w:rPr>
          <w:b/>
        </w:rPr>
        <w:t>HTTRA</w:t>
      </w:r>
      <w:r w:rsidRPr="00410E81">
        <w:rPr>
          <w:b/>
        </w:rPr>
        <w:tab/>
      </w:r>
      <w:r w:rsidRPr="00410E81">
        <w:t>Hospital Teaching, Training and Research Activities</w:t>
      </w:r>
    </w:p>
    <w:p w:rsidR="0064379C" w:rsidRPr="00410E81" w:rsidRDefault="0064379C" w:rsidP="00BA78FE">
      <w:pPr>
        <w:spacing w:after="160" w:line="276" w:lineRule="auto"/>
        <w:ind w:left="2694" w:hanging="2694"/>
      </w:pPr>
      <w:r w:rsidRPr="00410E81">
        <w:rPr>
          <w:b/>
        </w:rPr>
        <w:t>IHPA</w:t>
      </w:r>
      <w:r w:rsidRPr="00410E81">
        <w:tab/>
        <w:t>Independent Hospital Pricing Authority</w:t>
      </w:r>
    </w:p>
    <w:p w:rsidR="0064379C" w:rsidRPr="00DF7176" w:rsidRDefault="0064379C" w:rsidP="00BA78FE">
      <w:pPr>
        <w:spacing w:after="160" w:line="276" w:lineRule="auto"/>
        <w:ind w:left="2694" w:hanging="2694"/>
      </w:pPr>
      <w:r w:rsidRPr="00DF7176">
        <w:rPr>
          <w:b/>
        </w:rPr>
        <w:t>METeOR</w:t>
      </w:r>
      <w:r w:rsidRPr="00DF7176">
        <w:tab/>
        <w:t>Metadata Online Registry</w:t>
      </w:r>
    </w:p>
    <w:p w:rsidR="0064379C" w:rsidRDefault="0064379C" w:rsidP="00BA78FE">
      <w:pPr>
        <w:spacing w:after="160" w:line="276" w:lineRule="auto"/>
        <w:ind w:left="2694" w:hanging="2694"/>
        <w:rPr>
          <w:rFonts w:cs="Arial"/>
        </w:rPr>
      </w:pPr>
      <w:r w:rsidRPr="00410E81">
        <w:rPr>
          <w:rFonts w:cs="Arial"/>
          <w:b/>
        </w:rPr>
        <w:t>NBEDS</w:t>
      </w:r>
      <w:r w:rsidRPr="00410E81">
        <w:rPr>
          <w:rFonts w:cs="Arial"/>
          <w:b/>
        </w:rPr>
        <w:tab/>
      </w:r>
      <w:r w:rsidRPr="00410E81">
        <w:rPr>
          <w:rFonts w:cs="Arial"/>
        </w:rPr>
        <w:t>National Best Endeavours Data Set</w:t>
      </w:r>
    </w:p>
    <w:p w:rsidR="0064379C" w:rsidRPr="00410E81" w:rsidRDefault="0064379C" w:rsidP="00BA78FE">
      <w:pPr>
        <w:spacing w:after="160" w:line="276" w:lineRule="auto"/>
        <w:ind w:left="2694" w:hanging="2694"/>
        <w:rPr>
          <w:rFonts w:cs="Arial"/>
        </w:rPr>
      </w:pPr>
      <w:r w:rsidRPr="00121E5F">
        <w:rPr>
          <w:rFonts w:cs="Arial"/>
          <w:b/>
        </w:rPr>
        <w:t>NEP</w:t>
      </w:r>
      <w:r>
        <w:rPr>
          <w:rFonts w:cs="Arial"/>
        </w:rPr>
        <w:tab/>
        <w:t>National Efficient Price</w:t>
      </w:r>
    </w:p>
    <w:p w:rsidR="00763093" w:rsidRPr="00410E81" w:rsidRDefault="00763093" w:rsidP="00763093">
      <w:pPr>
        <w:spacing w:after="160" w:line="276" w:lineRule="auto"/>
        <w:ind w:left="2694" w:hanging="2694"/>
      </w:pPr>
      <w:r>
        <w:rPr>
          <w:b/>
        </w:rPr>
        <w:t>NHCDC</w:t>
      </w:r>
      <w:r w:rsidRPr="00410E81">
        <w:t xml:space="preserve"> </w:t>
      </w:r>
      <w:r w:rsidRPr="00410E81">
        <w:tab/>
        <w:t xml:space="preserve">National Health </w:t>
      </w:r>
      <w:r>
        <w:t>Cost Data Collection</w:t>
      </w:r>
      <w:r w:rsidRPr="00410E81">
        <w:t xml:space="preserve"> </w:t>
      </w:r>
    </w:p>
    <w:p w:rsidR="00763093" w:rsidRPr="00410E81" w:rsidRDefault="00763093" w:rsidP="00763093">
      <w:pPr>
        <w:spacing w:after="160" w:line="276" w:lineRule="auto"/>
        <w:ind w:left="2694" w:hanging="2694"/>
      </w:pPr>
      <w:r w:rsidRPr="00410E81">
        <w:rPr>
          <w:b/>
        </w:rPr>
        <w:t>NHRA</w:t>
      </w:r>
      <w:r w:rsidRPr="00410E81">
        <w:t xml:space="preserve"> </w:t>
      </w:r>
      <w:r w:rsidRPr="00410E81">
        <w:tab/>
        <w:t xml:space="preserve">National Health Reform Agreement </w:t>
      </w:r>
    </w:p>
    <w:p w:rsidR="0064379C" w:rsidRPr="00410E81" w:rsidRDefault="0064379C" w:rsidP="00BA78FE">
      <w:pPr>
        <w:spacing w:after="160" w:line="276" w:lineRule="auto"/>
        <w:ind w:left="2694" w:hanging="2694"/>
        <w:rPr>
          <w:rFonts w:cs="Arial"/>
        </w:rPr>
      </w:pPr>
      <w:r w:rsidRPr="00410E81">
        <w:rPr>
          <w:rFonts w:cs="Arial"/>
          <w:b/>
        </w:rPr>
        <w:t>NMDS</w:t>
      </w:r>
      <w:r w:rsidRPr="00410E81">
        <w:rPr>
          <w:rFonts w:cs="Arial"/>
        </w:rPr>
        <w:tab/>
        <w:t>National Minimum Data Set</w:t>
      </w:r>
    </w:p>
    <w:p w:rsidR="0064379C" w:rsidRDefault="0064379C" w:rsidP="00BA78FE">
      <w:pPr>
        <w:tabs>
          <w:tab w:val="left" w:pos="2880"/>
          <w:tab w:val="left" w:pos="3600"/>
          <w:tab w:val="left" w:pos="4320"/>
          <w:tab w:val="left" w:pos="5040"/>
          <w:tab w:val="left" w:pos="5760"/>
          <w:tab w:val="left" w:pos="7230"/>
        </w:tabs>
        <w:spacing w:after="160" w:line="276" w:lineRule="auto"/>
        <w:ind w:left="2694" w:hanging="2694"/>
        <w:rPr>
          <w:rFonts w:cs="Arial"/>
        </w:rPr>
      </w:pPr>
      <w:r>
        <w:rPr>
          <w:rFonts w:cs="Arial"/>
          <w:b/>
        </w:rPr>
        <w:t>PGY1</w:t>
      </w:r>
      <w:r>
        <w:rPr>
          <w:rFonts w:cs="Arial"/>
          <w:b/>
        </w:rPr>
        <w:tab/>
      </w:r>
      <w:r w:rsidRPr="00610FBB">
        <w:rPr>
          <w:rFonts w:cs="Arial"/>
        </w:rPr>
        <w:t xml:space="preserve">Postgraduate </w:t>
      </w:r>
      <w:r>
        <w:rPr>
          <w:rFonts w:cs="Arial"/>
        </w:rPr>
        <w:t xml:space="preserve">Year </w:t>
      </w:r>
      <w:r w:rsidRPr="00610FBB">
        <w:rPr>
          <w:rFonts w:cs="Arial"/>
        </w:rPr>
        <w:t>1</w:t>
      </w:r>
    </w:p>
    <w:p w:rsidR="0064379C" w:rsidRPr="00610FBB" w:rsidRDefault="0064379C" w:rsidP="00BA78FE">
      <w:pPr>
        <w:tabs>
          <w:tab w:val="left" w:pos="2880"/>
          <w:tab w:val="left" w:pos="3600"/>
          <w:tab w:val="left" w:pos="4320"/>
          <w:tab w:val="left" w:pos="5040"/>
          <w:tab w:val="left" w:pos="5760"/>
          <w:tab w:val="left" w:pos="7230"/>
        </w:tabs>
        <w:spacing w:after="160" w:line="276" w:lineRule="auto"/>
        <w:ind w:left="2694" w:hanging="2694"/>
        <w:rPr>
          <w:rFonts w:cs="Arial"/>
        </w:rPr>
      </w:pPr>
      <w:r>
        <w:rPr>
          <w:rFonts w:cs="Arial"/>
          <w:b/>
        </w:rPr>
        <w:t>PGY2</w:t>
      </w:r>
      <w:r>
        <w:rPr>
          <w:rFonts w:cs="Arial"/>
          <w:b/>
        </w:rPr>
        <w:tab/>
      </w:r>
      <w:r w:rsidRPr="00610FBB">
        <w:rPr>
          <w:rFonts w:cs="Arial"/>
        </w:rPr>
        <w:t>Postgraduate</w:t>
      </w:r>
      <w:r>
        <w:rPr>
          <w:rFonts w:cs="Arial"/>
        </w:rPr>
        <w:t xml:space="preserve"> Year 2</w:t>
      </w:r>
    </w:p>
    <w:p w:rsidR="0064379C" w:rsidRPr="00610FBB" w:rsidRDefault="0064379C" w:rsidP="00BA78FE">
      <w:pPr>
        <w:tabs>
          <w:tab w:val="left" w:pos="2880"/>
          <w:tab w:val="left" w:pos="3600"/>
          <w:tab w:val="left" w:pos="4320"/>
          <w:tab w:val="left" w:pos="5040"/>
          <w:tab w:val="left" w:pos="5760"/>
          <w:tab w:val="left" w:pos="7230"/>
        </w:tabs>
        <w:spacing w:after="160" w:line="276" w:lineRule="auto"/>
        <w:ind w:left="2694" w:hanging="2694"/>
        <w:rPr>
          <w:rFonts w:cs="Arial"/>
        </w:rPr>
      </w:pPr>
      <w:r>
        <w:rPr>
          <w:rFonts w:cs="Arial"/>
          <w:b/>
        </w:rPr>
        <w:t>PGY3+</w:t>
      </w:r>
      <w:r>
        <w:rPr>
          <w:rFonts w:cs="Arial"/>
          <w:b/>
        </w:rPr>
        <w:tab/>
      </w:r>
      <w:r w:rsidRPr="00610FBB">
        <w:rPr>
          <w:rFonts w:cs="Arial"/>
        </w:rPr>
        <w:t>Postgraduate</w:t>
      </w:r>
      <w:r>
        <w:rPr>
          <w:rFonts w:cs="Arial"/>
        </w:rPr>
        <w:t xml:space="preserve"> Year 3 and above</w:t>
      </w:r>
    </w:p>
    <w:p w:rsidR="0064379C" w:rsidRPr="000B1758" w:rsidRDefault="0064379C" w:rsidP="00BA78FE">
      <w:pPr>
        <w:spacing w:after="160" w:line="276" w:lineRule="auto"/>
        <w:ind w:left="2694" w:hanging="2694"/>
      </w:pPr>
      <w:r w:rsidRPr="004C7444">
        <w:rPr>
          <w:b/>
        </w:rPr>
        <w:t>TTR</w:t>
      </w:r>
      <w:r w:rsidRPr="004C7444">
        <w:rPr>
          <w:b/>
        </w:rPr>
        <w:tab/>
      </w:r>
      <w:r w:rsidRPr="004C7444">
        <w:t>T</w:t>
      </w:r>
      <w:r>
        <w:t xml:space="preserve">eaching, </w:t>
      </w:r>
      <w:r w:rsidRPr="00610FBB">
        <w:t xml:space="preserve">Training </w:t>
      </w:r>
      <w:r>
        <w:t xml:space="preserve">and Research </w:t>
      </w:r>
    </w:p>
    <w:p w:rsidR="0064379C" w:rsidRPr="00C422A3" w:rsidRDefault="0064379C" w:rsidP="00BA78FE">
      <w:pPr>
        <w:spacing w:after="160" w:line="276" w:lineRule="auto"/>
        <w:ind w:left="2694" w:hanging="2694"/>
      </w:pPr>
      <w:r w:rsidRPr="00C422A3">
        <w:rPr>
          <w:b/>
        </w:rPr>
        <w:t>TTRWG</w:t>
      </w:r>
      <w:r w:rsidRPr="00C422A3">
        <w:rPr>
          <w:b/>
        </w:rPr>
        <w:tab/>
      </w:r>
      <w:r w:rsidRPr="00C422A3">
        <w:t>Teaching, Training and Research Working Group</w:t>
      </w:r>
    </w:p>
    <w:p w:rsidR="0064379C" w:rsidRDefault="0064379C">
      <w:pPr>
        <w:spacing w:before="0" w:after="0" w:line="240" w:lineRule="auto"/>
      </w:pPr>
      <w:r>
        <w:br w:type="page"/>
      </w:r>
    </w:p>
    <w:p w:rsidR="0064379C" w:rsidRPr="000B1758" w:rsidRDefault="0064379C" w:rsidP="0064379C">
      <w:pPr>
        <w:pStyle w:val="Heading1"/>
      </w:pPr>
      <w:bookmarkStart w:id="3" w:name="_Toc479265258"/>
      <w:bookmarkStart w:id="4" w:name="_Toc488332241"/>
      <w:r w:rsidRPr="000B1758">
        <w:lastRenderedPageBreak/>
        <w:t>Executive summary</w:t>
      </w:r>
      <w:bookmarkEnd w:id="3"/>
      <w:bookmarkEnd w:id="4"/>
    </w:p>
    <w:p w:rsidR="0064379C" w:rsidRPr="003A70CE" w:rsidRDefault="0064379C" w:rsidP="0064379C">
      <w:pPr>
        <w:spacing w:after="160" w:line="276" w:lineRule="auto"/>
      </w:pPr>
      <w:r w:rsidRPr="004C1972">
        <w:rPr>
          <w:rFonts w:cs="Arial"/>
          <w:lang w:val="en-US" w:eastAsia="ja-JP"/>
        </w:rPr>
        <w:t>The Independent Hospital Pricing Authority (IHPA) is an independent government agency established by the Commonwealth as part of the implementation of the National Healt</w:t>
      </w:r>
      <w:r>
        <w:rPr>
          <w:rFonts w:cs="Arial"/>
          <w:lang w:val="en-US" w:eastAsia="ja-JP"/>
        </w:rPr>
        <w:t xml:space="preserve">h Reform Agreement 2011 (NHRA). </w:t>
      </w:r>
      <w:r w:rsidRPr="004C1972">
        <w:rPr>
          <w:rFonts w:cs="Arial"/>
          <w:lang w:val="en-US" w:eastAsia="ja-JP"/>
        </w:rPr>
        <w:t>The NHRA requires that IHPA</w:t>
      </w:r>
      <w:r>
        <w:rPr>
          <w:rFonts w:cs="Arial"/>
          <w:lang w:val="en-US" w:eastAsia="ja-JP"/>
        </w:rPr>
        <w:t>, amongst other functions, develop and specify</w:t>
      </w:r>
      <w:r w:rsidRPr="00B20BF8">
        <w:t xml:space="preserve"> the classifications for services provided by public hospitals</w:t>
      </w:r>
      <w:r>
        <w:t xml:space="preserve"> to be funded </w:t>
      </w:r>
      <w:r>
        <w:rPr>
          <w:rFonts w:cs="Arial"/>
          <w:lang w:val="en-US" w:eastAsia="ja-JP"/>
        </w:rPr>
        <w:t>under</w:t>
      </w:r>
      <w:r w:rsidRPr="003E535A">
        <w:rPr>
          <w:rFonts w:cs="Arial"/>
          <w:lang w:val="en-US" w:eastAsia="ja-JP"/>
        </w:rPr>
        <w:t xml:space="preserve"> an </w:t>
      </w:r>
      <w:r>
        <w:t>Activity Based Funding (ABF) arrangement</w:t>
      </w:r>
      <w:r w:rsidRPr="00B20BF8">
        <w:t>.</w:t>
      </w:r>
      <w:r>
        <w:t xml:space="preserve"> </w:t>
      </w:r>
      <w:r w:rsidRPr="00975E3E">
        <w:t>IHPA undertakes reviews and updates of existing classifications and is also responsible for introducing new classifications</w:t>
      </w:r>
      <w:r>
        <w:t>.</w:t>
      </w:r>
    </w:p>
    <w:p w:rsidR="0064379C" w:rsidRDefault="0064379C" w:rsidP="0064379C">
      <w:pPr>
        <w:spacing w:after="160" w:line="276" w:lineRule="auto"/>
        <w:rPr>
          <w:rFonts w:cs="Arial"/>
          <w:lang w:val="en-US" w:eastAsia="ja-JP"/>
        </w:rPr>
      </w:pPr>
      <w:r>
        <w:rPr>
          <w:rFonts w:cs="Arial"/>
          <w:lang w:val="en-US" w:eastAsia="ja-JP"/>
        </w:rPr>
        <w:t xml:space="preserve">Teaching, training and research (TTR) </w:t>
      </w:r>
      <w:r w:rsidRPr="001F0F2C">
        <w:rPr>
          <w:rFonts w:cs="Arial"/>
          <w:lang w:val="en-US" w:eastAsia="ja-JP"/>
        </w:rPr>
        <w:t xml:space="preserve">activities represent an important role of the public hospital system alongside the provision of care to patients. However, there is currently no classification system for TTR, nor are there mature, nationally consistent data collections for activity or cost data which would allow </w:t>
      </w:r>
      <w:r>
        <w:rPr>
          <w:rFonts w:cs="Arial"/>
          <w:lang w:val="en-US" w:eastAsia="ja-JP"/>
        </w:rPr>
        <w:t xml:space="preserve">IHPA </w:t>
      </w:r>
      <w:r w:rsidRPr="001F0F2C">
        <w:rPr>
          <w:rFonts w:cs="Arial"/>
          <w:lang w:val="en-US" w:eastAsia="ja-JP"/>
        </w:rPr>
        <w:t xml:space="preserve">to price TTR using </w:t>
      </w:r>
      <w:r>
        <w:rPr>
          <w:rFonts w:cs="Arial"/>
          <w:lang w:val="en-US" w:eastAsia="ja-JP"/>
        </w:rPr>
        <w:t>ABF methods</w:t>
      </w:r>
      <w:r w:rsidRPr="001F0F2C">
        <w:rPr>
          <w:rFonts w:cs="Arial"/>
          <w:lang w:val="en-US" w:eastAsia="ja-JP"/>
        </w:rPr>
        <w:t>.</w:t>
      </w:r>
    </w:p>
    <w:p w:rsidR="0064379C" w:rsidRPr="003E535A" w:rsidRDefault="0064379C" w:rsidP="0064379C">
      <w:pPr>
        <w:spacing w:after="160" w:line="276" w:lineRule="auto"/>
        <w:rPr>
          <w:rFonts w:cs="Arial"/>
          <w:lang w:val="en-US" w:eastAsia="ja-JP"/>
        </w:rPr>
      </w:pPr>
      <w:r w:rsidRPr="003E535A">
        <w:rPr>
          <w:rFonts w:cs="Arial"/>
          <w:lang w:val="en-US" w:eastAsia="ja-JP"/>
        </w:rPr>
        <w:t xml:space="preserve">A proportion of </w:t>
      </w:r>
      <w:r>
        <w:rPr>
          <w:rFonts w:cs="Arial"/>
          <w:lang w:val="en-US" w:eastAsia="ja-JP"/>
        </w:rPr>
        <w:t>teaching and training</w:t>
      </w:r>
      <w:r w:rsidRPr="003E535A">
        <w:rPr>
          <w:rFonts w:cs="Arial"/>
          <w:lang w:val="en-US" w:eastAsia="ja-JP"/>
        </w:rPr>
        <w:t xml:space="preserve"> activities in public hospitals are currently funded through block funding or grants. The development of </w:t>
      </w:r>
      <w:r>
        <w:rPr>
          <w:rFonts w:cs="Arial"/>
          <w:lang w:val="en-US" w:eastAsia="ja-JP"/>
        </w:rPr>
        <w:t>an Australian Teaching and Training Classification (</w:t>
      </w:r>
      <w:r w:rsidRPr="003E535A">
        <w:rPr>
          <w:rFonts w:cs="Arial"/>
          <w:lang w:val="en-US" w:eastAsia="ja-JP"/>
        </w:rPr>
        <w:t>ATTC</w:t>
      </w:r>
      <w:r>
        <w:rPr>
          <w:rFonts w:cs="Arial"/>
          <w:lang w:val="en-US" w:eastAsia="ja-JP"/>
        </w:rPr>
        <w:t>)</w:t>
      </w:r>
      <w:r w:rsidRPr="003E535A">
        <w:rPr>
          <w:rFonts w:cs="Arial"/>
          <w:lang w:val="en-US" w:eastAsia="ja-JP"/>
        </w:rPr>
        <w:t xml:space="preserve"> will enable such activities to be funded on an ABF basis in the future in order to increase the transparency of funding flows </w:t>
      </w:r>
      <w:r>
        <w:rPr>
          <w:rFonts w:cs="Arial"/>
          <w:lang w:val="en-US" w:eastAsia="ja-JP"/>
        </w:rPr>
        <w:t>from governments to hospitals. A</w:t>
      </w:r>
      <w:r w:rsidRPr="003E535A">
        <w:rPr>
          <w:rFonts w:cs="Arial"/>
          <w:lang w:val="en-US" w:eastAsia="ja-JP"/>
        </w:rPr>
        <w:t xml:space="preserve"> </w:t>
      </w:r>
      <w:r>
        <w:rPr>
          <w:rFonts w:cs="Arial"/>
          <w:lang w:val="en-US" w:eastAsia="ja-JP"/>
        </w:rPr>
        <w:t>teaching and training</w:t>
      </w:r>
      <w:r w:rsidRPr="003E535A">
        <w:rPr>
          <w:rFonts w:cs="Arial"/>
          <w:lang w:val="en-US" w:eastAsia="ja-JP"/>
        </w:rPr>
        <w:t xml:space="preserve"> classification will provide better management, measurement and funding of high quality and efficient </w:t>
      </w:r>
      <w:r>
        <w:rPr>
          <w:rFonts w:cs="Arial"/>
          <w:lang w:val="en-US" w:eastAsia="ja-JP"/>
        </w:rPr>
        <w:t>teaching and training</w:t>
      </w:r>
      <w:r w:rsidRPr="003E535A">
        <w:rPr>
          <w:rFonts w:cs="Arial"/>
          <w:lang w:val="en-US" w:eastAsia="ja-JP"/>
        </w:rPr>
        <w:t xml:space="preserve"> </w:t>
      </w:r>
      <w:r>
        <w:rPr>
          <w:rFonts w:cs="Arial"/>
          <w:lang w:val="en-US" w:eastAsia="ja-JP"/>
        </w:rPr>
        <w:t>activities</w:t>
      </w:r>
      <w:r w:rsidRPr="003E535A">
        <w:rPr>
          <w:rFonts w:cs="Arial"/>
          <w:lang w:val="en-US" w:eastAsia="ja-JP"/>
        </w:rPr>
        <w:t>.</w:t>
      </w:r>
    </w:p>
    <w:p w:rsidR="0064379C" w:rsidRDefault="0064379C" w:rsidP="0064379C">
      <w:pPr>
        <w:spacing w:line="276" w:lineRule="auto"/>
        <w:rPr>
          <w:rFonts w:cs="Arial"/>
          <w:lang w:val="en-US" w:eastAsia="ja-JP"/>
        </w:rPr>
      </w:pPr>
      <w:r>
        <w:rPr>
          <w:rFonts w:cs="Arial"/>
          <w:lang w:val="en-US" w:eastAsia="ja-JP"/>
        </w:rPr>
        <w:t xml:space="preserve">In December 2014, IHPA provided advice to the </w:t>
      </w:r>
      <w:r w:rsidRPr="004C1972">
        <w:rPr>
          <w:rFonts w:cs="Arial"/>
          <w:lang w:val="en-US" w:eastAsia="ja-JP"/>
        </w:rPr>
        <w:t xml:space="preserve">Council of Australian Governments (COAG) </w:t>
      </w:r>
      <w:r>
        <w:t xml:space="preserve">Health Council </w:t>
      </w:r>
      <w:r>
        <w:rPr>
          <w:rFonts w:cs="Arial"/>
          <w:lang w:val="en-US" w:eastAsia="ja-JP"/>
        </w:rPr>
        <w:t xml:space="preserve">that it is feasible to transition funding for teaching and training activities from block funding and grants to ABF arrangements. Subsequently, IHPA has undertaken a significant program of work to </w:t>
      </w:r>
      <w:r w:rsidRPr="00DE47C9">
        <w:rPr>
          <w:rFonts w:cs="Arial"/>
          <w:lang w:val="en-US" w:eastAsia="ja-JP"/>
        </w:rPr>
        <w:t xml:space="preserve">inform the development of the first iteration of the ATTC. </w:t>
      </w:r>
    </w:p>
    <w:p w:rsidR="0064379C" w:rsidRPr="0092781E" w:rsidRDefault="0064379C" w:rsidP="0064379C">
      <w:pPr>
        <w:spacing w:after="160" w:line="276" w:lineRule="auto"/>
        <w:rPr>
          <w:rFonts w:cs="Arial"/>
          <w:lang w:val="en-US" w:eastAsia="ja-JP"/>
        </w:rPr>
      </w:pPr>
      <w:r w:rsidRPr="001E0EFD">
        <w:rPr>
          <w:rFonts w:cs="Arial"/>
          <w:lang w:val="en-US" w:eastAsia="ja-JP"/>
        </w:rPr>
        <w:t xml:space="preserve">This </w:t>
      </w:r>
      <w:r>
        <w:rPr>
          <w:rFonts w:cs="Arial"/>
          <w:lang w:val="en-US" w:eastAsia="ja-JP"/>
        </w:rPr>
        <w:t xml:space="preserve">public consultation </w:t>
      </w:r>
      <w:r w:rsidRPr="001E0EFD">
        <w:rPr>
          <w:rFonts w:cs="Arial"/>
          <w:lang w:val="en-US" w:eastAsia="ja-JP"/>
        </w:rPr>
        <w:t xml:space="preserve">paper </w:t>
      </w:r>
      <w:r w:rsidRPr="003E535A">
        <w:rPr>
          <w:rFonts w:cs="Arial"/>
          <w:lang w:val="en-US" w:eastAsia="ja-JP"/>
        </w:rPr>
        <w:t>seek</w:t>
      </w:r>
      <w:r w:rsidR="001C2091">
        <w:rPr>
          <w:rFonts w:cs="Arial"/>
          <w:lang w:val="en-US" w:eastAsia="ja-JP"/>
        </w:rPr>
        <w:t>s</w:t>
      </w:r>
      <w:r w:rsidRPr="003E535A">
        <w:rPr>
          <w:rFonts w:cs="Arial"/>
          <w:lang w:val="en-US" w:eastAsia="ja-JP"/>
        </w:rPr>
        <w:t xml:space="preserve"> </w:t>
      </w:r>
      <w:r w:rsidRPr="00C32FB0">
        <w:rPr>
          <w:rFonts w:cs="Arial"/>
          <w:lang w:val="en-US" w:eastAsia="ja-JP"/>
        </w:rPr>
        <w:t xml:space="preserve">stakeholders’ views on the classification’s </w:t>
      </w:r>
      <w:r>
        <w:rPr>
          <w:rFonts w:cs="Arial"/>
          <w:lang w:val="en-US" w:eastAsia="ja-JP"/>
        </w:rPr>
        <w:t>proposed structure</w:t>
      </w:r>
      <w:r w:rsidRPr="001E0EFD">
        <w:rPr>
          <w:rFonts w:cs="Arial"/>
          <w:lang w:val="en-US" w:eastAsia="ja-JP"/>
        </w:rPr>
        <w:t xml:space="preserve"> </w:t>
      </w:r>
      <w:r>
        <w:rPr>
          <w:rFonts w:cs="Arial"/>
          <w:lang w:val="en-US" w:eastAsia="ja-JP"/>
        </w:rPr>
        <w:t xml:space="preserve">and data items for inclusion. The consultation paper </w:t>
      </w:r>
      <w:r w:rsidRPr="001E0EFD">
        <w:rPr>
          <w:rFonts w:cs="Arial"/>
          <w:lang w:val="en-US" w:eastAsia="ja-JP"/>
        </w:rPr>
        <w:t>describe</w:t>
      </w:r>
      <w:r w:rsidR="001C2091">
        <w:rPr>
          <w:rFonts w:cs="Arial"/>
          <w:lang w:val="en-US" w:eastAsia="ja-JP"/>
        </w:rPr>
        <w:t>s</w:t>
      </w:r>
      <w:r w:rsidRPr="001E0EFD">
        <w:rPr>
          <w:rFonts w:cs="Arial"/>
          <w:lang w:val="en-US" w:eastAsia="ja-JP"/>
        </w:rPr>
        <w:t xml:space="preserve"> the </w:t>
      </w:r>
      <w:r>
        <w:rPr>
          <w:rFonts w:cs="Arial"/>
          <w:lang w:val="en-US" w:eastAsia="ja-JP"/>
        </w:rPr>
        <w:t>work undertaken to date</w:t>
      </w:r>
      <w:r w:rsidRPr="00C32FB0">
        <w:rPr>
          <w:rFonts w:cs="Arial"/>
          <w:lang w:val="en-US" w:eastAsia="ja-JP"/>
        </w:rPr>
        <w:t xml:space="preserve"> </w:t>
      </w:r>
      <w:r w:rsidRPr="003E535A">
        <w:rPr>
          <w:rFonts w:cs="Arial"/>
          <w:lang w:val="en-US" w:eastAsia="ja-JP"/>
        </w:rPr>
        <w:t xml:space="preserve">to </w:t>
      </w:r>
      <w:r w:rsidR="001C2091">
        <w:rPr>
          <w:rFonts w:cs="Arial"/>
          <w:lang w:val="en-US" w:eastAsia="ja-JP"/>
        </w:rPr>
        <w:t xml:space="preserve">design </w:t>
      </w:r>
      <w:r w:rsidRPr="003E535A">
        <w:rPr>
          <w:rFonts w:cs="Arial"/>
          <w:lang w:val="en-US" w:eastAsia="ja-JP"/>
        </w:rPr>
        <w:t xml:space="preserve">a nationally consistent method of classifying </w:t>
      </w:r>
      <w:r>
        <w:rPr>
          <w:rFonts w:cs="Arial"/>
          <w:lang w:val="en-US" w:eastAsia="ja-JP"/>
        </w:rPr>
        <w:t>teaching and training</w:t>
      </w:r>
      <w:r w:rsidRPr="003E535A">
        <w:rPr>
          <w:rFonts w:cs="Arial"/>
          <w:lang w:val="en-US" w:eastAsia="ja-JP"/>
        </w:rPr>
        <w:t xml:space="preserve"> activities and the associated costs</w:t>
      </w:r>
      <w:r>
        <w:rPr>
          <w:rFonts w:cs="Arial"/>
          <w:lang w:val="en-US" w:eastAsia="ja-JP"/>
        </w:rPr>
        <w:t>, provid</w:t>
      </w:r>
      <w:r w:rsidR="001C2091">
        <w:rPr>
          <w:rFonts w:cs="Arial"/>
          <w:lang w:val="en-US" w:eastAsia="ja-JP"/>
        </w:rPr>
        <w:t>es</w:t>
      </w:r>
      <w:r>
        <w:rPr>
          <w:rFonts w:cs="Arial"/>
          <w:lang w:val="en-US" w:eastAsia="ja-JP"/>
        </w:rPr>
        <w:t xml:space="preserve"> details of the statistical data analysis </w:t>
      </w:r>
      <w:r w:rsidR="001C2091">
        <w:rPr>
          <w:rFonts w:cs="Arial"/>
          <w:lang w:val="en-US" w:eastAsia="ja-JP"/>
        </w:rPr>
        <w:t xml:space="preserve">undertaken </w:t>
      </w:r>
      <w:r>
        <w:rPr>
          <w:rFonts w:cs="Arial"/>
          <w:lang w:val="en-US" w:eastAsia="ja-JP"/>
        </w:rPr>
        <w:t xml:space="preserve">and consultation processes </w:t>
      </w:r>
      <w:r w:rsidR="001C2091">
        <w:rPr>
          <w:rFonts w:cs="Arial"/>
          <w:lang w:val="en-US" w:eastAsia="ja-JP"/>
        </w:rPr>
        <w:t>used</w:t>
      </w:r>
      <w:r>
        <w:rPr>
          <w:rFonts w:cs="Arial"/>
          <w:lang w:val="en-US" w:eastAsia="ja-JP"/>
        </w:rPr>
        <w:t>.</w:t>
      </w:r>
    </w:p>
    <w:p w:rsidR="0064379C" w:rsidRPr="003067B8" w:rsidRDefault="0064379C" w:rsidP="0064379C">
      <w:pPr>
        <w:spacing w:after="160" w:line="276" w:lineRule="auto"/>
        <w:rPr>
          <w:rFonts w:cs="Arial"/>
        </w:rPr>
      </w:pPr>
      <w:r w:rsidRPr="003E535A">
        <w:rPr>
          <w:rFonts w:cs="Arial"/>
          <w:lang w:val="en-US" w:eastAsia="ja-JP"/>
        </w:rPr>
        <w:t xml:space="preserve">The </w:t>
      </w:r>
      <w:r>
        <w:rPr>
          <w:rFonts w:cs="Arial"/>
          <w:lang w:val="en-US" w:eastAsia="ja-JP"/>
        </w:rPr>
        <w:t xml:space="preserve">development of the </w:t>
      </w:r>
      <w:r w:rsidRPr="009807F4">
        <w:rPr>
          <w:rFonts w:cs="Arial"/>
          <w:lang w:val="en-US" w:eastAsia="ja-JP"/>
        </w:rPr>
        <w:t xml:space="preserve">ATTC </w:t>
      </w:r>
      <w:r>
        <w:rPr>
          <w:rFonts w:cs="Arial"/>
          <w:lang w:val="en-US" w:eastAsia="ja-JP"/>
        </w:rPr>
        <w:t>builds on</w:t>
      </w:r>
      <w:r w:rsidRPr="009807F4">
        <w:rPr>
          <w:rFonts w:cs="Arial"/>
          <w:lang w:val="en-US" w:eastAsia="ja-JP"/>
        </w:rPr>
        <w:t xml:space="preserve"> </w:t>
      </w:r>
      <w:r>
        <w:rPr>
          <w:rFonts w:cs="Arial"/>
          <w:lang w:val="en-US" w:eastAsia="ja-JP"/>
        </w:rPr>
        <w:t xml:space="preserve">a </w:t>
      </w:r>
      <w:r w:rsidRPr="008E47F4">
        <w:rPr>
          <w:rFonts w:cs="Arial"/>
          <w:lang w:val="en-US" w:eastAsia="ja-JP"/>
        </w:rPr>
        <w:t xml:space="preserve">significant </w:t>
      </w:r>
      <w:r>
        <w:rPr>
          <w:rFonts w:cs="Arial"/>
          <w:lang w:val="en-US" w:eastAsia="ja-JP"/>
        </w:rPr>
        <w:t xml:space="preserve">program </w:t>
      </w:r>
      <w:r w:rsidRPr="008E47F4">
        <w:rPr>
          <w:rFonts w:cs="Arial"/>
          <w:lang w:val="en-US" w:eastAsia="ja-JP"/>
        </w:rPr>
        <w:t>of work</w:t>
      </w:r>
      <w:r>
        <w:rPr>
          <w:rFonts w:cs="Arial"/>
          <w:lang w:val="en-US" w:eastAsia="ja-JP"/>
        </w:rPr>
        <w:t xml:space="preserve"> to develop an ABF framework for teaching and training</w:t>
      </w:r>
      <w:r w:rsidRPr="008E47F4">
        <w:rPr>
          <w:rFonts w:cs="Arial"/>
          <w:lang w:val="en-US" w:eastAsia="ja-JP"/>
        </w:rPr>
        <w:t xml:space="preserve">. </w:t>
      </w:r>
      <w:r>
        <w:rPr>
          <w:rFonts w:cs="Arial"/>
          <w:lang w:val="en-US" w:eastAsia="ja-JP"/>
        </w:rPr>
        <w:t xml:space="preserve">In 2013, </w:t>
      </w:r>
      <w:r w:rsidRPr="008E47F4">
        <w:rPr>
          <w:rFonts w:cs="Arial"/>
          <w:lang w:val="en-US" w:eastAsia="ja-JP"/>
        </w:rPr>
        <w:t>IHPA develop</w:t>
      </w:r>
      <w:r>
        <w:rPr>
          <w:rFonts w:cs="Arial"/>
          <w:lang w:val="en-US" w:eastAsia="ja-JP"/>
        </w:rPr>
        <w:t>ed</w:t>
      </w:r>
      <w:r w:rsidRPr="008E47F4">
        <w:rPr>
          <w:rFonts w:cs="Arial"/>
          <w:lang w:val="en-US" w:eastAsia="ja-JP"/>
        </w:rPr>
        <w:t xml:space="preserve"> a set of nationally agreed definitions for teaching</w:t>
      </w:r>
      <w:r>
        <w:rPr>
          <w:rFonts w:cs="Arial"/>
          <w:lang w:val="en-US" w:eastAsia="ja-JP"/>
        </w:rPr>
        <w:t xml:space="preserve"> and</w:t>
      </w:r>
      <w:r w:rsidRPr="008E47F4">
        <w:rPr>
          <w:rFonts w:cs="Arial"/>
          <w:lang w:val="en-US" w:eastAsia="ja-JP"/>
        </w:rPr>
        <w:t xml:space="preserve"> training and research</w:t>
      </w:r>
      <w:r>
        <w:rPr>
          <w:rFonts w:cs="Arial"/>
          <w:lang w:val="en-US" w:eastAsia="ja-JP"/>
        </w:rPr>
        <w:t>. The</w:t>
      </w:r>
      <w:r w:rsidRPr="003E535A">
        <w:rPr>
          <w:rFonts w:cs="Arial"/>
          <w:lang w:val="en-US" w:eastAsia="ja-JP"/>
        </w:rPr>
        <w:t xml:space="preserve"> </w:t>
      </w:r>
      <w:r>
        <w:rPr>
          <w:rFonts w:cs="Arial"/>
          <w:lang w:val="en-US" w:eastAsia="ja-JP"/>
        </w:rPr>
        <w:t xml:space="preserve">Definitions and Cost Drivers </w:t>
      </w:r>
      <w:r w:rsidRPr="003E535A">
        <w:rPr>
          <w:rFonts w:cs="Arial"/>
          <w:lang w:val="en-US" w:eastAsia="ja-JP"/>
        </w:rPr>
        <w:t xml:space="preserve">project </w:t>
      </w:r>
      <w:r>
        <w:rPr>
          <w:rFonts w:cs="Arial"/>
          <w:lang w:val="en-US" w:eastAsia="ja-JP"/>
        </w:rPr>
        <w:t xml:space="preserve">also identified and </w:t>
      </w:r>
      <w:proofErr w:type="spellStart"/>
      <w:r>
        <w:rPr>
          <w:rFonts w:cs="Arial"/>
          <w:lang w:val="en-US" w:eastAsia="ja-JP"/>
        </w:rPr>
        <w:t>analysed</w:t>
      </w:r>
      <w:proofErr w:type="spellEnd"/>
      <w:r>
        <w:rPr>
          <w:rFonts w:cs="Arial"/>
          <w:lang w:val="en-US" w:eastAsia="ja-JP"/>
        </w:rPr>
        <w:t xml:space="preserve"> </w:t>
      </w:r>
      <w:r w:rsidRPr="008E47F4">
        <w:rPr>
          <w:rFonts w:cs="Arial"/>
          <w:lang w:val="en-US" w:eastAsia="ja-JP"/>
        </w:rPr>
        <w:t xml:space="preserve">cost drivers for </w:t>
      </w:r>
      <w:r>
        <w:rPr>
          <w:rFonts w:cs="Arial"/>
          <w:lang w:val="en-US" w:eastAsia="ja-JP"/>
        </w:rPr>
        <w:t xml:space="preserve">teaching and training, </w:t>
      </w:r>
      <w:r>
        <w:rPr>
          <w:rFonts w:cs="Arial"/>
        </w:rPr>
        <w:t>providing</w:t>
      </w:r>
      <w:r w:rsidRPr="00296B7F">
        <w:rPr>
          <w:rFonts w:cs="Arial"/>
        </w:rPr>
        <w:t xml:space="preserve"> a framework for </w:t>
      </w:r>
      <w:r>
        <w:rPr>
          <w:rFonts w:cs="Arial"/>
        </w:rPr>
        <w:t xml:space="preserve">the development of </w:t>
      </w:r>
      <w:r w:rsidRPr="00296B7F">
        <w:rPr>
          <w:rFonts w:cs="Arial"/>
        </w:rPr>
        <w:t xml:space="preserve">a classification for </w:t>
      </w:r>
      <w:r>
        <w:rPr>
          <w:rFonts w:cs="Arial"/>
        </w:rPr>
        <w:t>teaching and training.</w:t>
      </w:r>
      <w:r w:rsidRPr="00296B7F">
        <w:rPr>
          <w:rFonts w:cs="Arial"/>
        </w:rPr>
        <w:t xml:space="preserve"> </w:t>
      </w:r>
    </w:p>
    <w:p w:rsidR="0064379C" w:rsidRPr="003E535A" w:rsidRDefault="0064379C" w:rsidP="0064379C">
      <w:pPr>
        <w:spacing w:after="160" w:line="276" w:lineRule="auto"/>
        <w:rPr>
          <w:rFonts w:cs="Arial"/>
          <w:lang w:val="en-US" w:eastAsia="ja-JP"/>
        </w:rPr>
      </w:pPr>
      <w:r>
        <w:rPr>
          <w:rFonts w:cs="Arial"/>
          <w:lang w:val="en-US" w:eastAsia="ja-JP"/>
        </w:rPr>
        <w:t xml:space="preserve">In 2013, IHPA established the first national ABF data collection for teaching and training through the development of the </w:t>
      </w:r>
      <w:r w:rsidRPr="003E535A">
        <w:rPr>
          <w:rFonts w:cs="Arial"/>
          <w:lang w:val="en-US" w:eastAsia="ja-JP"/>
        </w:rPr>
        <w:t xml:space="preserve">Hospital Teaching and Training Activities Data Set Specification </w:t>
      </w:r>
      <w:r>
        <w:rPr>
          <w:rFonts w:cs="Arial"/>
          <w:lang w:val="en-US" w:eastAsia="ja-JP"/>
        </w:rPr>
        <w:t>(HTTA</w:t>
      </w:r>
      <w:r w:rsidR="00B96191">
        <w:rPr>
          <w:rFonts w:cs="Arial"/>
          <w:lang w:val="en-US" w:eastAsia="ja-JP"/>
        </w:rPr>
        <w:t> </w:t>
      </w:r>
      <w:r w:rsidRPr="003E535A">
        <w:rPr>
          <w:rFonts w:cs="Arial"/>
          <w:lang w:val="en-US" w:eastAsia="ja-JP"/>
        </w:rPr>
        <w:t>DSS</w:t>
      </w:r>
      <w:r>
        <w:rPr>
          <w:rFonts w:cs="Arial"/>
          <w:lang w:val="en-US" w:eastAsia="ja-JP"/>
        </w:rPr>
        <w:t>). The HTTA DSS</w:t>
      </w:r>
      <w:r w:rsidRPr="003E535A">
        <w:rPr>
          <w:rFonts w:cs="Arial"/>
          <w:lang w:val="en-US" w:eastAsia="ja-JP"/>
        </w:rPr>
        <w:t xml:space="preserve"> </w:t>
      </w:r>
      <w:r>
        <w:rPr>
          <w:rFonts w:cs="Arial"/>
          <w:lang w:val="en-US" w:eastAsia="ja-JP"/>
        </w:rPr>
        <w:t xml:space="preserve">specified </w:t>
      </w:r>
      <w:r w:rsidRPr="003E535A">
        <w:rPr>
          <w:rFonts w:cs="Arial"/>
          <w:lang w:val="en-US" w:eastAsia="ja-JP"/>
        </w:rPr>
        <w:t>the data t</w:t>
      </w:r>
      <w:r>
        <w:rPr>
          <w:rFonts w:cs="Arial"/>
          <w:lang w:val="en-US" w:eastAsia="ja-JP"/>
        </w:rPr>
        <w:t xml:space="preserve">hat states and territories needed </w:t>
      </w:r>
      <w:r w:rsidRPr="003E535A">
        <w:rPr>
          <w:rFonts w:cs="Arial"/>
          <w:lang w:val="en-US" w:eastAsia="ja-JP"/>
        </w:rPr>
        <w:t>to report to IHPA on an ongoing basis</w:t>
      </w:r>
      <w:r>
        <w:rPr>
          <w:rFonts w:cs="Arial"/>
          <w:lang w:val="en-US" w:eastAsia="ja-JP"/>
        </w:rPr>
        <w:t xml:space="preserve"> to support the development and implementation of a classification for TTR</w:t>
      </w:r>
      <w:r w:rsidRPr="003E535A">
        <w:rPr>
          <w:rFonts w:cs="Arial"/>
          <w:lang w:val="en-US" w:eastAsia="ja-JP"/>
        </w:rPr>
        <w:t xml:space="preserve">. Data collection on a best </w:t>
      </w:r>
      <w:proofErr w:type="spellStart"/>
      <w:r w:rsidRPr="003E535A">
        <w:rPr>
          <w:rFonts w:cs="Arial"/>
          <w:lang w:val="en-US" w:eastAsia="ja-JP"/>
        </w:rPr>
        <w:t>endeavours</w:t>
      </w:r>
      <w:proofErr w:type="spellEnd"/>
      <w:r w:rsidRPr="003E535A">
        <w:rPr>
          <w:rFonts w:cs="Arial"/>
          <w:lang w:val="en-US" w:eastAsia="ja-JP"/>
        </w:rPr>
        <w:t xml:space="preserve"> basis for national </w:t>
      </w:r>
      <w:r>
        <w:rPr>
          <w:rFonts w:cs="Arial"/>
          <w:lang w:val="en-US" w:eastAsia="ja-JP"/>
        </w:rPr>
        <w:t>teaching and training</w:t>
      </w:r>
      <w:r w:rsidRPr="003E535A">
        <w:rPr>
          <w:rFonts w:cs="Arial"/>
          <w:lang w:val="en-US" w:eastAsia="ja-JP"/>
        </w:rPr>
        <w:t xml:space="preserve"> activity data commenced from 1 July 2014</w:t>
      </w:r>
      <w:r>
        <w:rPr>
          <w:rFonts w:cs="Arial"/>
          <w:lang w:val="en-US" w:eastAsia="ja-JP"/>
        </w:rPr>
        <w:t>.</w:t>
      </w:r>
      <w:r w:rsidRPr="003E535A">
        <w:rPr>
          <w:rFonts w:cs="Arial"/>
          <w:lang w:val="en-US" w:eastAsia="ja-JP"/>
        </w:rPr>
        <w:t xml:space="preserve"> </w:t>
      </w:r>
    </w:p>
    <w:p w:rsidR="0064379C" w:rsidRPr="003E535A" w:rsidRDefault="0064379C" w:rsidP="0064379C">
      <w:pPr>
        <w:spacing w:after="160" w:line="276" w:lineRule="auto"/>
        <w:rPr>
          <w:rFonts w:cs="Arial"/>
          <w:lang w:val="en-US" w:eastAsia="ja-JP"/>
        </w:rPr>
      </w:pPr>
      <w:r w:rsidRPr="003E535A">
        <w:rPr>
          <w:rFonts w:cs="Arial"/>
          <w:lang w:val="en-US" w:eastAsia="ja-JP"/>
        </w:rPr>
        <w:lastRenderedPageBreak/>
        <w:t xml:space="preserve">In 2015, IHPA undertook a six-month costing study </w:t>
      </w:r>
      <w:r>
        <w:rPr>
          <w:rFonts w:cs="Arial"/>
          <w:lang w:val="en-US" w:eastAsia="ja-JP"/>
        </w:rPr>
        <w:t>at</w:t>
      </w:r>
      <w:r w:rsidRPr="003E535A">
        <w:rPr>
          <w:rFonts w:cs="Arial"/>
          <w:lang w:val="en-US" w:eastAsia="ja-JP"/>
        </w:rPr>
        <w:t xml:space="preserve"> 19 public hospitals </w:t>
      </w:r>
      <w:r>
        <w:rPr>
          <w:rFonts w:cs="Arial"/>
          <w:lang w:val="en-US" w:eastAsia="ja-JP"/>
        </w:rPr>
        <w:t xml:space="preserve">in three jurisdictions </w:t>
      </w:r>
      <w:r w:rsidRPr="003E535A">
        <w:rPr>
          <w:rFonts w:cs="Arial"/>
          <w:lang w:val="en-US" w:eastAsia="ja-JP"/>
        </w:rPr>
        <w:t xml:space="preserve">across Australia. The overall finding of the TTR Costing Study was that while the data provided an adequate starting point for the development of a </w:t>
      </w:r>
      <w:r>
        <w:rPr>
          <w:rFonts w:cs="Arial"/>
          <w:lang w:val="en-US" w:eastAsia="ja-JP"/>
        </w:rPr>
        <w:t>teaching and training</w:t>
      </w:r>
      <w:r w:rsidRPr="003E535A">
        <w:rPr>
          <w:rFonts w:cs="Arial"/>
          <w:lang w:val="en-US" w:eastAsia="ja-JP"/>
        </w:rPr>
        <w:t xml:space="preserve"> classification, there was a low degree of confidence in the research data obtained. Therefore at this stage IHPA does not intend to undertake work in developing a research classification system.</w:t>
      </w:r>
      <w:r>
        <w:rPr>
          <w:rFonts w:cs="Arial"/>
          <w:lang w:val="en-US" w:eastAsia="ja-JP"/>
        </w:rPr>
        <w:t xml:space="preserve"> </w:t>
      </w:r>
    </w:p>
    <w:p w:rsidR="0064379C" w:rsidRPr="007306EB" w:rsidRDefault="0064379C" w:rsidP="0064379C">
      <w:pPr>
        <w:spacing w:after="160" w:line="276" w:lineRule="auto"/>
        <w:rPr>
          <w:rFonts w:cs="Arial"/>
          <w:lang w:val="en-US" w:eastAsia="ja-JP"/>
        </w:rPr>
      </w:pPr>
      <w:r>
        <w:rPr>
          <w:rFonts w:cs="Arial"/>
          <w:lang w:val="en-US" w:eastAsia="ja-JP"/>
        </w:rPr>
        <w:t>T</w:t>
      </w:r>
      <w:r w:rsidRPr="007306EB">
        <w:rPr>
          <w:rFonts w:cs="Arial"/>
          <w:lang w:val="en-US" w:eastAsia="ja-JP"/>
        </w:rPr>
        <w:t xml:space="preserve">he structure of the ATTC has been based on the detailed findings from the TTR Costing Study, which compared the relative costs to conduct </w:t>
      </w:r>
      <w:r>
        <w:rPr>
          <w:rFonts w:cs="Arial"/>
          <w:lang w:val="en-US" w:eastAsia="ja-JP"/>
        </w:rPr>
        <w:t>teaching and training</w:t>
      </w:r>
      <w:r w:rsidRPr="007306EB">
        <w:rPr>
          <w:rFonts w:cs="Arial"/>
          <w:lang w:val="en-US" w:eastAsia="ja-JP"/>
        </w:rPr>
        <w:t xml:space="preserve"> across both </w:t>
      </w:r>
      <w:r>
        <w:rPr>
          <w:rFonts w:cs="Arial"/>
          <w:lang w:val="en-US" w:eastAsia="ja-JP"/>
        </w:rPr>
        <w:t xml:space="preserve">the </w:t>
      </w:r>
      <w:r w:rsidRPr="007306EB">
        <w:rPr>
          <w:rFonts w:cs="Arial"/>
          <w:lang w:val="en-US" w:eastAsia="ja-JP"/>
        </w:rPr>
        <w:t>professional group</w:t>
      </w:r>
      <w:r>
        <w:rPr>
          <w:rFonts w:cs="Arial"/>
          <w:lang w:val="en-US" w:eastAsia="ja-JP"/>
        </w:rPr>
        <w:t xml:space="preserve"> </w:t>
      </w:r>
      <w:r w:rsidRPr="007306EB">
        <w:rPr>
          <w:rFonts w:cs="Arial"/>
          <w:lang w:val="en-US" w:eastAsia="ja-JP"/>
        </w:rPr>
        <w:t>(e.g.</w:t>
      </w:r>
      <w:r>
        <w:rPr>
          <w:rFonts w:cs="Arial"/>
          <w:lang w:val="en-US" w:eastAsia="ja-JP"/>
        </w:rPr>
        <w:t xml:space="preserve"> allied health, </w:t>
      </w:r>
      <w:r w:rsidRPr="007306EB">
        <w:rPr>
          <w:rFonts w:cs="Arial"/>
          <w:lang w:val="en-US" w:eastAsia="ja-JP"/>
        </w:rPr>
        <w:t xml:space="preserve">medicine </w:t>
      </w:r>
      <w:proofErr w:type="spellStart"/>
      <w:r w:rsidRPr="007306EB">
        <w:rPr>
          <w:rFonts w:cs="Arial"/>
          <w:lang w:val="en-US" w:eastAsia="ja-JP"/>
        </w:rPr>
        <w:t>etc</w:t>
      </w:r>
      <w:proofErr w:type="spellEnd"/>
      <w:r w:rsidRPr="007306EB">
        <w:rPr>
          <w:rFonts w:cs="Arial"/>
          <w:lang w:val="en-US" w:eastAsia="ja-JP"/>
        </w:rPr>
        <w:t xml:space="preserve">), </w:t>
      </w:r>
      <w:r>
        <w:rPr>
          <w:rFonts w:cs="Arial"/>
          <w:lang w:val="en-US" w:eastAsia="ja-JP"/>
        </w:rPr>
        <w:t xml:space="preserve">and </w:t>
      </w:r>
      <w:r w:rsidRPr="007306EB">
        <w:rPr>
          <w:rFonts w:cs="Arial"/>
          <w:lang w:val="en-US" w:eastAsia="ja-JP"/>
        </w:rPr>
        <w:t>stage</w:t>
      </w:r>
      <w:r>
        <w:rPr>
          <w:rFonts w:cs="Arial"/>
          <w:lang w:val="en-US" w:eastAsia="ja-JP"/>
        </w:rPr>
        <w:t xml:space="preserve"> of training </w:t>
      </w:r>
      <w:r w:rsidRPr="007306EB">
        <w:rPr>
          <w:rFonts w:cs="Arial"/>
          <w:lang w:val="en-US" w:eastAsia="ja-JP"/>
        </w:rPr>
        <w:t xml:space="preserve">(e.g. student, </w:t>
      </w:r>
      <w:r>
        <w:rPr>
          <w:rFonts w:cs="Arial"/>
          <w:lang w:val="en-US" w:eastAsia="ja-JP"/>
        </w:rPr>
        <w:t>new</w:t>
      </w:r>
      <w:r w:rsidRPr="007306EB">
        <w:rPr>
          <w:rFonts w:cs="Arial"/>
          <w:lang w:val="en-US" w:eastAsia="ja-JP"/>
        </w:rPr>
        <w:t xml:space="preserve"> graduate or advanced</w:t>
      </w:r>
      <w:r>
        <w:rPr>
          <w:rFonts w:cs="Arial"/>
          <w:lang w:val="en-US" w:eastAsia="ja-JP"/>
        </w:rPr>
        <w:t xml:space="preserve"> trainee)</w:t>
      </w:r>
      <w:r w:rsidRPr="007306EB">
        <w:rPr>
          <w:rFonts w:cs="Arial"/>
          <w:lang w:val="en-US" w:eastAsia="ja-JP"/>
        </w:rPr>
        <w:t xml:space="preserve">. </w:t>
      </w:r>
      <w:r w:rsidRPr="003E535A">
        <w:rPr>
          <w:rFonts w:cs="Arial"/>
          <w:lang w:val="en-US" w:eastAsia="ja-JP"/>
        </w:rPr>
        <w:t xml:space="preserve">Unlike the other streams currently funded through </w:t>
      </w:r>
      <w:r>
        <w:rPr>
          <w:rFonts w:cs="Arial"/>
          <w:lang w:val="en-US" w:eastAsia="ja-JP"/>
        </w:rPr>
        <w:t>ABF where activity is a patient</w:t>
      </w:r>
      <w:r w:rsidRPr="003E535A">
        <w:rPr>
          <w:rFonts w:cs="Arial"/>
          <w:lang w:val="en-US" w:eastAsia="ja-JP"/>
        </w:rPr>
        <w:t xml:space="preserve"> episode of care, the ATTC ‘activity’ unit is a trainee.</w:t>
      </w:r>
    </w:p>
    <w:p w:rsidR="0064379C" w:rsidRPr="003E535A" w:rsidRDefault="0064379C" w:rsidP="0064379C">
      <w:pPr>
        <w:spacing w:after="160" w:line="276" w:lineRule="auto"/>
        <w:rPr>
          <w:rFonts w:cs="Arial"/>
          <w:lang w:val="en-US" w:eastAsia="ja-JP"/>
        </w:rPr>
      </w:pPr>
      <w:r w:rsidRPr="003E535A">
        <w:rPr>
          <w:rFonts w:cs="Arial"/>
          <w:lang w:val="en-US" w:eastAsia="ja-JP"/>
        </w:rPr>
        <w:t xml:space="preserve">The development of the ATTC is in the interests of all Australian governments, public hospital health service providers and ultimately the professionals </w:t>
      </w:r>
      <w:r>
        <w:rPr>
          <w:rFonts w:cs="Arial"/>
          <w:lang w:val="en-US" w:eastAsia="ja-JP"/>
        </w:rPr>
        <w:t xml:space="preserve">delivering and </w:t>
      </w:r>
      <w:r w:rsidRPr="003E535A">
        <w:rPr>
          <w:rFonts w:cs="Arial"/>
          <w:lang w:val="en-US" w:eastAsia="ja-JP"/>
        </w:rPr>
        <w:t xml:space="preserve">receiving </w:t>
      </w:r>
      <w:r>
        <w:rPr>
          <w:rFonts w:cs="Arial"/>
          <w:lang w:val="en-US" w:eastAsia="ja-JP"/>
        </w:rPr>
        <w:t>teaching and training</w:t>
      </w:r>
      <w:r w:rsidRPr="003E535A">
        <w:rPr>
          <w:rFonts w:cs="Arial"/>
          <w:lang w:val="en-US" w:eastAsia="ja-JP"/>
        </w:rPr>
        <w:t>. It will provide more accurate</w:t>
      </w:r>
      <w:r>
        <w:rPr>
          <w:rFonts w:cs="Arial"/>
          <w:lang w:val="en-US" w:eastAsia="ja-JP"/>
        </w:rPr>
        <w:t xml:space="preserve"> and consistent data about the teaching and training</w:t>
      </w:r>
      <w:r w:rsidRPr="003E535A">
        <w:rPr>
          <w:rFonts w:cs="Arial"/>
          <w:lang w:val="en-US" w:eastAsia="ja-JP"/>
        </w:rPr>
        <w:t xml:space="preserve"> provided across all public hospital service settings. </w:t>
      </w:r>
    </w:p>
    <w:p w:rsidR="0064379C" w:rsidRPr="003E535A" w:rsidRDefault="0064379C" w:rsidP="0064379C">
      <w:pPr>
        <w:spacing w:after="160" w:line="276" w:lineRule="auto"/>
        <w:rPr>
          <w:rFonts w:cs="Arial"/>
          <w:lang w:val="en-US" w:eastAsia="ja-JP"/>
        </w:rPr>
      </w:pPr>
      <w:r w:rsidRPr="003E535A">
        <w:rPr>
          <w:rFonts w:cs="Arial"/>
          <w:lang w:val="en-US" w:eastAsia="ja-JP"/>
        </w:rPr>
        <w:t xml:space="preserve">As with other classification systems, development of the ATTC </w:t>
      </w:r>
      <w:r>
        <w:rPr>
          <w:rFonts w:cs="Arial"/>
          <w:lang w:val="en-US" w:eastAsia="ja-JP"/>
        </w:rPr>
        <w:t>is an iterative process</w:t>
      </w:r>
      <w:r w:rsidRPr="003E535A">
        <w:rPr>
          <w:rFonts w:cs="Arial"/>
          <w:lang w:val="en-US" w:eastAsia="ja-JP"/>
        </w:rPr>
        <w:t xml:space="preserve">. The initial version to be implemented </w:t>
      </w:r>
      <w:r>
        <w:rPr>
          <w:rFonts w:cs="Arial"/>
          <w:lang w:val="en-US" w:eastAsia="ja-JP"/>
        </w:rPr>
        <w:t xml:space="preserve">will not specify all professional </w:t>
      </w:r>
      <w:r w:rsidRPr="003E535A">
        <w:rPr>
          <w:rFonts w:cs="Arial"/>
          <w:lang w:val="en-US" w:eastAsia="ja-JP"/>
        </w:rPr>
        <w:t xml:space="preserve">specialties, as data to support </w:t>
      </w:r>
      <w:r>
        <w:rPr>
          <w:rFonts w:cs="Arial"/>
          <w:lang w:val="en-US" w:eastAsia="ja-JP"/>
        </w:rPr>
        <w:t xml:space="preserve">further </w:t>
      </w:r>
      <w:r w:rsidRPr="003E535A">
        <w:rPr>
          <w:rFonts w:cs="Arial"/>
          <w:lang w:val="en-US" w:eastAsia="ja-JP"/>
        </w:rPr>
        <w:t xml:space="preserve">classification development will need to be collected over coming years. </w:t>
      </w:r>
    </w:p>
    <w:p w:rsidR="0064379C" w:rsidRPr="003E535A" w:rsidRDefault="0064379C" w:rsidP="0064379C">
      <w:pPr>
        <w:spacing w:after="160" w:line="276" w:lineRule="auto"/>
        <w:rPr>
          <w:rFonts w:cs="Arial"/>
          <w:lang w:val="en-US" w:eastAsia="ja-JP"/>
        </w:rPr>
      </w:pPr>
      <w:r w:rsidRPr="003E535A">
        <w:rPr>
          <w:rFonts w:cs="Arial"/>
          <w:lang w:val="en-US" w:eastAsia="ja-JP"/>
        </w:rPr>
        <w:t xml:space="preserve">Pricing of </w:t>
      </w:r>
      <w:r>
        <w:rPr>
          <w:rFonts w:cs="Arial"/>
          <w:lang w:val="en-US" w:eastAsia="ja-JP"/>
        </w:rPr>
        <w:t>teaching and training</w:t>
      </w:r>
      <w:r w:rsidRPr="003E535A">
        <w:rPr>
          <w:rFonts w:cs="Arial"/>
          <w:lang w:val="en-US" w:eastAsia="ja-JP"/>
        </w:rPr>
        <w:t xml:space="preserve"> activities is a separate matter. IHPA consults on approaches to pricing </w:t>
      </w:r>
      <w:r>
        <w:rPr>
          <w:rFonts w:cs="Arial"/>
          <w:lang w:val="en-US" w:eastAsia="ja-JP"/>
        </w:rPr>
        <w:t>public hospital</w:t>
      </w:r>
      <w:r w:rsidRPr="003E535A">
        <w:rPr>
          <w:rFonts w:cs="Arial"/>
          <w:lang w:val="en-US" w:eastAsia="ja-JP"/>
        </w:rPr>
        <w:t xml:space="preserve"> services through its annual consultation on the Pricing Framework for Australian Public Hospital Services. Following development of the ATTC</w:t>
      </w:r>
      <w:r>
        <w:rPr>
          <w:rFonts w:cs="Arial"/>
          <w:lang w:val="en-US" w:eastAsia="ja-JP"/>
        </w:rPr>
        <w:t xml:space="preserve"> and the availability of activity and cost data through the ongoing ABF data collection</w:t>
      </w:r>
      <w:r w:rsidRPr="003E535A">
        <w:rPr>
          <w:rFonts w:cs="Arial"/>
          <w:lang w:val="en-US" w:eastAsia="ja-JP"/>
        </w:rPr>
        <w:t xml:space="preserve">, IHPA will seek views on </w:t>
      </w:r>
      <w:r>
        <w:rPr>
          <w:rFonts w:cs="Arial"/>
          <w:lang w:val="en-US" w:eastAsia="ja-JP"/>
        </w:rPr>
        <w:t>a pricing approach.</w:t>
      </w:r>
    </w:p>
    <w:p w:rsidR="0064379C" w:rsidRDefault="0064379C" w:rsidP="0064379C">
      <w:pPr>
        <w:spacing w:after="0" w:line="240" w:lineRule="auto"/>
        <w:rPr>
          <w:rFonts w:asciiTheme="minorHAnsi" w:hAnsiTheme="minorHAnsi"/>
          <w:b/>
          <w:caps/>
          <w:color w:val="008A00"/>
          <w:sz w:val="28"/>
          <w:szCs w:val="44"/>
        </w:rPr>
      </w:pPr>
      <w:bookmarkStart w:id="5" w:name="_Toc474224166"/>
      <w:r>
        <w:rPr>
          <w:rFonts w:asciiTheme="minorHAnsi" w:hAnsiTheme="minorHAnsi"/>
        </w:rPr>
        <w:br w:type="page"/>
      </w:r>
    </w:p>
    <w:p w:rsidR="0064379C" w:rsidRPr="00921CAC" w:rsidRDefault="0064379C" w:rsidP="0064379C">
      <w:pPr>
        <w:pStyle w:val="Heading2"/>
      </w:pPr>
      <w:bookmarkStart w:id="6" w:name="_Toc488332242"/>
      <w:r w:rsidRPr="0064379C">
        <w:lastRenderedPageBreak/>
        <w:t>Acknowledgments</w:t>
      </w:r>
      <w:bookmarkEnd w:id="5"/>
      <w:bookmarkEnd w:id="6"/>
    </w:p>
    <w:p w:rsidR="0064379C" w:rsidRPr="00710B0A" w:rsidRDefault="0064379C" w:rsidP="0062739B">
      <w:pPr>
        <w:spacing w:after="160" w:line="276" w:lineRule="auto"/>
      </w:pPr>
      <w:r w:rsidRPr="00710B0A">
        <w:t xml:space="preserve">Thank you to members of the </w:t>
      </w:r>
      <w:r>
        <w:t>Teaching, Training and Research Working Group (TTRWG)</w:t>
      </w:r>
      <w:r w:rsidRPr="00710B0A">
        <w:t xml:space="preserve"> for their advice and support</w:t>
      </w:r>
      <w:r>
        <w:t xml:space="preserve"> and to the numerous health professionals involved in the targeted consultation process to develop the ATTC Version 1.0</w:t>
      </w:r>
      <w:r w:rsidRPr="00710B0A">
        <w:t xml:space="preserve">. Thank you to PricewaterhouseCoopers for their </w:t>
      </w:r>
      <w:r w:rsidRPr="00710B0A">
        <w:rPr>
          <w:rFonts w:cs="Arial"/>
        </w:rPr>
        <w:t xml:space="preserve">statistical analysis and modelling which </w:t>
      </w:r>
      <w:r>
        <w:rPr>
          <w:rFonts w:cs="Arial"/>
        </w:rPr>
        <w:t>informed</w:t>
      </w:r>
      <w:r w:rsidRPr="00710B0A">
        <w:rPr>
          <w:rFonts w:cs="Arial"/>
        </w:rPr>
        <w:t xml:space="preserve"> the structural options and end classes for the ATTC Version 1.0.</w:t>
      </w:r>
      <w:r w:rsidRPr="00710B0A">
        <w:t xml:space="preserve"> </w:t>
      </w:r>
      <w:r w:rsidRPr="00710B0A">
        <w:rPr>
          <w:rFonts w:cs="Arial"/>
          <w:lang w:val="en-US" w:eastAsia="ja-JP"/>
        </w:rPr>
        <w:t xml:space="preserve">Thank you to the over 400 stakeholders </w:t>
      </w:r>
      <w:r>
        <w:rPr>
          <w:rFonts w:cs="Arial"/>
          <w:lang w:val="en-US" w:eastAsia="ja-JP"/>
        </w:rPr>
        <w:t>that</w:t>
      </w:r>
      <w:r w:rsidRPr="00710B0A">
        <w:rPr>
          <w:rFonts w:cs="Arial"/>
          <w:lang w:val="en-US" w:eastAsia="ja-JP"/>
        </w:rPr>
        <w:t xml:space="preserve"> provided input into the extensive consul</w:t>
      </w:r>
      <w:r>
        <w:rPr>
          <w:rFonts w:cs="Arial"/>
          <w:lang w:val="en-US" w:eastAsia="ja-JP"/>
        </w:rPr>
        <w:t xml:space="preserve">tation process as part of the </w:t>
      </w:r>
      <w:r>
        <w:t>Definitions and Cost Drivers project</w:t>
      </w:r>
      <w:r>
        <w:rPr>
          <w:rFonts w:cs="Arial"/>
          <w:lang w:val="en-US" w:eastAsia="ja-JP"/>
        </w:rPr>
        <w:t xml:space="preserve">, and </w:t>
      </w:r>
      <w:r w:rsidRPr="00710B0A">
        <w:rPr>
          <w:rFonts w:cs="Arial"/>
          <w:lang w:val="en-US" w:eastAsia="ja-JP"/>
        </w:rPr>
        <w:t xml:space="preserve">the staff </w:t>
      </w:r>
      <w:r>
        <w:rPr>
          <w:rFonts w:cs="Arial"/>
          <w:lang w:val="en-US" w:eastAsia="ja-JP"/>
        </w:rPr>
        <w:t xml:space="preserve">and management </w:t>
      </w:r>
      <w:r w:rsidRPr="00710B0A">
        <w:rPr>
          <w:rFonts w:cs="Arial"/>
          <w:lang w:val="en-US" w:eastAsia="ja-JP"/>
        </w:rPr>
        <w:t xml:space="preserve">from the 19 </w:t>
      </w:r>
      <w:r>
        <w:rPr>
          <w:rFonts w:cs="Arial"/>
          <w:lang w:val="en-US" w:eastAsia="ja-JP"/>
        </w:rPr>
        <w:t xml:space="preserve">hospital </w:t>
      </w:r>
      <w:r w:rsidRPr="00710B0A">
        <w:rPr>
          <w:rFonts w:cs="Arial"/>
          <w:lang w:val="en-US" w:eastAsia="ja-JP"/>
        </w:rPr>
        <w:t>site</w:t>
      </w:r>
      <w:r>
        <w:rPr>
          <w:rFonts w:cs="Arial"/>
          <w:lang w:val="en-US" w:eastAsia="ja-JP"/>
        </w:rPr>
        <w:t xml:space="preserve">s that participated in the TTR Costing Study. </w:t>
      </w:r>
    </w:p>
    <w:p w:rsidR="0064379C" w:rsidRPr="0064379C" w:rsidRDefault="0064379C" w:rsidP="0064379C">
      <w:pPr>
        <w:pStyle w:val="Heading2"/>
      </w:pPr>
      <w:bookmarkStart w:id="7" w:name="_Toc488332243"/>
      <w:r w:rsidRPr="0064379C">
        <w:t>Submissions</w:t>
      </w:r>
      <w:bookmarkEnd w:id="7"/>
    </w:p>
    <w:p w:rsidR="0064379C" w:rsidRPr="00943CAC" w:rsidRDefault="0064379C" w:rsidP="0064379C">
      <w:pPr>
        <w:spacing w:after="160" w:line="276" w:lineRule="auto"/>
        <w:rPr>
          <w:rFonts w:cs="Arial"/>
          <w:lang w:val="en-US" w:eastAsia="ja-JP"/>
        </w:rPr>
      </w:pPr>
      <w:r w:rsidRPr="00943CAC">
        <w:rPr>
          <w:rFonts w:cs="Arial"/>
          <w:lang w:val="en-US" w:eastAsia="ja-JP"/>
        </w:rPr>
        <w:t xml:space="preserve">Submissions </w:t>
      </w:r>
      <w:r w:rsidRPr="0062739B">
        <w:rPr>
          <w:rFonts w:cs="Arial"/>
        </w:rPr>
        <w:t>should</w:t>
      </w:r>
      <w:r w:rsidRPr="00943CAC">
        <w:rPr>
          <w:rFonts w:cs="Arial"/>
          <w:lang w:val="en-US" w:eastAsia="ja-JP"/>
        </w:rPr>
        <w:t xml:space="preserve"> be sent as an accessible Word document to </w:t>
      </w:r>
      <w:hyperlink r:id="rId15" w:history="1">
        <w:r w:rsidRPr="0098440A">
          <w:rPr>
            <w:rStyle w:val="Hyperlink"/>
            <w:rFonts w:cs="Arial"/>
            <w:lang w:val="en-US" w:eastAsia="ja-JP"/>
          </w:rPr>
          <w:t>submissions.ihpa@ihpa.gov.au</w:t>
        </w:r>
      </w:hyperlink>
      <w:r w:rsidRPr="00943CAC">
        <w:rPr>
          <w:rFonts w:cs="Arial"/>
          <w:lang w:val="en-US" w:eastAsia="ja-JP"/>
        </w:rPr>
        <w:t xml:space="preserve"> or posted to “Submissions” PO BOX 483 </w:t>
      </w:r>
      <w:proofErr w:type="spellStart"/>
      <w:r w:rsidRPr="00943CAC">
        <w:rPr>
          <w:rFonts w:cs="Arial"/>
          <w:lang w:val="en-US" w:eastAsia="ja-JP"/>
        </w:rPr>
        <w:t>Darlinghurst</w:t>
      </w:r>
      <w:proofErr w:type="spellEnd"/>
      <w:r w:rsidRPr="00943CAC">
        <w:rPr>
          <w:rFonts w:cs="Arial"/>
          <w:lang w:val="en-US" w:eastAsia="ja-JP"/>
        </w:rPr>
        <w:t xml:space="preserve"> NSW 1300. </w:t>
      </w:r>
      <w:r w:rsidRPr="00943CAC">
        <w:rPr>
          <w:rStyle w:val="Strong"/>
        </w:rPr>
        <w:t xml:space="preserve">Submissions close at 5pm (AEST) </w:t>
      </w:r>
      <w:r w:rsidRPr="00943CAC">
        <w:rPr>
          <w:rStyle w:val="Strong"/>
          <w:lang w:val="en-US" w:eastAsia="ja-JP"/>
        </w:rPr>
        <w:t>Friday 29 September 2017</w:t>
      </w:r>
      <w:r w:rsidRPr="00943CAC">
        <w:rPr>
          <w:rFonts w:cs="Arial"/>
          <w:lang w:val="en-US" w:eastAsia="ja-JP"/>
        </w:rPr>
        <w:t>.</w:t>
      </w:r>
    </w:p>
    <w:p w:rsidR="0064379C" w:rsidRPr="000B1758" w:rsidRDefault="0064379C" w:rsidP="0064379C">
      <w:pPr>
        <w:pStyle w:val="Heading2"/>
      </w:pPr>
      <w:bookmarkStart w:id="8" w:name="_Toc407021923"/>
      <w:bookmarkStart w:id="9" w:name="_Toc488332244"/>
      <w:r w:rsidRPr="000B1758">
        <w:t>More information</w:t>
      </w:r>
      <w:bookmarkEnd w:id="8"/>
      <w:bookmarkEnd w:id="9"/>
    </w:p>
    <w:p w:rsidR="0064379C" w:rsidRPr="008E4799" w:rsidRDefault="0064379C" w:rsidP="0064379C">
      <w:pPr>
        <w:spacing w:after="160" w:line="276" w:lineRule="auto"/>
        <w:rPr>
          <w:rFonts w:cs="Arial"/>
          <w:lang w:val="en-US" w:eastAsia="ja-JP"/>
        </w:rPr>
      </w:pPr>
      <w:r w:rsidRPr="000B1758">
        <w:rPr>
          <w:lang w:eastAsia="ja-JP"/>
        </w:rPr>
        <w:t xml:space="preserve">The </w:t>
      </w:r>
      <w:hyperlink r:id="rId16" w:history="1">
        <w:r w:rsidRPr="000B1758">
          <w:rPr>
            <w:rStyle w:val="Hyperlink"/>
            <w:lang w:eastAsia="ja-JP"/>
          </w:rPr>
          <w:t>IHPA website</w:t>
        </w:r>
      </w:hyperlink>
      <w:r w:rsidRPr="000B1758">
        <w:rPr>
          <w:lang w:eastAsia="ja-JP"/>
        </w:rPr>
        <w:t xml:space="preserve"> provides up to date information on the development of the </w:t>
      </w:r>
      <w:r>
        <w:rPr>
          <w:lang w:eastAsia="ja-JP"/>
        </w:rPr>
        <w:t>ATTC</w:t>
      </w:r>
      <w:r w:rsidRPr="000B1758">
        <w:rPr>
          <w:lang w:eastAsia="ja-JP"/>
        </w:rPr>
        <w:t>, including links to key documents referred to in</w:t>
      </w:r>
      <w:r>
        <w:rPr>
          <w:lang w:eastAsia="ja-JP"/>
        </w:rPr>
        <w:t xml:space="preserve"> </w:t>
      </w:r>
      <w:r w:rsidRPr="0062739B">
        <w:rPr>
          <w:rFonts w:cs="Arial"/>
        </w:rPr>
        <w:t>this</w:t>
      </w:r>
      <w:r>
        <w:rPr>
          <w:lang w:eastAsia="ja-JP"/>
        </w:rPr>
        <w:t xml:space="preserve"> public consultation paper</w:t>
      </w:r>
      <w:r>
        <w:rPr>
          <w:rFonts w:cs="Arial"/>
          <w:lang w:val="en-US" w:eastAsia="ja-JP"/>
        </w:rPr>
        <w:t xml:space="preserve">: </w:t>
      </w:r>
      <w:hyperlink r:id="rId17" w:history="1">
        <w:r w:rsidRPr="004C1972">
          <w:rPr>
            <w:rFonts w:cs="Arial"/>
            <w:lang w:val="en-US"/>
          </w:rPr>
          <w:t>www.ihpa.gov.au</w:t>
        </w:r>
      </w:hyperlink>
      <w:r w:rsidRPr="004C1972">
        <w:rPr>
          <w:rFonts w:cs="Arial"/>
          <w:lang w:val="en-US" w:eastAsia="ja-JP"/>
        </w:rPr>
        <w:t>.</w:t>
      </w:r>
    </w:p>
    <w:p w:rsidR="0064379C" w:rsidRDefault="0064379C" w:rsidP="0062739B">
      <w:pPr>
        <w:spacing w:after="160" w:line="276" w:lineRule="auto"/>
        <w:rPr>
          <w:b/>
          <w:caps/>
          <w:color w:val="0000FF"/>
          <w:lang w:eastAsia="ja-JP"/>
        </w:rPr>
      </w:pPr>
      <w:r>
        <w:rPr>
          <w:lang w:eastAsia="ja-JP"/>
        </w:rPr>
        <w:t>This document</w:t>
      </w:r>
      <w:r w:rsidRPr="00925A96">
        <w:rPr>
          <w:lang w:eastAsia="ja-JP"/>
        </w:rPr>
        <w:t xml:space="preserve"> </w:t>
      </w:r>
      <w:r w:rsidRPr="0062739B">
        <w:rPr>
          <w:rFonts w:cs="Arial"/>
        </w:rPr>
        <w:t>assumes</w:t>
      </w:r>
      <w:r w:rsidRPr="00925A96">
        <w:rPr>
          <w:lang w:eastAsia="ja-JP"/>
        </w:rPr>
        <w:t xml:space="preserve"> some knowledge of classification development. IHPA recognises the importance of a broader audience engaging in this consultation process. Should your organisation require further resources to assist in explaining the classification development process, please contact IHPA at </w:t>
      </w:r>
      <w:hyperlink r:id="rId18" w:history="1">
        <w:r w:rsidRPr="00C219A5">
          <w:rPr>
            <w:rStyle w:val="Hyperlink"/>
            <w:lang w:eastAsia="ja-JP"/>
          </w:rPr>
          <w:t>enquiries.ihpa@health.gov.au.</w:t>
        </w:r>
      </w:hyperlink>
    </w:p>
    <w:p w:rsidR="0064379C" w:rsidRDefault="0064379C">
      <w:pPr>
        <w:spacing w:before="0" w:after="0" w:line="240" w:lineRule="auto"/>
      </w:pPr>
      <w:r>
        <w:br w:type="page"/>
      </w:r>
    </w:p>
    <w:p w:rsidR="0064379C" w:rsidRDefault="0064379C" w:rsidP="0064379C">
      <w:pPr>
        <w:pStyle w:val="Heading1"/>
      </w:pPr>
      <w:bookmarkStart w:id="10" w:name="_Toc488332245"/>
      <w:r>
        <w:lastRenderedPageBreak/>
        <w:t>Summary of Consultation questions</w:t>
      </w:r>
      <w:bookmarkEnd w:id="10"/>
    </w:p>
    <w:p w:rsidR="0064379C" w:rsidRPr="00F2449B" w:rsidRDefault="0064379C" w:rsidP="0064379C">
      <w:pPr>
        <w:spacing w:after="160" w:line="276" w:lineRule="auto"/>
        <w:rPr>
          <w:lang w:val="en-US" w:eastAsia="ja-JP"/>
        </w:rPr>
      </w:pPr>
      <w:r w:rsidRPr="00F2449B">
        <w:rPr>
          <w:lang w:val="en-US" w:eastAsia="ja-JP"/>
        </w:rPr>
        <w:t xml:space="preserve">IHPA is seeking </w:t>
      </w:r>
      <w:r>
        <w:rPr>
          <w:lang w:val="en-US" w:eastAsia="ja-JP"/>
        </w:rPr>
        <w:t xml:space="preserve">written </w:t>
      </w:r>
      <w:r w:rsidRPr="00F2449B">
        <w:rPr>
          <w:lang w:val="en-US" w:eastAsia="ja-JP"/>
        </w:rPr>
        <w:t>comments on the following areas:</w:t>
      </w:r>
    </w:p>
    <w:p w:rsidR="0064379C" w:rsidRPr="0072221A" w:rsidRDefault="0064379C" w:rsidP="0064379C">
      <w:pPr>
        <w:pStyle w:val="ListParagraph"/>
        <w:numPr>
          <w:ilvl w:val="0"/>
          <w:numId w:val="14"/>
        </w:numPr>
        <w:spacing w:after="240" w:line="276" w:lineRule="auto"/>
        <w:ind w:left="714" w:hanging="357"/>
        <w:rPr>
          <w:lang w:val="en-US" w:eastAsia="ja-JP"/>
        </w:rPr>
      </w:pPr>
      <w:r w:rsidRPr="0072221A">
        <w:rPr>
          <w:lang w:val="en-US" w:eastAsia="ja-JP"/>
        </w:rPr>
        <w:t>Are the current variables included in the ATTC Version 1.0 relevant to clinicians, health service managers, and other stakeholders?</w:t>
      </w:r>
    </w:p>
    <w:p w:rsidR="0064379C" w:rsidRPr="0072221A" w:rsidRDefault="0064379C" w:rsidP="0064379C">
      <w:pPr>
        <w:pStyle w:val="ListParagraph"/>
        <w:numPr>
          <w:ilvl w:val="0"/>
          <w:numId w:val="14"/>
        </w:numPr>
        <w:spacing w:after="240" w:line="276" w:lineRule="auto"/>
        <w:ind w:left="714" w:hanging="357"/>
        <w:rPr>
          <w:lang w:val="en-US" w:eastAsia="ja-JP"/>
        </w:rPr>
      </w:pPr>
      <w:r w:rsidRPr="0072221A">
        <w:rPr>
          <w:lang w:val="en-US" w:eastAsia="ja-JP"/>
        </w:rPr>
        <w:t xml:space="preserve">Are there any further considerations in relation to the proposed </w:t>
      </w:r>
      <w:r w:rsidR="006212CD">
        <w:rPr>
          <w:lang w:val="en-US" w:eastAsia="ja-JP"/>
        </w:rPr>
        <w:t>structure</w:t>
      </w:r>
      <w:r w:rsidRPr="0072221A">
        <w:rPr>
          <w:lang w:val="en-US" w:eastAsia="ja-JP"/>
        </w:rPr>
        <w:t>?</w:t>
      </w:r>
    </w:p>
    <w:p w:rsidR="0064379C" w:rsidRPr="0072221A" w:rsidRDefault="0064379C" w:rsidP="0064379C">
      <w:pPr>
        <w:pStyle w:val="ListParagraph"/>
        <w:numPr>
          <w:ilvl w:val="0"/>
          <w:numId w:val="14"/>
        </w:numPr>
        <w:spacing w:after="240" w:line="276" w:lineRule="auto"/>
        <w:ind w:left="714" w:hanging="357"/>
        <w:rPr>
          <w:lang w:val="en-US" w:eastAsia="ja-JP"/>
        </w:rPr>
      </w:pPr>
      <w:r w:rsidRPr="0072221A">
        <w:rPr>
          <w:lang w:val="en-US" w:eastAsia="ja-JP"/>
        </w:rPr>
        <w:t>Are there other variables which should be considered in future versions of the ATTC?</w:t>
      </w:r>
    </w:p>
    <w:p w:rsidR="0064379C" w:rsidRPr="008B2FBF" w:rsidRDefault="0064379C" w:rsidP="0064379C">
      <w:pPr>
        <w:pStyle w:val="ListParagraph"/>
        <w:numPr>
          <w:ilvl w:val="0"/>
          <w:numId w:val="14"/>
        </w:numPr>
        <w:spacing w:after="240" w:line="276" w:lineRule="auto"/>
        <w:ind w:left="714" w:hanging="357"/>
        <w:rPr>
          <w:lang w:val="en-US" w:eastAsia="ja-JP"/>
        </w:rPr>
      </w:pPr>
      <w:r w:rsidRPr="008B2FBF">
        <w:rPr>
          <w:lang w:val="en-US" w:eastAsia="ja-JP"/>
        </w:rPr>
        <w:t>What supporting material would be beneficial for the ATTC?</w:t>
      </w:r>
    </w:p>
    <w:p w:rsidR="0064379C" w:rsidRPr="008B2FBF" w:rsidRDefault="0064379C" w:rsidP="0064379C">
      <w:pPr>
        <w:pStyle w:val="ListParagraph"/>
        <w:numPr>
          <w:ilvl w:val="0"/>
          <w:numId w:val="14"/>
        </w:numPr>
        <w:spacing w:after="240" w:line="276" w:lineRule="auto"/>
        <w:ind w:left="714" w:hanging="357"/>
        <w:rPr>
          <w:lang w:val="en-US" w:eastAsia="ja-JP"/>
        </w:rPr>
      </w:pPr>
      <w:r w:rsidRPr="008B2FBF">
        <w:rPr>
          <w:lang w:val="en-US" w:eastAsia="ja-JP"/>
        </w:rPr>
        <w:t xml:space="preserve">What communication avenues and methods should IHPA </w:t>
      </w:r>
      <w:r>
        <w:rPr>
          <w:lang w:val="en-US" w:eastAsia="ja-JP"/>
        </w:rPr>
        <w:t>consider</w:t>
      </w:r>
      <w:r w:rsidRPr="008B2FBF">
        <w:rPr>
          <w:lang w:val="en-US" w:eastAsia="ja-JP"/>
        </w:rPr>
        <w:t xml:space="preserve"> in order to inform</w:t>
      </w:r>
      <w:r w:rsidR="00A856D7">
        <w:rPr>
          <w:lang w:val="en-US" w:eastAsia="ja-JP"/>
        </w:rPr>
        <w:t xml:space="preserve"> and engage</w:t>
      </w:r>
      <w:r w:rsidRPr="008B2FBF">
        <w:rPr>
          <w:lang w:val="en-US" w:eastAsia="ja-JP"/>
        </w:rPr>
        <w:t xml:space="preserve"> stakeholders of the ATTC and future ABF for teaching and training?</w:t>
      </w:r>
    </w:p>
    <w:p w:rsidR="0064379C" w:rsidRPr="008B2FBF" w:rsidRDefault="0064379C" w:rsidP="0064379C">
      <w:pPr>
        <w:pStyle w:val="ListParagraph"/>
        <w:numPr>
          <w:ilvl w:val="0"/>
          <w:numId w:val="14"/>
        </w:numPr>
        <w:spacing w:after="240" w:line="276" w:lineRule="auto"/>
        <w:ind w:left="714" w:hanging="357"/>
        <w:rPr>
          <w:lang w:val="en-US" w:eastAsia="ja-JP"/>
        </w:rPr>
      </w:pPr>
      <w:r w:rsidRPr="008B2FBF">
        <w:rPr>
          <w:lang w:val="en-US" w:eastAsia="ja-JP"/>
        </w:rPr>
        <w:t>Are there particular aspects or areas of the ATTC that should be prioritised in its development, or aspects that should be developed at a later stage?</w:t>
      </w:r>
    </w:p>
    <w:p w:rsidR="0064379C" w:rsidRPr="008B2FBF" w:rsidRDefault="0064379C" w:rsidP="0064379C">
      <w:pPr>
        <w:pStyle w:val="ListParagraph"/>
        <w:numPr>
          <w:ilvl w:val="0"/>
          <w:numId w:val="14"/>
        </w:numPr>
        <w:spacing w:after="240" w:line="276" w:lineRule="auto"/>
        <w:ind w:left="714" w:hanging="357"/>
        <w:rPr>
          <w:lang w:val="en-US" w:eastAsia="ja-JP"/>
        </w:rPr>
      </w:pPr>
      <w:r w:rsidRPr="008B2FBF">
        <w:rPr>
          <w:lang w:val="en-US" w:eastAsia="ja-JP"/>
        </w:rPr>
        <w:t>Are there any further considerations that should be taken into account when developing the ATTC?</w:t>
      </w:r>
    </w:p>
    <w:p w:rsidR="0064379C" w:rsidRDefault="0064379C">
      <w:pPr>
        <w:spacing w:before="0" w:after="0" w:line="240" w:lineRule="auto"/>
      </w:pPr>
      <w:r>
        <w:br w:type="page"/>
      </w:r>
    </w:p>
    <w:p w:rsidR="0064379C" w:rsidRPr="00AB45E7" w:rsidRDefault="0062739B" w:rsidP="0062739B">
      <w:pPr>
        <w:pStyle w:val="Heading1"/>
        <w:numPr>
          <w:ilvl w:val="0"/>
          <w:numId w:val="17"/>
        </w:numPr>
        <w:ind w:left="720"/>
      </w:pPr>
      <w:bookmarkStart w:id="11" w:name="_Toc488332246"/>
      <w:r>
        <w:lastRenderedPageBreak/>
        <w:t>Context</w:t>
      </w:r>
      <w:bookmarkEnd w:id="11"/>
    </w:p>
    <w:p w:rsidR="0064379C" w:rsidRPr="0064379C" w:rsidRDefault="0064379C" w:rsidP="0064379C">
      <w:pPr>
        <w:pStyle w:val="Heading2"/>
      </w:pPr>
      <w:bookmarkStart w:id="12" w:name="_Toc488332247"/>
      <w:bookmarkStart w:id="13" w:name="_Toc407021926"/>
      <w:bookmarkStart w:id="14" w:name="_Toc461447295"/>
      <w:bookmarkStart w:id="15" w:name="_Toc462041948"/>
      <w:bookmarkStart w:id="16" w:name="_Toc466298750"/>
      <w:bookmarkStart w:id="17" w:name="_Toc466298858"/>
      <w:bookmarkStart w:id="18" w:name="_Toc480450527"/>
      <w:bookmarkStart w:id="19" w:name="_Toc407021925"/>
      <w:r w:rsidRPr="0064379C">
        <w:t>IHPA</w:t>
      </w:r>
      <w:bookmarkEnd w:id="12"/>
    </w:p>
    <w:p w:rsidR="0064379C" w:rsidRPr="0062739B" w:rsidRDefault="0064379C" w:rsidP="0064379C">
      <w:pPr>
        <w:spacing w:after="160" w:line="276" w:lineRule="auto"/>
        <w:rPr>
          <w:rFonts w:cs="Arial"/>
        </w:rPr>
      </w:pPr>
      <w:r w:rsidRPr="004C1972">
        <w:rPr>
          <w:rFonts w:cs="Arial"/>
          <w:lang w:val="en-US" w:eastAsia="ja-JP"/>
        </w:rPr>
        <w:t xml:space="preserve">IHPA is an independent government agency established by the Commonwealth as part of the implementation of </w:t>
      </w:r>
      <w:r>
        <w:rPr>
          <w:rFonts w:cs="Arial"/>
          <w:lang w:val="en-US" w:eastAsia="ja-JP"/>
        </w:rPr>
        <w:t>the NHRA</w:t>
      </w:r>
      <w:r w:rsidRPr="004C1972">
        <w:rPr>
          <w:rFonts w:cs="Arial"/>
          <w:lang w:val="en-US" w:eastAsia="ja-JP"/>
        </w:rPr>
        <w:t>.</w:t>
      </w:r>
      <w:r>
        <w:rPr>
          <w:rFonts w:cs="Arial"/>
          <w:lang w:val="en-US" w:eastAsia="ja-JP"/>
        </w:rPr>
        <w:t xml:space="preserve"> </w:t>
      </w:r>
      <w:r w:rsidRPr="004C1972">
        <w:rPr>
          <w:rFonts w:cs="Arial"/>
          <w:lang w:val="en-US" w:eastAsia="ja-JP"/>
        </w:rPr>
        <w:t>The NHRA require</w:t>
      </w:r>
      <w:r>
        <w:rPr>
          <w:rFonts w:cs="Arial"/>
          <w:lang w:val="en-US" w:eastAsia="ja-JP"/>
        </w:rPr>
        <w:t>s</w:t>
      </w:r>
      <w:r w:rsidRPr="004C1972">
        <w:rPr>
          <w:rFonts w:cs="Arial"/>
          <w:lang w:val="en-US" w:eastAsia="ja-JP"/>
        </w:rPr>
        <w:t xml:space="preserve"> that IHPA provide advice to the </w:t>
      </w:r>
      <w:r>
        <w:rPr>
          <w:rFonts w:cs="Arial"/>
          <w:lang w:val="en-US" w:eastAsia="ja-JP"/>
        </w:rPr>
        <w:t xml:space="preserve">COAG </w:t>
      </w:r>
      <w:r w:rsidRPr="004C1972">
        <w:rPr>
          <w:rFonts w:cs="Arial"/>
          <w:lang w:val="en-US" w:eastAsia="ja-JP"/>
        </w:rPr>
        <w:t>Health Counci</w:t>
      </w:r>
      <w:r w:rsidR="00B96191">
        <w:rPr>
          <w:rFonts w:cs="Arial"/>
          <w:lang w:val="en-US" w:eastAsia="ja-JP"/>
        </w:rPr>
        <w:t>l</w:t>
      </w:r>
      <w:r w:rsidRPr="0062739B">
        <w:rPr>
          <w:rFonts w:cs="Arial"/>
        </w:rPr>
        <w:t xml:space="preserve"> on the feasibility of transitioning funding for TTR to ABF or other appropriate arrangements reflecting the volumes of activities carried out under these functions by no later than 30 June 2018.</w:t>
      </w:r>
    </w:p>
    <w:p w:rsidR="0064379C" w:rsidRPr="0062739B" w:rsidRDefault="0064379C" w:rsidP="0064379C">
      <w:pPr>
        <w:spacing w:after="160" w:line="276" w:lineRule="auto"/>
        <w:rPr>
          <w:rFonts w:cs="Arial"/>
        </w:rPr>
      </w:pPr>
      <w:r w:rsidRPr="0062739B">
        <w:rPr>
          <w:rFonts w:cs="Arial"/>
        </w:rPr>
        <w:t xml:space="preserve">IHPA is governed by the </w:t>
      </w:r>
      <w:hyperlink r:id="rId19" w:history="1">
        <w:r w:rsidRPr="0062739B">
          <w:rPr>
            <w:rFonts w:cs="Arial"/>
          </w:rPr>
          <w:t>Pricing Authority</w:t>
        </w:r>
      </w:hyperlink>
      <w:r w:rsidRPr="0062739B">
        <w:rPr>
          <w:rFonts w:cs="Arial"/>
        </w:rPr>
        <w:t xml:space="preserve">. Members of the Pricing Authority bring significant expertise and skills to the role, including substantial experience and knowledge of the health care needs and the provision of health care services for people living in regional and rural areas. </w:t>
      </w:r>
    </w:p>
    <w:p w:rsidR="0064379C" w:rsidRDefault="0064379C" w:rsidP="0062739B">
      <w:pPr>
        <w:spacing w:after="160" w:line="276" w:lineRule="auto"/>
      </w:pPr>
      <w:r w:rsidRPr="0062739B">
        <w:rPr>
          <w:rFonts w:cs="Arial"/>
        </w:rPr>
        <w:t xml:space="preserve">IHPA has a number of determinative functions as specified by the NHRA. IHPA’s primary role is to determine the National Efficient Price (NEP) and the National Efficient Cost for public hospital services. Other functions IHPA has responsibility for include </w:t>
      </w:r>
      <w:r w:rsidRPr="00B20BF8">
        <w:t>determining data requirements</w:t>
      </w:r>
      <w:r>
        <w:t>,</w:t>
      </w:r>
      <w:r w:rsidRPr="00B20BF8">
        <w:t xml:space="preserve"> and developing and specifying the classifications for services provided by public hospitals.</w:t>
      </w:r>
      <w:r>
        <w:t xml:space="preserve"> </w:t>
      </w:r>
      <w:r w:rsidRPr="00975E3E">
        <w:t>IHPA undertakes reviews and updates of existing classifications and is also responsible for introducing new classifications</w:t>
      </w:r>
      <w:r>
        <w:t>.</w:t>
      </w:r>
    </w:p>
    <w:p w:rsidR="0064379C" w:rsidRPr="0064379C" w:rsidRDefault="0064379C" w:rsidP="0064379C">
      <w:pPr>
        <w:pStyle w:val="Heading2"/>
      </w:pPr>
      <w:bookmarkStart w:id="20" w:name="_Toc488332248"/>
      <w:r w:rsidRPr="0064379C">
        <w:t>Classification systems</w:t>
      </w:r>
      <w:bookmarkEnd w:id="20"/>
    </w:p>
    <w:p w:rsidR="0064379C" w:rsidRPr="0062739B" w:rsidRDefault="0064379C" w:rsidP="0064379C">
      <w:pPr>
        <w:spacing w:after="160" w:line="276" w:lineRule="auto"/>
        <w:rPr>
          <w:rFonts w:cs="Arial"/>
        </w:rPr>
      </w:pPr>
      <w:r>
        <w:rPr>
          <w:lang w:eastAsia="ja-JP"/>
        </w:rPr>
        <w:t>Classification systems</w:t>
      </w:r>
      <w:r w:rsidRPr="00266F77">
        <w:rPr>
          <w:lang w:eastAsia="ja-JP"/>
        </w:rPr>
        <w:t xml:space="preserve"> aim to provide the health care sector with a nationally consistent method of classifying </w:t>
      </w:r>
      <w:r>
        <w:rPr>
          <w:lang w:eastAsia="ja-JP"/>
        </w:rPr>
        <w:t>pati</w:t>
      </w:r>
      <w:r w:rsidRPr="0062739B">
        <w:rPr>
          <w:rFonts w:cs="Arial"/>
        </w:rPr>
        <w:t xml:space="preserve">ent level activity </w:t>
      </w:r>
      <w:r w:rsidR="006212CD">
        <w:rPr>
          <w:rFonts w:cs="Arial"/>
        </w:rPr>
        <w:t>and other services</w:t>
      </w:r>
      <w:r w:rsidR="00232CEF">
        <w:rPr>
          <w:rFonts w:cs="Arial"/>
        </w:rPr>
        <w:t>,</w:t>
      </w:r>
      <w:r w:rsidR="006212CD">
        <w:rPr>
          <w:rFonts w:cs="Arial"/>
        </w:rPr>
        <w:t xml:space="preserve"> </w:t>
      </w:r>
      <w:r w:rsidRPr="0062739B">
        <w:rPr>
          <w:rFonts w:cs="Arial"/>
        </w:rPr>
        <w:t>and their associated costs in order to provide better management, measurement and funding of high quality and efficient health care services.</w:t>
      </w:r>
    </w:p>
    <w:p w:rsidR="0064379C" w:rsidRPr="00C422A3" w:rsidRDefault="0064379C" w:rsidP="0064379C">
      <w:pPr>
        <w:spacing w:after="160" w:line="276" w:lineRule="auto"/>
        <w:rPr>
          <w:lang w:eastAsia="ja-JP"/>
        </w:rPr>
      </w:pPr>
      <w:r w:rsidRPr="0062739B">
        <w:rPr>
          <w:rFonts w:cs="Arial"/>
        </w:rPr>
        <w:t>Classifications are comprised of end classes (codes) that provide clinically meaningful ways of relating the types o</w:t>
      </w:r>
      <w:r w:rsidRPr="001329EF">
        <w:rPr>
          <w:lang w:eastAsia="ja-JP"/>
        </w:rPr>
        <w:t xml:space="preserve">f </w:t>
      </w:r>
      <w:r>
        <w:rPr>
          <w:lang w:eastAsia="ja-JP"/>
        </w:rPr>
        <w:t xml:space="preserve">hospital activities (such as patient care and teaching and training) </w:t>
      </w:r>
      <w:r w:rsidRPr="001329EF">
        <w:rPr>
          <w:lang w:eastAsia="ja-JP"/>
        </w:rPr>
        <w:t xml:space="preserve">to the resources required. They enable hospital and </w:t>
      </w:r>
      <w:r w:rsidRPr="00FE0FB4">
        <w:rPr>
          <w:lang w:eastAsia="ja-JP"/>
        </w:rPr>
        <w:t xml:space="preserve">health service provider performance to be measured by creating a link between hospital activities and the resources consumed for undertaking these activities. </w:t>
      </w:r>
      <w:r>
        <w:rPr>
          <w:lang w:eastAsia="ja-JP"/>
        </w:rPr>
        <w:t>Nat</w:t>
      </w:r>
      <w:r w:rsidRPr="00266F77">
        <w:rPr>
          <w:lang w:eastAsia="ja-JP"/>
        </w:rPr>
        <w:t xml:space="preserve">ionally adopted classifications for services provided in public hospitals allow Australian governments to provide funding to public hospitals based on the </w:t>
      </w:r>
      <w:r>
        <w:rPr>
          <w:lang w:eastAsia="ja-JP"/>
        </w:rPr>
        <w:t>ABF</w:t>
      </w:r>
      <w:r w:rsidRPr="00266F77">
        <w:rPr>
          <w:lang w:eastAsia="ja-JP"/>
        </w:rPr>
        <w:t xml:space="preserve"> mechanism.</w:t>
      </w:r>
      <w:r>
        <w:rPr>
          <w:lang w:eastAsia="ja-JP"/>
        </w:rPr>
        <w:t xml:space="preserve"> </w:t>
      </w:r>
    </w:p>
    <w:p w:rsidR="0064379C" w:rsidRPr="0064379C" w:rsidRDefault="0064379C" w:rsidP="0064379C">
      <w:pPr>
        <w:pStyle w:val="Heading2"/>
      </w:pPr>
      <w:bookmarkStart w:id="21" w:name="_Toc480450528"/>
      <w:bookmarkStart w:id="22" w:name="_Toc488332249"/>
      <w:bookmarkEnd w:id="13"/>
      <w:r w:rsidRPr="0064379C">
        <w:t>Current status of funding of TTR activities provided in public hospitals in Australia</w:t>
      </w:r>
      <w:bookmarkEnd w:id="21"/>
      <w:bookmarkEnd w:id="22"/>
    </w:p>
    <w:p w:rsidR="0064379C" w:rsidRDefault="0064379C" w:rsidP="0064379C">
      <w:pPr>
        <w:spacing w:after="160" w:line="276" w:lineRule="auto"/>
        <w:rPr>
          <w:lang w:eastAsia="ja-JP"/>
        </w:rPr>
      </w:pPr>
      <w:r>
        <w:rPr>
          <w:lang w:eastAsia="ja-JP"/>
        </w:rPr>
        <w:t xml:space="preserve">Much of the teaching and training delivered to health professionals and students in public hospitals occurs through the delivery of patient care (known as embedded teaching and training). Patient care services including admitted acute </w:t>
      </w:r>
      <w:proofErr w:type="gramStart"/>
      <w:r>
        <w:rPr>
          <w:lang w:eastAsia="ja-JP"/>
        </w:rPr>
        <w:t>care,</w:t>
      </w:r>
      <w:proofErr w:type="gramEnd"/>
      <w:r>
        <w:rPr>
          <w:lang w:eastAsia="ja-JP"/>
        </w:rPr>
        <w:t xml:space="preserve"> admitted subacute and non-acute care, emergency care, non-admitted care and mental health care are already funded through ABF, with the cost of providing embedded teaching and training included within the ABF price. However, some teaching and training</w:t>
      </w:r>
      <w:r w:rsidRPr="00FE0FB4">
        <w:rPr>
          <w:lang w:eastAsia="ja-JP"/>
        </w:rPr>
        <w:t xml:space="preserve"> activities are currently funded through block funding or </w:t>
      </w:r>
      <w:r w:rsidRPr="00FE0FB4">
        <w:rPr>
          <w:lang w:eastAsia="ja-JP"/>
        </w:rPr>
        <w:lastRenderedPageBreak/>
        <w:t xml:space="preserve">grants. There is little visibility as to the </w:t>
      </w:r>
      <w:r>
        <w:rPr>
          <w:lang w:eastAsia="ja-JP"/>
        </w:rPr>
        <w:t>teaching and training</w:t>
      </w:r>
      <w:r w:rsidRPr="00FE0FB4">
        <w:rPr>
          <w:lang w:eastAsia="ja-JP"/>
        </w:rPr>
        <w:t xml:space="preserve"> activity provided </w:t>
      </w:r>
      <w:r>
        <w:rPr>
          <w:lang w:eastAsia="ja-JP"/>
        </w:rPr>
        <w:t xml:space="preserve">and </w:t>
      </w:r>
      <w:r w:rsidRPr="00FE0FB4">
        <w:rPr>
          <w:lang w:eastAsia="ja-JP"/>
        </w:rPr>
        <w:t xml:space="preserve">where block funding or grants are allocated at a </w:t>
      </w:r>
      <w:r>
        <w:rPr>
          <w:lang w:eastAsia="ja-JP"/>
        </w:rPr>
        <w:t xml:space="preserve">state and territory or </w:t>
      </w:r>
      <w:r w:rsidRPr="00FE0FB4">
        <w:rPr>
          <w:lang w:eastAsia="ja-JP"/>
        </w:rPr>
        <w:t xml:space="preserve">Local Hospital Network level. The development of the ATTC will enable </w:t>
      </w:r>
      <w:r>
        <w:rPr>
          <w:lang w:eastAsia="ja-JP"/>
        </w:rPr>
        <w:t xml:space="preserve">teaching and training </w:t>
      </w:r>
      <w:r w:rsidRPr="00FE0FB4">
        <w:rPr>
          <w:lang w:eastAsia="ja-JP"/>
        </w:rPr>
        <w:t xml:space="preserve">activities in public hospitals </w:t>
      </w:r>
      <w:r>
        <w:rPr>
          <w:lang w:eastAsia="ja-JP"/>
        </w:rPr>
        <w:t xml:space="preserve">currently receiving block funding, </w:t>
      </w:r>
      <w:r w:rsidRPr="00FE0FB4">
        <w:rPr>
          <w:lang w:eastAsia="ja-JP"/>
        </w:rPr>
        <w:t>to be funded on an ABF basis in the future which increases the transparency of funding flows</w:t>
      </w:r>
      <w:r>
        <w:rPr>
          <w:lang w:eastAsia="ja-JP"/>
        </w:rPr>
        <w:t xml:space="preserve"> from governments to hospitals.</w:t>
      </w:r>
    </w:p>
    <w:p w:rsidR="0064379C" w:rsidRPr="0064379C" w:rsidRDefault="0064379C" w:rsidP="0064379C">
      <w:pPr>
        <w:pStyle w:val="Heading2"/>
      </w:pPr>
      <w:bookmarkStart w:id="23" w:name="_Toc488332250"/>
      <w:r w:rsidRPr="0064379C">
        <w:t>Benefits of the ATTC</w:t>
      </w:r>
      <w:bookmarkEnd w:id="23"/>
    </w:p>
    <w:p w:rsidR="0064379C" w:rsidRPr="00FE0FB4" w:rsidRDefault="0064379C" w:rsidP="0064379C">
      <w:pPr>
        <w:spacing w:after="160" w:line="276" w:lineRule="auto"/>
        <w:rPr>
          <w:lang w:eastAsia="ja-JP"/>
        </w:rPr>
      </w:pPr>
      <w:r w:rsidRPr="00FE0FB4">
        <w:rPr>
          <w:lang w:eastAsia="ja-JP"/>
        </w:rPr>
        <w:t xml:space="preserve">A relevant and current classification system will assist health services to use the new ATTC system in </w:t>
      </w:r>
      <w:r>
        <w:rPr>
          <w:lang w:eastAsia="ja-JP"/>
        </w:rPr>
        <w:t xml:space="preserve">a number of </w:t>
      </w:r>
      <w:r w:rsidRPr="00FE0FB4">
        <w:rPr>
          <w:lang w:eastAsia="ja-JP"/>
        </w:rPr>
        <w:t>ways</w:t>
      </w:r>
      <w:r>
        <w:rPr>
          <w:lang w:eastAsia="ja-JP"/>
        </w:rPr>
        <w:t>, including</w:t>
      </w:r>
      <w:r w:rsidRPr="00FE0FB4">
        <w:rPr>
          <w:lang w:eastAsia="ja-JP"/>
        </w:rPr>
        <w:t xml:space="preserve">: </w:t>
      </w:r>
    </w:p>
    <w:p w:rsidR="0064379C" w:rsidRPr="00FE6835"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A</w:t>
      </w:r>
      <w:r w:rsidRPr="00FE6835">
        <w:rPr>
          <w:rFonts w:asciiTheme="minorHAnsi" w:hAnsiTheme="minorHAnsi" w:cstheme="minorHAnsi"/>
          <w:color w:val="000000"/>
          <w:sz w:val="22"/>
          <w:szCs w:val="22"/>
        </w:rPr>
        <w:t xml:space="preserve">ssist with the administrative management of </w:t>
      </w:r>
      <w:r>
        <w:rPr>
          <w:rFonts w:asciiTheme="minorHAnsi" w:hAnsiTheme="minorHAnsi" w:cstheme="minorHAnsi"/>
          <w:color w:val="000000"/>
          <w:sz w:val="22"/>
          <w:szCs w:val="22"/>
        </w:rPr>
        <w:t>teaching and training</w:t>
      </w:r>
      <w:r w:rsidRPr="00FE6835">
        <w:rPr>
          <w:rFonts w:asciiTheme="minorHAnsi" w:hAnsiTheme="minorHAnsi" w:cstheme="minorHAnsi"/>
          <w:color w:val="000000"/>
          <w:sz w:val="22"/>
          <w:szCs w:val="22"/>
        </w:rPr>
        <w:t xml:space="preserve"> in hospitals and health care services</w:t>
      </w:r>
    </w:p>
    <w:p w:rsidR="0064379C" w:rsidRPr="00FE6835"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Improve statistical reporting</w:t>
      </w:r>
    </w:p>
    <w:p w:rsidR="0064379C"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Enable </w:t>
      </w:r>
      <w:r w:rsidRPr="00FE6835">
        <w:rPr>
          <w:rFonts w:asciiTheme="minorHAnsi" w:hAnsiTheme="minorHAnsi" w:cstheme="minorHAnsi"/>
          <w:color w:val="000000"/>
          <w:sz w:val="22"/>
          <w:szCs w:val="22"/>
        </w:rPr>
        <w:t>quality improvement initiatives, such as benchmarking</w:t>
      </w:r>
      <w:r>
        <w:rPr>
          <w:rFonts w:asciiTheme="minorHAnsi" w:hAnsiTheme="minorHAnsi" w:cstheme="minorHAnsi"/>
          <w:color w:val="000000"/>
          <w:sz w:val="22"/>
          <w:szCs w:val="22"/>
        </w:rPr>
        <w:t xml:space="preserve"> and performance measurement across similar services, and </w:t>
      </w:r>
    </w:p>
    <w:p w:rsidR="0064379C" w:rsidRPr="003B422C"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Provide the health care sector with a nationally consistent method of classifying teaching and training activities and costs to ensure transparent and efficient funding of </w:t>
      </w:r>
      <w:r w:rsidRPr="00FE6835">
        <w:rPr>
          <w:rFonts w:asciiTheme="minorHAnsi" w:hAnsiTheme="minorHAnsi" w:cstheme="minorHAnsi"/>
          <w:color w:val="000000"/>
          <w:sz w:val="22"/>
          <w:szCs w:val="22"/>
        </w:rPr>
        <w:t xml:space="preserve">these </w:t>
      </w:r>
      <w:r>
        <w:rPr>
          <w:rFonts w:asciiTheme="minorHAnsi" w:hAnsiTheme="minorHAnsi" w:cstheme="minorHAnsi"/>
          <w:color w:val="000000"/>
          <w:sz w:val="22"/>
          <w:szCs w:val="22"/>
        </w:rPr>
        <w:t>activities.</w:t>
      </w:r>
    </w:p>
    <w:p w:rsidR="0064379C" w:rsidRPr="003B422C" w:rsidRDefault="0064379C" w:rsidP="0064379C">
      <w:pPr>
        <w:spacing w:after="160" w:line="276" w:lineRule="auto"/>
        <w:rPr>
          <w:lang w:eastAsia="ja-JP"/>
        </w:rPr>
      </w:pPr>
      <w:r>
        <w:rPr>
          <w:lang w:eastAsia="ja-JP"/>
        </w:rPr>
        <w:t xml:space="preserve">The ATTC will provide the health sector with a nationally consistent method of classifying teaching and training activities and associated costs which </w:t>
      </w:r>
      <w:r w:rsidRPr="00086B42">
        <w:rPr>
          <w:lang w:eastAsia="ja-JP"/>
        </w:rPr>
        <w:t xml:space="preserve">allow </w:t>
      </w:r>
      <w:r>
        <w:rPr>
          <w:lang w:eastAsia="ja-JP"/>
        </w:rPr>
        <w:t xml:space="preserve">public </w:t>
      </w:r>
      <w:r w:rsidRPr="00086B42">
        <w:rPr>
          <w:lang w:eastAsia="ja-JP"/>
        </w:rPr>
        <w:t>hospital output</w:t>
      </w:r>
      <w:r>
        <w:rPr>
          <w:lang w:eastAsia="ja-JP"/>
        </w:rPr>
        <w:t>s</w:t>
      </w:r>
      <w:r w:rsidRPr="00086B42">
        <w:rPr>
          <w:lang w:eastAsia="ja-JP"/>
        </w:rPr>
        <w:t xml:space="preserve"> to be measured, which forms the crucial data for policies on funding, budgeting and setting costs.</w:t>
      </w:r>
    </w:p>
    <w:p w:rsidR="0064379C" w:rsidRPr="0064379C" w:rsidRDefault="0064379C" w:rsidP="0064379C">
      <w:pPr>
        <w:pStyle w:val="Heading2"/>
      </w:pPr>
      <w:bookmarkStart w:id="24" w:name="_Toc488332251"/>
      <w:bookmarkEnd w:id="14"/>
      <w:bookmarkEnd w:id="15"/>
      <w:bookmarkEnd w:id="16"/>
      <w:bookmarkEnd w:id="17"/>
      <w:bookmarkEnd w:id="18"/>
      <w:bookmarkEnd w:id="19"/>
      <w:r w:rsidRPr="0064379C">
        <w:t>Stakeholder engagement in the TTR Work Program</w:t>
      </w:r>
      <w:bookmarkEnd w:id="24"/>
    </w:p>
    <w:p w:rsidR="0064379C" w:rsidRDefault="0064379C" w:rsidP="0064379C">
      <w:pPr>
        <w:spacing w:after="160" w:line="276" w:lineRule="auto"/>
        <w:rPr>
          <w:rFonts w:cs="Arial"/>
        </w:rPr>
      </w:pPr>
      <w:r w:rsidRPr="00C32FB0">
        <w:rPr>
          <w:rFonts w:cs="Arial"/>
        </w:rPr>
        <w:t xml:space="preserve">IHPA’s </w:t>
      </w:r>
      <w:r>
        <w:rPr>
          <w:rFonts w:cs="Arial"/>
        </w:rPr>
        <w:t>TTRWG</w:t>
      </w:r>
      <w:r w:rsidRPr="00C32FB0">
        <w:rPr>
          <w:rFonts w:cs="Arial"/>
        </w:rPr>
        <w:t xml:space="preserve"> </w:t>
      </w:r>
      <w:r>
        <w:rPr>
          <w:rFonts w:cs="Arial"/>
        </w:rPr>
        <w:t xml:space="preserve">was established in 2013 to </w:t>
      </w:r>
      <w:r>
        <w:t xml:space="preserve">develop and advise on a work program on approaches to the </w:t>
      </w:r>
      <w:r>
        <w:rPr>
          <w:lang w:eastAsia="ja-JP"/>
        </w:rPr>
        <w:t>classification</w:t>
      </w:r>
      <w:r>
        <w:t xml:space="preserve"> and costing of TTR activities undertaken within public hospitals. The TTRWG </w:t>
      </w:r>
      <w:r>
        <w:rPr>
          <w:rFonts w:cs="Arial"/>
        </w:rPr>
        <w:t xml:space="preserve">is responsible for overseeing the development of the ATTC and </w:t>
      </w:r>
      <w:r w:rsidRPr="005E0BDE">
        <w:rPr>
          <w:rFonts w:cs="Arial"/>
        </w:rPr>
        <w:t>ha</w:t>
      </w:r>
      <w:r>
        <w:rPr>
          <w:rFonts w:cs="Arial"/>
        </w:rPr>
        <w:t xml:space="preserve">s a large and broad membership </w:t>
      </w:r>
      <w:r w:rsidRPr="005E0BDE">
        <w:rPr>
          <w:rFonts w:cs="Arial"/>
        </w:rPr>
        <w:t>including</w:t>
      </w:r>
      <w:r>
        <w:rPr>
          <w:rFonts w:cs="Arial"/>
        </w:rPr>
        <w:t>:</w:t>
      </w:r>
      <w:r w:rsidRPr="005E0BDE">
        <w:rPr>
          <w:rFonts w:cs="Arial"/>
        </w:rPr>
        <w:t xml:space="preserve"> jurisdictional representatives from state, territory and </w:t>
      </w:r>
      <w:r>
        <w:rPr>
          <w:rFonts w:cs="Arial"/>
        </w:rPr>
        <w:t>Commonwealth health departments;</w:t>
      </w:r>
      <w:r w:rsidRPr="005E0BDE">
        <w:rPr>
          <w:rFonts w:cs="Arial"/>
        </w:rPr>
        <w:t xml:space="preserve"> professional bodies</w:t>
      </w:r>
      <w:r>
        <w:rPr>
          <w:rFonts w:cs="Arial"/>
        </w:rPr>
        <w:t>;</w:t>
      </w:r>
      <w:r w:rsidRPr="005E0BDE">
        <w:rPr>
          <w:rFonts w:cs="Arial"/>
        </w:rPr>
        <w:t xml:space="preserve"> higher education (including those representing rural interests) and research</w:t>
      </w:r>
      <w:r>
        <w:rPr>
          <w:rFonts w:cs="Arial"/>
        </w:rPr>
        <w:t xml:space="preserve"> institutions. Current membership includes:</w:t>
      </w:r>
    </w:p>
    <w:p w:rsidR="0064379C"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State and territory health departments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Commonwealth Department of Health</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Allied Health Professions Australia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Association of Australian Medical Research Institute</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Australian College of Nursing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Australian Council of Pro Vice-Chancellors and Deans of Health Science</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Australian Medical Association</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Australian Medical Association Doctor in Training</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Australian Private Hospitals Association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Australian Rural Health Education Network</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Catholic Health Australia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Clinical Trials Action Group</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Committee of Presidents of Medical Colleges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Confederation of Postgraduate Medical Councils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lastRenderedPageBreak/>
        <w:t xml:space="preserve">Council of Deans of Nursing and Midwifery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Federation of Rural Australian Medical Educators</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Medical Deans Australia and New Zealand </w:t>
      </w:r>
    </w:p>
    <w:p w:rsidR="0064379C" w:rsidRPr="00771ACF"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National Health and Medical Research Council </w:t>
      </w:r>
    </w:p>
    <w:p w:rsidR="0064379C"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771ACF">
        <w:rPr>
          <w:rFonts w:asciiTheme="minorHAnsi" w:hAnsiTheme="minorHAnsi" w:cstheme="minorHAnsi"/>
          <w:color w:val="000000"/>
          <w:sz w:val="22"/>
          <w:szCs w:val="22"/>
        </w:rPr>
        <w:t xml:space="preserve">TAFE Directors Australia </w:t>
      </w:r>
    </w:p>
    <w:p w:rsidR="0064379C" w:rsidRPr="00313392" w:rsidRDefault="0064379C" w:rsidP="0064379C">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Universities Australia</w:t>
      </w:r>
    </w:p>
    <w:p w:rsidR="0064379C" w:rsidRDefault="0064379C" w:rsidP="0062739B">
      <w:pPr>
        <w:spacing w:after="160" w:line="276" w:lineRule="auto"/>
        <w:rPr>
          <w:rFonts w:cs="Arial"/>
        </w:rPr>
      </w:pPr>
      <w:r>
        <w:rPr>
          <w:rFonts w:cs="Arial"/>
        </w:rPr>
        <w:t xml:space="preserve">IHPA has worked with the TTRWG and other IHPA advisory committees such as the Clinical Advisory Committee to develop the ATTC. </w:t>
      </w:r>
      <w:r w:rsidRPr="00DD5B88">
        <w:rPr>
          <w:rFonts w:cs="Arial"/>
        </w:rPr>
        <w:t xml:space="preserve">IHPA is </w:t>
      </w:r>
      <w:r>
        <w:rPr>
          <w:rFonts w:cs="Arial"/>
        </w:rPr>
        <w:t xml:space="preserve">also </w:t>
      </w:r>
      <w:r w:rsidRPr="00DD5B88">
        <w:rPr>
          <w:rFonts w:cs="Arial"/>
        </w:rPr>
        <w:t xml:space="preserve">committed to </w:t>
      </w:r>
      <w:r>
        <w:rPr>
          <w:rFonts w:cs="Arial"/>
        </w:rPr>
        <w:t xml:space="preserve">continuing to engage </w:t>
      </w:r>
      <w:r w:rsidRPr="00DD5B88">
        <w:rPr>
          <w:rFonts w:cs="Arial"/>
        </w:rPr>
        <w:t xml:space="preserve">the sector through </w:t>
      </w:r>
      <w:r>
        <w:rPr>
          <w:rFonts w:cs="Arial"/>
        </w:rPr>
        <w:t>additional targeted and</w:t>
      </w:r>
      <w:r w:rsidRPr="00DD5B88">
        <w:rPr>
          <w:rFonts w:cs="Arial"/>
        </w:rPr>
        <w:t xml:space="preserve"> </w:t>
      </w:r>
      <w:r>
        <w:rPr>
          <w:rFonts w:cs="Arial"/>
        </w:rPr>
        <w:t>public consultation processes.</w:t>
      </w:r>
    </w:p>
    <w:p w:rsidR="0064379C" w:rsidRDefault="0064379C">
      <w:pPr>
        <w:spacing w:before="0" w:after="0" w:line="240" w:lineRule="auto"/>
        <w:rPr>
          <w:rFonts w:cs="Arial"/>
        </w:rPr>
      </w:pPr>
      <w:r>
        <w:rPr>
          <w:rFonts w:cs="Arial"/>
        </w:rPr>
        <w:br w:type="page"/>
      </w:r>
    </w:p>
    <w:p w:rsidR="0064379C" w:rsidRPr="00050E5F" w:rsidRDefault="0064379C" w:rsidP="0062739B">
      <w:pPr>
        <w:pStyle w:val="Heading1"/>
        <w:numPr>
          <w:ilvl w:val="0"/>
          <w:numId w:val="17"/>
        </w:numPr>
        <w:ind w:left="720"/>
      </w:pPr>
      <w:bookmarkStart w:id="25" w:name="_Toc407021938"/>
      <w:bookmarkStart w:id="26" w:name="_Toc479265262"/>
      <w:bookmarkStart w:id="27" w:name="_Toc488332252"/>
      <w:r w:rsidRPr="00AB45E7">
        <w:lastRenderedPageBreak/>
        <w:t>Work undertaken to date</w:t>
      </w:r>
      <w:bookmarkEnd w:id="25"/>
      <w:bookmarkEnd w:id="26"/>
      <w:bookmarkEnd w:id="27"/>
    </w:p>
    <w:p w:rsidR="0064379C" w:rsidRDefault="0064379C" w:rsidP="0062739B">
      <w:pPr>
        <w:spacing w:after="160" w:line="276" w:lineRule="auto"/>
      </w:pPr>
      <w:r>
        <w:t>This section describes the work undertaken by IHPA to build the foundations for developing the ATTC, starting with the development of nationally consistent definitions of TTR for ABF purposes, the establishment of a national ABF data collection for TTR activities and a costing study to inform the development of a classification.</w:t>
      </w:r>
    </w:p>
    <w:p w:rsidR="0064379C" w:rsidRPr="0064379C" w:rsidRDefault="0064379C" w:rsidP="0064379C">
      <w:pPr>
        <w:pStyle w:val="Heading2"/>
      </w:pPr>
      <w:bookmarkStart w:id="28" w:name="_Toc488332253"/>
      <w:r w:rsidRPr="0064379C">
        <w:t>Definitions and cost drivers project</w:t>
      </w:r>
      <w:bookmarkEnd w:id="28"/>
    </w:p>
    <w:p w:rsidR="0064379C" w:rsidRDefault="0064379C" w:rsidP="0064379C">
      <w:pPr>
        <w:spacing w:after="160" w:line="276" w:lineRule="auto"/>
        <w:rPr>
          <w:rFonts w:cs="Arial"/>
        </w:rPr>
      </w:pPr>
      <w:r w:rsidRPr="00296B7F">
        <w:rPr>
          <w:rFonts w:cs="Arial"/>
        </w:rPr>
        <w:t xml:space="preserve">In June 2013 IHPA initiated a </w:t>
      </w:r>
      <w:r w:rsidRPr="0062739B">
        <w:t>project</w:t>
      </w:r>
      <w:r w:rsidRPr="00296B7F">
        <w:rPr>
          <w:rFonts w:cs="Arial"/>
        </w:rPr>
        <w:t xml:space="preserve"> to define TTR and identify associate</w:t>
      </w:r>
      <w:r>
        <w:rPr>
          <w:rFonts w:cs="Arial"/>
        </w:rPr>
        <w:t>d cost drivers for ABF purposes.</w:t>
      </w:r>
    </w:p>
    <w:p w:rsidR="0064379C" w:rsidRPr="00827E93" w:rsidRDefault="0064379C" w:rsidP="0064379C">
      <w:pPr>
        <w:pStyle w:val="Heading3"/>
      </w:pPr>
      <w:bookmarkStart w:id="29" w:name="_Toc488332254"/>
      <w:r>
        <w:t>Definitions</w:t>
      </w:r>
      <w:bookmarkEnd w:id="29"/>
    </w:p>
    <w:p w:rsidR="0064379C" w:rsidRDefault="0064379C" w:rsidP="0064379C">
      <w:pPr>
        <w:spacing w:after="160" w:line="276" w:lineRule="auto"/>
        <w:rPr>
          <w:rFonts w:cs="Arial"/>
        </w:rPr>
      </w:pPr>
      <w:r>
        <w:rPr>
          <w:rFonts w:cs="Arial"/>
        </w:rPr>
        <w:t>Th</w:t>
      </w:r>
      <w:r w:rsidRPr="00296B7F">
        <w:rPr>
          <w:rFonts w:cs="Arial"/>
        </w:rPr>
        <w:t xml:space="preserve">e </w:t>
      </w:r>
      <w:hyperlink r:id="rId20" w:history="1">
        <w:r w:rsidRPr="00313B57">
          <w:rPr>
            <w:rStyle w:val="Hyperlink"/>
            <w:rFonts w:cs="Arial"/>
          </w:rPr>
          <w:t>Definitions and Cost Drivers project</w:t>
        </w:r>
      </w:hyperlink>
      <w:r w:rsidRPr="00296B7F">
        <w:rPr>
          <w:rFonts w:cs="Arial"/>
        </w:rPr>
        <w:t xml:space="preserve"> es</w:t>
      </w:r>
      <w:r>
        <w:rPr>
          <w:rFonts w:cs="Arial"/>
        </w:rPr>
        <w:t>tablished nationally consistent and</w:t>
      </w:r>
      <w:r w:rsidRPr="00296B7F">
        <w:rPr>
          <w:rFonts w:cs="Arial"/>
        </w:rPr>
        <w:t xml:space="preserve"> br</w:t>
      </w:r>
      <w:r>
        <w:rPr>
          <w:rFonts w:cs="Arial"/>
        </w:rPr>
        <w:t xml:space="preserve">oadly accepted definitions for TTR. </w:t>
      </w:r>
      <w:r w:rsidRPr="000F0833">
        <w:rPr>
          <w:rFonts w:cs="Arial"/>
        </w:rPr>
        <w:t xml:space="preserve">The </w:t>
      </w:r>
      <w:r>
        <w:rPr>
          <w:rFonts w:cs="Arial"/>
        </w:rPr>
        <w:t>TTR</w:t>
      </w:r>
      <w:r w:rsidRPr="000F0833">
        <w:rPr>
          <w:rFonts w:cs="Arial"/>
        </w:rPr>
        <w:t xml:space="preserve"> definition</w:t>
      </w:r>
      <w:r>
        <w:rPr>
          <w:rFonts w:cs="Arial"/>
        </w:rPr>
        <w:t>s</w:t>
      </w:r>
      <w:r w:rsidRPr="000F0833">
        <w:rPr>
          <w:rFonts w:cs="Arial"/>
        </w:rPr>
        <w:t xml:space="preserve"> </w:t>
      </w:r>
      <w:r>
        <w:rPr>
          <w:rFonts w:cs="Arial"/>
        </w:rPr>
        <w:t>were</w:t>
      </w:r>
      <w:r w:rsidRPr="000F0833">
        <w:rPr>
          <w:rFonts w:cs="Arial"/>
        </w:rPr>
        <w:t xml:space="preserve"> developed to take into account the scope </w:t>
      </w:r>
      <w:r>
        <w:rPr>
          <w:rFonts w:cs="Arial"/>
        </w:rPr>
        <w:t>outlined by</w:t>
      </w:r>
      <w:r w:rsidRPr="000F0833">
        <w:rPr>
          <w:rFonts w:cs="Arial"/>
        </w:rPr>
        <w:t xml:space="preserve"> the NHRA, and </w:t>
      </w:r>
      <w:r>
        <w:rPr>
          <w:rFonts w:cs="Arial"/>
        </w:rPr>
        <w:t>were</w:t>
      </w:r>
      <w:r w:rsidRPr="000F0833">
        <w:rPr>
          <w:rFonts w:cs="Arial"/>
        </w:rPr>
        <w:t xml:space="preserve"> agreed </w:t>
      </w:r>
      <w:r w:rsidRPr="0062739B">
        <w:t>following</w:t>
      </w:r>
      <w:r w:rsidRPr="000F0833">
        <w:rPr>
          <w:rFonts w:cs="Arial"/>
        </w:rPr>
        <w:t xml:space="preserve"> an extensive consultation process with over 400 stakeholders from health services, jurisdictional health departments, peak bodies, interest groups and clinicians.</w:t>
      </w:r>
    </w:p>
    <w:p w:rsidR="0064379C" w:rsidRPr="00F92F0B" w:rsidRDefault="0064379C" w:rsidP="0064379C">
      <w:pPr>
        <w:spacing w:after="160" w:line="276" w:lineRule="auto"/>
        <w:rPr>
          <w:rFonts w:cs="Arial"/>
          <w:b/>
        </w:rPr>
      </w:pPr>
      <w:r w:rsidRPr="00F92F0B">
        <w:rPr>
          <w:rStyle w:val="Strong"/>
        </w:rPr>
        <w:t xml:space="preserve">The definitions of ‘teaching and training’ and ‘research’ for ABF </w:t>
      </w:r>
      <w:r w:rsidRPr="00F92F0B">
        <w:rPr>
          <w:bCs/>
        </w:rPr>
        <w:t>purposes were approved by the Pri</w:t>
      </w:r>
      <w:r>
        <w:rPr>
          <w:bCs/>
        </w:rPr>
        <w:t xml:space="preserve">cing Authority in </w:t>
      </w:r>
      <w:r w:rsidRPr="0062739B">
        <w:t>February</w:t>
      </w:r>
      <w:r>
        <w:rPr>
          <w:bCs/>
        </w:rPr>
        <w:t xml:space="preserve"> 2014</w:t>
      </w:r>
      <w:r w:rsidRPr="00F92F0B">
        <w:rPr>
          <w:bCs/>
        </w:rPr>
        <w:t>.</w:t>
      </w:r>
    </w:p>
    <w:p w:rsidR="0064379C" w:rsidRPr="005B3826" w:rsidRDefault="0064379C" w:rsidP="0064379C">
      <w:pPr>
        <w:spacing w:after="60" w:line="276" w:lineRule="auto"/>
        <w:ind w:firstLine="720"/>
        <w:rPr>
          <w:b/>
          <w:i/>
        </w:rPr>
      </w:pPr>
      <w:r w:rsidRPr="005B3826">
        <w:rPr>
          <w:b/>
          <w:i/>
        </w:rPr>
        <w:t>Teaching and training describes:</w:t>
      </w:r>
    </w:p>
    <w:p w:rsidR="0064379C" w:rsidRPr="007D4537" w:rsidRDefault="0064379C" w:rsidP="0064379C">
      <w:pPr>
        <w:pStyle w:val="BodyText"/>
        <w:spacing w:line="276" w:lineRule="auto"/>
        <w:ind w:left="720"/>
        <w:rPr>
          <w:rFonts w:asciiTheme="minorHAnsi" w:eastAsiaTheme="minorHAnsi" w:hAnsiTheme="minorHAnsi" w:cstheme="minorBidi"/>
          <w:bCs/>
          <w:i/>
        </w:rPr>
      </w:pPr>
      <w:r w:rsidRPr="007D4537">
        <w:rPr>
          <w:rFonts w:asciiTheme="minorHAnsi" w:eastAsiaTheme="minorHAnsi" w:hAnsiTheme="minorHAnsi" w:cstheme="minorBidi"/>
          <w:i/>
        </w:rPr>
        <w:t>“</w:t>
      </w:r>
      <w:r>
        <w:rPr>
          <w:rFonts w:asciiTheme="minorHAnsi" w:eastAsiaTheme="minorHAnsi" w:hAnsiTheme="minorHAnsi" w:cstheme="minorBidi"/>
          <w:i/>
        </w:rPr>
        <w:t>T</w:t>
      </w:r>
      <w:r w:rsidRPr="007D4537">
        <w:rPr>
          <w:rFonts w:asciiTheme="minorHAnsi" w:eastAsiaTheme="minorHAnsi" w:hAnsiTheme="minorHAnsi" w:cstheme="minorBidi"/>
          <w:i/>
        </w:rPr>
        <w:t xml:space="preserve">he activities provided by or on behalf of a public health service to facilitate the acquisition of </w:t>
      </w:r>
      <w:r w:rsidRPr="007D4537">
        <w:rPr>
          <w:rFonts w:asciiTheme="minorHAnsi" w:eastAsiaTheme="minorHAnsi" w:hAnsiTheme="minorHAnsi" w:cstheme="minorBidi"/>
          <w:bCs/>
          <w:i/>
        </w:rPr>
        <w:t>knowledge, or development of skills. These activities must be required for an individual to:</w:t>
      </w:r>
    </w:p>
    <w:p w:rsidR="0064379C" w:rsidRPr="007D4537" w:rsidRDefault="0064379C" w:rsidP="0064379C">
      <w:pPr>
        <w:pStyle w:val="BodyText"/>
        <w:numPr>
          <w:ilvl w:val="0"/>
          <w:numId w:val="19"/>
        </w:numPr>
        <w:spacing w:after="80" w:line="276" w:lineRule="auto"/>
        <w:ind w:left="1485" w:hanging="357"/>
        <w:rPr>
          <w:rFonts w:asciiTheme="minorHAnsi" w:eastAsiaTheme="minorHAnsi" w:hAnsiTheme="minorHAnsi" w:cstheme="minorBidi"/>
          <w:bCs/>
          <w:i/>
        </w:rPr>
      </w:pPr>
      <w:r w:rsidRPr="007D4537">
        <w:rPr>
          <w:rFonts w:asciiTheme="minorHAnsi" w:eastAsiaTheme="minorHAnsi" w:hAnsiTheme="minorHAnsi" w:cstheme="minorBidi"/>
          <w:bCs/>
          <w:i/>
        </w:rPr>
        <w:t>attain the necessary qualifications or recognised professional body registration to practice;</w:t>
      </w:r>
    </w:p>
    <w:p w:rsidR="0064379C" w:rsidRPr="007D4537" w:rsidRDefault="0064379C" w:rsidP="0064379C">
      <w:pPr>
        <w:pStyle w:val="BodyText"/>
        <w:numPr>
          <w:ilvl w:val="0"/>
          <w:numId w:val="19"/>
        </w:numPr>
        <w:spacing w:after="80" w:line="276" w:lineRule="auto"/>
        <w:ind w:left="1485" w:hanging="357"/>
        <w:rPr>
          <w:rFonts w:asciiTheme="minorHAnsi" w:eastAsiaTheme="minorHAnsi" w:hAnsiTheme="minorHAnsi" w:cstheme="minorBidi"/>
          <w:bCs/>
          <w:i/>
        </w:rPr>
      </w:pPr>
      <w:r w:rsidRPr="007D4537">
        <w:rPr>
          <w:rFonts w:asciiTheme="minorHAnsi" w:eastAsiaTheme="minorHAnsi" w:hAnsiTheme="minorHAnsi" w:cstheme="minorBidi"/>
          <w:bCs/>
          <w:i/>
        </w:rPr>
        <w:t>acquire sufficient clinical competence upon entering the workforce; or</w:t>
      </w:r>
    </w:p>
    <w:p w:rsidR="0064379C" w:rsidRPr="007D4537" w:rsidRDefault="0064379C" w:rsidP="0064379C">
      <w:pPr>
        <w:pStyle w:val="BodyText"/>
        <w:numPr>
          <w:ilvl w:val="0"/>
          <w:numId w:val="19"/>
        </w:numPr>
        <w:spacing w:after="80" w:line="276" w:lineRule="auto"/>
        <w:ind w:left="1485" w:hanging="357"/>
        <w:rPr>
          <w:rFonts w:asciiTheme="minorHAnsi" w:eastAsiaTheme="minorHAnsi" w:hAnsiTheme="minorHAnsi" w:cstheme="minorBidi"/>
          <w:bCs/>
          <w:i/>
        </w:rPr>
      </w:pPr>
      <w:r w:rsidRPr="007D4537">
        <w:rPr>
          <w:rFonts w:asciiTheme="minorHAnsi" w:eastAsiaTheme="minorHAnsi" w:hAnsiTheme="minorHAnsi" w:cstheme="minorBidi"/>
          <w:bCs/>
          <w:i/>
        </w:rPr>
        <w:t>undertake specialist/advanced practice</w:t>
      </w:r>
    </w:p>
    <w:p w:rsidR="0064379C" w:rsidRDefault="0064379C" w:rsidP="0064379C">
      <w:pPr>
        <w:spacing w:line="276" w:lineRule="auto"/>
        <w:ind w:left="720"/>
        <w:rPr>
          <w:bCs/>
          <w:i/>
        </w:rPr>
      </w:pPr>
      <w:proofErr w:type="gramStart"/>
      <w:r w:rsidRPr="007D4537">
        <w:rPr>
          <w:bCs/>
          <w:i/>
        </w:rPr>
        <w:t>in</w:t>
      </w:r>
      <w:proofErr w:type="gramEnd"/>
      <w:r w:rsidRPr="007D4537">
        <w:rPr>
          <w:bCs/>
          <w:i/>
        </w:rPr>
        <w:t xml:space="preserve"> Medicine, Dentistry, Nursing, Midwifery or Allied Health.”</w:t>
      </w:r>
    </w:p>
    <w:p w:rsidR="0064379C" w:rsidRPr="007D4537" w:rsidRDefault="0064379C" w:rsidP="0064379C">
      <w:pPr>
        <w:pStyle w:val="ListParagraph"/>
        <w:spacing w:after="60" w:line="276" w:lineRule="auto"/>
        <w:rPr>
          <w:b/>
          <w:i/>
        </w:rPr>
      </w:pPr>
      <w:r w:rsidRPr="007D4537">
        <w:rPr>
          <w:b/>
          <w:i/>
        </w:rPr>
        <w:t>Research describes:</w:t>
      </w:r>
    </w:p>
    <w:p w:rsidR="0064379C" w:rsidRPr="007D4537" w:rsidRDefault="0064379C" w:rsidP="0064379C">
      <w:pPr>
        <w:pStyle w:val="ListParagraph"/>
        <w:spacing w:line="276" w:lineRule="auto"/>
        <w:rPr>
          <w:i/>
        </w:rPr>
      </w:pPr>
      <w:proofErr w:type="gramStart"/>
      <w:r w:rsidRPr="007D4537">
        <w:rPr>
          <w:i/>
        </w:rPr>
        <w:t>“The activities undertaken in a public health service where the primary objective is the advancement of knowledge that ultimately aims to improve consumer and patient health outcomes and/or health system performance.</w:t>
      </w:r>
      <w:proofErr w:type="gramEnd"/>
      <w:r w:rsidRPr="007D4537">
        <w:rPr>
          <w:i/>
        </w:rPr>
        <w:t xml:space="preserve"> The activity must be undertaken in a structured and ethical way, be formally approved by a research governance or ethics body, and have potential for application outside of the health service in which the activity is undertaken.</w:t>
      </w:r>
    </w:p>
    <w:p w:rsidR="0064379C" w:rsidRPr="007D4537" w:rsidRDefault="0064379C" w:rsidP="005B1010">
      <w:pPr>
        <w:keepNext/>
        <w:spacing w:line="276" w:lineRule="auto"/>
        <w:ind w:left="720"/>
        <w:rPr>
          <w:i/>
        </w:rPr>
      </w:pPr>
      <w:r w:rsidRPr="007D4537">
        <w:rPr>
          <w:i/>
        </w:rPr>
        <w:lastRenderedPageBreak/>
        <w:t>For ABF purposes, the definition of research relates to:</w:t>
      </w:r>
    </w:p>
    <w:p w:rsidR="0064379C" w:rsidRDefault="0064379C" w:rsidP="0064379C">
      <w:pPr>
        <w:spacing w:line="276" w:lineRule="auto"/>
        <w:ind w:left="720"/>
        <w:rPr>
          <w:i/>
        </w:rPr>
      </w:pPr>
      <w:proofErr w:type="gramStart"/>
      <w:r w:rsidRPr="007D4537">
        <w:rPr>
          <w:i/>
        </w:rPr>
        <w:t>the</w:t>
      </w:r>
      <w:proofErr w:type="gramEnd"/>
      <w:r w:rsidRPr="007D4537">
        <w:rPr>
          <w:i/>
        </w:rPr>
        <w:t xml:space="preserve"> public health service’s contribution to maintain research capability, excluding the costs of research activities that are funded from a source other than the State or Territory or provided in kind.”</w:t>
      </w:r>
    </w:p>
    <w:p w:rsidR="0064379C" w:rsidRDefault="0064379C" w:rsidP="0064379C">
      <w:pPr>
        <w:pStyle w:val="Heading3"/>
      </w:pPr>
      <w:bookmarkStart w:id="30" w:name="_Toc488332255"/>
      <w:bookmarkStart w:id="31" w:name="_Ref405149850"/>
      <w:r>
        <w:t>Cost drivers and recommended classification structure</w:t>
      </w:r>
      <w:bookmarkEnd w:id="30"/>
    </w:p>
    <w:bookmarkEnd w:id="31"/>
    <w:p w:rsidR="0064379C" w:rsidRPr="00210CF5" w:rsidRDefault="0064379C" w:rsidP="0064379C">
      <w:pPr>
        <w:spacing w:after="160" w:line="276" w:lineRule="auto"/>
        <w:rPr>
          <w:rFonts w:cs="Arial"/>
        </w:rPr>
      </w:pPr>
      <w:r>
        <w:rPr>
          <w:rFonts w:cs="Arial"/>
        </w:rPr>
        <w:t xml:space="preserve">The </w:t>
      </w:r>
      <w:r w:rsidRPr="00296B7F">
        <w:rPr>
          <w:rFonts w:cs="Arial"/>
        </w:rPr>
        <w:t xml:space="preserve">Definitions </w:t>
      </w:r>
      <w:r>
        <w:rPr>
          <w:rFonts w:cs="Arial"/>
        </w:rPr>
        <w:t>and Cost Drivers project conducted a detailed e</w:t>
      </w:r>
      <w:r w:rsidRPr="00430561">
        <w:rPr>
          <w:rFonts w:cs="Arial"/>
        </w:rPr>
        <w:t>nvironmental scan</w:t>
      </w:r>
      <w:r>
        <w:rPr>
          <w:rFonts w:cs="Arial"/>
        </w:rPr>
        <w:t xml:space="preserve"> which noted the wider responsibility</w:t>
      </w:r>
      <w:r w:rsidRPr="00430561">
        <w:rPr>
          <w:rFonts w:cs="Arial"/>
        </w:rPr>
        <w:t xml:space="preserve"> public health services have to deliver non-clinical training activiti</w:t>
      </w:r>
      <w:r>
        <w:rPr>
          <w:rFonts w:cs="Arial"/>
        </w:rPr>
        <w:t xml:space="preserve">es </w:t>
      </w:r>
      <w:r w:rsidRPr="00430561">
        <w:rPr>
          <w:rFonts w:cs="Arial"/>
        </w:rPr>
        <w:t xml:space="preserve">as part of good </w:t>
      </w:r>
      <w:r w:rsidRPr="0062739B">
        <w:t>practice</w:t>
      </w:r>
      <w:r w:rsidRPr="00430561">
        <w:rPr>
          <w:rFonts w:cs="Arial"/>
        </w:rPr>
        <w:t xml:space="preserve"> in maintaining a hi</w:t>
      </w:r>
      <w:r>
        <w:rPr>
          <w:rFonts w:cs="Arial"/>
        </w:rPr>
        <w:t xml:space="preserve">gh-performing, safe workplace. </w:t>
      </w:r>
      <w:r w:rsidR="00AF1214">
        <w:rPr>
          <w:rFonts w:cs="Arial"/>
        </w:rPr>
        <w:t xml:space="preserve">The environmental scan identified a boundary around the nature of teaching and training for ABF purposes, specifically activities that are prerequisites for achieving a qualification or registration to practice in the clinical professions. </w:t>
      </w:r>
      <w:r>
        <w:rPr>
          <w:rFonts w:cs="Arial"/>
        </w:rPr>
        <w:t xml:space="preserve">It was acknowledged that </w:t>
      </w:r>
      <w:r w:rsidRPr="00430561">
        <w:rPr>
          <w:rFonts w:cs="Arial"/>
        </w:rPr>
        <w:t xml:space="preserve">the funds to support </w:t>
      </w:r>
      <w:r>
        <w:rPr>
          <w:rFonts w:cs="Arial"/>
        </w:rPr>
        <w:t>these</w:t>
      </w:r>
      <w:r w:rsidRPr="00430561">
        <w:rPr>
          <w:rFonts w:cs="Arial"/>
        </w:rPr>
        <w:t xml:space="preserve"> endeavour</w:t>
      </w:r>
      <w:r>
        <w:rPr>
          <w:rFonts w:cs="Arial"/>
        </w:rPr>
        <w:t>s</w:t>
      </w:r>
      <w:r w:rsidRPr="00430561">
        <w:rPr>
          <w:rFonts w:cs="Arial"/>
        </w:rPr>
        <w:t xml:space="preserve"> already </w:t>
      </w:r>
      <w:r>
        <w:rPr>
          <w:rFonts w:cs="Arial"/>
        </w:rPr>
        <w:t xml:space="preserve">exist in funding pools; hence </w:t>
      </w:r>
      <w:r w:rsidRPr="00430561">
        <w:rPr>
          <w:rFonts w:cs="Arial"/>
        </w:rPr>
        <w:t xml:space="preserve">not all </w:t>
      </w:r>
      <w:r>
        <w:rPr>
          <w:rFonts w:cs="Arial"/>
        </w:rPr>
        <w:t>teaching and training</w:t>
      </w:r>
      <w:r w:rsidRPr="00430561">
        <w:rPr>
          <w:rFonts w:cs="Arial"/>
        </w:rPr>
        <w:t xml:space="preserve"> activities </w:t>
      </w:r>
      <w:r w:rsidR="00FC6B47">
        <w:rPr>
          <w:rFonts w:cs="Arial"/>
        </w:rPr>
        <w:t xml:space="preserve">were intended to be </w:t>
      </w:r>
      <w:r>
        <w:rPr>
          <w:rFonts w:cs="Arial"/>
        </w:rPr>
        <w:t>in scope for</w:t>
      </w:r>
      <w:r w:rsidRPr="00430561">
        <w:rPr>
          <w:rFonts w:cs="Arial"/>
        </w:rPr>
        <w:t xml:space="preserve"> </w:t>
      </w:r>
      <w:r>
        <w:rPr>
          <w:rFonts w:cs="Arial"/>
        </w:rPr>
        <w:t xml:space="preserve">ABF purposes. </w:t>
      </w:r>
      <w:r w:rsidR="00AF1214">
        <w:rPr>
          <w:rFonts w:cs="Arial"/>
        </w:rPr>
        <w:t>Funding for non-clinical training activities remains sourced from existing alternate funding pools.</w:t>
      </w:r>
    </w:p>
    <w:p w:rsidR="0064379C" w:rsidRPr="0062739B" w:rsidRDefault="0064379C" w:rsidP="0064379C">
      <w:pPr>
        <w:spacing w:after="160" w:line="276" w:lineRule="auto"/>
      </w:pPr>
      <w:r>
        <w:rPr>
          <w:rFonts w:cs="Arial"/>
        </w:rPr>
        <w:t xml:space="preserve">The </w:t>
      </w:r>
      <w:r w:rsidRPr="00296B7F">
        <w:rPr>
          <w:rFonts w:cs="Arial"/>
        </w:rPr>
        <w:t>Definitions and Cost Drivers project</w:t>
      </w:r>
      <w:r>
        <w:rPr>
          <w:rFonts w:cs="Arial"/>
        </w:rPr>
        <w:t xml:space="preserve"> defined key teaching and training activities such as direct, indir</w:t>
      </w:r>
      <w:r w:rsidRPr="0062739B">
        <w:t xml:space="preserve">ect, embedded and overhead activities and costs, providing the scope for the TTR Costing Study. It identified a range of potential cost drivers for TTR activities and provided a framework for developing the new classification. </w:t>
      </w:r>
    </w:p>
    <w:p w:rsidR="0064379C" w:rsidRDefault="0064379C" w:rsidP="0064379C">
      <w:pPr>
        <w:spacing w:after="160" w:line="276" w:lineRule="auto"/>
        <w:rPr>
          <w:rFonts w:asciiTheme="minorHAnsi" w:hAnsiTheme="minorHAnsi"/>
          <w:lang w:val="en-GB"/>
        </w:rPr>
      </w:pPr>
      <w:r w:rsidRPr="0062739B">
        <w:t>The feasibility of capturing direct and indirect teaching and training activities received broad support. How</w:t>
      </w:r>
      <w:r>
        <w:rPr>
          <w:rFonts w:asciiTheme="minorHAnsi" w:hAnsiTheme="minorHAnsi"/>
          <w:lang w:val="en-GB"/>
        </w:rPr>
        <w:t xml:space="preserve">ever, </w:t>
      </w:r>
      <w:r w:rsidRPr="00A578C2">
        <w:rPr>
          <w:rFonts w:asciiTheme="minorHAnsi" w:hAnsiTheme="minorHAnsi"/>
          <w:lang w:val="en-GB"/>
        </w:rPr>
        <w:t xml:space="preserve">it </w:t>
      </w:r>
      <w:r>
        <w:rPr>
          <w:rFonts w:asciiTheme="minorHAnsi" w:hAnsiTheme="minorHAnsi"/>
          <w:lang w:val="en-GB"/>
        </w:rPr>
        <w:t xml:space="preserve">was unable to establish </w:t>
      </w:r>
      <w:r w:rsidRPr="00A578C2">
        <w:rPr>
          <w:rFonts w:asciiTheme="minorHAnsi" w:hAnsiTheme="minorHAnsi"/>
          <w:lang w:val="en-GB"/>
        </w:rPr>
        <w:t xml:space="preserve">whether the embedded component of </w:t>
      </w:r>
      <w:r>
        <w:rPr>
          <w:rFonts w:asciiTheme="minorHAnsi" w:hAnsiTheme="minorHAnsi"/>
          <w:lang w:val="en-GB"/>
        </w:rPr>
        <w:t>teaching and training</w:t>
      </w:r>
      <w:r w:rsidRPr="00A578C2">
        <w:rPr>
          <w:rFonts w:asciiTheme="minorHAnsi" w:hAnsiTheme="minorHAnsi"/>
          <w:lang w:val="en-GB"/>
        </w:rPr>
        <w:t xml:space="preserve"> </w:t>
      </w:r>
      <w:r>
        <w:rPr>
          <w:rFonts w:asciiTheme="minorHAnsi" w:hAnsiTheme="minorHAnsi"/>
          <w:lang w:val="en-GB"/>
        </w:rPr>
        <w:t>could</w:t>
      </w:r>
      <w:r w:rsidRPr="00A578C2">
        <w:rPr>
          <w:rFonts w:asciiTheme="minorHAnsi" w:hAnsiTheme="minorHAnsi"/>
          <w:lang w:val="en-GB"/>
        </w:rPr>
        <w:t xml:space="preserve"> be separately identified. </w:t>
      </w:r>
      <w:r>
        <w:rPr>
          <w:rFonts w:asciiTheme="minorHAnsi" w:hAnsiTheme="minorHAnsi"/>
          <w:lang w:val="en-GB"/>
        </w:rPr>
        <w:t>This was further investigated in the TTR Costing Study.</w:t>
      </w:r>
    </w:p>
    <w:p w:rsidR="0064379C" w:rsidRDefault="0064379C" w:rsidP="0064379C">
      <w:pPr>
        <w:pStyle w:val="Heading3"/>
      </w:pPr>
      <w:bookmarkStart w:id="32" w:name="_Toc488332256"/>
      <w:r>
        <w:t>Classification framework for teaching and training</w:t>
      </w:r>
      <w:bookmarkEnd w:id="32"/>
    </w:p>
    <w:p w:rsidR="0064379C" w:rsidRPr="004F3632" w:rsidRDefault="0064379C" w:rsidP="0062739B">
      <w:pPr>
        <w:spacing w:after="160" w:line="276" w:lineRule="auto"/>
        <w:rPr>
          <w:rFonts w:asciiTheme="minorHAnsi" w:hAnsiTheme="minorHAnsi"/>
        </w:rPr>
      </w:pPr>
      <w:r>
        <w:rPr>
          <w:rFonts w:asciiTheme="minorHAnsi" w:hAnsiTheme="minorHAnsi"/>
        </w:rPr>
        <w:t>A key recommendation from the</w:t>
      </w:r>
      <w:r w:rsidRPr="004F3632">
        <w:rPr>
          <w:rFonts w:asciiTheme="minorHAnsi" w:hAnsiTheme="minorHAnsi"/>
        </w:rPr>
        <w:t xml:space="preserve"> Definitions and Cost Drivers project </w:t>
      </w:r>
      <w:r>
        <w:rPr>
          <w:rFonts w:asciiTheme="minorHAnsi" w:hAnsiTheme="minorHAnsi"/>
        </w:rPr>
        <w:t xml:space="preserve">was that the </w:t>
      </w:r>
      <w:r w:rsidRPr="004F3632">
        <w:rPr>
          <w:rFonts w:asciiTheme="minorHAnsi" w:hAnsiTheme="minorHAnsi"/>
        </w:rPr>
        <w:t xml:space="preserve">scope of a future classification for </w:t>
      </w:r>
      <w:r>
        <w:rPr>
          <w:rFonts w:asciiTheme="minorHAnsi" w:hAnsiTheme="minorHAnsi"/>
        </w:rPr>
        <w:t>teaching and training</w:t>
      </w:r>
      <w:r w:rsidRPr="004F3632">
        <w:rPr>
          <w:rFonts w:asciiTheme="minorHAnsi" w:hAnsiTheme="minorHAnsi"/>
        </w:rPr>
        <w:t xml:space="preserve"> should be defined by two primary criteria:</w:t>
      </w:r>
    </w:p>
    <w:p w:rsidR="0064379C" w:rsidRPr="004F3632" w:rsidRDefault="0064379C" w:rsidP="0064379C">
      <w:pPr>
        <w:pStyle w:val="BodyText"/>
        <w:numPr>
          <w:ilvl w:val="0"/>
          <w:numId w:val="18"/>
        </w:numPr>
        <w:spacing w:line="276" w:lineRule="auto"/>
        <w:rPr>
          <w:rFonts w:ascii="Arial" w:hAnsi="Arial" w:cs="Arial"/>
          <w:lang w:val="en-US"/>
        </w:rPr>
      </w:pPr>
      <w:r w:rsidRPr="004F3632">
        <w:rPr>
          <w:rFonts w:ascii="Arial" w:hAnsi="Arial" w:cs="Arial"/>
          <w:lang w:val="en-US"/>
        </w:rPr>
        <w:t xml:space="preserve">The professional group in which a </w:t>
      </w:r>
      <w:r>
        <w:rPr>
          <w:rFonts w:ascii="Arial" w:hAnsi="Arial" w:cs="Arial"/>
          <w:lang w:val="en-US"/>
        </w:rPr>
        <w:t>trainee is employed (or placed),</w:t>
      </w:r>
      <w:r w:rsidRPr="004F3632">
        <w:rPr>
          <w:rFonts w:ascii="Arial" w:hAnsi="Arial" w:cs="Arial"/>
          <w:lang w:val="en-US"/>
        </w:rPr>
        <w:t xml:space="preserve"> and</w:t>
      </w:r>
    </w:p>
    <w:p w:rsidR="0064379C" w:rsidRDefault="0064379C" w:rsidP="0064379C">
      <w:pPr>
        <w:pStyle w:val="BodyText"/>
        <w:numPr>
          <w:ilvl w:val="0"/>
          <w:numId w:val="18"/>
        </w:numPr>
        <w:spacing w:line="276" w:lineRule="auto"/>
        <w:rPr>
          <w:rFonts w:ascii="Arial" w:hAnsi="Arial" w:cs="Arial"/>
          <w:lang w:val="en-US"/>
        </w:rPr>
      </w:pPr>
      <w:r w:rsidRPr="004F3632">
        <w:rPr>
          <w:rFonts w:ascii="Arial" w:hAnsi="Arial" w:cs="Arial"/>
          <w:lang w:val="en-US"/>
        </w:rPr>
        <w:t xml:space="preserve">The stage of </w:t>
      </w:r>
      <w:r>
        <w:rPr>
          <w:rFonts w:ascii="Arial" w:hAnsi="Arial" w:cs="Arial"/>
          <w:lang w:val="en-US"/>
        </w:rPr>
        <w:t>teaching and training</w:t>
      </w:r>
      <w:r w:rsidRPr="004F3632">
        <w:rPr>
          <w:rFonts w:ascii="Arial" w:hAnsi="Arial" w:cs="Arial"/>
          <w:lang w:val="en-US"/>
        </w:rPr>
        <w:t xml:space="preserve"> in w</w:t>
      </w:r>
      <w:r>
        <w:rPr>
          <w:rFonts w:ascii="Arial" w:hAnsi="Arial" w:cs="Arial"/>
          <w:lang w:val="en-US"/>
        </w:rPr>
        <w:t>hich the individual is engaged.</w:t>
      </w:r>
    </w:p>
    <w:p w:rsidR="0064379C" w:rsidRDefault="0064379C" w:rsidP="0062739B">
      <w:pPr>
        <w:spacing w:after="160" w:line="276" w:lineRule="auto"/>
        <w:rPr>
          <w:rFonts w:asciiTheme="minorHAnsi" w:hAnsiTheme="minorHAnsi"/>
        </w:rPr>
      </w:pPr>
      <w:r w:rsidRPr="00107642">
        <w:rPr>
          <w:rFonts w:asciiTheme="minorHAnsi" w:hAnsiTheme="minorHAnsi"/>
        </w:rPr>
        <w:t xml:space="preserve">Following the Definitions and Cost Drivers project, in December 2014, IHPA provided advice to the COAG Health Council that it </w:t>
      </w:r>
      <w:r>
        <w:rPr>
          <w:rFonts w:asciiTheme="minorHAnsi" w:hAnsiTheme="minorHAnsi"/>
        </w:rPr>
        <w:t>was</w:t>
      </w:r>
      <w:r w:rsidRPr="00107642">
        <w:rPr>
          <w:rFonts w:asciiTheme="minorHAnsi" w:hAnsiTheme="minorHAnsi"/>
        </w:rPr>
        <w:t xml:space="preserve"> feasible to fund </w:t>
      </w:r>
      <w:r>
        <w:rPr>
          <w:rFonts w:asciiTheme="minorHAnsi" w:hAnsiTheme="minorHAnsi"/>
        </w:rPr>
        <w:t>teaching and training</w:t>
      </w:r>
      <w:r w:rsidRPr="00107642">
        <w:rPr>
          <w:rFonts w:asciiTheme="minorHAnsi" w:hAnsiTheme="minorHAnsi"/>
        </w:rPr>
        <w:t xml:space="preserve"> on an activity basis. IHPA advised that further work needed to be done on research to determine its feasibility to be funded on an activity basis. </w:t>
      </w:r>
    </w:p>
    <w:p w:rsidR="0064379C" w:rsidRPr="0064379C" w:rsidRDefault="0064379C" w:rsidP="0064379C">
      <w:pPr>
        <w:pStyle w:val="Heading2"/>
      </w:pPr>
      <w:bookmarkStart w:id="33" w:name="_Toc488332257"/>
      <w:r w:rsidRPr="0064379C">
        <w:t>The commencement of national data collection for teaching and training</w:t>
      </w:r>
      <w:bookmarkEnd w:id="33"/>
    </w:p>
    <w:p w:rsidR="0064379C" w:rsidRPr="0062739B" w:rsidRDefault="0064379C" w:rsidP="0062739B">
      <w:pPr>
        <w:spacing w:after="160" w:line="276" w:lineRule="auto"/>
        <w:rPr>
          <w:rFonts w:asciiTheme="minorHAnsi" w:hAnsiTheme="minorHAnsi"/>
        </w:rPr>
      </w:pPr>
      <w:r>
        <w:rPr>
          <w:lang w:val="en-US"/>
        </w:rPr>
        <w:t xml:space="preserve">National data collections are essential to the development of classifications and the implementation of ABF. IHPA develops </w:t>
      </w:r>
      <w:r>
        <w:rPr>
          <w:rFonts w:cs="Arial"/>
          <w:lang w:val="en-GB"/>
        </w:rPr>
        <w:t xml:space="preserve">Data Set Specifications (DSS), more recently termed </w:t>
      </w:r>
      <w:r w:rsidRPr="00537283">
        <w:rPr>
          <w:rFonts w:cs="Arial"/>
          <w:lang w:val="en-GB"/>
        </w:rPr>
        <w:t>National Bes</w:t>
      </w:r>
      <w:r w:rsidRPr="0062739B">
        <w:rPr>
          <w:rFonts w:asciiTheme="minorHAnsi" w:hAnsiTheme="minorHAnsi"/>
        </w:rPr>
        <w:t>t Endeavours Data Sets (NBEDS), to describe metadata sets that are not mandated for national collection, but where there is a commitment to provide data nationally on a best endeavours basis. DSS and NBEDS contain a set of data items to be collected in combination with an agreed set of instructions, definitions and output values.</w:t>
      </w:r>
    </w:p>
    <w:p w:rsidR="0064379C" w:rsidRPr="00CF5230" w:rsidRDefault="0064379C" w:rsidP="0062739B">
      <w:pPr>
        <w:spacing w:after="160" w:line="276" w:lineRule="auto"/>
        <w:rPr>
          <w:lang w:val="en-US"/>
        </w:rPr>
      </w:pPr>
      <w:r w:rsidRPr="0062739B">
        <w:rPr>
          <w:rFonts w:asciiTheme="minorHAnsi" w:hAnsiTheme="minorHAnsi"/>
        </w:rPr>
        <w:lastRenderedPageBreak/>
        <w:t xml:space="preserve">In keeping with the data principle ‘single provision, multiple </w:t>
      </w:r>
      <w:proofErr w:type="gramStart"/>
      <w:r w:rsidRPr="0062739B">
        <w:rPr>
          <w:rFonts w:asciiTheme="minorHAnsi" w:hAnsiTheme="minorHAnsi"/>
        </w:rPr>
        <w:t>use</w:t>
      </w:r>
      <w:proofErr w:type="gramEnd"/>
      <w:r w:rsidRPr="0062739B">
        <w:rPr>
          <w:rFonts w:asciiTheme="minorHAnsi" w:hAnsiTheme="minorHAnsi"/>
        </w:rPr>
        <w:t xml:space="preserve">’, the DSS and more recent NBEDS for </w:t>
      </w:r>
      <w:r w:rsidRPr="003B3A88">
        <w:rPr>
          <w:lang w:val="en-US"/>
        </w:rPr>
        <w:t xml:space="preserve">TTR were derived from </w:t>
      </w:r>
      <w:r>
        <w:rPr>
          <w:lang w:val="en-US"/>
        </w:rPr>
        <w:t xml:space="preserve">several existing data sources </w:t>
      </w:r>
      <w:r>
        <w:rPr>
          <w:rFonts w:cs="Arial"/>
        </w:rPr>
        <w:t>w</w:t>
      </w:r>
      <w:r w:rsidRPr="00537283">
        <w:rPr>
          <w:rFonts w:cs="Arial"/>
        </w:rPr>
        <w:t xml:space="preserve">hich </w:t>
      </w:r>
      <w:r>
        <w:rPr>
          <w:rFonts w:cs="Arial"/>
        </w:rPr>
        <w:t>could</w:t>
      </w:r>
      <w:r w:rsidRPr="00537283">
        <w:rPr>
          <w:rFonts w:cs="Arial"/>
        </w:rPr>
        <w:t xml:space="preserve"> be reported by states and territories</w:t>
      </w:r>
      <w:r>
        <w:rPr>
          <w:rFonts w:cs="Arial"/>
        </w:rPr>
        <w:t xml:space="preserve">. </w:t>
      </w:r>
      <w:r>
        <w:rPr>
          <w:lang w:val="en-US"/>
        </w:rPr>
        <w:t>F</w:t>
      </w:r>
      <w:r w:rsidRPr="003B3A88">
        <w:rPr>
          <w:lang w:val="en-US"/>
        </w:rPr>
        <w:t xml:space="preserve">indings from the environmental scan </w:t>
      </w:r>
      <w:r>
        <w:rPr>
          <w:lang w:val="en-US"/>
        </w:rPr>
        <w:t>conducted as part of the Definitions and Cost D</w:t>
      </w:r>
      <w:r w:rsidRPr="003B3A88">
        <w:rPr>
          <w:lang w:val="en-US"/>
        </w:rPr>
        <w:t xml:space="preserve">rivers project aided understanding of data items </w:t>
      </w:r>
      <w:r>
        <w:rPr>
          <w:lang w:val="en-US"/>
        </w:rPr>
        <w:t>that were</w:t>
      </w:r>
      <w:r w:rsidRPr="003B3A88">
        <w:rPr>
          <w:lang w:val="en-US"/>
        </w:rPr>
        <w:t xml:space="preserve"> a</w:t>
      </w:r>
      <w:r>
        <w:rPr>
          <w:lang w:val="en-US"/>
        </w:rPr>
        <w:t xml:space="preserve">vailable and feasible to collect. Data items for inclusions were informed by </w:t>
      </w:r>
      <w:r>
        <w:rPr>
          <w:rFonts w:cs="Arial"/>
        </w:rPr>
        <w:t xml:space="preserve">a number of existing health data collections at the time such as jurisdictional </w:t>
      </w:r>
      <w:r>
        <w:rPr>
          <w:lang w:eastAsia="ja-JP"/>
        </w:rPr>
        <w:t>teaching and training</w:t>
      </w:r>
      <w:r>
        <w:rPr>
          <w:rFonts w:cs="Arial"/>
        </w:rPr>
        <w:t xml:space="preserve"> data sets, Health Workforce Australia’s </w:t>
      </w:r>
      <w:r>
        <w:rPr>
          <w:lang w:val="en-US"/>
        </w:rPr>
        <w:t xml:space="preserve">Clinical Placements Dataset, and the Australian Bureau of Statistics. </w:t>
      </w:r>
      <w:bookmarkStart w:id="34" w:name="_Toc358705632"/>
      <w:r>
        <w:rPr>
          <w:lang w:val="en-US"/>
        </w:rPr>
        <w:t xml:space="preserve">A range of issues were considered including data availability, burden of collection, and directness of association with TTR activity. </w:t>
      </w:r>
      <w:bookmarkEnd w:id="34"/>
    </w:p>
    <w:p w:rsidR="0064379C" w:rsidRPr="0062739B" w:rsidRDefault="0064379C" w:rsidP="0062739B">
      <w:pPr>
        <w:spacing w:after="160" w:line="276" w:lineRule="auto"/>
        <w:rPr>
          <w:lang w:val="en-US"/>
        </w:rPr>
      </w:pPr>
      <w:r>
        <w:rPr>
          <w:lang w:val="en-US"/>
        </w:rPr>
        <w:t xml:space="preserve">Experience from other classifications confirms that reliable and robust national </w:t>
      </w:r>
      <w:r w:rsidRPr="00800266">
        <w:rPr>
          <w:lang w:val="en-US"/>
        </w:rPr>
        <w:t>data collection</w:t>
      </w:r>
      <w:r>
        <w:rPr>
          <w:lang w:val="en-US"/>
        </w:rPr>
        <w:t xml:space="preserve"> requires time and investment for infrastructure and processes to be embedded and for definitions to become understood and more consistently applied. Therefore, </w:t>
      </w:r>
      <w:r w:rsidRPr="0062739B">
        <w:rPr>
          <w:lang w:val="en-US"/>
        </w:rPr>
        <w:t xml:space="preserve">IHPA commenced the development of the </w:t>
      </w:r>
      <w:r w:rsidR="00121F09" w:rsidRPr="00121F09">
        <w:rPr>
          <w:lang w:val="en-US"/>
        </w:rPr>
        <w:t>Hospital Teaching and Training Activities Data Set Specification (HTTA DSS)</w:t>
      </w:r>
      <w:r w:rsidRPr="0062739B">
        <w:rPr>
          <w:lang w:val="en-US"/>
        </w:rPr>
        <w:t xml:space="preserve"> in June 2013. In July 2014, data collection of national teaching and training activity data using the HTTA DSS 2014-15 commenced on a best </w:t>
      </w:r>
      <w:proofErr w:type="spellStart"/>
      <w:r w:rsidRPr="0062739B">
        <w:rPr>
          <w:lang w:val="en-US"/>
        </w:rPr>
        <w:t>endeavours</w:t>
      </w:r>
      <w:proofErr w:type="spellEnd"/>
      <w:r w:rsidRPr="0062739B">
        <w:rPr>
          <w:lang w:val="en-US"/>
        </w:rPr>
        <w:t xml:space="preserve"> basis prior to implementation of the ATTC to provide states and territories with ample time to identify potential issues with the data set.</w:t>
      </w:r>
    </w:p>
    <w:p w:rsidR="0064379C" w:rsidRPr="0062739B" w:rsidRDefault="0064379C" w:rsidP="0064379C">
      <w:pPr>
        <w:spacing w:after="160" w:line="276" w:lineRule="auto"/>
        <w:rPr>
          <w:lang w:val="en-US"/>
        </w:rPr>
      </w:pPr>
      <w:r w:rsidRPr="0062739B">
        <w:rPr>
          <w:lang w:val="en-US"/>
        </w:rPr>
        <w:t>In 2015-16, the HTTA DSS was revised to include new data elements to capture research activity, and in 2016, the name of the DSS was revise</w:t>
      </w:r>
      <w:r w:rsidRPr="00121F09">
        <w:rPr>
          <w:lang w:val="en-US"/>
        </w:rPr>
        <w:t xml:space="preserve">d to the </w:t>
      </w:r>
      <w:r w:rsidR="00121F09" w:rsidRPr="003E535A">
        <w:rPr>
          <w:rFonts w:cs="Arial"/>
          <w:lang w:val="en-US" w:eastAsia="ja-JP"/>
        </w:rPr>
        <w:t>Hospital Teaching</w:t>
      </w:r>
      <w:r w:rsidR="00121F09">
        <w:rPr>
          <w:rFonts w:cs="Arial"/>
          <w:lang w:val="en-US" w:eastAsia="ja-JP"/>
        </w:rPr>
        <w:t>,</w:t>
      </w:r>
      <w:r w:rsidR="00121F09" w:rsidRPr="003E535A">
        <w:rPr>
          <w:rFonts w:cs="Arial"/>
          <w:lang w:val="en-US" w:eastAsia="ja-JP"/>
        </w:rPr>
        <w:t xml:space="preserve"> Training </w:t>
      </w:r>
      <w:r w:rsidR="00121F09">
        <w:rPr>
          <w:rFonts w:cs="Arial"/>
          <w:lang w:val="en-US" w:eastAsia="ja-JP"/>
        </w:rPr>
        <w:t xml:space="preserve">and Research </w:t>
      </w:r>
      <w:r w:rsidR="00121F09" w:rsidRPr="003E535A">
        <w:rPr>
          <w:rFonts w:cs="Arial"/>
          <w:lang w:val="en-US" w:eastAsia="ja-JP"/>
        </w:rPr>
        <w:t xml:space="preserve">Activities </w:t>
      </w:r>
      <w:r w:rsidR="00121F09">
        <w:rPr>
          <w:rFonts w:cs="Arial"/>
          <w:lang w:val="en-US" w:eastAsia="ja-JP"/>
        </w:rPr>
        <w:t xml:space="preserve">National Best Endeavours </w:t>
      </w:r>
      <w:r w:rsidR="00121F09" w:rsidRPr="003E535A">
        <w:rPr>
          <w:rFonts w:cs="Arial"/>
          <w:lang w:val="en-US" w:eastAsia="ja-JP"/>
        </w:rPr>
        <w:t xml:space="preserve">Data Set </w:t>
      </w:r>
      <w:r w:rsidR="00121F09">
        <w:rPr>
          <w:rFonts w:cs="Arial"/>
          <w:lang w:val="en-US" w:eastAsia="ja-JP"/>
        </w:rPr>
        <w:t>(HTTRA NBEDS)</w:t>
      </w:r>
      <w:r w:rsidRPr="00121F09">
        <w:rPr>
          <w:lang w:val="en-US"/>
        </w:rPr>
        <w:t xml:space="preserve"> follow</w:t>
      </w:r>
      <w:r w:rsidRPr="0062739B">
        <w:rPr>
          <w:lang w:val="en-US"/>
        </w:rPr>
        <w:t>ing the decision by the National Health Information Standards and Statistics Committee to rename all DSS as NBEDS. HTTRA data for activity based funding has been collected for two years, with the most recent 2015-16 submission comprising of teaching and training data from three jurisdictions, and research data from one jurisdiction.</w:t>
      </w:r>
    </w:p>
    <w:p w:rsidR="0064379C" w:rsidRDefault="0064379C" w:rsidP="0064379C">
      <w:pPr>
        <w:spacing w:after="160" w:line="276" w:lineRule="auto"/>
        <w:rPr>
          <w:rFonts w:cs="Arial"/>
        </w:rPr>
      </w:pPr>
      <w:r w:rsidRPr="0062739B">
        <w:rPr>
          <w:lang w:val="en-US"/>
        </w:rPr>
        <w:t>The HTTRA NBEDS is</w:t>
      </w:r>
      <w:r w:rsidRPr="0019100B">
        <w:rPr>
          <w:rFonts w:cs="Arial"/>
        </w:rPr>
        <w:t xml:space="preserve"> registered on the Australian Institute of Health and Welfare’s </w:t>
      </w:r>
      <w:hyperlink r:id="rId21" w:history="1">
        <w:r w:rsidRPr="0019100B">
          <w:rPr>
            <w:rFonts w:cs="Arial"/>
          </w:rPr>
          <w:t>Metadata Online Registry</w:t>
        </w:r>
      </w:hyperlink>
      <w:r w:rsidRPr="0019100B">
        <w:rPr>
          <w:rFonts w:cs="Arial"/>
        </w:rPr>
        <w:t xml:space="preserve"> (METeOR) as an IHPA standard data set specification. </w:t>
      </w:r>
    </w:p>
    <w:p w:rsidR="002B4B06" w:rsidRPr="00241C23" w:rsidRDefault="006212CD" w:rsidP="002B4B06">
      <w:pPr>
        <w:spacing w:after="160" w:line="276" w:lineRule="auto"/>
        <w:rPr>
          <w:rFonts w:cs="Arial"/>
        </w:rPr>
      </w:pPr>
      <w:r>
        <w:rPr>
          <w:rFonts w:cs="Arial"/>
        </w:rPr>
        <w:t>IHPA recognises that multiple sources may be required to collect this data, including educational institutions, and encourages jurisdictions to work together with these sources.</w:t>
      </w:r>
      <w:r w:rsidR="00FA72F2">
        <w:rPr>
          <w:rFonts w:cs="Arial"/>
        </w:rPr>
        <w:t xml:space="preserve"> </w:t>
      </w:r>
    </w:p>
    <w:p w:rsidR="0064379C" w:rsidRPr="0064379C" w:rsidRDefault="0064379C" w:rsidP="0064379C">
      <w:pPr>
        <w:pStyle w:val="Heading2"/>
      </w:pPr>
      <w:bookmarkStart w:id="35" w:name="_Toc407021941"/>
      <w:bookmarkStart w:id="36" w:name="_Toc488332258"/>
      <w:r w:rsidRPr="0064379C">
        <w:t>TTR Costing Study</w:t>
      </w:r>
      <w:bookmarkEnd w:id="35"/>
      <w:bookmarkEnd w:id="36"/>
    </w:p>
    <w:p w:rsidR="0064379C" w:rsidRPr="004C4D8C" w:rsidRDefault="0064379C" w:rsidP="0064379C">
      <w:pPr>
        <w:spacing w:after="160" w:line="276" w:lineRule="auto"/>
        <w:rPr>
          <w:rFonts w:cs="Arial"/>
        </w:rPr>
      </w:pPr>
      <w:r>
        <w:rPr>
          <w:rFonts w:cs="Arial"/>
        </w:rPr>
        <w:t xml:space="preserve">In 2015, IHPA conducted </w:t>
      </w:r>
      <w:r w:rsidRPr="004C4D8C">
        <w:rPr>
          <w:rFonts w:cs="Arial"/>
        </w:rPr>
        <w:t xml:space="preserve">a TTR cost and activity data collection at a </w:t>
      </w:r>
      <w:r w:rsidRPr="008B2FBF">
        <w:rPr>
          <w:rFonts w:cs="Arial"/>
        </w:rPr>
        <w:t>representative</w:t>
      </w:r>
      <w:r w:rsidRPr="00871C24">
        <w:rPr>
          <w:rFonts w:cs="Arial"/>
          <w:color w:val="FF0000"/>
        </w:rPr>
        <w:t xml:space="preserve"> </w:t>
      </w:r>
      <w:r w:rsidRPr="004C4D8C">
        <w:rPr>
          <w:rFonts w:cs="Arial"/>
        </w:rPr>
        <w:t xml:space="preserve">sample of </w:t>
      </w:r>
      <w:r w:rsidRPr="0062739B">
        <w:rPr>
          <w:lang w:val="en-US"/>
        </w:rPr>
        <w:t>Australian</w:t>
      </w:r>
      <w:r w:rsidRPr="004C4D8C">
        <w:rPr>
          <w:rFonts w:cs="Arial"/>
        </w:rPr>
        <w:t xml:space="preserve"> hospitals, </w:t>
      </w:r>
      <w:r>
        <w:rPr>
          <w:rFonts w:cs="Arial"/>
        </w:rPr>
        <w:t>in order to</w:t>
      </w:r>
      <w:r w:rsidRPr="004C4D8C">
        <w:rPr>
          <w:rFonts w:cs="Arial"/>
        </w:rPr>
        <w:t xml:space="preserve"> develop a costed data file to inform the development of a TTR classification.</w:t>
      </w:r>
    </w:p>
    <w:p w:rsidR="0064379C" w:rsidRPr="0062739B" w:rsidRDefault="0064379C" w:rsidP="0064379C">
      <w:pPr>
        <w:spacing w:after="160" w:line="276" w:lineRule="auto"/>
        <w:rPr>
          <w:lang w:val="en-US"/>
        </w:rPr>
      </w:pPr>
      <w:r>
        <w:rPr>
          <w:rFonts w:cs="Arial"/>
        </w:rPr>
        <w:t>The</w:t>
      </w:r>
      <w:r w:rsidRPr="004C4D8C">
        <w:rPr>
          <w:rFonts w:cs="Arial"/>
        </w:rPr>
        <w:t xml:space="preserve"> </w:t>
      </w:r>
      <w:hyperlink r:id="rId22" w:history="1">
        <w:r w:rsidRPr="00313B57">
          <w:rPr>
            <w:rStyle w:val="Hyperlink"/>
            <w:rFonts w:cs="Arial"/>
          </w:rPr>
          <w:t>TTR Costing Study</w:t>
        </w:r>
      </w:hyperlink>
      <w:r w:rsidRPr="004C4D8C">
        <w:rPr>
          <w:rFonts w:cs="Arial"/>
        </w:rPr>
        <w:t xml:space="preserve"> collected a broad array of TTR data</w:t>
      </w:r>
      <w:r w:rsidR="00140A35">
        <w:rPr>
          <w:rFonts w:cs="Arial"/>
        </w:rPr>
        <w:t xml:space="preserve">. </w:t>
      </w:r>
      <w:r w:rsidR="00140A35">
        <w:rPr>
          <w:lang w:val="en-US"/>
        </w:rPr>
        <w:t xml:space="preserve">All jurisdictions were requested to participate, of which three jurisdictions agreed and nominated 19 sites </w:t>
      </w:r>
      <w:r w:rsidRPr="004C4D8C">
        <w:rPr>
          <w:rFonts w:cs="Arial"/>
        </w:rPr>
        <w:t>a</w:t>
      </w:r>
      <w:r w:rsidRPr="0062739B">
        <w:rPr>
          <w:lang w:val="en-US"/>
        </w:rPr>
        <w:t>cross Australia: Queensland (13 sites), Western Australia (5 sites), and South Australia (one site). A list of the hospitals that participated in the TTR Costing Study is at Appendix A.</w:t>
      </w:r>
    </w:p>
    <w:p w:rsidR="0064379C" w:rsidRPr="0062739B" w:rsidRDefault="0064379C" w:rsidP="0064379C">
      <w:pPr>
        <w:spacing w:after="160" w:line="276" w:lineRule="auto"/>
        <w:rPr>
          <w:lang w:val="en-US"/>
        </w:rPr>
      </w:pPr>
      <w:r w:rsidRPr="0062739B">
        <w:rPr>
          <w:lang w:val="en-US"/>
        </w:rPr>
        <w:t>The TTR Costing Study included a six-month prospective data collection period from May to October 2015. Additionally, the TTR Costing Study collected retrospective teaching, training and research data from January to April 2015 where it was available.</w:t>
      </w:r>
    </w:p>
    <w:p w:rsidR="0064379C" w:rsidRPr="008E5C30" w:rsidRDefault="0064379C" w:rsidP="0025512F">
      <w:pPr>
        <w:keepLines/>
        <w:spacing w:after="160" w:line="276" w:lineRule="auto"/>
      </w:pPr>
      <w:r w:rsidRPr="0062739B">
        <w:rPr>
          <w:lang w:val="en-US"/>
        </w:rPr>
        <w:lastRenderedPageBreak/>
        <w:t xml:space="preserve">One of the principal outcomes outlined in the TTR Costing Study final report was that the available data provides an adequate starting point for the development of a teaching and training classification. The report also noted the limited quantity and quality of research activity and cost data collected </w:t>
      </w:r>
      <w:r w:rsidR="00B96191">
        <w:rPr>
          <w:lang w:val="en-US"/>
        </w:rPr>
        <w:t>in</w:t>
      </w:r>
      <w:r>
        <w:t xml:space="preserve"> the TTR Costing study provided a </w:t>
      </w:r>
      <w:r w:rsidRPr="008E5C30">
        <w:t xml:space="preserve">low degree of confidence that </w:t>
      </w:r>
      <w:r>
        <w:t xml:space="preserve">the </w:t>
      </w:r>
      <w:r w:rsidRPr="008E5C30">
        <w:t>results relating to research capability are adequat</w:t>
      </w:r>
      <w:r>
        <w:t>ely representative to define a state and t</w:t>
      </w:r>
      <w:r w:rsidRPr="008E5C30">
        <w:t xml:space="preserve">erritory funded research classification </w:t>
      </w:r>
      <w:r>
        <w:t>system.</w:t>
      </w:r>
    </w:p>
    <w:p w:rsidR="0064379C" w:rsidRPr="0064379C" w:rsidRDefault="0064379C" w:rsidP="00313B57">
      <w:pPr>
        <w:pStyle w:val="Heading2"/>
      </w:pPr>
      <w:bookmarkStart w:id="37" w:name="_Toc488332259"/>
      <w:r w:rsidRPr="0064379C">
        <w:t>TTR Costing Study data set</w:t>
      </w:r>
      <w:bookmarkEnd w:id="37"/>
    </w:p>
    <w:p w:rsidR="0064379C" w:rsidRDefault="0064379C" w:rsidP="00313B57">
      <w:pPr>
        <w:keepNext/>
        <w:spacing w:after="160" w:line="276" w:lineRule="auto"/>
      </w:pPr>
      <w:r>
        <w:t xml:space="preserve">The final TTR Costing Study </w:t>
      </w:r>
      <w:r w:rsidRPr="0062739B">
        <w:rPr>
          <w:lang w:val="en-US"/>
        </w:rPr>
        <w:t>data</w:t>
      </w:r>
      <w:r>
        <w:t xml:space="preserve"> set contained fields that provided information about:</w:t>
      </w:r>
    </w:p>
    <w:p w:rsidR="0064379C" w:rsidRDefault="0064379C" w:rsidP="00313B57">
      <w:pPr>
        <w:pStyle w:val="ListParagraph"/>
        <w:keepNext/>
        <w:numPr>
          <w:ilvl w:val="0"/>
          <w:numId w:val="21"/>
        </w:numPr>
        <w:spacing w:before="0" w:after="80" w:line="276" w:lineRule="auto"/>
      </w:pPr>
      <w:r>
        <w:t>The hospital and data collection (for example, site name, geographic region, month of collection)</w:t>
      </w:r>
    </w:p>
    <w:p w:rsidR="0064379C" w:rsidRDefault="0064379C" w:rsidP="0064379C">
      <w:pPr>
        <w:pStyle w:val="ListParagraph"/>
        <w:numPr>
          <w:ilvl w:val="0"/>
          <w:numId w:val="21"/>
        </w:numPr>
        <w:spacing w:before="0" w:after="80" w:line="276" w:lineRule="auto"/>
      </w:pPr>
      <w:r>
        <w:t>The individuals who received training (for example, their profession, the type of trainee, specialty or medical college)</w:t>
      </w:r>
    </w:p>
    <w:p w:rsidR="0064379C" w:rsidRDefault="0064379C" w:rsidP="0064379C">
      <w:pPr>
        <w:pStyle w:val="ListParagraph"/>
        <w:numPr>
          <w:ilvl w:val="0"/>
          <w:numId w:val="21"/>
        </w:numPr>
        <w:spacing w:before="0" w:after="80" w:line="276" w:lineRule="auto"/>
      </w:pPr>
      <w:r>
        <w:t>The counts and costs of providing training to these individuals (for example, headcount, full time equivalent [FTE] count, direct and indirect costs, overheads).</w:t>
      </w:r>
    </w:p>
    <w:p w:rsidR="0064379C" w:rsidRPr="009C0C1D" w:rsidRDefault="0064379C" w:rsidP="0062739B">
      <w:pPr>
        <w:spacing w:after="160" w:line="276" w:lineRule="auto"/>
      </w:pPr>
      <w:r w:rsidRPr="009C0C1D">
        <w:t xml:space="preserve">The </w:t>
      </w:r>
      <w:r>
        <w:t>TTR Costing Study</w:t>
      </w:r>
      <w:r w:rsidRPr="009C0C1D">
        <w:t xml:space="preserve"> provided a rich data set which captured costs related to the following types of </w:t>
      </w:r>
      <w:r w:rsidRPr="0062739B">
        <w:rPr>
          <w:lang w:val="en-US"/>
        </w:rPr>
        <w:t>teaching</w:t>
      </w:r>
      <w:r>
        <w:t xml:space="preserve"> and training</w:t>
      </w:r>
      <w:r w:rsidRPr="009C0C1D">
        <w:t xml:space="preserve"> related activities:</w:t>
      </w:r>
    </w:p>
    <w:p w:rsidR="0064379C" w:rsidRPr="00591FA3" w:rsidRDefault="0064379C" w:rsidP="0064379C">
      <w:pPr>
        <w:pStyle w:val="ListParagraph"/>
        <w:numPr>
          <w:ilvl w:val="0"/>
          <w:numId w:val="20"/>
        </w:numPr>
        <w:spacing w:before="0" w:after="80" w:line="276" w:lineRule="auto"/>
        <w:rPr>
          <w:rFonts w:cs="Arial"/>
        </w:rPr>
      </w:pPr>
      <w:r w:rsidRPr="00FD37D9">
        <w:rPr>
          <w:rFonts w:cs="Arial"/>
          <w:b/>
        </w:rPr>
        <w:t>Direct activities:</w:t>
      </w:r>
      <w:r>
        <w:rPr>
          <w:rFonts w:cs="Arial"/>
        </w:rPr>
        <w:t xml:space="preserve"> D</w:t>
      </w:r>
      <w:r w:rsidRPr="00591FA3">
        <w:rPr>
          <w:rFonts w:cs="Arial"/>
        </w:rPr>
        <w:t>istinct and separable activities which occur outside of an episode of care but are directed towards s</w:t>
      </w:r>
      <w:r>
        <w:rPr>
          <w:rFonts w:cs="Arial"/>
        </w:rPr>
        <w:t>kills and knowledge development</w:t>
      </w:r>
      <w:r w:rsidRPr="00591FA3">
        <w:rPr>
          <w:rFonts w:cs="Arial"/>
        </w:rPr>
        <w:t xml:space="preserve">. In the </w:t>
      </w:r>
      <w:r>
        <w:rPr>
          <w:rFonts w:cs="Arial"/>
        </w:rPr>
        <w:t xml:space="preserve">teaching and training </w:t>
      </w:r>
      <w:r w:rsidRPr="00591FA3">
        <w:rPr>
          <w:rFonts w:cs="Arial"/>
        </w:rPr>
        <w:t>context, direct activities include</w:t>
      </w:r>
      <w:r>
        <w:rPr>
          <w:rFonts w:cs="Arial"/>
        </w:rPr>
        <w:t xml:space="preserve">, for example, </w:t>
      </w:r>
      <w:r w:rsidRPr="00591FA3">
        <w:rPr>
          <w:rFonts w:cs="Arial"/>
        </w:rPr>
        <w:t>lectures, tutoria</w:t>
      </w:r>
      <w:r>
        <w:rPr>
          <w:rFonts w:cs="Arial"/>
        </w:rPr>
        <w:t>ls and workshops.</w:t>
      </w:r>
    </w:p>
    <w:p w:rsidR="0064379C" w:rsidRPr="00591FA3" w:rsidRDefault="0064379C" w:rsidP="0064379C">
      <w:pPr>
        <w:pStyle w:val="ListParagraph"/>
        <w:numPr>
          <w:ilvl w:val="0"/>
          <w:numId w:val="20"/>
        </w:numPr>
        <w:spacing w:before="0" w:after="80" w:line="276" w:lineRule="auto"/>
        <w:rPr>
          <w:rFonts w:cs="Arial"/>
        </w:rPr>
      </w:pPr>
      <w:r w:rsidRPr="00FD37D9">
        <w:rPr>
          <w:rFonts w:cs="Arial"/>
          <w:b/>
        </w:rPr>
        <w:t>Indirect activities:</w:t>
      </w:r>
      <w:r>
        <w:rPr>
          <w:rFonts w:cs="Arial"/>
        </w:rPr>
        <w:t xml:space="preserve"> A</w:t>
      </w:r>
      <w:r w:rsidRPr="00591FA3">
        <w:rPr>
          <w:rFonts w:cs="Arial"/>
        </w:rPr>
        <w:t xml:space="preserve">dministrative and coordination activities undertaken by a health service that are essential to facilitate </w:t>
      </w:r>
      <w:r>
        <w:rPr>
          <w:rFonts w:cs="Arial"/>
        </w:rPr>
        <w:t>teaching and training</w:t>
      </w:r>
      <w:r w:rsidRPr="00591FA3">
        <w:rPr>
          <w:rFonts w:cs="Arial"/>
        </w:rPr>
        <w:t xml:space="preserve">. These activities may include utilities, maintenance, </w:t>
      </w:r>
      <w:proofErr w:type="gramStart"/>
      <w:r w:rsidRPr="00591FA3">
        <w:rPr>
          <w:rFonts w:cs="Arial"/>
        </w:rPr>
        <w:t>the</w:t>
      </w:r>
      <w:proofErr w:type="gramEnd"/>
      <w:r w:rsidRPr="00591FA3">
        <w:rPr>
          <w:rFonts w:cs="Arial"/>
        </w:rPr>
        <w:t xml:space="preserve"> coordination of student placements, rotations, educational program development or negotiation with higher education providers. </w:t>
      </w:r>
    </w:p>
    <w:p w:rsidR="0064379C" w:rsidRPr="00361D1A" w:rsidRDefault="0064379C" w:rsidP="0064379C">
      <w:pPr>
        <w:pStyle w:val="ListParagraph"/>
        <w:numPr>
          <w:ilvl w:val="0"/>
          <w:numId w:val="20"/>
        </w:numPr>
        <w:spacing w:before="0" w:after="80" w:line="276" w:lineRule="auto"/>
        <w:rPr>
          <w:rFonts w:cs="Arial"/>
        </w:rPr>
      </w:pPr>
      <w:r w:rsidRPr="00361D1A">
        <w:rPr>
          <w:rFonts w:cs="Arial"/>
          <w:b/>
        </w:rPr>
        <w:t>Embedded activities:</w:t>
      </w:r>
      <w:r w:rsidRPr="00361D1A">
        <w:rPr>
          <w:rFonts w:cs="Arial"/>
        </w:rPr>
        <w:t xml:space="preserve"> Where </w:t>
      </w:r>
      <w:r>
        <w:rPr>
          <w:rFonts w:cs="Arial"/>
        </w:rPr>
        <w:t>teaching and training</w:t>
      </w:r>
      <w:r w:rsidRPr="00361D1A">
        <w:rPr>
          <w:rFonts w:cs="Arial"/>
        </w:rPr>
        <w:t xml:space="preserve"> occurs in conjunction with patient care. </w:t>
      </w:r>
      <w:r w:rsidRPr="00361D1A">
        <w:rPr>
          <w:rFonts w:asciiTheme="minorHAnsi" w:hAnsiTheme="minorHAnsi"/>
        </w:rPr>
        <w:t>This includes activities such as ward rounds, training during surgical interventions or refinement of other procedural skills such as cannulisation or catheterisation.</w:t>
      </w:r>
    </w:p>
    <w:p w:rsidR="0064379C" w:rsidRPr="00105FDB" w:rsidRDefault="0064379C" w:rsidP="0064379C">
      <w:pPr>
        <w:pStyle w:val="ListParagraph"/>
        <w:numPr>
          <w:ilvl w:val="0"/>
          <w:numId w:val="20"/>
        </w:numPr>
        <w:spacing w:before="0" w:line="276" w:lineRule="auto"/>
        <w:rPr>
          <w:rFonts w:cs="Arial"/>
        </w:rPr>
      </w:pPr>
      <w:r w:rsidRPr="00FD37D9">
        <w:rPr>
          <w:rFonts w:cs="Arial"/>
          <w:b/>
        </w:rPr>
        <w:t>Overheads:</w:t>
      </w:r>
      <w:r>
        <w:rPr>
          <w:rFonts w:cs="Arial"/>
        </w:rPr>
        <w:t xml:space="preserve"> A hospital’s corporate overhead costs (e.g. finance department and payroll services).</w:t>
      </w:r>
    </w:p>
    <w:p w:rsidR="0064379C" w:rsidRPr="0062739B" w:rsidRDefault="0064379C" w:rsidP="0064379C">
      <w:pPr>
        <w:spacing w:after="160" w:line="276" w:lineRule="auto"/>
        <w:rPr>
          <w:lang w:val="en-US"/>
        </w:rPr>
      </w:pPr>
      <w:r>
        <w:rPr>
          <w:rFonts w:cs="Arial"/>
        </w:rPr>
        <w:t xml:space="preserve">TTR Costing Study sites were able to provide data related to direct and indirect teaching and training activities on a consistent basis across </w:t>
      </w:r>
      <w:r w:rsidR="00F25E1F">
        <w:rPr>
          <w:rFonts w:cs="Arial"/>
        </w:rPr>
        <w:t xml:space="preserve">most </w:t>
      </w:r>
      <w:r>
        <w:rPr>
          <w:rFonts w:cs="Arial"/>
        </w:rPr>
        <w:t>professions, although there was variation in the scope an</w:t>
      </w:r>
      <w:r w:rsidRPr="0062739B">
        <w:rPr>
          <w:lang w:val="en-US"/>
        </w:rPr>
        <w:t>d breadth of professions and trainee types between the different sites. Embedded teaching and training costs were modelled using information on clinician time obtained from a clinician and trainee survey.</w:t>
      </w:r>
    </w:p>
    <w:p w:rsidR="0062739B" w:rsidRDefault="0064379C" w:rsidP="0062739B">
      <w:pPr>
        <w:spacing w:after="160" w:line="276" w:lineRule="auto"/>
        <w:rPr>
          <w:rFonts w:cs="Arial"/>
        </w:rPr>
      </w:pPr>
      <w:r w:rsidRPr="0062739B">
        <w:rPr>
          <w:lang w:val="en-US"/>
        </w:rPr>
        <w:t xml:space="preserve">The final TTR Costing Study data set contained 10,446 records, with each record reporting the costs and counts of trainees for each possible combination of site, profession, trainee type, stage, specialty, medical college and procedural specialty indicator. That is, each participating hospital had </w:t>
      </w:r>
      <w:r w:rsidRPr="00E362F6">
        <w:rPr>
          <w:rFonts w:cs="Arial"/>
        </w:rPr>
        <w:t xml:space="preserve">multiple rows </w:t>
      </w:r>
      <w:r>
        <w:rPr>
          <w:rFonts w:cs="Arial"/>
        </w:rPr>
        <w:t xml:space="preserve">of data </w:t>
      </w:r>
      <w:r w:rsidRPr="00E362F6">
        <w:rPr>
          <w:rFonts w:cs="Arial"/>
        </w:rPr>
        <w:t>if it ha</w:t>
      </w:r>
      <w:r>
        <w:rPr>
          <w:rFonts w:cs="Arial"/>
        </w:rPr>
        <w:t>d</w:t>
      </w:r>
      <w:r w:rsidRPr="00E362F6">
        <w:rPr>
          <w:rFonts w:cs="Arial"/>
        </w:rPr>
        <w:t xml:space="preserve"> trainees across multiple professions and trainee types, with each r</w:t>
      </w:r>
      <w:r>
        <w:rPr>
          <w:rFonts w:cs="Arial"/>
        </w:rPr>
        <w:t xml:space="preserve">ecord showing </w:t>
      </w:r>
      <w:r w:rsidRPr="00E362F6">
        <w:rPr>
          <w:rFonts w:cs="Arial"/>
        </w:rPr>
        <w:t xml:space="preserve">the total number of trainees, </w:t>
      </w:r>
      <w:r>
        <w:rPr>
          <w:rFonts w:cs="Arial"/>
        </w:rPr>
        <w:t>FTE trainees</w:t>
      </w:r>
      <w:r w:rsidRPr="00E362F6">
        <w:rPr>
          <w:rFonts w:cs="Arial"/>
        </w:rPr>
        <w:t xml:space="preserve"> and cost breakdowns</w:t>
      </w:r>
      <w:r>
        <w:rPr>
          <w:rFonts w:cs="Arial"/>
        </w:rPr>
        <w:t xml:space="preserve"> as per the categories of direct, indirect, embedded and overheads.</w:t>
      </w:r>
    </w:p>
    <w:p w:rsidR="0064379C" w:rsidRDefault="0064379C" w:rsidP="0062739B">
      <w:pPr>
        <w:spacing w:after="160" w:line="276" w:lineRule="auto"/>
        <w:rPr>
          <w:rFonts w:cs="Arial"/>
        </w:rPr>
      </w:pPr>
      <w:r>
        <w:rPr>
          <w:rFonts w:cs="Arial"/>
        </w:rPr>
        <w:br w:type="page"/>
      </w:r>
    </w:p>
    <w:p w:rsidR="0064379C" w:rsidRPr="000A7EE7" w:rsidRDefault="0064379C" w:rsidP="0062739B">
      <w:pPr>
        <w:pStyle w:val="Heading1"/>
        <w:numPr>
          <w:ilvl w:val="0"/>
          <w:numId w:val="17"/>
        </w:numPr>
        <w:ind w:left="720"/>
      </w:pPr>
      <w:bookmarkStart w:id="38" w:name="_Toc488332260"/>
      <w:r w:rsidRPr="000A7EE7">
        <w:lastRenderedPageBreak/>
        <w:t>Development of the ATTC Version 1.0</w:t>
      </w:r>
      <w:bookmarkEnd w:id="38"/>
    </w:p>
    <w:p w:rsidR="0064379C" w:rsidRDefault="0064379C" w:rsidP="0064379C">
      <w:pPr>
        <w:spacing w:after="160" w:line="276" w:lineRule="auto"/>
        <w:rPr>
          <w:rFonts w:cs="Arial"/>
        </w:rPr>
      </w:pPr>
      <w:r>
        <w:rPr>
          <w:rFonts w:cs="Arial"/>
        </w:rPr>
        <w:t xml:space="preserve">This section </w:t>
      </w:r>
      <w:r w:rsidRPr="0062739B">
        <w:rPr>
          <w:lang w:val="en-US"/>
        </w:rPr>
        <w:t>describes</w:t>
      </w:r>
      <w:r>
        <w:rPr>
          <w:rFonts w:cs="Arial"/>
        </w:rPr>
        <w:t xml:space="preserve"> the work undertaken to develop ATTC</w:t>
      </w:r>
      <w:r w:rsidRPr="00EC06D1">
        <w:rPr>
          <w:rFonts w:cs="Arial"/>
        </w:rPr>
        <w:t xml:space="preserve"> Version 1.0</w:t>
      </w:r>
      <w:r>
        <w:rPr>
          <w:rFonts w:cs="Arial"/>
        </w:rPr>
        <w:t xml:space="preserve"> including the </w:t>
      </w:r>
      <w:r w:rsidRPr="00953D43">
        <w:rPr>
          <w:rFonts w:cs="Arial"/>
        </w:rPr>
        <w:t xml:space="preserve">decisions made during the data set preparation stage in order to </w:t>
      </w:r>
      <w:r>
        <w:rPr>
          <w:rFonts w:cs="Arial"/>
        </w:rPr>
        <w:t>have a robust data set that was fit for purpose, data limitations, findings from exploratory analysis and the modelling methodology used.</w:t>
      </w:r>
    </w:p>
    <w:p w:rsidR="0064379C" w:rsidRDefault="0064379C" w:rsidP="0064379C">
      <w:pPr>
        <w:pStyle w:val="Heading2"/>
      </w:pPr>
      <w:bookmarkStart w:id="39" w:name="_Toc488332261"/>
      <w:r>
        <w:t>Classification development decisions</w:t>
      </w:r>
      <w:bookmarkEnd w:id="39"/>
      <w:r>
        <w:t xml:space="preserve"> </w:t>
      </w:r>
    </w:p>
    <w:p w:rsidR="0064379C" w:rsidRPr="0027185C" w:rsidRDefault="0064379C" w:rsidP="0064379C">
      <w:pPr>
        <w:pStyle w:val="Heading3"/>
      </w:pPr>
      <w:bookmarkStart w:id="40" w:name="_Toc488332262"/>
      <w:r>
        <w:t>Unit of activity</w:t>
      </w:r>
      <w:bookmarkEnd w:id="40"/>
    </w:p>
    <w:p w:rsidR="0064379C" w:rsidRDefault="001C2091" w:rsidP="0064379C">
      <w:pPr>
        <w:spacing w:after="160" w:line="276" w:lineRule="auto"/>
        <w:rPr>
          <w:rFonts w:cs="Arial"/>
        </w:rPr>
      </w:pPr>
      <w:r>
        <w:rPr>
          <w:rFonts w:cs="Arial"/>
        </w:rPr>
        <w:t>T</w:t>
      </w:r>
      <w:r w:rsidR="0064379C">
        <w:rPr>
          <w:rFonts w:cs="Arial"/>
        </w:rPr>
        <w:t xml:space="preserve">he unit of activity that is being classified for teaching and training is not a patient episode of care but a trainee. </w:t>
      </w:r>
      <w:r w:rsidR="00F25E1F">
        <w:rPr>
          <w:rFonts w:cs="Arial"/>
        </w:rPr>
        <w:t xml:space="preserve">To measure trainee activity, </w:t>
      </w:r>
      <w:r w:rsidR="0064379C" w:rsidRPr="00F679A0">
        <w:rPr>
          <w:rFonts w:cs="Arial"/>
        </w:rPr>
        <w:t xml:space="preserve">IHPA </w:t>
      </w:r>
      <w:r w:rsidR="00F25E1F">
        <w:rPr>
          <w:rFonts w:cs="Arial"/>
        </w:rPr>
        <w:t xml:space="preserve">has </w:t>
      </w:r>
      <w:r w:rsidR="0064379C" w:rsidRPr="00F679A0">
        <w:rPr>
          <w:rFonts w:cs="Arial"/>
        </w:rPr>
        <w:t xml:space="preserve">adopted FTE as the unit </w:t>
      </w:r>
      <w:r w:rsidR="0064379C">
        <w:rPr>
          <w:rFonts w:cs="Arial"/>
        </w:rPr>
        <w:t>to be classified</w:t>
      </w:r>
      <w:r w:rsidR="0064379C" w:rsidRPr="00F679A0">
        <w:rPr>
          <w:rFonts w:cs="Arial"/>
        </w:rPr>
        <w:t xml:space="preserve"> in developing the ATTC, as opposed to trainee headcount, in line with the recommendation </w:t>
      </w:r>
      <w:r w:rsidR="0064379C">
        <w:rPr>
          <w:rFonts w:cs="Arial"/>
        </w:rPr>
        <w:t>from</w:t>
      </w:r>
      <w:r w:rsidR="0064379C" w:rsidRPr="00F679A0">
        <w:rPr>
          <w:rFonts w:cs="Arial"/>
        </w:rPr>
        <w:t xml:space="preserve"> the Definitions and Cost Drivers project. This recommendation was based on the fact that employed trainees, which form the bulk of the trainee groups, are described as staff FTE in most jurisdictional data systems, and student placement data, which is commonly reported in terms of placement hours or days, can be easily converted to an FTE measure. </w:t>
      </w:r>
      <w:r w:rsidR="000A3D87">
        <w:rPr>
          <w:rFonts w:cs="Arial"/>
        </w:rPr>
        <w:t>The specifications for the classification are reported through the associated data collection.</w:t>
      </w:r>
    </w:p>
    <w:p w:rsidR="0064379C" w:rsidRPr="009B0FCD" w:rsidRDefault="0064379C" w:rsidP="0064379C">
      <w:pPr>
        <w:pStyle w:val="Heading3"/>
      </w:pPr>
      <w:bookmarkStart w:id="41" w:name="_Toc488332263"/>
      <w:r>
        <w:t>Exclusion of embedded costs</w:t>
      </w:r>
      <w:bookmarkEnd w:id="41"/>
    </w:p>
    <w:p w:rsidR="0064379C" w:rsidRDefault="0064379C" w:rsidP="0064379C">
      <w:pPr>
        <w:spacing w:after="160" w:line="276" w:lineRule="auto"/>
        <w:rPr>
          <w:rFonts w:cs="Arial"/>
        </w:rPr>
      </w:pPr>
      <w:r>
        <w:rPr>
          <w:rFonts w:cs="Arial"/>
        </w:rPr>
        <w:t xml:space="preserve">Findings from the TTR Costing Study indicated that based on the data collected during the study, for most professional groups embedded teaching and training costs represented nearly 80 percent of total teaching and training costs. </w:t>
      </w:r>
    </w:p>
    <w:p w:rsidR="00D21CF2" w:rsidRDefault="0064379C" w:rsidP="0064379C">
      <w:pPr>
        <w:spacing w:after="160" w:line="276" w:lineRule="auto"/>
        <w:rPr>
          <w:rFonts w:cs="Arial"/>
        </w:rPr>
      </w:pPr>
      <w:r>
        <w:rPr>
          <w:rFonts w:cs="Arial"/>
        </w:rPr>
        <w:t>However, e</w:t>
      </w:r>
      <w:r w:rsidRPr="00F679A0">
        <w:rPr>
          <w:rFonts w:cs="Arial"/>
        </w:rPr>
        <w:t xml:space="preserve">mbedded costs </w:t>
      </w:r>
      <w:r>
        <w:rPr>
          <w:rFonts w:cs="Arial"/>
        </w:rPr>
        <w:t>were</w:t>
      </w:r>
      <w:r w:rsidRPr="00F679A0">
        <w:rPr>
          <w:rFonts w:cs="Arial"/>
        </w:rPr>
        <w:t xml:space="preserve"> excluded from the exploratory data analysis and classification data </w:t>
      </w:r>
      <w:r>
        <w:rPr>
          <w:rFonts w:cs="Arial"/>
        </w:rPr>
        <w:t xml:space="preserve">modelling for the development of the ATTC for a number of reasons. </w:t>
      </w:r>
    </w:p>
    <w:p w:rsidR="0064379C" w:rsidRDefault="0064379C" w:rsidP="0064379C">
      <w:pPr>
        <w:spacing w:after="160" w:line="276" w:lineRule="auto"/>
        <w:rPr>
          <w:rFonts w:cs="Arial"/>
        </w:rPr>
      </w:pPr>
      <w:r>
        <w:rPr>
          <w:rFonts w:cs="Arial"/>
        </w:rPr>
        <w:t>E</w:t>
      </w:r>
      <w:r w:rsidRPr="006600E8">
        <w:rPr>
          <w:rFonts w:cs="Arial"/>
        </w:rPr>
        <w:t xml:space="preserve">mbedded </w:t>
      </w:r>
      <w:r>
        <w:rPr>
          <w:rFonts w:cs="Arial"/>
        </w:rPr>
        <w:t xml:space="preserve">teaching and training </w:t>
      </w:r>
      <w:r w:rsidRPr="006600E8">
        <w:rPr>
          <w:rFonts w:cs="Arial"/>
        </w:rPr>
        <w:t xml:space="preserve">costs </w:t>
      </w:r>
      <w:r>
        <w:rPr>
          <w:rFonts w:cs="Arial"/>
        </w:rPr>
        <w:t>are already</w:t>
      </w:r>
      <w:r w:rsidRPr="006600E8">
        <w:rPr>
          <w:rFonts w:cs="Arial"/>
        </w:rPr>
        <w:t xml:space="preserve"> priced as part of the other ABF models (acute, subacute and so forth). </w:t>
      </w:r>
      <w:r>
        <w:rPr>
          <w:rFonts w:cs="Arial"/>
        </w:rPr>
        <w:t>Hospitals undertake patient level costing and report all costs associated with patient care in the National Hospital Cost Data Collection. Therefore, teaching and training provided in operating theatres, for example, is currently priced under the admitted acute care ABF model using Diagnosis Related Groups.</w:t>
      </w:r>
    </w:p>
    <w:p w:rsidR="0064379C" w:rsidRPr="0062739B" w:rsidRDefault="0069711C" w:rsidP="0064379C">
      <w:pPr>
        <w:spacing w:after="160" w:line="276" w:lineRule="auto"/>
        <w:rPr>
          <w:rFonts w:cs="Arial"/>
        </w:rPr>
      </w:pPr>
      <w:r>
        <w:rPr>
          <w:rFonts w:cs="Arial"/>
        </w:rPr>
        <w:t>In addition, t</w:t>
      </w:r>
      <w:r w:rsidR="0064379C" w:rsidRPr="0062739B">
        <w:rPr>
          <w:rFonts w:cs="Arial"/>
        </w:rPr>
        <w:t xml:space="preserve">he nature of embedded teaching and training activity means it occurs during the delivery of patient care. It is </w:t>
      </w:r>
      <w:r>
        <w:rPr>
          <w:rFonts w:cs="Arial"/>
        </w:rPr>
        <w:t xml:space="preserve">extremely </w:t>
      </w:r>
      <w:r w:rsidR="0064379C" w:rsidRPr="0062739B">
        <w:rPr>
          <w:rFonts w:cs="Arial"/>
        </w:rPr>
        <w:t xml:space="preserve">difficult to delineate embedded </w:t>
      </w:r>
      <w:r w:rsidR="0064379C">
        <w:rPr>
          <w:rFonts w:cs="Arial"/>
        </w:rPr>
        <w:t>teaching and training</w:t>
      </w:r>
      <w:r w:rsidR="0064379C" w:rsidRPr="0062739B">
        <w:rPr>
          <w:rFonts w:cs="Arial"/>
        </w:rPr>
        <w:t xml:space="preserve"> costs from regular clinical service delivery costs and it would be administratively burdensome for clinicians and hospitals to collect this data in order to remove embedded teaching and training costs from patient care costs on a consistent basis, either now or in the future. </w:t>
      </w:r>
    </w:p>
    <w:p w:rsidR="0064379C" w:rsidRDefault="0064379C" w:rsidP="00313B57">
      <w:pPr>
        <w:keepLines/>
        <w:spacing w:after="160" w:line="276" w:lineRule="auto"/>
      </w:pPr>
      <w:r w:rsidRPr="0062739B">
        <w:rPr>
          <w:rFonts w:cs="Arial"/>
        </w:rPr>
        <w:lastRenderedPageBreak/>
        <w:t>The TTR Costing Study used a clinician survey method to collected embedded teaching and training activity data</w:t>
      </w:r>
      <w:r>
        <w:t xml:space="preserve"> in order to attempt to model embedded teaching and training costs. T</w:t>
      </w:r>
      <w:r w:rsidRPr="00F70BE9">
        <w:t xml:space="preserve">he method used to record </w:t>
      </w:r>
      <w:r>
        <w:t xml:space="preserve">and model </w:t>
      </w:r>
      <w:r w:rsidRPr="00F70BE9">
        <w:t xml:space="preserve">embedded costs introduces uncertainty </w:t>
      </w:r>
      <w:r>
        <w:t>regarding</w:t>
      </w:r>
      <w:r w:rsidRPr="00F70BE9">
        <w:t xml:space="preserve"> robustness of the data which was collected through a</w:t>
      </w:r>
      <w:r>
        <w:t xml:space="preserve"> very small number of</w:t>
      </w:r>
      <w:r w:rsidRPr="00F70BE9">
        <w:t xml:space="preserve"> </w:t>
      </w:r>
      <w:r>
        <w:t xml:space="preserve">clinician and trainee </w:t>
      </w:r>
      <w:r w:rsidRPr="00F70BE9">
        <w:t>survey</w:t>
      </w:r>
      <w:r>
        <w:t xml:space="preserve"> responses. It is also not a practical method for ongoing data collection.</w:t>
      </w:r>
    </w:p>
    <w:p w:rsidR="0064379C" w:rsidRDefault="0064379C" w:rsidP="0064379C">
      <w:pPr>
        <w:spacing w:after="160" w:line="276" w:lineRule="auto"/>
        <w:rPr>
          <w:rFonts w:cs="Arial"/>
        </w:rPr>
      </w:pPr>
      <w:r w:rsidRPr="006600E8">
        <w:rPr>
          <w:rFonts w:cs="Arial"/>
        </w:rPr>
        <w:t xml:space="preserve">As such, </w:t>
      </w:r>
      <w:r>
        <w:rPr>
          <w:rFonts w:cs="Arial"/>
        </w:rPr>
        <w:t xml:space="preserve">the ATTC was developed using </w:t>
      </w:r>
      <w:r w:rsidRPr="006600E8">
        <w:rPr>
          <w:rFonts w:cs="Arial"/>
        </w:rPr>
        <w:t xml:space="preserve">only direct and indirect costs, </w:t>
      </w:r>
      <w:r w:rsidR="0024747E">
        <w:rPr>
          <w:rFonts w:cs="Arial"/>
        </w:rPr>
        <w:t>i.e.</w:t>
      </w:r>
      <w:r w:rsidR="0024747E" w:rsidRPr="006600E8">
        <w:rPr>
          <w:rFonts w:cs="Arial"/>
        </w:rPr>
        <w:t xml:space="preserve"> </w:t>
      </w:r>
      <w:r w:rsidRPr="006600E8">
        <w:rPr>
          <w:rFonts w:cs="Arial"/>
        </w:rPr>
        <w:t>costs in scope under the current block funding arrangements</w:t>
      </w:r>
      <w:r>
        <w:rPr>
          <w:rFonts w:cs="Arial"/>
        </w:rPr>
        <w:t xml:space="preserve">. Although, at face value, the removal of </w:t>
      </w:r>
      <w:r w:rsidRPr="00A07C6F">
        <w:rPr>
          <w:rFonts w:cs="Arial"/>
        </w:rPr>
        <w:t xml:space="preserve">embedded costs from the development of </w:t>
      </w:r>
      <w:r>
        <w:rPr>
          <w:rFonts w:cs="Arial"/>
        </w:rPr>
        <w:t xml:space="preserve">the ATTC </w:t>
      </w:r>
      <w:r w:rsidRPr="00A07C6F">
        <w:rPr>
          <w:rFonts w:cs="Arial"/>
        </w:rPr>
        <w:t>exc</w:t>
      </w:r>
      <w:r>
        <w:rPr>
          <w:rFonts w:cs="Arial"/>
        </w:rPr>
        <w:t>ludes</w:t>
      </w:r>
      <w:r w:rsidRPr="00A07C6F">
        <w:rPr>
          <w:rFonts w:cs="Arial"/>
        </w:rPr>
        <w:t xml:space="preserve"> a significant proportion of </w:t>
      </w:r>
      <w:r w:rsidRPr="0062739B">
        <w:rPr>
          <w:rFonts w:cs="Arial"/>
        </w:rPr>
        <w:t xml:space="preserve">teaching and training </w:t>
      </w:r>
      <w:r w:rsidRPr="00A07C6F">
        <w:rPr>
          <w:rFonts w:cs="Arial"/>
        </w:rPr>
        <w:t>costs, the development of a c</w:t>
      </w:r>
      <w:r>
        <w:rPr>
          <w:rFonts w:cs="Arial"/>
        </w:rPr>
        <w:t>lassification structure requires</w:t>
      </w:r>
      <w:r w:rsidRPr="00A07C6F">
        <w:rPr>
          <w:rFonts w:cs="Arial"/>
        </w:rPr>
        <w:t xml:space="preserve"> the identification of splitting variables </w:t>
      </w:r>
      <w:r>
        <w:rPr>
          <w:rFonts w:cs="Arial"/>
        </w:rPr>
        <w:t>f</w:t>
      </w:r>
      <w:r w:rsidRPr="00A07C6F">
        <w:rPr>
          <w:rFonts w:cs="Arial"/>
        </w:rPr>
        <w:t xml:space="preserve">or </w:t>
      </w:r>
      <w:r w:rsidRPr="0062739B">
        <w:rPr>
          <w:rFonts w:cs="Arial"/>
        </w:rPr>
        <w:t xml:space="preserve">teaching and training </w:t>
      </w:r>
      <w:r w:rsidRPr="00A07C6F">
        <w:rPr>
          <w:rFonts w:cs="Arial"/>
        </w:rPr>
        <w:t>activities with distinguishable costs</w:t>
      </w:r>
      <w:r>
        <w:rPr>
          <w:rFonts w:cs="Arial"/>
        </w:rPr>
        <w:t xml:space="preserve"> and is concerned with the relativities between costs rather than the actual costs themselves</w:t>
      </w:r>
      <w:r w:rsidRPr="00A07C6F">
        <w:rPr>
          <w:rFonts w:cs="Arial"/>
        </w:rPr>
        <w:t>.</w:t>
      </w:r>
      <w:r>
        <w:rPr>
          <w:rFonts w:cs="Arial"/>
        </w:rPr>
        <w:t xml:space="preserve"> </w:t>
      </w:r>
    </w:p>
    <w:p w:rsidR="0064379C" w:rsidRDefault="0064379C" w:rsidP="0064379C">
      <w:pPr>
        <w:spacing w:after="160" w:line="276" w:lineRule="auto"/>
        <w:rPr>
          <w:rFonts w:cs="Arial"/>
        </w:rPr>
      </w:pPr>
      <w:r>
        <w:rPr>
          <w:rFonts w:cs="Arial"/>
        </w:rPr>
        <w:t>Pricing teaching and training activities for ABF purposes will occur at a later date, and</w:t>
      </w:r>
      <w:r w:rsidRPr="00A07C6F">
        <w:rPr>
          <w:rFonts w:cs="Arial"/>
        </w:rPr>
        <w:t xml:space="preserve"> is a separate process to </w:t>
      </w:r>
      <w:r>
        <w:rPr>
          <w:rFonts w:cs="Arial"/>
        </w:rPr>
        <w:t>classification development. This is discussed further at page 29</w:t>
      </w:r>
      <w:r w:rsidRPr="00A07C6F">
        <w:rPr>
          <w:rFonts w:cs="Arial"/>
        </w:rPr>
        <w:t>.</w:t>
      </w:r>
      <w:r w:rsidRPr="00A07C6F" w:rsidDel="00DD64D5">
        <w:rPr>
          <w:rFonts w:cs="Arial"/>
        </w:rPr>
        <w:t xml:space="preserve"> </w:t>
      </w:r>
    </w:p>
    <w:p w:rsidR="0064379C" w:rsidRPr="0013267B" w:rsidRDefault="0064379C" w:rsidP="0064379C">
      <w:pPr>
        <w:pStyle w:val="Heading3"/>
      </w:pPr>
      <w:bookmarkStart w:id="42" w:name="_Toc488332264"/>
      <w:r w:rsidRPr="0013267B">
        <w:t>Exclusion of overhead costs</w:t>
      </w:r>
      <w:bookmarkEnd w:id="42"/>
    </w:p>
    <w:p w:rsidR="0064379C" w:rsidRPr="00A237D1" w:rsidRDefault="0064379C" w:rsidP="0064379C">
      <w:pPr>
        <w:spacing w:after="160" w:line="276" w:lineRule="auto"/>
        <w:rPr>
          <w:rFonts w:cs="Arial"/>
        </w:rPr>
      </w:pPr>
      <w:r w:rsidRPr="00F679A0">
        <w:rPr>
          <w:rFonts w:cs="Arial"/>
        </w:rPr>
        <w:t xml:space="preserve">Overhead costs were excluded from the exploratory data analysis and classification data modelling as the </w:t>
      </w:r>
      <w:r w:rsidRPr="00966A1D">
        <w:rPr>
          <w:rFonts w:cs="Arial"/>
        </w:rPr>
        <w:t>TTR</w:t>
      </w:r>
      <w:r>
        <w:rPr>
          <w:rFonts w:cs="Arial"/>
        </w:rPr>
        <w:t xml:space="preserve"> Costing Study</w:t>
      </w:r>
      <w:r w:rsidRPr="00F679A0">
        <w:rPr>
          <w:rFonts w:cs="Arial"/>
        </w:rPr>
        <w:t xml:space="preserve"> collected overhead costs related to teaching, training </w:t>
      </w:r>
      <w:r w:rsidRPr="00731DCB">
        <w:rPr>
          <w:rFonts w:cs="Arial"/>
          <w:i/>
        </w:rPr>
        <w:t>and research</w:t>
      </w:r>
      <w:r w:rsidRPr="00F679A0">
        <w:rPr>
          <w:rFonts w:cs="Arial"/>
        </w:rPr>
        <w:t xml:space="preserve"> </w:t>
      </w:r>
      <w:r>
        <w:rPr>
          <w:rFonts w:cs="Arial"/>
        </w:rPr>
        <w:t xml:space="preserve">activities </w:t>
      </w:r>
      <w:r w:rsidRPr="00F679A0">
        <w:rPr>
          <w:rFonts w:cs="Arial"/>
        </w:rPr>
        <w:t>in aggregate</w:t>
      </w:r>
      <w:r>
        <w:rPr>
          <w:rFonts w:cs="Arial"/>
        </w:rPr>
        <w:t>,</w:t>
      </w:r>
      <w:r w:rsidRPr="00F679A0">
        <w:rPr>
          <w:rFonts w:cs="Arial"/>
        </w:rPr>
        <w:t xml:space="preserve"> and as such th</w:t>
      </w:r>
      <w:r>
        <w:rPr>
          <w:rFonts w:cs="Arial"/>
        </w:rPr>
        <w:t>e amount of overheads allocated</w:t>
      </w:r>
      <w:r w:rsidRPr="00F679A0">
        <w:rPr>
          <w:rFonts w:cs="Arial"/>
        </w:rPr>
        <w:t xml:space="preserve"> to </w:t>
      </w:r>
      <w:r>
        <w:rPr>
          <w:lang w:eastAsia="ja-JP"/>
        </w:rPr>
        <w:t xml:space="preserve">teaching and training </w:t>
      </w:r>
      <w:r>
        <w:rPr>
          <w:rFonts w:cs="Arial"/>
        </w:rPr>
        <w:t>was</w:t>
      </w:r>
      <w:r w:rsidRPr="00F679A0">
        <w:rPr>
          <w:rFonts w:cs="Arial"/>
        </w:rPr>
        <w:t xml:space="preserve"> only an approximation.</w:t>
      </w:r>
      <w:r w:rsidR="0024747E">
        <w:rPr>
          <w:rFonts w:cs="Arial"/>
        </w:rPr>
        <w:t xml:space="preserve"> </w:t>
      </w:r>
      <w:r w:rsidR="0024747E">
        <w:rPr>
          <w:rFonts w:cs="Arial"/>
          <w:szCs w:val="22"/>
        </w:rPr>
        <w:t xml:space="preserve">The allocation of overhead costs for teaching and training </w:t>
      </w:r>
      <w:r w:rsidR="00434BF6">
        <w:rPr>
          <w:rFonts w:cs="Arial"/>
          <w:szCs w:val="22"/>
        </w:rPr>
        <w:t xml:space="preserve">is being considered in Version 4 of the </w:t>
      </w:r>
      <w:r w:rsidR="0024747E" w:rsidRPr="00CD5619">
        <w:rPr>
          <w:rFonts w:cs="Arial"/>
        </w:rPr>
        <w:t>National Hospital Cost Data Collection Australian Hospital Patient Costing Standards</w:t>
      </w:r>
      <w:r w:rsidR="0024747E">
        <w:rPr>
          <w:rFonts w:cs="Arial"/>
        </w:rPr>
        <w:t xml:space="preserve"> (NHCDC AHPCS)</w:t>
      </w:r>
      <w:r w:rsidR="0024747E">
        <w:rPr>
          <w:rFonts w:cs="Arial"/>
          <w:szCs w:val="22"/>
        </w:rPr>
        <w:t xml:space="preserve">. </w:t>
      </w:r>
      <w:r w:rsidRPr="00F679A0">
        <w:rPr>
          <w:rFonts w:cs="Arial"/>
        </w:rPr>
        <w:t xml:space="preserve"> </w:t>
      </w:r>
    </w:p>
    <w:p w:rsidR="0064379C" w:rsidRPr="005D6786" w:rsidRDefault="0064379C" w:rsidP="0064379C">
      <w:pPr>
        <w:pStyle w:val="Heading2"/>
      </w:pPr>
      <w:bookmarkStart w:id="43" w:name="_Toc488332265"/>
      <w:r w:rsidRPr="001645DD">
        <w:t>Data limitations</w:t>
      </w:r>
      <w:bookmarkEnd w:id="43"/>
    </w:p>
    <w:p w:rsidR="0064379C" w:rsidRPr="008510FE" w:rsidRDefault="0064379C" w:rsidP="0064379C">
      <w:pPr>
        <w:spacing w:after="160" w:line="276" w:lineRule="auto"/>
        <w:rPr>
          <w:rFonts w:cs="Arial"/>
        </w:rPr>
      </w:pPr>
      <w:r w:rsidRPr="008510FE">
        <w:rPr>
          <w:rFonts w:cs="Arial"/>
        </w:rPr>
        <w:t xml:space="preserve">The extensive data collected from the TTR Costing Study has provided a detailed description of the nature of </w:t>
      </w:r>
      <w:r w:rsidRPr="0062739B">
        <w:rPr>
          <w:rFonts w:cs="Arial"/>
        </w:rPr>
        <w:t>teaching</w:t>
      </w:r>
      <w:r>
        <w:rPr>
          <w:lang w:eastAsia="ja-JP"/>
        </w:rPr>
        <w:t xml:space="preserve"> and training </w:t>
      </w:r>
      <w:r w:rsidRPr="008510FE">
        <w:rPr>
          <w:rFonts w:cs="Arial"/>
        </w:rPr>
        <w:t xml:space="preserve">activities and costs. This data was determined to be sufficient for classification development. </w:t>
      </w:r>
    </w:p>
    <w:p w:rsidR="0064379C" w:rsidRDefault="0064379C" w:rsidP="0064379C">
      <w:pPr>
        <w:spacing w:after="160" w:line="276" w:lineRule="auto"/>
        <w:rPr>
          <w:rFonts w:cs="Arial"/>
        </w:rPr>
      </w:pPr>
      <w:r w:rsidRPr="008510FE">
        <w:rPr>
          <w:rFonts w:cs="Arial"/>
        </w:rPr>
        <w:t xml:space="preserve">However, there </w:t>
      </w:r>
      <w:r w:rsidRPr="00F62368">
        <w:rPr>
          <w:rFonts w:cs="Arial"/>
        </w:rPr>
        <w:t xml:space="preserve">were </w:t>
      </w:r>
      <w:r>
        <w:rPr>
          <w:rFonts w:cs="Arial"/>
        </w:rPr>
        <w:t>some</w:t>
      </w:r>
      <w:r w:rsidRPr="00F62368">
        <w:rPr>
          <w:rFonts w:cs="Arial"/>
        </w:rPr>
        <w:t xml:space="preserve"> limitations to the </w:t>
      </w:r>
      <w:r w:rsidRPr="00966A1D">
        <w:rPr>
          <w:rFonts w:cs="Arial"/>
        </w:rPr>
        <w:t>TTR</w:t>
      </w:r>
      <w:r>
        <w:rPr>
          <w:rFonts w:cs="Arial"/>
        </w:rPr>
        <w:t xml:space="preserve"> Costing Study</w:t>
      </w:r>
      <w:r w:rsidRPr="00F62368">
        <w:rPr>
          <w:rFonts w:cs="Arial"/>
        </w:rPr>
        <w:t xml:space="preserve"> data set, as noted in the </w:t>
      </w:r>
      <w:r w:rsidRPr="00966A1D">
        <w:rPr>
          <w:rFonts w:cs="Arial"/>
        </w:rPr>
        <w:t>TTR</w:t>
      </w:r>
      <w:r>
        <w:rPr>
          <w:rFonts w:cs="Arial"/>
        </w:rPr>
        <w:t xml:space="preserve"> Costing Study final r</w:t>
      </w:r>
      <w:r w:rsidRPr="00F62368">
        <w:rPr>
          <w:rFonts w:cs="Arial"/>
        </w:rPr>
        <w:t>eport. These include:</w:t>
      </w:r>
    </w:p>
    <w:p w:rsidR="0064379C" w:rsidRDefault="0064379C" w:rsidP="0064379C">
      <w:pPr>
        <w:pStyle w:val="ListParagraph"/>
        <w:numPr>
          <w:ilvl w:val="0"/>
          <w:numId w:val="24"/>
        </w:numPr>
        <w:spacing w:before="0" w:after="80" w:line="276" w:lineRule="auto"/>
      </w:pPr>
      <w:r w:rsidRPr="000D7AA8">
        <w:rPr>
          <w:b/>
        </w:rPr>
        <w:t>Data timing and seasonality</w:t>
      </w:r>
      <w:r>
        <w:t>:</w:t>
      </w:r>
      <w:r>
        <w:rPr>
          <w:b/>
        </w:rPr>
        <w:t xml:space="preserve"> </w:t>
      </w:r>
      <w:r w:rsidRPr="000D7AA8">
        <w:t>D</w:t>
      </w:r>
      <w:r>
        <w:t xml:space="preserve">ata for the </w:t>
      </w:r>
      <w:r w:rsidRPr="00966A1D">
        <w:rPr>
          <w:rFonts w:cs="Arial"/>
        </w:rPr>
        <w:t>TTR</w:t>
      </w:r>
      <w:r>
        <w:rPr>
          <w:rFonts w:cs="Arial"/>
        </w:rPr>
        <w:t xml:space="preserve"> Costing Study</w:t>
      </w:r>
      <w:r w:rsidRPr="00F62368">
        <w:rPr>
          <w:rFonts w:cs="Arial"/>
        </w:rPr>
        <w:t xml:space="preserve"> </w:t>
      </w:r>
      <w:r>
        <w:t xml:space="preserve">was collected from May to October 2015. The collection window may mean that the average costs for TTR were impacted by seasonality. The </w:t>
      </w:r>
      <w:r w:rsidRPr="00966A1D">
        <w:rPr>
          <w:rFonts w:cs="Arial"/>
        </w:rPr>
        <w:t>TTR</w:t>
      </w:r>
      <w:r>
        <w:rPr>
          <w:rFonts w:cs="Arial"/>
        </w:rPr>
        <w:t xml:space="preserve"> Costing Study </w:t>
      </w:r>
      <w:r>
        <w:t xml:space="preserve">final report confirmed that </w:t>
      </w:r>
      <w:r>
        <w:rPr>
          <w:lang w:eastAsia="ja-JP"/>
        </w:rPr>
        <w:t xml:space="preserve">teaching and training </w:t>
      </w:r>
      <w:r>
        <w:t>activity is impacted by seasonal influences. For example, the commencement of first term for new medical registrars generally commences at the end of January, and data from some sites indicated higher levels of direct medical teaching and training activities delivered in February to May compared to other months. Additional data from retrospective collection was captured from nine hospitals in the TTR Costing Study to try and mitigate this, but it should be recognised that there was less activity and cost data from January to April compared to May to October.</w:t>
      </w:r>
    </w:p>
    <w:p w:rsidR="0064379C" w:rsidRDefault="0064379C" w:rsidP="0064379C">
      <w:pPr>
        <w:pStyle w:val="ListParagraph"/>
        <w:numPr>
          <w:ilvl w:val="0"/>
          <w:numId w:val="24"/>
        </w:numPr>
        <w:spacing w:before="0" w:after="80" w:line="276" w:lineRule="auto"/>
      </w:pPr>
      <w:r w:rsidRPr="000D7AA8">
        <w:rPr>
          <w:b/>
        </w:rPr>
        <w:t>Collection sites</w:t>
      </w:r>
      <w:r>
        <w:t xml:space="preserve">: One key limitation is that the collection sites did not include hospitals from all jurisdictions across Australia. Notably, there were no hospitals from the two largest states, New South Wales and Victoria. To the extent that the </w:t>
      </w:r>
      <w:r>
        <w:rPr>
          <w:lang w:eastAsia="ja-JP"/>
        </w:rPr>
        <w:t xml:space="preserve">teaching and training </w:t>
      </w:r>
      <w:r>
        <w:t xml:space="preserve">cost structures of the costing sites are not representative of true differences in </w:t>
      </w:r>
      <w:r>
        <w:rPr>
          <w:lang w:eastAsia="ja-JP"/>
        </w:rPr>
        <w:t xml:space="preserve">teaching and training </w:t>
      </w:r>
      <w:r>
        <w:t xml:space="preserve">costs by profession, geography, training stage or other distinguishing factors, then the classification may need to be refined as more TTR data is collected. </w:t>
      </w:r>
      <w:r>
        <w:lastRenderedPageBreak/>
        <w:t>Classification development is always an iterative process and continued national data collection will enable classification refinement.</w:t>
      </w:r>
    </w:p>
    <w:p w:rsidR="0064379C" w:rsidRPr="0045790E" w:rsidRDefault="0064379C" w:rsidP="0064379C">
      <w:pPr>
        <w:pStyle w:val="ListParagraph"/>
        <w:keepNext/>
        <w:numPr>
          <w:ilvl w:val="0"/>
          <w:numId w:val="24"/>
        </w:numPr>
        <w:spacing w:before="0" w:after="80" w:line="276" w:lineRule="auto"/>
      </w:pPr>
      <w:r w:rsidRPr="000D7AA8">
        <w:rPr>
          <w:b/>
        </w:rPr>
        <w:t>Concentration of hospital information for specific specialties and groups</w:t>
      </w:r>
      <w:r>
        <w:t>:</w:t>
      </w:r>
      <w:r w:rsidRPr="0045790E">
        <w:t xml:space="preserve"> </w:t>
      </w:r>
      <w:r>
        <w:t>T</w:t>
      </w:r>
      <w:r w:rsidRPr="0045790E">
        <w:t>he low volume of data collected for some specialties result</w:t>
      </w:r>
      <w:r>
        <w:t>ed</w:t>
      </w:r>
      <w:r w:rsidRPr="0045790E">
        <w:t xml:space="preserve"> in </w:t>
      </w:r>
      <w:r>
        <w:t xml:space="preserve">a </w:t>
      </w:r>
      <w:r w:rsidRPr="0045790E">
        <w:t xml:space="preserve">small number of hospitals dominating the </w:t>
      </w:r>
      <w:r>
        <w:t>data set for some professional specialities</w:t>
      </w:r>
      <w:r w:rsidRPr="0045790E">
        <w:t xml:space="preserve">. </w:t>
      </w:r>
    </w:p>
    <w:p w:rsidR="0064379C" w:rsidRDefault="0064379C" w:rsidP="0064379C">
      <w:pPr>
        <w:pStyle w:val="ListParagraph"/>
        <w:numPr>
          <w:ilvl w:val="0"/>
          <w:numId w:val="24"/>
        </w:numPr>
        <w:spacing w:before="0" w:after="80" w:line="276" w:lineRule="auto"/>
      </w:pPr>
      <w:r w:rsidRPr="000D7AA8">
        <w:rPr>
          <w:b/>
        </w:rPr>
        <w:t>D</w:t>
      </w:r>
      <w:r>
        <w:rPr>
          <w:b/>
        </w:rPr>
        <w:t xml:space="preserve">entistry and </w:t>
      </w:r>
      <w:r w:rsidRPr="000D7AA8">
        <w:rPr>
          <w:b/>
        </w:rPr>
        <w:t>midwifery</w:t>
      </w:r>
      <w:r>
        <w:t>: The sites which participated in the costing study had a smaller number of dentistry and midwifery trainees compared to other professions. Therefore, li</w:t>
      </w:r>
      <w:r w:rsidRPr="000D7AA8">
        <w:t>mited</w:t>
      </w:r>
      <w:r>
        <w:t xml:space="preserve"> data was collected for the dentistry and midwifery professions, which will limit the extent to which the data can be split into more granular end classes. </w:t>
      </w:r>
    </w:p>
    <w:p w:rsidR="0064379C" w:rsidRPr="001A6C69" w:rsidRDefault="0064379C" w:rsidP="0064379C">
      <w:pPr>
        <w:pStyle w:val="ListParagraph"/>
        <w:numPr>
          <w:ilvl w:val="0"/>
          <w:numId w:val="24"/>
        </w:numPr>
        <w:spacing w:before="0" w:after="80" w:line="276" w:lineRule="auto"/>
      </w:pPr>
      <w:r>
        <w:rPr>
          <w:b/>
        </w:rPr>
        <w:t>F</w:t>
      </w:r>
      <w:r w:rsidRPr="006041E8">
        <w:rPr>
          <w:b/>
        </w:rPr>
        <w:t xml:space="preserve">ull range of trainees and </w:t>
      </w:r>
      <w:r>
        <w:rPr>
          <w:b/>
        </w:rPr>
        <w:t xml:space="preserve">teaching and training </w:t>
      </w:r>
      <w:r w:rsidRPr="006041E8">
        <w:rPr>
          <w:b/>
        </w:rPr>
        <w:t>activities</w:t>
      </w:r>
      <w:r>
        <w:rPr>
          <w:b/>
        </w:rPr>
        <w:t xml:space="preserve"> at </w:t>
      </w:r>
      <w:r w:rsidRPr="00BE295E">
        <w:rPr>
          <w:b/>
        </w:rPr>
        <w:t>sites</w:t>
      </w:r>
      <w:r>
        <w:t xml:space="preserve">: While there was cost and activity data for a good range of professions and specialities collected as part of the costing study, sites indicated that they were not able to capture data on every trainee, </w:t>
      </w:r>
      <w:r w:rsidRPr="001A6C69">
        <w:t xml:space="preserve">so the available data does not reflect a fully absorbed </w:t>
      </w:r>
      <w:r>
        <w:rPr>
          <w:lang w:eastAsia="ja-JP"/>
        </w:rPr>
        <w:t xml:space="preserve">teaching and training </w:t>
      </w:r>
      <w:r w:rsidRPr="001A6C69">
        <w:t>cost</w:t>
      </w:r>
      <w:r>
        <w:t xml:space="preserve"> at each site.</w:t>
      </w:r>
    </w:p>
    <w:p w:rsidR="0064379C" w:rsidRDefault="0064379C" w:rsidP="0064379C">
      <w:pPr>
        <w:pStyle w:val="Heading2"/>
      </w:pPr>
      <w:bookmarkStart w:id="44" w:name="_Toc488332266"/>
      <w:r>
        <w:t>Data preparation</w:t>
      </w:r>
      <w:bookmarkEnd w:id="44"/>
    </w:p>
    <w:p w:rsidR="0064379C" w:rsidRPr="0021314D" w:rsidRDefault="0064379C" w:rsidP="0064379C">
      <w:pPr>
        <w:pStyle w:val="Heading3"/>
      </w:pPr>
      <w:bookmarkStart w:id="45" w:name="_Toc488332267"/>
      <w:r w:rsidRPr="0021314D">
        <w:t>Timeframes of data used</w:t>
      </w:r>
      <w:bookmarkEnd w:id="45"/>
    </w:p>
    <w:p w:rsidR="0064379C" w:rsidRDefault="0064379C" w:rsidP="0064379C">
      <w:pPr>
        <w:spacing w:after="160" w:line="276" w:lineRule="auto"/>
        <w:rPr>
          <w:rFonts w:cs="Arial"/>
        </w:rPr>
      </w:pPr>
      <w:r w:rsidRPr="00F70BE9">
        <w:rPr>
          <w:rFonts w:cs="Arial"/>
        </w:rPr>
        <w:t xml:space="preserve">Data across all the months </w:t>
      </w:r>
      <w:r>
        <w:rPr>
          <w:rFonts w:cs="Arial"/>
        </w:rPr>
        <w:t xml:space="preserve">of the TTR Costing Study </w:t>
      </w:r>
      <w:r w:rsidRPr="00F70BE9">
        <w:rPr>
          <w:rFonts w:cs="Arial"/>
        </w:rPr>
        <w:t>(</w:t>
      </w:r>
      <w:r>
        <w:rPr>
          <w:rFonts w:cs="Arial"/>
        </w:rPr>
        <w:t xml:space="preserve">i.e. the live data </w:t>
      </w:r>
      <w:r w:rsidRPr="00F70BE9">
        <w:rPr>
          <w:rFonts w:cs="Arial"/>
        </w:rPr>
        <w:t xml:space="preserve">collection period as well as retrospective data) was utilised in the </w:t>
      </w:r>
      <w:r>
        <w:rPr>
          <w:rFonts w:cs="Arial"/>
        </w:rPr>
        <w:t>exploratory data analysis and data modelling stage.</w:t>
      </w:r>
    </w:p>
    <w:p w:rsidR="0064379C" w:rsidRPr="00D6536D" w:rsidRDefault="0064379C" w:rsidP="0064379C">
      <w:pPr>
        <w:pStyle w:val="Heading3"/>
      </w:pPr>
      <w:bookmarkStart w:id="46" w:name="_Toc488332268"/>
      <w:r w:rsidRPr="00D6536D">
        <w:t>Trimming of outliers</w:t>
      </w:r>
      <w:bookmarkEnd w:id="46"/>
    </w:p>
    <w:p w:rsidR="0064379C" w:rsidRDefault="0064379C" w:rsidP="0064379C">
      <w:pPr>
        <w:spacing w:after="160" w:line="276" w:lineRule="auto"/>
        <w:rPr>
          <w:rFonts w:cs="Arial"/>
        </w:rPr>
      </w:pPr>
      <w:r>
        <w:rPr>
          <w:rFonts w:cs="Arial"/>
        </w:rPr>
        <w:t>Data sets are routinely trimmed to remove outlier records which may skew the results of the analysis. The TTR Costing Study data set was trimmed for high and low cost outliers which were subsequently removed. Additional</w:t>
      </w:r>
      <w:r w:rsidRPr="001A2F0C">
        <w:rPr>
          <w:rFonts w:cs="Arial"/>
        </w:rPr>
        <w:t xml:space="preserve"> data </w:t>
      </w:r>
      <w:r>
        <w:rPr>
          <w:rFonts w:cs="Arial"/>
        </w:rPr>
        <w:t>adjustments</w:t>
      </w:r>
      <w:r w:rsidRPr="001A2F0C">
        <w:rPr>
          <w:rFonts w:cs="Arial"/>
        </w:rPr>
        <w:t xml:space="preserve"> </w:t>
      </w:r>
      <w:r>
        <w:rPr>
          <w:rFonts w:cs="Arial"/>
        </w:rPr>
        <w:t>were</w:t>
      </w:r>
      <w:r w:rsidRPr="001A2F0C">
        <w:rPr>
          <w:rFonts w:cs="Arial"/>
        </w:rPr>
        <w:t xml:space="preserve"> undertaken to remove records with zero direct and indirect costs, </w:t>
      </w:r>
      <w:r>
        <w:rPr>
          <w:rFonts w:cs="Arial"/>
        </w:rPr>
        <w:t xml:space="preserve">out-of-scope trainee types, and </w:t>
      </w:r>
      <w:r w:rsidRPr="001A2F0C">
        <w:rPr>
          <w:rFonts w:cs="Arial"/>
        </w:rPr>
        <w:t>zero</w:t>
      </w:r>
      <w:r>
        <w:rPr>
          <w:rFonts w:cs="Arial"/>
        </w:rPr>
        <w:t xml:space="preserve"> or blank</w:t>
      </w:r>
      <w:r w:rsidRPr="001A2F0C">
        <w:rPr>
          <w:rFonts w:cs="Arial"/>
        </w:rPr>
        <w:t xml:space="preserve"> FTEs</w:t>
      </w:r>
      <w:r>
        <w:rPr>
          <w:rFonts w:cs="Arial"/>
        </w:rPr>
        <w:t xml:space="preserve"> before carrying out the exploratory analysis and </w:t>
      </w:r>
      <w:r w:rsidRPr="008510FE">
        <w:rPr>
          <w:rFonts w:cs="Arial"/>
        </w:rPr>
        <w:t xml:space="preserve">statistical </w:t>
      </w:r>
      <w:r>
        <w:rPr>
          <w:rFonts w:cs="Arial"/>
        </w:rPr>
        <w:t>modelling to develop the ATTC.</w:t>
      </w:r>
    </w:p>
    <w:p w:rsidR="0064379C" w:rsidRPr="00AA78DF" w:rsidRDefault="0064379C" w:rsidP="0064379C">
      <w:pPr>
        <w:spacing w:after="160" w:line="276" w:lineRule="auto"/>
        <w:rPr>
          <w:rFonts w:cs="Arial"/>
        </w:rPr>
      </w:pPr>
      <w:r w:rsidRPr="00381BE7">
        <w:rPr>
          <w:rFonts w:cs="Arial"/>
        </w:rPr>
        <w:t>A more detailed account of how outliers were trimmed in preparing the data is at Appendix B.</w:t>
      </w:r>
      <w:r>
        <w:rPr>
          <w:rFonts w:cs="Arial"/>
        </w:rPr>
        <w:t xml:space="preserve"> </w:t>
      </w:r>
      <w:bookmarkStart w:id="47" w:name="_Ref471487259"/>
    </w:p>
    <w:p w:rsidR="0064379C" w:rsidRDefault="0064379C" w:rsidP="0064379C">
      <w:pPr>
        <w:pStyle w:val="Heading2"/>
      </w:pPr>
      <w:bookmarkStart w:id="48" w:name="_Toc488332269"/>
      <w:bookmarkEnd w:id="47"/>
      <w:r>
        <w:t>Exploratory analysis</w:t>
      </w:r>
      <w:bookmarkEnd w:id="48"/>
    </w:p>
    <w:p w:rsidR="0064379C" w:rsidRDefault="0064379C" w:rsidP="0064379C">
      <w:pPr>
        <w:spacing w:after="160" w:line="276" w:lineRule="auto"/>
        <w:rPr>
          <w:rFonts w:cs="Arial"/>
        </w:rPr>
      </w:pPr>
      <w:r>
        <w:rPr>
          <w:rFonts w:cs="Arial"/>
        </w:rPr>
        <w:t>The exploratory analysis looked at a number of candidate data variables in the TTR Costing Study data set in order to determine which variables should be considered in data modelling for the development of the classification structure.</w:t>
      </w:r>
    </w:p>
    <w:p w:rsidR="0064379C" w:rsidRDefault="0064379C" w:rsidP="0064379C">
      <w:pPr>
        <w:spacing w:after="160" w:line="276" w:lineRule="auto"/>
        <w:rPr>
          <w:rFonts w:cs="Arial"/>
        </w:rPr>
      </w:pPr>
      <w:r>
        <w:rPr>
          <w:rFonts w:cs="Arial"/>
        </w:rPr>
        <w:t>Regression analysis was used to identify variables which were statistically significant (p &lt;.05) at predicting the average cost per FTE. The variables which were found to be statistically significant and considered for inclusion in the classification were:</w:t>
      </w:r>
    </w:p>
    <w:p w:rsidR="0064379C" w:rsidRPr="00BD61D0" w:rsidRDefault="0064379C" w:rsidP="0064379C">
      <w:pPr>
        <w:pStyle w:val="ListParagraph"/>
        <w:numPr>
          <w:ilvl w:val="0"/>
          <w:numId w:val="25"/>
        </w:numPr>
        <w:spacing w:before="0" w:after="80" w:line="276" w:lineRule="auto"/>
        <w:rPr>
          <w:rFonts w:cs="Arial"/>
        </w:rPr>
      </w:pPr>
      <w:r w:rsidRPr="008B2FBF">
        <w:rPr>
          <w:rFonts w:cs="Arial"/>
          <w:b/>
        </w:rPr>
        <w:t>Profession</w:t>
      </w:r>
      <w:r w:rsidRPr="00BD61D0">
        <w:rPr>
          <w:rFonts w:cs="Arial"/>
        </w:rPr>
        <w:t>:</w:t>
      </w:r>
      <w:r>
        <w:rPr>
          <w:rFonts w:cs="Arial"/>
        </w:rPr>
        <w:t xml:space="preserve"> Allied health, dentistry, </w:t>
      </w:r>
      <w:r>
        <w:t>medicine, m</w:t>
      </w:r>
      <w:r w:rsidRPr="00BD61D0">
        <w:t>idwifery</w:t>
      </w:r>
      <w:r>
        <w:t xml:space="preserve"> and nursing</w:t>
      </w:r>
      <w:r w:rsidRPr="00BD61D0">
        <w:t>.</w:t>
      </w:r>
    </w:p>
    <w:p w:rsidR="0064379C" w:rsidRPr="00BD61D0" w:rsidRDefault="0064379C" w:rsidP="0064379C">
      <w:pPr>
        <w:pStyle w:val="ListParagraph"/>
        <w:numPr>
          <w:ilvl w:val="0"/>
          <w:numId w:val="25"/>
        </w:numPr>
        <w:spacing w:before="0" w:after="80" w:line="276" w:lineRule="auto"/>
        <w:rPr>
          <w:rFonts w:cs="Arial"/>
        </w:rPr>
      </w:pPr>
      <w:r w:rsidRPr="000D7AA8">
        <w:rPr>
          <w:b/>
        </w:rPr>
        <w:t>Stage of training</w:t>
      </w:r>
      <w:r w:rsidRPr="00BD61D0">
        <w:t xml:space="preserve">: </w:t>
      </w:r>
      <w:r>
        <w:t xml:space="preserve">Pre-entry </w:t>
      </w:r>
      <w:r w:rsidRPr="00BD61D0">
        <w:t xml:space="preserve">student, </w:t>
      </w:r>
      <w:r>
        <w:t>new graduate</w:t>
      </w:r>
      <w:r w:rsidRPr="00BD61D0">
        <w:t xml:space="preserve"> and </w:t>
      </w:r>
      <w:r>
        <w:t>postgraduate/vocational student</w:t>
      </w:r>
      <w:r w:rsidRPr="00BD61D0">
        <w:t>.</w:t>
      </w:r>
      <w:r w:rsidRPr="00BD61D0">
        <w:rPr>
          <w:rFonts w:cs="Arial"/>
        </w:rPr>
        <w:t xml:space="preserve"> </w:t>
      </w:r>
    </w:p>
    <w:p w:rsidR="0064379C" w:rsidRPr="00BD61D0" w:rsidRDefault="0064379C" w:rsidP="0064379C">
      <w:pPr>
        <w:pStyle w:val="ListParagraph"/>
        <w:numPr>
          <w:ilvl w:val="0"/>
          <w:numId w:val="25"/>
        </w:numPr>
        <w:spacing w:before="0" w:after="80" w:line="276" w:lineRule="auto"/>
        <w:rPr>
          <w:rFonts w:cs="Arial"/>
        </w:rPr>
      </w:pPr>
      <w:r w:rsidRPr="008B2FBF">
        <w:rPr>
          <w:rFonts w:cs="Arial"/>
          <w:b/>
        </w:rPr>
        <w:t>Trainee type</w:t>
      </w:r>
      <w:r w:rsidRPr="00BD61D0">
        <w:rPr>
          <w:rFonts w:cs="Arial"/>
        </w:rPr>
        <w:t xml:space="preserve">: A more granular breakdown of the stage </w:t>
      </w:r>
      <w:r>
        <w:rPr>
          <w:rFonts w:cs="Arial"/>
        </w:rPr>
        <w:t>and t</w:t>
      </w:r>
      <w:r w:rsidRPr="00BD61D0">
        <w:rPr>
          <w:rFonts w:cs="Arial"/>
        </w:rPr>
        <w:t>he level of the trainee</w:t>
      </w:r>
      <w:r>
        <w:rPr>
          <w:rFonts w:cs="Arial"/>
        </w:rPr>
        <w:t xml:space="preserve"> which captured the type and year of degree (e.g. undergraduate year one, postgraduate year two) or the year of training (e.g. basic trainee registrar, advanced trainee registrar).</w:t>
      </w:r>
    </w:p>
    <w:p w:rsidR="0064379C" w:rsidRDefault="0064379C" w:rsidP="00313B57">
      <w:pPr>
        <w:pStyle w:val="ListParagraph"/>
        <w:keepNext/>
        <w:numPr>
          <w:ilvl w:val="0"/>
          <w:numId w:val="25"/>
        </w:numPr>
        <w:spacing w:before="0" w:after="80" w:line="276" w:lineRule="auto"/>
        <w:ind w:hanging="357"/>
        <w:rPr>
          <w:rFonts w:cs="Arial"/>
        </w:rPr>
      </w:pPr>
      <w:r w:rsidRPr="008B2FBF">
        <w:rPr>
          <w:rFonts w:cs="Arial"/>
          <w:b/>
        </w:rPr>
        <w:lastRenderedPageBreak/>
        <w:t>Specialty</w:t>
      </w:r>
      <w:r w:rsidRPr="00BD61D0">
        <w:rPr>
          <w:rFonts w:cs="Arial"/>
        </w:rPr>
        <w:t xml:space="preserve">: </w:t>
      </w:r>
    </w:p>
    <w:p w:rsidR="0064379C" w:rsidRPr="007A38A9" w:rsidRDefault="0064379C" w:rsidP="00313B57">
      <w:pPr>
        <w:pStyle w:val="ListParagraph"/>
        <w:keepNext/>
        <w:numPr>
          <w:ilvl w:val="1"/>
          <w:numId w:val="22"/>
        </w:numPr>
        <w:spacing w:before="0" w:after="80" w:line="276" w:lineRule="auto"/>
        <w:ind w:hanging="357"/>
      </w:pPr>
      <w:r>
        <w:t xml:space="preserve">For allied health, speciality refers to the specific allied health profession/discipline and applies across all of the stages of training. </w:t>
      </w:r>
    </w:p>
    <w:p w:rsidR="0064379C" w:rsidRPr="007A38A9" w:rsidRDefault="0064379C" w:rsidP="0064379C">
      <w:pPr>
        <w:pStyle w:val="ListParagraph"/>
        <w:numPr>
          <w:ilvl w:val="1"/>
          <w:numId w:val="22"/>
        </w:numPr>
        <w:spacing w:before="0" w:after="80" w:line="276" w:lineRule="auto"/>
      </w:pPr>
      <w:r w:rsidRPr="007A38A9">
        <w:t xml:space="preserve">For medicine, speciality generally </w:t>
      </w:r>
      <w:r>
        <w:t xml:space="preserve">only applies to the postgraduate/vocational stage of training, where trainees have been accepted into a training program that, when successfully completed, will result in eligibility to apply for fellowship to a specialist medical college. </w:t>
      </w:r>
    </w:p>
    <w:p w:rsidR="0064379C" w:rsidRPr="00313928" w:rsidRDefault="0064379C" w:rsidP="0064379C">
      <w:pPr>
        <w:pStyle w:val="ListParagraph"/>
        <w:numPr>
          <w:ilvl w:val="1"/>
          <w:numId w:val="22"/>
        </w:numPr>
        <w:spacing w:before="0" w:after="80" w:line="276" w:lineRule="auto"/>
      </w:pPr>
      <w:r>
        <w:t xml:space="preserve">For nursing, specialty generally only applies to the postgraduate/vocational stage of training, where trainees undertake training in order to obtain a qualification for an advanced scope of practice. </w:t>
      </w:r>
    </w:p>
    <w:p w:rsidR="0064379C" w:rsidRDefault="0064379C" w:rsidP="0064379C">
      <w:pPr>
        <w:pStyle w:val="Heading2"/>
      </w:pPr>
      <w:bookmarkStart w:id="49" w:name="_Toc488332270"/>
      <w:r>
        <w:t>Data modelling for classification development</w:t>
      </w:r>
      <w:bookmarkEnd w:id="49"/>
    </w:p>
    <w:p w:rsidR="0064379C" w:rsidRDefault="0064379C" w:rsidP="0064379C">
      <w:pPr>
        <w:spacing w:after="160" w:line="276" w:lineRule="auto"/>
        <w:rPr>
          <w:rFonts w:cs="Arial"/>
        </w:rPr>
      </w:pPr>
      <w:r w:rsidRPr="0081750E">
        <w:rPr>
          <w:rFonts w:cs="Arial"/>
        </w:rPr>
        <w:t xml:space="preserve">The development of the ATTC used regression trees to determine </w:t>
      </w:r>
      <w:r>
        <w:rPr>
          <w:rFonts w:cs="Arial"/>
        </w:rPr>
        <w:t xml:space="preserve">the </w:t>
      </w:r>
      <w:r w:rsidRPr="0081750E">
        <w:rPr>
          <w:rFonts w:cs="Arial"/>
        </w:rPr>
        <w:t>end classes</w:t>
      </w:r>
      <w:r>
        <w:rPr>
          <w:rFonts w:cs="Arial"/>
        </w:rPr>
        <w:t xml:space="preserve"> of the classification</w:t>
      </w:r>
      <w:r w:rsidRPr="0081750E">
        <w:rPr>
          <w:rFonts w:cs="Arial"/>
        </w:rPr>
        <w:t xml:space="preserve">. </w:t>
      </w:r>
      <w:r w:rsidRPr="00B343A0">
        <w:rPr>
          <w:rFonts w:cs="Arial"/>
        </w:rPr>
        <w:t xml:space="preserve">Regression trees were applied to generate a series of end </w:t>
      </w:r>
      <w:r>
        <w:rPr>
          <w:rFonts w:cs="Arial"/>
        </w:rPr>
        <w:t>classes</w:t>
      </w:r>
      <w:r w:rsidRPr="00B343A0">
        <w:rPr>
          <w:rFonts w:cs="Arial"/>
        </w:rPr>
        <w:t xml:space="preserve"> using the chosen splitting variables</w:t>
      </w:r>
      <w:r>
        <w:rPr>
          <w:rFonts w:cs="Arial"/>
        </w:rPr>
        <w:t xml:space="preserve"> identified in the exploratory analysis</w:t>
      </w:r>
      <w:r w:rsidRPr="00B343A0">
        <w:rPr>
          <w:rFonts w:cs="Arial"/>
        </w:rPr>
        <w:t>.</w:t>
      </w:r>
      <w:r>
        <w:rPr>
          <w:rFonts w:cs="Arial"/>
        </w:rPr>
        <w:t xml:space="preserve"> </w:t>
      </w:r>
      <w:r w:rsidRPr="00381BE7">
        <w:rPr>
          <w:rFonts w:cs="Arial"/>
        </w:rPr>
        <w:t>Further details regarding the use of regression trees in the data modelling can be found at Appendix B.</w:t>
      </w:r>
    </w:p>
    <w:p w:rsidR="0064379C" w:rsidRPr="0062739B" w:rsidRDefault="0064379C" w:rsidP="0064379C">
      <w:pPr>
        <w:spacing w:after="160" w:line="276" w:lineRule="auto"/>
        <w:rPr>
          <w:rFonts w:cs="Arial"/>
        </w:rPr>
      </w:pPr>
      <w:r>
        <w:rPr>
          <w:rFonts w:cs="Arial"/>
        </w:rPr>
        <w:t>Following early results from the use of unstructured regression trees, for example, an end class which grouped first year undergraduate physiotherapy students with advanced registrar surgeons, as the TTR Costing Study data indicated they had a similar cost profile, a</w:t>
      </w:r>
      <w:r w:rsidRPr="0062739B">
        <w:rPr>
          <w:rFonts w:cs="Arial"/>
        </w:rPr>
        <w:t xml:space="preserve"> principles based approach was taken to determine a higher level classification structure in the first instance, that could apply across all professions and stages of training only. </w:t>
      </w:r>
    </w:p>
    <w:p w:rsidR="0064379C" w:rsidRDefault="0064379C" w:rsidP="0064379C">
      <w:pPr>
        <w:spacing w:after="160" w:line="276" w:lineRule="auto"/>
        <w:rPr>
          <w:rFonts w:cs="Arial"/>
        </w:rPr>
      </w:pPr>
      <w:r>
        <w:rPr>
          <w:rFonts w:cs="Arial"/>
        </w:rPr>
        <w:t xml:space="preserve">The results and potential end classes generated by the principles based approach and the regression tree modelling </w:t>
      </w:r>
      <w:proofErr w:type="gramStart"/>
      <w:r>
        <w:rPr>
          <w:rFonts w:cs="Arial"/>
        </w:rPr>
        <w:t>were</w:t>
      </w:r>
      <w:proofErr w:type="gramEnd"/>
      <w:r>
        <w:rPr>
          <w:rFonts w:cs="Arial"/>
        </w:rPr>
        <w:t xml:space="preserve"> overlayed with clinical consultation in order to ensure the end classes had clinical relevance. In addition to the clinicians and stakeholders on IHPA’s TTRWG, </w:t>
      </w:r>
      <w:r w:rsidRPr="008029B5">
        <w:rPr>
          <w:rFonts w:cs="Arial"/>
        </w:rPr>
        <w:t xml:space="preserve">IHPA </w:t>
      </w:r>
      <w:r>
        <w:rPr>
          <w:rFonts w:cs="Arial"/>
        </w:rPr>
        <w:t>approached a number of clinicians and professional associations outside of the TTRWG meeting, and undertook targeted consultation on the proposed ATTC. These included:</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IHPA’s Clinical Advisory Committee, which includes representatives from medical, nursing and allied health professions</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The Chief Allied and Scientific Health Adviser, South Australia</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Allied Health Professions Australia</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The Dean of the Faculty of Dentistry, University of Sydney</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Australian Dental Association</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Dental Board of Australia</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Council of Deans of Nursing &amp; Midwifery (Australia &amp; New Zealand)</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Australian College of Midwives</w:t>
      </w:r>
    </w:p>
    <w:p w:rsidR="0064379C" w:rsidRPr="00313B57" w:rsidRDefault="0064379C"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313B57">
        <w:rPr>
          <w:rFonts w:asciiTheme="minorHAnsi" w:hAnsiTheme="minorHAnsi" w:cstheme="minorHAnsi"/>
          <w:color w:val="000000"/>
          <w:sz w:val="22"/>
          <w:szCs w:val="22"/>
        </w:rPr>
        <w:t>Australian College of Nursing</w:t>
      </w:r>
    </w:p>
    <w:p w:rsidR="0064379C" w:rsidRPr="004B7DF3" w:rsidRDefault="0064379C" w:rsidP="0064379C">
      <w:pPr>
        <w:spacing w:after="160" w:line="276" w:lineRule="auto"/>
        <w:rPr>
          <w:rFonts w:cs="Arial"/>
        </w:rPr>
      </w:pPr>
      <w:r>
        <w:rPr>
          <w:rFonts w:cs="Arial"/>
        </w:rPr>
        <w:t xml:space="preserve">In </w:t>
      </w:r>
      <w:r w:rsidRPr="001F57B4">
        <w:rPr>
          <w:rFonts w:cs="Arial"/>
        </w:rPr>
        <w:t xml:space="preserve">order to better understand </w:t>
      </w:r>
      <w:r w:rsidRPr="00600289">
        <w:rPr>
          <w:rFonts w:cs="Arial"/>
        </w:rPr>
        <w:t>the influence of costs by hospital sites</w:t>
      </w:r>
      <w:r>
        <w:rPr>
          <w:rFonts w:cs="Arial"/>
        </w:rPr>
        <w:t xml:space="preserve"> on the proposed ATTC end classes, further</w:t>
      </w:r>
      <w:r w:rsidRPr="008510FE">
        <w:rPr>
          <w:rFonts w:cs="Arial"/>
        </w:rPr>
        <w:t xml:space="preserve"> analysis</w:t>
      </w:r>
      <w:r>
        <w:rPr>
          <w:rFonts w:cs="Arial"/>
        </w:rPr>
        <w:t xml:space="preserve"> was undertaken on</w:t>
      </w:r>
      <w:r w:rsidRPr="008510FE">
        <w:rPr>
          <w:rFonts w:cs="Arial"/>
        </w:rPr>
        <w:t xml:space="preserve"> the TTR Costing Study data at a hospital level to understand whether any variables or end classes were being driven by high </w:t>
      </w:r>
      <w:r>
        <w:rPr>
          <w:rFonts w:cs="Arial"/>
        </w:rPr>
        <w:t xml:space="preserve">costs or high volume of trainees in particular hospitals. </w:t>
      </w:r>
    </w:p>
    <w:p w:rsidR="0064379C" w:rsidRPr="00862633" w:rsidRDefault="0064379C" w:rsidP="00313B57">
      <w:pPr>
        <w:keepLines/>
        <w:spacing w:after="160" w:line="276" w:lineRule="auto"/>
        <w:rPr>
          <w:rFonts w:cs="Arial"/>
        </w:rPr>
      </w:pPr>
      <w:r>
        <w:rPr>
          <w:rFonts w:cs="Arial"/>
        </w:rPr>
        <w:lastRenderedPageBreak/>
        <w:t>This</w:t>
      </w:r>
      <w:r w:rsidRPr="00B9579E">
        <w:rPr>
          <w:rFonts w:cs="Arial"/>
        </w:rPr>
        <w:t xml:space="preserve"> </w:t>
      </w:r>
      <w:r>
        <w:rPr>
          <w:rFonts w:cs="Arial"/>
        </w:rPr>
        <w:t>analysis confirmed that t</w:t>
      </w:r>
      <w:r w:rsidRPr="000E69AC">
        <w:rPr>
          <w:rFonts w:cs="Arial"/>
        </w:rPr>
        <w:t>here were significant differences in the average direct and indirect cost per FTE across the hospital sites, with costs per trainee per FTE per month ranging from $33 up to over $1,600.</w:t>
      </w:r>
      <w:r>
        <w:rPr>
          <w:rFonts w:cs="Arial"/>
        </w:rPr>
        <w:t xml:space="preserve"> </w:t>
      </w:r>
      <w:r w:rsidRPr="000E69AC">
        <w:rPr>
          <w:rFonts w:cs="Arial"/>
        </w:rPr>
        <w:t xml:space="preserve">There was also a significant difference in the size of the hospitals with five smaller non-metro hospitals having fewer than 300 </w:t>
      </w:r>
      <w:proofErr w:type="gramStart"/>
      <w:r w:rsidRPr="000E69AC">
        <w:rPr>
          <w:rFonts w:cs="Arial"/>
        </w:rPr>
        <w:t>trainee</w:t>
      </w:r>
      <w:proofErr w:type="gramEnd"/>
      <w:r w:rsidRPr="000E69AC">
        <w:rPr>
          <w:rFonts w:cs="Arial"/>
        </w:rPr>
        <w:t xml:space="preserve"> FTE, while three larger hospitals had more than 7,000 trainee FTE.</w:t>
      </w:r>
    </w:p>
    <w:p w:rsidR="0064379C" w:rsidRDefault="0064379C" w:rsidP="0064379C">
      <w:pPr>
        <w:spacing w:after="160" w:line="276" w:lineRule="auto"/>
        <w:rPr>
          <w:rFonts w:cs="Arial"/>
        </w:rPr>
      </w:pPr>
      <w:r>
        <w:rPr>
          <w:rFonts w:cs="Arial"/>
        </w:rPr>
        <w:t xml:space="preserve">The additional </w:t>
      </w:r>
      <w:r w:rsidRPr="0032055A">
        <w:rPr>
          <w:rFonts w:cs="Arial"/>
        </w:rPr>
        <w:t xml:space="preserve">analysis </w:t>
      </w:r>
      <w:r>
        <w:rPr>
          <w:rFonts w:cs="Arial"/>
        </w:rPr>
        <w:t xml:space="preserve">also </w:t>
      </w:r>
      <w:r w:rsidRPr="0032055A">
        <w:rPr>
          <w:rFonts w:cs="Arial"/>
        </w:rPr>
        <w:t xml:space="preserve">demonstrated that a small number of high cost hospitals heavily influenced the inclusion of particular medical specialities or allied health disciplines into the higher or lower cost speciality groups. </w:t>
      </w:r>
      <w:r>
        <w:rPr>
          <w:rFonts w:cs="Arial"/>
        </w:rPr>
        <w:t>That is, once the data was re-centred to remove the variation caused by hospital influence,</w:t>
      </w:r>
      <w:r w:rsidRPr="0032055A">
        <w:rPr>
          <w:rFonts w:cs="Arial"/>
        </w:rPr>
        <w:t xml:space="preserve"> </w:t>
      </w:r>
      <w:r>
        <w:rPr>
          <w:rFonts w:cs="Arial"/>
        </w:rPr>
        <w:t xml:space="preserve">a number of medical specialties and </w:t>
      </w:r>
      <w:r w:rsidRPr="0032055A">
        <w:rPr>
          <w:rFonts w:cs="Arial"/>
        </w:rPr>
        <w:t>allied health dis</w:t>
      </w:r>
      <w:r>
        <w:rPr>
          <w:rFonts w:cs="Arial"/>
        </w:rPr>
        <w:t xml:space="preserve">ciplines moved end classes from higher cost specialty groups to lower cost speciality groups or vice versa. </w:t>
      </w:r>
    </w:p>
    <w:p w:rsidR="0064379C" w:rsidRPr="00E75616" w:rsidRDefault="0064379C" w:rsidP="0064379C">
      <w:pPr>
        <w:spacing w:after="160" w:line="276" w:lineRule="auto"/>
        <w:rPr>
          <w:rFonts w:cs="Arial"/>
        </w:rPr>
      </w:pPr>
      <w:r>
        <w:rPr>
          <w:rFonts w:cs="Arial"/>
        </w:rPr>
        <w:t>Following</w:t>
      </w:r>
      <w:r w:rsidRPr="009C0978">
        <w:rPr>
          <w:rFonts w:cs="Arial"/>
        </w:rPr>
        <w:t xml:space="preserve"> consultations with clinicians and peak bodies</w:t>
      </w:r>
      <w:r>
        <w:rPr>
          <w:rFonts w:cs="Arial"/>
        </w:rPr>
        <w:t xml:space="preserve">, </w:t>
      </w:r>
      <w:r w:rsidRPr="009C0978">
        <w:rPr>
          <w:rFonts w:cs="Arial"/>
        </w:rPr>
        <w:t xml:space="preserve">trainee type (type of </w:t>
      </w:r>
      <w:r>
        <w:rPr>
          <w:rFonts w:cs="Arial"/>
        </w:rPr>
        <w:t>qualification</w:t>
      </w:r>
      <w:r w:rsidRPr="009C0978">
        <w:rPr>
          <w:rFonts w:cs="Arial"/>
        </w:rPr>
        <w:t xml:space="preserve"> and year of training) and specialty (medical or nursing specialty or allied health discipline) </w:t>
      </w:r>
      <w:r>
        <w:rPr>
          <w:rFonts w:cs="Arial"/>
        </w:rPr>
        <w:t xml:space="preserve">have not been included as </w:t>
      </w:r>
      <w:r w:rsidRPr="009C0978">
        <w:rPr>
          <w:rFonts w:cs="Arial"/>
        </w:rPr>
        <w:t xml:space="preserve">variables </w:t>
      </w:r>
      <w:r>
        <w:rPr>
          <w:rFonts w:cs="Arial"/>
        </w:rPr>
        <w:t xml:space="preserve">in </w:t>
      </w:r>
      <w:r w:rsidRPr="009C0978">
        <w:rPr>
          <w:rFonts w:cs="Arial"/>
        </w:rPr>
        <w:t>the ATTC</w:t>
      </w:r>
      <w:r>
        <w:rPr>
          <w:rFonts w:cs="Arial"/>
        </w:rPr>
        <w:t xml:space="preserve"> Versio</w:t>
      </w:r>
      <w:r w:rsidRPr="00E75616">
        <w:rPr>
          <w:rFonts w:cs="Arial"/>
        </w:rPr>
        <w:t>n 1.0. Feedback from clinicians during IHPA’s initial consultations confirmed that some of these groupings using these two variables did not have face validity or there was not strong evidence to warrant their inclusion at this stage. For example, feedback from clinicians suggested that there was not strong evidence as to why postgraduate and undergraduate pre-entry students would have significantly different costs for a hospital. However most confirmed it was important to capture this information in the ongoing data collection as there may be certain professions or allied health disciplines where this could be material.</w:t>
      </w:r>
    </w:p>
    <w:p w:rsidR="0064379C" w:rsidRPr="009C0978" w:rsidRDefault="0064379C" w:rsidP="0064379C">
      <w:pPr>
        <w:spacing w:after="160" w:line="276" w:lineRule="auto"/>
        <w:rPr>
          <w:rFonts w:cs="Arial"/>
        </w:rPr>
      </w:pPr>
      <w:r w:rsidRPr="00E75616">
        <w:rPr>
          <w:rFonts w:cs="Arial"/>
        </w:rPr>
        <w:t>Furthermore, while the advice was that there is likely to be a cost difference between pre-entry students in early years and later years, there was not strong evidence to suggest an appropriate year to delineate between early years and later years at this stage. All s</w:t>
      </w:r>
      <w:r w:rsidRPr="009C0978">
        <w:rPr>
          <w:rFonts w:cs="Arial"/>
        </w:rPr>
        <w:t xml:space="preserve">takeholders consulted suggested year of training should be part of the ongoing data collection for </w:t>
      </w:r>
      <w:r w:rsidRPr="0062739B">
        <w:rPr>
          <w:rFonts w:cs="Arial"/>
        </w:rPr>
        <w:t>teaching and training</w:t>
      </w:r>
      <w:r w:rsidRPr="009C0978">
        <w:rPr>
          <w:rFonts w:cs="Arial"/>
        </w:rPr>
        <w:t>.</w:t>
      </w:r>
    </w:p>
    <w:p w:rsidR="0062739B" w:rsidRDefault="0064379C" w:rsidP="0062739B">
      <w:pPr>
        <w:spacing w:after="160" w:line="276" w:lineRule="auto"/>
        <w:rPr>
          <w:rFonts w:cs="Arial"/>
        </w:rPr>
      </w:pPr>
      <w:r>
        <w:rPr>
          <w:rFonts w:cs="Arial"/>
        </w:rPr>
        <w:t>Based on clinical advice and analysis which has demonstrated the strong influence of certain hospitals, which either had high costs or a high volume of particular trainees, the classification structure in the first version of the ATTC is high level.</w:t>
      </w:r>
    </w:p>
    <w:p w:rsidR="0064379C" w:rsidRDefault="0064379C" w:rsidP="0062739B">
      <w:pPr>
        <w:spacing w:after="160" w:line="276" w:lineRule="auto"/>
      </w:pPr>
      <w:r>
        <w:br w:type="page"/>
      </w:r>
    </w:p>
    <w:p w:rsidR="00F81025" w:rsidRPr="00AB45E7" w:rsidRDefault="00F81025" w:rsidP="0062739B">
      <w:pPr>
        <w:pStyle w:val="Heading1"/>
        <w:numPr>
          <w:ilvl w:val="0"/>
          <w:numId w:val="17"/>
        </w:numPr>
        <w:ind w:left="720"/>
      </w:pPr>
      <w:bookmarkStart w:id="50" w:name="_Toc488332271"/>
      <w:r>
        <w:lastRenderedPageBreak/>
        <w:t>ATTC Version 1.0</w:t>
      </w:r>
      <w:bookmarkEnd w:id="50"/>
    </w:p>
    <w:p w:rsidR="00F81025" w:rsidRPr="00417559" w:rsidRDefault="00F81025" w:rsidP="00F81025">
      <w:pPr>
        <w:spacing w:after="160" w:line="276" w:lineRule="auto"/>
        <w:rPr>
          <w:rFonts w:cs="Arial"/>
        </w:rPr>
      </w:pPr>
      <w:bookmarkStart w:id="51" w:name="_Toc433653977"/>
      <w:r>
        <w:rPr>
          <w:rFonts w:cs="Arial"/>
        </w:rPr>
        <w:t xml:space="preserve">This section describes the classification hierarchy and end classes in the ATTC Version 1.0. </w:t>
      </w:r>
      <w:r w:rsidRPr="00417559">
        <w:rPr>
          <w:rFonts w:cs="Arial"/>
        </w:rPr>
        <w:t xml:space="preserve">While </w:t>
      </w:r>
      <w:r>
        <w:rPr>
          <w:rFonts w:cs="Arial"/>
        </w:rPr>
        <w:t>initial</w:t>
      </w:r>
      <w:r w:rsidRPr="00417559">
        <w:rPr>
          <w:rFonts w:cs="Arial"/>
        </w:rPr>
        <w:t xml:space="preserve"> modelling of the </w:t>
      </w:r>
      <w:r w:rsidRPr="008510FE">
        <w:rPr>
          <w:rFonts w:cs="Arial"/>
        </w:rPr>
        <w:t xml:space="preserve">TTR Costing Study </w:t>
      </w:r>
      <w:r w:rsidRPr="00417559">
        <w:rPr>
          <w:rFonts w:cs="Arial"/>
        </w:rPr>
        <w:t>data set support</w:t>
      </w:r>
      <w:r>
        <w:rPr>
          <w:rFonts w:cs="Arial"/>
        </w:rPr>
        <w:t>ed</w:t>
      </w:r>
      <w:r w:rsidRPr="00417559">
        <w:rPr>
          <w:rFonts w:cs="Arial"/>
        </w:rPr>
        <w:t xml:space="preserve"> the creation of a large</w:t>
      </w:r>
      <w:r>
        <w:rPr>
          <w:rFonts w:cs="Arial"/>
        </w:rPr>
        <w:t>r</w:t>
      </w:r>
      <w:r w:rsidRPr="00417559">
        <w:rPr>
          <w:rFonts w:cs="Arial"/>
        </w:rPr>
        <w:t xml:space="preserve"> number of end classes, a more conservative approach </w:t>
      </w:r>
      <w:r>
        <w:rPr>
          <w:rFonts w:cs="Arial"/>
        </w:rPr>
        <w:t>has been</w:t>
      </w:r>
      <w:r w:rsidRPr="00417559">
        <w:rPr>
          <w:rFonts w:cs="Arial"/>
        </w:rPr>
        <w:t xml:space="preserve"> considered which </w:t>
      </w:r>
      <w:r>
        <w:rPr>
          <w:rFonts w:cs="Arial"/>
        </w:rPr>
        <w:t xml:space="preserve">will result in a higher level </w:t>
      </w:r>
      <w:r w:rsidRPr="00417559">
        <w:rPr>
          <w:rFonts w:cs="Arial"/>
        </w:rPr>
        <w:t xml:space="preserve">classification </w:t>
      </w:r>
      <w:r>
        <w:rPr>
          <w:rFonts w:cs="Arial"/>
        </w:rPr>
        <w:t>structure</w:t>
      </w:r>
      <w:r w:rsidRPr="00417559">
        <w:rPr>
          <w:rFonts w:cs="Arial"/>
        </w:rPr>
        <w:t xml:space="preserve"> </w:t>
      </w:r>
      <w:r>
        <w:rPr>
          <w:rFonts w:cs="Arial"/>
        </w:rPr>
        <w:t xml:space="preserve">for the first version. Additional </w:t>
      </w:r>
      <w:r w:rsidRPr="00417559">
        <w:rPr>
          <w:rFonts w:cs="Arial"/>
        </w:rPr>
        <w:t xml:space="preserve">end classes and granularity </w:t>
      </w:r>
      <w:r>
        <w:rPr>
          <w:rFonts w:cs="Arial"/>
        </w:rPr>
        <w:t xml:space="preserve">will be considered in the future </w:t>
      </w:r>
      <w:r w:rsidRPr="00417559">
        <w:rPr>
          <w:rFonts w:cs="Arial"/>
        </w:rPr>
        <w:t>when supported by data in the ongoing ABF activity and cost data collection.</w:t>
      </w:r>
    </w:p>
    <w:p w:rsidR="00F81025" w:rsidRPr="000B1758" w:rsidRDefault="00F81025" w:rsidP="00D818F2">
      <w:pPr>
        <w:pStyle w:val="Heading2"/>
      </w:pPr>
      <w:bookmarkStart w:id="52" w:name="_Toc488332272"/>
      <w:r>
        <w:t>ATTC V</w:t>
      </w:r>
      <w:r w:rsidRPr="000B1758">
        <w:t>ersion 1.0</w:t>
      </w:r>
      <w:bookmarkEnd w:id="51"/>
      <w:bookmarkEnd w:id="52"/>
    </w:p>
    <w:p w:rsidR="00F81025" w:rsidRDefault="00F81025" w:rsidP="00F81025">
      <w:pPr>
        <w:spacing w:after="160" w:line="276" w:lineRule="auto"/>
        <w:rPr>
          <w:rFonts w:cs="Arial"/>
        </w:rPr>
      </w:pPr>
      <w:bookmarkStart w:id="53" w:name="_Ref405369898"/>
      <w:r>
        <w:rPr>
          <w:rFonts w:cs="Arial"/>
        </w:rPr>
        <w:t>The ATTC Version 1.0 is based</w:t>
      </w:r>
      <w:r w:rsidRPr="009C0978">
        <w:rPr>
          <w:rFonts w:cs="Arial"/>
        </w:rPr>
        <w:t xml:space="preserve"> on </w:t>
      </w:r>
      <w:r>
        <w:rPr>
          <w:rFonts w:cs="Arial"/>
        </w:rPr>
        <w:t>analysis of the</w:t>
      </w:r>
      <w:r w:rsidRPr="009C0978">
        <w:rPr>
          <w:rFonts w:cs="Arial"/>
        </w:rPr>
        <w:t xml:space="preserve"> </w:t>
      </w:r>
      <w:r>
        <w:rPr>
          <w:rFonts w:cs="Arial"/>
        </w:rPr>
        <w:t xml:space="preserve">TTR Costing Study data set, </w:t>
      </w:r>
      <w:r w:rsidRPr="009C0978">
        <w:rPr>
          <w:rFonts w:cs="Arial"/>
        </w:rPr>
        <w:t>the additional analysis undertaken to investigate t</w:t>
      </w:r>
      <w:r>
        <w:rPr>
          <w:rFonts w:cs="Arial"/>
        </w:rPr>
        <w:t xml:space="preserve">he impact of hospital variation in the data set, and the </w:t>
      </w:r>
      <w:r w:rsidRPr="009C0978">
        <w:rPr>
          <w:rFonts w:cs="Arial"/>
        </w:rPr>
        <w:t xml:space="preserve">findings from the consultations conducted with TTRWG members </w:t>
      </w:r>
      <w:r>
        <w:rPr>
          <w:rFonts w:cs="Arial"/>
        </w:rPr>
        <w:t>and other clinical stakeholders to date.</w:t>
      </w:r>
    </w:p>
    <w:p w:rsidR="00F81025" w:rsidRDefault="00F81025" w:rsidP="00F81025">
      <w:pPr>
        <w:spacing w:after="160" w:line="276" w:lineRule="auto"/>
        <w:rPr>
          <w:rFonts w:cs="Arial"/>
        </w:rPr>
      </w:pPr>
      <w:r>
        <w:rPr>
          <w:rFonts w:cs="Arial"/>
        </w:rPr>
        <w:t>The draft ATTC consists of two-levels only:</w:t>
      </w:r>
    </w:p>
    <w:p w:rsidR="00F81025" w:rsidRPr="009912A8" w:rsidRDefault="00F81025" w:rsidP="00F81025">
      <w:pPr>
        <w:pStyle w:val="Heading5"/>
        <w:spacing w:line="276" w:lineRule="auto"/>
        <w:ind w:left="720"/>
        <w:rPr>
          <w:i/>
        </w:rPr>
      </w:pPr>
      <w:r w:rsidRPr="009912A8">
        <w:rPr>
          <w:i/>
        </w:rPr>
        <w:t xml:space="preserve">Level 1 – </w:t>
      </w:r>
      <w:r>
        <w:rPr>
          <w:i/>
        </w:rPr>
        <w:t>P</w:t>
      </w:r>
      <w:r w:rsidRPr="009912A8">
        <w:rPr>
          <w:i/>
        </w:rPr>
        <w:t>rofession</w:t>
      </w:r>
    </w:p>
    <w:p w:rsidR="00F81025" w:rsidRPr="00FD1982" w:rsidRDefault="00F81025" w:rsidP="00F81025">
      <w:pPr>
        <w:pStyle w:val="ListParagraph"/>
        <w:spacing w:after="80" w:line="276" w:lineRule="auto"/>
        <w:ind w:left="714"/>
        <w:rPr>
          <w:rFonts w:cs="Arial"/>
        </w:rPr>
      </w:pPr>
      <w:r w:rsidRPr="00FD1982">
        <w:rPr>
          <w:rFonts w:cs="Arial"/>
        </w:rPr>
        <w:t xml:space="preserve">The first level </w:t>
      </w:r>
      <w:r>
        <w:rPr>
          <w:rFonts w:cs="Arial"/>
        </w:rPr>
        <w:t xml:space="preserve">classifies a trainee into one of </w:t>
      </w:r>
      <w:r w:rsidRPr="00FD1982">
        <w:rPr>
          <w:rFonts w:cs="Arial"/>
        </w:rPr>
        <w:t>five professions: allied health, dentistry, med</w:t>
      </w:r>
      <w:r>
        <w:rPr>
          <w:rFonts w:cs="Arial"/>
        </w:rPr>
        <w:t>icine, midwifery, and nursing.</w:t>
      </w:r>
    </w:p>
    <w:p w:rsidR="00F81025" w:rsidRPr="00C90854" w:rsidRDefault="00F81025" w:rsidP="00F81025">
      <w:pPr>
        <w:pStyle w:val="Heading5"/>
        <w:spacing w:line="276" w:lineRule="auto"/>
        <w:ind w:left="720"/>
      </w:pPr>
      <w:r w:rsidRPr="00C90854">
        <w:rPr>
          <w:i/>
        </w:rPr>
        <w:t xml:space="preserve">Level 2 – Training </w:t>
      </w:r>
      <w:r>
        <w:rPr>
          <w:i/>
        </w:rPr>
        <w:t>s</w:t>
      </w:r>
      <w:r w:rsidRPr="00C90854">
        <w:rPr>
          <w:i/>
        </w:rPr>
        <w:t>tage</w:t>
      </w:r>
    </w:p>
    <w:p w:rsidR="00F81025" w:rsidRDefault="00F81025" w:rsidP="00F81025">
      <w:pPr>
        <w:pStyle w:val="ListParagraph"/>
        <w:spacing w:after="80" w:line="276" w:lineRule="auto"/>
        <w:ind w:left="714"/>
        <w:rPr>
          <w:rFonts w:cs="Arial"/>
        </w:rPr>
      </w:pPr>
      <w:r w:rsidRPr="00FD1982">
        <w:rPr>
          <w:rFonts w:cs="Arial"/>
        </w:rPr>
        <w:t xml:space="preserve">The second level classifies each </w:t>
      </w:r>
      <w:r>
        <w:rPr>
          <w:rFonts w:cs="Arial"/>
        </w:rPr>
        <w:t>trainee</w:t>
      </w:r>
      <w:r w:rsidRPr="00FD1982">
        <w:rPr>
          <w:rFonts w:cs="Arial"/>
        </w:rPr>
        <w:t xml:space="preserve"> into a training stage: </w:t>
      </w:r>
      <w:r w:rsidRPr="00DE0AC8">
        <w:rPr>
          <w:rFonts w:cs="Arial"/>
        </w:rPr>
        <w:t>pr</w:t>
      </w:r>
      <w:r>
        <w:rPr>
          <w:rFonts w:cs="Arial"/>
        </w:rPr>
        <w:t xml:space="preserve">e-entry </w:t>
      </w:r>
      <w:r w:rsidRPr="00DE0AC8">
        <w:rPr>
          <w:rFonts w:cs="Arial"/>
        </w:rPr>
        <w:t xml:space="preserve">student, new </w:t>
      </w:r>
      <w:r>
        <w:rPr>
          <w:rFonts w:cs="Arial"/>
        </w:rPr>
        <w:t xml:space="preserve">graduate, </w:t>
      </w:r>
      <w:r w:rsidRPr="00DE0AC8">
        <w:rPr>
          <w:rFonts w:cs="Arial"/>
        </w:rPr>
        <w:t>po</w:t>
      </w:r>
      <w:r>
        <w:rPr>
          <w:rFonts w:cs="Arial"/>
        </w:rPr>
        <w:t>stgraduate/ vocational student.</w:t>
      </w:r>
    </w:p>
    <w:p w:rsidR="00F81025" w:rsidRPr="008B2FBF" w:rsidRDefault="00B93FF5" w:rsidP="0062739B">
      <w:pPr>
        <w:spacing w:after="160" w:line="276" w:lineRule="auto"/>
        <w:rPr>
          <w:rFonts w:cs="Arial"/>
        </w:rPr>
      </w:pPr>
      <w:r>
        <w:rPr>
          <w:rFonts w:cs="Arial"/>
        </w:rPr>
        <w:fldChar w:fldCharType="begin"/>
      </w:r>
      <w:r>
        <w:rPr>
          <w:rFonts w:cs="Arial"/>
        </w:rPr>
        <w:instrText xml:space="preserve"> REF _Ref486841454 \h </w:instrText>
      </w:r>
      <w:r>
        <w:rPr>
          <w:rFonts w:cs="Arial"/>
        </w:rPr>
      </w:r>
      <w:r>
        <w:rPr>
          <w:rFonts w:cs="Arial"/>
        </w:rPr>
        <w:fldChar w:fldCharType="separate"/>
      </w:r>
      <w:r w:rsidR="0089599A" w:rsidRPr="002E4019">
        <w:t xml:space="preserve">Figure </w:t>
      </w:r>
      <w:r w:rsidR="0089599A">
        <w:rPr>
          <w:noProof/>
        </w:rPr>
        <w:t>1</w:t>
      </w:r>
      <w:r>
        <w:rPr>
          <w:rFonts w:cs="Arial"/>
        </w:rPr>
        <w:fldChar w:fldCharType="end"/>
      </w:r>
      <w:r>
        <w:rPr>
          <w:rFonts w:cs="Arial"/>
        </w:rPr>
        <w:t xml:space="preserve"> </w:t>
      </w:r>
      <w:r w:rsidR="00F81025">
        <w:rPr>
          <w:rFonts w:cs="Arial"/>
        </w:rPr>
        <w:t xml:space="preserve">describes the ATTC schematic hierarchy. </w:t>
      </w:r>
      <w:r w:rsidR="00F81025">
        <w:t xml:space="preserve">The end classes in the ATTC Version 1.0 are listed in </w:t>
      </w:r>
      <w:r w:rsidR="002E4019">
        <w:fldChar w:fldCharType="begin"/>
      </w:r>
      <w:r w:rsidR="002E4019">
        <w:instrText xml:space="preserve"> REF _Ref486841963 \h </w:instrText>
      </w:r>
      <w:r w:rsidR="002E4019">
        <w:fldChar w:fldCharType="separate"/>
      </w:r>
      <w:r w:rsidR="0089599A">
        <w:t xml:space="preserve">Table </w:t>
      </w:r>
      <w:r w:rsidR="0089599A">
        <w:rPr>
          <w:noProof/>
        </w:rPr>
        <w:t>1</w:t>
      </w:r>
      <w:r w:rsidR="002E4019">
        <w:fldChar w:fldCharType="end"/>
      </w:r>
      <w:r w:rsidR="00F81025" w:rsidRPr="0051198E">
        <w:t>.</w:t>
      </w:r>
    </w:p>
    <w:p w:rsidR="00F81025" w:rsidRPr="00232CEF" w:rsidRDefault="00F81025" w:rsidP="00F81025">
      <w:pPr>
        <w:spacing w:after="0" w:line="240" w:lineRule="auto"/>
        <w:rPr>
          <w:rFonts w:cs="Arial"/>
        </w:rPr>
      </w:pPr>
      <w:r w:rsidRPr="00232CEF">
        <w:rPr>
          <w:rFonts w:cs="Arial"/>
        </w:rPr>
        <w:br w:type="page"/>
      </w:r>
    </w:p>
    <w:p w:rsidR="00B93FF5" w:rsidRPr="002E4019" w:rsidRDefault="00B93FF5" w:rsidP="00C21E71">
      <w:pPr>
        <w:pStyle w:val="Caption"/>
        <w:keepNext/>
      </w:pPr>
      <w:bookmarkStart w:id="54" w:name="_Ref486841454"/>
      <w:r w:rsidRPr="002E4019">
        <w:lastRenderedPageBreak/>
        <w:t xml:space="preserve">Figure </w:t>
      </w:r>
      <w:r w:rsidR="006D258D">
        <w:fldChar w:fldCharType="begin"/>
      </w:r>
      <w:r w:rsidR="006D258D">
        <w:instrText xml:space="preserve"> SEQ Figure \* ARABIC </w:instrText>
      </w:r>
      <w:r w:rsidR="006D258D">
        <w:fldChar w:fldCharType="separate"/>
      </w:r>
      <w:r w:rsidR="0089599A">
        <w:rPr>
          <w:noProof/>
        </w:rPr>
        <w:t>1</w:t>
      </w:r>
      <w:r w:rsidR="006D258D">
        <w:rPr>
          <w:noProof/>
        </w:rPr>
        <w:fldChar w:fldCharType="end"/>
      </w:r>
      <w:bookmarkEnd w:id="54"/>
      <w:r w:rsidR="002E4019">
        <w:t>:</w:t>
      </w:r>
      <w:r w:rsidRPr="002E4019">
        <w:t xml:space="preserve"> Diagram of structure of the ATTC Version 1.0</w:t>
      </w:r>
    </w:p>
    <w:p w:rsidR="00F81025" w:rsidRDefault="00F81025" w:rsidP="00F81025">
      <w:r>
        <w:rPr>
          <w:noProof/>
        </w:rPr>
        <mc:AlternateContent>
          <mc:Choice Requires="wps">
            <w:drawing>
              <wp:anchor distT="0" distB="0" distL="114300" distR="114300" simplePos="0" relativeHeight="251670528" behindDoc="1" locked="0" layoutInCell="1" allowOverlap="1" wp14:anchorId="5E4C9DE7" wp14:editId="3C5283D4">
                <wp:simplePos x="0" y="0"/>
                <wp:positionH relativeFrom="column">
                  <wp:posOffset>5361940</wp:posOffset>
                </wp:positionH>
                <wp:positionV relativeFrom="paragraph">
                  <wp:posOffset>103505</wp:posOffset>
                </wp:positionV>
                <wp:extent cx="809625" cy="4973320"/>
                <wp:effectExtent l="0" t="0" r="28575" b="17780"/>
                <wp:wrapNone/>
                <wp:docPr id="21" name="Rectangle 21" descr="Final level with end classes" title="Figure 1: Diagram of structure of the ATTC version 1.0"/>
                <wp:cNvGraphicFramePr/>
                <a:graphic xmlns:a="http://schemas.openxmlformats.org/drawingml/2006/main">
                  <a:graphicData uri="http://schemas.microsoft.com/office/word/2010/wordprocessingShape">
                    <wps:wsp>
                      <wps:cNvSpPr/>
                      <wps:spPr>
                        <a:xfrm>
                          <a:off x="0" y="0"/>
                          <a:ext cx="809625" cy="49733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Default="00232CEF" w:rsidP="00F81025">
                            <w:pPr>
                              <w:jc w:val="center"/>
                              <w:rPr>
                                <w:rFonts w:cs="Arial"/>
                                <w:b/>
                                <w:color w:val="000000" w:themeColor="text1"/>
                                <w:sz w:val="28"/>
                                <w:szCs w:val="28"/>
                              </w:rPr>
                            </w:pPr>
                            <w:r w:rsidRPr="005B4028">
                              <w:rPr>
                                <w:rFonts w:cs="Arial"/>
                                <w:b/>
                                <w:color w:val="000000" w:themeColor="text1"/>
                                <w:sz w:val="28"/>
                                <w:szCs w:val="28"/>
                              </w:rPr>
                              <w:t>End class</w:t>
                            </w:r>
                          </w:p>
                          <w:p w:rsidR="00232CEF" w:rsidRPr="003A0E21" w:rsidRDefault="00232CEF" w:rsidP="00F81025">
                            <w:pPr>
                              <w:jc w:val="center"/>
                              <w:rPr>
                                <w:rFonts w:cs="Arial"/>
                                <w:color w:val="000000" w:themeColor="text1"/>
                                <w:sz w:val="28"/>
                                <w:szCs w:val="28"/>
                              </w:rPr>
                            </w:pPr>
                            <w:r w:rsidRPr="003A0E21">
                              <w:rPr>
                                <w:rFonts w:cs="Arial"/>
                                <w:color w:val="000000" w:themeColor="text1"/>
                                <w:szCs w:val="28"/>
                              </w:rPr>
                              <w:t>(20 in total)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1" o:spid="_x0000_s1026" alt="Title: Figure 1: Diagram of structure of the ATTC version 1.0 - Description: Final level with end classes" style="position:absolute;margin-left:422.2pt;margin-top:8.15pt;width:63.75pt;height:391.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" fillcolor="#bfbfbf [2412]" strokecolor="#bfbfbf [2412]" strokeweight="2pt">
                <v:textbox>
                  <w:txbxContent>
                    <w:p w:rsidR="00232CEF" w:rsidRDefault="00232CEF" w:rsidP="00F81025">
                      <w:pPr>
                        <w:jc w:val="center"/>
                        <w:rPr>
                          <w:rFonts w:cs="Arial"/>
                          <w:b/>
                          <w:color w:val="000000" w:themeColor="text1"/>
                          <w:sz w:val="28"/>
                          <w:szCs w:val="28"/>
                        </w:rPr>
                      </w:pPr>
                      <w:r w:rsidRPr="005B4028">
                        <w:rPr>
                          <w:rFonts w:cs="Arial"/>
                          <w:b/>
                          <w:color w:val="000000" w:themeColor="text1"/>
                          <w:sz w:val="28"/>
                          <w:szCs w:val="28"/>
                        </w:rPr>
                        <w:t>End class</w:t>
                      </w:r>
                    </w:p>
                    <w:p w:rsidR="00232CEF" w:rsidRPr="003A0E21" w:rsidRDefault="00232CEF" w:rsidP="00F81025">
                      <w:pPr>
                        <w:jc w:val="center"/>
                        <w:rPr>
                          <w:rFonts w:cs="Arial"/>
                          <w:color w:val="000000" w:themeColor="text1"/>
                          <w:sz w:val="28"/>
                          <w:szCs w:val="28"/>
                        </w:rPr>
                      </w:pPr>
                      <w:r w:rsidRPr="003A0E21">
                        <w:rPr>
                          <w:rFonts w:cs="Arial"/>
                          <w:color w:val="000000" w:themeColor="text1"/>
                          <w:szCs w:val="28"/>
                        </w:rPr>
                        <w:t>(20 in total)</w:t>
                      </w:r>
                    </w:p>
                  </w:txbxContent>
                </v:textbox>
              </v:rect>
            </w:pict>
          </mc:Fallback>
        </mc:AlternateContent>
      </w:r>
      <w:r>
        <w:rPr>
          <w:noProof/>
        </w:rPr>
        <mc:AlternateContent>
          <mc:Choice Requires="wps">
            <w:drawing>
              <wp:anchor distT="0" distB="0" distL="114300" distR="114300" simplePos="0" relativeHeight="251669504" behindDoc="0" locked="0" layoutInCell="1" allowOverlap="1" wp14:anchorId="44983ED9" wp14:editId="1FAFD4B7">
                <wp:simplePos x="0" y="0"/>
                <wp:positionH relativeFrom="column">
                  <wp:posOffset>2399665</wp:posOffset>
                </wp:positionH>
                <wp:positionV relativeFrom="paragraph">
                  <wp:posOffset>84455</wp:posOffset>
                </wp:positionV>
                <wp:extent cx="2038350" cy="4973320"/>
                <wp:effectExtent l="0" t="0" r="19050" b="17780"/>
                <wp:wrapNone/>
                <wp:docPr id="13" name="Rectangle 13" descr="Level 2 training stage." title="Figure 1: Diagram of structure of the ATTC version 1.0"/>
                <wp:cNvGraphicFramePr/>
                <a:graphic xmlns:a="http://schemas.openxmlformats.org/drawingml/2006/main">
                  <a:graphicData uri="http://schemas.microsoft.com/office/word/2010/wordprocessingShape">
                    <wps:wsp>
                      <wps:cNvSpPr/>
                      <wps:spPr>
                        <a:xfrm>
                          <a:off x="0" y="0"/>
                          <a:ext cx="2038350" cy="49733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5B4028" w:rsidRDefault="00232CEF" w:rsidP="00F81025">
                            <w:pPr>
                              <w:jc w:val="center"/>
                              <w:rPr>
                                <w:rFonts w:cs="Arial"/>
                                <w:b/>
                                <w:color w:val="000000" w:themeColor="text1"/>
                                <w:sz w:val="28"/>
                                <w:szCs w:val="28"/>
                              </w:rPr>
                            </w:pPr>
                            <w:r w:rsidRPr="005B4028">
                              <w:rPr>
                                <w:rFonts w:cs="Arial"/>
                                <w:b/>
                                <w:color w:val="000000" w:themeColor="text1"/>
                                <w:sz w:val="28"/>
                                <w:szCs w:val="28"/>
                              </w:rPr>
                              <w:t>Training stage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7" alt="Title: Figure 1: Diagram of structure of the ATTC version 1.0 - Description: Level 2 training stage." style="position:absolute;margin-left:188.95pt;margin-top:6.65pt;width:160.5pt;height:39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" fillcolor="#bfbfbf [2412]" strokecolor="#bfbfbf [2412]" strokeweight="2pt">
                <v:textbox>
                  <w:txbxContent>
                    <w:p w:rsidR="00232CEF" w:rsidRPr="005B4028" w:rsidRDefault="00232CEF" w:rsidP="00F81025">
                      <w:pPr>
                        <w:jc w:val="center"/>
                        <w:rPr>
                          <w:rFonts w:cs="Arial"/>
                          <w:b/>
                          <w:color w:val="000000" w:themeColor="text1"/>
                          <w:sz w:val="28"/>
                          <w:szCs w:val="28"/>
                        </w:rPr>
                      </w:pPr>
                      <w:r w:rsidRPr="005B4028">
                        <w:rPr>
                          <w:rFonts w:cs="Arial"/>
                          <w:b/>
                          <w:color w:val="000000" w:themeColor="text1"/>
                          <w:sz w:val="28"/>
                          <w:szCs w:val="28"/>
                        </w:rPr>
                        <w:t>Training stage</w:t>
                      </w: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378027B4" wp14:editId="4A7FF936">
                <wp:simplePos x="0" y="0"/>
                <wp:positionH relativeFrom="column">
                  <wp:posOffset>-191135</wp:posOffset>
                </wp:positionH>
                <wp:positionV relativeFrom="paragraph">
                  <wp:posOffset>103505</wp:posOffset>
                </wp:positionV>
                <wp:extent cx="1685925" cy="4973320"/>
                <wp:effectExtent l="0" t="0" r="28575" b="17780"/>
                <wp:wrapNone/>
                <wp:docPr id="26" name="Rectangle 26" descr="Level 1 Profession" title="Figure 1: Diagram of structure of the ATTC version 1.0"/>
                <wp:cNvGraphicFramePr/>
                <a:graphic xmlns:a="http://schemas.openxmlformats.org/drawingml/2006/main">
                  <a:graphicData uri="http://schemas.microsoft.com/office/word/2010/wordprocessingShape">
                    <wps:wsp>
                      <wps:cNvSpPr/>
                      <wps:spPr>
                        <a:xfrm>
                          <a:off x="0" y="0"/>
                          <a:ext cx="1685925" cy="497332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5B4028" w:rsidRDefault="00232CEF" w:rsidP="00F81025">
                            <w:pPr>
                              <w:jc w:val="center"/>
                              <w:rPr>
                                <w:rFonts w:cs="Arial"/>
                                <w:b/>
                                <w:color w:val="000000" w:themeColor="text1"/>
                                <w:sz w:val="32"/>
                              </w:rPr>
                            </w:pPr>
                            <w:r w:rsidRPr="005B4028">
                              <w:rPr>
                                <w:rFonts w:cs="Arial"/>
                                <w:b/>
                                <w:color w:val="000000" w:themeColor="text1"/>
                                <w:sz w:val="32"/>
                              </w:rPr>
                              <w:t>Profession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8" alt="Title: Figure 1: Diagram of structure of the ATTC version 1.0 - Description: Level 1 Profession" style="position:absolute;margin-left:-15.05pt;margin-top:8.15pt;width:132.75pt;height:39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" fillcolor="#bfbfbf [2412]" strokecolor="#bfbfbf [2412]" strokeweight="2pt">
                <v:textbox>
                  <w:txbxContent>
                    <w:p w:rsidR="00232CEF" w:rsidRPr="005B4028" w:rsidRDefault="00232CEF" w:rsidP="00F81025">
                      <w:pPr>
                        <w:jc w:val="center"/>
                        <w:rPr>
                          <w:rFonts w:cs="Arial"/>
                          <w:b/>
                          <w:color w:val="000000" w:themeColor="text1"/>
                          <w:sz w:val="32"/>
                        </w:rPr>
                      </w:pPr>
                      <w:r w:rsidRPr="005B4028">
                        <w:rPr>
                          <w:rFonts w:cs="Arial"/>
                          <w:b/>
                          <w:color w:val="000000" w:themeColor="text1"/>
                          <w:sz w:val="32"/>
                        </w:rPr>
                        <w:t>Profession</w:t>
                      </w:r>
                    </w:p>
                  </w:txbxContent>
                </v:textbox>
              </v:rect>
            </w:pict>
          </mc:Fallback>
        </mc:AlternateContent>
      </w:r>
    </w:p>
    <w:p w:rsidR="00F81025" w:rsidRPr="002F3AE3" w:rsidRDefault="00F81025" w:rsidP="00F81025"/>
    <w:p w:rsidR="00F81025" w:rsidRDefault="00F81025" w:rsidP="00F81025">
      <w:pPr>
        <w:spacing w:after="160" w:line="276" w:lineRule="auto"/>
        <w:rPr>
          <w:rFonts w:cs="Arial"/>
          <w:color w:val="FF0000"/>
        </w:rPr>
      </w:pPr>
    </w:p>
    <w:p w:rsidR="00F81025" w:rsidRDefault="00F81025" w:rsidP="00F81025">
      <w:pPr>
        <w:spacing w:after="0" w:line="240" w:lineRule="auto"/>
        <w:rPr>
          <w:rFonts w:cs="Arial"/>
        </w:rPr>
      </w:pPr>
      <w:r>
        <w:rPr>
          <w:noProof/>
        </w:rPr>
        <mc:AlternateContent>
          <mc:Choice Requires="wps">
            <w:drawing>
              <wp:anchor distT="0" distB="0" distL="114300" distR="114300" simplePos="0" relativeHeight="251681792" behindDoc="0" locked="0" layoutInCell="1" allowOverlap="1" wp14:anchorId="2A8857C6" wp14:editId="4B9C0186">
                <wp:simplePos x="0" y="0"/>
                <wp:positionH relativeFrom="column">
                  <wp:posOffset>4578985</wp:posOffset>
                </wp:positionH>
                <wp:positionV relativeFrom="paragraph">
                  <wp:posOffset>1518285</wp:posOffset>
                </wp:positionV>
                <wp:extent cx="668655" cy="311785"/>
                <wp:effectExtent l="0" t="19050" r="36195" b="31115"/>
                <wp:wrapNone/>
                <wp:docPr id="27" name="Right Arrow 27" descr="Green right arrow indicating progression from level two to final end class."/>
                <wp:cNvGraphicFramePr/>
                <a:graphic xmlns:a="http://schemas.openxmlformats.org/drawingml/2006/main">
                  <a:graphicData uri="http://schemas.microsoft.com/office/word/2010/wordprocessingShape">
                    <wps:wsp>
                      <wps:cNvSpPr/>
                      <wps:spPr>
                        <a:xfrm>
                          <a:off x="0" y="0"/>
                          <a:ext cx="668655" cy="311785"/>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7" o:spid="_x0000_s1026" type="#_x0000_t13" alt="Green right arrow indicating progression from level two to final end class." style="position:absolute;margin-left:360.55pt;margin-top:119.55pt;width:52.65pt;height:24.5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" adj="16564" fillcolor="#00b050" strokecolor="#00b050" strokeweight="2pt"/>
            </w:pict>
          </mc:Fallback>
        </mc:AlternateContent>
      </w:r>
      <w:r w:rsidRPr="007251E4">
        <w:rPr>
          <w:noProof/>
        </w:rPr>
        <mc:AlternateContent>
          <mc:Choice Requires="wps">
            <w:drawing>
              <wp:anchor distT="0" distB="0" distL="114300" distR="114300" simplePos="0" relativeHeight="251679744" behindDoc="0" locked="0" layoutInCell="1" allowOverlap="1" wp14:anchorId="3AF34D2B" wp14:editId="22E43C25">
                <wp:simplePos x="0" y="0"/>
                <wp:positionH relativeFrom="column">
                  <wp:posOffset>2580641</wp:posOffset>
                </wp:positionH>
                <wp:positionV relativeFrom="paragraph">
                  <wp:posOffset>2954020</wp:posOffset>
                </wp:positionV>
                <wp:extent cx="1619250" cy="768985"/>
                <wp:effectExtent l="0" t="0" r="19050" b="12065"/>
                <wp:wrapNone/>
                <wp:docPr id="14" name="Rectangle 14" descr="Level 2 Training stage: unknown stage of training" title="Figure 1: Diagram of structure of the ATTC version 1.0"/>
                <wp:cNvGraphicFramePr/>
                <a:graphic xmlns:a="http://schemas.openxmlformats.org/drawingml/2006/main">
                  <a:graphicData uri="http://schemas.microsoft.com/office/word/2010/wordprocessingShape">
                    <wps:wsp>
                      <wps:cNvSpPr/>
                      <wps:spPr>
                        <a:xfrm>
                          <a:off x="0" y="0"/>
                          <a:ext cx="1619250" cy="76898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Unknown stage of training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9" alt="Title: Figure 1: Diagram of structure of the ATTC version 1.0 - Description: Level 2 Training stage: unknown stage of training" style="position:absolute;margin-left:203.2pt;margin-top:232.6pt;width:127.5pt;height:60.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Unknown stage of training</w:t>
                      </w:r>
                    </w:p>
                  </w:txbxContent>
                </v:textbox>
              </v:rect>
            </w:pict>
          </mc:Fallback>
        </mc:AlternateContent>
      </w:r>
      <w:r w:rsidRPr="007251E4">
        <w:rPr>
          <w:noProof/>
        </w:rPr>
        <mc:AlternateContent>
          <mc:Choice Requires="wps">
            <w:drawing>
              <wp:anchor distT="0" distB="0" distL="114300" distR="114300" simplePos="0" relativeHeight="251678720" behindDoc="0" locked="0" layoutInCell="1" allowOverlap="1" wp14:anchorId="28E422E5" wp14:editId="531B81A8">
                <wp:simplePos x="0" y="0"/>
                <wp:positionH relativeFrom="column">
                  <wp:posOffset>2590165</wp:posOffset>
                </wp:positionH>
                <wp:positionV relativeFrom="paragraph">
                  <wp:posOffset>1982470</wp:posOffset>
                </wp:positionV>
                <wp:extent cx="1609725" cy="768985"/>
                <wp:effectExtent l="0" t="0" r="28575" b="12065"/>
                <wp:wrapNone/>
                <wp:docPr id="23" name="Rectangle 23" descr="Level 2 Training stage: postgraduate/vocational student" title="Figure 1: Diagram of structure of the ATTC version 1.0"/>
                <wp:cNvGraphicFramePr/>
                <a:graphic xmlns:a="http://schemas.openxmlformats.org/drawingml/2006/main">
                  <a:graphicData uri="http://schemas.microsoft.com/office/word/2010/wordprocessingShape">
                    <wps:wsp>
                      <wps:cNvSpPr/>
                      <wps:spPr>
                        <a:xfrm>
                          <a:off x="0" y="0"/>
                          <a:ext cx="1609725" cy="76898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Pr>
                                <w:rFonts w:cs="Arial"/>
                                <w:color w:val="000000" w:themeColor="text1"/>
                              </w:rPr>
                              <w:t>P</w:t>
                            </w:r>
                            <w:r w:rsidRPr="00306863">
                              <w:rPr>
                                <w:rFonts w:cs="Arial"/>
                                <w:color w:val="000000" w:themeColor="text1"/>
                              </w:rPr>
                              <w:t>ostgraduate</w:t>
                            </w:r>
                            <w:r>
                              <w:rPr>
                                <w:rFonts w:cs="Arial"/>
                                <w:color w:val="000000" w:themeColor="text1"/>
                              </w:rPr>
                              <w:t>/ vocational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0" alt="Title: Figure 1: Diagram of structure of the ATTC version 1.0 - Description: Level 2 Training stage: postgraduate/vocational student" style="position:absolute;margin-left:203.95pt;margin-top:156.1pt;width:126.75pt;height:60.5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" fillcolor="white [3212]" strokecolor="#bfbfbf [2412]" strokeweight="2pt">
                <v:textbox>
                  <w:txbxContent>
                    <w:p w:rsidR="00232CEF" w:rsidRPr="00306863" w:rsidRDefault="00232CEF" w:rsidP="00F81025">
                      <w:pPr>
                        <w:jc w:val="center"/>
                        <w:rPr>
                          <w:rFonts w:cs="Arial"/>
                          <w:color w:val="000000" w:themeColor="text1"/>
                        </w:rPr>
                      </w:pPr>
                      <w:r>
                        <w:rPr>
                          <w:rFonts w:cs="Arial"/>
                          <w:color w:val="000000" w:themeColor="text1"/>
                        </w:rPr>
                        <w:t>P</w:t>
                      </w:r>
                      <w:r w:rsidRPr="00306863">
                        <w:rPr>
                          <w:rFonts w:cs="Arial"/>
                          <w:color w:val="000000" w:themeColor="text1"/>
                        </w:rPr>
                        <w:t>ostgraduate</w:t>
                      </w:r>
                      <w:r>
                        <w:rPr>
                          <w:rFonts w:cs="Arial"/>
                          <w:color w:val="000000" w:themeColor="text1"/>
                        </w:rPr>
                        <w:t>/ vocational student</w:t>
                      </w:r>
                    </w:p>
                  </w:txbxContent>
                </v:textbox>
              </v:rect>
            </w:pict>
          </mc:Fallback>
        </mc:AlternateContent>
      </w:r>
      <w:r w:rsidRPr="007251E4">
        <w:rPr>
          <w:noProof/>
        </w:rPr>
        <mc:AlternateContent>
          <mc:Choice Requires="wps">
            <w:drawing>
              <wp:anchor distT="0" distB="0" distL="114300" distR="114300" simplePos="0" relativeHeight="251677696" behindDoc="0" locked="0" layoutInCell="1" allowOverlap="1" wp14:anchorId="6149FB65" wp14:editId="6E3E4B13">
                <wp:simplePos x="0" y="0"/>
                <wp:positionH relativeFrom="column">
                  <wp:posOffset>2590165</wp:posOffset>
                </wp:positionH>
                <wp:positionV relativeFrom="paragraph">
                  <wp:posOffset>1020445</wp:posOffset>
                </wp:positionV>
                <wp:extent cx="1657350" cy="768985"/>
                <wp:effectExtent l="0" t="0" r="19050" b="12065"/>
                <wp:wrapNone/>
                <wp:docPr id="15" name="Rectangle 15" descr="Level 2 Training stage: new graduate" title="Figure 1: Diagram of structure of the ATTC version 1.0"/>
                <wp:cNvGraphicFramePr/>
                <a:graphic xmlns:a="http://schemas.openxmlformats.org/drawingml/2006/main">
                  <a:graphicData uri="http://schemas.microsoft.com/office/word/2010/wordprocessingShape">
                    <wps:wsp>
                      <wps:cNvSpPr/>
                      <wps:spPr>
                        <a:xfrm>
                          <a:off x="0" y="0"/>
                          <a:ext cx="1657350" cy="76898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New graduate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5" o:spid="_x0000_s1031" alt="Title: Figure 1: Diagram of structure of the ATTC version 1.0 - Description: Level 2 Training stage: new graduate" style="position:absolute;margin-left:203.95pt;margin-top:80.35pt;width:130.5pt;height:60.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New graduate</w:t>
                      </w:r>
                    </w:p>
                  </w:txbxContent>
                </v:textbox>
              </v:rect>
            </w:pict>
          </mc:Fallback>
        </mc:AlternateContent>
      </w:r>
      <w:r w:rsidRPr="007251E4">
        <w:rPr>
          <w:noProof/>
        </w:rPr>
        <mc:AlternateContent>
          <mc:Choice Requires="wps">
            <w:drawing>
              <wp:anchor distT="0" distB="0" distL="114300" distR="114300" simplePos="0" relativeHeight="251676672" behindDoc="0" locked="0" layoutInCell="1" allowOverlap="1" wp14:anchorId="66D2FBA1" wp14:editId="470C46B3">
                <wp:simplePos x="0" y="0"/>
                <wp:positionH relativeFrom="column">
                  <wp:posOffset>2590166</wp:posOffset>
                </wp:positionH>
                <wp:positionV relativeFrom="paragraph">
                  <wp:posOffset>29845</wp:posOffset>
                </wp:positionV>
                <wp:extent cx="1657350" cy="768985"/>
                <wp:effectExtent l="0" t="0" r="19050" b="12065"/>
                <wp:wrapNone/>
                <wp:docPr id="16" name="Rectangle 16" descr="Level 2 Training stage: pre-entry student" title="Figure 1: Diagram of structure of the ATTC version 1.0"/>
                <wp:cNvGraphicFramePr/>
                <a:graphic xmlns:a="http://schemas.openxmlformats.org/drawingml/2006/main">
                  <a:graphicData uri="http://schemas.microsoft.com/office/word/2010/wordprocessingShape">
                    <wps:wsp>
                      <wps:cNvSpPr/>
                      <wps:spPr>
                        <a:xfrm>
                          <a:off x="0" y="0"/>
                          <a:ext cx="1657350" cy="768985"/>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Pr>
                                <w:rFonts w:cs="Arial"/>
                                <w:color w:val="000000" w:themeColor="text1"/>
                              </w:rPr>
                              <w:t>Pre-entry</w:t>
                            </w:r>
                            <w:r w:rsidRPr="00306863">
                              <w:rPr>
                                <w:rFonts w:cs="Arial"/>
                                <w:color w:val="000000" w:themeColor="text1"/>
                              </w:rPr>
                              <w:t xml:space="preserve"> student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32" alt="Title: Figure 1: Diagram of structure of the ATTC version 1.0 - Description: Level 2 Training stage: pre-entry student" style="position:absolute;margin-left:203.95pt;margin-top:2.35pt;width:130.5pt;height:60.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" fillcolor="white [3212]" strokecolor="#bfbfbf [2412]" strokeweight="2pt">
                <v:textbox>
                  <w:txbxContent>
                    <w:p w:rsidR="00232CEF" w:rsidRPr="00306863" w:rsidRDefault="00232CEF" w:rsidP="00F81025">
                      <w:pPr>
                        <w:jc w:val="center"/>
                        <w:rPr>
                          <w:rFonts w:cs="Arial"/>
                          <w:color w:val="000000" w:themeColor="text1"/>
                        </w:rPr>
                      </w:pPr>
                      <w:r>
                        <w:rPr>
                          <w:rFonts w:cs="Arial"/>
                          <w:color w:val="000000" w:themeColor="text1"/>
                        </w:rPr>
                        <w:t>Pre-entry</w:t>
                      </w:r>
                      <w:r w:rsidRPr="00306863">
                        <w:rPr>
                          <w:rFonts w:cs="Arial"/>
                          <w:color w:val="000000" w:themeColor="text1"/>
                        </w:rPr>
                        <w:t xml:space="preserve"> student</w:t>
                      </w:r>
                    </w:p>
                  </w:txbxContent>
                </v:textbox>
              </v:rect>
            </w:pict>
          </mc:Fallback>
        </mc:AlternateContent>
      </w:r>
      <w:r>
        <w:rPr>
          <w:noProof/>
        </w:rPr>
        <mc:AlternateContent>
          <mc:Choice Requires="wps">
            <w:drawing>
              <wp:anchor distT="0" distB="0" distL="114300" distR="114300" simplePos="0" relativeHeight="251680768" behindDoc="0" locked="0" layoutInCell="1" allowOverlap="1" wp14:anchorId="3D011A7E" wp14:editId="6E6228F7">
                <wp:simplePos x="0" y="0"/>
                <wp:positionH relativeFrom="column">
                  <wp:posOffset>1597660</wp:posOffset>
                </wp:positionH>
                <wp:positionV relativeFrom="paragraph">
                  <wp:posOffset>1518285</wp:posOffset>
                </wp:positionV>
                <wp:extent cx="668655" cy="311785"/>
                <wp:effectExtent l="0" t="19050" r="36195" b="31115"/>
                <wp:wrapNone/>
                <wp:docPr id="22" name="Right Arrow 22" descr="Green right arrow indicating progression from level one profession to level two stage of training."/>
                <wp:cNvGraphicFramePr/>
                <a:graphic xmlns:a="http://schemas.openxmlformats.org/drawingml/2006/main">
                  <a:graphicData uri="http://schemas.microsoft.com/office/word/2010/wordprocessingShape">
                    <wps:wsp>
                      <wps:cNvSpPr/>
                      <wps:spPr>
                        <a:xfrm>
                          <a:off x="0" y="0"/>
                          <a:ext cx="668655" cy="311785"/>
                        </a:xfrm>
                        <a:prstGeom prst="rightArrow">
                          <a:avLst/>
                        </a:prstGeom>
                        <a:solidFill>
                          <a:srgbClr val="00B050"/>
                        </a:solidFill>
                        <a:ln>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Right Arrow 22" o:spid="_x0000_s1026" type="#_x0000_t13" alt="Green right arrow indicating progression from level one profession to level two stage of training." style="position:absolute;margin-left:125.8pt;margin-top:119.55pt;width:52.65pt;height:24.5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" adj="16564" fillcolor="#00b050" strokecolor="#00b050" strokeweight="2pt"/>
            </w:pict>
          </mc:Fallback>
        </mc:AlternateContent>
      </w:r>
      <w:r w:rsidRPr="007251E4">
        <w:rPr>
          <w:noProof/>
        </w:rPr>
        <mc:AlternateContent>
          <mc:Choice Requires="wps">
            <w:drawing>
              <wp:anchor distT="0" distB="0" distL="114300" distR="114300" simplePos="0" relativeHeight="251675648" behindDoc="0" locked="0" layoutInCell="1" allowOverlap="1" wp14:anchorId="46CA79BA" wp14:editId="60ACA0EC">
                <wp:simplePos x="0" y="0"/>
                <wp:positionH relativeFrom="column">
                  <wp:posOffset>46989</wp:posOffset>
                </wp:positionH>
                <wp:positionV relativeFrom="paragraph">
                  <wp:posOffset>3011170</wp:posOffset>
                </wp:positionV>
                <wp:extent cx="1076325" cy="557530"/>
                <wp:effectExtent l="0" t="0" r="28575" b="13970"/>
                <wp:wrapNone/>
                <wp:docPr id="24" name="Rectangle 24" descr="Level 1 Profession: nursing" title="Figure 1: Diagram of structure of the ATTC version 1.0"/>
                <wp:cNvGraphicFramePr/>
                <a:graphic xmlns:a="http://schemas.openxmlformats.org/drawingml/2006/main">
                  <a:graphicData uri="http://schemas.microsoft.com/office/word/2010/wordprocessingShape">
                    <wps:wsp>
                      <wps:cNvSpPr/>
                      <wps:spPr>
                        <a:xfrm>
                          <a:off x="0" y="0"/>
                          <a:ext cx="1076325" cy="5575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Nursing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alt="Title: Figure 1: Diagram of structure of the ATTC version 1.0 - Description: Level 1 Profession: nursing" style="position:absolute;margin-left:3.7pt;margin-top:237.1pt;width:84.75pt;height:4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Nursing</w:t>
                      </w:r>
                    </w:p>
                  </w:txbxContent>
                </v:textbox>
              </v:rect>
            </w:pict>
          </mc:Fallback>
        </mc:AlternateContent>
      </w:r>
      <w:r w:rsidRPr="007251E4">
        <w:rPr>
          <w:noProof/>
        </w:rPr>
        <mc:AlternateContent>
          <mc:Choice Requires="wps">
            <w:drawing>
              <wp:anchor distT="0" distB="0" distL="114300" distR="114300" simplePos="0" relativeHeight="251674624" behindDoc="0" locked="0" layoutInCell="1" allowOverlap="1" wp14:anchorId="59A65B18" wp14:editId="5E018DFF">
                <wp:simplePos x="0" y="0"/>
                <wp:positionH relativeFrom="column">
                  <wp:posOffset>37465</wp:posOffset>
                </wp:positionH>
                <wp:positionV relativeFrom="paragraph">
                  <wp:posOffset>2258695</wp:posOffset>
                </wp:positionV>
                <wp:extent cx="1085850" cy="557530"/>
                <wp:effectExtent l="0" t="0" r="19050" b="13970"/>
                <wp:wrapNone/>
                <wp:docPr id="25" name="Rectangle 25" descr="Level 1 Profession: midwifery" title="Figure 1: Diagram of structure of the ATTC version 1.0"/>
                <wp:cNvGraphicFramePr/>
                <a:graphic xmlns:a="http://schemas.openxmlformats.org/drawingml/2006/main">
                  <a:graphicData uri="http://schemas.microsoft.com/office/word/2010/wordprocessingShape">
                    <wps:wsp>
                      <wps:cNvSpPr/>
                      <wps:spPr>
                        <a:xfrm>
                          <a:off x="0" y="0"/>
                          <a:ext cx="1085850" cy="5575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Midwifery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4" alt="Title: Figure 1: Diagram of structure of the ATTC version 1.0 - Description: Level 1 Profession: midwifery" style="position:absolute;margin-left:2.95pt;margin-top:177.85pt;width:85.5pt;height:43.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Midwifery</w:t>
                      </w:r>
                    </w:p>
                  </w:txbxContent>
                </v:textbox>
              </v:rect>
            </w:pict>
          </mc:Fallback>
        </mc:AlternateContent>
      </w:r>
      <w:r>
        <w:rPr>
          <w:noProof/>
        </w:rPr>
        <mc:AlternateContent>
          <mc:Choice Requires="wps">
            <w:drawing>
              <wp:anchor distT="0" distB="0" distL="114300" distR="114300" simplePos="0" relativeHeight="251671552" behindDoc="0" locked="0" layoutInCell="1" allowOverlap="1" wp14:anchorId="7CB14726" wp14:editId="38038301">
                <wp:simplePos x="0" y="0"/>
                <wp:positionH relativeFrom="column">
                  <wp:posOffset>37465</wp:posOffset>
                </wp:positionH>
                <wp:positionV relativeFrom="paragraph">
                  <wp:posOffset>29845</wp:posOffset>
                </wp:positionV>
                <wp:extent cx="1133475" cy="557530"/>
                <wp:effectExtent l="0" t="0" r="28575" b="13970"/>
                <wp:wrapNone/>
                <wp:docPr id="17" name="Rectangle 17" descr="Level 1 Profession: allied health" title="Figure 1: Diagram of structure of the ATTC version 1.0"/>
                <wp:cNvGraphicFramePr/>
                <a:graphic xmlns:a="http://schemas.openxmlformats.org/drawingml/2006/main">
                  <a:graphicData uri="http://schemas.microsoft.com/office/word/2010/wordprocessingShape">
                    <wps:wsp>
                      <wps:cNvSpPr/>
                      <wps:spPr>
                        <a:xfrm>
                          <a:off x="0" y="0"/>
                          <a:ext cx="1133475" cy="5575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Allied health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35" alt="Title: Figure 1: Diagram of structure of the ATTC version 1.0 - Description: Level 1 Profession: allied health" style="position:absolute;margin-left:2.95pt;margin-top:2.35pt;width:89.25pt;height:43.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Allied health</w:t>
                      </w:r>
                    </w:p>
                  </w:txbxContent>
                </v:textbox>
              </v:rect>
            </w:pict>
          </mc:Fallback>
        </mc:AlternateContent>
      </w:r>
      <w:r>
        <w:rPr>
          <w:noProof/>
        </w:rPr>
        <mc:AlternateContent>
          <mc:Choice Requires="wps">
            <w:drawing>
              <wp:anchor distT="0" distB="0" distL="114300" distR="114300" simplePos="0" relativeHeight="251672576" behindDoc="0" locked="0" layoutInCell="1" allowOverlap="1" wp14:anchorId="79C57D20" wp14:editId="285E2492">
                <wp:simplePos x="0" y="0"/>
                <wp:positionH relativeFrom="column">
                  <wp:posOffset>37465</wp:posOffset>
                </wp:positionH>
                <wp:positionV relativeFrom="paragraph">
                  <wp:posOffset>763270</wp:posOffset>
                </wp:positionV>
                <wp:extent cx="1133475" cy="557530"/>
                <wp:effectExtent l="0" t="0" r="28575" b="13970"/>
                <wp:wrapNone/>
                <wp:docPr id="19" name="Rectangle 19" descr="Level 1 Profession: dentistry" title="Figure 1: Diagram of structure of the ATTC version 1.0"/>
                <wp:cNvGraphicFramePr/>
                <a:graphic xmlns:a="http://schemas.openxmlformats.org/drawingml/2006/main">
                  <a:graphicData uri="http://schemas.microsoft.com/office/word/2010/wordprocessingShape">
                    <wps:wsp>
                      <wps:cNvSpPr/>
                      <wps:spPr>
                        <a:xfrm>
                          <a:off x="0" y="0"/>
                          <a:ext cx="1133475" cy="5575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Dentistry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6" alt="Title: Figure 1: Diagram of structure of the ATTC version 1.0 - Description: Level 1 Profession: dentistry" style="position:absolute;margin-left:2.95pt;margin-top:60.1pt;width:89.25pt;height:43.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Dentistry</w:t>
                      </w:r>
                    </w:p>
                  </w:txbxContent>
                </v:textbox>
              </v:rect>
            </w:pict>
          </mc:Fallback>
        </mc:AlternateContent>
      </w:r>
      <w:r w:rsidRPr="007251E4">
        <w:rPr>
          <w:noProof/>
        </w:rPr>
        <mc:AlternateContent>
          <mc:Choice Requires="wps">
            <w:drawing>
              <wp:anchor distT="0" distB="0" distL="114300" distR="114300" simplePos="0" relativeHeight="251673600" behindDoc="0" locked="0" layoutInCell="1" allowOverlap="1" wp14:anchorId="3EADB6C0" wp14:editId="2948C90E">
                <wp:simplePos x="0" y="0"/>
                <wp:positionH relativeFrom="column">
                  <wp:posOffset>37465</wp:posOffset>
                </wp:positionH>
                <wp:positionV relativeFrom="paragraph">
                  <wp:posOffset>1515745</wp:posOffset>
                </wp:positionV>
                <wp:extent cx="1133475" cy="557530"/>
                <wp:effectExtent l="0" t="0" r="28575" b="13970"/>
                <wp:wrapNone/>
                <wp:docPr id="20" name="Rectangle 20" descr="Level 1 Profession: medicine" title="Figure 1: Diagram of structure of the ATTC version 1.0"/>
                <wp:cNvGraphicFramePr/>
                <a:graphic xmlns:a="http://schemas.openxmlformats.org/drawingml/2006/main">
                  <a:graphicData uri="http://schemas.microsoft.com/office/word/2010/wordprocessingShape">
                    <wps:wsp>
                      <wps:cNvSpPr/>
                      <wps:spPr>
                        <a:xfrm>
                          <a:off x="0" y="0"/>
                          <a:ext cx="1133475" cy="557530"/>
                        </a:xfrm>
                        <a:prstGeom prst="rect">
                          <a:avLst/>
                        </a:prstGeom>
                        <a:solidFill>
                          <a:schemeClr val="bg1"/>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306863" w:rsidRDefault="00232CEF" w:rsidP="00F81025">
                            <w:pPr>
                              <w:jc w:val="center"/>
                              <w:rPr>
                                <w:rFonts w:cs="Arial"/>
                                <w:color w:val="000000" w:themeColor="text1"/>
                              </w:rPr>
                            </w:pPr>
                            <w:r w:rsidRPr="00306863">
                              <w:rPr>
                                <w:rFonts w:cs="Arial"/>
                                <w:color w:val="000000" w:themeColor="text1"/>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0" o:spid="_x0000_s1037" alt="Title: Figure 1: Diagram of structure of the ATTC version 1.0 - Description: Level 1 Profession: medicine" style="position:absolute;margin-left:2.95pt;margin-top:119.35pt;width:89.25pt;height:43.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" fillcolor="white [3212]" strokecolor="#bfbfbf [2412]" strokeweight="2pt">
                <v:textbox>
                  <w:txbxContent>
                    <w:p w:rsidR="00232CEF" w:rsidRPr="00306863" w:rsidRDefault="00232CEF" w:rsidP="00F81025">
                      <w:pPr>
                        <w:jc w:val="center"/>
                        <w:rPr>
                          <w:rFonts w:cs="Arial"/>
                          <w:color w:val="000000" w:themeColor="text1"/>
                        </w:rPr>
                      </w:pPr>
                      <w:r w:rsidRPr="00306863">
                        <w:rPr>
                          <w:rFonts w:cs="Arial"/>
                          <w:color w:val="000000" w:themeColor="text1"/>
                        </w:rPr>
                        <w:t>Medicine</w:t>
                      </w:r>
                    </w:p>
                  </w:txbxContent>
                </v:textbox>
              </v:rect>
            </w:pict>
          </mc:Fallback>
        </mc:AlternateContent>
      </w: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F81025" w:rsidP="00F81025">
      <w:pPr>
        <w:spacing w:after="0" w:line="240" w:lineRule="auto"/>
        <w:rPr>
          <w:rFonts w:cs="Arial"/>
        </w:rPr>
      </w:pPr>
    </w:p>
    <w:p w:rsidR="00F81025" w:rsidRDefault="002E4019" w:rsidP="00C21E71">
      <w:pPr>
        <w:pStyle w:val="Caption"/>
        <w:keepNext/>
      </w:pPr>
      <w:bookmarkStart w:id="55" w:name="_Ref486841963"/>
      <w:r>
        <w:t xml:space="preserve">Table </w:t>
      </w:r>
      <w:r w:rsidR="006D258D">
        <w:fldChar w:fldCharType="begin"/>
      </w:r>
      <w:r w:rsidR="006D258D">
        <w:instrText xml:space="preserve"> SEQ Table \* ARABIC </w:instrText>
      </w:r>
      <w:r w:rsidR="006D258D">
        <w:fldChar w:fldCharType="separate"/>
      </w:r>
      <w:r w:rsidR="0089599A">
        <w:rPr>
          <w:noProof/>
        </w:rPr>
        <w:t>1</w:t>
      </w:r>
      <w:r w:rsidR="006D258D">
        <w:rPr>
          <w:noProof/>
        </w:rPr>
        <w:fldChar w:fldCharType="end"/>
      </w:r>
      <w:bookmarkEnd w:id="55"/>
      <w:r>
        <w:t xml:space="preserve">: </w:t>
      </w:r>
      <w:r w:rsidR="00F81025">
        <w:t xml:space="preserve">End classes in the </w:t>
      </w:r>
      <w:r w:rsidR="00F81025" w:rsidRPr="006A76B1">
        <w:t>ATTC Version</w:t>
      </w:r>
      <w:r w:rsidR="00F81025">
        <w:t xml:space="preserve"> 1.0</w:t>
      </w:r>
    </w:p>
    <w:tbl>
      <w:tblPr>
        <w:tblStyle w:val="TableGrid"/>
        <w:tblW w:w="9889" w:type="dxa"/>
        <w:tblLook w:val="04A0" w:firstRow="1" w:lastRow="0" w:firstColumn="1" w:lastColumn="0" w:noHBand="0" w:noVBand="1"/>
        <w:tblCaption w:val="Table 1. End classes in the ATTC Version 1.0."/>
        <w:tblDescription w:val="Three column table identifying: class code; profession; and stage of training."/>
      </w:tblPr>
      <w:tblGrid>
        <w:gridCol w:w="1526"/>
        <w:gridCol w:w="1984"/>
        <w:gridCol w:w="6379"/>
      </w:tblGrid>
      <w:tr w:rsidR="00F81025" w:rsidRPr="003A5EEC" w:rsidTr="00313B57">
        <w:trPr>
          <w:trHeight w:val="300"/>
          <w:tblHeader/>
        </w:trPr>
        <w:tc>
          <w:tcPr>
            <w:tcW w:w="1526" w:type="dxa"/>
            <w:shd w:val="clear" w:color="auto" w:fill="D9D9D9" w:themeFill="background1" w:themeFillShade="D9"/>
            <w:hideMark/>
          </w:tcPr>
          <w:p w:rsidR="00F81025" w:rsidRPr="003A5EEC" w:rsidRDefault="00F81025" w:rsidP="00D818F2">
            <w:pPr>
              <w:rPr>
                <w:b/>
                <w:bCs/>
              </w:rPr>
            </w:pPr>
            <w:r>
              <w:rPr>
                <w:b/>
                <w:bCs/>
              </w:rPr>
              <w:t xml:space="preserve">Class </w:t>
            </w:r>
            <w:r w:rsidRPr="003A5EEC">
              <w:rPr>
                <w:b/>
                <w:bCs/>
              </w:rPr>
              <w:t>Code</w:t>
            </w:r>
          </w:p>
        </w:tc>
        <w:tc>
          <w:tcPr>
            <w:tcW w:w="1984" w:type="dxa"/>
            <w:shd w:val="clear" w:color="auto" w:fill="D9D9D9" w:themeFill="background1" w:themeFillShade="D9"/>
            <w:hideMark/>
          </w:tcPr>
          <w:p w:rsidR="00F81025" w:rsidRPr="003A5EEC" w:rsidRDefault="00F81025" w:rsidP="00D818F2">
            <w:pPr>
              <w:rPr>
                <w:b/>
                <w:bCs/>
              </w:rPr>
            </w:pPr>
            <w:r w:rsidRPr="003A5EEC">
              <w:rPr>
                <w:b/>
                <w:bCs/>
              </w:rPr>
              <w:t>Profession</w:t>
            </w:r>
          </w:p>
        </w:tc>
        <w:tc>
          <w:tcPr>
            <w:tcW w:w="6379" w:type="dxa"/>
            <w:shd w:val="clear" w:color="auto" w:fill="D9D9D9" w:themeFill="background1" w:themeFillShade="D9"/>
            <w:hideMark/>
          </w:tcPr>
          <w:p w:rsidR="00F81025" w:rsidRPr="003A5EEC" w:rsidRDefault="00F81025" w:rsidP="00D818F2">
            <w:pPr>
              <w:rPr>
                <w:b/>
                <w:bCs/>
              </w:rPr>
            </w:pPr>
            <w:r w:rsidRPr="003A5EEC">
              <w:rPr>
                <w:b/>
                <w:bCs/>
              </w:rPr>
              <w:t>Stage of training</w:t>
            </w:r>
          </w:p>
        </w:tc>
      </w:tr>
      <w:tr w:rsidR="00F81025" w:rsidRPr="003A5EEC" w:rsidTr="00D818F2">
        <w:trPr>
          <w:trHeight w:val="300"/>
        </w:trPr>
        <w:tc>
          <w:tcPr>
            <w:tcW w:w="1526" w:type="dxa"/>
            <w:hideMark/>
          </w:tcPr>
          <w:p w:rsidR="00F81025" w:rsidRPr="003A5EEC" w:rsidRDefault="00F81025" w:rsidP="00D818F2">
            <w:r w:rsidRPr="003A5EEC">
              <w:t>A1-01</w:t>
            </w:r>
          </w:p>
        </w:tc>
        <w:tc>
          <w:tcPr>
            <w:tcW w:w="1984" w:type="dxa"/>
            <w:hideMark/>
          </w:tcPr>
          <w:p w:rsidR="00F81025" w:rsidRPr="003A5EEC" w:rsidRDefault="00F81025" w:rsidP="00D818F2">
            <w:r w:rsidRPr="003A5EEC">
              <w:t>Allied health</w:t>
            </w:r>
          </w:p>
        </w:tc>
        <w:tc>
          <w:tcPr>
            <w:tcW w:w="6379" w:type="dxa"/>
            <w:hideMark/>
          </w:tcPr>
          <w:p w:rsidR="00F81025" w:rsidRPr="003A5EEC" w:rsidRDefault="00F81025" w:rsidP="00D818F2">
            <w:r>
              <w:t xml:space="preserve">Pre-entry </w:t>
            </w:r>
            <w:r w:rsidRPr="003A5EEC">
              <w:t>student</w:t>
            </w:r>
          </w:p>
        </w:tc>
      </w:tr>
      <w:tr w:rsidR="00F81025" w:rsidRPr="003A5EEC" w:rsidTr="00D818F2">
        <w:trPr>
          <w:trHeight w:val="300"/>
        </w:trPr>
        <w:tc>
          <w:tcPr>
            <w:tcW w:w="1526" w:type="dxa"/>
            <w:hideMark/>
          </w:tcPr>
          <w:p w:rsidR="00F81025" w:rsidRPr="003A5EEC" w:rsidRDefault="00F81025" w:rsidP="00D818F2">
            <w:r w:rsidRPr="003A5EEC">
              <w:t>A2-01</w:t>
            </w:r>
          </w:p>
        </w:tc>
        <w:tc>
          <w:tcPr>
            <w:tcW w:w="1984" w:type="dxa"/>
            <w:hideMark/>
          </w:tcPr>
          <w:p w:rsidR="00F81025" w:rsidRPr="003A5EEC" w:rsidRDefault="00F81025" w:rsidP="00D818F2">
            <w:r w:rsidRPr="003A5EEC">
              <w:t>Allied health</w:t>
            </w:r>
          </w:p>
        </w:tc>
        <w:tc>
          <w:tcPr>
            <w:tcW w:w="6379" w:type="dxa"/>
            <w:hideMark/>
          </w:tcPr>
          <w:p w:rsidR="00F81025" w:rsidRPr="003A5EEC" w:rsidRDefault="00F81025" w:rsidP="00D818F2">
            <w:r w:rsidRPr="003A5EEC">
              <w:t>New graduate</w:t>
            </w:r>
          </w:p>
        </w:tc>
      </w:tr>
      <w:tr w:rsidR="00F81025" w:rsidRPr="003A5EEC" w:rsidTr="00D818F2">
        <w:trPr>
          <w:trHeight w:val="300"/>
        </w:trPr>
        <w:tc>
          <w:tcPr>
            <w:tcW w:w="1526" w:type="dxa"/>
            <w:hideMark/>
          </w:tcPr>
          <w:p w:rsidR="00F81025" w:rsidRPr="003A5EEC" w:rsidRDefault="00F81025" w:rsidP="00D818F2">
            <w:r w:rsidRPr="003A5EEC">
              <w:t>A3-01</w:t>
            </w:r>
          </w:p>
        </w:tc>
        <w:tc>
          <w:tcPr>
            <w:tcW w:w="1984" w:type="dxa"/>
            <w:hideMark/>
          </w:tcPr>
          <w:p w:rsidR="00F81025" w:rsidRPr="003A5EEC" w:rsidRDefault="00F81025" w:rsidP="00D818F2">
            <w:r w:rsidRPr="003A5EEC">
              <w:t>Allied health</w:t>
            </w:r>
          </w:p>
        </w:tc>
        <w:tc>
          <w:tcPr>
            <w:tcW w:w="6379" w:type="dxa"/>
            <w:hideMark/>
          </w:tcPr>
          <w:p w:rsidR="00F81025" w:rsidRPr="003A5EEC" w:rsidRDefault="00F81025" w:rsidP="00D818F2">
            <w:r>
              <w:t>Postgraduate/vocational student</w:t>
            </w:r>
          </w:p>
        </w:tc>
      </w:tr>
      <w:tr w:rsidR="00F81025" w:rsidRPr="003A5EEC" w:rsidTr="00D818F2">
        <w:trPr>
          <w:trHeight w:val="300"/>
        </w:trPr>
        <w:tc>
          <w:tcPr>
            <w:tcW w:w="1526" w:type="dxa"/>
            <w:hideMark/>
          </w:tcPr>
          <w:p w:rsidR="00F81025" w:rsidRPr="003A5EEC" w:rsidRDefault="00F81025" w:rsidP="00D818F2">
            <w:r w:rsidRPr="003A5EEC">
              <w:t>A4-01</w:t>
            </w:r>
          </w:p>
        </w:tc>
        <w:tc>
          <w:tcPr>
            <w:tcW w:w="1984" w:type="dxa"/>
            <w:hideMark/>
          </w:tcPr>
          <w:p w:rsidR="00F81025" w:rsidRPr="003A5EEC" w:rsidRDefault="00F81025" w:rsidP="00D818F2">
            <w:r w:rsidRPr="003A5EEC">
              <w:t>Allied health</w:t>
            </w:r>
          </w:p>
        </w:tc>
        <w:tc>
          <w:tcPr>
            <w:tcW w:w="6379" w:type="dxa"/>
            <w:hideMark/>
          </w:tcPr>
          <w:p w:rsidR="00F81025" w:rsidRPr="003A5EEC" w:rsidRDefault="00F81025" w:rsidP="00D818F2">
            <w:r w:rsidRPr="003A5EEC">
              <w:t>Unknown stage of training</w:t>
            </w:r>
          </w:p>
        </w:tc>
      </w:tr>
      <w:tr w:rsidR="00F81025" w:rsidRPr="003A5EEC" w:rsidTr="00D818F2">
        <w:trPr>
          <w:trHeight w:val="300"/>
        </w:trPr>
        <w:tc>
          <w:tcPr>
            <w:tcW w:w="1526" w:type="dxa"/>
            <w:hideMark/>
          </w:tcPr>
          <w:p w:rsidR="00F81025" w:rsidRPr="003A5EEC" w:rsidRDefault="00F81025" w:rsidP="00D818F2">
            <w:r w:rsidRPr="003A5EEC">
              <w:t>B1-01</w:t>
            </w:r>
          </w:p>
        </w:tc>
        <w:tc>
          <w:tcPr>
            <w:tcW w:w="1984" w:type="dxa"/>
            <w:hideMark/>
          </w:tcPr>
          <w:p w:rsidR="00F81025" w:rsidRPr="003A5EEC" w:rsidRDefault="00F81025" w:rsidP="00D818F2">
            <w:r w:rsidRPr="003A5EEC">
              <w:t>Dentistry</w:t>
            </w:r>
          </w:p>
        </w:tc>
        <w:tc>
          <w:tcPr>
            <w:tcW w:w="6379" w:type="dxa"/>
            <w:hideMark/>
          </w:tcPr>
          <w:p w:rsidR="00F81025" w:rsidRPr="003A5EEC" w:rsidRDefault="00F81025" w:rsidP="00D818F2">
            <w:r>
              <w:t xml:space="preserve">Pre-entry </w:t>
            </w:r>
            <w:r w:rsidRPr="003A5EEC">
              <w:t>student</w:t>
            </w:r>
          </w:p>
        </w:tc>
      </w:tr>
      <w:tr w:rsidR="00F81025" w:rsidRPr="003A5EEC" w:rsidTr="00D818F2">
        <w:trPr>
          <w:trHeight w:val="300"/>
        </w:trPr>
        <w:tc>
          <w:tcPr>
            <w:tcW w:w="1526" w:type="dxa"/>
            <w:hideMark/>
          </w:tcPr>
          <w:p w:rsidR="00F81025" w:rsidRPr="003A5EEC" w:rsidRDefault="00F81025" w:rsidP="00D818F2">
            <w:r w:rsidRPr="003A5EEC">
              <w:t>B2-01</w:t>
            </w:r>
          </w:p>
        </w:tc>
        <w:tc>
          <w:tcPr>
            <w:tcW w:w="1984" w:type="dxa"/>
            <w:hideMark/>
          </w:tcPr>
          <w:p w:rsidR="00F81025" w:rsidRPr="003A5EEC" w:rsidRDefault="00F81025" w:rsidP="00D818F2">
            <w:r w:rsidRPr="003A5EEC">
              <w:t>Dentistry</w:t>
            </w:r>
          </w:p>
        </w:tc>
        <w:tc>
          <w:tcPr>
            <w:tcW w:w="6379" w:type="dxa"/>
            <w:hideMark/>
          </w:tcPr>
          <w:p w:rsidR="00F81025" w:rsidRPr="003A5EEC" w:rsidRDefault="00F81025" w:rsidP="00D818F2">
            <w:r w:rsidRPr="003A5EEC">
              <w:t>New graduate</w:t>
            </w:r>
          </w:p>
        </w:tc>
      </w:tr>
      <w:tr w:rsidR="00F81025" w:rsidRPr="003A5EEC" w:rsidTr="00D818F2">
        <w:trPr>
          <w:trHeight w:val="300"/>
        </w:trPr>
        <w:tc>
          <w:tcPr>
            <w:tcW w:w="1526" w:type="dxa"/>
            <w:hideMark/>
          </w:tcPr>
          <w:p w:rsidR="00F81025" w:rsidRPr="003A5EEC" w:rsidRDefault="00F81025" w:rsidP="00D818F2">
            <w:r w:rsidRPr="003A5EEC">
              <w:t>B3-01</w:t>
            </w:r>
          </w:p>
        </w:tc>
        <w:tc>
          <w:tcPr>
            <w:tcW w:w="1984" w:type="dxa"/>
            <w:hideMark/>
          </w:tcPr>
          <w:p w:rsidR="00F81025" w:rsidRPr="003A5EEC" w:rsidRDefault="00F81025" w:rsidP="00D818F2">
            <w:r w:rsidRPr="003A5EEC">
              <w:t>Dentistry</w:t>
            </w:r>
          </w:p>
        </w:tc>
        <w:tc>
          <w:tcPr>
            <w:tcW w:w="6379" w:type="dxa"/>
            <w:hideMark/>
          </w:tcPr>
          <w:p w:rsidR="00F81025" w:rsidRPr="003A5EEC" w:rsidRDefault="00F81025" w:rsidP="00D818F2">
            <w:r>
              <w:t>Postgraduate/vocational student</w:t>
            </w:r>
          </w:p>
        </w:tc>
      </w:tr>
      <w:tr w:rsidR="00F81025" w:rsidRPr="003A5EEC" w:rsidTr="00D818F2">
        <w:trPr>
          <w:trHeight w:val="300"/>
        </w:trPr>
        <w:tc>
          <w:tcPr>
            <w:tcW w:w="1526" w:type="dxa"/>
            <w:hideMark/>
          </w:tcPr>
          <w:p w:rsidR="00F81025" w:rsidRPr="003A5EEC" w:rsidRDefault="00F81025" w:rsidP="00D818F2">
            <w:r w:rsidRPr="003A5EEC">
              <w:lastRenderedPageBreak/>
              <w:t>B4-01</w:t>
            </w:r>
          </w:p>
        </w:tc>
        <w:tc>
          <w:tcPr>
            <w:tcW w:w="1984" w:type="dxa"/>
            <w:hideMark/>
          </w:tcPr>
          <w:p w:rsidR="00F81025" w:rsidRPr="003A5EEC" w:rsidRDefault="00F81025" w:rsidP="00D818F2">
            <w:r w:rsidRPr="003A5EEC">
              <w:t>Dentistry</w:t>
            </w:r>
          </w:p>
        </w:tc>
        <w:tc>
          <w:tcPr>
            <w:tcW w:w="6379" w:type="dxa"/>
            <w:hideMark/>
          </w:tcPr>
          <w:p w:rsidR="00F81025" w:rsidRPr="003A5EEC" w:rsidRDefault="00F81025" w:rsidP="00D818F2">
            <w:r w:rsidRPr="003A5EEC">
              <w:t>Unknown stage of training</w:t>
            </w:r>
          </w:p>
        </w:tc>
      </w:tr>
      <w:tr w:rsidR="00F81025" w:rsidRPr="003A5EEC" w:rsidTr="00D818F2">
        <w:trPr>
          <w:trHeight w:val="300"/>
        </w:trPr>
        <w:tc>
          <w:tcPr>
            <w:tcW w:w="1526" w:type="dxa"/>
            <w:hideMark/>
          </w:tcPr>
          <w:p w:rsidR="00F81025" w:rsidRPr="003A5EEC" w:rsidRDefault="00F81025" w:rsidP="00D818F2">
            <w:r w:rsidRPr="003A5EEC">
              <w:t>C1-01</w:t>
            </w:r>
          </w:p>
        </w:tc>
        <w:tc>
          <w:tcPr>
            <w:tcW w:w="1984" w:type="dxa"/>
            <w:hideMark/>
          </w:tcPr>
          <w:p w:rsidR="00F81025" w:rsidRPr="003A5EEC" w:rsidRDefault="00F81025" w:rsidP="00D818F2">
            <w:r w:rsidRPr="003A5EEC">
              <w:t>Medicine</w:t>
            </w:r>
          </w:p>
        </w:tc>
        <w:tc>
          <w:tcPr>
            <w:tcW w:w="6379" w:type="dxa"/>
            <w:hideMark/>
          </w:tcPr>
          <w:p w:rsidR="00F81025" w:rsidRPr="003A5EEC" w:rsidRDefault="00F81025" w:rsidP="00D818F2">
            <w:r>
              <w:t xml:space="preserve">Pre-entry </w:t>
            </w:r>
            <w:r w:rsidRPr="003A5EEC">
              <w:t>student</w:t>
            </w:r>
          </w:p>
        </w:tc>
      </w:tr>
      <w:tr w:rsidR="00F81025" w:rsidRPr="003A5EEC" w:rsidTr="00D818F2">
        <w:trPr>
          <w:trHeight w:val="300"/>
        </w:trPr>
        <w:tc>
          <w:tcPr>
            <w:tcW w:w="1526" w:type="dxa"/>
            <w:hideMark/>
          </w:tcPr>
          <w:p w:rsidR="00F81025" w:rsidRPr="003A5EEC" w:rsidRDefault="00F81025" w:rsidP="00D818F2">
            <w:r w:rsidRPr="003A5EEC">
              <w:t>C2-01</w:t>
            </w:r>
          </w:p>
        </w:tc>
        <w:tc>
          <w:tcPr>
            <w:tcW w:w="1984" w:type="dxa"/>
            <w:hideMark/>
          </w:tcPr>
          <w:p w:rsidR="00F81025" w:rsidRPr="003A5EEC" w:rsidRDefault="00F81025" w:rsidP="00D818F2">
            <w:r w:rsidRPr="003A5EEC">
              <w:t>Medicine</w:t>
            </w:r>
          </w:p>
        </w:tc>
        <w:tc>
          <w:tcPr>
            <w:tcW w:w="6379" w:type="dxa"/>
            <w:hideMark/>
          </w:tcPr>
          <w:p w:rsidR="00F81025" w:rsidRPr="003A5EEC" w:rsidRDefault="00F81025" w:rsidP="00D818F2">
            <w:r w:rsidRPr="003A5EEC">
              <w:t>New graduate</w:t>
            </w:r>
          </w:p>
        </w:tc>
      </w:tr>
      <w:tr w:rsidR="00F81025" w:rsidRPr="003A5EEC" w:rsidTr="00D818F2">
        <w:trPr>
          <w:trHeight w:val="300"/>
        </w:trPr>
        <w:tc>
          <w:tcPr>
            <w:tcW w:w="1526" w:type="dxa"/>
            <w:hideMark/>
          </w:tcPr>
          <w:p w:rsidR="00F81025" w:rsidRPr="003A5EEC" w:rsidRDefault="00F81025" w:rsidP="00D818F2">
            <w:r w:rsidRPr="003A5EEC">
              <w:t>C3-01</w:t>
            </w:r>
          </w:p>
        </w:tc>
        <w:tc>
          <w:tcPr>
            <w:tcW w:w="1984" w:type="dxa"/>
            <w:hideMark/>
          </w:tcPr>
          <w:p w:rsidR="00F81025" w:rsidRPr="003A5EEC" w:rsidRDefault="00F81025" w:rsidP="00D818F2">
            <w:r w:rsidRPr="003A5EEC">
              <w:t>Medicine</w:t>
            </w:r>
          </w:p>
        </w:tc>
        <w:tc>
          <w:tcPr>
            <w:tcW w:w="6379" w:type="dxa"/>
            <w:hideMark/>
          </w:tcPr>
          <w:p w:rsidR="00F81025" w:rsidRPr="003A5EEC" w:rsidRDefault="00F81025" w:rsidP="00D818F2">
            <w:r>
              <w:t>Postgraduate/vocational student</w:t>
            </w:r>
          </w:p>
        </w:tc>
      </w:tr>
      <w:tr w:rsidR="00F81025" w:rsidRPr="003A5EEC" w:rsidTr="00D818F2">
        <w:trPr>
          <w:trHeight w:val="300"/>
        </w:trPr>
        <w:tc>
          <w:tcPr>
            <w:tcW w:w="1526" w:type="dxa"/>
            <w:hideMark/>
          </w:tcPr>
          <w:p w:rsidR="00F81025" w:rsidRPr="003A5EEC" w:rsidRDefault="00F81025" w:rsidP="00D818F2">
            <w:r w:rsidRPr="003A5EEC">
              <w:t>C4-01</w:t>
            </w:r>
          </w:p>
        </w:tc>
        <w:tc>
          <w:tcPr>
            <w:tcW w:w="1984" w:type="dxa"/>
            <w:hideMark/>
          </w:tcPr>
          <w:p w:rsidR="00F81025" w:rsidRPr="003A5EEC" w:rsidRDefault="00F81025" w:rsidP="00D818F2">
            <w:r w:rsidRPr="003A5EEC">
              <w:t>Medicine</w:t>
            </w:r>
          </w:p>
        </w:tc>
        <w:tc>
          <w:tcPr>
            <w:tcW w:w="6379" w:type="dxa"/>
            <w:hideMark/>
          </w:tcPr>
          <w:p w:rsidR="00F81025" w:rsidRPr="003A5EEC" w:rsidRDefault="00F81025" w:rsidP="00D818F2">
            <w:r w:rsidRPr="003A5EEC">
              <w:t>Unknown stage of training</w:t>
            </w:r>
          </w:p>
        </w:tc>
      </w:tr>
      <w:tr w:rsidR="00F81025" w:rsidRPr="003A5EEC" w:rsidTr="00D818F2">
        <w:trPr>
          <w:trHeight w:val="300"/>
        </w:trPr>
        <w:tc>
          <w:tcPr>
            <w:tcW w:w="1526" w:type="dxa"/>
            <w:hideMark/>
          </w:tcPr>
          <w:p w:rsidR="00F81025" w:rsidRPr="003A5EEC" w:rsidRDefault="00F81025" w:rsidP="00D818F2">
            <w:r w:rsidRPr="003A5EEC">
              <w:t>D1-01</w:t>
            </w:r>
          </w:p>
        </w:tc>
        <w:tc>
          <w:tcPr>
            <w:tcW w:w="1984" w:type="dxa"/>
            <w:hideMark/>
          </w:tcPr>
          <w:p w:rsidR="00F81025" w:rsidRPr="003A5EEC" w:rsidRDefault="00F81025" w:rsidP="00D818F2">
            <w:r w:rsidRPr="003A5EEC">
              <w:t>Midwifery</w:t>
            </w:r>
          </w:p>
        </w:tc>
        <w:tc>
          <w:tcPr>
            <w:tcW w:w="6379" w:type="dxa"/>
            <w:hideMark/>
          </w:tcPr>
          <w:p w:rsidR="00F81025" w:rsidRPr="003A5EEC" w:rsidRDefault="00F81025" w:rsidP="00D818F2">
            <w:r>
              <w:t xml:space="preserve">Pre-entry </w:t>
            </w:r>
            <w:r w:rsidRPr="003A5EEC">
              <w:t>student</w:t>
            </w:r>
          </w:p>
        </w:tc>
      </w:tr>
      <w:tr w:rsidR="00F81025" w:rsidRPr="003A5EEC" w:rsidTr="00D818F2">
        <w:trPr>
          <w:trHeight w:val="300"/>
        </w:trPr>
        <w:tc>
          <w:tcPr>
            <w:tcW w:w="1526" w:type="dxa"/>
            <w:hideMark/>
          </w:tcPr>
          <w:p w:rsidR="00F81025" w:rsidRPr="003A5EEC" w:rsidRDefault="00F81025" w:rsidP="00D818F2">
            <w:r w:rsidRPr="003A5EEC">
              <w:t>D2-01</w:t>
            </w:r>
          </w:p>
        </w:tc>
        <w:tc>
          <w:tcPr>
            <w:tcW w:w="1984" w:type="dxa"/>
            <w:hideMark/>
          </w:tcPr>
          <w:p w:rsidR="00F81025" w:rsidRPr="003A5EEC" w:rsidRDefault="00F81025" w:rsidP="00D818F2">
            <w:r w:rsidRPr="003A5EEC">
              <w:t>Midwifery</w:t>
            </w:r>
          </w:p>
        </w:tc>
        <w:tc>
          <w:tcPr>
            <w:tcW w:w="6379" w:type="dxa"/>
            <w:hideMark/>
          </w:tcPr>
          <w:p w:rsidR="00F81025" w:rsidRPr="003A5EEC" w:rsidRDefault="00F81025" w:rsidP="00D818F2">
            <w:r w:rsidRPr="003A5EEC">
              <w:t>New graduate</w:t>
            </w:r>
          </w:p>
        </w:tc>
      </w:tr>
      <w:tr w:rsidR="00F81025" w:rsidRPr="003A5EEC" w:rsidTr="00D818F2">
        <w:trPr>
          <w:trHeight w:val="300"/>
        </w:trPr>
        <w:tc>
          <w:tcPr>
            <w:tcW w:w="1526" w:type="dxa"/>
            <w:hideMark/>
          </w:tcPr>
          <w:p w:rsidR="00F81025" w:rsidRPr="003A5EEC" w:rsidRDefault="00F81025" w:rsidP="00D818F2">
            <w:r w:rsidRPr="003A5EEC">
              <w:t>D3-01</w:t>
            </w:r>
          </w:p>
        </w:tc>
        <w:tc>
          <w:tcPr>
            <w:tcW w:w="1984" w:type="dxa"/>
            <w:hideMark/>
          </w:tcPr>
          <w:p w:rsidR="00F81025" w:rsidRPr="003A5EEC" w:rsidRDefault="00F81025" w:rsidP="00D818F2">
            <w:r w:rsidRPr="003A5EEC">
              <w:t>Midwifery</w:t>
            </w:r>
          </w:p>
        </w:tc>
        <w:tc>
          <w:tcPr>
            <w:tcW w:w="6379" w:type="dxa"/>
            <w:hideMark/>
          </w:tcPr>
          <w:p w:rsidR="00F81025" w:rsidRPr="003A5EEC" w:rsidRDefault="00F81025" w:rsidP="00D818F2">
            <w:r>
              <w:t>Postgraduate/vocational student</w:t>
            </w:r>
          </w:p>
        </w:tc>
      </w:tr>
      <w:tr w:rsidR="00F81025" w:rsidRPr="003A5EEC" w:rsidTr="00D818F2">
        <w:trPr>
          <w:trHeight w:val="300"/>
        </w:trPr>
        <w:tc>
          <w:tcPr>
            <w:tcW w:w="1526" w:type="dxa"/>
            <w:hideMark/>
          </w:tcPr>
          <w:p w:rsidR="00F81025" w:rsidRPr="003A5EEC" w:rsidRDefault="00F81025" w:rsidP="00D818F2">
            <w:r w:rsidRPr="003A5EEC">
              <w:t>D4-01</w:t>
            </w:r>
          </w:p>
        </w:tc>
        <w:tc>
          <w:tcPr>
            <w:tcW w:w="1984" w:type="dxa"/>
            <w:hideMark/>
          </w:tcPr>
          <w:p w:rsidR="00F81025" w:rsidRPr="003A5EEC" w:rsidRDefault="00F81025" w:rsidP="00D818F2">
            <w:r w:rsidRPr="003A5EEC">
              <w:t>Midwifery</w:t>
            </w:r>
          </w:p>
        </w:tc>
        <w:tc>
          <w:tcPr>
            <w:tcW w:w="6379" w:type="dxa"/>
            <w:hideMark/>
          </w:tcPr>
          <w:p w:rsidR="00F81025" w:rsidRPr="003A5EEC" w:rsidRDefault="00F81025" w:rsidP="00D818F2">
            <w:r w:rsidRPr="003A5EEC">
              <w:t>Unknown stage of training</w:t>
            </w:r>
          </w:p>
        </w:tc>
      </w:tr>
      <w:tr w:rsidR="00F81025" w:rsidRPr="003A5EEC" w:rsidTr="00D818F2">
        <w:trPr>
          <w:trHeight w:val="300"/>
        </w:trPr>
        <w:tc>
          <w:tcPr>
            <w:tcW w:w="1526" w:type="dxa"/>
            <w:hideMark/>
          </w:tcPr>
          <w:p w:rsidR="00F81025" w:rsidRPr="003A5EEC" w:rsidRDefault="00F81025" w:rsidP="00D818F2">
            <w:r w:rsidRPr="003A5EEC">
              <w:t>E1-01</w:t>
            </w:r>
          </w:p>
        </w:tc>
        <w:tc>
          <w:tcPr>
            <w:tcW w:w="1984" w:type="dxa"/>
            <w:hideMark/>
          </w:tcPr>
          <w:p w:rsidR="00F81025" w:rsidRPr="003A5EEC" w:rsidRDefault="00F81025" w:rsidP="00D818F2">
            <w:r w:rsidRPr="003A5EEC">
              <w:t>Nursing</w:t>
            </w:r>
          </w:p>
        </w:tc>
        <w:tc>
          <w:tcPr>
            <w:tcW w:w="6379" w:type="dxa"/>
            <w:hideMark/>
          </w:tcPr>
          <w:p w:rsidR="00F81025" w:rsidRPr="003A5EEC" w:rsidRDefault="00F81025" w:rsidP="00D818F2">
            <w:r>
              <w:t xml:space="preserve">Pre-entry </w:t>
            </w:r>
            <w:r w:rsidRPr="003A5EEC">
              <w:t>student</w:t>
            </w:r>
          </w:p>
        </w:tc>
      </w:tr>
      <w:tr w:rsidR="00F81025" w:rsidRPr="003A5EEC" w:rsidTr="00D818F2">
        <w:trPr>
          <w:trHeight w:val="300"/>
        </w:trPr>
        <w:tc>
          <w:tcPr>
            <w:tcW w:w="1526" w:type="dxa"/>
            <w:hideMark/>
          </w:tcPr>
          <w:p w:rsidR="00F81025" w:rsidRPr="003A5EEC" w:rsidRDefault="00F81025" w:rsidP="00D818F2">
            <w:r w:rsidRPr="003A5EEC">
              <w:t>E2-01</w:t>
            </w:r>
          </w:p>
        </w:tc>
        <w:tc>
          <w:tcPr>
            <w:tcW w:w="1984" w:type="dxa"/>
            <w:hideMark/>
          </w:tcPr>
          <w:p w:rsidR="00F81025" w:rsidRPr="003A5EEC" w:rsidRDefault="00F81025" w:rsidP="00D818F2">
            <w:r w:rsidRPr="003A5EEC">
              <w:t>Nursing</w:t>
            </w:r>
          </w:p>
        </w:tc>
        <w:tc>
          <w:tcPr>
            <w:tcW w:w="6379" w:type="dxa"/>
            <w:hideMark/>
          </w:tcPr>
          <w:p w:rsidR="00F81025" w:rsidRPr="003A5EEC" w:rsidRDefault="00F81025" w:rsidP="00D818F2">
            <w:r w:rsidRPr="003A5EEC">
              <w:t>New graduate</w:t>
            </w:r>
          </w:p>
        </w:tc>
      </w:tr>
      <w:tr w:rsidR="00F81025" w:rsidRPr="003A5EEC" w:rsidTr="00D818F2">
        <w:trPr>
          <w:trHeight w:val="300"/>
        </w:trPr>
        <w:tc>
          <w:tcPr>
            <w:tcW w:w="1526" w:type="dxa"/>
            <w:hideMark/>
          </w:tcPr>
          <w:p w:rsidR="00F81025" w:rsidRPr="003A5EEC" w:rsidRDefault="00F81025" w:rsidP="00D818F2">
            <w:r w:rsidRPr="003A5EEC">
              <w:t>E3-01</w:t>
            </w:r>
          </w:p>
        </w:tc>
        <w:tc>
          <w:tcPr>
            <w:tcW w:w="1984" w:type="dxa"/>
            <w:hideMark/>
          </w:tcPr>
          <w:p w:rsidR="00F81025" w:rsidRPr="003A5EEC" w:rsidRDefault="00F81025" w:rsidP="00D818F2">
            <w:r w:rsidRPr="003A5EEC">
              <w:t>Nursing</w:t>
            </w:r>
          </w:p>
        </w:tc>
        <w:tc>
          <w:tcPr>
            <w:tcW w:w="6379" w:type="dxa"/>
            <w:hideMark/>
          </w:tcPr>
          <w:p w:rsidR="00F81025" w:rsidRPr="003A5EEC" w:rsidRDefault="00F81025" w:rsidP="00D818F2">
            <w:r>
              <w:t>Postgraduate/vocational student</w:t>
            </w:r>
          </w:p>
        </w:tc>
      </w:tr>
      <w:tr w:rsidR="00F81025" w:rsidRPr="003A5EEC" w:rsidTr="00D818F2">
        <w:trPr>
          <w:trHeight w:val="300"/>
        </w:trPr>
        <w:tc>
          <w:tcPr>
            <w:tcW w:w="1526" w:type="dxa"/>
            <w:hideMark/>
          </w:tcPr>
          <w:p w:rsidR="00F81025" w:rsidRPr="003A5EEC" w:rsidRDefault="00F81025" w:rsidP="00D818F2">
            <w:r w:rsidRPr="003A5EEC">
              <w:t>E4-01</w:t>
            </w:r>
          </w:p>
        </w:tc>
        <w:tc>
          <w:tcPr>
            <w:tcW w:w="1984" w:type="dxa"/>
            <w:hideMark/>
          </w:tcPr>
          <w:p w:rsidR="00F81025" w:rsidRPr="003A5EEC" w:rsidRDefault="00F81025" w:rsidP="00D818F2">
            <w:r w:rsidRPr="003A5EEC">
              <w:t>Nursing</w:t>
            </w:r>
          </w:p>
        </w:tc>
        <w:tc>
          <w:tcPr>
            <w:tcW w:w="6379" w:type="dxa"/>
            <w:hideMark/>
          </w:tcPr>
          <w:p w:rsidR="00F81025" w:rsidRPr="003A5EEC" w:rsidRDefault="00F81025" w:rsidP="00D818F2">
            <w:r w:rsidRPr="003A5EEC">
              <w:t>Unknown stage of training</w:t>
            </w:r>
          </w:p>
        </w:tc>
      </w:tr>
    </w:tbl>
    <w:p w:rsidR="00F81025" w:rsidRDefault="00F81025" w:rsidP="00F81025">
      <w:pPr>
        <w:pStyle w:val="Heading2"/>
      </w:pPr>
      <w:bookmarkStart w:id="56" w:name="_Toc488332273"/>
      <w:r w:rsidRPr="000B1758">
        <w:t>Performance of the splitting variables</w:t>
      </w:r>
      <w:bookmarkEnd w:id="56"/>
    </w:p>
    <w:p w:rsidR="00F81025" w:rsidRDefault="00F81025" w:rsidP="00F81025">
      <w:pPr>
        <w:spacing w:after="160" w:line="276" w:lineRule="auto"/>
        <w:rPr>
          <w:rFonts w:cs="Arial"/>
        </w:rPr>
      </w:pPr>
      <w:r>
        <w:rPr>
          <w:rFonts w:cs="Arial"/>
        </w:rPr>
        <w:t xml:space="preserve">The </w:t>
      </w:r>
      <w:r w:rsidRPr="002B66CF">
        <w:rPr>
          <w:rFonts w:cs="Arial"/>
        </w:rPr>
        <w:t>proposed end classes with FTE numbers, average cost</w:t>
      </w:r>
      <w:r>
        <w:rPr>
          <w:rFonts w:cs="Arial"/>
        </w:rPr>
        <w:t>,</w:t>
      </w:r>
      <w:r w:rsidRPr="002B66CF">
        <w:rPr>
          <w:rFonts w:cs="Arial"/>
        </w:rPr>
        <w:t xml:space="preserve"> and </w:t>
      </w:r>
      <w:r>
        <w:rPr>
          <w:rFonts w:cs="Arial"/>
        </w:rPr>
        <w:t>c</w:t>
      </w:r>
      <w:r w:rsidRPr="002B66CF">
        <w:rPr>
          <w:rFonts w:cs="Arial"/>
        </w:rPr>
        <w:t xml:space="preserve">oefficient of variation </w:t>
      </w:r>
      <w:r>
        <w:rPr>
          <w:rFonts w:cs="Arial"/>
        </w:rPr>
        <w:t xml:space="preserve">(CV) </w:t>
      </w:r>
      <w:r w:rsidRPr="002B66CF">
        <w:rPr>
          <w:rFonts w:cs="Arial"/>
        </w:rPr>
        <w:t xml:space="preserve">values </w:t>
      </w:r>
      <w:r>
        <w:rPr>
          <w:rFonts w:cs="Arial"/>
        </w:rPr>
        <w:t>based on the data set from the TTR Costing Study are</w:t>
      </w:r>
      <w:r w:rsidRPr="002B66CF">
        <w:rPr>
          <w:rFonts w:cs="Arial"/>
        </w:rPr>
        <w:t xml:space="preserve"> at </w:t>
      </w:r>
      <w:r w:rsidRPr="008510FE">
        <w:rPr>
          <w:rFonts w:cs="Arial"/>
        </w:rPr>
        <w:t xml:space="preserve">Appendix </w:t>
      </w:r>
      <w:r>
        <w:rPr>
          <w:rFonts w:cs="Arial"/>
        </w:rPr>
        <w:t>C</w:t>
      </w:r>
      <w:r w:rsidRPr="002B66CF">
        <w:rPr>
          <w:rFonts w:cs="Arial"/>
        </w:rPr>
        <w:t xml:space="preserve">. </w:t>
      </w:r>
      <w:r>
        <w:rPr>
          <w:rFonts w:cs="Arial"/>
        </w:rPr>
        <w:t xml:space="preserve">CV </w:t>
      </w:r>
      <w:r w:rsidRPr="002B66CF">
        <w:rPr>
          <w:rFonts w:cs="Arial"/>
        </w:rPr>
        <w:t>is a statistical measure often used in classification development. It represents the dispersion around the average in a data sample, with the larger the CV, the greater the variability around the average. Generally, the aim is to have a lower CV (less than 1.0) for the majority of end classes as this means there is a relatively small variation within the end class.</w:t>
      </w:r>
    </w:p>
    <w:p w:rsidR="00F81025" w:rsidRDefault="00F81025" w:rsidP="00F81025">
      <w:pPr>
        <w:spacing w:after="160" w:line="276" w:lineRule="auto"/>
        <w:rPr>
          <w:rFonts w:cs="Arial"/>
        </w:rPr>
      </w:pPr>
      <w:r>
        <w:rPr>
          <w:rFonts w:cs="Arial"/>
        </w:rPr>
        <w:t>The data presented in Appendix C is presented as the number of FTEs and average cost per month and is not an annualised figure.</w:t>
      </w:r>
    </w:p>
    <w:p w:rsidR="00F81025" w:rsidRDefault="00F81025" w:rsidP="00F81025">
      <w:pPr>
        <w:pStyle w:val="Heading2"/>
      </w:pPr>
      <w:bookmarkStart w:id="57" w:name="_Toc488332274"/>
      <w:r>
        <w:t>V</w:t>
      </w:r>
      <w:r w:rsidRPr="000B1758">
        <w:t>ariables</w:t>
      </w:r>
      <w:r>
        <w:t xml:space="preserve"> for consideration in future versions of the ATTC</w:t>
      </w:r>
      <w:bookmarkEnd w:id="57"/>
    </w:p>
    <w:p w:rsidR="00F81025" w:rsidRDefault="00F81025" w:rsidP="00F81025">
      <w:pPr>
        <w:spacing w:after="160" w:line="276" w:lineRule="auto"/>
        <w:rPr>
          <w:rFonts w:cs="Arial"/>
        </w:rPr>
      </w:pPr>
      <w:r>
        <w:rPr>
          <w:rFonts w:cs="Arial"/>
        </w:rPr>
        <w:t>While the first version of the ATTC contains only two levels, with further activity and cost data, refinements can be made to increase the specificity related to trainee characteristics and add additional levels and end classes.</w:t>
      </w:r>
    </w:p>
    <w:p w:rsidR="00F81025" w:rsidRDefault="00F81025" w:rsidP="00313B57">
      <w:pPr>
        <w:keepLines/>
        <w:spacing w:after="160" w:line="276" w:lineRule="auto"/>
        <w:rPr>
          <w:rFonts w:cs="Arial"/>
        </w:rPr>
      </w:pPr>
      <w:r>
        <w:rPr>
          <w:rFonts w:cs="Arial"/>
        </w:rPr>
        <w:lastRenderedPageBreak/>
        <w:t>Based on the data analysis to inform the development of the ATTC, there is strong evidence that the following variables are cost drivers.</w:t>
      </w:r>
      <w:r w:rsidRPr="00F45AED">
        <w:t xml:space="preserve"> </w:t>
      </w:r>
      <w:r>
        <w:t>These variables were not included in the first version of the ATTC as consultations with c</w:t>
      </w:r>
      <w:r w:rsidRPr="00F45AED">
        <w:rPr>
          <w:rFonts w:cs="Arial"/>
        </w:rPr>
        <w:t xml:space="preserve">linicians indicated that some of the groupings did not have face validity to warrant their inclusion </w:t>
      </w:r>
      <w:r>
        <w:rPr>
          <w:rFonts w:cs="Arial"/>
        </w:rPr>
        <w:t xml:space="preserve">in the classification </w:t>
      </w:r>
      <w:r w:rsidRPr="00F45AED">
        <w:rPr>
          <w:rFonts w:cs="Arial"/>
        </w:rPr>
        <w:t>at this stage.</w:t>
      </w:r>
      <w:r>
        <w:rPr>
          <w:rFonts w:cs="Arial"/>
        </w:rPr>
        <w:t xml:space="preserve"> For example, c</w:t>
      </w:r>
      <w:r w:rsidRPr="00F45AED">
        <w:rPr>
          <w:rFonts w:cs="Arial"/>
        </w:rPr>
        <w:t xml:space="preserve">linicians consulted suggested that </w:t>
      </w:r>
      <w:r w:rsidR="00841635">
        <w:rPr>
          <w:rFonts w:cs="Arial"/>
        </w:rPr>
        <w:t xml:space="preserve">while </w:t>
      </w:r>
      <w:r w:rsidRPr="00F45AED">
        <w:rPr>
          <w:rFonts w:cs="Arial"/>
        </w:rPr>
        <w:t xml:space="preserve">there was not strong evidence as to why postgraduate </w:t>
      </w:r>
      <w:r>
        <w:rPr>
          <w:rFonts w:cs="Arial"/>
        </w:rPr>
        <w:t xml:space="preserve">pre-entry students </w:t>
      </w:r>
      <w:r w:rsidRPr="00F45AED">
        <w:rPr>
          <w:rFonts w:cs="Arial"/>
        </w:rPr>
        <w:t>and undergraduate pr</w:t>
      </w:r>
      <w:r>
        <w:rPr>
          <w:rFonts w:cs="Arial"/>
        </w:rPr>
        <w:t>e-entry</w:t>
      </w:r>
      <w:r w:rsidRPr="00F45AED">
        <w:rPr>
          <w:rFonts w:cs="Arial"/>
        </w:rPr>
        <w:t xml:space="preserve"> students would have significantly different costs for a hospital</w:t>
      </w:r>
      <w:r w:rsidR="00841635">
        <w:rPr>
          <w:rFonts w:cs="Arial"/>
        </w:rPr>
        <w:t xml:space="preserve">, </w:t>
      </w:r>
      <w:r w:rsidRPr="00F45AED">
        <w:rPr>
          <w:rFonts w:cs="Arial"/>
        </w:rPr>
        <w:t>there is likely to be a cost difference between pr</w:t>
      </w:r>
      <w:r>
        <w:rPr>
          <w:rFonts w:cs="Arial"/>
        </w:rPr>
        <w:t>e-entry</w:t>
      </w:r>
      <w:r w:rsidRPr="00F45AED">
        <w:rPr>
          <w:rFonts w:cs="Arial"/>
        </w:rPr>
        <w:t xml:space="preserve"> students in early years and later years. </w:t>
      </w:r>
      <w:r>
        <w:rPr>
          <w:rFonts w:cs="Arial"/>
        </w:rPr>
        <w:t>Therefore, IHPA is proposing to continue to collection the following data items in the HTTRA NBEDS going forward:</w:t>
      </w:r>
    </w:p>
    <w:p w:rsidR="00F81025" w:rsidRPr="00313B57" w:rsidRDefault="00F81025" w:rsidP="00313B57">
      <w:pPr>
        <w:pStyle w:val="NormalWeb"/>
        <w:numPr>
          <w:ilvl w:val="0"/>
          <w:numId w:val="16"/>
        </w:numPr>
        <w:spacing w:before="0" w:beforeAutospacing="0" w:after="40" w:afterAutospacing="0" w:line="276" w:lineRule="auto"/>
        <w:textAlignment w:val="baseline"/>
        <w:rPr>
          <w:rFonts w:asciiTheme="minorHAnsi" w:hAnsiTheme="minorHAnsi" w:cstheme="minorHAnsi"/>
          <w:sz w:val="22"/>
          <w:szCs w:val="22"/>
        </w:rPr>
      </w:pPr>
      <w:r w:rsidRPr="00313B57">
        <w:rPr>
          <w:rFonts w:asciiTheme="minorHAnsi" w:hAnsiTheme="minorHAnsi" w:cstheme="minorHAnsi"/>
          <w:sz w:val="22"/>
          <w:szCs w:val="22"/>
        </w:rPr>
        <w:t>Year of training – the year of an accredited education course that a trainee is enrolled in (for example, year one, year two, basic registrar, advanced registrar).</w:t>
      </w:r>
    </w:p>
    <w:p w:rsidR="00F81025" w:rsidRPr="00313B57" w:rsidRDefault="00F81025" w:rsidP="00313B57">
      <w:pPr>
        <w:pStyle w:val="NormalWeb"/>
        <w:numPr>
          <w:ilvl w:val="0"/>
          <w:numId w:val="16"/>
        </w:numPr>
        <w:spacing w:before="0" w:beforeAutospacing="0" w:after="40" w:afterAutospacing="0" w:line="276" w:lineRule="auto"/>
        <w:textAlignment w:val="baseline"/>
        <w:rPr>
          <w:rFonts w:asciiTheme="minorHAnsi" w:hAnsiTheme="minorHAnsi" w:cstheme="minorHAnsi"/>
          <w:sz w:val="22"/>
          <w:szCs w:val="22"/>
        </w:rPr>
      </w:pPr>
      <w:r w:rsidRPr="00313B57">
        <w:rPr>
          <w:rFonts w:asciiTheme="minorHAnsi" w:hAnsiTheme="minorHAnsi" w:cstheme="minorHAnsi"/>
          <w:sz w:val="22"/>
          <w:szCs w:val="22"/>
        </w:rPr>
        <w:t xml:space="preserve">Area of </w:t>
      </w:r>
      <w:r w:rsidRPr="00313B57">
        <w:rPr>
          <w:rFonts w:asciiTheme="minorHAnsi" w:hAnsiTheme="minorHAnsi" w:cstheme="minorHAnsi"/>
          <w:color w:val="000000"/>
          <w:sz w:val="22"/>
          <w:szCs w:val="22"/>
        </w:rPr>
        <w:t>clinical</w:t>
      </w:r>
      <w:r w:rsidRPr="00313B57">
        <w:rPr>
          <w:rFonts w:asciiTheme="minorHAnsi" w:hAnsiTheme="minorHAnsi" w:cstheme="minorHAnsi"/>
          <w:sz w:val="22"/>
          <w:szCs w:val="22"/>
        </w:rPr>
        <w:t xml:space="preserve"> focus – the specific field of healthcare which is the primary focus of the training in which a trainee is enrolled in (for example, allied health discipline, medical speciality, nursing specialisation).</w:t>
      </w:r>
    </w:p>
    <w:p w:rsidR="00F81025" w:rsidRPr="00313B57" w:rsidRDefault="00F81025" w:rsidP="00313B57">
      <w:pPr>
        <w:pStyle w:val="NormalWeb"/>
        <w:numPr>
          <w:ilvl w:val="0"/>
          <w:numId w:val="16"/>
        </w:numPr>
        <w:spacing w:before="0" w:beforeAutospacing="0" w:after="40" w:afterAutospacing="0" w:line="276" w:lineRule="auto"/>
        <w:textAlignment w:val="baseline"/>
        <w:rPr>
          <w:rFonts w:asciiTheme="minorHAnsi" w:hAnsiTheme="minorHAnsi" w:cstheme="minorHAnsi"/>
          <w:sz w:val="22"/>
          <w:szCs w:val="22"/>
        </w:rPr>
      </w:pPr>
      <w:r w:rsidRPr="00313B57">
        <w:rPr>
          <w:rFonts w:asciiTheme="minorHAnsi" w:hAnsiTheme="minorHAnsi" w:cstheme="minorHAnsi"/>
          <w:sz w:val="22"/>
          <w:szCs w:val="22"/>
        </w:rPr>
        <w:t>Level of qualifying education certification – the type of academic certification of the registered training program that a trainee is currently enrolled in (for example, bachelor degree, diploma, postgraduate degree).</w:t>
      </w:r>
    </w:p>
    <w:p w:rsidR="00F81025" w:rsidRPr="00D818F2" w:rsidRDefault="00F81025" w:rsidP="00D818F2">
      <w:pPr>
        <w:pStyle w:val="Heading3"/>
        <w:pBdr>
          <w:top w:val="single" w:sz="4" w:space="1" w:color="auto"/>
          <w:left w:val="single" w:sz="4" w:space="1" w:color="auto"/>
          <w:bottom w:val="single" w:sz="4" w:space="1" w:color="auto"/>
          <w:right w:val="single" w:sz="4" w:space="1" w:color="auto"/>
        </w:pBdr>
      </w:pPr>
      <w:bookmarkStart w:id="58" w:name="_Toc488332275"/>
      <w:bookmarkEnd w:id="53"/>
      <w:r w:rsidRPr="00D818F2">
        <w:t>Consultation questions</w:t>
      </w:r>
      <w:bookmarkEnd w:id="58"/>
    </w:p>
    <w:p w:rsidR="00F81025" w:rsidRPr="00520034" w:rsidRDefault="00F81025" w:rsidP="00D818F2">
      <w:pPr>
        <w:pStyle w:val="ListParagraph"/>
        <w:keepNext/>
        <w:keepLines/>
        <w:numPr>
          <w:ilvl w:val="0"/>
          <w:numId w:val="26"/>
        </w:numPr>
        <w:pBdr>
          <w:top w:val="single" w:sz="4" w:space="1" w:color="auto"/>
          <w:left w:val="single" w:sz="4" w:space="1" w:color="auto"/>
          <w:bottom w:val="single" w:sz="4" w:space="1" w:color="auto"/>
          <w:right w:val="single" w:sz="4" w:space="1" w:color="auto"/>
        </w:pBdr>
        <w:spacing w:before="0" w:after="200" w:line="276" w:lineRule="auto"/>
        <w:ind w:left="357" w:hanging="357"/>
        <w:rPr>
          <w:rFonts w:cs="Arial"/>
        </w:rPr>
      </w:pPr>
      <w:r>
        <w:rPr>
          <w:lang w:eastAsia="ja-JP"/>
        </w:rPr>
        <w:t>Are the</w:t>
      </w:r>
      <w:r w:rsidRPr="00D062BE">
        <w:rPr>
          <w:lang w:eastAsia="ja-JP"/>
        </w:rPr>
        <w:t xml:space="preserve"> </w:t>
      </w:r>
      <w:r>
        <w:rPr>
          <w:lang w:eastAsia="ja-JP"/>
        </w:rPr>
        <w:t xml:space="preserve">current </w:t>
      </w:r>
      <w:r w:rsidRPr="00D062BE">
        <w:rPr>
          <w:lang w:eastAsia="ja-JP"/>
        </w:rPr>
        <w:t xml:space="preserve">variables </w:t>
      </w:r>
      <w:r>
        <w:rPr>
          <w:lang w:eastAsia="ja-JP"/>
        </w:rPr>
        <w:t xml:space="preserve">included in the </w:t>
      </w:r>
      <w:r>
        <w:rPr>
          <w:rFonts w:cs="Arial"/>
          <w:lang w:val="en-US" w:eastAsia="ja-JP"/>
        </w:rPr>
        <w:t>ATTC</w:t>
      </w:r>
      <w:r w:rsidRPr="00C32FB0">
        <w:rPr>
          <w:rFonts w:cs="Arial"/>
          <w:lang w:val="en-US" w:eastAsia="ja-JP"/>
        </w:rPr>
        <w:t xml:space="preserve"> </w:t>
      </w:r>
      <w:r>
        <w:rPr>
          <w:lang w:eastAsia="ja-JP"/>
        </w:rPr>
        <w:t>Version 1.0 relevant to clinicians, health service managers, and other stakeholders</w:t>
      </w:r>
      <w:r>
        <w:rPr>
          <w:rFonts w:cs="Arial"/>
          <w:lang w:val="en-US" w:eastAsia="ja-JP"/>
        </w:rPr>
        <w:t>?</w:t>
      </w:r>
    </w:p>
    <w:p w:rsidR="00F81025" w:rsidRPr="00C32FB0" w:rsidRDefault="00F81025" w:rsidP="00D818F2">
      <w:pPr>
        <w:pStyle w:val="ListParagraph"/>
        <w:keepNext/>
        <w:keepLines/>
        <w:numPr>
          <w:ilvl w:val="0"/>
          <w:numId w:val="26"/>
        </w:numPr>
        <w:pBdr>
          <w:top w:val="single" w:sz="4" w:space="1" w:color="auto"/>
          <w:left w:val="single" w:sz="4" w:space="1" w:color="auto"/>
          <w:bottom w:val="single" w:sz="4" w:space="1" w:color="auto"/>
          <w:right w:val="single" w:sz="4" w:space="1" w:color="auto"/>
        </w:pBdr>
        <w:spacing w:before="0" w:after="160" w:line="276" w:lineRule="auto"/>
        <w:ind w:left="357" w:hanging="357"/>
        <w:rPr>
          <w:rFonts w:cs="Arial"/>
          <w:lang w:val="en-US" w:eastAsia="ja-JP"/>
        </w:rPr>
      </w:pPr>
      <w:r w:rsidRPr="00C32FB0">
        <w:rPr>
          <w:rFonts w:cs="Arial"/>
          <w:lang w:val="en-US" w:eastAsia="ja-JP"/>
        </w:rPr>
        <w:t xml:space="preserve">Are there any further considerations in relation to the proposed </w:t>
      </w:r>
      <w:r w:rsidR="006212CD">
        <w:rPr>
          <w:rFonts w:cs="Arial"/>
          <w:lang w:val="en-US" w:eastAsia="ja-JP"/>
        </w:rPr>
        <w:t>structure</w:t>
      </w:r>
      <w:r w:rsidRPr="00C32FB0">
        <w:rPr>
          <w:rFonts w:cs="Arial"/>
          <w:lang w:val="en-US" w:eastAsia="ja-JP"/>
        </w:rPr>
        <w:t>?</w:t>
      </w:r>
    </w:p>
    <w:p w:rsidR="00F81025" w:rsidRDefault="00F81025" w:rsidP="00D818F2">
      <w:pPr>
        <w:pStyle w:val="ListParagraph"/>
        <w:keepNext/>
        <w:keepLines/>
        <w:numPr>
          <w:ilvl w:val="0"/>
          <w:numId w:val="26"/>
        </w:numPr>
        <w:pBdr>
          <w:top w:val="single" w:sz="4" w:space="1" w:color="auto"/>
          <w:left w:val="single" w:sz="4" w:space="1" w:color="auto"/>
          <w:bottom w:val="single" w:sz="4" w:space="1" w:color="auto"/>
          <w:right w:val="single" w:sz="4" w:space="1" w:color="auto"/>
        </w:pBdr>
        <w:spacing w:before="0" w:after="160" w:line="276" w:lineRule="auto"/>
        <w:ind w:left="357" w:hanging="357"/>
        <w:rPr>
          <w:rFonts w:cs="Arial"/>
          <w:lang w:val="en-US" w:eastAsia="ja-JP"/>
        </w:rPr>
      </w:pPr>
      <w:r>
        <w:rPr>
          <w:rFonts w:cs="Arial"/>
          <w:lang w:val="en-US" w:eastAsia="ja-JP"/>
        </w:rPr>
        <w:t>Are there other variables which should be considered in future versions of the ATTC?</w:t>
      </w:r>
    </w:p>
    <w:p w:rsidR="00D818F2" w:rsidRDefault="00D818F2">
      <w:pPr>
        <w:spacing w:before="0" w:after="0" w:line="240" w:lineRule="auto"/>
      </w:pPr>
      <w:r>
        <w:br w:type="page"/>
      </w:r>
    </w:p>
    <w:p w:rsidR="00D818F2" w:rsidRPr="00331A1E" w:rsidRDefault="00D818F2" w:rsidP="0062739B">
      <w:pPr>
        <w:pStyle w:val="Heading1"/>
        <w:numPr>
          <w:ilvl w:val="0"/>
          <w:numId w:val="17"/>
        </w:numPr>
        <w:ind w:left="720"/>
      </w:pPr>
      <w:bookmarkStart w:id="59" w:name="_Toc488332276"/>
      <w:r w:rsidRPr="00AB45E7">
        <w:lastRenderedPageBreak/>
        <w:t>Next steps and further opportunities to participate</w:t>
      </w:r>
      <w:bookmarkEnd w:id="59"/>
    </w:p>
    <w:p w:rsidR="00D818F2" w:rsidRDefault="00D818F2" w:rsidP="00D818F2">
      <w:pPr>
        <w:spacing w:after="160" w:line="276" w:lineRule="auto"/>
        <w:rPr>
          <w:rFonts w:cs="Arial"/>
        </w:rPr>
      </w:pPr>
      <w:r w:rsidRPr="00DD5B88">
        <w:rPr>
          <w:rFonts w:cs="Arial"/>
        </w:rPr>
        <w:t xml:space="preserve">The ATTC’s current groupings are based on available data obtained through the TTR Costing Study. </w:t>
      </w:r>
      <w:r>
        <w:rPr>
          <w:rFonts w:cs="Arial"/>
        </w:rPr>
        <w:t xml:space="preserve">As with any new classification, the refinement of the ATTC is an iterative process and </w:t>
      </w:r>
      <w:r w:rsidRPr="00DD5B88">
        <w:rPr>
          <w:rFonts w:cs="Arial"/>
        </w:rPr>
        <w:t xml:space="preserve">IHPA </w:t>
      </w:r>
      <w:r>
        <w:rPr>
          <w:rFonts w:cs="Arial"/>
        </w:rPr>
        <w:t>will further</w:t>
      </w:r>
      <w:r w:rsidRPr="00DD5B88">
        <w:rPr>
          <w:rFonts w:cs="Arial"/>
        </w:rPr>
        <w:t xml:space="preserve"> refine the ATTC as more </w:t>
      </w:r>
      <w:r w:rsidRPr="00E17234">
        <w:rPr>
          <w:rFonts w:cs="Arial"/>
        </w:rPr>
        <w:t xml:space="preserve">teaching and training </w:t>
      </w:r>
      <w:r>
        <w:rPr>
          <w:rFonts w:cs="Arial"/>
        </w:rPr>
        <w:t xml:space="preserve">activity and cost </w:t>
      </w:r>
      <w:r w:rsidRPr="00DD5B88">
        <w:rPr>
          <w:rFonts w:cs="Arial"/>
        </w:rPr>
        <w:t xml:space="preserve">data becomes available. </w:t>
      </w:r>
      <w:r w:rsidR="00CD5619" w:rsidRPr="00CD5619">
        <w:rPr>
          <w:rFonts w:cs="Arial"/>
        </w:rPr>
        <w:t xml:space="preserve">Reporting of teaching and training activity data will be undertaken by jurisdictions as per the HTTRA NBEDS, and costing as per the </w:t>
      </w:r>
      <w:r w:rsidR="00CD5619">
        <w:rPr>
          <w:rFonts w:cs="Arial"/>
        </w:rPr>
        <w:t>NHCDC AHPCS</w:t>
      </w:r>
      <w:r w:rsidR="00CD5619" w:rsidRPr="00CD5619">
        <w:rPr>
          <w:rFonts w:cs="Arial"/>
        </w:rPr>
        <w:t>.</w:t>
      </w:r>
    </w:p>
    <w:p w:rsidR="00D818F2" w:rsidRPr="00DD5B88" w:rsidRDefault="00D818F2" w:rsidP="00D818F2">
      <w:pPr>
        <w:spacing w:after="160" w:line="276" w:lineRule="auto"/>
        <w:rPr>
          <w:rFonts w:cs="Arial"/>
        </w:rPr>
      </w:pPr>
      <w:r w:rsidRPr="00DD5B88">
        <w:rPr>
          <w:rFonts w:cs="Arial"/>
        </w:rPr>
        <w:t>The version</w:t>
      </w:r>
      <w:r>
        <w:rPr>
          <w:rFonts w:cs="Arial"/>
        </w:rPr>
        <w:t xml:space="preserve"> of the ATTC</w:t>
      </w:r>
      <w:r w:rsidRPr="00DD5B88">
        <w:rPr>
          <w:rFonts w:cs="Arial"/>
        </w:rPr>
        <w:t xml:space="preserve"> </w:t>
      </w:r>
      <w:r>
        <w:rPr>
          <w:rFonts w:cs="Arial"/>
        </w:rPr>
        <w:t>does not uniquely identify all</w:t>
      </w:r>
      <w:r w:rsidRPr="00DD5B88">
        <w:rPr>
          <w:rFonts w:cs="Arial"/>
        </w:rPr>
        <w:t xml:space="preserve"> </w:t>
      </w:r>
      <w:r>
        <w:rPr>
          <w:rFonts w:cs="Arial"/>
        </w:rPr>
        <w:t xml:space="preserve">professional </w:t>
      </w:r>
      <w:r w:rsidRPr="00DD5B88">
        <w:rPr>
          <w:rFonts w:cs="Arial"/>
        </w:rPr>
        <w:t>specialties and disciplines at a granular level, as data to support classification development will need to be</w:t>
      </w:r>
      <w:r>
        <w:rPr>
          <w:rFonts w:cs="Arial"/>
        </w:rPr>
        <w:t xml:space="preserve"> sourced over the coming years through the gradual establishment of </w:t>
      </w:r>
      <w:r w:rsidRPr="00DD5B88">
        <w:rPr>
          <w:rFonts w:cs="Arial"/>
        </w:rPr>
        <w:t xml:space="preserve">data collection </w:t>
      </w:r>
      <w:r>
        <w:rPr>
          <w:rFonts w:cs="Arial"/>
        </w:rPr>
        <w:t>infrastructure and processes</w:t>
      </w:r>
      <w:r w:rsidRPr="00DD5B88">
        <w:rPr>
          <w:rFonts w:cs="Arial"/>
        </w:rPr>
        <w:t xml:space="preserve">. Part of the consultation processes and developmental work for the first iteration </w:t>
      </w:r>
      <w:r>
        <w:rPr>
          <w:rFonts w:cs="Arial"/>
        </w:rPr>
        <w:t xml:space="preserve">of the ATTC </w:t>
      </w:r>
      <w:r w:rsidRPr="00DD5B88">
        <w:rPr>
          <w:rFonts w:cs="Arial"/>
        </w:rPr>
        <w:t xml:space="preserve">will </w:t>
      </w:r>
      <w:r>
        <w:rPr>
          <w:rFonts w:cs="Arial"/>
        </w:rPr>
        <w:t>serve to identify</w:t>
      </w:r>
      <w:r w:rsidRPr="00DD5B88">
        <w:rPr>
          <w:rFonts w:cs="Arial"/>
        </w:rPr>
        <w:t xml:space="preserve"> </w:t>
      </w:r>
      <w:r>
        <w:rPr>
          <w:rFonts w:cs="Arial"/>
        </w:rPr>
        <w:t>areas of focus for future work.</w:t>
      </w:r>
    </w:p>
    <w:p w:rsidR="00D818F2" w:rsidRPr="00E17234" w:rsidRDefault="00D818F2" w:rsidP="00D818F2">
      <w:pPr>
        <w:spacing w:after="160" w:line="276" w:lineRule="auto"/>
        <w:rPr>
          <w:rFonts w:cs="Arial"/>
        </w:rPr>
      </w:pPr>
      <w:r w:rsidRPr="00E17234">
        <w:rPr>
          <w:rFonts w:cs="Arial"/>
        </w:rPr>
        <w:t>Experience from other streams currently funded through ABF has demonstrated that the infrastructure and processes underpinning national data collection take time to develop and mature. To implement the ATTC, states and territories will need to adapt existing information systems, conduct training, and develop local policies and procedures to promote consistent reporting of teaching and training activities.</w:t>
      </w:r>
    </w:p>
    <w:p w:rsidR="00D818F2" w:rsidRPr="00E17234" w:rsidRDefault="00D818F2" w:rsidP="00D818F2">
      <w:pPr>
        <w:spacing w:after="160" w:line="276" w:lineRule="auto"/>
        <w:rPr>
          <w:rFonts w:cs="Arial"/>
        </w:rPr>
      </w:pPr>
      <w:r w:rsidRPr="00E17234">
        <w:rPr>
          <w:rFonts w:cs="Arial"/>
        </w:rPr>
        <w:t xml:space="preserve">Since July 2014, states and territories have been encouraged to report national teaching and training activity data on a best endeavours basis to assist in the development and future refinement of the ATTC. In 2015, IHPA received 2014-15 teaching and training data from two states. In 2015-16, IHPA received teaching and training data from three states. </w:t>
      </w:r>
    </w:p>
    <w:p w:rsidR="00D818F2" w:rsidRPr="00DD5B88" w:rsidRDefault="00D818F2" w:rsidP="00D818F2">
      <w:pPr>
        <w:spacing w:after="160" w:line="276" w:lineRule="auto"/>
        <w:rPr>
          <w:rFonts w:cs="Arial"/>
        </w:rPr>
      </w:pPr>
      <w:r w:rsidRPr="00B5409E">
        <w:rPr>
          <w:rFonts w:cs="Arial"/>
        </w:rPr>
        <w:t xml:space="preserve">The development and refinement of the ATTC will need to be led in part by ongoing and improved data collection, but also clinical support and leadership. IHPA, in collaboration with the TTRWG, is receiving strong cooperation and enthusiasm for a nationally consistent way of classifying all types of hospital </w:t>
      </w:r>
      <w:r>
        <w:rPr>
          <w:rFonts w:cs="Arial"/>
        </w:rPr>
        <w:t>teaching and training</w:t>
      </w:r>
      <w:r w:rsidRPr="00B5409E">
        <w:rPr>
          <w:rFonts w:cs="Arial"/>
        </w:rPr>
        <w:t xml:space="preserve"> activities and associated costs, in order to better manage, measure, and fund these activities efficiently and with transparency in the future. </w:t>
      </w:r>
    </w:p>
    <w:p w:rsidR="00D818F2" w:rsidRPr="00DD5B88" w:rsidRDefault="00D818F2" w:rsidP="00D818F2">
      <w:pPr>
        <w:spacing w:after="160" w:line="276" w:lineRule="auto"/>
        <w:rPr>
          <w:rFonts w:cs="Arial"/>
        </w:rPr>
      </w:pPr>
      <w:r w:rsidRPr="00DD5B88">
        <w:rPr>
          <w:rFonts w:cs="Arial"/>
        </w:rPr>
        <w:t>IHPA recognises the diversity within the public hospital health sector and is committed to engaging the sector through its existing working group and advisory committee structures, clinical reviews</w:t>
      </w:r>
      <w:r>
        <w:rPr>
          <w:rFonts w:cs="Arial"/>
        </w:rPr>
        <w:t>,</w:t>
      </w:r>
      <w:r w:rsidRPr="00DD5B88">
        <w:rPr>
          <w:rFonts w:cs="Arial"/>
        </w:rPr>
        <w:t xml:space="preserve"> and</w:t>
      </w:r>
      <w:r>
        <w:rPr>
          <w:rFonts w:cs="Arial"/>
        </w:rPr>
        <w:t xml:space="preserve"> public consultation processes.</w:t>
      </w:r>
      <w:r w:rsidR="00A856D7" w:rsidRPr="00A856D7">
        <w:rPr>
          <w:rFonts w:cs="Arial"/>
        </w:rPr>
        <w:t xml:space="preserve"> </w:t>
      </w:r>
      <w:r w:rsidR="00A856D7">
        <w:rPr>
          <w:rFonts w:cs="Arial"/>
        </w:rPr>
        <w:t>IHPA will continue to involve the TTRWG, other IHPA committees and key stakeholders in the development of the ATTC Version 1.0.</w:t>
      </w:r>
    </w:p>
    <w:p w:rsidR="00D818F2" w:rsidRPr="00D818F2" w:rsidRDefault="00D818F2" w:rsidP="00D818F2">
      <w:pPr>
        <w:pStyle w:val="Heading2"/>
      </w:pPr>
      <w:bookmarkStart w:id="60" w:name="_Toc407021950"/>
      <w:bookmarkStart w:id="61" w:name="_Toc488332277"/>
      <w:r w:rsidRPr="00D818F2">
        <w:t>Finalise ATTC Version 1.0</w:t>
      </w:r>
      <w:bookmarkEnd w:id="60"/>
      <w:bookmarkEnd w:id="61"/>
    </w:p>
    <w:p w:rsidR="00D818F2" w:rsidRDefault="00D818F2" w:rsidP="00D818F2">
      <w:pPr>
        <w:spacing w:after="160" w:line="276" w:lineRule="auto"/>
        <w:rPr>
          <w:rFonts w:cs="Arial"/>
        </w:rPr>
      </w:pPr>
      <w:r w:rsidRPr="00AA556D">
        <w:rPr>
          <w:rFonts w:cs="Arial"/>
        </w:rPr>
        <w:t xml:space="preserve">In </w:t>
      </w:r>
      <w:r>
        <w:rPr>
          <w:rFonts w:cs="Arial"/>
        </w:rPr>
        <w:t>early</w:t>
      </w:r>
      <w:r w:rsidRPr="00AA556D">
        <w:rPr>
          <w:rFonts w:cs="Arial"/>
        </w:rPr>
        <w:t xml:space="preserve"> </w:t>
      </w:r>
      <w:r>
        <w:rPr>
          <w:rFonts w:cs="Arial"/>
        </w:rPr>
        <w:t>2018</w:t>
      </w:r>
      <w:r w:rsidRPr="00AA556D">
        <w:rPr>
          <w:rFonts w:cs="Arial"/>
        </w:rPr>
        <w:t>, IHPA will finalise Version 1.0 of the ATTC. This will be informed by the feedback received from this public consultation paper</w:t>
      </w:r>
      <w:r>
        <w:rPr>
          <w:rFonts w:cs="Arial"/>
        </w:rPr>
        <w:t>.</w:t>
      </w:r>
    </w:p>
    <w:p w:rsidR="00D818F2" w:rsidRPr="00B948D3" w:rsidRDefault="00D818F2" w:rsidP="00D818F2">
      <w:pPr>
        <w:spacing w:after="160" w:line="276" w:lineRule="auto"/>
        <w:rPr>
          <w:rFonts w:cs="Arial"/>
        </w:rPr>
      </w:pPr>
      <w:r w:rsidRPr="00B948D3">
        <w:rPr>
          <w:rFonts w:cs="Arial"/>
        </w:rPr>
        <w:lastRenderedPageBreak/>
        <w:t>Once Version 1.0 of the ATTC has been developed and approved by the Pricing Authority, IHPA will promote information about the ATTC to peak bodies and other lead organisations</w:t>
      </w:r>
      <w:r>
        <w:rPr>
          <w:rFonts w:cs="Arial"/>
        </w:rPr>
        <w:t xml:space="preserve"> in preparation for national implementation on a best endeavours basis commencing 1 July 2019</w:t>
      </w:r>
      <w:r w:rsidRPr="00B948D3">
        <w:rPr>
          <w:rFonts w:cs="Arial"/>
        </w:rPr>
        <w:t>.</w:t>
      </w:r>
    </w:p>
    <w:p w:rsidR="00D818F2" w:rsidRPr="00A61D87" w:rsidRDefault="00D818F2" w:rsidP="00D818F2">
      <w:pPr>
        <w:spacing w:after="160" w:line="276" w:lineRule="auto"/>
        <w:rPr>
          <w:rFonts w:cs="Arial"/>
        </w:rPr>
      </w:pPr>
      <w:r>
        <w:rPr>
          <w:rFonts w:cs="Arial"/>
        </w:rPr>
        <w:t xml:space="preserve">Classification supporting materials, such as </w:t>
      </w:r>
      <w:proofErr w:type="gramStart"/>
      <w:r>
        <w:rPr>
          <w:rFonts w:cs="Arial"/>
        </w:rPr>
        <w:t>a User</w:t>
      </w:r>
      <w:proofErr w:type="gramEnd"/>
      <w:r>
        <w:rPr>
          <w:rFonts w:cs="Arial"/>
        </w:rPr>
        <w:t xml:space="preserve"> Manual and ATTC Grouper software, will be developed. </w:t>
      </w:r>
      <w:r w:rsidRPr="00B948D3">
        <w:rPr>
          <w:rFonts w:cs="Arial"/>
        </w:rPr>
        <w:t xml:space="preserve">IHPA </w:t>
      </w:r>
      <w:r>
        <w:rPr>
          <w:rFonts w:cs="Arial"/>
        </w:rPr>
        <w:t xml:space="preserve">will also develop </w:t>
      </w:r>
      <w:r w:rsidRPr="00B948D3">
        <w:rPr>
          <w:rFonts w:cs="Arial"/>
        </w:rPr>
        <w:t xml:space="preserve">fact sheets, articles in the newsletters of peak bodies and educational institutions, an infographic, and/or an animation. These materials will serve to inform the sector of the benefits of the ATTC, the </w:t>
      </w:r>
      <w:r>
        <w:rPr>
          <w:rFonts w:cs="Arial"/>
        </w:rPr>
        <w:t>development of</w:t>
      </w:r>
      <w:r w:rsidRPr="00B948D3">
        <w:rPr>
          <w:rFonts w:cs="Arial"/>
        </w:rPr>
        <w:t xml:space="preserve"> the ATTC, the definitions of </w:t>
      </w:r>
      <w:r>
        <w:rPr>
          <w:rFonts w:cs="Arial"/>
        </w:rPr>
        <w:t>teaching and training for ABF purposes</w:t>
      </w:r>
      <w:r w:rsidRPr="00B948D3">
        <w:rPr>
          <w:rFonts w:cs="Arial"/>
        </w:rPr>
        <w:t>, and the classifications role in determining a</w:t>
      </w:r>
      <w:r>
        <w:rPr>
          <w:rFonts w:cs="Arial"/>
        </w:rPr>
        <w:t>n ABF</w:t>
      </w:r>
      <w:r w:rsidRPr="00B948D3">
        <w:rPr>
          <w:rFonts w:cs="Arial"/>
        </w:rPr>
        <w:t xml:space="preserve"> pricing approach for </w:t>
      </w:r>
      <w:r w:rsidRPr="00A6120C">
        <w:t>teaching and training</w:t>
      </w:r>
      <w:r w:rsidRPr="00B948D3">
        <w:rPr>
          <w:rFonts w:cs="Arial"/>
        </w:rPr>
        <w:t xml:space="preserve"> activities</w:t>
      </w:r>
      <w:r>
        <w:rPr>
          <w:rFonts w:cs="Arial"/>
        </w:rPr>
        <w:t xml:space="preserve"> in the future</w:t>
      </w:r>
      <w:r w:rsidRPr="00B948D3">
        <w:rPr>
          <w:rFonts w:cs="Arial"/>
        </w:rPr>
        <w:t>.</w:t>
      </w:r>
    </w:p>
    <w:p w:rsidR="00D818F2" w:rsidRPr="00D818F2" w:rsidRDefault="00D818F2" w:rsidP="00D818F2">
      <w:pPr>
        <w:pStyle w:val="Heading3"/>
        <w:pBdr>
          <w:top w:val="single" w:sz="4" w:space="1" w:color="auto"/>
          <w:left w:val="single" w:sz="4" w:space="1" w:color="auto"/>
          <w:bottom w:val="single" w:sz="4" w:space="1" w:color="auto"/>
          <w:right w:val="single" w:sz="4" w:space="1" w:color="auto"/>
        </w:pBdr>
      </w:pPr>
      <w:bookmarkStart w:id="62" w:name="_Toc488332278"/>
      <w:bookmarkStart w:id="63" w:name="_Toc407021951"/>
      <w:r w:rsidRPr="00D818F2">
        <w:t>Consultation questions</w:t>
      </w:r>
      <w:bookmarkEnd w:id="62"/>
    </w:p>
    <w:p w:rsidR="00D818F2" w:rsidRPr="008B2FBF" w:rsidRDefault="00D818F2" w:rsidP="00BE6690">
      <w:pPr>
        <w:pStyle w:val="ListParagraph"/>
        <w:keepNext/>
        <w:keepLines/>
        <w:numPr>
          <w:ilvl w:val="0"/>
          <w:numId w:val="26"/>
        </w:numPr>
        <w:pBdr>
          <w:top w:val="single" w:sz="4" w:space="1" w:color="auto"/>
          <w:left w:val="single" w:sz="4" w:space="1" w:color="auto"/>
          <w:bottom w:val="single" w:sz="4" w:space="1" w:color="auto"/>
          <w:right w:val="single" w:sz="4" w:space="1" w:color="auto"/>
        </w:pBdr>
        <w:spacing w:before="0" w:after="160" w:line="276" w:lineRule="auto"/>
        <w:ind w:left="357" w:hanging="357"/>
        <w:rPr>
          <w:rFonts w:cs="Arial"/>
        </w:rPr>
      </w:pPr>
      <w:r>
        <w:rPr>
          <w:lang w:eastAsia="ja-JP"/>
        </w:rPr>
        <w:t xml:space="preserve">What </w:t>
      </w:r>
      <w:r w:rsidRPr="00BE6690">
        <w:rPr>
          <w:rFonts w:cs="Arial"/>
          <w:lang w:val="en-US" w:eastAsia="ja-JP"/>
        </w:rPr>
        <w:t>supporting</w:t>
      </w:r>
      <w:r>
        <w:rPr>
          <w:lang w:eastAsia="ja-JP"/>
        </w:rPr>
        <w:t xml:space="preserve"> material would be beneficial for the ATTC</w:t>
      </w:r>
      <w:r>
        <w:rPr>
          <w:rFonts w:cs="Arial"/>
          <w:lang w:val="en-US" w:eastAsia="ja-JP"/>
        </w:rPr>
        <w:t>?</w:t>
      </w:r>
    </w:p>
    <w:p w:rsidR="00D818F2" w:rsidRPr="00520034" w:rsidRDefault="00D818F2" w:rsidP="00D818F2">
      <w:pPr>
        <w:pStyle w:val="ListParagraph"/>
        <w:keepNext/>
        <w:keepLines/>
        <w:numPr>
          <w:ilvl w:val="0"/>
          <w:numId w:val="25"/>
        </w:numPr>
        <w:pBdr>
          <w:top w:val="single" w:sz="4" w:space="1" w:color="auto"/>
          <w:left w:val="single" w:sz="4" w:space="1" w:color="auto"/>
          <w:bottom w:val="single" w:sz="4" w:space="1" w:color="auto"/>
          <w:right w:val="single" w:sz="4" w:space="1" w:color="auto"/>
        </w:pBdr>
        <w:spacing w:before="0" w:after="200" w:line="276" w:lineRule="auto"/>
        <w:ind w:left="357" w:hanging="357"/>
        <w:rPr>
          <w:rFonts w:cs="Arial"/>
        </w:rPr>
      </w:pPr>
      <w:r>
        <w:rPr>
          <w:rFonts w:cs="Arial"/>
          <w:lang w:val="en-US" w:eastAsia="ja-JP"/>
        </w:rPr>
        <w:t xml:space="preserve">What communication avenues and methods should IHPA consider in order to inform </w:t>
      </w:r>
      <w:r w:rsidR="00A856D7">
        <w:rPr>
          <w:rFonts w:cs="Arial"/>
          <w:lang w:val="en-US" w:eastAsia="ja-JP"/>
        </w:rPr>
        <w:t xml:space="preserve">and engage </w:t>
      </w:r>
      <w:r>
        <w:rPr>
          <w:rFonts w:cs="Arial"/>
          <w:lang w:val="en-US" w:eastAsia="ja-JP"/>
        </w:rPr>
        <w:t>stakeholders of the ATTC and future ABF for teaching and training?</w:t>
      </w:r>
    </w:p>
    <w:p w:rsidR="00D818F2" w:rsidRPr="00D818F2" w:rsidRDefault="00D818F2" w:rsidP="00D818F2">
      <w:pPr>
        <w:pStyle w:val="Heading2"/>
      </w:pPr>
      <w:bookmarkStart w:id="64" w:name="_Toc488332279"/>
      <w:r w:rsidRPr="00D818F2">
        <w:t>National implementation of the ATTC</w:t>
      </w:r>
      <w:bookmarkEnd w:id="64"/>
    </w:p>
    <w:p w:rsidR="00D818F2" w:rsidRPr="00AA556D" w:rsidRDefault="00D818F2" w:rsidP="00D818F2">
      <w:pPr>
        <w:spacing w:after="160" w:line="276" w:lineRule="auto"/>
        <w:rPr>
          <w:rFonts w:cs="Arial"/>
        </w:rPr>
      </w:pPr>
      <w:bookmarkStart w:id="65" w:name="_Toc461447301"/>
      <w:bookmarkStart w:id="66" w:name="_Toc462041954"/>
      <w:r w:rsidRPr="00AA556D">
        <w:rPr>
          <w:rFonts w:cs="Arial"/>
        </w:rPr>
        <w:t xml:space="preserve">Following the findings of this initial public consultation process and further refinement, it is expected that Version 1.0 of the ATTC and its supporting documents will be presented to the Pricing Authority in </w:t>
      </w:r>
      <w:r>
        <w:rPr>
          <w:rFonts w:cs="Arial"/>
        </w:rPr>
        <w:t xml:space="preserve">June </w:t>
      </w:r>
      <w:r w:rsidRPr="00AA556D">
        <w:rPr>
          <w:rFonts w:cs="Arial"/>
        </w:rPr>
        <w:t xml:space="preserve">2018 before being released to states and territories to implement on a best endeavours basis from 1 July 2019. </w:t>
      </w:r>
    </w:p>
    <w:p w:rsidR="00D818F2" w:rsidRPr="00AA556D" w:rsidRDefault="00D818F2" w:rsidP="00D818F2">
      <w:pPr>
        <w:spacing w:after="160" w:line="276" w:lineRule="auto"/>
        <w:rPr>
          <w:rFonts w:cs="Arial"/>
        </w:rPr>
      </w:pPr>
      <w:r w:rsidRPr="00AA556D">
        <w:rPr>
          <w:rFonts w:cs="Arial"/>
        </w:rPr>
        <w:t>The implementation of the ATTC will take time. As with other new classifications, IHPA acknowledges that states and territories will need to develop new or refine existing data management systems, conduct training, and develop local policies and procedures in order to implement the ATTC</w:t>
      </w:r>
      <w:r>
        <w:rPr>
          <w:rFonts w:cs="Arial"/>
        </w:rPr>
        <w:t xml:space="preserve"> and collect and cost data in accordance with the classification</w:t>
      </w:r>
      <w:r w:rsidRPr="00AA556D">
        <w:rPr>
          <w:rFonts w:cs="Arial"/>
        </w:rPr>
        <w:t xml:space="preserve">. </w:t>
      </w:r>
    </w:p>
    <w:p w:rsidR="00D818F2" w:rsidRPr="00D818F2" w:rsidRDefault="00D818F2" w:rsidP="00D818F2">
      <w:pPr>
        <w:pStyle w:val="Heading2"/>
      </w:pPr>
      <w:bookmarkStart w:id="67" w:name="_Toc488332280"/>
      <w:bookmarkEnd w:id="63"/>
      <w:bookmarkEnd w:id="65"/>
      <w:bookmarkEnd w:id="66"/>
      <w:r w:rsidRPr="00D818F2">
        <w:t>Development of future iterations of the ATTC</w:t>
      </w:r>
      <w:bookmarkEnd w:id="67"/>
      <w:r w:rsidRPr="00D818F2">
        <w:t xml:space="preserve"> </w:t>
      </w:r>
    </w:p>
    <w:p w:rsidR="00D818F2" w:rsidRPr="00D308E4" w:rsidRDefault="00D818F2" w:rsidP="00D818F2">
      <w:pPr>
        <w:spacing w:after="160" w:line="276" w:lineRule="auto"/>
        <w:rPr>
          <w:rFonts w:cs="Arial"/>
        </w:rPr>
      </w:pPr>
      <w:r>
        <w:rPr>
          <w:rFonts w:cs="Arial"/>
        </w:rPr>
        <w:t>T</w:t>
      </w:r>
      <w:r w:rsidRPr="00D308E4">
        <w:rPr>
          <w:rFonts w:cs="Arial"/>
        </w:rPr>
        <w:t xml:space="preserve">he </w:t>
      </w:r>
      <w:r w:rsidRPr="00AA556D">
        <w:rPr>
          <w:rFonts w:cs="Arial"/>
        </w:rPr>
        <w:t xml:space="preserve">TTR Costing Study </w:t>
      </w:r>
      <w:r w:rsidRPr="00D308E4">
        <w:rPr>
          <w:rFonts w:cs="Arial"/>
        </w:rPr>
        <w:t xml:space="preserve">data set has provided strong evidence that variables such as type of </w:t>
      </w:r>
      <w:r>
        <w:rPr>
          <w:rFonts w:cs="Arial"/>
        </w:rPr>
        <w:t>qualification</w:t>
      </w:r>
      <w:r w:rsidRPr="00D308E4">
        <w:rPr>
          <w:rFonts w:cs="Arial"/>
        </w:rPr>
        <w:t xml:space="preserve">, year of training, medical or nursing speciality and allied health discipline are predictors of costs of trainees. Ongoing </w:t>
      </w:r>
      <w:r>
        <w:rPr>
          <w:rFonts w:cs="Arial"/>
        </w:rPr>
        <w:t xml:space="preserve">national </w:t>
      </w:r>
      <w:r w:rsidRPr="00D308E4">
        <w:rPr>
          <w:rFonts w:cs="Arial"/>
        </w:rPr>
        <w:t xml:space="preserve">activity and cost data are required to determine more specific </w:t>
      </w:r>
      <w:r>
        <w:rPr>
          <w:rFonts w:cs="Arial"/>
        </w:rPr>
        <w:t>and stable end classes; f</w:t>
      </w:r>
      <w:r w:rsidRPr="00D308E4">
        <w:rPr>
          <w:rFonts w:cs="Arial"/>
        </w:rPr>
        <w:t xml:space="preserve">or example, </w:t>
      </w:r>
      <w:r>
        <w:rPr>
          <w:rFonts w:cs="Arial"/>
        </w:rPr>
        <w:t xml:space="preserve">the </w:t>
      </w:r>
      <w:r w:rsidRPr="00D308E4">
        <w:rPr>
          <w:rFonts w:cs="Arial"/>
        </w:rPr>
        <w:t xml:space="preserve">allied health disciplines or medical specialities </w:t>
      </w:r>
      <w:r>
        <w:rPr>
          <w:rFonts w:cs="Arial"/>
        </w:rPr>
        <w:t xml:space="preserve">that </w:t>
      </w:r>
      <w:r w:rsidRPr="00D308E4">
        <w:rPr>
          <w:rFonts w:cs="Arial"/>
        </w:rPr>
        <w:t>are consistently associated with higher costs at all hospitals.</w:t>
      </w:r>
    </w:p>
    <w:p w:rsidR="00D818F2" w:rsidRDefault="00D818F2" w:rsidP="00D818F2">
      <w:pPr>
        <w:spacing w:after="160" w:line="276" w:lineRule="auto"/>
        <w:rPr>
          <w:rFonts w:cs="Arial"/>
        </w:rPr>
      </w:pPr>
      <w:bookmarkStart w:id="68" w:name="_Toc480450530"/>
      <w:bookmarkStart w:id="69" w:name="_Toc461447299"/>
      <w:bookmarkStart w:id="70" w:name="_Toc462041952"/>
      <w:bookmarkStart w:id="71" w:name="_Toc466298754"/>
      <w:bookmarkStart w:id="72" w:name="_Toc466298862"/>
      <w:r>
        <w:rPr>
          <w:rFonts w:cs="Arial"/>
        </w:rPr>
        <w:t>Version 1.0 of the</w:t>
      </w:r>
      <w:r w:rsidRPr="00AA556D">
        <w:rPr>
          <w:rFonts w:cs="Arial"/>
        </w:rPr>
        <w:t xml:space="preserve"> ATTC </w:t>
      </w:r>
      <w:r>
        <w:rPr>
          <w:rFonts w:cs="Arial"/>
        </w:rPr>
        <w:t>does</w:t>
      </w:r>
      <w:r w:rsidRPr="00AA556D">
        <w:rPr>
          <w:rFonts w:cs="Arial"/>
        </w:rPr>
        <w:t xml:space="preserve"> not provide an end class for each profession’s specialty or discipline. In keeping with the principles of classification development, the ATTC </w:t>
      </w:r>
      <w:r>
        <w:rPr>
          <w:rFonts w:cs="Arial"/>
        </w:rPr>
        <w:t>must</w:t>
      </w:r>
      <w:r w:rsidRPr="00AA556D">
        <w:rPr>
          <w:rFonts w:cs="Arial"/>
        </w:rPr>
        <w:t xml:space="preserve"> involve a clinically meaningful yet administratively feasible number of end classes through the grouping together of specialties and disciplines where appropriate. As with other classification systems, IHPA will refine the ATTC as more data that assembles specialties and disciplines into clinically relevant cost groups becomes available.</w:t>
      </w:r>
    </w:p>
    <w:p w:rsidR="00D818F2" w:rsidRPr="00AA556D" w:rsidRDefault="00D818F2" w:rsidP="00D818F2">
      <w:pPr>
        <w:spacing w:after="160" w:line="276" w:lineRule="auto"/>
        <w:rPr>
          <w:rFonts w:cs="Arial"/>
        </w:rPr>
      </w:pPr>
      <w:r w:rsidRPr="00AA556D">
        <w:rPr>
          <w:rFonts w:cs="Arial"/>
        </w:rPr>
        <w:t xml:space="preserve">IHPA is currently working with the TTRWG and other key stakeholders to broaden the scope of the HTTRA NBEDS for 2018-19 to enable reporting of additional data items which will support future iterations of the ATTC. The regular refinement of the HTTRA NBEDS will assist in the collection of additional data items such as specialties. However, IHPA notes that the list cannot be exhaustive as it needs to be </w:t>
      </w:r>
      <w:r>
        <w:rPr>
          <w:rFonts w:cs="Arial"/>
        </w:rPr>
        <w:t>manageable</w:t>
      </w:r>
      <w:r w:rsidRPr="00AA556D">
        <w:rPr>
          <w:rFonts w:cs="Arial"/>
        </w:rPr>
        <w:t xml:space="preserve"> in order to be meaningful.</w:t>
      </w:r>
    </w:p>
    <w:p w:rsidR="00D818F2" w:rsidRPr="00D818F2" w:rsidRDefault="00D818F2" w:rsidP="00D818F2">
      <w:pPr>
        <w:pStyle w:val="Heading3"/>
        <w:pBdr>
          <w:top w:val="single" w:sz="4" w:space="1" w:color="auto"/>
          <w:left w:val="single" w:sz="4" w:space="1" w:color="auto"/>
          <w:bottom w:val="single" w:sz="4" w:space="1" w:color="auto"/>
          <w:right w:val="single" w:sz="4" w:space="1" w:color="auto"/>
        </w:pBdr>
      </w:pPr>
      <w:bookmarkStart w:id="73" w:name="_Toc488332281"/>
      <w:bookmarkEnd w:id="68"/>
      <w:bookmarkEnd w:id="69"/>
      <w:bookmarkEnd w:id="70"/>
      <w:bookmarkEnd w:id="71"/>
      <w:bookmarkEnd w:id="72"/>
      <w:r w:rsidRPr="00D818F2">
        <w:lastRenderedPageBreak/>
        <w:t>Consultation questions</w:t>
      </w:r>
      <w:bookmarkEnd w:id="73"/>
    </w:p>
    <w:p w:rsidR="00D818F2" w:rsidRDefault="00D818F2" w:rsidP="00D818F2">
      <w:pPr>
        <w:pStyle w:val="ListParagraph"/>
        <w:keepNext/>
        <w:keepLines/>
        <w:numPr>
          <w:ilvl w:val="0"/>
          <w:numId w:val="25"/>
        </w:numPr>
        <w:pBdr>
          <w:top w:val="single" w:sz="4" w:space="1" w:color="auto"/>
          <w:left w:val="single" w:sz="4" w:space="1" w:color="auto"/>
          <w:bottom w:val="single" w:sz="4" w:space="1" w:color="auto"/>
          <w:right w:val="single" w:sz="4" w:space="1" w:color="auto"/>
        </w:pBdr>
        <w:spacing w:before="0" w:after="160" w:line="276" w:lineRule="auto"/>
        <w:ind w:left="357" w:hanging="357"/>
        <w:rPr>
          <w:rFonts w:cs="Arial"/>
          <w:lang w:val="en-US" w:eastAsia="ja-JP"/>
        </w:rPr>
      </w:pPr>
      <w:r w:rsidRPr="000E1543">
        <w:rPr>
          <w:rFonts w:cs="Arial"/>
          <w:lang w:val="en-US" w:eastAsia="ja-JP"/>
        </w:rPr>
        <w:t xml:space="preserve">Are there particular aspects or areas of the </w:t>
      </w:r>
      <w:r>
        <w:rPr>
          <w:rFonts w:cs="Arial"/>
          <w:lang w:val="en-US" w:eastAsia="ja-JP"/>
        </w:rPr>
        <w:t>ATTC</w:t>
      </w:r>
      <w:r w:rsidRPr="00C32FB0">
        <w:rPr>
          <w:rFonts w:cs="Arial"/>
          <w:lang w:val="en-US" w:eastAsia="ja-JP"/>
        </w:rPr>
        <w:t xml:space="preserve"> </w:t>
      </w:r>
      <w:r w:rsidRPr="000E1543">
        <w:rPr>
          <w:rFonts w:cs="Arial"/>
          <w:lang w:val="en-US" w:eastAsia="ja-JP"/>
        </w:rPr>
        <w:t>that should be prioritised in its development, or aspects that should be developed at a later stage?</w:t>
      </w:r>
    </w:p>
    <w:p w:rsidR="00D818F2" w:rsidRPr="00D569D6" w:rsidRDefault="00D818F2" w:rsidP="00D818F2">
      <w:pPr>
        <w:pStyle w:val="ListParagraph"/>
        <w:keepNext/>
        <w:keepLines/>
        <w:numPr>
          <w:ilvl w:val="0"/>
          <w:numId w:val="25"/>
        </w:numPr>
        <w:pBdr>
          <w:top w:val="single" w:sz="4" w:space="1" w:color="auto"/>
          <w:left w:val="single" w:sz="4" w:space="1" w:color="auto"/>
          <w:bottom w:val="single" w:sz="4" w:space="1" w:color="auto"/>
          <w:right w:val="single" w:sz="4" w:space="1" w:color="auto"/>
        </w:pBdr>
        <w:spacing w:before="0" w:after="160" w:line="276" w:lineRule="auto"/>
        <w:ind w:left="357" w:hanging="357"/>
        <w:rPr>
          <w:rFonts w:cs="Arial"/>
          <w:lang w:val="en-US" w:eastAsia="ja-JP"/>
        </w:rPr>
      </w:pPr>
      <w:r w:rsidRPr="00D569D6">
        <w:rPr>
          <w:rFonts w:cs="Arial"/>
          <w:lang w:val="en-US" w:eastAsia="ja-JP"/>
        </w:rPr>
        <w:t xml:space="preserve">Are there any further considerations that should be taken into account when developing the </w:t>
      </w:r>
      <w:r>
        <w:rPr>
          <w:rFonts w:cs="Arial"/>
          <w:lang w:val="en-US" w:eastAsia="ja-JP"/>
        </w:rPr>
        <w:t>ATTC?</w:t>
      </w:r>
    </w:p>
    <w:p w:rsidR="00D818F2" w:rsidRPr="00D818F2" w:rsidRDefault="00D818F2" w:rsidP="00D818F2">
      <w:pPr>
        <w:pStyle w:val="Heading2"/>
      </w:pPr>
      <w:bookmarkStart w:id="74" w:name="_Toc488332282"/>
      <w:r w:rsidRPr="00D818F2">
        <w:t>Pricing teaching and training activ</w:t>
      </w:r>
      <w:r w:rsidR="00B96191">
        <w:t>i</w:t>
      </w:r>
      <w:r w:rsidRPr="00D818F2">
        <w:t>ties using the ATTC</w:t>
      </w:r>
      <w:bookmarkEnd w:id="74"/>
    </w:p>
    <w:p w:rsidR="00D818F2" w:rsidRDefault="00D818F2" w:rsidP="00D818F2">
      <w:pPr>
        <w:spacing w:after="160" w:line="276" w:lineRule="auto"/>
        <w:rPr>
          <w:rFonts w:cs="Arial"/>
        </w:rPr>
      </w:pPr>
      <w:r>
        <w:rPr>
          <w:rFonts w:cs="Arial"/>
        </w:rPr>
        <w:t xml:space="preserve">The teaching and training costs derived from the TTR Costing Study are not indicative of future teaching and training prices. </w:t>
      </w:r>
      <w:r>
        <w:rPr>
          <w:rFonts w:cs="Arial"/>
          <w:lang w:val="en-US" w:eastAsia="ja-JP"/>
        </w:rPr>
        <w:t>The p</w:t>
      </w:r>
      <w:r w:rsidRPr="003E535A">
        <w:rPr>
          <w:rFonts w:cs="Arial"/>
          <w:lang w:val="en-US" w:eastAsia="ja-JP"/>
        </w:rPr>
        <w:t xml:space="preserve">ricing </w:t>
      </w:r>
      <w:r>
        <w:rPr>
          <w:rFonts w:cs="Arial"/>
          <w:lang w:val="en-US" w:eastAsia="ja-JP"/>
        </w:rPr>
        <w:t>of teaching and training</w:t>
      </w:r>
      <w:r w:rsidRPr="003E535A">
        <w:rPr>
          <w:rFonts w:cs="Arial"/>
          <w:lang w:val="en-US" w:eastAsia="ja-JP"/>
        </w:rPr>
        <w:t xml:space="preserve"> activities </w:t>
      </w:r>
      <w:r>
        <w:rPr>
          <w:rFonts w:cs="Arial"/>
          <w:lang w:val="en-US" w:eastAsia="ja-JP"/>
        </w:rPr>
        <w:t xml:space="preserve">is a </w:t>
      </w:r>
      <w:r w:rsidRPr="003E535A">
        <w:rPr>
          <w:rFonts w:cs="Arial"/>
          <w:lang w:val="en-US" w:eastAsia="ja-JP"/>
        </w:rPr>
        <w:t xml:space="preserve">separate </w:t>
      </w:r>
      <w:r>
        <w:rPr>
          <w:rFonts w:cs="Arial"/>
          <w:lang w:val="en-US" w:eastAsia="ja-JP"/>
        </w:rPr>
        <w:t xml:space="preserve">process to classification development and requires a representative number of </w:t>
      </w:r>
      <w:r w:rsidR="0024747E">
        <w:rPr>
          <w:rFonts w:cs="Arial"/>
          <w:lang w:val="en-US" w:eastAsia="ja-JP"/>
        </w:rPr>
        <w:t xml:space="preserve">hospitals and </w:t>
      </w:r>
      <w:r w:rsidRPr="00A97E00">
        <w:rPr>
          <w:rFonts w:cs="Arial"/>
        </w:rPr>
        <w:t xml:space="preserve">jurisdictions </w:t>
      </w:r>
      <w:r>
        <w:rPr>
          <w:rFonts w:cs="Arial"/>
        </w:rPr>
        <w:t xml:space="preserve">to </w:t>
      </w:r>
      <w:r w:rsidRPr="00A97E00">
        <w:rPr>
          <w:rFonts w:cs="Arial"/>
        </w:rPr>
        <w:t xml:space="preserve">report </w:t>
      </w:r>
      <w:r>
        <w:rPr>
          <w:rFonts w:cs="Arial"/>
        </w:rPr>
        <w:t xml:space="preserve">teaching and training activity and </w:t>
      </w:r>
      <w:r w:rsidRPr="00A97E00">
        <w:rPr>
          <w:rFonts w:cs="Arial"/>
        </w:rPr>
        <w:t>cost data</w:t>
      </w:r>
      <w:r>
        <w:rPr>
          <w:rFonts w:cs="Arial"/>
        </w:rPr>
        <w:t xml:space="preserve">. </w:t>
      </w:r>
      <w:r w:rsidR="00434BF6">
        <w:rPr>
          <w:rFonts w:cs="Arial"/>
        </w:rPr>
        <w:t xml:space="preserve">IHPA will work with stakeholders to determine an appropriate </w:t>
      </w:r>
      <w:r w:rsidR="00022103">
        <w:rPr>
          <w:rFonts w:cs="Arial"/>
        </w:rPr>
        <w:t xml:space="preserve">representation and </w:t>
      </w:r>
      <w:r w:rsidR="00434BF6">
        <w:rPr>
          <w:rFonts w:cs="Arial"/>
        </w:rPr>
        <w:t xml:space="preserve">volume of data to undertake further development as data becomes available. </w:t>
      </w:r>
      <w:r>
        <w:rPr>
          <w:rFonts w:cs="Arial"/>
        </w:rPr>
        <w:t>Development of prices also involves removing any out of scope costs, such as other Commonwealth funding, assessing the need for adjustments to cover variations in costs not accounted for in the classification and projection of costs (indexation) to inflate the costs to reflect the year being priced and the total costs in the hospital system.</w:t>
      </w:r>
    </w:p>
    <w:p w:rsidR="00D818F2" w:rsidRDefault="00D818F2" w:rsidP="00D818F2">
      <w:pPr>
        <w:spacing w:after="160" w:line="276" w:lineRule="auto"/>
        <w:rPr>
          <w:rFonts w:cs="Arial"/>
        </w:rPr>
      </w:pPr>
      <w:r>
        <w:rPr>
          <w:rFonts w:cs="Arial"/>
        </w:rPr>
        <w:t xml:space="preserve">Based on varying capacity of states and territories to implement the ATTC, teaching and training activities will continue to be block funded in the interim. </w:t>
      </w:r>
      <w:r w:rsidRPr="00E17234">
        <w:rPr>
          <w:rFonts w:cs="Arial"/>
        </w:rPr>
        <w:t>Following the development of the ATTC, IHPA will work with jurisdiction to progress the collection of ongoing cost and activity data and will seek views on pricing teaching and training activities through its working groups and advisory committees and the annual consultation on the Pricing Framework for Australian Public Hospital Services.</w:t>
      </w:r>
    </w:p>
    <w:p w:rsidR="00D818F2" w:rsidRPr="00383D8F" w:rsidRDefault="00D818F2" w:rsidP="00D818F2">
      <w:pPr>
        <w:spacing w:after="160" w:line="276" w:lineRule="auto"/>
      </w:pPr>
      <w:r w:rsidRPr="00383D8F">
        <w:rPr>
          <w:rFonts w:cs="Arial"/>
        </w:rPr>
        <w:t>Further, in developing the ATTC</w:t>
      </w:r>
      <w:r w:rsidRPr="00E17234">
        <w:rPr>
          <w:rFonts w:cs="Arial"/>
        </w:rPr>
        <w:t xml:space="preserve">, hospital level variables such as metropolitan or non-metropolitan location were not considered as splitting variables. Instead the focus was on splitting variables related to the trainee. Like other ABF models, when IHPA considers the pricing process for </w:t>
      </w:r>
      <w:r>
        <w:rPr>
          <w:rFonts w:cs="Arial"/>
          <w:lang w:val="en-US" w:eastAsia="ja-JP"/>
        </w:rPr>
        <w:t>teaching and training</w:t>
      </w:r>
      <w:r w:rsidRPr="00383D8F">
        <w:rPr>
          <w:rFonts w:cs="Arial"/>
          <w:lang w:val="en-US" w:eastAsia="ja-JP"/>
        </w:rPr>
        <w:t xml:space="preserve"> activities, it will allow for </w:t>
      </w:r>
      <w:r>
        <w:rPr>
          <w:rFonts w:cs="Arial"/>
          <w:lang w:val="en-US" w:eastAsia="ja-JP"/>
        </w:rPr>
        <w:t xml:space="preserve">investigation of </w:t>
      </w:r>
      <w:r w:rsidRPr="00383D8F">
        <w:rPr>
          <w:rFonts w:cs="Arial"/>
          <w:lang w:val="en-US" w:eastAsia="ja-JP"/>
        </w:rPr>
        <w:t>loadings and adjustments</w:t>
      </w:r>
      <w:r>
        <w:rPr>
          <w:rFonts w:cs="Arial"/>
          <w:lang w:val="en-US" w:eastAsia="ja-JP"/>
        </w:rPr>
        <w:t xml:space="preserve"> for legitimate variations in costs not accounted for in the ATTC</w:t>
      </w:r>
      <w:r w:rsidRPr="00383D8F">
        <w:rPr>
          <w:rFonts w:cs="Arial"/>
          <w:lang w:val="en-US" w:eastAsia="ja-JP"/>
        </w:rPr>
        <w:t xml:space="preserve">. Currently there are adjustments for Indigenous </w:t>
      </w:r>
      <w:r>
        <w:rPr>
          <w:rFonts w:cs="Arial"/>
          <w:lang w:val="en-US" w:eastAsia="ja-JP"/>
        </w:rPr>
        <w:t>status</w:t>
      </w:r>
      <w:r w:rsidRPr="00383D8F">
        <w:rPr>
          <w:rFonts w:cs="Arial"/>
          <w:lang w:val="en-US" w:eastAsia="ja-JP"/>
        </w:rPr>
        <w:t xml:space="preserve"> and remoteness that account for unavoidable costs in the admitted setting. Adjustments for unavoidable costs could similarly be </w:t>
      </w:r>
      <w:r>
        <w:rPr>
          <w:rFonts w:cs="Arial"/>
          <w:lang w:val="en-US" w:eastAsia="ja-JP"/>
        </w:rPr>
        <w:t xml:space="preserve">considered </w:t>
      </w:r>
      <w:r w:rsidRPr="00383D8F">
        <w:rPr>
          <w:rFonts w:cs="Arial"/>
          <w:lang w:val="en-US" w:eastAsia="ja-JP"/>
        </w:rPr>
        <w:t xml:space="preserve">in the </w:t>
      </w:r>
      <w:r>
        <w:rPr>
          <w:rFonts w:cs="Arial"/>
          <w:lang w:val="en-US" w:eastAsia="ja-JP"/>
        </w:rPr>
        <w:t>teaching and training</w:t>
      </w:r>
      <w:r w:rsidRPr="00383D8F">
        <w:rPr>
          <w:rFonts w:cs="Arial"/>
          <w:lang w:val="en-US" w:eastAsia="ja-JP"/>
        </w:rPr>
        <w:t xml:space="preserve"> space.</w:t>
      </w:r>
      <w:r w:rsidRPr="00477EF5">
        <w:rPr>
          <w:rFonts w:cs="Arial"/>
          <w:lang w:val="en-US" w:eastAsia="ja-JP"/>
        </w:rPr>
        <w:t xml:space="preserve"> </w:t>
      </w:r>
    </w:p>
    <w:p w:rsidR="00D818F2" w:rsidRDefault="00D818F2" w:rsidP="0025512F">
      <w:pPr>
        <w:pStyle w:val="Heading1"/>
        <w:pageBreakBefore/>
      </w:pPr>
      <w:bookmarkStart w:id="75" w:name="_Toc488332283"/>
      <w:r>
        <w:lastRenderedPageBreak/>
        <w:t>Appendix A: TTR costing study sites</w:t>
      </w:r>
      <w:bookmarkEnd w:id="75"/>
    </w:p>
    <w:p w:rsidR="00D818F2" w:rsidRPr="006230E7" w:rsidRDefault="002E4019" w:rsidP="00C21E71">
      <w:pPr>
        <w:pStyle w:val="Caption"/>
        <w:keepNext/>
      </w:pPr>
      <w:r>
        <w:t xml:space="preserve">Table </w:t>
      </w:r>
      <w:r w:rsidR="006D258D">
        <w:fldChar w:fldCharType="begin"/>
      </w:r>
      <w:r w:rsidR="006D258D">
        <w:instrText xml:space="preserve"> SEQ Table \* ARABIC </w:instrText>
      </w:r>
      <w:r w:rsidR="006D258D">
        <w:fldChar w:fldCharType="separate"/>
      </w:r>
      <w:r w:rsidR="0089599A">
        <w:rPr>
          <w:noProof/>
        </w:rPr>
        <w:t>2</w:t>
      </w:r>
      <w:r w:rsidR="006D258D">
        <w:rPr>
          <w:noProof/>
        </w:rPr>
        <w:fldChar w:fldCharType="end"/>
      </w:r>
      <w:r>
        <w:t xml:space="preserve">: </w:t>
      </w:r>
      <w:r w:rsidR="00D818F2">
        <w:t>Sites which participated in the TTR Costing Study 2015</w:t>
      </w:r>
    </w:p>
    <w:tbl>
      <w:tblPr>
        <w:tblStyle w:val="LightList-Accent5"/>
        <w:tblW w:w="4984" w:type="pct"/>
        <w:tblLook w:val="00A0" w:firstRow="1" w:lastRow="0" w:firstColumn="1" w:lastColumn="0" w:noHBand="0" w:noVBand="0"/>
        <w:tblCaption w:val="Table 2 Profile of sites which participating in the TTR costing study 2015"/>
        <w:tblDescription w:val="The table shows the profile of participating sites. It includes site name and jursidiction."/>
      </w:tblPr>
      <w:tblGrid>
        <w:gridCol w:w="6136"/>
        <w:gridCol w:w="3494"/>
      </w:tblGrid>
      <w:tr w:rsidR="00D81264" w:rsidRPr="00D81264" w:rsidTr="00636337">
        <w:trPr>
          <w:cnfStyle w:val="100000000000" w:firstRow="1" w:lastRow="0" w:firstColumn="0" w:lastColumn="0" w:oddVBand="0" w:evenVBand="0" w:oddHBand="0" w:evenHBand="0" w:firstRowFirstColumn="0" w:firstRowLastColumn="0" w:lastRowFirstColumn="0" w:lastRowLastColumn="0"/>
          <w:trHeight w:val="266"/>
          <w:tblHeader/>
        </w:trPr>
        <w:tc>
          <w:tcPr>
            <w:cnfStyle w:val="001000000000" w:firstRow="0" w:lastRow="0" w:firstColumn="1" w:lastColumn="0" w:oddVBand="0" w:evenVBand="0" w:oddHBand="0" w:evenHBand="0" w:firstRowFirstColumn="0" w:firstRowLastColumn="0" w:lastRowFirstColumn="0" w:lastRowLastColumn="0"/>
            <w:tcW w:w="3186" w:type="pct"/>
            <w:noWrap/>
            <w:hideMark/>
          </w:tcPr>
          <w:p w:rsidR="00D818F2" w:rsidRPr="00D81264" w:rsidRDefault="00D818F2" w:rsidP="001A467B">
            <w:pPr>
              <w:ind w:left="142" w:firstLine="0"/>
              <w:rPr>
                <w:bCs w:val="0"/>
                <w:color w:val="auto"/>
                <w:lang w:val="en-AU"/>
              </w:rPr>
            </w:pPr>
            <w:bookmarkStart w:id="76" w:name="OLE_LINK2"/>
            <w:bookmarkStart w:id="77" w:name="OLE_LINK3"/>
            <w:r w:rsidRPr="00D81264">
              <w:rPr>
                <w:bCs w:val="0"/>
                <w:color w:val="auto"/>
                <w:lang w:val="en-AU"/>
              </w:rPr>
              <w:t>Hospital site</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D81264" w:rsidRDefault="00D818F2" w:rsidP="001A467B">
            <w:pPr>
              <w:ind w:left="142" w:firstLine="0"/>
              <w:rPr>
                <w:bCs w:val="0"/>
                <w:color w:val="auto"/>
                <w:lang w:val="en-AU"/>
              </w:rPr>
            </w:pPr>
            <w:r w:rsidRPr="00D81264">
              <w:rPr>
                <w:bCs w:val="0"/>
                <w:color w:val="auto"/>
                <w:lang w:val="en-AU"/>
              </w:rPr>
              <w:t>Jurisdiction</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Emerald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Gladstone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Gold Coast University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Mackay Base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Mount Isa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Nambour General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Princess Alexandra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Proserpine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cs="Arial"/>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Redcliffe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Robina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Rockhampton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The Royal Brisbane &amp; Women's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The Prince Charles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Queensland</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Women's and Children's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cs="Arial"/>
                <w:lang w:val="en-AU"/>
              </w:rPr>
            </w:pPr>
            <w:r w:rsidRPr="002E3E36">
              <w:rPr>
                <w:rFonts w:asciiTheme="minorHAnsi" w:hAnsiTheme="minorHAnsi" w:cs="Arial"/>
                <w:lang w:val="en-AU"/>
              </w:rPr>
              <w:t>South Australia</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Armadale-Kelmscott Memorial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cs="Arial"/>
                <w:lang w:val="en-AU"/>
              </w:rPr>
            </w:pPr>
            <w:r w:rsidRPr="002E3E36">
              <w:rPr>
                <w:rFonts w:asciiTheme="minorHAnsi" w:hAnsiTheme="minorHAnsi" w:cs="Arial"/>
                <w:lang w:val="en-AU"/>
              </w:rPr>
              <w:t>Western Australia</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C21E71">
            <w:pPr>
              <w:spacing w:after="0"/>
              <w:ind w:firstLine="142"/>
              <w:jc w:val="both"/>
              <w:rPr>
                <w:rFonts w:asciiTheme="minorHAnsi" w:hAnsiTheme="minorHAnsi" w:cs="Arial"/>
                <w:b w:val="0"/>
                <w:lang w:val="en-AU"/>
              </w:rPr>
            </w:pPr>
            <w:r w:rsidRPr="002E3E36">
              <w:rPr>
                <w:rFonts w:asciiTheme="minorHAnsi" w:hAnsiTheme="minorHAnsi" w:cs="Arial"/>
                <w:b w:val="0"/>
                <w:lang w:val="en-AU"/>
              </w:rPr>
              <w:t>Kalgoorlie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keepNext/>
              <w:spacing w:after="0"/>
              <w:ind w:firstLine="142"/>
              <w:jc w:val="both"/>
              <w:rPr>
                <w:lang w:val="en-AU"/>
              </w:rPr>
            </w:pPr>
            <w:r w:rsidRPr="002E3E36">
              <w:rPr>
                <w:rFonts w:asciiTheme="minorHAnsi" w:hAnsiTheme="minorHAnsi" w:cs="Arial"/>
                <w:lang w:val="en-AU"/>
              </w:rPr>
              <w:t>Western Australia</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Rockingham General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Western Australia</w:t>
            </w:r>
          </w:p>
        </w:tc>
      </w:tr>
      <w:tr w:rsidR="00D818F2" w:rsidRPr="00E9389C" w:rsidTr="00D818F2">
        <w:trPr>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Royal Perth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Western Australia</w:t>
            </w:r>
          </w:p>
        </w:tc>
      </w:tr>
      <w:tr w:rsidR="00D818F2" w:rsidRPr="00E9389C" w:rsidTr="00D818F2">
        <w:trPr>
          <w:cnfStyle w:val="000000100000" w:firstRow="0" w:lastRow="0" w:firstColumn="0" w:lastColumn="0" w:oddVBand="0" w:evenVBand="0" w:oddHBand="1" w:evenHBand="0" w:firstRowFirstColumn="0" w:firstRowLastColumn="0" w:lastRowFirstColumn="0" w:lastRowLastColumn="0"/>
          <w:trHeight w:val="266"/>
        </w:trPr>
        <w:tc>
          <w:tcPr>
            <w:cnfStyle w:val="001000000000" w:firstRow="0" w:lastRow="0" w:firstColumn="1" w:lastColumn="0" w:oddVBand="0" w:evenVBand="0" w:oddHBand="0" w:evenHBand="0" w:firstRowFirstColumn="0" w:firstRowLastColumn="0" w:lastRowFirstColumn="0" w:lastRowLastColumn="0"/>
            <w:tcW w:w="3186" w:type="pct"/>
            <w:noWrap/>
          </w:tcPr>
          <w:p w:rsidR="00D818F2" w:rsidRPr="002E3E36" w:rsidRDefault="00D818F2" w:rsidP="001A467B">
            <w:pPr>
              <w:spacing w:after="0"/>
              <w:ind w:firstLine="142"/>
              <w:jc w:val="both"/>
              <w:rPr>
                <w:rFonts w:asciiTheme="minorHAnsi" w:hAnsiTheme="minorHAnsi" w:cs="Arial"/>
                <w:b w:val="0"/>
                <w:lang w:val="en-AU"/>
              </w:rPr>
            </w:pPr>
            <w:r w:rsidRPr="002E3E36">
              <w:rPr>
                <w:rFonts w:asciiTheme="minorHAnsi" w:hAnsiTheme="minorHAnsi" w:cs="Arial"/>
                <w:b w:val="0"/>
                <w:lang w:val="en-AU"/>
              </w:rPr>
              <w:t>Sir Charles Gairdner Hospital</w:t>
            </w:r>
          </w:p>
        </w:tc>
        <w:tc>
          <w:tcPr>
            <w:cnfStyle w:val="000010000000" w:firstRow="0" w:lastRow="0" w:firstColumn="0" w:lastColumn="0" w:oddVBand="1" w:evenVBand="0" w:oddHBand="0" w:evenHBand="0" w:firstRowFirstColumn="0" w:firstRowLastColumn="0" w:lastRowFirstColumn="0" w:lastRowLastColumn="0"/>
            <w:tcW w:w="1814" w:type="pct"/>
          </w:tcPr>
          <w:p w:rsidR="00D818F2" w:rsidRPr="002E3E36" w:rsidRDefault="00D818F2" w:rsidP="001A467B">
            <w:pPr>
              <w:spacing w:after="0"/>
              <w:ind w:firstLine="142"/>
              <w:jc w:val="both"/>
              <w:rPr>
                <w:rFonts w:asciiTheme="minorHAnsi" w:hAnsiTheme="minorHAnsi"/>
                <w:lang w:val="en-AU"/>
              </w:rPr>
            </w:pPr>
            <w:r w:rsidRPr="002E3E36">
              <w:rPr>
                <w:rFonts w:asciiTheme="minorHAnsi" w:hAnsiTheme="minorHAnsi" w:cs="Arial"/>
                <w:lang w:val="en-AU"/>
              </w:rPr>
              <w:t>Western Australia</w:t>
            </w:r>
          </w:p>
        </w:tc>
      </w:tr>
    </w:tbl>
    <w:p w:rsidR="00D818F2" w:rsidRDefault="00D818F2" w:rsidP="0025512F">
      <w:pPr>
        <w:pStyle w:val="Heading1"/>
        <w:pageBreakBefore/>
      </w:pPr>
      <w:bookmarkStart w:id="78" w:name="_Toc488332284"/>
      <w:bookmarkEnd w:id="76"/>
      <w:bookmarkEnd w:id="77"/>
      <w:r>
        <w:lastRenderedPageBreak/>
        <w:t>Appendix B: Detailed outputs from statistical analysis and technical information</w:t>
      </w:r>
      <w:bookmarkEnd w:id="78"/>
    </w:p>
    <w:p w:rsidR="00D818F2" w:rsidRPr="009F3FBD" w:rsidRDefault="00D818F2" w:rsidP="00E17234">
      <w:pPr>
        <w:spacing w:after="160" w:line="276" w:lineRule="auto"/>
        <w:rPr>
          <w:rFonts w:cs="Arial"/>
        </w:rPr>
      </w:pPr>
      <w:r w:rsidRPr="009F3FBD">
        <w:rPr>
          <w:rFonts w:cs="Arial"/>
        </w:rPr>
        <w:t xml:space="preserve">This </w:t>
      </w:r>
      <w:r>
        <w:rPr>
          <w:rFonts w:cs="Arial"/>
        </w:rPr>
        <w:t xml:space="preserve">Appendix describes the statistical analysis and technical work that underpinned the development of the ATTC Version 1.0. </w:t>
      </w:r>
    </w:p>
    <w:p w:rsidR="00D818F2" w:rsidRPr="00E17234" w:rsidRDefault="00D818F2" w:rsidP="00E17234">
      <w:pPr>
        <w:spacing w:before="240" w:after="160" w:line="276" w:lineRule="auto"/>
        <w:rPr>
          <w:rFonts w:cs="Arial"/>
          <w:b/>
          <w:sz w:val="28"/>
        </w:rPr>
      </w:pPr>
      <w:r w:rsidRPr="00E17234">
        <w:rPr>
          <w:rFonts w:cs="Arial"/>
          <w:b/>
          <w:sz w:val="28"/>
        </w:rPr>
        <w:t>Trimming of outliers</w:t>
      </w:r>
    </w:p>
    <w:p w:rsidR="00D818F2" w:rsidRDefault="00D818F2" w:rsidP="00E17234">
      <w:pPr>
        <w:spacing w:after="160" w:line="276" w:lineRule="auto"/>
        <w:rPr>
          <w:rFonts w:cs="Arial"/>
        </w:rPr>
      </w:pPr>
      <w:r w:rsidRPr="009A1ED0">
        <w:rPr>
          <w:rFonts w:cs="Arial"/>
        </w:rPr>
        <w:t xml:space="preserve">As a result </w:t>
      </w:r>
      <w:r>
        <w:rPr>
          <w:rFonts w:cs="Arial"/>
        </w:rPr>
        <w:t>of exploratory work, the</w:t>
      </w:r>
      <w:r w:rsidRPr="009A1ED0">
        <w:rPr>
          <w:rFonts w:cs="Arial"/>
        </w:rPr>
        <w:t xml:space="preserve"> trimming method </w:t>
      </w:r>
      <w:r>
        <w:rPr>
          <w:rFonts w:cs="Arial"/>
        </w:rPr>
        <w:t xml:space="preserve">used to remove outliers in preparing the data was </w:t>
      </w:r>
      <w:r w:rsidRPr="009A1ED0">
        <w:rPr>
          <w:rFonts w:cs="Arial"/>
        </w:rPr>
        <w:t xml:space="preserve">similar to the existing episodic trimming carried out for ABF models such as the acute admitted and subacute models. </w:t>
      </w:r>
    </w:p>
    <w:p w:rsidR="00D818F2" w:rsidRPr="009A1ED0" w:rsidRDefault="00D818F2" w:rsidP="00E17234">
      <w:pPr>
        <w:spacing w:after="160" w:line="276" w:lineRule="auto"/>
        <w:rPr>
          <w:rFonts w:cs="Arial"/>
        </w:rPr>
      </w:pPr>
      <w:r>
        <w:rPr>
          <w:rFonts w:cs="Arial"/>
        </w:rPr>
        <w:t xml:space="preserve">An examination of </w:t>
      </w:r>
      <w:r w:rsidRPr="003B07F7">
        <w:rPr>
          <w:rFonts w:cs="Arial"/>
        </w:rPr>
        <w:t xml:space="preserve">probability density plots did not suggest the existence of outliers with extremely low average training cost, with the exception of those where there was zero direct and indirect training cost which were subsequently removed. Hence, </w:t>
      </w:r>
      <w:r>
        <w:rPr>
          <w:rFonts w:cs="Arial"/>
        </w:rPr>
        <w:t>t</w:t>
      </w:r>
      <w:r w:rsidRPr="009A1ED0">
        <w:rPr>
          <w:rFonts w:cs="Arial"/>
        </w:rPr>
        <w:t>he final adopted outlier trimming methodology applied is as follows.</w:t>
      </w:r>
    </w:p>
    <w:p w:rsidR="00D818F2" w:rsidRPr="005F7046" w:rsidRDefault="00D818F2" w:rsidP="00E17234">
      <w:pPr>
        <w:spacing w:after="160" w:line="276" w:lineRule="auto"/>
        <w:rPr>
          <w:rFonts w:asciiTheme="minorHAnsi" w:hAnsiTheme="minorHAnsi" w:cstheme="minorHAnsi"/>
          <w:color w:val="000000"/>
          <w:szCs w:val="22"/>
        </w:rPr>
      </w:pPr>
      <w:r w:rsidRPr="003B07F7">
        <w:rPr>
          <w:rFonts w:asciiTheme="minorHAnsi" w:hAnsiTheme="minorHAnsi" w:cstheme="minorHAnsi"/>
          <w:b/>
          <w:color w:val="000000"/>
          <w:szCs w:val="22"/>
        </w:rPr>
        <w:t>Step 1:</w:t>
      </w:r>
      <w:r w:rsidRPr="005F7046">
        <w:rPr>
          <w:rFonts w:asciiTheme="minorHAnsi" w:hAnsiTheme="minorHAnsi" w:cstheme="minorHAnsi"/>
          <w:b/>
          <w:color w:val="000000"/>
          <w:szCs w:val="22"/>
        </w:rPr>
        <w:t xml:space="preserve"> </w:t>
      </w:r>
      <w:r w:rsidRPr="005F7046">
        <w:rPr>
          <w:rFonts w:asciiTheme="minorHAnsi" w:hAnsiTheme="minorHAnsi" w:cstheme="minorHAnsi"/>
          <w:color w:val="000000"/>
          <w:szCs w:val="22"/>
        </w:rPr>
        <w:t xml:space="preserve">observations identified using the top 5 percent and 3* interquartile (IQR) </w:t>
      </w:r>
      <w:proofErr w:type="gramStart"/>
      <w:r w:rsidRPr="005F7046">
        <w:rPr>
          <w:rFonts w:asciiTheme="minorHAnsi" w:hAnsiTheme="minorHAnsi" w:cstheme="minorHAnsi"/>
          <w:color w:val="000000"/>
          <w:szCs w:val="22"/>
        </w:rPr>
        <w:t>range (the range between the 1st and 3rd quartiles) away from the quartiles method are</w:t>
      </w:r>
      <w:proofErr w:type="gramEnd"/>
      <w:r w:rsidRPr="005F7046">
        <w:rPr>
          <w:rFonts w:asciiTheme="minorHAnsi" w:hAnsiTheme="minorHAnsi" w:cstheme="minorHAnsi"/>
          <w:color w:val="000000"/>
          <w:szCs w:val="22"/>
        </w:rPr>
        <w:t xml:space="preserve"> flagged as potential outliers </w:t>
      </w:r>
    </w:p>
    <w:p w:rsidR="00D818F2" w:rsidRPr="006F1CA6" w:rsidRDefault="00D818F2" w:rsidP="00E17234">
      <w:pPr>
        <w:spacing w:after="160" w:line="276" w:lineRule="auto"/>
        <w:rPr>
          <w:rFonts w:asciiTheme="minorHAnsi" w:hAnsiTheme="minorHAnsi" w:cstheme="minorHAnsi"/>
          <w:color w:val="000000"/>
          <w:szCs w:val="22"/>
        </w:rPr>
      </w:pPr>
      <w:r w:rsidRPr="003B07F7">
        <w:rPr>
          <w:rFonts w:asciiTheme="minorHAnsi" w:hAnsiTheme="minorHAnsi" w:cstheme="minorHAnsi"/>
          <w:b/>
          <w:color w:val="000000"/>
          <w:szCs w:val="22"/>
        </w:rPr>
        <w:t>Step 2:</w:t>
      </w:r>
      <w:r w:rsidRPr="006F1CA6">
        <w:rPr>
          <w:rFonts w:asciiTheme="minorHAnsi" w:hAnsiTheme="minorHAnsi" w:cstheme="minorHAnsi"/>
          <w:color w:val="000000"/>
          <w:szCs w:val="22"/>
        </w:rPr>
        <w:t xml:space="preserve"> observations within each trainee type are then ordered from lowest to highest and the difference between observations are measured, starting from the lowest observation </w:t>
      </w:r>
    </w:p>
    <w:p w:rsidR="00D818F2" w:rsidRPr="006F1CA6" w:rsidRDefault="00D818F2" w:rsidP="00E17234">
      <w:pPr>
        <w:spacing w:after="160" w:line="276" w:lineRule="auto"/>
        <w:rPr>
          <w:rFonts w:asciiTheme="minorHAnsi" w:hAnsiTheme="minorHAnsi" w:cstheme="minorHAnsi"/>
          <w:color w:val="000000"/>
          <w:szCs w:val="22"/>
        </w:rPr>
      </w:pPr>
      <w:r w:rsidRPr="003B07F7">
        <w:rPr>
          <w:rFonts w:asciiTheme="minorHAnsi" w:hAnsiTheme="minorHAnsi" w:cstheme="minorHAnsi"/>
          <w:b/>
          <w:color w:val="000000"/>
          <w:szCs w:val="22"/>
        </w:rPr>
        <w:t>Step 3:</w:t>
      </w:r>
      <w:r w:rsidRPr="006F1CA6">
        <w:rPr>
          <w:rFonts w:asciiTheme="minorHAnsi" w:hAnsiTheme="minorHAnsi" w:cstheme="minorHAnsi"/>
          <w:color w:val="000000"/>
          <w:szCs w:val="22"/>
        </w:rPr>
        <w:t xml:space="preserve"> if the difference between observations is 3 or </w:t>
      </w:r>
      <w:r w:rsidRPr="00E17234">
        <w:rPr>
          <w:rFonts w:cs="Arial"/>
        </w:rPr>
        <w:t>more</w:t>
      </w:r>
      <w:r w:rsidRPr="006F1CA6">
        <w:rPr>
          <w:rFonts w:asciiTheme="minorHAnsi" w:hAnsiTheme="minorHAnsi" w:cstheme="minorHAnsi"/>
          <w:color w:val="000000"/>
          <w:szCs w:val="22"/>
        </w:rPr>
        <w:t xml:space="preserve"> times the difference between the largest observed difference up to that point and the observation has been flagged in step 1, then the observation is considered an outlier</w:t>
      </w:r>
    </w:p>
    <w:p w:rsidR="00D818F2" w:rsidRPr="006F1CA6" w:rsidRDefault="00D818F2" w:rsidP="00E17234">
      <w:pPr>
        <w:spacing w:after="160" w:line="276" w:lineRule="auto"/>
        <w:rPr>
          <w:rFonts w:asciiTheme="minorHAnsi" w:hAnsiTheme="minorHAnsi" w:cstheme="minorHAnsi"/>
          <w:color w:val="000000"/>
          <w:szCs w:val="22"/>
        </w:rPr>
      </w:pPr>
      <w:r w:rsidRPr="003B07F7">
        <w:rPr>
          <w:rFonts w:asciiTheme="minorHAnsi" w:hAnsiTheme="minorHAnsi" w:cstheme="minorHAnsi"/>
          <w:b/>
          <w:color w:val="000000"/>
          <w:szCs w:val="22"/>
        </w:rPr>
        <w:t>Step 4:</w:t>
      </w:r>
      <w:r w:rsidRPr="006F1CA6">
        <w:rPr>
          <w:rFonts w:asciiTheme="minorHAnsi" w:hAnsiTheme="minorHAnsi" w:cstheme="minorHAnsi"/>
          <w:color w:val="000000"/>
          <w:szCs w:val="22"/>
        </w:rPr>
        <w:t xml:space="preserve"> all further observations (after the one identified in Step 3) in that trainee group are considered outliers.</w:t>
      </w:r>
    </w:p>
    <w:p w:rsidR="00D818F2" w:rsidRPr="003B07F7" w:rsidRDefault="00D818F2" w:rsidP="00E17234">
      <w:pPr>
        <w:spacing w:after="160" w:line="276" w:lineRule="auto"/>
        <w:rPr>
          <w:rFonts w:cs="Arial"/>
        </w:rPr>
      </w:pPr>
      <w:r w:rsidRPr="003B07F7">
        <w:rPr>
          <w:rFonts w:cs="Arial"/>
        </w:rPr>
        <w:t>The results of applying the outlier methodology are shown in</w:t>
      </w:r>
      <w:r>
        <w:rPr>
          <w:rFonts w:cs="Arial"/>
        </w:rPr>
        <w:t xml:space="preserve"> </w:t>
      </w:r>
      <w:r w:rsidR="002E4019">
        <w:rPr>
          <w:rFonts w:cs="Arial"/>
        </w:rPr>
        <w:fldChar w:fldCharType="begin"/>
      </w:r>
      <w:r w:rsidR="002E4019">
        <w:rPr>
          <w:rFonts w:cs="Arial"/>
        </w:rPr>
        <w:instrText xml:space="preserve"> REF _Ref486841710 \h </w:instrText>
      </w:r>
      <w:r w:rsidR="002E4019">
        <w:rPr>
          <w:rFonts w:cs="Arial"/>
        </w:rPr>
      </w:r>
      <w:r w:rsidR="002E4019">
        <w:rPr>
          <w:rFonts w:cs="Arial"/>
        </w:rPr>
        <w:fldChar w:fldCharType="separate"/>
      </w:r>
      <w:r w:rsidR="0089599A">
        <w:t xml:space="preserve">Figure </w:t>
      </w:r>
      <w:r w:rsidR="0089599A">
        <w:rPr>
          <w:noProof/>
        </w:rPr>
        <w:t>2</w:t>
      </w:r>
      <w:r w:rsidR="002E4019">
        <w:rPr>
          <w:rFonts w:cs="Arial"/>
        </w:rPr>
        <w:fldChar w:fldCharType="end"/>
      </w:r>
      <w:r w:rsidRPr="003B07F7">
        <w:rPr>
          <w:rFonts w:cs="Arial"/>
        </w:rPr>
        <w:t xml:space="preserve">. The potential outliers (Step 1) are highlighted in orange and the </w:t>
      </w:r>
      <w:r w:rsidRPr="00E17234">
        <w:rPr>
          <w:rFonts w:asciiTheme="minorHAnsi" w:hAnsiTheme="minorHAnsi" w:cstheme="minorHAnsi"/>
          <w:color w:val="000000"/>
          <w:szCs w:val="22"/>
        </w:rPr>
        <w:t>outliers</w:t>
      </w:r>
      <w:r w:rsidRPr="003B07F7">
        <w:rPr>
          <w:rFonts w:cs="Arial"/>
        </w:rPr>
        <w:t xml:space="preserve"> adhering to the above rules (after Step 4) are highlighted in brown.</w:t>
      </w:r>
    </w:p>
    <w:p w:rsidR="00D818F2" w:rsidRDefault="00D818F2" w:rsidP="00D818F2">
      <w:pPr>
        <w:spacing w:after="0" w:line="240" w:lineRule="auto"/>
        <w:rPr>
          <w:rFonts w:asciiTheme="minorHAnsi" w:eastAsiaTheme="minorHAnsi" w:hAnsiTheme="minorHAnsi" w:cstheme="minorBidi"/>
          <w:bCs/>
          <w:color w:val="004200" w:themeColor="accent1"/>
          <w:szCs w:val="18"/>
          <w:lang w:eastAsia="en-US"/>
        </w:rPr>
      </w:pPr>
      <w:bookmarkStart w:id="79" w:name="_Ref479060045"/>
    </w:p>
    <w:p w:rsidR="00D818F2" w:rsidRDefault="00B93FF5" w:rsidP="002E4019">
      <w:pPr>
        <w:pStyle w:val="Caption"/>
        <w:keepNext/>
      </w:pPr>
      <w:bookmarkStart w:id="80" w:name="_Ref486841710"/>
      <w:bookmarkEnd w:id="79"/>
      <w:r>
        <w:lastRenderedPageBreak/>
        <w:t xml:space="preserve">Figure </w:t>
      </w:r>
      <w:r w:rsidR="006D258D">
        <w:fldChar w:fldCharType="begin"/>
      </w:r>
      <w:r w:rsidR="006D258D">
        <w:instrText xml:space="preserve"> SEQ Figure \* ARABIC </w:instrText>
      </w:r>
      <w:r w:rsidR="006D258D">
        <w:fldChar w:fldCharType="separate"/>
      </w:r>
      <w:r w:rsidR="0089599A">
        <w:rPr>
          <w:noProof/>
        </w:rPr>
        <w:t>2</w:t>
      </w:r>
      <w:r w:rsidR="006D258D">
        <w:rPr>
          <w:noProof/>
        </w:rPr>
        <w:fldChar w:fldCharType="end"/>
      </w:r>
      <w:bookmarkEnd w:id="80"/>
      <w:r w:rsidR="002E4019">
        <w:t>:</w:t>
      </w:r>
      <w:r>
        <w:t xml:space="preserve"> </w:t>
      </w:r>
      <w:r w:rsidR="00D818F2" w:rsidRPr="00147F5F">
        <w:t>Outliers identified using top 5%, 3*IQR and the difference rule for each trainee type - using direct</w:t>
      </w:r>
      <w:r w:rsidR="00D818F2">
        <w:t xml:space="preserve"> and </w:t>
      </w:r>
      <w:r w:rsidR="00D818F2" w:rsidRPr="00147F5F">
        <w:t>indirect cost/FTE</w:t>
      </w:r>
    </w:p>
    <w:p w:rsidR="00D818F2" w:rsidRDefault="00085A0F" w:rsidP="00D818F2">
      <w:pPr>
        <w:pStyle w:val="PwCNormal"/>
        <w:numPr>
          <w:ilvl w:val="0"/>
          <w:numId w:val="0"/>
        </w:numPr>
      </w:pPr>
      <w:r>
        <w:rPr>
          <w:noProof/>
          <w:snapToGrid/>
          <w:lang w:eastAsia="en-AU"/>
        </w:rPr>
        <mc:AlternateContent>
          <mc:Choice Requires="wps">
            <w:drawing>
              <wp:anchor distT="0" distB="0" distL="114300" distR="114300" simplePos="0" relativeHeight="251684864" behindDoc="0" locked="0" layoutInCell="1" allowOverlap="1" wp14:anchorId="5F32AFF1" wp14:editId="36949003">
                <wp:simplePos x="0" y="0"/>
                <wp:positionH relativeFrom="column">
                  <wp:posOffset>2959100</wp:posOffset>
                </wp:positionH>
                <wp:positionV relativeFrom="paragraph">
                  <wp:posOffset>818620</wp:posOffset>
                </wp:positionV>
                <wp:extent cx="526415" cy="200660"/>
                <wp:effectExtent l="57150" t="0" r="26035" b="828040"/>
                <wp:wrapNone/>
                <wp:docPr id="120" name="Line Callout 1 120"/>
                <wp:cNvGraphicFramePr/>
                <a:graphic xmlns:a="http://schemas.openxmlformats.org/drawingml/2006/main">
                  <a:graphicData uri="http://schemas.microsoft.com/office/word/2010/wordprocessingShape">
                    <wps:wsp>
                      <wps:cNvSpPr/>
                      <wps:spPr bwMode="ltGray">
                        <a:xfrm>
                          <a:off x="0" y="0"/>
                          <a:ext cx="526415" cy="200660"/>
                        </a:xfrm>
                        <a:prstGeom prst="borderCallout1">
                          <a:avLst>
                            <a:gd name="adj1" fmla="val 133036"/>
                            <a:gd name="adj2" fmla="val 58334"/>
                            <a:gd name="adj3" fmla="val 478355"/>
                            <a:gd name="adj4" fmla="val -9083"/>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6E5753" w:rsidRDefault="00232CEF" w:rsidP="00C21E71">
                            <w:pPr>
                              <w:spacing w:before="0" w:after="0" w:line="240" w:lineRule="auto"/>
                              <w:jc w:val="center"/>
                              <w:rPr>
                                <w:color w:val="000000" w:themeColor="text1"/>
                                <w:sz w:val="12"/>
                              </w:rPr>
                            </w:pPr>
                            <w:r w:rsidRPr="006E5753">
                              <w:rPr>
                                <w:color w:val="000000" w:themeColor="text1"/>
                                <w:sz w:val="12"/>
                              </w:rPr>
                              <w:t>PGY</w:t>
                            </w:r>
                            <w:r>
                              <w:rPr>
                                <w:color w:val="000000" w:themeColor="text1"/>
                                <w:sz w:val="12"/>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Line Callout 1 120" o:spid="_x0000_s1038" type="#_x0000_t47" style="position:absolute;margin-left:233pt;margin-top:64.45pt;width:41.45pt;height:15.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" adj="-1962,103325,12600,28736" fillcolor="white [3212]" strokecolor="black [3213]" strokeweight=".25pt">
                <v:textbox inset="0,0,0,0">
                  <w:txbxContent>
                    <w:p w:rsidR="00232CEF" w:rsidRPr="006E5753" w:rsidRDefault="00232CEF" w:rsidP="00C21E71">
                      <w:pPr>
                        <w:spacing w:before="0" w:after="0" w:line="240" w:lineRule="auto"/>
                        <w:jc w:val="center"/>
                        <w:rPr>
                          <w:color w:val="000000" w:themeColor="text1"/>
                          <w:sz w:val="12"/>
                        </w:rPr>
                      </w:pPr>
                      <w:proofErr w:type="spellStart"/>
                      <w:r w:rsidRPr="006E5753">
                        <w:rPr>
                          <w:color w:val="000000" w:themeColor="text1"/>
                          <w:sz w:val="12"/>
                        </w:rPr>
                        <w:t>PGY</w:t>
                      </w:r>
                      <w:r>
                        <w:rPr>
                          <w:color w:val="000000" w:themeColor="text1"/>
                          <w:sz w:val="12"/>
                        </w:rPr>
                        <w:t>3</w:t>
                      </w:r>
                      <w:proofErr w:type="spellEnd"/>
                      <w:r>
                        <w:rPr>
                          <w:color w:val="000000" w:themeColor="text1"/>
                          <w:sz w:val="12"/>
                        </w:rPr>
                        <w:t>+</w:t>
                      </w:r>
                    </w:p>
                  </w:txbxContent>
                </v:textbox>
                <o:callout v:ext="edit" minusy="t"/>
              </v:shape>
            </w:pict>
          </mc:Fallback>
        </mc:AlternateContent>
      </w:r>
      <w:r w:rsidR="00C21E71">
        <w:rPr>
          <w:noProof/>
          <w:snapToGrid/>
          <w:lang w:eastAsia="en-AU"/>
        </w:rPr>
        <mc:AlternateContent>
          <mc:Choice Requires="wps">
            <w:drawing>
              <wp:anchor distT="0" distB="0" distL="114300" distR="114300" simplePos="0" relativeHeight="251683840" behindDoc="0" locked="0" layoutInCell="1" allowOverlap="1" wp14:anchorId="7C65864C" wp14:editId="5DDE0F30">
                <wp:simplePos x="0" y="0"/>
                <wp:positionH relativeFrom="column">
                  <wp:posOffset>1975485</wp:posOffset>
                </wp:positionH>
                <wp:positionV relativeFrom="paragraph">
                  <wp:posOffset>1196870</wp:posOffset>
                </wp:positionV>
                <wp:extent cx="473075" cy="199280"/>
                <wp:effectExtent l="0" t="0" r="22225" b="563245"/>
                <wp:wrapNone/>
                <wp:docPr id="57" name="Line Callout 1 57"/>
                <wp:cNvGraphicFramePr/>
                <a:graphic xmlns:a="http://schemas.openxmlformats.org/drawingml/2006/main">
                  <a:graphicData uri="http://schemas.microsoft.com/office/word/2010/wordprocessingShape">
                    <wps:wsp>
                      <wps:cNvSpPr/>
                      <wps:spPr bwMode="ltGray">
                        <a:xfrm>
                          <a:off x="0" y="0"/>
                          <a:ext cx="473075" cy="199280"/>
                        </a:xfrm>
                        <a:prstGeom prst="borderCallout1">
                          <a:avLst>
                            <a:gd name="adj1" fmla="val 133036"/>
                            <a:gd name="adj2" fmla="val 58334"/>
                            <a:gd name="adj3" fmla="val 390855"/>
                            <a:gd name="adj4" fmla="val 77709"/>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6E5753" w:rsidRDefault="00232CEF" w:rsidP="00C21E71">
                            <w:pPr>
                              <w:spacing w:before="0" w:after="0" w:line="240" w:lineRule="auto"/>
                              <w:jc w:val="center"/>
                              <w:rPr>
                                <w:color w:val="000000" w:themeColor="text1"/>
                                <w:sz w:val="12"/>
                              </w:rPr>
                            </w:pPr>
                            <w:r w:rsidRPr="006E5753">
                              <w:rPr>
                                <w:color w:val="000000" w:themeColor="text1"/>
                                <w:sz w:val="12"/>
                              </w:rPr>
                              <w:t>PGY1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ine Callout 1 57" o:spid="_x0000_s1039" type="#_x0000_t47" style="position:absolute;margin-left:155.55pt;margin-top:94.25pt;width:37.25pt;height:1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" adj="16785,84425,12600,28736" fillcolor="white [3212]" strokecolor="black [3213]" strokeweight=".25pt">
                <v:textbox inset="0,0,0,0">
                  <w:txbxContent>
                    <w:p w:rsidR="00232CEF" w:rsidRPr="006E5753" w:rsidRDefault="00232CEF" w:rsidP="00C21E71">
                      <w:pPr>
                        <w:spacing w:before="0" w:after="0" w:line="240" w:lineRule="auto"/>
                        <w:jc w:val="center"/>
                        <w:rPr>
                          <w:color w:val="000000" w:themeColor="text1"/>
                          <w:sz w:val="12"/>
                        </w:rPr>
                      </w:pPr>
                      <w:proofErr w:type="spellStart"/>
                      <w:r w:rsidRPr="006E5753">
                        <w:rPr>
                          <w:color w:val="000000" w:themeColor="text1"/>
                          <w:sz w:val="12"/>
                        </w:rPr>
                        <w:t>PGY1</w:t>
                      </w:r>
                      <w:proofErr w:type="spellEnd"/>
                    </w:p>
                  </w:txbxContent>
                </v:textbox>
                <o:callout v:ext="edit" minusx="t" minusy="t"/>
              </v:shape>
            </w:pict>
          </mc:Fallback>
        </mc:AlternateContent>
      </w:r>
      <w:r>
        <w:rPr>
          <w:noProof/>
          <w:snapToGrid/>
          <w:lang w:eastAsia="en-AU"/>
        </w:rPr>
        <w:drawing>
          <wp:inline distT="0" distB="0" distL="0" distR="0" wp14:anchorId="2AF98EC3" wp14:editId="42E69F03">
            <wp:extent cx="5218430" cy="2719070"/>
            <wp:effectExtent l="0" t="0" r="1270" b="5080"/>
            <wp:docPr id="4" name="Picture 4" descr="Graph demonstrating outliers by colour coding, with particular reference to PGY 1 and PGY 3+" title="Figure 2 Outliers identified using top 5%, 3*IQR and the differential rule for each trainee type - using direct and indirect cost/F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218430" cy="2719070"/>
                    </a:xfrm>
                    <a:prstGeom prst="rect">
                      <a:avLst/>
                    </a:prstGeom>
                    <a:noFill/>
                  </pic:spPr>
                </pic:pic>
              </a:graphicData>
            </a:graphic>
          </wp:inline>
        </w:drawing>
      </w:r>
    </w:p>
    <w:p w:rsidR="00D818F2" w:rsidRPr="00A72B93" w:rsidRDefault="00D818F2" w:rsidP="00E17234">
      <w:pPr>
        <w:spacing w:after="160" w:line="276" w:lineRule="auto"/>
        <w:rPr>
          <w:szCs w:val="22"/>
        </w:rPr>
      </w:pPr>
      <w:r w:rsidRPr="00A72B93">
        <w:rPr>
          <w:szCs w:val="22"/>
        </w:rPr>
        <w:t xml:space="preserve">Two further adjustments </w:t>
      </w:r>
      <w:r w:rsidRPr="00A72B93">
        <w:rPr>
          <w:rFonts w:asciiTheme="minorHAnsi" w:hAnsiTheme="minorHAnsi" w:cstheme="minorHAnsi"/>
          <w:color w:val="000000"/>
          <w:szCs w:val="22"/>
        </w:rPr>
        <w:t>were</w:t>
      </w:r>
      <w:r w:rsidRPr="00A72B93">
        <w:rPr>
          <w:szCs w:val="22"/>
        </w:rPr>
        <w:t xml:space="preserve"> applied to the final outlier methodology:</w:t>
      </w:r>
    </w:p>
    <w:p w:rsidR="00D818F2" w:rsidRPr="00A72B93" w:rsidRDefault="00D818F2"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A72B93">
        <w:rPr>
          <w:rFonts w:asciiTheme="minorHAnsi" w:hAnsiTheme="minorHAnsi" w:cstheme="minorHAnsi"/>
          <w:color w:val="000000"/>
          <w:sz w:val="22"/>
          <w:szCs w:val="22"/>
        </w:rPr>
        <w:t>The postgraduate year 1 (PGY1) students, flagged as outliers under the methodology were treated as in-scope observations as they appeared to be a legitimate second cluster of observations rather than information erroneously recorded.</w:t>
      </w:r>
    </w:p>
    <w:p w:rsidR="00D818F2" w:rsidRPr="00A72B93" w:rsidRDefault="00D818F2" w:rsidP="00313B57">
      <w:pPr>
        <w:pStyle w:val="NormalWeb"/>
        <w:numPr>
          <w:ilvl w:val="0"/>
          <w:numId w:val="16"/>
        </w:numPr>
        <w:spacing w:before="0" w:beforeAutospacing="0" w:after="40" w:afterAutospacing="0" w:line="276" w:lineRule="auto"/>
        <w:textAlignment w:val="baseline"/>
        <w:rPr>
          <w:rFonts w:asciiTheme="minorHAnsi" w:hAnsiTheme="minorHAnsi" w:cstheme="minorHAnsi"/>
          <w:color w:val="000000"/>
          <w:sz w:val="22"/>
          <w:szCs w:val="22"/>
        </w:rPr>
      </w:pPr>
      <w:r w:rsidRPr="00A72B93">
        <w:rPr>
          <w:rFonts w:asciiTheme="minorHAnsi" w:hAnsiTheme="minorHAnsi" w:cstheme="minorHAnsi"/>
          <w:color w:val="000000"/>
          <w:sz w:val="22"/>
          <w:szCs w:val="22"/>
        </w:rPr>
        <w:t>A portion of the postgraduate year 3 or greater (PGY3+) students did not appear to follow the standard costs of PGY3+ students and were subsequently flagged.</w:t>
      </w:r>
    </w:p>
    <w:p w:rsidR="00D818F2" w:rsidRPr="00A72B93" w:rsidRDefault="00BE2F60" w:rsidP="00E17234">
      <w:pPr>
        <w:spacing w:after="160" w:line="276" w:lineRule="auto"/>
        <w:rPr>
          <w:szCs w:val="22"/>
        </w:rPr>
      </w:pPr>
      <w:r w:rsidRPr="00A72B93">
        <w:rPr>
          <w:szCs w:val="22"/>
        </w:rPr>
        <w:t>T</w:t>
      </w:r>
      <w:r w:rsidR="00D818F2" w:rsidRPr="00A72B93">
        <w:rPr>
          <w:szCs w:val="22"/>
        </w:rPr>
        <w:t>he final outliers identified after the two further adjustments were made</w:t>
      </w:r>
      <w:r w:rsidRPr="00A72B93">
        <w:rPr>
          <w:szCs w:val="22"/>
        </w:rPr>
        <w:t xml:space="preserve"> are shown in </w:t>
      </w:r>
      <w:r w:rsidRPr="00A72B93">
        <w:rPr>
          <w:szCs w:val="22"/>
        </w:rPr>
        <w:fldChar w:fldCharType="begin"/>
      </w:r>
      <w:r w:rsidRPr="00A72B93">
        <w:rPr>
          <w:szCs w:val="22"/>
        </w:rPr>
        <w:instrText xml:space="preserve"> REF _Ref486841687 \h </w:instrText>
      </w:r>
      <w:r w:rsidR="00A72B93">
        <w:rPr>
          <w:szCs w:val="22"/>
        </w:rPr>
        <w:instrText xml:space="preserve"> \* MERGEFORMAT </w:instrText>
      </w:r>
      <w:r w:rsidRPr="00A72B93">
        <w:rPr>
          <w:szCs w:val="22"/>
        </w:rPr>
      </w:r>
      <w:r w:rsidRPr="00A72B93">
        <w:rPr>
          <w:szCs w:val="22"/>
        </w:rPr>
        <w:fldChar w:fldCharType="separate"/>
      </w:r>
      <w:r w:rsidR="0089599A" w:rsidRPr="0089599A">
        <w:rPr>
          <w:szCs w:val="22"/>
        </w:rPr>
        <w:t xml:space="preserve">Figure </w:t>
      </w:r>
      <w:r w:rsidR="0089599A" w:rsidRPr="0089599A">
        <w:rPr>
          <w:noProof/>
          <w:szCs w:val="22"/>
        </w:rPr>
        <w:t>3</w:t>
      </w:r>
      <w:r w:rsidRPr="00A72B93">
        <w:rPr>
          <w:szCs w:val="22"/>
        </w:rPr>
        <w:fldChar w:fldCharType="end"/>
      </w:r>
      <w:r w:rsidR="00D818F2" w:rsidRPr="00A72B93">
        <w:rPr>
          <w:szCs w:val="22"/>
        </w:rPr>
        <w:t>.</w:t>
      </w:r>
    </w:p>
    <w:p w:rsidR="00D818F2" w:rsidRDefault="00B93FF5" w:rsidP="00C21E71">
      <w:pPr>
        <w:pStyle w:val="Caption"/>
        <w:keepNext/>
      </w:pPr>
      <w:bookmarkStart w:id="81" w:name="_Ref486841687"/>
      <w:r>
        <w:t xml:space="preserve">Figure </w:t>
      </w:r>
      <w:r w:rsidR="006D258D">
        <w:fldChar w:fldCharType="begin"/>
      </w:r>
      <w:r w:rsidR="006D258D">
        <w:instrText xml:space="preserve"> SEQ Figure \* ARABIC </w:instrText>
      </w:r>
      <w:r w:rsidR="006D258D">
        <w:fldChar w:fldCharType="separate"/>
      </w:r>
      <w:r w:rsidR="0089599A">
        <w:rPr>
          <w:noProof/>
        </w:rPr>
        <w:t>3</w:t>
      </w:r>
      <w:r w:rsidR="006D258D">
        <w:rPr>
          <w:noProof/>
        </w:rPr>
        <w:fldChar w:fldCharType="end"/>
      </w:r>
      <w:bookmarkEnd w:id="81"/>
      <w:r w:rsidR="002E4019">
        <w:t>:</w:t>
      </w:r>
      <w:r>
        <w:t xml:space="preserve"> </w:t>
      </w:r>
      <w:r w:rsidR="00D818F2" w:rsidRPr="001437AA">
        <w:t xml:space="preserve">Outliers identified after manual adjustments - using direct </w:t>
      </w:r>
      <w:r w:rsidR="00D818F2">
        <w:t xml:space="preserve">and </w:t>
      </w:r>
      <w:r w:rsidR="00D818F2" w:rsidRPr="001437AA">
        <w:t>indirect cost/FTE</w:t>
      </w:r>
    </w:p>
    <w:p w:rsidR="00D818F2" w:rsidRDefault="00085A0F" w:rsidP="00D818F2">
      <w:pPr>
        <w:rPr>
          <w:lang w:eastAsia="ja-JP"/>
        </w:rPr>
      </w:pPr>
      <w:r>
        <w:rPr>
          <w:noProof/>
        </w:rPr>
        <w:drawing>
          <wp:inline distT="0" distB="0" distL="0" distR="0" wp14:anchorId="796163C3" wp14:editId="283D3BE2">
            <wp:extent cx="5218430" cy="2719070"/>
            <wp:effectExtent l="0" t="0" r="1270" b="5080"/>
            <wp:docPr id="5" name="Picture 5" descr="Graph demonstrating outliers by colour coding." title="Figure 3: Outliers identified after manual adjustments - using direct and indirect cost/F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18430" cy="2719070"/>
                    </a:xfrm>
                    <a:prstGeom prst="rect">
                      <a:avLst/>
                    </a:prstGeom>
                    <a:noFill/>
                  </pic:spPr>
                </pic:pic>
              </a:graphicData>
            </a:graphic>
          </wp:inline>
        </w:drawing>
      </w:r>
    </w:p>
    <w:p w:rsidR="00D818F2" w:rsidRPr="00AA78DF" w:rsidRDefault="00D818F2" w:rsidP="00CC16AA">
      <w:pPr>
        <w:spacing w:before="0" w:after="0" w:line="240" w:lineRule="auto"/>
        <w:rPr>
          <w:rFonts w:cs="Arial"/>
        </w:rPr>
      </w:pPr>
      <w:r w:rsidRPr="001A2F0C">
        <w:rPr>
          <w:rFonts w:cs="Arial"/>
        </w:rPr>
        <w:t xml:space="preserve">The </w:t>
      </w:r>
      <w:r>
        <w:rPr>
          <w:rFonts w:cs="Arial"/>
        </w:rPr>
        <w:t xml:space="preserve">outlier and other </w:t>
      </w:r>
      <w:r w:rsidRPr="001A2F0C">
        <w:rPr>
          <w:rFonts w:cs="Arial"/>
        </w:rPr>
        <w:t>records removed prior to the exploratory analysis and data mod</w:t>
      </w:r>
      <w:r>
        <w:rPr>
          <w:rFonts w:cs="Arial"/>
        </w:rPr>
        <w:t xml:space="preserve">elling are identified in </w:t>
      </w:r>
      <w:r w:rsidR="002E4019">
        <w:rPr>
          <w:rFonts w:cs="Arial"/>
        </w:rPr>
        <w:fldChar w:fldCharType="begin"/>
      </w:r>
      <w:r w:rsidR="002E4019">
        <w:rPr>
          <w:rFonts w:cs="Arial"/>
        </w:rPr>
        <w:instrText xml:space="preserve"> REF _Ref486842206 \h </w:instrText>
      </w:r>
      <w:r w:rsidR="002E4019">
        <w:rPr>
          <w:rFonts w:cs="Arial"/>
        </w:rPr>
      </w:r>
      <w:r w:rsidR="002E4019">
        <w:rPr>
          <w:rFonts w:cs="Arial"/>
        </w:rPr>
        <w:fldChar w:fldCharType="separate"/>
      </w:r>
      <w:r w:rsidR="0089599A">
        <w:t xml:space="preserve">Table </w:t>
      </w:r>
      <w:r w:rsidR="0089599A">
        <w:rPr>
          <w:noProof/>
        </w:rPr>
        <w:t>3</w:t>
      </w:r>
      <w:r w:rsidR="002E4019">
        <w:rPr>
          <w:rFonts w:cs="Arial"/>
        </w:rPr>
        <w:fldChar w:fldCharType="end"/>
      </w:r>
      <w:r w:rsidRPr="001A2F0C">
        <w:rPr>
          <w:rFonts w:cs="Arial"/>
        </w:rPr>
        <w:t>.</w:t>
      </w:r>
    </w:p>
    <w:p w:rsidR="00D818F2" w:rsidRPr="006230E7" w:rsidRDefault="002E4019" w:rsidP="0025512F">
      <w:pPr>
        <w:pStyle w:val="Caption"/>
        <w:keepNext/>
        <w:pageBreakBefore/>
      </w:pPr>
      <w:bookmarkStart w:id="82" w:name="_Ref486842206"/>
      <w:r>
        <w:lastRenderedPageBreak/>
        <w:t xml:space="preserve">Table </w:t>
      </w:r>
      <w:r w:rsidR="006D258D">
        <w:fldChar w:fldCharType="begin"/>
      </w:r>
      <w:r w:rsidR="006D258D">
        <w:instrText xml:space="preserve"> SEQ Table \* ARABIC </w:instrText>
      </w:r>
      <w:r w:rsidR="006D258D">
        <w:fldChar w:fldCharType="separate"/>
      </w:r>
      <w:r w:rsidR="0089599A">
        <w:rPr>
          <w:noProof/>
        </w:rPr>
        <w:t>3</w:t>
      </w:r>
      <w:r w:rsidR="006D258D">
        <w:rPr>
          <w:noProof/>
        </w:rPr>
        <w:fldChar w:fldCharType="end"/>
      </w:r>
      <w:bookmarkEnd w:id="82"/>
      <w:r w:rsidR="00D818F2" w:rsidRPr="002B1F38">
        <w:t>: Records removed from the TTR Costing Study final data set prior to exploratory analysis and data modelling</w:t>
      </w:r>
    </w:p>
    <w:tbl>
      <w:tblPr>
        <w:tblStyle w:val="TableGrid"/>
        <w:tblW w:w="0" w:type="auto"/>
        <w:tblInd w:w="720" w:type="dxa"/>
        <w:tblLook w:val="04A0" w:firstRow="1" w:lastRow="0" w:firstColumn="1" w:lastColumn="0" w:noHBand="0" w:noVBand="1"/>
        <w:tblDescription w:val="Two column table indicating TTR Costing Study data set record categories, and the corresponding number of records for each record category (such as outliers removed 63)."/>
      </w:tblPr>
      <w:tblGrid>
        <w:gridCol w:w="5200"/>
        <w:gridCol w:w="2268"/>
      </w:tblGrid>
      <w:tr w:rsidR="00D818F2" w:rsidTr="00AE7FC8">
        <w:trPr>
          <w:tblHeader/>
        </w:trPr>
        <w:tc>
          <w:tcPr>
            <w:tcW w:w="5200" w:type="dxa"/>
            <w:shd w:val="clear" w:color="auto" w:fill="D9D9D9" w:themeFill="background1" w:themeFillShade="D9"/>
            <w:vAlign w:val="center"/>
          </w:tcPr>
          <w:p w:rsidR="00D818F2" w:rsidRPr="00016DB8" w:rsidRDefault="00D818F2" w:rsidP="00313B57">
            <w:pPr>
              <w:keepNext/>
              <w:spacing w:line="276" w:lineRule="auto"/>
              <w:rPr>
                <w:rFonts w:cs="Arial"/>
                <w:b/>
              </w:rPr>
            </w:pPr>
            <w:r w:rsidRPr="00016DB8">
              <w:rPr>
                <w:rFonts w:cs="Arial"/>
                <w:b/>
              </w:rPr>
              <w:t>TTR Costing Study data set</w:t>
            </w:r>
          </w:p>
        </w:tc>
        <w:tc>
          <w:tcPr>
            <w:tcW w:w="2268" w:type="dxa"/>
            <w:shd w:val="clear" w:color="auto" w:fill="D9D9D9" w:themeFill="background1" w:themeFillShade="D9"/>
            <w:vAlign w:val="center"/>
          </w:tcPr>
          <w:p w:rsidR="00D818F2" w:rsidRPr="00630858" w:rsidRDefault="00D818F2" w:rsidP="00D818F2">
            <w:pPr>
              <w:spacing w:line="276" w:lineRule="auto"/>
              <w:rPr>
                <w:rFonts w:cs="Arial"/>
                <w:b/>
              </w:rPr>
            </w:pPr>
            <w:r w:rsidRPr="00630858">
              <w:rPr>
                <w:rFonts w:cs="Arial"/>
                <w:b/>
              </w:rPr>
              <w:t>Number of records</w:t>
            </w:r>
          </w:p>
        </w:tc>
      </w:tr>
      <w:tr w:rsidR="00D818F2" w:rsidTr="00D818F2">
        <w:tc>
          <w:tcPr>
            <w:tcW w:w="5200" w:type="dxa"/>
            <w:vAlign w:val="center"/>
          </w:tcPr>
          <w:p w:rsidR="00D818F2" w:rsidRPr="00630858" w:rsidRDefault="00D818F2" w:rsidP="00D818F2">
            <w:pPr>
              <w:spacing w:line="276" w:lineRule="auto"/>
              <w:rPr>
                <w:rFonts w:cs="Arial"/>
              </w:rPr>
            </w:pPr>
            <w:r w:rsidRPr="00966A1D">
              <w:rPr>
                <w:rFonts w:cs="Arial"/>
              </w:rPr>
              <w:t>TTR</w:t>
            </w:r>
            <w:r>
              <w:rPr>
                <w:rFonts w:cs="Arial"/>
              </w:rPr>
              <w:t xml:space="preserve"> Costing Study ‘raw’ data set</w:t>
            </w:r>
          </w:p>
        </w:tc>
        <w:tc>
          <w:tcPr>
            <w:tcW w:w="2268" w:type="dxa"/>
            <w:vAlign w:val="center"/>
          </w:tcPr>
          <w:p w:rsidR="00D818F2" w:rsidRPr="00630858" w:rsidRDefault="00D818F2" w:rsidP="00D818F2">
            <w:pPr>
              <w:spacing w:line="276" w:lineRule="auto"/>
              <w:rPr>
                <w:rFonts w:cs="Arial"/>
              </w:rPr>
            </w:pPr>
            <w:r>
              <w:rPr>
                <w:rFonts w:cs="Arial"/>
              </w:rPr>
              <w:t>10,446</w:t>
            </w:r>
          </w:p>
        </w:tc>
      </w:tr>
      <w:tr w:rsidR="00D818F2" w:rsidTr="00D818F2">
        <w:tc>
          <w:tcPr>
            <w:tcW w:w="5200" w:type="dxa"/>
            <w:vAlign w:val="center"/>
          </w:tcPr>
          <w:p w:rsidR="00D818F2" w:rsidRPr="00630858" w:rsidRDefault="00D818F2" w:rsidP="00D818F2">
            <w:pPr>
              <w:spacing w:line="276" w:lineRule="auto"/>
              <w:rPr>
                <w:rFonts w:cs="Arial"/>
              </w:rPr>
            </w:pPr>
            <w:r w:rsidRPr="00630858">
              <w:rPr>
                <w:rFonts w:cs="Arial"/>
              </w:rPr>
              <w:t>Observations with zero direct and indirect costs</w:t>
            </w:r>
            <w:r>
              <w:rPr>
                <w:rFonts w:cs="Arial"/>
              </w:rPr>
              <w:t xml:space="preserve"> removed</w:t>
            </w:r>
          </w:p>
        </w:tc>
        <w:tc>
          <w:tcPr>
            <w:tcW w:w="2268" w:type="dxa"/>
            <w:vAlign w:val="center"/>
          </w:tcPr>
          <w:p w:rsidR="00D818F2" w:rsidRPr="00630858" w:rsidRDefault="00D818F2" w:rsidP="00D818F2">
            <w:pPr>
              <w:spacing w:line="276" w:lineRule="auto"/>
              <w:rPr>
                <w:rFonts w:cs="Arial"/>
              </w:rPr>
            </w:pPr>
            <w:r>
              <w:rPr>
                <w:rFonts w:cs="Arial"/>
              </w:rPr>
              <w:t>479</w:t>
            </w:r>
          </w:p>
        </w:tc>
      </w:tr>
      <w:tr w:rsidR="00D818F2" w:rsidTr="00D818F2">
        <w:tc>
          <w:tcPr>
            <w:tcW w:w="5200" w:type="dxa"/>
            <w:vAlign w:val="center"/>
          </w:tcPr>
          <w:p w:rsidR="00D818F2" w:rsidRPr="00630858" w:rsidRDefault="00D818F2" w:rsidP="00D818F2">
            <w:pPr>
              <w:spacing w:line="276" w:lineRule="auto"/>
              <w:rPr>
                <w:rFonts w:cs="Arial"/>
              </w:rPr>
            </w:pPr>
            <w:r w:rsidRPr="00630858">
              <w:rPr>
                <w:rFonts w:cs="Arial"/>
              </w:rPr>
              <w:t>Observations with zero or blank FTEs</w:t>
            </w:r>
            <w:r>
              <w:rPr>
                <w:rFonts w:cs="Arial"/>
              </w:rPr>
              <w:t xml:space="preserve"> removed</w:t>
            </w:r>
          </w:p>
        </w:tc>
        <w:tc>
          <w:tcPr>
            <w:tcW w:w="2268" w:type="dxa"/>
            <w:vAlign w:val="center"/>
          </w:tcPr>
          <w:p w:rsidR="00D818F2" w:rsidRPr="00630858" w:rsidRDefault="00D818F2" w:rsidP="00D818F2">
            <w:pPr>
              <w:spacing w:line="276" w:lineRule="auto"/>
              <w:rPr>
                <w:rFonts w:cs="Arial"/>
              </w:rPr>
            </w:pPr>
            <w:r>
              <w:rPr>
                <w:rFonts w:cs="Arial"/>
              </w:rPr>
              <w:t>38</w:t>
            </w:r>
          </w:p>
        </w:tc>
      </w:tr>
      <w:tr w:rsidR="00D818F2" w:rsidTr="00D818F2">
        <w:tc>
          <w:tcPr>
            <w:tcW w:w="5200" w:type="dxa"/>
            <w:vAlign w:val="center"/>
          </w:tcPr>
          <w:p w:rsidR="00D818F2" w:rsidRPr="00630858" w:rsidRDefault="00D818F2" w:rsidP="00D818F2">
            <w:pPr>
              <w:spacing w:line="276" w:lineRule="auto"/>
              <w:rPr>
                <w:rFonts w:cs="Arial"/>
              </w:rPr>
            </w:pPr>
            <w:r>
              <w:rPr>
                <w:rFonts w:cs="Arial"/>
              </w:rPr>
              <w:t>O</w:t>
            </w:r>
            <w:r w:rsidRPr="00630858">
              <w:rPr>
                <w:rFonts w:cs="Arial"/>
              </w:rPr>
              <w:t xml:space="preserve">bservations which were flagged for exclusion in the raw data file as part of the </w:t>
            </w:r>
            <w:r w:rsidRPr="00966A1D">
              <w:rPr>
                <w:rFonts w:cs="Arial"/>
              </w:rPr>
              <w:t>TTR</w:t>
            </w:r>
            <w:r>
              <w:rPr>
                <w:rFonts w:cs="Arial"/>
              </w:rPr>
              <w:t xml:space="preserve"> Costing Study</w:t>
            </w:r>
            <w:r w:rsidRPr="00630858">
              <w:rPr>
                <w:rFonts w:cs="Arial"/>
              </w:rPr>
              <w:t xml:space="preserve"> data set finalisation</w:t>
            </w:r>
            <w:r>
              <w:rPr>
                <w:rFonts w:cs="Arial"/>
              </w:rPr>
              <w:t xml:space="preserve"> removed </w:t>
            </w:r>
          </w:p>
        </w:tc>
        <w:tc>
          <w:tcPr>
            <w:tcW w:w="2268" w:type="dxa"/>
            <w:vAlign w:val="center"/>
          </w:tcPr>
          <w:p w:rsidR="00D818F2" w:rsidRPr="00630858" w:rsidRDefault="00D818F2" w:rsidP="00D818F2">
            <w:pPr>
              <w:spacing w:line="276" w:lineRule="auto"/>
              <w:rPr>
                <w:rFonts w:cs="Arial"/>
              </w:rPr>
            </w:pPr>
            <w:r>
              <w:rPr>
                <w:rFonts w:cs="Arial"/>
              </w:rPr>
              <w:t>401</w:t>
            </w:r>
          </w:p>
        </w:tc>
      </w:tr>
      <w:tr w:rsidR="00D818F2" w:rsidTr="00D818F2">
        <w:tc>
          <w:tcPr>
            <w:tcW w:w="5200" w:type="dxa"/>
            <w:vAlign w:val="center"/>
          </w:tcPr>
          <w:p w:rsidR="00D818F2" w:rsidRPr="00630858" w:rsidRDefault="00D818F2" w:rsidP="00D818F2">
            <w:pPr>
              <w:spacing w:line="276" w:lineRule="auto"/>
              <w:rPr>
                <w:rFonts w:cs="Arial"/>
              </w:rPr>
            </w:pPr>
            <w:r>
              <w:rPr>
                <w:rFonts w:cs="Arial"/>
              </w:rPr>
              <w:t>Outliers removed</w:t>
            </w:r>
          </w:p>
        </w:tc>
        <w:tc>
          <w:tcPr>
            <w:tcW w:w="2268" w:type="dxa"/>
            <w:vAlign w:val="center"/>
          </w:tcPr>
          <w:p w:rsidR="00D818F2" w:rsidRPr="00630858" w:rsidRDefault="00D818F2" w:rsidP="00D818F2">
            <w:pPr>
              <w:spacing w:line="276" w:lineRule="auto"/>
              <w:rPr>
                <w:rFonts w:cs="Arial"/>
              </w:rPr>
            </w:pPr>
            <w:r>
              <w:rPr>
                <w:rFonts w:cs="Arial"/>
              </w:rPr>
              <w:t>63</w:t>
            </w:r>
          </w:p>
        </w:tc>
      </w:tr>
      <w:tr w:rsidR="00D818F2" w:rsidTr="00D818F2">
        <w:tc>
          <w:tcPr>
            <w:tcW w:w="5200" w:type="dxa"/>
            <w:vAlign w:val="center"/>
          </w:tcPr>
          <w:p w:rsidR="00D818F2" w:rsidRDefault="00D818F2" w:rsidP="00D818F2">
            <w:pPr>
              <w:spacing w:line="276" w:lineRule="auto"/>
              <w:rPr>
                <w:rFonts w:cs="Arial"/>
              </w:rPr>
            </w:pPr>
            <w:r>
              <w:rPr>
                <w:rFonts w:cs="Arial"/>
              </w:rPr>
              <w:t>ATTC modelling data set</w:t>
            </w:r>
          </w:p>
        </w:tc>
        <w:tc>
          <w:tcPr>
            <w:tcW w:w="2268" w:type="dxa"/>
            <w:vAlign w:val="center"/>
          </w:tcPr>
          <w:p w:rsidR="00D818F2" w:rsidRPr="00630858" w:rsidRDefault="00D818F2" w:rsidP="00D818F2">
            <w:pPr>
              <w:spacing w:line="276" w:lineRule="auto"/>
              <w:rPr>
                <w:rFonts w:cs="Arial"/>
              </w:rPr>
            </w:pPr>
            <w:r>
              <w:rPr>
                <w:rFonts w:cs="Arial"/>
              </w:rPr>
              <w:t>9,465</w:t>
            </w:r>
          </w:p>
        </w:tc>
      </w:tr>
    </w:tbl>
    <w:p w:rsidR="00D818F2" w:rsidRPr="00E17234" w:rsidRDefault="00D818F2" w:rsidP="00E17234">
      <w:pPr>
        <w:spacing w:before="240" w:after="160" w:line="276" w:lineRule="auto"/>
        <w:rPr>
          <w:rFonts w:cs="Arial"/>
          <w:b/>
          <w:sz w:val="28"/>
        </w:rPr>
      </w:pPr>
      <w:r w:rsidRPr="00E17234">
        <w:rPr>
          <w:rFonts w:cs="Arial"/>
          <w:b/>
          <w:sz w:val="28"/>
        </w:rPr>
        <w:t>Regression trees and the development of the ATTC</w:t>
      </w:r>
    </w:p>
    <w:p w:rsidR="00D818F2" w:rsidRPr="008510FE" w:rsidRDefault="00D818F2" w:rsidP="00D818F2">
      <w:pPr>
        <w:spacing w:after="160" w:line="276" w:lineRule="auto"/>
        <w:rPr>
          <w:rFonts w:cs="Arial"/>
        </w:rPr>
      </w:pPr>
      <w:r w:rsidRPr="0081750E">
        <w:rPr>
          <w:rFonts w:cs="Arial"/>
        </w:rPr>
        <w:t xml:space="preserve">The development of the ATTC used regression trees to determine </w:t>
      </w:r>
      <w:r>
        <w:rPr>
          <w:rFonts w:cs="Arial"/>
        </w:rPr>
        <w:t xml:space="preserve">the </w:t>
      </w:r>
      <w:r w:rsidRPr="0081750E">
        <w:rPr>
          <w:rFonts w:cs="Arial"/>
        </w:rPr>
        <w:t>end classes</w:t>
      </w:r>
      <w:r>
        <w:rPr>
          <w:rFonts w:cs="Arial"/>
        </w:rPr>
        <w:t xml:space="preserve"> of the classification</w:t>
      </w:r>
      <w:r w:rsidRPr="0081750E">
        <w:rPr>
          <w:rFonts w:cs="Arial"/>
        </w:rPr>
        <w:t xml:space="preserve">. Regression trees are a model which attempt to determine the optimal way to apply a series of binary (yes/no) rules with the goal of determining the most predictive model for the response variable; in this case, the average direct and indirect cost per FTE. </w:t>
      </w:r>
    </w:p>
    <w:p w:rsidR="00D818F2" w:rsidRPr="00971C7F" w:rsidRDefault="00D818F2" w:rsidP="00D818F2">
      <w:pPr>
        <w:spacing w:after="160" w:line="276" w:lineRule="auto"/>
        <w:rPr>
          <w:rFonts w:cs="Arial"/>
        </w:rPr>
      </w:pPr>
      <w:r w:rsidRPr="00B343A0">
        <w:rPr>
          <w:rFonts w:cs="Arial"/>
        </w:rPr>
        <w:t xml:space="preserve">Regression trees were applied to generate a series of end </w:t>
      </w:r>
      <w:r>
        <w:rPr>
          <w:rFonts w:cs="Arial"/>
        </w:rPr>
        <w:t>classes</w:t>
      </w:r>
      <w:r w:rsidRPr="00B343A0">
        <w:rPr>
          <w:rFonts w:cs="Arial"/>
        </w:rPr>
        <w:t xml:space="preserve"> using the chosen splitting variables</w:t>
      </w:r>
      <w:r>
        <w:rPr>
          <w:rFonts w:cs="Arial"/>
        </w:rPr>
        <w:t xml:space="preserve"> identified in the exploratory analysis</w:t>
      </w:r>
      <w:r w:rsidRPr="00B343A0">
        <w:rPr>
          <w:rFonts w:cs="Arial"/>
        </w:rPr>
        <w:t xml:space="preserve">. </w:t>
      </w:r>
      <w:r w:rsidR="002E4019">
        <w:rPr>
          <w:rFonts w:cs="Arial"/>
        </w:rPr>
        <w:fldChar w:fldCharType="begin"/>
      </w:r>
      <w:r w:rsidR="002E4019">
        <w:rPr>
          <w:rFonts w:cs="Arial"/>
        </w:rPr>
        <w:instrText xml:space="preserve"> REF _Ref486841754 \h </w:instrText>
      </w:r>
      <w:r w:rsidR="002E4019">
        <w:rPr>
          <w:rFonts w:cs="Arial"/>
        </w:rPr>
      </w:r>
      <w:r w:rsidR="002E4019">
        <w:rPr>
          <w:rFonts w:cs="Arial"/>
        </w:rPr>
        <w:fldChar w:fldCharType="separate"/>
      </w:r>
      <w:r w:rsidR="0089599A">
        <w:t xml:space="preserve">Figure </w:t>
      </w:r>
      <w:r w:rsidR="0089599A">
        <w:rPr>
          <w:noProof/>
        </w:rPr>
        <w:t>4</w:t>
      </w:r>
      <w:r w:rsidR="002E4019">
        <w:rPr>
          <w:rFonts w:cs="Arial"/>
        </w:rPr>
        <w:fldChar w:fldCharType="end"/>
      </w:r>
      <w:r w:rsidRPr="008510FE">
        <w:rPr>
          <w:rFonts w:cs="Arial"/>
          <w:color w:val="FF0000"/>
        </w:rPr>
        <w:t xml:space="preserve"> </w:t>
      </w:r>
      <w:r w:rsidRPr="00971C7F">
        <w:rPr>
          <w:rFonts w:cs="Arial"/>
        </w:rPr>
        <w:t xml:space="preserve">contains an example of regression tree output for an exploratory tree splitting by profession and </w:t>
      </w:r>
      <w:r>
        <w:rPr>
          <w:rFonts w:cs="Arial"/>
        </w:rPr>
        <w:t>stage</w:t>
      </w:r>
      <w:r w:rsidRPr="00971C7F">
        <w:rPr>
          <w:rFonts w:cs="Arial"/>
        </w:rPr>
        <w:t xml:space="preserve"> of training only.</w:t>
      </w:r>
    </w:p>
    <w:p w:rsidR="00D818F2" w:rsidRPr="00C21E71" w:rsidRDefault="002E4019" w:rsidP="002E4019">
      <w:pPr>
        <w:pStyle w:val="Caption"/>
      </w:pPr>
      <w:bookmarkStart w:id="83" w:name="_Ref486841754"/>
      <w:r>
        <w:t xml:space="preserve">Figure </w:t>
      </w:r>
      <w:r w:rsidR="006D258D">
        <w:fldChar w:fldCharType="begin"/>
      </w:r>
      <w:r w:rsidR="006D258D">
        <w:instrText xml:space="preserve"> SEQ Figure \* ARABIC </w:instrText>
      </w:r>
      <w:r w:rsidR="006D258D">
        <w:fldChar w:fldCharType="separate"/>
      </w:r>
      <w:r w:rsidR="0089599A">
        <w:rPr>
          <w:noProof/>
        </w:rPr>
        <w:t>4</w:t>
      </w:r>
      <w:r w:rsidR="006D258D">
        <w:rPr>
          <w:noProof/>
        </w:rPr>
        <w:fldChar w:fldCharType="end"/>
      </w:r>
      <w:bookmarkEnd w:id="83"/>
      <w:r>
        <w:t xml:space="preserve">: </w:t>
      </w:r>
      <w:r w:rsidR="00D818F2" w:rsidRPr="00C21E71">
        <w:t>Example regression tree output</w:t>
      </w:r>
    </w:p>
    <w:p w:rsidR="00D818F2" w:rsidRDefault="00D818F2" w:rsidP="00D818F2">
      <w:pPr>
        <w:pStyle w:val="PwCNormal"/>
      </w:pPr>
      <w:r>
        <w:rPr>
          <w:noProof/>
          <w:snapToGrid/>
          <w:lang w:eastAsia="en-AU"/>
        </w:rPr>
        <mc:AlternateContent>
          <mc:Choice Requires="wps">
            <w:drawing>
              <wp:anchor distT="0" distB="0" distL="114300" distR="114300" simplePos="0" relativeHeight="251685888" behindDoc="0" locked="0" layoutInCell="1" allowOverlap="1" wp14:anchorId="671EFFCB" wp14:editId="2B4808A8">
                <wp:simplePos x="0" y="0"/>
                <wp:positionH relativeFrom="column">
                  <wp:posOffset>3466465</wp:posOffset>
                </wp:positionH>
                <wp:positionV relativeFrom="paragraph">
                  <wp:posOffset>8890</wp:posOffset>
                </wp:positionV>
                <wp:extent cx="1729740" cy="1943100"/>
                <wp:effectExtent l="0" t="0" r="22860" b="19050"/>
                <wp:wrapNone/>
                <wp:docPr id="28" name="Rectangle 28" descr="Key box to Figure 4 Example regression tree output indicating values to  abbreviations for Stage and Profession."/>
                <wp:cNvGraphicFramePr/>
                <a:graphic xmlns:a="http://schemas.openxmlformats.org/drawingml/2006/main">
                  <a:graphicData uri="http://schemas.microsoft.com/office/word/2010/wordprocessingShape">
                    <wps:wsp>
                      <wps:cNvSpPr/>
                      <wps:spPr bwMode="ltGray">
                        <a:xfrm>
                          <a:off x="0" y="0"/>
                          <a:ext cx="1729740" cy="1943100"/>
                        </a:xfrm>
                        <a:prstGeom prst="rect">
                          <a:avLst/>
                        </a:prstGeom>
                        <a:noFill/>
                        <a:ln w="3175">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32CEF" w:rsidRPr="00971C7F" w:rsidRDefault="00232CEF" w:rsidP="00D818F2">
                            <w:pPr>
                              <w:rPr>
                                <w:rFonts w:asciiTheme="minorHAnsi" w:hAnsiTheme="minorHAnsi" w:cstheme="minorHAnsi"/>
                                <w:b/>
                                <w:color w:val="000000" w:themeColor="text1"/>
                                <w:sz w:val="14"/>
                                <w:u w:val="single"/>
                              </w:rPr>
                            </w:pPr>
                            <w:r w:rsidRPr="00971C7F">
                              <w:rPr>
                                <w:rFonts w:asciiTheme="minorHAnsi" w:hAnsiTheme="minorHAnsi" w:cstheme="minorHAnsi"/>
                                <w:b/>
                                <w:color w:val="000000" w:themeColor="text1"/>
                                <w:sz w:val="14"/>
                                <w:u w:val="single"/>
                              </w:rPr>
                              <w:t>Key</w:t>
                            </w:r>
                          </w:p>
                          <w:p w:rsidR="00232CEF" w:rsidRPr="00971C7F" w:rsidRDefault="00232CEF" w:rsidP="00D818F2">
                            <w:pPr>
                              <w:rPr>
                                <w:rFonts w:asciiTheme="minorHAnsi" w:hAnsiTheme="minorHAnsi" w:cstheme="minorHAnsi"/>
                                <w:b/>
                                <w:color w:val="000000" w:themeColor="text1"/>
                                <w:sz w:val="14"/>
                              </w:rPr>
                            </w:pPr>
                            <w:r>
                              <w:rPr>
                                <w:rFonts w:asciiTheme="minorHAnsi" w:hAnsiTheme="minorHAnsi" w:cstheme="minorHAnsi"/>
                                <w:b/>
                                <w:color w:val="000000" w:themeColor="text1"/>
                                <w:sz w:val="14"/>
                              </w:rPr>
                              <w:t>Stage</w:t>
                            </w:r>
                          </w:p>
                          <w:p w:rsidR="00232CEF" w:rsidRPr="00971C7F" w:rsidRDefault="00232CEF" w:rsidP="00D818F2">
                            <w:pPr>
                              <w:pStyle w:val="PwCNormal"/>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Oth</w:t>
                            </w:r>
                            <w:proofErr w:type="spellEnd"/>
                            <w:r w:rsidRPr="00971C7F">
                              <w:rPr>
                                <w:rFonts w:asciiTheme="minorHAnsi" w:hAnsiTheme="minorHAnsi" w:cstheme="minorHAnsi"/>
                                <w:color w:val="000000" w:themeColor="text1"/>
                                <w:sz w:val="14"/>
                              </w:rPr>
                              <w:t>=Other</w:t>
                            </w:r>
                            <w:r w:rsidRPr="00971C7F">
                              <w:rPr>
                                <w:rFonts w:asciiTheme="minorHAnsi" w:hAnsiTheme="minorHAnsi" w:cstheme="minorHAnsi"/>
                                <w:color w:val="000000" w:themeColor="text1"/>
                                <w:sz w:val="14"/>
                              </w:rPr>
                              <w:br/>
                              <w:t xml:space="preserve">P/s = Pre-entry/student </w:t>
                            </w:r>
                          </w:p>
                          <w:p w:rsidR="00232CEF" w:rsidRPr="00971C7F" w:rsidRDefault="00232CEF" w:rsidP="00D818F2">
                            <w:pPr>
                              <w:pStyle w:val="PwCNormal"/>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Eg</w:t>
                            </w:r>
                            <w:proofErr w:type="spellEnd"/>
                            <w:r w:rsidRPr="00971C7F">
                              <w:rPr>
                                <w:rFonts w:asciiTheme="minorHAnsi" w:hAnsiTheme="minorHAnsi" w:cstheme="minorHAnsi"/>
                                <w:color w:val="000000" w:themeColor="text1"/>
                                <w:sz w:val="14"/>
                              </w:rPr>
                              <w:t>/p = Early graduate / pre-vocational</w:t>
                            </w:r>
                          </w:p>
                          <w:p w:rsidR="00232CEF" w:rsidRPr="00971C7F" w:rsidRDefault="00232CEF" w:rsidP="00D818F2">
                            <w:pPr>
                              <w:pStyle w:val="PwCNormal"/>
                              <w:spacing w:after="0"/>
                              <w:rPr>
                                <w:rFonts w:asciiTheme="minorHAnsi" w:hAnsiTheme="minorHAnsi" w:cstheme="minorHAnsi"/>
                                <w:color w:val="000000" w:themeColor="text1"/>
                                <w:sz w:val="14"/>
                              </w:rPr>
                            </w:pPr>
                            <w:r w:rsidRPr="00971C7F">
                              <w:rPr>
                                <w:rFonts w:asciiTheme="minorHAnsi" w:hAnsiTheme="minorHAnsi" w:cstheme="minorHAnsi"/>
                                <w:color w:val="000000" w:themeColor="text1"/>
                                <w:sz w:val="14"/>
                              </w:rPr>
                              <w:t>A/v = Advanced / vocational</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
                          <w:p w:rsidR="00232CEF" w:rsidRPr="00971C7F" w:rsidRDefault="00232CEF" w:rsidP="00D818F2">
                            <w:pPr>
                              <w:pStyle w:val="PwCNormal"/>
                              <w:numPr>
                                <w:ilvl w:val="0"/>
                                <w:numId w:val="0"/>
                              </w:numPr>
                              <w:spacing w:after="0"/>
                              <w:rPr>
                                <w:rFonts w:asciiTheme="minorHAnsi" w:hAnsiTheme="minorHAnsi" w:cstheme="minorHAnsi"/>
                                <w:b/>
                                <w:color w:val="000000" w:themeColor="text1"/>
                                <w:sz w:val="14"/>
                              </w:rPr>
                            </w:pPr>
                            <w:r w:rsidRPr="00971C7F">
                              <w:rPr>
                                <w:rFonts w:asciiTheme="minorHAnsi" w:hAnsiTheme="minorHAnsi" w:cstheme="minorHAnsi"/>
                                <w:b/>
                                <w:color w:val="000000" w:themeColor="text1"/>
                                <w:sz w:val="14"/>
                              </w:rPr>
                              <w:t>Profession</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AlH</w:t>
                            </w:r>
                            <w:proofErr w:type="spellEnd"/>
                            <w:r w:rsidRPr="00971C7F">
                              <w:rPr>
                                <w:rFonts w:asciiTheme="minorHAnsi" w:hAnsiTheme="minorHAnsi" w:cstheme="minorHAnsi"/>
                                <w:color w:val="000000" w:themeColor="text1"/>
                                <w:sz w:val="14"/>
                              </w:rPr>
                              <w:t xml:space="preserve"> = Allied Health</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Dnt</w:t>
                            </w:r>
                            <w:proofErr w:type="spellEnd"/>
                            <w:r w:rsidRPr="00971C7F">
                              <w:rPr>
                                <w:rFonts w:asciiTheme="minorHAnsi" w:hAnsiTheme="minorHAnsi" w:cstheme="minorHAnsi"/>
                                <w:color w:val="000000" w:themeColor="text1"/>
                                <w:sz w:val="14"/>
                              </w:rPr>
                              <w:t xml:space="preserve"> = Dentistry</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Mdc</w:t>
                            </w:r>
                            <w:proofErr w:type="spellEnd"/>
                            <w:r w:rsidRPr="00971C7F">
                              <w:rPr>
                                <w:rFonts w:asciiTheme="minorHAnsi" w:hAnsiTheme="minorHAnsi" w:cstheme="minorHAnsi"/>
                                <w:color w:val="000000" w:themeColor="text1"/>
                                <w:sz w:val="14"/>
                              </w:rPr>
                              <w:t xml:space="preserve"> = Medicine</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Mdw</w:t>
                            </w:r>
                            <w:proofErr w:type="spellEnd"/>
                            <w:r w:rsidRPr="00971C7F">
                              <w:rPr>
                                <w:rFonts w:asciiTheme="minorHAnsi" w:hAnsiTheme="minorHAnsi" w:cstheme="minorHAnsi"/>
                                <w:color w:val="000000" w:themeColor="text1"/>
                                <w:sz w:val="14"/>
                              </w:rPr>
                              <w:t xml:space="preserve"> = Midwifery</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Nrs</w:t>
                            </w:r>
                            <w:proofErr w:type="spellEnd"/>
                            <w:r w:rsidRPr="00971C7F">
                              <w:rPr>
                                <w:rFonts w:asciiTheme="minorHAnsi" w:hAnsiTheme="minorHAnsi" w:cstheme="minorHAnsi"/>
                                <w:color w:val="000000" w:themeColor="text1"/>
                                <w:sz w:val="14"/>
                              </w:rPr>
                              <w:t xml:space="preserve"> = Nursing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40" alt="Key box to Figure 4 Example regression tree output indicating values to  abbreviations for Stage and Profession." style="position:absolute;left:0;text-align:left;margin-left:272.95pt;margin-top:.7pt;width:136.2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bwmode="light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" filled="f" strokecolor="#bfbfbf [2412]" strokeweight=".25pt">
                <v:textbox>
                  <w:txbxContent>
                    <w:p w:rsidR="00232CEF" w:rsidRPr="00971C7F" w:rsidRDefault="00232CEF" w:rsidP="00D818F2">
                      <w:pPr>
                        <w:rPr>
                          <w:rFonts w:asciiTheme="minorHAnsi" w:hAnsiTheme="minorHAnsi" w:cstheme="minorHAnsi"/>
                          <w:b/>
                          <w:color w:val="000000" w:themeColor="text1"/>
                          <w:sz w:val="14"/>
                          <w:u w:val="single"/>
                        </w:rPr>
                      </w:pPr>
                      <w:r w:rsidRPr="00971C7F">
                        <w:rPr>
                          <w:rFonts w:asciiTheme="minorHAnsi" w:hAnsiTheme="minorHAnsi" w:cstheme="minorHAnsi"/>
                          <w:b/>
                          <w:color w:val="000000" w:themeColor="text1"/>
                          <w:sz w:val="14"/>
                          <w:u w:val="single"/>
                        </w:rPr>
                        <w:t>Key</w:t>
                      </w:r>
                    </w:p>
                    <w:p w:rsidR="00232CEF" w:rsidRPr="00971C7F" w:rsidRDefault="00232CEF" w:rsidP="00D818F2">
                      <w:pPr>
                        <w:rPr>
                          <w:rFonts w:asciiTheme="minorHAnsi" w:hAnsiTheme="minorHAnsi" w:cstheme="minorHAnsi"/>
                          <w:b/>
                          <w:color w:val="000000" w:themeColor="text1"/>
                          <w:sz w:val="14"/>
                        </w:rPr>
                      </w:pPr>
                      <w:r>
                        <w:rPr>
                          <w:rFonts w:asciiTheme="minorHAnsi" w:hAnsiTheme="minorHAnsi" w:cstheme="minorHAnsi"/>
                          <w:b/>
                          <w:color w:val="000000" w:themeColor="text1"/>
                          <w:sz w:val="14"/>
                        </w:rPr>
                        <w:t>Stage</w:t>
                      </w:r>
                    </w:p>
                    <w:p w:rsidR="00232CEF" w:rsidRPr="00971C7F" w:rsidRDefault="00232CEF" w:rsidP="00D818F2">
                      <w:pPr>
                        <w:pStyle w:val="PwCNormal"/>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Oth</w:t>
                      </w:r>
                      <w:proofErr w:type="spellEnd"/>
                      <w:r w:rsidRPr="00971C7F">
                        <w:rPr>
                          <w:rFonts w:asciiTheme="minorHAnsi" w:hAnsiTheme="minorHAnsi" w:cstheme="minorHAnsi"/>
                          <w:color w:val="000000" w:themeColor="text1"/>
                          <w:sz w:val="14"/>
                        </w:rPr>
                        <w:t>=Other</w:t>
                      </w:r>
                      <w:r w:rsidRPr="00971C7F">
                        <w:rPr>
                          <w:rFonts w:asciiTheme="minorHAnsi" w:hAnsiTheme="minorHAnsi" w:cstheme="minorHAnsi"/>
                          <w:color w:val="000000" w:themeColor="text1"/>
                          <w:sz w:val="14"/>
                        </w:rPr>
                        <w:br/>
                        <w:t xml:space="preserve">P/s = Pre-entry/student </w:t>
                      </w:r>
                    </w:p>
                    <w:p w:rsidR="00232CEF" w:rsidRPr="00971C7F" w:rsidRDefault="00232CEF" w:rsidP="00D818F2">
                      <w:pPr>
                        <w:pStyle w:val="PwCNormal"/>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Eg</w:t>
                      </w:r>
                      <w:proofErr w:type="spellEnd"/>
                      <w:r w:rsidRPr="00971C7F">
                        <w:rPr>
                          <w:rFonts w:asciiTheme="minorHAnsi" w:hAnsiTheme="minorHAnsi" w:cstheme="minorHAnsi"/>
                          <w:color w:val="000000" w:themeColor="text1"/>
                          <w:sz w:val="14"/>
                        </w:rPr>
                        <w:t>/p = Early graduate / pre-vocational</w:t>
                      </w:r>
                    </w:p>
                    <w:p w:rsidR="00232CEF" w:rsidRPr="00971C7F" w:rsidRDefault="00232CEF" w:rsidP="00D818F2">
                      <w:pPr>
                        <w:pStyle w:val="PwCNormal"/>
                        <w:spacing w:after="0"/>
                        <w:rPr>
                          <w:rFonts w:asciiTheme="minorHAnsi" w:hAnsiTheme="minorHAnsi" w:cstheme="minorHAnsi"/>
                          <w:color w:val="000000" w:themeColor="text1"/>
                          <w:sz w:val="14"/>
                        </w:rPr>
                      </w:pPr>
                      <w:r w:rsidRPr="00971C7F">
                        <w:rPr>
                          <w:rFonts w:asciiTheme="minorHAnsi" w:hAnsiTheme="minorHAnsi" w:cstheme="minorHAnsi"/>
                          <w:color w:val="000000" w:themeColor="text1"/>
                          <w:sz w:val="14"/>
                        </w:rPr>
                        <w:t>A/v = Advanced / vocational</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
                    <w:p w:rsidR="00232CEF" w:rsidRPr="00971C7F" w:rsidRDefault="00232CEF" w:rsidP="00D818F2">
                      <w:pPr>
                        <w:pStyle w:val="PwCNormal"/>
                        <w:numPr>
                          <w:ilvl w:val="0"/>
                          <w:numId w:val="0"/>
                        </w:numPr>
                        <w:spacing w:after="0"/>
                        <w:rPr>
                          <w:rFonts w:asciiTheme="minorHAnsi" w:hAnsiTheme="minorHAnsi" w:cstheme="minorHAnsi"/>
                          <w:b/>
                          <w:color w:val="000000" w:themeColor="text1"/>
                          <w:sz w:val="14"/>
                        </w:rPr>
                      </w:pPr>
                      <w:r w:rsidRPr="00971C7F">
                        <w:rPr>
                          <w:rFonts w:asciiTheme="minorHAnsi" w:hAnsiTheme="minorHAnsi" w:cstheme="minorHAnsi"/>
                          <w:b/>
                          <w:color w:val="000000" w:themeColor="text1"/>
                          <w:sz w:val="14"/>
                        </w:rPr>
                        <w:t>Profession</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AlH</w:t>
                      </w:r>
                      <w:proofErr w:type="spellEnd"/>
                      <w:r w:rsidRPr="00971C7F">
                        <w:rPr>
                          <w:rFonts w:asciiTheme="minorHAnsi" w:hAnsiTheme="minorHAnsi" w:cstheme="minorHAnsi"/>
                          <w:color w:val="000000" w:themeColor="text1"/>
                          <w:sz w:val="14"/>
                        </w:rPr>
                        <w:t xml:space="preserve"> = Allied Health</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Dnt</w:t>
                      </w:r>
                      <w:proofErr w:type="spellEnd"/>
                      <w:r w:rsidRPr="00971C7F">
                        <w:rPr>
                          <w:rFonts w:asciiTheme="minorHAnsi" w:hAnsiTheme="minorHAnsi" w:cstheme="minorHAnsi"/>
                          <w:color w:val="000000" w:themeColor="text1"/>
                          <w:sz w:val="14"/>
                        </w:rPr>
                        <w:t xml:space="preserve"> = Dentistry</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Mdc</w:t>
                      </w:r>
                      <w:proofErr w:type="spellEnd"/>
                      <w:r w:rsidRPr="00971C7F">
                        <w:rPr>
                          <w:rFonts w:asciiTheme="minorHAnsi" w:hAnsiTheme="minorHAnsi" w:cstheme="minorHAnsi"/>
                          <w:color w:val="000000" w:themeColor="text1"/>
                          <w:sz w:val="14"/>
                        </w:rPr>
                        <w:t xml:space="preserve"> = Medicine</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Mdw</w:t>
                      </w:r>
                      <w:proofErr w:type="spellEnd"/>
                      <w:r w:rsidRPr="00971C7F">
                        <w:rPr>
                          <w:rFonts w:asciiTheme="minorHAnsi" w:hAnsiTheme="minorHAnsi" w:cstheme="minorHAnsi"/>
                          <w:color w:val="000000" w:themeColor="text1"/>
                          <w:sz w:val="14"/>
                        </w:rPr>
                        <w:t xml:space="preserve"> = Midwifery</w:t>
                      </w:r>
                    </w:p>
                    <w:p w:rsidR="00232CEF" w:rsidRPr="00971C7F" w:rsidRDefault="00232CEF" w:rsidP="00D818F2">
                      <w:pPr>
                        <w:pStyle w:val="PwCNormal"/>
                        <w:numPr>
                          <w:ilvl w:val="0"/>
                          <w:numId w:val="0"/>
                        </w:numPr>
                        <w:spacing w:after="0"/>
                        <w:rPr>
                          <w:rFonts w:asciiTheme="minorHAnsi" w:hAnsiTheme="minorHAnsi" w:cstheme="minorHAnsi"/>
                          <w:color w:val="000000" w:themeColor="text1"/>
                          <w:sz w:val="14"/>
                        </w:rPr>
                      </w:pPr>
                      <w:proofErr w:type="spellStart"/>
                      <w:r w:rsidRPr="00971C7F">
                        <w:rPr>
                          <w:rFonts w:asciiTheme="minorHAnsi" w:hAnsiTheme="minorHAnsi" w:cstheme="minorHAnsi"/>
                          <w:color w:val="000000" w:themeColor="text1"/>
                          <w:sz w:val="14"/>
                        </w:rPr>
                        <w:t>Nrs</w:t>
                      </w:r>
                      <w:proofErr w:type="spellEnd"/>
                      <w:r w:rsidRPr="00971C7F">
                        <w:rPr>
                          <w:rFonts w:asciiTheme="minorHAnsi" w:hAnsiTheme="minorHAnsi" w:cstheme="minorHAnsi"/>
                          <w:color w:val="000000" w:themeColor="text1"/>
                          <w:sz w:val="14"/>
                        </w:rPr>
                        <w:t xml:space="preserve"> = Nursing</w:t>
                      </w:r>
                    </w:p>
                  </w:txbxContent>
                </v:textbox>
              </v:rect>
            </w:pict>
          </mc:Fallback>
        </mc:AlternateContent>
      </w:r>
      <w:r w:rsidRPr="00284C63">
        <w:rPr>
          <w:noProof/>
          <w:lang w:eastAsia="en-AU"/>
        </w:rPr>
        <w:drawing>
          <wp:inline distT="0" distB="0" distL="0" distR="0" wp14:anchorId="0580DCD1" wp14:editId="3BA3F1DA">
            <wp:extent cx="3568148" cy="3041374"/>
            <wp:effectExtent l="0" t="0" r="0" b="6985"/>
            <wp:docPr id="29" name="Picture 29" descr="Example regression tree output showing splits for profession and stage of training." title="Figure 4. Example of regression tree outp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TTR2015\PwC\04 R\0020_TreePlot.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4176" b="4093"/>
                    <a:stretch/>
                  </pic:blipFill>
                  <pic:spPr bwMode="auto">
                    <a:xfrm>
                      <a:off x="0" y="0"/>
                      <a:ext cx="3633893" cy="3097413"/>
                    </a:xfrm>
                    <a:prstGeom prst="rect">
                      <a:avLst/>
                    </a:prstGeom>
                    <a:noFill/>
                    <a:ln>
                      <a:noFill/>
                    </a:ln>
                    <a:extLst>
                      <a:ext uri="{53640926-AAD7-44D8-BBD7-CCE9431645EC}">
                        <a14:shadowObscured xmlns:a14="http://schemas.microsoft.com/office/drawing/2010/main"/>
                      </a:ext>
                    </a:extLst>
                  </pic:spPr>
                </pic:pic>
              </a:graphicData>
            </a:graphic>
          </wp:inline>
        </w:drawing>
      </w:r>
    </w:p>
    <w:p w:rsidR="00D818F2" w:rsidRPr="00430828" w:rsidRDefault="00D818F2" w:rsidP="00D818F2">
      <w:pPr>
        <w:spacing w:after="160" w:line="276" w:lineRule="auto"/>
        <w:rPr>
          <w:rFonts w:cs="Arial"/>
        </w:rPr>
      </w:pPr>
      <w:r w:rsidRPr="00430828">
        <w:rPr>
          <w:rFonts w:cs="Arial"/>
        </w:rPr>
        <w:lastRenderedPageBreak/>
        <w:t xml:space="preserve">At the beginning of the modelling process, the data </w:t>
      </w:r>
      <w:r>
        <w:rPr>
          <w:rFonts w:cs="Arial"/>
        </w:rPr>
        <w:t>was</w:t>
      </w:r>
      <w:r w:rsidRPr="00430828">
        <w:rPr>
          <w:rFonts w:cs="Arial"/>
        </w:rPr>
        <w:t xml:space="preserve"> aggregated in one group (commonly referred to as a node). A node consists of a single input variable used for splitting (for example stage of training) and the binary decision rule used to split the data into two. In the example shown in </w:t>
      </w:r>
      <w:r w:rsidR="002E4019">
        <w:rPr>
          <w:rFonts w:cs="Arial"/>
        </w:rPr>
        <w:fldChar w:fldCharType="begin"/>
      </w:r>
      <w:r w:rsidR="002E4019">
        <w:rPr>
          <w:rFonts w:cs="Arial"/>
        </w:rPr>
        <w:instrText xml:space="preserve"> REF _Ref486841754 \h </w:instrText>
      </w:r>
      <w:r w:rsidR="002E4019">
        <w:rPr>
          <w:rFonts w:cs="Arial"/>
        </w:rPr>
      </w:r>
      <w:r w:rsidR="002E4019">
        <w:rPr>
          <w:rFonts w:cs="Arial"/>
        </w:rPr>
        <w:fldChar w:fldCharType="separate"/>
      </w:r>
      <w:r w:rsidR="0089599A">
        <w:t xml:space="preserve">Figure </w:t>
      </w:r>
      <w:r w:rsidR="0089599A">
        <w:rPr>
          <w:noProof/>
        </w:rPr>
        <w:t>4</w:t>
      </w:r>
      <w:r w:rsidR="002E4019">
        <w:rPr>
          <w:rFonts w:cs="Arial"/>
        </w:rPr>
        <w:fldChar w:fldCharType="end"/>
      </w:r>
      <w:r w:rsidRPr="00430828">
        <w:rPr>
          <w:rFonts w:cs="Arial"/>
        </w:rPr>
        <w:t xml:space="preserve">, in the first node the data </w:t>
      </w:r>
      <w:r>
        <w:rPr>
          <w:rFonts w:cs="Arial"/>
        </w:rPr>
        <w:t>was</w:t>
      </w:r>
      <w:r w:rsidRPr="00430828">
        <w:rPr>
          <w:rFonts w:cs="Arial"/>
        </w:rPr>
        <w:t xml:space="preserve"> split by stage and all observations with a stage that </w:t>
      </w:r>
      <w:r>
        <w:rPr>
          <w:rFonts w:cs="Arial"/>
        </w:rPr>
        <w:t>were</w:t>
      </w:r>
      <w:r w:rsidRPr="00430828">
        <w:rPr>
          <w:rFonts w:cs="Arial"/>
        </w:rPr>
        <w:t xml:space="preserve"> advanced/vocational or early graduate/pre-vocational </w:t>
      </w:r>
      <w:r>
        <w:rPr>
          <w:rFonts w:cs="Arial"/>
        </w:rPr>
        <w:t>were</w:t>
      </w:r>
      <w:r w:rsidRPr="00430828">
        <w:rPr>
          <w:rFonts w:cs="Arial"/>
        </w:rPr>
        <w:t xml:space="preserve"> separated to the right branch of the tree and all other observations move</w:t>
      </w:r>
      <w:r>
        <w:rPr>
          <w:rFonts w:cs="Arial"/>
        </w:rPr>
        <w:t>d</w:t>
      </w:r>
      <w:r w:rsidRPr="00430828">
        <w:rPr>
          <w:rFonts w:cs="Arial"/>
        </w:rPr>
        <w:t xml:space="preserve"> to the left branch of the tree. </w:t>
      </w:r>
    </w:p>
    <w:p w:rsidR="00D818F2" w:rsidRPr="00430828" w:rsidRDefault="00D818F2" w:rsidP="00D818F2">
      <w:pPr>
        <w:spacing w:after="160" w:line="276" w:lineRule="auto"/>
        <w:rPr>
          <w:rFonts w:cs="Arial"/>
        </w:rPr>
      </w:pPr>
      <w:r w:rsidRPr="00430828">
        <w:rPr>
          <w:rFonts w:cs="Arial"/>
        </w:rPr>
        <w:t xml:space="preserve">Those observations that </w:t>
      </w:r>
      <w:r>
        <w:rPr>
          <w:rFonts w:cs="Arial"/>
        </w:rPr>
        <w:t>were</w:t>
      </w:r>
      <w:r w:rsidRPr="00430828">
        <w:rPr>
          <w:rFonts w:cs="Arial"/>
        </w:rPr>
        <w:t xml:space="preserve"> either advanced/vocational or early graduate/pre-vocational were then split by profession and continued to be split at each node until the end of </w:t>
      </w:r>
      <w:r>
        <w:rPr>
          <w:rFonts w:cs="Arial"/>
        </w:rPr>
        <w:t>the tree. Each node only applied to observations which m</w:t>
      </w:r>
      <w:r w:rsidRPr="00430828">
        <w:rPr>
          <w:rFonts w:cs="Arial"/>
        </w:rPr>
        <w:t>et the decision rules leading up to that node and different nodes may have</w:t>
      </w:r>
      <w:r>
        <w:rPr>
          <w:rFonts w:cs="Arial"/>
        </w:rPr>
        <w:t xml:space="preserve"> had</w:t>
      </w:r>
      <w:r w:rsidRPr="00430828">
        <w:rPr>
          <w:rFonts w:cs="Arial"/>
        </w:rPr>
        <w:t xml:space="preserve"> different decision rules. For example on the right hand branch, advanced/vocational and early graduate/pre-vocational students </w:t>
      </w:r>
      <w:r>
        <w:rPr>
          <w:rFonts w:cs="Arial"/>
        </w:rPr>
        <w:t>were</w:t>
      </w:r>
      <w:r w:rsidRPr="00430828">
        <w:rPr>
          <w:rFonts w:cs="Arial"/>
        </w:rPr>
        <w:t xml:space="preserve"> split by profession with allied health, dentistry and nursing split from medicine and midwifery. On the left hand branch, all other students </w:t>
      </w:r>
      <w:r>
        <w:rPr>
          <w:rFonts w:cs="Arial"/>
        </w:rPr>
        <w:t>were</w:t>
      </w:r>
      <w:r w:rsidRPr="00430828">
        <w:rPr>
          <w:rFonts w:cs="Arial"/>
        </w:rPr>
        <w:t xml:space="preserve"> split by profession with allied health and nursing in one group and dentistry, medicine and midwifery in another group.</w:t>
      </w:r>
    </w:p>
    <w:p w:rsidR="00D818F2" w:rsidRPr="00430828" w:rsidRDefault="00D818F2" w:rsidP="00D818F2">
      <w:pPr>
        <w:spacing w:after="160" w:line="276" w:lineRule="auto"/>
        <w:rPr>
          <w:rFonts w:cs="Arial"/>
        </w:rPr>
      </w:pPr>
      <w:r w:rsidRPr="00430828">
        <w:rPr>
          <w:rFonts w:cs="Arial"/>
        </w:rPr>
        <w:t>At each n</w:t>
      </w:r>
      <w:r>
        <w:rPr>
          <w:rFonts w:cs="Arial"/>
        </w:rPr>
        <w:t>ode, a regression tree considered</w:t>
      </w:r>
      <w:r w:rsidRPr="00430828">
        <w:rPr>
          <w:rFonts w:cs="Arial"/>
        </w:rPr>
        <w:t xml:space="preserve"> which predictor variable </w:t>
      </w:r>
      <w:r>
        <w:rPr>
          <w:rFonts w:cs="Arial"/>
        </w:rPr>
        <w:t>was</w:t>
      </w:r>
      <w:r w:rsidRPr="00430828">
        <w:rPr>
          <w:rFonts w:cs="Arial"/>
        </w:rPr>
        <w:t xml:space="preserve"> the most optimal for splitting the data into the most distinct groups, considering not only the current split but also possible future splits up to a set depth. The regression tree model continue</w:t>
      </w:r>
      <w:r>
        <w:rPr>
          <w:rFonts w:cs="Arial"/>
        </w:rPr>
        <w:t>d</w:t>
      </w:r>
      <w:r w:rsidRPr="00430828">
        <w:rPr>
          <w:rFonts w:cs="Arial"/>
        </w:rPr>
        <w:t xml:space="preserve"> to split nodes until there </w:t>
      </w:r>
      <w:r>
        <w:rPr>
          <w:rFonts w:cs="Arial"/>
        </w:rPr>
        <w:t>were</w:t>
      </w:r>
      <w:r w:rsidRPr="00430828">
        <w:rPr>
          <w:rFonts w:cs="Arial"/>
        </w:rPr>
        <w:t xml:space="preserve"> no further nodes. The numbers </w:t>
      </w:r>
      <w:r>
        <w:rPr>
          <w:rFonts w:cs="Arial"/>
        </w:rPr>
        <w:t xml:space="preserve">in </w:t>
      </w:r>
      <w:r w:rsidR="002E4019">
        <w:rPr>
          <w:rFonts w:cs="Arial"/>
        </w:rPr>
        <w:fldChar w:fldCharType="begin"/>
      </w:r>
      <w:r w:rsidR="002E4019">
        <w:rPr>
          <w:rFonts w:cs="Arial"/>
        </w:rPr>
        <w:instrText xml:space="preserve"> REF _Ref486841754 \h </w:instrText>
      </w:r>
      <w:r w:rsidR="002E4019">
        <w:rPr>
          <w:rFonts w:cs="Arial"/>
        </w:rPr>
      </w:r>
      <w:r w:rsidR="002E4019">
        <w:rPr>
          <w:rFonts w:cs="Arial"/>
        </w:rPr>
        <w:fldChar w:fldCharType="separate"/>
      </w:r>
      <w:r w:rsidR="0089599A">
        <w:t xml:space="preserve">Figure </w:t>
      </w:r>
      <w:r w:rsidR="0089599A">
        <w:rPr>
          <w:noProof/>
        </w:rPr>
        <w:t>4</w:t>
      </w:r>
      <w:r w:rsidR="002E4019">
        <w:rPr>
          <w:rFonts w:cs="Arial"/>
        </w:rPr>
        <w:fldChar w:fldCharType="end"/>
      </w:r>
      <w:r>
        <w:rPr>
          <w:rFonts w:cs="Arial"/>
        </w:rPr>
        <w:t xml:space="preserve"> </w:t>
      </w:r>
      <w:r w:rsidRPr="00430828">
        <w:rPr>
          <w:rFonts w:cs="Arial"/>
        </w:rPr>
        <w:t xml:space="preserve">represent the average cost per FTE </w:t>
      </w:r>
      <w:r w:rsidRPr="008B2FBF">
        <w:rPr>
          <w:rFonts w:cs="Arial"/>
        </w:rPr>
        <w:t xml:space="preserve">per month </w:t>
      </w:r>
      <w:r w:rsidRPr="00430828">
        <w:rPr>
          <w:rFonts w:cs="Arial"/>
        </w:rPr>
        <w:t>in each of the nodes.</w:t>
      </w:r>
    </w:p>
    <w:p w:rsidR="00D818F2" w:rsidRDefault="00D818F2" w:rsidP="00D818F2">
      <w:pPr>
        <w:spacing w:after="160" w:line="276" w:lineRule="auto"/>
        <w:rPr>
          <w:rFonts w:cs="Arial"/>
        </w:rPr>
      </w:pPr>
      <w:r w:rsidRPr="00A54EFE">
        <w:rPr>
          <w:rFonts w:cs="Arial"/>
        </w:rPr>
        <w:t>Further testing using the Mann-Whitney-Wilcoxon test was conducted to determine the validity of splits produced by the regression trees and whether terminal nodes would have benefited from further splitting. As the regression tree process was used in combination with qualitative clinical consultations, resulted in a small number of candidate variables</w:t>
      </w:r>
      <w:r>
        <w:rPr>
          <w:rFonts w:cs="Arial"/>
        </w:rPr>
        <w:t xml:space="preserve">, and </w:t>
      </w:r>
      <w:r w:rsidRPr="00A54EFE">
        <w:rPr>
          <w:rFonts w:cs="Arial"/>
        </w:rPr>
        <w:t xml:space="preserve">were kept to an interpretable size, they were considered to be an appropriate tool to guide the development of the ATTC. </w:t>
      </w:r>
    </w:p>
    <w:p w:rsidR="00D818F2" w:rsidRDefault="00D818F2">
      <w:pPr>
        <w:spacing w:before="0" w:after="0" w:line="240" w:lineRule="auto"/>
      </w:pPr>
      <w:r>
        <w:br w:type="page"/>
      </w:r>
    </w:p>
    <w:p w:rsidR="00D818F2" w:rsidRDefault="00D818F2" w:rsidP="0064379C">
      <w:pPr>
        <w:spacing w:before="0" w:after="0" w:line="240" w:lineRule="auto"/>
        <w:sectPr w:rsidR="00D818F2" w:rsidSect="00A85487">
          <w:pgSz w:w="11906" w:h="16838" w:code="9"/>
          <w:pgMar w:top="2041" w:right="1440" w:bottom="1021" w:left="1021" w:header="680" w:footer="510" w:gutter="0"/>
          <w:pgNumType w:start="1"/>
          <w:cols w:space="708"/>
          <w:docGrid w:linePitch="360"/>
        </w:sectPr>
      </w:pPr>
    </w:p>
    <w:p w:rsidR="00BA78FE" w:rsidRDefault="00BA78FE" w:rsidP="00BA78FE">
      <w:pPr>
        <w:pStyle w:val="Heading1"/>
        <w:spacing w:after="960" w:line="276" w:lineRule="auto"/>
        <w:contextualSpacing w:val="0"/>
        <w:rPr>
          <w:lang w:eastAsia="ja-JP"/>
        </w:rPr>
      </w:pPr>
      <w:bookmarkStart w:id="84" w:name="_Toc488332285"/>
      <w:r w:rsidRPr="000B1758">
        <w:rPr>
          <w:lang w:eastAsia="ja-JP"/>
        </w:rPr>
        <w:lastRenderedPageBreak/>
        <w:t xml:space="preserve">Appendix </w:t>
      </w:r>
      <w:r>
        <w:rPr>
          <w:lang w:eastAsia="ja-JP"/>
        </w:rPr>
        <w:t>C</w:t>
      </w:r>
      <w:r w:rsidRPr="000B1758">
        <w:rPr>
          <w:lang w:eastAsia="ja-JP"/>
        </w:rPr>
        <w:t>:</w:t>
      </w:r>
      <w:r>
        <w:rPr>
          <w:lang w:eastAsia="ja-JP"/>
        </w:rPr>
        <w:t xml:space="preserve"> ATTC Version 1.0</w:t>
      </w:r>
      <w:bookmarkEnd w:id="84"/>
    </w:p>
    <w:p w:rsidR="00BA78FE" w:rsidRPr="006230E7" w:rsidRDefault="002E4019" w:rsidP="002E4019">
      <w:pPr>
        <w:pStyle w:val="Caption"/>
      </w:pPr>
      <w:r>
        <w:t xml:space="preserve">Table </w:t>
      </w:r>
      <w:r w:rsidR="006D258D">
        <w:fldChar w:fldCharType="begin"/>
      </w:r>
      <w:r w:rsidR="006D258D">
        <w:instrText xml:space="preserve"> SEQ Table \* ARABIC </w:instrText>
      </w:r>
      <w:r w:rsidR="006D258D">
        <w:fldChar w:fldCharType="separate"/>
      </w:r>
      <w:r w:rsidR="0089599A">
        <w:rPr>
          <w:noProof/>
        </w:rPr>
        <w:t>4</w:t>
      </w:r>
      <w:r w:rsidR="006D258D">
        <w:rPr>
          <w:noProof/>
        </w:rPr>
        <w:fldChar w:fldCharType="end"/>
      </w:r>
      <w:r w:rsidR="00BA78FE" w:rsidRPr="002B1F38">
        <w:t xml:space="preserve">: </w:t>
      </w:r>
      <w:r w:rsidR="00BA78FE">
        <w:t>Count of FTE, average cost and CV per ATTC end class, TTR Costing Study Data Set 2015</w:t>
      </w:r>
    </w:p>
    <w:tbl>
      <w:tblPr>
        <w:tblW w:w="13056" w:type="dxa"/>
        <w:tblInd w:w="93" w:type="dxa"/>
        <w:tblLook w:val="04A0" w:firstRow="1" w:lastRow="0" w:firstColumn="1" w:lastColumn="0" w:noHBand="0" w:noVBand="1"/>
        <w:tblCaption w:val="Appendix C - Table 4. Count of FTE, average cost and cv per end class."/>
        <w:tblDescription w:val="Table of six columns listing each ATTC class code, and the corresponding profession, stage of training, FTE, average cost per FTE per month, and CV value."/>
      </w:tblPr>
      <w:tblGrid>
        <w:gridCol w:w="2283"/>
        <w:gridCol w:w="1946"/>
        <w:gridCol w:w="3724"/>
        <w:gridCol w:w="1276"/>
        <w:gridCol w:w="2410"/>
        <w:gridCol w:w="1417"/>
      </w:tblGrid>
      <w:tr w:rsidR="00BA78FE" w:rsidRPr="00ED5049" w:rsidTr="00313B57">
        <w:trPr>
          <w:trHeight w:val="758"/>
          <w:tblHeader/>
        </w:trPr>
        <w:tc>
          <w:tcPr>
            <w:tcW w:w="22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BA78FE" w:rsidRPr="008B2FBF" w:rsidRDefault="00BA78FE" w:rsidP="00BA78FE">
            <w:pPr>
              <w:jc w:val="center"/>
              <w:rPr>
                <w:b/>
              </w:rPr>
            </w:pPr>
            <w:r w:rsidRPr="008B2FBF">
              <w:rPr>
                <w:b/>
              </w:rPr>
              <w:t>ATTC Class Code</w:t>
            </w:r>
          </w:p>
        </w:tc>
        <w:tc>
          <w:tcPr>
            <w:tcW w:w="1946"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78FE" w:rsidRPr="008B2FBF" w:rsidRDefault="00BA78FE" w:rsidP="00BA78FE">
            <w:pPr>
              <w:jc w:val="center"/>
              <w:rPr>
                <w:b/>
              </w:rPr>
            </w:pPr>
            <w:r w:rsidRPr="008B2FBF">
              <w:rPr>
                <w:b/>
              </w:rPr>
              <w:t>Profession</w:t>
            </w:r>
          </w:p>
        </w:tc>
        <w:tc>
          <w:tcPr>
            <w:tcW w:w="3724"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78FE" w:rsidRPr="008B2FBF" w:rsidRDefault="00BA78FE" w:rsidP="00BA78FE">
            <w:pPr>
              <w:jc w:val="center"/>
              <w:rPr>
                <w:b/>
              </w:rPr>
            </w:pPr>
            <w:r w:rsidRPr="008B2FBF">
              <w:rPr>
                <w:b/>
              </w:rPr>
              <w:t>Stage of training</w:t>
            </w:r>
          </w:p>
        </w:tc>
        <w:tc>
          <w:tcPr>
            <w:tcW w:w="1276"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rsidR="00BA78FE" w:rsidRPr="008B2FBF" w:rsidRDefault="00BA78FE" w:rsidP="00BA78FE">
            <w:pPr>
              <w:jc w:val="center"/>
              <w:rPr>
                <w:b/>
              </w:rPr>
            </w:pPr>
            <w:r w:rsidRPr="008B2FBF">
              <w:rPr>
                <w:b/>
              </w:rPr>
              <w:t>FTE</w:t>
            </w: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78FE" w:rsidRPr="008B2FBF" w:rsidRDefault="00BA78FE" w:rsidP="00BA78FE">
            <w:pPr>
              <w:jc w:val="center"/>
              <w:rPr>
                <w:b/>
              </w:rPr>
            </w:pPr>
            <w:r w:rsidRPr="008B2FBF">
              <w:rPr>
                <w:b/>
              </w:rPr>
              <w:t>Average cost per FTE per month</w:t>
            </w:r>
          </w:p>
        </w:tc>
        <w:tc>
          <w:tcPr>
            <w:tcW w:w="141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rsidR="00BA78FE" w:rsidRPr="008B2FBF" w:rsidRDefault="00BA78FE" w:rsidP="00BA78FE">
            <w:pPr>
              <w:jc w:val="center"/>
              <w:rPr>
                <w:b/>
              </w:rPr>
            </w:pPr>
            <w:r w:rsidRPr="008B2FBF">
              <w:rPr>
                <w:b/>
              </w:rPr>
              <w:t>CV</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A1-01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Allied health</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 xml:space="preserve">Pre-entry </w:t>
            </w:r>
            <w:r w:rsidRPr="003A5EEC">
              <w:t>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3,386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368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1.42</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A2-01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Allied health</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New graduate</w:t>
            </w:r>
          </w:p>
        </w:tc>
        <w:tc>
          <w:tcPr>
            <w:tcW w:w="1276" w:type="dxa"/>
            <w:tcBorders>
              <w:top w:val="nil"/>
              <w:left w:val="nil"/>
              <w:bottom w:val="single" w:sz="4" w:space="0" w:color="auto"/>
              <w:right w:val="single" w:sz="4" w:space="0" w:color="auto"/>
            </w:tcBorders>
            <w:shd w:val="clear" w:color="auto" w:fill="auto"/>
            <w:vAlign w:val="bottom"/>
            <w:hideMark/>
          </w:tcPr>
          <w:p w:rsidR="00BA78FE" w:rsidRPr="002633C6" w:rsidRDefault="00BA78FE" w:rsidP="00BA78FE">
            <w:pPr>
              <w:jc w:val="right"/>
            </w:pPr>
            <w:r w:rsidRPr="002633C6">
              <w:t xml:space="preserve">1,446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628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1.20</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A3-01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Allied health</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Postgraduate/vocational student</w:t>
            </w:r>
          </w:p>
        </w:tc>
        <w:tc>
          <w:tcPr>
            <w:tcW w:w="1276" w:type="dxa"/>
            <w:tcBorders>
              <w:top w:val="nil"/>
              <w:left w:val="nil"/>
              <w:bottom w:val="single" w:sz="4" w:space="0" w:color="auto"/>
              <w:right w:val="single" w:sz="4" w:space="0" w:color="auto"/>
            </w:tcBorders>
            <w:shd w:val="clear" w:color="auto" w:fill="auto"/>
            <w:vAlign w:val="bottom"/>
            <w:hideMark/>
          </w:tcPr>
          <w:p w:rsidR="00BA78FE" w:rsidRPr="002633C6" w:rsidRDefault="00BA78FE" w:rsidP="00BA78FE">
            <w:pPr>
              <w:jc w:val="right"/>
            </w:pPr>
            <w:r w:rsidRPr="002633C6">
              <w:t xml:space="preserve">58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618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1.41</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A4-01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Allied health</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Unknown stage of training</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378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246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0.76</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B1-01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Dentistry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 xml:space="preserve">Pre-entry </w:t>
            </w:r>
            <w:r w:rsidRPr="003A5EEC">
              <w:t>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169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86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0.74</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B2-01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Dentistry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New graduate</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31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39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0.06</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B3-01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Dentistry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Postgraduate/vocational 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13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3,039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0.12</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B4-01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Dentistry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Unknown stage of training</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0.00</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C1-01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Medicine</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 xml:space="preserve">Pre-entry </w:t>
            </w:r>
            <w:r w:rsidRPr="003A5EEC">
              <w:t>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6,209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238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2.14</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C2-01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Medicine</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New graduate</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15,458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450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1.51</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lastRenderedPageBreak/>
              <w:t>C3-01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Medicine</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Postgraduate/vocational 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16,159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610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1.46</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C4-01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Medicine</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Unknown stage of training</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t>21</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166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3.05</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D1-01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Midwifery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 xml:space="preserve">Pre-entry </w:t>
            </w:r>
            <w:r w:rsidRPr="003A5EEC">
              <w:t>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155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140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1.19</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D2-01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Midwifery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New graduate</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103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454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1.20</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D3-01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Midwifery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Postgraduate/vocational 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34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765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0.92</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D4-01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Midwifery</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Unknown stage of training</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867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0.00</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E1-01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Nursing</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 xml:space="preserve">Pre-entry </w:t>
            </w:r>
            <w:r w:rsidRPr="003A5EEC">
              <w:t>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8,697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350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1.70</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E2-01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Nursing</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New graduate</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8,350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623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1.38</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E3-01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Nursing</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t>Postgraduate/vocational student</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1,050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1,377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0.72</w:t>
            </w:r>
          </w:p>
        </w:tc>
      </w:tr>
      <w:tr w:rsidR="00BA78FE" w:rsidRPr="00ED5049" w:rsidTr="00BA78FE">
        <w:trPr>
          <w:trHeight w:val="503"/>
        </w:trPr>
        <w:tc>
          <w:tcPr>
            <w:tcW w:w="2283" w:type="dxa"/>
            <w:tcBorders>
              <w:top w:val="nil"/>
              <w:left w:val="single" w:sz="4" w:space="0" w:color="auto"/>
              <w:bottom w:val="single" w:sz="4" w:space="0" w:color="auto"/>
              <w:right w:val="single" w:sz="4" w:space="0" w:color="auto"/>
            </w:tcBorders>
            <w:shd w:val="clear" w:color="auto" w:fill="auto"/>
            <w:vAlign w:val="center"/>
            <w:hideMark/>
          </w:tcPr>
          <w:p w:rsidR="00BA78FE" w:rsidRPr="002633C6" w:rsidRDefault="00BA78FE" w:rsidP="00BA78FE">
            <w:r w:rsidRPr="002633C6">
              <w:t>E4-01</w:t>
            </w:r>
          </w:p>
        </w:tc>
        <w:tc>
          <w:tcPr>
            <w:tcW w:w="1946" w:type="dxa"/>
            <w:tcBorders>
              <w:top w:val="nil"/>
              <w:left w:val="nil"/>
              <w:bottom w:val="single" w:sz="4" w:space="0" w:color="auto"/>
              <w:right w:val="single" w:sz="4" w:space="0" w:color="auto"/>
            </w:tcBorders>
            <w:shd w:val="clear" w:color="auto" w:fill="auto"/>
            <w:vAlign w:val="center"/>
            <w:hideMark/>
          </w:tcPr>
          <w:p w:rsidR="00BA78FE" w:rsidRPr="002633C6" w:rsidRDefault="00BA78FE" w:rsidP="00BA78FE">
            <w:r w:rsidRPr="002633C6">
              <w:t>Nursing</w:t>
            </w:r>
          </w:p>
        </w:tc>
        <w:tc>
          <w:tcPr>
            <w:tcW w:w="3724" w:type="dxa"/>
            <w:tcBorders>
              <w:top w:val="nil"/>
              <w:left w:val="nil"/>
              <w:bottom w:val="single" w:sz="4" w:space="0" w:color="auto"/>
              <w:right w:val="single" w:sz="4" w:space="0" w:color="auto"/>
            </w:tcBorders>
            <w:shd w:val="clear" w:color="auto" w:fill="auto"/>
            <w:hideMark/>
          </w:tcPr>
          <w:p w:rsidR="00BA78FE" w:rsidRPr="002633C6" w:rsidRDefault="00BA78FE" w:rsidP="00BA78FE">
            <w:r w:rsidRPr="003A5EEC">
              <w:t>Unknown stage of training</w:t>
            </w:r>
          </w:p>
        </w:tc>
        <w:tc>
          <w:tcPr>
            <w:tcW w:w="1276"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105 </w:t>
            </w:r>
          </w:p>
        </w:tc>
        <w:tc>
          <w:tcPr>
            <w:tcW w:w="2410"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 xml:space="preserve">801 </w:t>
            </w:r>
          </w:p>
        </w:tc>
        <w:tc>
          <w:tcPr>
            <w:tcW w:w="1417" w:type="dxa"/>
            <w:tcBorders>
              <w:top w:val="nil"/>
              <w:left w:val="nil"/>
              <w:bottom w:val="single" w:sz="4" w:space="0" w:color="auto"/>
              <w:right w:val="single" w:sz="4" w:space="0" w:color="auto"/>
            </w:tcBorders>
            <w:shd w:val="clear" w:color="auto" w:fill="auto"/>
            <w:noWrap/>
            <w:vAlign w:val="bottom"/>
            <w:hideMark/>
          </w:tcPr>
          <w:p w:rsidR="00BA78FE" w:rsidRPr="002633C6" w:rsidRDefault="00BA78FE" w:rsidP="00BA78FE">
            <w:pPr>
              <w:jc w:val="right"/>
            </w:pPr>
            <w:r w:rsidRPr="002633C6">
              <w:t>3.65</w:t>
            </w:r>
          </w:p>
        </w:tc>
      </w:tr>
    </w:tbl>
    <w:p w:rsidR="00D818F2" w:rsidRDefault="00BA78FE" w:rsidP="00636337">
      <w:pPr>
        <w:spacing w:after="160" w:line="276" w:lineRule="auto"/>
      </w:pPr>
      <w:r w:rsidRPr="00443AE6">
        <w:rPr>
          <w:rFonts w:asciiTheme="minorHAnsi" w:hAnsiTheme="minorHAnsi" w:cstheme="minorHAnsi"/>
          <w:color w:val="000000"/>
          <w:szCs w:val="22"/>
        </w:rPr>
        <w:t xml:space="preserve">NB: </w:t>
      </w:r>
      <w:r>
        <w:rPr>
          <w:rFonts w:asciiTheme="minorHAnsi" w:hAnsiTheme="minorHAnsi" w:cstheme="minorHAnsi"/>
          <w:color w:val="000000"/>
          <w:szCs w:val="22"/>
        </w:rPr>
        <w:t xml:space="preserve">FTE </w:t>
      </w:r>
      <w:r w:rsidRPr="00E17234">
        <w:rPr>
          <w:rFonts w:cs="Arial"/>
        </w:rPr>
        <w:t>values</w:t>
      </w:r>
      <w:r>
        <w:rPr>
          <w:rFonts w:asciiTheme="minorHAnsi" w:hAnsiTheme="minorHAnsi" w:cstheme="minorHAnsi"/>
          <w:color w:val="000000"/>
          <w:szCs w:val="22"/>
        </w:rPr>
        <w:t xml:space="preserve"> have been rounded</w:t>
      </w:r>
    </w:p>
    <w:p w:rsidR="00BA78FE" w:rsidRDefault="00BA78FE" w:rsidP="0064379C">
      <w:pPr>
        <w:pStyle w:val="Heading1"/>
        <w:rPr>
          <w:b w:val="0"/>
        </w:rPr>
        <w:sectPr w:rsidR="00BA78FE" w:rsidSect="00575BEB">
          <w:headerReference w:type="default" r:id="rId26"/>
          <w:pgSz w:w="16838" w:h="11906" w:orient="landscape" w:code="9"/>
          <w:pgMar w:top="1021" w:right="2041" w:bottom="1440" w:left="1021" w:header="680" w:footer="510" w:gutter="0"/>
          <w:cols w:space="708"/>
          <w:docGrid w:linePitch="360"/>
        </w:sectPr>
      </w:pPr>
    </w:p>
    <w:p w:rsidR="0059283C" w:rsidRPr="00350852" w:rsidRDefault="008A433B" w:rsidP="00350852">
      <w:r>
        <w:rPr>
          <w:noProof/>
        </w:rPr>
        <w:lastRenderedPageBreak/>
        <w:drawing>
          <wp:anchor distT="0" distB="0" distL="114300" distR="114300" simplePos="0" relativeHeight="251660288" behindDoc="1" locked="0" layoutInCell="1" allowOverlap="1" wp14:anchorId="5489F32F" wp14:editId="4B433701">
            <wp:simplePos x="0" y="0"/>
            <wp:positionH relativeFrom="page">
              <wp:align>left</wp:align>
            </wp:positionH>
            <wp:positionV relativeFrom="page">
              <wp:align>top</wp:align>
            </wp:positionV>
            <wp:extent cx="7593330" cy="10740390"/>
            <wp:effectExtent l="0" t="0" r="7620" b="3810"/>
            <wp:wrapNone/>
            <wp:docPr id="1" name="Picture 1" descr="Rear page with IHPA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HPA17-3093_IHPA_Templates_Back-Cover_012.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7593126" cy="10740600"/>
                    </a:xfrm>
                    <a:prstGeom prst="rect">
                      <a:avLst/>
                    </a:prstGeom>
                  </pic:spPr>
                </pic:pic>
              </a:graphicData>
            </a:graphic>
            <wp14:sizeRelH relativeFrom="margin">
              <wp14:pctWidth>0</wp14:pctWidth>
            </wp14:sizeRelH>
            <wp14:sizeRelV relativeFrom="margin">
              <wp14:pctHeight>0</wp14:pctHeight>
            </wp14:sizeRelV>
          </wp:anchor>
        </w:drawing>
      </w:r>
      <w:r w:rsidR="00C303D7">
        <w:rPr>
          <w:noProof/>
        </w:rPr>
        <mc:AlternateContent>
          <mc:Choice Requires="wps">
            <w:drawing>
              <wp:anchor distT="0" distB="0" distL="114300" distR="114300" simplePos="0" relativeHeight="251661312" behindDoc="0" locked="0" layoutInCell="1" allowOverlap="1" wp14:anchorId="6CA1EE89" wp14:editId="1B49016C">
                <wp:simplePos x="0" y="0"/>
                <wp:positionH relativeFrom="column">
                  <wp:align>left</wp:align>
                </wp:positionH>
                <wp:positionV relativeFrom="margin">
                  <wp:align>bottom</wp:align>
                </wp:positionV>
                <wp:extent cx="1943280" cy="1257480"/>
                <wp:effectExtent l="0" t="0" r="12700" b="12700"/>
                <wp:wrapSquare wrapText="bothSides"/>
                <wp:docPr id="3" name="Text Box 3"/>
                <wp:cNvGraphicFramePr/>
                <a:graphic xmlns:a="http://schemas.openxmlformats.org/drawingml/2006/main">
                  <a:graphicData uri="http://schemas.microsoft.com/office/word/2010/wordprocessingShape">
                    <wps:wsp>
                      <wps:cNvSpPr txBox="1"/>
                      <wps:spPr>
                        <a:xfrm>
                          <a:off x="0" y="0"/>
                          <a:ext cx="1943280" cy="125748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232CEF" w:rsidRPr="00906A0B" w:rsidRDefault="00232CEF" w:rsidP="00C303D7">
                            <w:pPr>
                              <w:pStyle w:val="Address"/>
                            </w:pPr>
                            <w:r w:rsidRPr="00906A0B">
                              <w:t>Independent Hospital Pricing Authority</w:t>
                            </w:r>
                          </w:p>
                          <w:p w:rsidR="00232CEF" w:rsidRPr="00906A0B" w:rsidRDefault="00232CEF" w:rsidP="00C303D7">
                            <w:pPr>
                              <w:pStyle w:val="Address"/>
                            </w:pPr>
                            <w:r w:rsidRPr="00906A0B">
                              <w:t> </w:t>
                            </w:r>
                          </w:p>
                          <w:p w:rsidR="00232CEF" w:rsidRPr="00906A0B" w:rsidRDefault="00232CEF" w:rsidP="00C303D7">
                            <w:pPr>
                              <w:pStyle w:val="Address"/>
                            </w:pPr>
                            <w:r w:rsidRPr="00906A0B">
                              <w:t>Level 6, 1 Oxford Street</w:t>
                            </w:r>
                          </w:p>
                          <w:p w:rsidR="00232CEF" w:rsidRPr="00906A0B" w:rsidRDefault="00232CEF" w:rsidP="00C303D7">
                            <w:pPr>
                              <w:pStyle w:val="Address"/>
                            </w:pPr>
                            <w:r w:rsidRPr="00906A0B">
                              <w:t>Sydney NSW 2000</w:t>
                            </w:r>
                          </w:p>
                          <w:p w:rsidR="00232CEF" w:rsidRPr="00906A0B" w:rsidRDefault="00232CEF" w:rsidP="00C303D7">
                            <w:pPr>
                              <w:pStyle w:val="Address"/>
                            </w:pPr>
                          </w:p>
                          <w:p w:rsidR="00232CEF" w:rsidRPr="00906A0B" w:rsidRDefault="00232CEF" w:rsidP="00C303D7">
                            <w:pPr>
                              <w:pStyle w:val="Address"/>
                            </w:pPr>
                            <w:r w:rsidRPr="00906A0B">
                              <w:t>Phone 02 8215 1100</w:t>
                            </w:r>
                          </w:p>
                          <w:p w:rsidR="00232CEF" w:rsidRPr="00906A0B" w:rsidRDefault="00232CEF" w:rsidP="00C303D7">
                            <w:pPr>
                              <w:pStyle w:val="Address"/>
                            </w:pPr>
                            <w:r w:rsidRPr="00906A0B">
                              <w:t>Email enquiries.ihpa@ihpa.gov.au</w:t>
                            </w:r>
                          </w:p>
                          <w:p w:rsidR="00232CEF" w:rsidRPr="00906A0B" w:rsidRDefault="00232CEF" w:rsidP="00C303D7">
                            <w:pPr>
                              <w:pStyle w:val="Address"/>
                            </w:pPr>
                            <w:r w:rsidRPr="00906A0B">
                              <w:t>Twitter @</w:t>
                            </w:r>
                            <w:proofErr w:type="spellStart"/>
                            <w:r w:rsidRPr="00906A0B">
                              <w:t>IHPAnews</w:t>
                            </w:r>
                            <w:proofErr w:type="spellEnd"/>
                          </w:p>
                          <w:p w:rsidR="00232CEF" w:rsidRPr="00906A0B" w:rsidRDefault="00232CEF" w:rsidP="00C303D7">
                            <w:pPr>
                              <w:pStyle w:val="Address"/>
                            </w:pPr>
                          </w:p>
                          <w:p w:rsidR="00232CEF" w:rsidRPr="00906A0B" w:rsidRDefault="00232CEF" w:rsidP="00C303D7">
                            <w:pPr>
                              <w:pStyle w:val="Address"/>
                            </w:pPr>
                            <w:r w:rsidRPr="00906A0B">
                              <w:t>www.ihpa.gov.au</w:t>
                            </w:r>
                          </w:p>
                          <w:p w:rsidR="00232CEF" w:rsidRPr="00906A0B" w:rsidRDefault="00232CEF" w:rsidP="00C303D7">
                            <w:pPr>
                              <w:pStyle w:val="Addres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41" type="#_x0000_t202" style="position:absolute;margin-left:0;margin-top:0;width:153pt;height:99pt;z-index:251661312;visibility:visible;mso-wrap-style:square;mso-width-percent:0;mso-height-percent:0;mso-wrap-distance-left:9pt;mso-wrap-distance-top:0;mso-wrap-distance-right:9pt;mso-wrap-distance-bottom:0;mso-position-horizontal:left;mso-position-horizontal-relative:text;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" filled="f" stroked="f">
                <v:textbox inset="0,0,0,0">
                  <w:txbxContent>
                    <w:p w:rsidR="00232CEF" w:rsidRPr="00906A0B" w:rsidRDefault="00232CEF" w:rsidP="00C303D7">
                      <w:pPr>
                        <w:pStyle w:val="Address"/>
                      </w:pPr>
                      <w:r w:rsidRPr="00906A0B">
                        <w:t>Independent Hospital Pricing Authority</w:t>
                      </w:r>
                    </w:p>
                    <w:p w:rsidR="00232CEF" w:rsidRPr="00906A0B" w:rsidRDefault="00232CEF" w:rsidP="00C303D7">
                      <w:pPr>
                        <w:pStyle w:val="Address"/>
                      </w:pPr>
                      <w:r w:rsidRPr="00906A0B">
                        <w:t> </w:t>
                      </w:r>
                    </w:p>
                    <w:p w:rsidR="00232CEF" w:rsidRPr="00906A0B" w:rsidRDefault="00232CEF" w:rsidP="00C303D7">
                      <w:pPr>
                        <w:pStyle w:val="Address"/>
                      </w:pPr>
                      <w:r w:rsidRPr="00906A0B">
                        <w:t>Level 6, 1 Oxford Street</w:t>
                      </w:r>
                    </w:p>
                    <w:p w:rsidR="00232CEF" w:rsidRPr="00906A0B" w:rsidRDefault="00232CEF" w:rsidP="00C303D7">
                      <w:pPr>
                        <w:pStyle w:val="Address"/>
                      </w:pPr>
                      <w:r w:rsidRPr="00906A0B">
                        <w:t>Sydney NSW 2000</w:t>
                      </w:r>
                    </w:p>
                    <w:p w:rsidR="00232CEF" w:rsidRPr="00906A0B" w:rsidRDefault="00232CEF" w:rsidP="00C303D7">
                      <w:pPr>
                        <w:pStyle w:val="Address"/>
                      </w:pPr>
                    </w:p>
                    <w:p w:rsidR="00232CEF" w:rsidRPr="00906A0B" w:rsidRDefault="00232CEF" w:rsidP="00C303D7">
                      <w:pPr>
                        <w:pStyle w:val="Address"/>
                      </w:pPr>
                      <w:r w:rsidRPr="00906A0B">
                        <w:t>Phone 02 8215 1100</w:t>
                      </w:r>
                    </w:p>
                    <w:p w:rsidR="00232CEF" w:rsidRPr="00906A0B" w:rsidRDefault="00232CEF" w:rsidP="00C303D7">
                      <w:pPr>
                        <w:pStyle w:val="Address"/>
                      </w:pPr>
                      <w:r w:rsidRPr="00906A0B">
                        <w:t>Email enquiries.ihpa@ihpa.gov.au</w:t>
                      </w:r>
                    </w:p>
                    <w:p w:rsidR="00232CEF" w:rsidRPr="00906A0B" w:rsidRDefault="00232CEF" w:rsidP="00C303D7">
                      <w:pPr>
                        <w:pStyle w:val="Address"/>
                      </w:pPr>
                      <w:r w:rsidRPr="00906A0B">
                        <w:t>Twitter @</w:t>
                      </w:r>
                      <w:proofErr w:type="spellStart"/>
                      <w:r w:rsidRPr="00906A0B">
                        <w:t>IHPAnews</w:t>
                      </w:r>
                      <w:proofErr w:type="spellEnd"/>
                    </w:p>
                    <w:p w:rsidR="00232CEF" w:rsidRPr="00906A0B" w:rsidRDefault="00232CEF" w:rsidP="00C303D7">
                      <w:pPr>
                        <w:pStyle w:val="Address"/>
                      </w:pPr>
                    </w:p>
                    <w:p w:rsidR="00232CEF" w:rsidRPr="00906A0B" w:rsidRDefault="00232CEF" w:rsidP="00C303D7">
                      <w:pPr>
                        <w:pStyle w:val="Address"/>
                      </w:pPr>
                      <w:r w:rsidRPr="00906A0B">
                        <w:t>www.ihpa.gov.au</w:t>
                      </w:r>
                    </w:p>
                    <w:p w:rsidR="00232CEF" w:rsidRPr="00906A0B" w:rsidRDefault="00232CEF" w:rsidP="00C303D7">
                      <w:pPr>
                        <w:pStyle w:val="Address"/>
                      </w:pPr>
                    </w:p>
                  </w:txbxContent>
                </v:textbox>
                <w10:wrap type="square" anchory="margin"/>
              </v:shape>
            </w:pict>
          </mc:Fallback>
        </mc:AlternateContent>
      </w:r>
    </w:p>
    <w:sectPr w:rsidR="0059283C" w:rsidRPr="00350852" w:rsidSect="0047601C">
      <w:pgSz w:w="11906" w:h="16838" w:code="9"/>
      <w:pgMar w:top="2041" w:right="1440" w:bottom="1021" w:left="1021" w:header="680" w:footer="510"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2CEF" w:rsidRDefault="00232CEF">
      <w:r>
        <w:separator/>
      </w:r>
    </w:p>
  </w:endnote>
  <w:endnote w:type="continuationSeparator" w:id="0">
    <w:p w:rsidR="00232CEF" w:rsidRDefault="00232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2CEF" w:rsidRDefault="00232CEF">
      <w:r>
        <w:separator/>
      </w:r>
    </w:p>
  </w:footnote>
  <w:footnote w:type="continuationSeparator" w:id="0">
    <w:p w:rsidR="00232CEF" w:rsidRDefault="00232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EF" w:rsidRPr="0064379C" w:rsidRDefault="00232CE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59264" behindDoc="1" locked="0" layoutInCell="0" allowOverlap="1" wp14:anchorId="3A2CA281" wp14:editId="5D630A59">
          <wp:simplePos x="0" y="0"/>
          <wp:positionH relativeFrom="page">
            <wp:align>left</wp:align>
          </wp:positionH>
          <wp:positionV relativeFrom="page">
            <wp:align>top</wp:align>
          </wp:positionV>
          <wp:extent cx="6080400" cy="1011600"/>
          <wp:effectExtent l="0" t="0" r="0" b="0"/>
          <wp:wrapNone/>
          <wp:docPr id="18" name="Picture 18"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Development of the Australian Teaching and Training Classification –</w:t>
    </w:r>
  </w:p>
  <w:p w:rsidR="00232CEF" w:rsidRDefault="00232CEF" w:rsidP="0064379C">
    <w:pPr>
      <w:pStyle w:val="Header"/>
      <w:tabs>
        <w:tab w:val="clear" w:pos="10319"/>
        <w:tab w:val="left" w:pos="9814"/>
        <w:tab w:val="right" w:pos="9923"/>
      </w:tabs>
      <w:rPr>
        <w:noProof/>
        <w:color w:val="008A00" w:themeColor="accent2"/>
      </w:rPr>
    </w:pPr>
    <w:r w:rsidRPr="0064379C">
      <w:rPr>
        <w:noProof/>
        <w:color w:val="FFFFFF" w:themeColor="background1"/>
      </w:rPr>
      <w:t>Public consultation paper</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6D258D">
      <w:rPr>
        <w:noProof/>
        <w:color w:val="008A00" w:themeColor="accent2"/>
      </w:rPr>
      <w:t>1</w:t>
    </w:r>
    <w:r w:rsidRPr="005F219D">
      <w:rPr>
        <w:noProof/>
        <w:color w:val="008A00" w:themeColor="accent2"/>
      </w:rPr>
      <w:fldChar w:fldCharType="end"/>
    </w:r>
  </w:p>
  <w:p w:rsidR="00232CEF" w:rsidRDefault="00232CEF" w:rsidP="0064379C">
    <w:pPr>
      <w:pStyle w:val="Header"/>
      <w:tabs>
        <w:tab w:val="clear" w:pos="10319"/>
        <w:tab w:val="left" w:pos="9814"/>
        <w:tab w:val="right" w:pos="9923"/>
      </w:tabs>
      <w:rPr>
        <w:noProof/>
        <w:color w:val="008A00" w:themeColor="accent2"/>
      </w:rPr>
    </w:pPr>
  </w:p>
  <w:p w:rsidR="00232CEF" w:rsidRDefault="00232CEF" w:rsidP="0064379C">
    <w:pPr>
      <w:pStyle w:val="Header"/>
      <w:tabs>
        <w:tab w:val="clear" w:pos="10319"/>
        <w:tab w:val="left" w:pos="9814"/>
        <w:tab w:val="right" w:pos="9923"/>
      </w:tabs>
      <w:rPr>
        <w:noProof/>
        <w:color w:val="008A00" w:themeColor="accent2"/>
      </w:rPr>
    </w:pPr>
  </w:p>
  <w:p w:rsidR="00232CEF" w:rsidRDefault="00232CEF" w:rsidP="0064379C">
    <w:pPr>
      <w:pStyle w:val="Header"/>
      <w:tabs>
        <w:tab w:val="clear" w:pos="10319"/>
        <w:tab w:val="left" w:pos="9814"/>
        <w:tab w:val="right" w:pos="9923"/>
      </w:tabs>
      <w:rPr>
        <w:noProof/>
        <w:color w:val="008A00" w:themeColor="accent2"/>
      </w:rPr>
    </w:pPr>
  </w:p>
  <w:p w:rsidR="00232CEF" w:rsidRPr="005F219D" w:rsidRDefault="00232CEF" w:rsidP="0064379C">
    <w:pPr>
      <w:pStyle w:val="Header"/>
      <w:tabs>
        <w:tab w:val="clear" w:pos="10319"/>
        <w:tab w:val="left" w:pos="9814"/>
        <w:tab w:val="right" w:pos="9923"/>
      </w:tabs>
      <w:rPr>
        <w:color w:val="008A00" w:themeColor="accent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2CEF" w:rsidRPr="0064379C" w:rsidRDefault="00232CEF" w:rsidP="00575BEB">
    <w:pPr>
      <w:pStyle w:val="Header"/>
      <w:tabs>
        <w:tab w:val="clear" w:pos="10319"/>
        <w:tab w:val="right" w:pos="9923"/>
      </w:tabs>
      <w:rPr>
        <w:noProof/>
        <w:color w:val="FFFFFF" w:themeColor="background1"/>
      </w:rPr>
    </w:pPr>
    <w:r>
      <w:rPr>
        <w:noProof/>
        <w:color w:val="FFFFFF" w:themeColor="background1"/>
      </w:rPr>
      <w:drawing>
        <wp:anchor distT="0" distB="0" distL="114300" distR="114300" simplePos="0" relativeHeight="251661312" behindDoc="1" locked="0" layoutInCell="0" allowOverlap="1" wp14:anchorId="49F18D99" wp14:editId="52D20D75">
          <wp:simplePos x="0" y="0"/>
          <wp:positionH relativeFrom="page">
            <wp:align>left</wp:align>
          </wp:positionH>
          <wp:positionV relativeFrom="page">
            <wp:align>top</wp:align>
          </wp:positionV>
          <wp:extent cx="6080400" cy="1011600"/>
          <wp:effectExtent l="0" t="0" r="0" b="0"/>
          <wp:wrapNone/>
          <wp:docPr id="32" name="Picture 32" descr="Head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080400" cy="1011600"/>
                  </a:xfrm>
                  <a:prstGeom prst="rect">
                    <a:avLst/>
                  </a:prstGeom>
                </pic:spPr>
              </pic:pic>
            </a:graphicData>
          </a:graphic>
          <wp14:sizeRelH relativeFrom="margin">
            <wp14:pctWidth>0</wp14:pctWidth>
          </wp14:sizeRelH>
          <wp14:sizeRelV relativeFrom="margin">
            <wp14:pctHeight>0</wp14:pctHeight>
          </wp14:sizeRelV>
        </wp:anchor>
      </w:drawing>
    </w:r>
    <w:r w:rsidRPr="0064379C">
      <w:rPr>
        <w:noProof/>
        <w:color w:val="FFFFFF" w:themeColor="background1"/>
      </w:rPr>
      <w:t>Development of the Australian Teaching and Training Classification –</w:t>
    </w:r>
  </w:p>
  <w:p w:rsidR="00232CEF" w:rsidRDefault="00232CEF" w:rsidP="00575BEB">
    <w:pPr>
      <w:pStyle w:val="Header"/>
      <w:tabs>
        <w:tab w:val="clear" w:pos="10319"/>
        <w:tab w:val="right" w:pos="13041"/>
      </w:tabs>
      <w:rPr>
        <w:noProof/>
        <w:color w:val="008A00" w:themeColor="accent2"/>
      </w:rPr>
    </w:pPr>
    <w:r w:rsidRPr="0064379C">
      <w:rPr>
        <w:noProof/>
        <w:color w:val="FFFFFF" w:themeColor="background1"/>
      </w:rPr>
      <w:t>Public consultation paper</w:t>
    </w:r>
    <w:r>
      <w:rPr>
        <w:color w:val="FFFFFF" w:themeColor="background1"/>
      </w:rPr>
      <w:tab/>
    </w:r>
    <w:r>
      <w:rPr>
        <w:color w:val="FFFFFF" w:themeColor="background1"/>
      </w:rPr>
      <w:tab/>
    </w:r>
    <w:r w:rsidRPr="005F219D">
      <w:rPr>
        <w:color w:val="008A00" w:themeColor="accent2"/>
      </w:rPr>
      <w:fldChar w:fldCharType="begin"/>
    </w:r>
    <w:r w:rsidRPr="005F219D">
      <w:rPr>
        <w:color w:val="008A00" w:themeColor="accent2"/>
      </w:rPr>
      <w:instrText xml:space="preserve"> PAGE   \* MERGEFORMAT </w:instrText>
    </w:r>
    <w:r w:rsidRPr="005F219D">
      <w:rPr>
        <w:color w:val="008A00" w:themeColor="accent2"/>
      </w:rPr>
      <w:fldChar w:fldCharType="separate"/>
    </w:r>
    <w:r w:rsidR="006D258D">
      <w:rPr>
        <w:noProof/>
        <w:color w:val="008A00" w:themeColor="accent2"/>
      </w:rPr>
      <w:t>0</w:t>
    </w:r>
    <w:r w:rsidRPr="005F219D">
      <w:rPr>
        <w:noProof/>
        <w:color w:val="008A00" w:themeColor="accent2"/>
      </w:rPr>
      <w:fldChar w:fldCharType="end"/>
    </w:r>
  </w:p>
  <w:p w:rsidR="00232CEF" w:rsidRDefault="00232CEF" w:rsidP="0064379C">
    <w:pPr>
      <w:pStyle w:val="Header"/>
      <w:tabs>
        <w:tab w:val="clear" w:pos="10319"/>
        <w:tab w:val="left" w:pos="9814"/>
        <w:tab w:val="right" w:pos="9923"/>
      </w:tabs>
      <w:rPr>
        <w:noProof/>
        <w:color w:val="008A00" w:themeColor="accent2"/>
      </w:rPr>
    </w:pPr>
  </w:p>
  <w:p w:rsidR="00232CEF" w:rsidRDefault="00232CEF" w:rsidP="0064379C">
    <w:pPr>
      <w:pStyle w:val="Header"/>
      <w:tabs>
        <w:tab w:val="clear" w:pos="10319"/>
        <w:tab w:val="left" w:pos="9814"/>
        <w:tab w:val="right" w:pos="9923"/>
      </w:tabs>
      <w:rPr>
        <w:noProof/>
        <w:color w:val="008A00" w:themeColor="accent2"/>
      </w:rPr>
    </w:pPr>
  </w:p>
  <w:p w:rsidR="00232CEF" w:rsidRDefault="00232CEF" w:rsidP="0064379C">
    <w:pPr>
      <w:pStyle w:val="Header"/>
      <w:tabs>
        <w:tab w:val="clear" w:pos="10319"/>
        <w:tab w:val="left" w:pos="9814"/>
        <w:tab w:val="right" w:pos="9923"/>
      </w:tabs>
      <w:rPr>
        <w:noProof/>
        <w:color w:val="008A00" w:themeColor="accent2"/>
      </w:rPr>
    </w:pPr>
  </w:p>
  <w:p w:rsidR="00232CEF" w:rsidRPr="005F219D" w:rsidRDefault="00232CEF" w:rsidP="0064379C">
    <w:pPr>
      <w:pStyle w:val="Header"/>
      <w:tabs>
        <w:tab w:val="clear" w:pos="10319"/>
        <w:tab w:val="left" w:pos="9814"/>
        <w:tab w:val="right" w:pos="9923"/>
      </w:tabs>
      <w:rPr>
        <w:color w:val="008A00" w:themeColor="accent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6E036E"/>
    <w:lvl w:ilvl="0">
      <w:start w:val="1"/>
      <w:numFmt w:val="decimal"/>
      <w:lvlText w:val="%1."/>
      <w:lvlJc w:val="left"/>
      <w:pPr>
        <w:tabs>
          <w:tab w:val="num" w:pos="1492"/>
        </w:tabs>
        <w:ind w:left="1492" w:hanging="360"/>
      </w:pPr>
    </w:lvl>
  </w:abstractNum>
  <w:abstractNum w:abstractNumId="1">
    <w:nsid w:val="FFFFFF7D"/>
    <w:multiLevelType w:val="singleLevel"/>
    <w:tmpl w:val="B8728C2A"/>
    <w:lvl w:ilvl="0">
      <w:start w:val="1"/>
      <w:numFmt w:val="decimal"/>
      <w:lvlText w:val="%1."/>
      <w:lvlJc w:val="left"/>
      <w:pPr>
        <w:tabs>
          <w:tab w:val="num" w:pos="1209"/>
        </w:tabs>
        <w:ind w:left="1209" w:hanging="360"/>
      </w:pPr>
    </w:lvl>
  </w:abstractNum>
  <w:abstractNum w:abstractNumId="2">
    <w:nsid w:val="FFFFFF7E"/>
    <w:multiLevelType w:val="singleLevel"/>
    <w:tmpl w:val="86DE97B6"/>
    <w:lvl w:ilvl="0">
      <w:start w:val="1"/>
      <w:numFmt w:val="decimal"/>
      <w:lvlText w:val="%1."/>
      <w:lvlJc w:val="left"/>
      <w:pPr>
        <w:tabs>
          <w:tab w:val="num" w:pos="926"/>
        </w:tabs>
        <w:ind w:left="926" w:hanging="360"/>
      </w:pPr>
    </w:lvl>
  </w:abstractNum>
  <w:abstractNum w:abstractNumId="3">
    <w:nsid w:val="FFFFFF7F"/>
    <w:multiLevelType w:val="singleLevel"/>
    <w:tmpl w:val="51DA74C0"/>
    <w:lvl w:ilvl="0">
      <w:start w:val="1"/>
      <w:numFmt w:val="decimal"/>
      <w:lvlText w:val="%1."/>
      <w:lvlJc w:val="left"/>
      <w:pPr>
        <w:tabs>
          <w:tab w:val="num" w:pos="643"/>
        </w:tabs>
        <w:ind w:left="643" w:hanging="360"/>
      </w:pPr>
    </w:lvl>
  </w:abstractNum>
  <w:abstractNum w:abstractNumId="4">
    <w:nsid w:val="FFFFFF80"/>
    <w:multiLevelType w:val="singleLevel"/>
    <w:tmpl w:val="43022CB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663B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3464E8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AC651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3DC3310"/>
    <w:lvl w:ilvl="0">
      <w:start w:val="1"/>
      <w:numFmt w:val="decimal"/>
      <w:lvlText w:val="%1."/>
      <w:lvlJc w:val="left"/>
      <w:pPr>
        <w:tabs>
          <w:tab w:val="num" w:pos="360"/>
        </w:tabs>
        <w:ind w:left="360" w:hanging="360"/>
      </w:pPr>
    </w:lvl>
  </w:abstractNum>
  <w:abstractNum w:abstractNumId="9">
    <w:nsid w:val="FFFFFF89"/>
    <w:multiLevelType w:val="singleLevel"/>
    <w:tmpl w:val="8CE6C05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3F306DD"/>
    <w:multiLevelType w:val="hybridMultilevel"/>
    <w:tmpl w:val="69205B44"/>
    <w:lvl w:ilvl="0" w:tplc="ECECD1AC">
      <w:start w:val="1"/>
      <w:numFmt w:val="decimal"/>
      <w:lvlText w:val="%1."/>
      <w:lvlJc w:val="left"/>
      <w:pPr>
        <w:ind w:left="720" w:hanging="360"/>
      </w:pPr>
      <w:rPr>
        <w:b w:val="0"/>
        <w:i w:val="0"/>
        <w:sz w:val="22"/>
        <w:szCs w:val="22"/>
      </w:rPr>
    </w:lvl>
    <w:lvl w:ilvl="1" w:tplc="0D524BA0">
      <w:start w:val="1"/>
      <w:numFmt w:val="lowerLetter"/>
      <w:lvlText w:val="%2."/>
      <w:lvlJc w:val="left"/>
      <w:pPr>
        <w:ind w:left="1440" w:hanging="360"/>
      </w:pPr>
      <w:rPr>
        <w:rFonts w:hint="default"/>
        <w:b w:val="0"/>
      </w:rPr>
    </w:lvl>
    <w:lvl w:ilvl="2" w:tplc="0C09001B">
      <w:start w:val="1"/>
      <w:numFmt w:val="lowerRoman"/>
      <w:lvlText w:val="%3."/>
      <w:lvlJc w:val="right"/>
      <w:pPr>
        <w:ind w:left="2160" w:hanging="180"/>
      </w:pPr>
    </w:lvl>
    <w:lvl w:ilvl="3" w:tplc="DE8C5C58">
      <w:start w:val="1"/>
      <w:numFmt w:val="upperLetter"/>
      <w:lvlText w:val="%4."/>
      <w:lvlJc w:val="left"/>
      <w:pPr>
        <w:ind w:left="2880" w:hanging="360"/>
      </w:pPr>
      <w:rPr>
        <w:rFont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4F374F6"/>
    <w:multiLevelType w:val="hybridMultilevel"/>
    <w:tmpl w:val="4B10393E"/>
    <w:lvl w:ilvl="0" w:tplc="CEB8248A">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751304D"/>
    <w:multiLevelType w:val="hybridMultilevel"/>
    <w:tmpl w:val="85C8E7E0"/>
    <w:lvl w:ilvl="0" w:tplc="0D524BA0">
      <w:start w:val="1"/>
      <w:numFmt w:val="lowerLetter"/>
      <w:lvlText w:val="%1."/>
      <w:lvlJc w:val="left"/>
      <w:pPr>
        <w:ind w:left="1440" w:hanging="360"/>
      </w:pPr>
      <w:rPr>
        <w:rFonts w:hint="default"/>
        <w:b w:val="0"/>
      </w:rPr>
    </w:lvl>
    <w:lvl w:ilvl="1" w:tplc="0C090019">
      <w:start w:val="1"/>
      <w:numFmt w:val="lowerLetter"/>
      <w:lvlText w:val="%2."/>
      <w:lvlJc w:val="left"/>
      <w:pPr>
        <w:ind w:left="1440" w:hanging="360"/>
      </w:p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7B4784C"/>
    <w:multiLevelType w:val="hybridMultilevel"/>
    <w:tmpl w:val="BBF8D16A"/>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14">
    <w:nsid w:val="1B943159"/>
    <w:multiLevelType w:val="hybridMultilevel"/>
    <w:tmpl w:val="D876E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F7E55AC"/>
    <w:multiLevelType w:val="multilevel"/>
    <w:tmpl w:val="F2B2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0F4732A"/>
    <w:multiLevelType w:val="hybridMultilevel"/>
    <w:tmpl w:val="E97CB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F103631"/>
    <w:multiLevelType w:val="hybridMultilevel"/>
    <w:tmpl w:val="7DFEDE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3F753EED"/>
    <w:multiLevelType w:val="hybridMultilevel"/>
    <w:tmpl w:val="93BAB60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436A7891"/>
    <w:multiLevelType w:val="hybridMultilevel"/>
    <w:tmpl w:val="C0C27DF6"/>
    <w:lvl w:ilvl="0" w:tplc="BEC875C0">
      <w:start w:val="1"/>
      <w:numFmt w:val="decimal"/>
      <w:pStyle w:val="FigureHeading"/>
      <w:lvlText w:val="Figure %1."/>
      <w:lvlJc w:val="left"/>
      <w:pPr>
        <w:ind w:left="720" w:hanging="360"/>
      </w:pPr>
      <w:rPr>
        <w:rFonts w:ascii="Arial Bold" w:hAnsi="Arial Bold" w:hint="default"/>
        <w:b/>
        <w:i w:val="0"/>
        <w:color w:val="008A00" w:themeColor="accent2"/>
        <w:sz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46E5015C"/>
    <w:multiLevelType w:val="hybridMultilevel"/>
    <w:tmpl w:val="A12EFCBA"/>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1">
    <w:nsid w:val="48C1524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4A6553D0"/>
    <w:multiLevelType w:val="hybridMultilevel"/>
    <w:tmpl w:val="17349E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917BB9"/>
    <w:multiLevelType w:val="multilevel"/>
    <w:tmpl w:val="C3DE98D4"/>
    <w:name w:val="NumberedLists2"/>
    <w:lvl w:ilvl="0">
      <w:start w:val="1"/>
      <w:numFmt w:val="none"/>
      <w:pStyle w:val="PwCNormal"/>
      <w:suff w:val="nothing"/>
      <w:lvlText w:val=""/>
      <w:lvlJc w:val="left"/>
      <w:pPr>
        <w:ind w:left="0" w:firstLine="0"/>
      </w:pPr>
      <w:rPr>
        <w:rFonts w:hint="default"/>
        <w:color w:val="auto"/>
      </w:rPr>
    </w:lvl>
    <w:lvl w:ilvl="1">
      <w:start w:val="1"/>
      <w:numFmt w:val="none"/>
      <w:pStyle w:val="Indent1"/>
      <w:suff w:val="nothing"/>
      <w:lvlText w:val=""/>
      <w:lvlJc w:val="left"/>
      <w:pPr>
        <w:ind w:left="284" w:firstLine="0"/>
      </w:pPr>
      <w:rPr>
        <w:rFonts w:hint="default"/>
      </w:rPr>
    </w:lvl>
    <w:lvl w:ilvl="2">
      <w:start w:val="1"/>
      <w:numFmt w:val="none"/>
      <w:pStyle w:val="Indent2"/>
      <w:suff w:val="nothing"/>
      <w:lvlText w:val=""/>
      <w:lvlJc w:val="left"/>
      <w:pPr>
        <w:ind w:left="568" w:firstLine="0"/>
      </w:pPr>
      <w:rPr>
        <w:rFonts w:hint="default"/>
      </w:rPr>
    </w:lvl>
    <w:lvl w:ilvl="3">
      <w:start w:val="1"/>
      <w:numFmt w:val="none"/>
      <w:pStyle w:val="Indent3"/>
      <w:suff w:val="nothing"/>
      <w:lvlText w:val=""/>
      <w:lvlJc w:val="left"/>
      <w:pPr>
        <w:ind w:left="852" w:firstLine="0"/>
      </w:pPr>
      <w:rPr>
        <w:rFonts w:hint="default"/>
      </w:rPr>
    </w:lvl>
    <w:lvl w:ilvl="4">
      <w:start w:val="1"/>
      <w:numFmt w:val="none"/>
      <w:pStyle w:val="Indent4"/>
      <w:suff w:val="nothing"/>
      <w:lvlText w:val=""/>
      <w:lvlJc w:val="left"/>
      <w:pPr>
        <w:ind w:left="1136" w:firstLine="0"/>
      </w:pPr>
      <w:rPr>
        <w:rFonts w:hint="default"/>
      </w:rPr>
    </w:lvl>
    <w:lvl w:ilvl="5">
      <w:start w:val="1"/>
      <w:numFmt w:val="none"/>
      <w:pStyle w:val="Indent5"/>
      <w:suff w:val="nothing"/>
      <w:lvlText w:val=""/>
      <w:lvlJc w:val="left"/>
      <w:pPr>
        <w:ind w:left="1420" w:firstLine="0"/>
      </w:pPr>
      <w:rPr>
        <w:rFonts w:hint="default"/>
      </w:rPr>
    </w:lvl>
    <w:lvl w:ilvl="6">
      <w:start w:val="1"/>
      <w:numFmt w:val="none"/>
      <w:pStyle w:val="Indent6"/>
      <w:suff w:val="nothing"/>
      <w:lvlText w:val=""/>
      <w:lvlJc w:val="left"/>
      <w:pPr>
        <w:ind w:left="1704" w:firstLine="0"/>
      </w:pPr>
      <w:rPr>
        <w:rFonts w:hint="default"/>
      </w:rPr>
    </w:lvl>
    <w:lvl w:ilvl="7">
      <w:start w:val="1"/>
      <w:numFmt w:val="none"/>
      <w:pStyle w:val="Indent7"/>
      <w:suff w:val="nothing"/>
      <w:lvlText w:val=""/>
      <w:lvlJc w:val="left"/>
      <w:pPr>
        <w:ind w:left="1988" w:firstLine="0"/>
      </w:pPr>
      <w:rPr>
        <w:rFonts w:hint="default"/>
      </w:rPr>
    </w:lvl>
    <w:lvl w:ilvl="8">
      <w:start w:val="1"/>
      <w:numFmt w:val="none"/>
      <w:pStyle w:val="Indent8"/>
      <w:suff w:val="nothing"/>
      <w:lvlText w:val=""/>
      <w:lvlJc w:val="left"/>
      <w:pPr>
        <w:ind w:left="2272" w:firstLine="0"/>
      </w:pPr>
      <w:rPr>
        <w:rFonts w:hint="default"/>
      </w:rPr>
    </w:lvl>
  </w:abstractNum>
  <w:abstractNum w:abstractNumId="24">
    <w:nsid w:val="67E5799C"/>
    <w:multiLevelType w:val="hybridMultilevel"/>
    <w:tmpl w:val="4C26D2F8"/>
    <w:lvl w:ilvl="0" w:tplc="0C09000F">
      <w:start w:val="1"/>
      <w:numFmt w:val="decimal"/>
      <w:lvlText w:val="%1."/>
      <w:lvlJc w:val="left"/>
      <w:pPr>
        <w:ind w:left="720" w:hanging="360"/>
      </w:pPr>
      <w:rPr>
        <w:rFonts w:hint="default"/>
        <w:b w:val="0"/>
      </w:rPr>
    </w:lvl>
    <w:lvl w:ilvl="1" w:tplc="0C090019">
      <w:start w:val="1"/>
      <w:numFmt w:val="lowerLetter"/>
      <w:lvlText w:val="%2."/>
      <w:lvlJc w:val="left"/>
      <w:pPr>
        <w:ind w:left="720" w:hanging="360"/>
      </w:pPr>
    </w:lvl>
    <w:lvl w:ilvl="2" w:tplc="0C090001">
      <w:start w:val="1"/>
      <w:numFmt w:val="bullet"/>
      <w:lvlText w:val=""/>
      <w:lvlJc w:val="left"/>
      <w:pPr>
        <w:ind w:left="1440" w:hanging="180"/>
      </w:pPr>
      <w:rPr>
        <w:rFonts w:ascii="Symbol" w:hAnsi="Symbol" w:hint="default"/>
      </w:r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abstractNum w:abstractNumId="25">
    <w:nsid w:val="689451E9"/>
    <w:multiLevelType w:val="hybridMultilevel"/>
    <w:tmpl w:val="1368F1B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6A354109"/>
    <w:multiLevelType w:val="hybridMultilevel"/>
    <w:tmpl w:val="4C7EFA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6D6C0E1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7A844E0"/>
    <w:multiLevelType w:val="hybridMultilevel"/>
    <w:tmpl w:val="36BAC890"/>
    <w:lvl w:ilvl="0" w:tplc="0C09000F">
      <w:start w:val="1"/>
      <w:numFmt w:val="decimal"/>
      <w:lvlText w:val="%1."/>
      <w:lvlJc w:val="left"/>
      <w:pPr>
        <w:ind w:left="720" w:hanging="360"/>
      </w:pPr>
      <w:rPr>
        <w:rFonts w:hint="default"/>
        <w:b w:val="0"/>
      </w:rPr>
    </w:lvl>
    <w:lvl w:ilvl="1" w:tplc="0C090019" w:tentative="1">
      <w:start w:val="1"/>
      <w:numFmt w:val="lowerLetter"/>
      <w:lvlText w:val="%2."/>
      <w:lvlJc w:val="left"/>
      <w:pPr>
        <w:ind w:left="720" w:hanging="360"/>
      </w:pPr>
    </w:lvl>
    <w:lvl w:ilvl="2" w:tplc="0C09001B" w:tentative="1">
      <w:start w:val="1"/>
      <w:numFmt w:val="lowerRoman"/>
      <w:lvlText w:val="%3."/>
      <w:lvlJc w:val="right"/>
      <w:pPr>
        <w:ind w:left="1440" w:hanging="180"/>
      </w:pPr>
    </w:lvl>
    <w:lvl w:ilvl="3" w:tplc="0C09000F" w:tentative="1">
      <w:start w:val="1"/>
      <w:numFmt w:val="decimal"/>
      <w:lvlText w:val="%4."/>
      <w:lvlJc w:val="left"/>
      <w:pPr>
        <w:ind w:left="2160" w:hanging="360"/>
      </w:pPr>
    </w:lvl>
    <w:lvl w:ilvl="4" w:tplc="0C090019" w:tentative="1">
      <w:start w:val="1"/>
      <w:numFmt w:val="lowerLetter"/>
      <w:lvlText w:val="%5."/>
      <w:lvlJc w:val="left"/>
      <w:pPr>
        <w:ind w:left="2880" w:hanging="360"/>
      </w:pPr>
    </w:lvl>
    <w:lvl w:ilvl="5" w:tplc="0C09001B" w:tentative="1">
      <w:start w:val="1"/>
      <w:numFmt w:val="lowerRoman"/>
      <w:lvlText w:val="%6."/>
      <w:lvlJc w:val="right"/>
      <w:pPr>
        <w:ind w:left="3600" w:hanging="180"/>
      </w:pPr>
    </w:lvl>
    <w:lvl w:ilvl="6" w:tplc="0C09000F" w:tentative="1">
      <w:start w:val="1"/>
      <w:numFmt w:val="decimal"/>
      <w:lvlText w:val="%7."/>
      <w:lvlJc w:val="left"/>
      <w:pPr>
        <w:ind w:left="4320" w:hanging="360"/>
      </w:pPr>
    </w:lvl>
    <w:lvl w:ilvl="7" w:tplc="0C090019" w:tentative="1">
      <w:start w:val="1"/>
      <w:numFmt w:val="lowerLetter"/>
      <w:lvlText w:val="%8."/>
      <w:lvlJc w:val="left"/>
      <w:pPr>
        <w:ind w:left="5040" w:hanging="360"/>
      </w:pPr>
    </w:lvl>
    <w:lvl w:ilvl="8" w:tplc="0C09001B" w:tentative="1">
      <w:start w:val="1"/>
      <w:numFmt w:val="lowerRoman"/>
      <w:lvlText w:val="%9."/>
      <w:lvlJc w:val="right"/>
      <w:pPr>
        <w:ind w:left="5760" w:hanging="180"/>
      </w:pPr>
    </w:lvl>
  </w:abstractNum>
  <w:num w:numId="1">
    <w:abstractNumId w:val="9"/>
  </w:num>
  <w:num w:numId="2">
    <w:abstractNumId w:val="1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27"/>
  </w:num>
  <w:num w:numId="14">
    <w:abstractNumId w:val="26"/>
  </w:num>
  <w:num w:numId="15">
    <w:abstractNumId w:val="17"/>
  </w:num>
  <w:num w:numId="16">
    <w:abstractNumId w:val="15"/>
  </w:num>
  <w:num w:numId="17">
    <w:abstractNumId w:val="11"/>
  </w:num>
  <w:num w:numId="18">
    <w:abstractNumId w:val="22"/>
  </w:num>
  <w:num w:numId="19">
    <w:abstractNumId w:val="13"/>
  </w:num>
  <w:num w:numId="20">
    <w:abstractNumId w:val="10"/>
  </w:num>
  <w:num w:numId="21">
    <w:abstractNumId w:val="20"/>
  </w:num>
  <w:num w:numId="22">
    <w:abstractNumId w:val="12"/>
  </w:num>
  <w:num w:numId="23">
    <w:abstractNumId w:val="16"/>
  </w:num>
  <w:num w:numId="24">
    <w:abstractNumId w:val="28"/>
  </w:num>
  <w:num w:numId="25">
    <w:abstractNumId w:val="24"/>
  </w:num>
  <w:num w:numId="26">
    <w:abstractNumId w:val="25"/>
  </w:num>
  <w:num w:numId="27">
    <w:abstractNumId w:val="14"/>
  </w:num>
  <w:num w:numId="28">
    <w:abstractNumId w:val="23"/>
  </w:num>
  <w:num w:numId="29">
    <w:abstractNumId w:val="18"/>
  </w:num>
  <w:num w:numId="30">
    <w:abstractNumId w:val="19"/>
  </w:num>
  <w:num w:numId="31">
    <w:abstractNumId w:val="19"/>
  </w:num>
  <w:num w:numId="32">
    <w:abstractNumId w:val="19"/>
  </w:num>
  <w:num w:numId="33">
    <w:abstractNumId w:val="19"/>
  </w:num>
  <w:num w:numId="34">
    <w:abstractNumId w:val="19"/>
  </w:num>
  <w:num w:numId="35">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37"/>
  <w:defaultTableStyle w:val="DefaultTable"/>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9BC"/>
    <w:rsid w:val="00005726"/>
    <w:rsid w:val="00005785"/>
    <w:rsid w:val="00006876"/>
    <w:rsid w:val="000079AD"/>
    <w:rsid w:val="00007D1F"/>
    <w:rsid w:val="00010D84"/>
    <w:rsid w:val="00010F15"/>
    <w:rsid w:val="00011CE3"/>
    <w:rsid w:val="00022103"/>
    <w:rsid w:val="00022E9C"/>
    <w:rsid w:val="00024EF0"/>
    <w:rsid w:val="00025631"/>
    <w:rsid w:val="00027B26"/>
    <w:rsid w:val="00030705"/>
    <w:rsid w:val="00032861"/>
    <w:rsid w:val="00032B77"/>
    <w:rsid w:val="00042285"/>
    <w:rsid w:val="00043256"/>
    <w:rsid w:val="00045A89"/>
    <w:rsid w:val="00046F8E"/>
    <w:rsid w:val="00047524"/>
    <w:rsid w:val="0005040E"/>
    <w:rsid w:val="0005087D"/>
    <w:rsid w:val="00050F9E"/>
    <w:rsid w:val="000547EF"/>
    <w:rsid w:val="00056004"/>
    <w:rsid w:val="0006075A"/>
    <w:rsid w:val="00061C84"/>
    <w:rsid w:val="00062484"/>
    <w:rsid w:val="00063129"/>
    <w:rsid w:val="00064EE9"/>
    <w:rsid w:val="00065022"/>
    <w:rsid w:val="00065A5E"/>
    <w:rsid w:val="00070681"/>
    <w:rsid w:val="00080A09"/>
    <w:rsid w:val="00081CEB"/>
    <w:rsid w:val="00083082"/>
    <w:rsid w:val="00085A0F"/>
    <w:rsid w:val="00087B2C"/>
    <w:rsid w:val="00087DBD"/>
    <w:rsid w:val="000902F7"/>
    <w:rsid w:val="00090718"/>
    <w:rsid w:val="00091B4E"/>
    <w:rsid w:val="00091CD7"/>
    <w:rsid w:val="00093DD5"/>
    <w:rsid w:val="000A03DD"/>
    <w:rsid w:val="000A1A09"/>
    <w:rsid w:val="000A3D87"/>
    <w:rsid w:val="000A47A8"/>
    <w:rsid w:val="000A73FB"/>
    <w:rsid w:val="000B218A"/>
    <w:rsid w:val="000B6AE8"/>
    <w:rsid w:val="000C014D"/>
    <w:rsid w:val="000C29B4"/>
    <w:rsid w:val="000C5CD8"/>
    <w:rsid w:val="000C7A69"/>
    <w:rsid w:val="000D1158"/>
    <w:rsid w:val="000D2B1F"/>
    <w:rsid w:val="000D4703"/>
    <w:rsid w:val="000E12D4"/>
    <w:rsid w:val="000E39EF"/>
    <w:rsid w:val="000E48BB"/>
    <w:rsid w:val="000E620E"/>
    <w:rsid w:val="000F2063"/>
    <w:rsid w:val="000F3D28"/>
    <w:rsid w:val="000F63C4"/>
    <w:rsid w:val="00100200"/>
    <w:rsid w:val="0010263D"/>
    <w:rsid w:val="00102824"/>
    <w:rsid w:val="0010300A"/>
    <w:rsid w:val="001131F0"/>
    <w:rsid w:val="001139C7"/>
    <w:rsid w:val="00114EBC"/>
    <w:rsid w:val="00121F09"/>
    <w:rsid w:val="0012427E"/>
    <w:rsid w:val="001247E0"/>
    <w:rsid w:val="00126750"/>
    <w:rsid w:val="001271A1"/>
    <w:rsid w:val="00131C0F"/>
    <w:rsid w:val="001325BF"/>
    <w:rsid w:val="00132F0D"/>
    <w:rsid w:val="00133713"/>
    <w:rsid w:val="00135B7E"/>
    <w:rsid w:val="00140A35"/>
    <w:rsid w:val="00140FC9"/>
    <w:rsid w:val="001413C5"/>
    <w:rsid w:val="0014231B"/>
    <w:rsid w:val="00142956"/>
    <w:rsid w:val="00142D10"/>
    <w:rsid w:val="00144868"/>
    <w:rsid w:val="001452BC"/>
    <w:rsid w:val="00150D2A"/>
    <w:rsid w:val="00150E25"/>
    <w:rsid w:val="00150EA9"/>
    <w:rsid w:val="00151650"/>
    <w:rsid w:val="00155B98"/>
    <w:rsid w:val="00157001"/>
    <w:rsid w:val="00157709"/>
    <w:rsid w:val="00160E91"/>
    <w:rsid w:val="00165626"/>
    <w:rsid w:val="00167CF4"/>
    <w:rsid w:val="0017147C"/>
    <w:rsid w:val="0017194E"/>
    <w:rsid w:val="0017249B"/>
    <w:rsid w:val="00177EC4"/>
    <w:rsid w:val="00181533"/>
    <w:rsid w:val="001824C8"/>
    <w:rsid w:val="00182698"/>
    <w:rsid w:val="001864FD"/>
    <w:rsid w:val="00191CE3"/>
    <w:rsid w:val="001943DD"/>
    <w:rsid w:val="00196BAC"/>
    <w:rsid w:val="001A13F6"/>
    <w:rsid w:val="001A2D6E"/>
    <w:rsid w:val="001A2D78"/>
    <w:rsid w:val="001A467B"/>
    <w:rsid w:val="001A7249"/>
    <w:rsid w:val="001B385A"/>
    <w:rsid w:val="001B3904"/>
    <w:rsid w:val="001B3AEC"/>
    <w:rsid w:val="001B3E8D"/>
    <w:rsid w:val="001B5259"/>
    <w:rsid w:val="001B60D4"/>
    <w:rsid w:val="001B6F28"/>
    <w:rsid w:val="001C2091"/>
    <w:rsid w:val="001C4F4F"/>
    <w:rsid w:val="001C6BA1"/>
    <w:rsid w:val="001D141C"/>
    <w:rsid w:val="001D2904"/>
    <w:rsid w:val="001D652D"/>
    <w:rsid w:val="001D693F"/>
    <w:rsid w:val="001D6F9E"/>
    <w:rsid w:val="001E38FB"/>
    <w:rsid w:val="001E52C2"/>
    <w:rsid w:val="001F0BE1"/>
    <w:rsid w:val="001F101A"/>
    <w:rsid w:val="001F24EF"/>
    <w:rsid w:val="001F56C7"/>
    <w:rsid w:val="00203039"/>
    <w:rsid w:val="00204B17"/>
    <w:rsid w:val="00204CB3"/>
    <w:rsid w:val="002069D2"/>
    <w:rsid w:val="00211DA2"/>
    <w:rsid w:val="00213693"/>
    <w:rsid w:val="00215CCB"/>
    <w:rsid w:val="00216CF5"/>
    <w:rsid w:val="0022037B"/>
    <w:rsid w:val="00222C8D"/>
    <w:rsid w:val="002256A8"/>
    <w:rsid w:val="00230E6B"/>
    <w:rsid w:val="00232B97"/>
    <w:rsid w:val="00232CEF"/>
    <w:rsid w:val="0023523A"/>
    <w:rsid w:val="0023757C"/>
    <w:rsid w:val="00237C47"/>
    <w:rsid w:val="002402E4"/>
    <w:rsid w:val="002421A0"/>
    <w:rsid w:val="00242B98"/>
    <w:rsid w:val="002445A1"/>
    <w:rsid w:val="00246FE6"/>
    <w:rsid w:val="002470E3"/>
    <w:rsid w:val="0024747E"/>
    <w:rsid w:val="0025207D"/>
    <w:rsid w:val="00254DE9"/>
    <w:rsid w:val="0025512F"/>
    <w:rsid w:val="00261098"/>
    <w:rsid w:val="002615D3"/>
    <w:rsid w:val="002672F1"/>
    <w:rsid w:val="00271414"/>
    <w:rsid w:val="00271922"/>
    <w:rsid w:val="00273412"/>
    <w:rsid w:val="0027373F"/>
    <w:rsid w:val="00274ACF"/>
    <w:rsid w:val="0028159B"/>
    <w:rsid w:val="00282671"/>
    <w:rsid w:val="00282861"/>
    <w:rsid w:val="002843E2"/>
    <w:rsid w:val="00287BAA"/>
    <w:rsid w:val="00293489"/>
    <w:rsid w:val="00296F5E"/>
    <w:rsid w:val="002A30F0"/>
    <w:rsid w:val="002A4C1B"/>
    <w:rsid w:val="002A6DF5"/>
    <w:rsid w:val="002B4B06"/>
    <w:rsid w:val="002B6406"/>
    <w:rsid w:val="002B6809"/>
    <w:rsid w:val="002C4231"/>
    <w:rsid w:val="002C7080"/>
    <w:rsid w:val="002D00B0"/>
    <w:rsid w:val="002D2364"/>
    <w:rsid w:val="002D2E16"/>
    <w:rsid w:val="002E4019"/>
    <w:rsid w:val="002E45F0"/>
    <w:rsid w:val="002E7778"/>
    <w:rsid w:val="0030300D"/>
    <w:rsid w:val="00304B3E"/>
    <w:rsid w:val="00304D97"/>
    <w:rsid w:val="0031180A"/>
    <w:rsid w:val="00313127"/>
    <w:rsid w:val="00313304"/>
    <w:rsid w:val="00313B57"/>
    <w:rsid w:val="003155F4"/>
    <w:rsid w:val="00320309"/>
    <w:rsid w:val="00321D1E"/>
    <w:rsid w:val="0032530E"/>
    <w:rsid w:val="00325A61"/>
    <w:rsid w:val="00326976"/>
    <w:rsid w:val="003311D7"/>
    <w:rsid w:val="00331B48"/>
    <w:rsid w:val="00332B8B"/>
    <w:rsid w:val="0033521E"/>
    <w:rsid w:val="00337CA2"/>
    <w:rsid w:val="003404A4"/>
    <w:rsid w:val="00347104"/>
    <w:rsid w:val="00350852"/>
    <w:rsid w:val="0035096E"/>
    <w:rsid w:val="0035219F"/>
    <w:rsid w:val="00355D01"/>
    <w:rsid w:val="00356C24"/>
    <w:rsid w:val="00360B81"/>
    <w:rsid w:val="00361A32"/>
    <w:rsid w:val="00366283"/>
    <w:rsid w:val="0036708F"/>
    <w:rsid w:val="0036777E"/>
    <w:rsid w:val="003701FA"/>
    <w:rsid w:val="00372A26"/>
    <w:rsid w:val="0037484C"/>
    <w:rsid w:val="003749CD"/>
    <w:rsid w:val="00374A6C"/>
    <w:rsid w:val="00382718"/>
    <w:rsid w:val="00382B3B"/>
    <w:rsid w:val="00385ED2"/>
    <w:rsid w:val="00391F86"/>
    <w:rsid w:val="003923FB"/>
    <w:rsid w:val="00393F00"/>
    <w:rsid w:val="003945C0"/>
    <w:rsid w:val="003A25A7"/>
    <w:rsid w:val="003B465D"/>
    <w:rsid w:val="003B535C"/>
    <w:rsid w:val="003C2120"/>
    <w:rsid w:val="003D030E"/>
    <w:rsid w:val="003D040D"/>
    <w:rsid w:val="003D1F49"/>
    <w:rsid w:val="003D2061"/>
    <w:rsid w:val="003D6416"/>
    <w:rsid w:val="003E1FE3"/>
    <w:rsid w:val="003E32A7"/>
    <w:rsid w:val="003F1A33"/>
    <w:rsid w:val="003F3072"/>
    <w:rsid w:val="004024E4"/>
    <w:rsid w:val="00406289"/>
    <w:rsid w:val="00406578"/>
    <w:rsid w:val="004074EF"/>
    <w:rsid w:val="004102C3"/>
    <w:rsid w:val="0041307C"/>
    <w:rsid w:val="00413699"/>
    <w:rsid w:val="004167B4"/>
    <w:rsid w:val="004167BC"/>
    <w:rsid w:val="0042032D"/>
    <w:rsid w:val="0042159D"/>
    <w:rsid w:val="004225DC"/>
    <w:rsid w:val="00423A41"/>
    <w:rsid w:val="00425FBA"/>
    <w:rsid w:val="00430D7E"/>
    <w:rsid w:val="00432332"/>
    <w:rsid w:val="00432368"/>
    <w:rsid w:val="00433B04"/>
    <w:rsid w:val="00434BF6"/>
    <w:rsid w:val="0043784D"/>
    <w:rsid w:val="00440256"/>
    <w:rsid w:val="00440E22"/>
    <w:rsid w:val="0044547D"/>
    <w:rsid w:val="00446F93"/>
    <w:rsid w:val="00451A74"/>
    <w:rsid w:val="004552AB"/>
    <w:rsid w:val="0045622C"/>
    <w:rsid w:val="00464FB1"/>
    <w:rsid w:val="00467185"/>
    <w:rsid w:val="00467736"/>
    <w:rsid w:val="0047050C"/>
    <w:rsid w:val="004750DB"/>
    <w:rsid w:val="0047601C"/>
    <w:rsid w:val="00480F21"/>
    <w:rsid w:val="0048108E"/>
    <w:rsid w:val="0048537F"/>
    <w:rsid w:val="0048685F"/>
    <w:rsid w:val="004874E5"/>
    <w:rsid w:val="00487885"/>
    <w:rsid w:val="00490A65"/>
    <w:rsid w:val="0049116C"/>
    <w:rsid w:val="004930C9"/>
    <w:rsid w:val="00493F62"/>
    <w:rsid w:val="00494832"/>
    <w:rsid w:val="004957C2"/>
    <w:rsid w:val="00495AF1"/>
    <w:rsid w:val="00497A89"/>
    <w:rsid w:val="004A4CED"/>
    <w:rsid w:val="004A6BE6"/>
    <w:rsid w:val="004B0828"/>
    <w:rsid w:val="004B3304"/>
    <w:rsid w:val="004B3DF1"/>
    <w:rsid w:val="004B4BC0"/>
    <w:rsid w:val="004B5555"/>
    <w:rsid w:val="004C0484"/>
    <w:rsid w:val="004C73E8"/>
    <w:rsid w:val="004C777E"/>
    <w:rsid w:val="004D16A4"/>
    <w:rsid w:val="004E6682"/>
    <w:rsid w:val="004E6D8A"/>
    <w:rsid w:val="004F15EF"/>
    <w:rsid w:val="004F22FE"/>
    <w:rsid w:val="004F774D"/>
    <w:rsid w:val="005013B0"/>
    <w:rsid w:val="005015E4"/>
    <w:rsid w:val="005017A6"/>
    <w:rsid w:val="0050291D"/>
    <w:rsid w:val="005064CD"/>
    <w:rsid w:val="00506C00"/>
    <w:rsid w:val="00511016"/>
    <w:rsid w:val="005159B3"/>
    <w:rsid w:val="00522C03"/>
    <w:rsid w:val="00525EA4"/>
    <w:rsid w:val="0052791F"/>
    <w:rsid w:val="00532CFF"/>
    <w:rsid w:val="00534DAC"/>
    <w:rsid w:val="00536880"/>
    <w:rsid w:val="00540AD0"/>
    <w:rsid w:val="00543A76"/>
    <w:rsid w:val="005523D1"/>
    <w:rsid w:val="0055532E"/>
    <w:rsid w:val="00555BC3"/>
    <w:rsid w:val="00557C8E"/>
    <w:rsid w:val="005603ED"/>
    <w:rsid w:val="00561B2B"/>
    <w:rsid w:val="0056357E"/>
    <w:rsid w:val="00564952"/>
    <w:rsid w:val="00571AB1"/>
    <w:rsid w:val="00575BEB"/>
    <w:rsid w:val="00577E1C"/>
    <w:rsid w:val="00580DB1"/>
    <w:rsid w:val="005814AC"/>
    <w:rsid w:val="00584676"/>
    <w:rsid w:val="005854B7"/>
    <w:rsid w:val="00587AB1"/>
    <w:rsid w:val="0059070B"/>
    <w:rsid w:val="0059283C"/>
    <w:rsid w:val="005A0D95"/>
    <w:rsid w:val="005A224B"/>
    <w:rsid w:val="005B012A"/>
    <w:rsid w:val="005B1010"/>
    <w:rsid w:val="005B1225"/>
    <w:rsid w:val="005B17D8"/>
    <w:rsid w:val="005B1D82"/>
    <w:rsid w:val="005B4077"/>
    <w:rsid w:val="005C28B0"/>
    <w:rsid w:val="005C2F01"/>
    <w:rsid w:val="005C5F3C"/>
    <w:rsid w:val="005D01BE"/>
    <w:rsid w:val="005D1177"/>
    <w:rsid w:val="005D1D13"/>
    <w:rsid w:val="005D5460"/>
    <w:rsid w:val="005E08CD"/>
    <w:rsid w:val="005E37E8"/>
    <w:rsid w:val="005E74C5"/>
    <w:rsid w:val="005F219D"/>
    <w:rsid w:val="005F2437"/>
    <w:rsid w:val="005F318A"/>
    <w:rsid w:val="005F7710"/>
    <w:rsid w:val="006004F7"/>
    <w:rsid w:val="00603261"/>
    <w:rsid w:val="00607597"/>
    <w:rsid w:val="00610F93"/>
    <w:rsid w:val="006127CC"/>
    <w:rsid w:val="006212CD"/>
    <w:rsid w:val="006243C6"/>
    <w:rsid w:val="0062739B"/>
    <w:rsid w:val="006273BC"/>
    <w:rsid w:val="00632009"/>
    <w:rsid w:val="00633CF1"/>
    <w:rsid w:val="00635A6C"/>
    <w:rsid w:val="00636337"/>
    <w:rsid w:val="00637091"/>
    <w:rsid w:val="00642839"/>
    <w:rsid w:val="0064379C"/>
    <w:rsid w:val="006457F8"/>
    <w:rsid w:val="00645A17"/>
    <w:rsid w:val="00645CCB"/>
    <w:rsid w:val="0064700E"/>
    <w:rsid w:val="006478CB"/>
    <w:rsid w:val="00650B88"/>
    <w:rsid w:val="00652C58"/>
    <w:rsid w:val="006530EF"/>
    <w:rsid w:val="006554DD"/>
    <w:rsid w:val="00660951"/>
    <w:rsid w:val="006636E2"/>
    <w:rsid w:val="00666273"/>
    <w:rsid w:val="00667FA9"/>
    <w:rsid w:val="0067233D"/>
    <w:rsid w:val="00672B2E"/>
    <w:rsid w:val="006745AE"/>
    <w:rsid w:val="00676870"/>
    <w:rsid w:val="00676AF3"/>
    <w:rsid w:val="00677895"/>
    <w:rsid w:val="00677BEF"/>
    <w:rsid w:val="006814A3"/>
    <w:rsid w:val="00682AFC"/>
    <w:rsid w:val="00683344"/>
    <w:rsid w:val="00684FC9"/>
    <w:rsid w:val="0069072B"/>
    <w:rsid w:val="0069174B"/>
    <w:rsid w:val="006923A9"/>
    <w:rsid w:val="00693340"/>
    <w:rsid w:val="0069711C"/>
    <w:rsid w:val="006A04C7"/>
    <w:rsid w:val="006B05E3"/>
    <w:rsid w:val="006B09BC"/>
    <w:rsid w:val="006B299A"/>
    <w:rsid w:val="006B6D5D"/>
    <w:rsid w:val="006B7B5A"/>
    <w:rsid w:val="006C0801"/>
    <w:rsid w:val="006C0C2C"/>
    <w:rsid w:val="006C1EAA"/>
    <w:rsid w:val="006C216F"/>
    <w:rsid w:val="006C45D4"/>
    <w:rsid w:val="006D2042"/>
    <w:rsid w:val="006D258D"/>
    <w:rsid w:val="006D66E3"/>
    <w:rsid w:val="006D7855"/>
    <w:rsid w:val="006D7DE6"/>
    <w:rsid w:val="006E010C"/>
    <w:rsid w:val="006E1003"/>
    <w:rsid w:val="006E16BF"/>
    <w:rsid w:val="006E18F0"/>
    <w:rsid w:val="006E38AF"/>
    <w:rsid w:val="006E4F93"/>
    <w:rsid w:val="00700135"/>
    <w:rsid w:val="00705180"/>
    <w:rsid w:val="00711605"/>
    <w:rsid w:val="00711DF6"/>
    <w:rsid w:val="00716FBC"/>
    <w:rsid w:val="00717090"/>
    <w:rsid w:val="00720739"/>
    <w:rsid w:val="0072253E"/>
    <w:rsid w:val="00723E1F"/>
    <w:rsid w:val="0072443D"/>
    <w:rsid w:val="007247E5"/>
    <w:rsid w:val="007248B7"/>
    <w:rsid w:val="007254CA"/>
    <w:rsid w:val="00730CF8"/>
    <w:rsid w:val="00731A90"/>
    <w:rsid w:val="00732608"/>
    <w:rsid w:val="00733251"/>
    <w:rsid w:val="00736DCA"/>
    <w:rsid w:val="00745C47"/>
    <w:rsid w:val="0075003D"/>
    <w:rsid w:val="00751D97"/>
    <w:rsid w:val="00752C55"/>
    <w:rsid w:val="007562D4"/>
    <w:rsid w:val="007573FA"/>
    <w:rsid w:val="00761DBF"/>
    <w:rsid w:val="00761FCF"/>
    <w:rsid w:val="00763093"/>
    <w:rsid w:val="00765503"/>
    <w:rsid w:val="00767B7E"/>
    <w:rsid w:val="00771D7D"/>
    <w:rsid w:val="007745B7"/>
    <w:rsid w:val="007750C8"/>
    <w:rsid w:val="00776538"/>
    <w:rsid w:val="007802BE"/>
    <w:rsid w:val="00780EEF"/>
    <w:rsid w:val="0078134C"/>
    <w:rsid w:val="00781C47"/>
    <w:rsid w:val="007837C7"/>
    <w:rsid w:val="00784B44"/>
    <w:rsid w:val="00785465"/>
    <w:rsid w:val="00787656"/>
    <w:rsid w:val="00791767"/>
    <w:rsid w:val="0079268A"/>
    <w:rsid w:val="00794859"/>
    <w:rsid w:val="00797C88"/>
    <w:rsid w:val="007A1013"/>
    <w:rsid w:val="007A4CA9"/>
    <w:rsid w:val="007A7D19"/>
    <w:rsid w:val="007A7EC2"/>
    <w:rsid w:val="007B042D"/>
    <w:rsid w:val="007B05BB"/>
    <w:rsid w:val="007B6E0A"/>
    <w:rsid w:val="007B764C"/>
    <w:rsid w:val="007C118A"/>
    <w:rsid w:val="007C636F"/>
    <w:rsid w:val="007D11D6"/>
    <w:rsid w:val="007D39EB"/>
    <w:rsid w:val="007E3442"/>
    <w:rsid w:val="007E74E1"/>
    <w:rsid w:val="007E77A8"/>
    <w:rsid w:val="007F491C"/>
    <w:rsid w:val="00803BF8"/>
    <w:rsid w:val="008061C9"/>
    <w:rsid w:val="008066D8"/>
    <w:rsid w:val="00811A18"/>
    <w:rsid w:val="00813711"/>
    <w:rsid w:val="00821E64"/>
    <w:rsid w:val="00823459"/>
    <w:rsid w:val="008263C2"/>
    <w:rsid w:val="008307DB"/>
    <w:rsid w:val="00833398"/>
    <w:rsid w:val="00835D9D"/>
    <w:rsid w:val="00835FC9"/>
    <w:rsid w:val="008368F8"/>
    <w:rsid w:val="008370E3"/>
    <w:rsid w:val="00837198"/>
    <w:rsid w:val="00841635"/>
    <w:rsid w:val="008418FA"/>
    <w:rsid w:val="00842959"/>
    <w:rsid w:val="00843390"/>
    <w:rsid w:val="0085235A"/>
    <w:rsid w:val="00854138"/>
    <w:rsid w:val="00854410"/>
    <w:rsid w:val="008544DF"/>
    <w:rsid w:val="00860AAD"/>
    <w:rsid w:val="00861AA6"/>
    <w:rsid w:val="008708F3"/>
    <w:rsid w:val="00871354"/>
    <w:rsid w:val="00873611"/>
    <w:rsid w:val="00873C8F"/>
    <w:rsid w:val="00874FB3"/>
    <w:rsid w:val="00880BE3"/>
    <w:rsid w:val="00881359"/>
    <w:rsid w:val="00882093"/>
    <w:rsid w:val="00882588"/>
    <w:rsid w:val="00884ADE"/>
    <w:rsid w:val="008856CF"/>
    <w:rsid w:val="00885864"/>
    <w:rsid w:val="00890A1D"/>
    <w:rsid w:val="0089383B"/>
    <w:rsid w:val="0089534B"/>
    <w:rsid w:val="0089599A"/>
    <w:rsid w:val="00895ED2"/>
    <w:rsid w:val="0089616F"/>
    <w:rsid w:val="008964F7"/>
    <w:rsid w:val="008A0232"/>
    <w:rsid w:val="008A433B"/>
    <w:rsid w:val="008B0470"/>
    <w:rsid w:val="008B06C5"/>
    <w:rsid w:val="008B164E"/>
    <w:rsid w:val="008B502A"/>
    <w:rsid w:val="008B57D8"/>
    <w:rsid w:val="008B7A65"/>
    <w:rsid w:val="008C1219"/>
    <w:rsid w:val="008C123E"/>
    <w:rsid w:val="008C137D"/>
    <w:rsid w:val="008C22DD"/>
    <w:rsid w:val="008C3ED0"/>
    <w:rsid w:val="008C5E94"/>
    <w:rsid w:val="008D196A"/>
    <w:rsid w:val="008D3AEA"/>
    <w:rsid w:val="008D60AA"/>
    <w:rsid w:val="008E3EF2"/>
    <w:rsid w:val="008E51C9"/>
    <w:rsid w:val="008E5BEB"/>
    <w:rsid w:val="008E6306"/>
    <w:rsid w:val="008F68F7"/>
    <w:rsid w:val="009005A6"/>
    <w:rsid w:val="009006CF"/>
    <w:rsid w:val="00900C71"/>
    <w:rsid w:val="00902A1C"/>
    <w:rsid w:val="009037B6"/>
    <w:rsid w:val="00906A0B"/>
    <w:rsid w:val="00906CBE"/>
    <w:rsid w:val="00910024"/>
    <w:rsid w:val="00910384"/>
    <w:rsid w:val="0091643D"/>
    <w:rsid w:val="00916E33"/>
    <w:rsid w:val="0092093B"/>
    <w:rsid w:val="00930669"/>
    <w:rsid w:val="00932C33"/>
    <w:rsid w:val="00934F80"/>
    <w:rsid w:val="00935410"/>
    <w:rsid w:val="009427A1"/>
    <w:rsid w:val="00942FFE"/>
    <w:rsid w:val="009551E0"/>
    <w:rsid w:val="0095654E"/>
    <w:rsid w:val="00956F3C"/>
    <w:rsid w:val="00971C34"/>
    <w:rsid w:val="00972488"/>
    <w:rsid w:val="009726D0"/>
    <w:rsid w:val="0097421D"/>
    <w:rsid w:val="00976117"/>
    <w:rsid w:val="00976A23"/>
    <w:rsid w:val="009800BC"/>
    <w:rsid w:val="009816F6"/>
    <w:rsid w:val="009900F0"/>
    <w:rsid w:val="00990B9B"/>
    <w:rsid w:val="00991769"/>
    <w:rsid w:val="00993236"/>
    <w:rsid w:val="00993D8C"/>
    <w:rsid w:val="00994E3D"/>
    <w:rsid w:val="009A297E"/>
    <w:rsid w:val="009A6127"/>
    <w:rsid w:val="009B0CC1"/>
    <w:rsid w:val="009B713C"/>
    <w:rsid w:val="009C0F18"/>
    <w:rsid w:val="009C12C6"/>
    <w:rsid w:val="009C2555"/>
    <w:rsid w:val="009C7778"/>
    <w:rsid w:val="009D06AE"/>
    <w:rsid w:val="009D09E2"/>
    <w:rsid w:val="009D1E42"/>
    <w:rsid w:val="009D7148"/>
    <w:rsid w:val="009E02FD"/>
    <w:rsid w:val="009E4C74"/>
    <w:rsid w:val="009E5B8B"/>
    <w:rsid w:val="009E62B6"/>
    <w:rsid w:val="009F35DA"/>
    <w:rsid w:val="009F43D0"/>
    <w:rsid w:val="00A00568"/>
    <w:rsid w:val="00A00884"/>
    <w:rsid w:val="00A02F62"/>
    <w:rsid w:val="00A02FA3"/>
    <w:rsid w:val="00A030C3"/>
    <w:rsid w:val="00A04729"/>
    <w:rsid w:val="00A04803"/>
    <w:rsid w:val="00A10147"/>
    <w:rsid w:val="00A11331"/>
    <w:rsid w:val="00A131E6"/>
    <w:rsid w:val="00A13843"/>
    <w:rsid w:val="00A146A5"/>
    <w:rsid w:val="00A17466"/>
    <w:rsid w:val="00A204B3"/>
    <w:rsid w:val="00A20576"/>
    <w:rsid w:val="00A21593"/>
    <w:rsid w:val="00A221F7"/>
    <w:rsid w:val="00A22C21"/>
    <w:rsid w:val="00A25A3D"/>
    <w:rsid w:val="00A2604E"/>
    <w:rsid w:val="00A31CCE"/>
    <w:rsid w:val="00A33C95"/>
    <w:rsid w:val="00A34FF3"/>
    <w:rsid w:val="00A35351"/>
    <w:rsid w:val="00A361C7"/>
    <w:rsid w:val="00A36723"/>
    <w:rsid w:val="00A46DF5"/>
    <w:rsid w:val="00A5149A"/>
    <w:rsid w:val="00A53650"/>
    <w:rsid w:val="00A53E51"/>
    <w:rsid w:val="00A57183"/>
    <w:rsid w:val="00A60693"/>
    <w:rsid w:val="00A6196D"/>
    <w:rsid w:val="00A619C0"/>
    <w:rsid w:val="00A61ADF"/>
    <w:rsid w:val="00A624CB"/>
    <w:rsid w:val="00A62AC0"/>
    <w:rsid w:val="00A72B93"/>
    <w:rsid w:val="00A76BD2"/>
    <w:rsid w:val="00A8267D"/>
    <w:rsid w:val="00A82E14"/>
    <w:rsid w:val="00A85487"/>
    <w:rsid w:val="00A856D7"/>
    <w:rsid w:val="00A8688E"/>
    <w:rsid w:val="00A8722B"/>
    <w:rsid w:val="00A901E9"/>
    <w:rsid w:val="00A917B6"/>
    <w:rsid w:val="00A91831"/>
    <w:rsid w:val="00A91B3B"/>
    <w:rsid w:val="00A93B4F"/>
    <w:rsid w:val="00A94C01"/>
    <w:rsid w:val="00A94F7A"/>
    <w:rsid w:val="00A95D3B"/>
    <w:rsid w:val="00A97341"/>
    <w:rsid w:val="00AA0081"/>
    <w:rsid w:val="00AA4E4D"/>
    <w:rsid w:val="00AB09ED"/>
    <w:rsid w:val="00AB3DC0"/>
    <w:rsid w:val="00AB4CBB"/>
    <w:rsid w:val="00AC125E"/>
    <w:rsid w:val="00AC45DF"/>
    <w:rsid w:val="00AC474D"/>
    <w:rsid w:val="00AC4DFD"/>
    <w:rsid w:val="00AC5663"/>
    <w:rsid w:val="00AC58FD"/>
    <w:rsid w:val="00AD0F6D"/>
    <w:rsid w:val="00AD1166"/>
    <w:rsid w:val="00AD19D2"/>
    <w:rsid w:val="00AD1A96"/>
    <w:rsid w:val="00AD3042"/>
    <w:rsid w:val="00AD418C"/>
    <w:rsid w:val="00AD793A"/>
    <w:rsid w:val="00AE0120"/>
    <w:rsid w:val="00AE3038"/>
    <w:rsid w:val="00AE3D4A"/>
    <w:rsid w:val="00AE5956"/>
    <w:rsid w:val="00AE619F"/>
    <w:rsid w:val="00AE7A88"/>
    <w:rsid w:val="00AE7FC8"/>
    <w:rsid w:val="00AF1214"/>
    <w:rsid w:val="00AF2A56"/>
    <w:rsid w:val="00AF63AB"/>
    <w:rsid w:val="00B00C7E"/>
    <w:rsid w:val="00B01784"/>
    <w:rsid w:val="00B0388B"/>
    <w:rsid w:val="00B03BEE"/>
    <w:rsid w:val="00B0517E"/>
    <w:rsid w:val="00B11314"/>
    <w:rsid w:val="00B113E3"/>
    <w:rsid w:val="00B1156A"/>
    <w:rsid w:val="00B138E3"/>
    <w:rsid w:val="00B13FB5"/>
    <w:rsid w:val="00B178FA"/>
    <w:rsid w:val="00B17D8E"/>
    <w:rsid w:val="00B207C3"/>
    <w:rsid w:val="00B23267"/>
    <w:rsid w:val="00B23906"/>
    <w:rsid w:val="00B24125"/>
    <w:rsid w:val="00B257BF"/>
    <w:rsid w:val="00B27149"/>
    <w:rsid w:val="00B35B4D"/>
    <w:rsid w:val="00B362F0"/>
    <w:rsid w:val="00B36652"/>
    <w:rsid w:val="00B425AB"/>
    <w:rsid w:val="00B47090"/>
    <w:rsid w:val="00B532D1"/>
    <w:rsid w:val="00B61E3E"/>
    <w:rsid w:val="00B67A79"/>
    <w:rsid w:val="00B72D62"/>
    <w:rsid w:val="00B767AF"/>
    <w:rsid w:val="00B80511"/>
    <w:rsid w:val="00B80798"/>
    <w:rsid w:val="00B80876"/>
    <w:rsid w:val="00B82C3C"/>
    <w:rsid w:val="00B82DE6"/>
    <w:rsid w:val="00B831CD"/>
    <w:rsid w:val="00B85329"/>
    <w:rsid w:val="00B87C94"/>
    <w:rsid w:val="00B91B9D"/>
    <w:rsid w:val="00B93FF5"/>
    <w:rsid w:val="00B96191"/>
    <w:rsid w:val="00BA19FF"/>
    <w:rsid w:val="00BA482B"/>
    <w:rsid w:val="00BA5E20"/>
    <w:rsid w:val="00BA607C"/>
    <w:rsid w:val="00BA6734"/>
    <w:rsid w:val="00BA78FE"/>
    <w:rsid w:val="00BB3E2A"/>
    <w:rsid w:val="00BB7121"/>
    <w:rsid w:val="00BC0479"/>
    <w:rsid w:val="00BC1651"/>
    <w:rsid w:val="00BC16F5"/>
    <w:rsid w:val="00BC18FF"/>
    <w:rsid w:val="00BC287D"/>
    <w:rsid w:val="00BC2A38"/>
    <w:rsid w:val="00BC46EB"/>
    <w:rsid w:val="00BC643B"/>
    <w:rsid w:val="00BD32E5"/>
    <w:rsid w:val="00BD36C4"/>
    <w:rsid w:val="00BE1095"/>
    <w:rsid w:val="00BE150A"/>
    <w:rsid w:val="00BE2F60"/>
    <w:rsid w:val="00BE6690"/>
    <w:rsid w:val="00BE6767"/>
    <w:rsid w:val="00BE78EC"/>
    <w:rsid w:val="00BF46EE"/>
    <w:rsid w:val="00C01631"/>
    <w:rsid w:val="00C0613C"/>
    <w:rsid w:val="00C10D05"/>
    <w:rsid w:val="00C14FBA"/>
    <w:rsid w:val="00C15EA1"/>
    <w:rsid w:val="00C17A8E"/>
    <w:rsid w:val="00C21E71"/>
    <w:rsid w:val="00C24F70"/>
    <w:rsid w:val="00C25DC2"/>
    <w:rsid w:val="00C303D7"/>
    <w:rsid w:val="00C33479"/>
    <w:rsid w:val="00C40ED2"/>
    <w:rsid w:val="00C41F10"/>
    <w:rsid w:val="00C432DD"/>
    <w:rsid w:val="00C4423A"/>
    <w:rsid w:val="00C501FE"/>
    <w:rsid w:val="00C5784B"/>
    <w:rsid w:val="00C639FF"/>
    <w:rsid w:val="00C6442A"/>
    <w:rsid w:val="00C64D15"/>
    <w:rsid w:val="00C66088"/>
    <w:rsid w:val="00C67C4C"/>
    <w:rsid w:val="00C74B5D"/>
    <w:rsid w:val="00C74F74"/>
    <w:rsid w:val="00C7554B"/>
    <w:rsid w:val="00C80951"/>
    <w:rsid w:val="00C8205E"/>
    <w:rsid w:val="00C82EB5"/>
    <w:rsid w:val="00C87966"/>
    <w:rsid w:val="00C902DE"/>
    <w:rsid w:val="00C916AE"/>
    <w:rsid w:val="00C93AAA"/>
    <w:rsid w:val="00C95FCD"/>
    <w:rsid w:val="00C97188"/>
    <w:rsid w:val="00CA0639"/>
    <w:rsid w:val="00CA11D0"/>
    <w:rsid w:val="00CA2E02"/>
    <w:rsid w:val="00CA583A"/>
    <w:rsid w:val="00CA5EC6"/>
    <w:rsid w:val="00CB3533"/>
    <w:rsid w:val="00CB5744"/>
    <w:rsid w:val="00CB7022"/>
    <w:rsid w:val="00CB7BC5"/>
    <w:rsid w:val="00CC16AA"/>
    <w:rsid w:val="00CC49A5"/>
    <w:rsid w:val="00CC586D"/>
    <w:rsid w:val="00CC7DBC"/>
    <w:rsid w:val="00CD1BA3"/>
    <w:rsid w:val="00CD1D23"/>
    <w:rsid w:val="00CD3612"/>
    <w:rsid w:val="00CD38B7"/>
    <w:rsid w:val="00CD3E69"/>
    <w:rsid w:val="00CD5619"/>
    <w:rsid w:val="00CD6B7D"/>
    <w:rsid w:val="00CD7D29"/>
    <w:rsid w:val="00CE0847"/>
    <w:rsid w:val="00CE0B6C"/>
    <w:rsid w:val="00CE11D0"/>
    <w:rsid w:val="00CE4708"/>
    <w:rsid w:val="00CE4C50"/>
    <w:rsid w:val="00CE6858"/>
    <w:rsid w:val="00CE7450"/>
    <w:rsid w:val="00CE770C"/>
    <w:rsid w:val="00CF38AD"/>
    <w:rsid w:val="00CF50BE"/>
    <w:rsid w:val="00CF7625"/>
    <w:rsid w:val="00D0506A"/>
    <w:rsid w:val="00D1289C"/>
    <w:rsid w:val="00D1666F"/>
    <w:rsid w:val="00D2071A"/>
    <w:rsid w:val="00D21CF2"/>
    <w:rsid w:val="00D30F73"/>
    <w:rsid w:val="00D30F97"/>
    <w:rsid w:val="00D313A0"/>
    <w:rsid w:val="00D36FE0"/>
    <w:rsid w:val="00D40799"/>
    <w:rsid w:val="00D41A06"/>
    <w:rsid w:val="00D42ABF"/>
    <w:rsid w:val="00D42F40"/>
    <w:rsid w:val="00D45B67"/>
    <w:rsid w:val="00D5034A"/>
    <w:rsid w:val="00D51F49"/>
    <w:rsid w:val="00D55EE8"/>
    <w:rsid w:val="00D562CB"/>
    <w:rsid w:val="00D569D1"/>
    <w:rsid w:val="00D56AD8"/>
    <w:rsid w:val="00D56C05"/>
    <w:rsid w:val="00D5785A"/>
    <w:rsid w:val="00D6375F"/>
    <w:rsid w:val="00D64BAF"/>
    <w:rsid w:val="00D64C48"/>
    <w:rsid w:val="00D6680B"/>
    <w:rsid w:val="00D72F4F"/>
    <w:rsid w:val="00D731C4"/>
    <w:rsid w:val="00D74EB4"/>
    <w:rsid w:val="00D801FC"/>
    <w:rsid w:val="00D81264"/>
    <w:rsid w:val="00D818F2"/>
    <w:rsid w:val="00D85BE0"/>
    <w:rsid w:val="00D87FD7"/>
    <w:rsid w:val="00D91466"/>
    <w:rsid w:val="00D915ED"/>
    <w:rsid w:val="00D92300"/>
    <w:rsid w:val="00D94AFC"/>
    <w:rsid w:val="00D950E6"/>
    <w:rsid w:val="00D97047"/>
    <w:rsid w:val="00DA3619"/>
    <w:rsid w:val="00DB0B88"/>
    <w:rsid w:val="00DB1652"/>
    <w:rsid w:val="00DB58A6"/>
    <w:rsid w:val="00DB6B99"/>
    <w:rsid w:val="00DC001A"/>
    <w:rsid w:val="00DD4F44"/>
    <w:rsid w:val="00DD686C"/>
    <w:rsid w:val="00DE2AC3"/>
    <w:rsid w:val="00DE2E40"/>
    <w:rsid w:val="00DE3598"/>
    <w:rsid w:val="00DE3FBD"/>
    <w:rsid w:val="00DE43F5"/>
    <w:rsid w:val="00DE6447"/>
    <w:rsid w:val="00DE65FB"/>
    <w:rsid w:val="00DF420A"/>
    <w:rsid w:val="00E02472"/>
    <w:rsid w:val="00E041F0"/>
    <w:rsid w:val="00E128D8"/>
    <w:rsid w:val="00E130C3"/>
    <w:rsid w:val="00E15D40"/>
    <w:rsid w:val="00E17234"/>
    <w:rsid w:val="00E17EDF"/>
    <w:rsid w:val="00E2082D"/>
    <w:rsid w:val="00E221E2"/>
    <w:rsid w:val="00E24303"/>
    <w:rsid w:val="00E24391"/>
    <w:rsid w:val="00E26382"/>
    <w:rsid w:val="00E27A16"/>
    <w:rsid w:val="00E40F7B"/>
    <w:rsid w:val="00E46D60"/>
    <w:rsid w:val="00E47C33"/>
    <w:rsid w:val="00E47F58"/>
    <w:rsid w:val="00E50542"/>
    <w:rsid w:val="00E50939"/>
    <w:rsid w:val="00E54BFC"/>
    <w:rsid w:val="00E56D9D"/>
    <w:rsid w:val="00E60C18"/>
    <w:rsid w:val="00E60E2E"/>
    <w:rsid w:val="00E71A2D"/>
    <w:rsid w:val="00E74A73"/>
    <w:rsid w:val="00E75616"/>
    <w:rsid w:val="00E823C1"/>
    <w:rsid w:val="00E82DB7"/>
    <w:rsid w:val="00E8579C"/>
    <w:rsid w:val="00E865FE"/>
    <w:rsid w:val="00E91408"/>
    <w:rsid w:val="00E91759"/>
    <w:rsid w:val="00E9654B"/>
    <w:rsid w:val="00EA18DB"/>
    <w:rsid w:val="00EA2FBA"/>
    <w:rsid w:val="00EA4DC5"/>
    <w:rsid w:val="00EA66DF"/>
    <w:rsid w:val="00EA6ADC"/>
    <w:rsid w:val="00EB13A7"/>
    <w:rsid w:val="00EB14DF"/>
    <w:rsid w:val="00EB1A4D"/>
    <w:rsid w:val="00EB3A07"/>
    <w:rsid w:val="00EB5539"/>
    <w:rsid w:val="00EC2C42"/>
    <w:rsid w:val="00EC3F31"/>
    <w:rsid w:val="00EC52E7"/>
    <w:rsid w:val="00ED081B"/>
    <w:rsid w:val="00ED0E55"/>
    <w:rsid w:val="00ED3698"/>
    <w:rsid w:val="00ED4794"/>
    <w:rsid w:val="00EE265C"/>
    <w:rsid w:val="00EE5C63"/>
    <w:rsid w:val="00F0095C"/>
    <w:rsid w:val="00F01129"/>
    <w:rsid w:val="00F01CCA"/>
    <w:rsid w:val="00F01F2C"/>
    <w:rsid w:val="00F02104"/>
    <w:rsid w:val="00F06C17"/>
    <w:rsid w:val="00F1632B"/>
    <w:rsid w:val="00F25E1F"/>
    <w:rsid w:val="00F334CB"/>
    <w:rsid w:val="00F3495A"/>
    <w:rsid w:val="00F34E2C"/>
    <w:rsid w:val="00F370BC"/>
    <w:rsid w:val="00F37143"/>
    <w:rsid w:val="00F50562"/>
    <w:rsid w:val="00F50A92"/>
    <w:rsid w:val="00F50D01"/>
    <w:rsid w:val="00F56BC1"/>
    <w:rsid w:val="00F618C4"/>
    <w:rsid w:val="00F65774"/>
    <w:rsid w:val="00F65A34"/>
    <w:rsid w:val="00F65F4C"/>
    <w:rsid w:val="00F71A60"/>
    <w:rsid w:val="00F725DA"/>
    <w:rsid w:val="00F7536E"/>
    <w:rsid w:val="00F75652"/>
    <w:rsid w:val="00F81025"/>
    <w:rsid w:val="00F8168B"/>
    <w:rsid w:val="00F81CF2"/>
    <w:rsid w:val="00F81F93"/>
    <w:rsid w:val="00F857D1"/>
    <w:rsid w:val="00F91DCC"/>
    <w:rsid w:val="00F9323F"/>
    <w:rsid w:val="00F943FE"/>
    <w:rsid w:val="00F95814"/>
    <w:rsid w:val="00F95CE9"/>
    <w:rsid w:val="00F97100"/>
    <w:rsid w:val="00F974F5"/>
    <w:rsid w:val="00FA01D9"/>
    <w:rsid w:val="00FA72F2"/>
    <w:rsid w:val="00FC1DFB"/>
    <w:rsid w:val="00FC1EF2"/>
    <w:rsid w:val="00FC3343"/>
    <w:rsid w:val="00FC33BA"/>
    <w:rsid w:val="00FC35AB"/>
    <w:rsid w:val="00FC6134"/>
    <w:rsid w:val="00FC654D"/>
    <w:rsid w:val="00FC6B47"/>
    <w:rsid w:val="00FD0555"/>
    <w:rsid w:val="00FD5961"/>
    <w:rsid w:val="00FE3EFA"/>
    <w:rsid w:val="00FE5C56"/>
    <w:rsid w:val="00FE5E20"/>
    <w:rsid w:val="00FE7AAC"/>
    <w:rsid w:val="00FE7B06"/>
    <w:rsid w:val="00FE7E98"/>
    <w:rsid w:val="00FF06BC"/>
    <w:rsid w:val="00FF20AC"/>
    <w:rsid w:val="00FF3801"/>
    <w:rsid w:val="00FF3A27"/>
    <w:rsid w:val="00FF3B27"/>
    <w:rsid w:val="00FF5C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uiPriority w:val="9"/>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75BEB"/>
    <w:pPr>
      <w:keepNext/>
      <w:tabs>
        <w:tab w:val="right" w:leader="dot" w:pos="9072"/>
      </w:tabs>
      <w:spacing w:before="240" w:after="60" w:line="240" w:lineRule="auto"/>
      <w:ind w:left="425" w:right="567" w:hanging="425"/>
    </w:pPr>
    <w:rPr>
      <w:noProof/>
    </w:rPr>
  </w:style>
  <w:style w:type="paragraph" w:styleId="TOC2">
    <w:name w:val="toc 2"/>
    <w:basedOn w:val="Normal"/>
    <w:next w:val="Normal"/>
    <w:autoRedefine/>
    <w:uiPriority w:val="39"/>
    <w:rsid w:val="00E17234"/>
    <w:pPr>
      <w:tabs>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89599A"/>
    <w:pPr>
      <w:tabs>
        <w:tab w:val="right" w:leader="dot" w:pos="9072"/>
      </w:tabs>
      <w:spacing w:before="60" w:after="60" w:line="240" w:lineRule="auto"/>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28"/>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28"/>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iPriority="2" w:unhideWhenUsed="0" w:qFormat="1"/>
    <w:lsdException w:name="heading 2" w:semiHidden="0" w:uiPriority="2" w:unhideWhenUsed="0" w:qFormat="1"/>
    <w:lsdException w:name="heading 3" w:semiHidden="0" w:uiPriority="2" w:unhideWhenUsed="0" w:qFormat="1"/>
    <w:lsdException w:name="heading 4" w:semiHidden="0" w:unhideWhenUsed="0"/>
    <w:lsdException w:name="heading 5" w:semiHidden="0" w:uiPriority="9"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3" w:qFormat="1"/>
    <w:lsdException w:name="List Number" w:semiHidden="0" w:uiPriority="3" w:unhideWhenUsed="0"/>
    <w:lsdException w:name="List 4" w:unhideWhenUsed="0"/>
    <w:lsdException w:name="List 5" w:unhideWhenUsed="0"/>
    <w:lsdException w:name="List Bullet 2" w:uiPriority="3"/>
    <w:lsdException w:name="List Bullet 3" w:uiPriority="3"/>
    <w:lsdException w:name="List Bullet 4" w:uiPriority="3"/>
    <w:lsdException w:name="List Bullet 5" w:uiPriority="3"/>
    <w:lsdException w:name="List Number 2" w:uiPriority="3"/>
    <w:lsdException w:name="List Number 3" w:uiPriority="3"/>
    <w:lsdException w:name="List Number 4" w:uiPriority="3"/>
    <w:lsdException w:name="List Number 5" w:uiPriority="3"/>
    <w:lsdException w:name="Title" w:semiHidden="0" w:unhideWhenUsed="0"/>
    <w:lsdException w:name="Body Text" w:qFormat="1"/>
    <w:lsdException w:name="Subtitle" w:semiHidden="0" w:unhideWhenUsed="0"/>
    <w:lsdException w:name="Salutation" w:unhideWhenUsed="0"/>
    <w:lsdException w:name="Date" w:unhideWhenUsed="0"/>
    <w:lsdException w:name="Body Text First Indent" w:unhideWhenUsed="0"/>
    <w:lsdException w:name="Hyperlink" w:uiPriority="99"/>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uiPriority w:val="1"/>
    <w:qFormat/>
    <w:rsid w:val="002A4C1B"/>
    <w:pPr>
      <w:spacing w:before="120" w:after="120" w:line="260" w:lineRule="atLeast"/>
    </w:pPr>
    <w:rPr>
      <w:rFonts w:ascii="Arial" w:hAnsi="Arial"/>
      <w:sz w:val="22"/>
      <w:szCs w:val="24"/>
    </w:rPr>
  </w:style>
  <w:style w:type="paragraph" w:styleId="Heading1">
    <w:name w:val="heading 1"/>
    <w:basedOn w:val="Normal"/>
    <w:next w:val="Normal"/>
    <w:uiPriority w:val="2"/>
    <w:qFormat/>
    <w:rsid w:val="00BC18FF"/>
    <w:pPr>
      <w:keepNext/>
      <w:keepLines/>
      <w:spacing w:before="0" w:after="1080" w:line="240" w:lineRule="auto"/>
      <w:contextualSpacing/>
      <w:outlineLvl w:val="0"/>
    </w:pPr>
    <w:rPr>
      <w:rFonts w:asciiTheme="majorHAnsi" w:hAnsiTheme="majorHAnsi"/>
      <w:b/>
      <w:sz w:val="64"/>
      <w:szCs w:val="44"/>
    </w:rPr>
  </w:style>
  <w:style w:type="paragraph" w:styleId="Heading2">
    <w:name w:val="heading 2"/>
    <w:basedOn w:val="Normal"/>
    <w:next w:val="Normal"/>
    <w:link w:val="Heading2Char"/>
    <w:uiPriority w:val="2"/>
    <w:qFormat/>
    <w:rsid w:val="00994E3D"/>
    <w:pPr>
      <w:keepNext/>
      <w:keepLines/>
      <w:spacing w:before="360"/>
      <w:contextualSpacing/>
      <w:outlineLvl w:val="1"/>
    </w:pPr>
    <w:rPr>
      <w:rFonts w:asciiTheme="majorHAnsi" w:hAnsiTheme="majorHAnsi"/>
      <w:b/>
      <w:sz w:val="28"/>
      <w:szCs w:val="44"/>
    </w:rPr>
  </w:style>
  <w:style w:type="paragraph" w:styleId="Heading3">
    <w:name w:val="heading 3"/>
    <w:basedOn w:val="Normal"/>
    <w:next w:val="Normal"/>
    <w:uiPriority w:val="2"/>
    <w:qFormat/>
    <w:rsid w:val="00350852"/>
    <w:pPr>
      <w:keepNext/>
      <w:keepLines/>
      <w:spacing w:before="240" w:line="240" w:lineRule="auto"/>
      <w:contextualSpacing/>
      <w:outlineLvl w:val="2"/>
    </w:pPr>
    <w:rPr>
      <w:rFonts w:asciiTheme="majorHAnsi" w:hAnsiTheme="majorHAnsi"/>
      <w:b/>
      <w:color w:val="004200" w:themeColor="accent1"/>
      <w:sz w:val="24"/>
      <w:szCs w:val="28"/>
    </w:rPr>
  </w:style>
  <w:style w:type="paragraph" w:styleId="Heading4">
    <w:name w:val="heading 4"/>
    <w:basedOn w:val="Normal"/>
    <w:next w:val="Normal"/>
    <w:uiPriority w:val="2"/>
    <w:rsid w:val="00EB13A7"/>
    <w:pPr>
      <w:keepNext/>
      <w:keepLines/>
      <w:spacing w:before="240"/>
      <w:contextualSpacing/>
      <w:outlineLvl w:val="3"/>
    </w:pPr>
    <w:rPr>
      <w:color w:val="636466" w:themeColor="accent4"/>
    </w:rPr>
  </w:style>
  <w:style w:type="paragraph" w:styleId="Heading5">
    <w:name w:val="heading 5"/>
    <w:basedOn w:val="Normal"/>
    <w:next w:val="Normal"/>
    <w:link w:val="Heading5Char"/>
    <w:uiPriority w:val="9"/>
    <w:qFormat/>
    <w:rsid w:val="002672F1"/>
    <w:pPr>
      <w:keepNext/>
      <w:spacing w:before="240"/>
      <w:contextualSpacing/>
      <w:outlineLvl w:val="4"/>
    </w:pPr>
    <w:rPr>
      <w:b/>
      <w:szCs w:val="22"/>
    </w:rPr>
  </w:style>
  <w:style w:type="paragraph" w:styleId="Heading6">
    <w:name w:val="heading 6"/>
    <w:basedOn w:val="Normal"/>
    <w:next w:val="Normal"/>
    <w:link w:val="Heading6Char"/>
    <w:semiHidden/>
    <w:rsid w:val="002672F1"/>
    <w:pPr>
      <w:keepNext/>
      <w:spacing w:before="240"/>
      <w:contextualSpacing/>
      <w:outlineLvl w:val="5"/>
    </w:pPr>
    <w:rPr>
      <w:b/>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rsid w:val="005F219D"/>
    <w:pPr>
      <w:tabs>
        <w:tab w:val="right" w:pos="10319"/>
      </w:tabs>
      <w:spacing w:before="0" w:after="0" w:line="240" w:lineRule="auto"/>
    </w:pPr>
    <w:rPr>
      <w:b/>
      <w:sz w:val="16"/>
    </w:rPr>
  </w:style>
  <w:style w:type="paragraph" w:styleId="Title">
    <w:name w:val="Title"/>
    <w:basedOn w:val="Normal"/>
    <w:next w:val="Subtitle"/>
    <w:rsid w:val="001D6F9E"/>
    <w:pPr>
      <w:spacing w:before="480" w:after="360" w:line="204" w:lineRule="auto"/>
      <w:contextualSpacing/>
      <w:outlineLvl w:val="0"/>
    </w:pPr>
    <w:rPr>
      <w:rFonts w:ascii="Arial Bold" w:hAnsi="Arial Bold" w:cs="Arial"/>
      <w:b/>
      <w:bCs/>
      <w:color w:val="FFFFFF" w:themeColor="background1"/>
      <w:kern w:val="28"/>
      <w:sz w:val="84"/>
      <w:szCs w:val="32"/>
    </w:rPr>
  </w:style>
  <w:style w:type="paragraph" w:styleId="ListBullet">
    <w:name w:val="List Bullet"/>
    <w:basedOn w:val="Normal"/>
    <w:uiPriority w:val="3"/>
    <w:qFormat/>
    <w:rsid w:val="00D91466"/>
    <w:pPr>
      <w:numPr>
        <w:numId w:val="1"/>
      </w:numPr>
      <w:spacing w:before="60" w:after="60"/>
    </w:pPr>
  </w:style>
  <w:style w:type="paragraph" w:styleId="Footer">
    <w:name w:val="footer"/>
    <w:basedOn w:val="Header"/>
    <w:uiPriority w:val="99"/>
    <w:rsid w:val="00733251"/>
    <w:pPr>
      <w:tabs>
        <w:tab w:val="right" w:pos="9639"/>
      </w:tabs>
    </w:pPr>
  </w:style>
  <w:style w:type="character" w:styleId="Hyperlink">
    <w:name w:val="Hyperlink"/>
    <w:basedOn w:val="DefaultParagraphFont"/>
    <w:uiPriority w:val="99"/>
    <w:rsid w:val="002A4C1B"/>
    <w:rPr>
      <w:color w:val="0000FF"/>
      <w:u w:val="single"/>
    </w:rPr>
  </w:style>
  <w:style w:type="character" w:customStyle="1" w:styleId="Heading5Char">
    <w:name w:val="Heading 5 Char"/>
    <w:basedOn w:val="DefaultParagraphFont"/>
    <w:link w:val="Heading5"/>
    <w:uiPriority w:val="9"/>
    <w:rsid w:val="001D2904"/>
    <w:rPr>
      <w:rFonts w:ascii="Arial" w:hAnsi="Arial"/>
      <w:b/>
      <w:sz w:val="22"/>
      <w:szCs w:val="22"/>
    </w:rPr>
  </w:style>
  <w:style w:type="table" w:styleId="TableGrid">
    <w:name w:val="Table Grid"/>
    <w:basedOn w:val="TableNormal"/>
    <w:uiPriority w:val="59"/>
    <w:rsid w:val="0014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797C88"/>
    <w:pPr>
      <w:spacing w:before="0" w:after="0" w:line="240" w:lineRule="auto"/>
      <w:ind w:left="142" w:hanging="142"/>
    </w:pPr>
    <w:rPr>
      <w:szCs w:val="20"/>
    </w:rPr>
  </w:style>
  <w:style w:type="character" w:customStyle="1" w:styleId="FootnoteTextChar">
    <w:name w:val="Footnote Text Char"/>
    <w:basedOn w:val="DefaultParagraphFont"/>
    <w:link w:val="FootnoteText"/>
    <w:uiPriority w:val="99"/>
    <w:rsid w:val="00797C88"/>
    <w:rPr>
      <w:rFonts w:ascii="Arial" w:hAnsi="Arial"/>
      <w:sz w:val="22"/>
    </w:rPr>
  </w:style>
  <w:style w:type="character" w:styleId="FootnoteReference">
    <w:name w:val="footnote reference"/>
    <w:basedOn w:val="DefaultParagraphFont"/>
    <w:uiPriority w:val="99"/>
    <w:rsid w:val="00843390"/>
    <w:rPr>
      <w:vertAlign w:val="superscript"/>
    </w:rPr>
  </w:style>
  <w:style w:type="paragraph" w:styleId="ListParagraph">
    <w:name w:val="List Paragraph"/>
    <w:aliases w:val="List Paragraph1,Recommendation"/>
    <w:basedOn w:val="Normal"/>
    <w:link w:val="ListParagraphChar"/>
    <w:uiPriority w:val="34"/>
    <w:qFormat/>
    <w:rsid w:val="00010D84"/>
    <w:pPr>
      <w:ind w:left="720"/>
    </w:pPr>
  </w:style>
  <w:style w:type="character" w:customStyle="1" w:styleId="Heading2Char">
    <w:name w:val="Heading 2 Char"/>
    <w:basedOn w:val="DefaultParagraphFont"/>
    <w:link w:val="Heading2"/>
    <w:uiPriority w:val="2"/>
    <w:rsid w:val="00994E3D"/>
    <w:rPr>
      <w:rFonts w:asciiTheme="majorHAnsi" w:hAnsiTheme="majorHAnsi"/>
      <w:b/>
      <w:sz w:val="28"/>
      <w:szCs w:val="44"/>
    </w:rPr>
  </w:style>
  <w:style w:type="paragraph" w:styleId="TOC1">
    <w:name w:val="toc 1"/>
    <w:basedOn w:val="Normal"/>
    <w:next w:val="Normal"/>
    <w:autoRedefine/>
    <w:uiPriority w:val="39"/>
    <w:rsid w:val="00575BEB"/>
    <w:pPr>
      <w:keepNext/>
      <w:tabs>
        <w:tab w:val="right" w:leader="dot" w:pos="9072"/>
      </w:tabs>
      <w:spacing w:before="240" w:after="60" w:line="240" w:lineRule="auto"/>
      <w:ind w:left="425" w:right="567" w:hanging="425"/>
    </w:pPr>
    <w:rPr>
      <w:noProof/>
    </w:rPr>
  </w:style>
  <w:style w:type="paragraph" w:styleId="TOC2">
    <w:name w:val="toc 2"/>
    <w:basedOn w:val="Normal"/>
    <w:next w:val="Normal"/>
    <w:autoRedefine/>
    <w:uiPriority w:val="39"/>
    <w:rsid w:val="00E17234"/>
    <w:pPr>
      <w:tabs>
        <w:tab w:val="right" w:leader="dot" w:pos="9072"/>
      </w:tabs>
      <w:spacing w:before="60" w:after="60" w:line="240" w:lineRule="auto"/>
      <w:ind w:right="567"/>
    </w:pPr>
    <w:rPr>
      <w:noProof/>
    </w:rPr>
  </w:style>
  <w:style w:type="paragraph" w:customStyle="1" w:styleId="TableText">
    <w:name w:val="Table Text"/>
    <w:basedOn w:val="Normal"/>
    <w:uiPriority w:val="99"/>
    <w:qFormat/>
    <w:rsid w:val="009005A6"/>
    <w:pPr>
      <w:spacing w:before="80" w:after="80" w:line="240" w:lineRule="atLeast"/>
    </w:pPr>
    <w:rPr>
      <w:sz w:val="20"/>
    </w:rPr>
  </w:style>
  <w:style w:type="character" w:styleId="Emphasis">
    <w:name w:val="Emphasis"/>
    <w:basedOn w:val="DefaultParagraphFont"/>
    <w:qFormat/>
    <w:rsid w:val="00D92300"/>
    <w:rPr>
      <w:i/>
      <w:iCs/>
    </w:rPr>
  </w:style>
  <w:style w:type="character" w:customStyle="1" w:styleId="Heading6Char">
    <w:name w:val="Heading 6 Char"/>
    <w:basedOn w:val="DefaultParagraphFont"/>
    <w:link w:val="Heading6"/>
    <w:semiHidden/>
    <w:rsid w:val="001D2904"/>
    <w:rPr>
      <w:rFonts w:ascii="Arial" w:hAnsi="Arial"/>
      <w:b/>
      <w:szCs w:val="22"/>
    </w:rPr>
  </w:style>
  <w:style w:type="table" w:customStyle="1" w:styleId="DefaultTable">
    <w:name w:val="Default Table"/>
    <w:basedOn w:val="TableNormal"/>
    <w:uiPriority w:val="99"/>
    <w:rsid w:val="00733251"/>
    <w:tblPr>
      <w:tblStyleRowBandSize w:val="1"/>
      <w:tblInd w:w="85" w:type="dxa"/>
      <w:tblBorders>
        <w:bottom w:val="single" w:sz="4" w:space="0" w:color="auto"/>
        <w:insideV w:val="single" w:sz="4" w:space="0" w:color="auto"/>
      </w:tblBorders>
      <w:tblCellMar>
        <w:left w:w="85" w:type="dxa"/>
        <w:right w:w="85" w:type="dxa"/>
      </w:tblCellMar>
    </w:tblPr>
    <w:trPr>
      <w:cantSplit/>
    </w:trPr>
    <w:tblStylePr w:type="firstRow">
      <w:pPr>
        <w:jc w:val="left"/>
      </w:pPr>
      <w:rPr>
        <w:b/>
        <w:color w:val="008A00" w:themeColor="accent2"/>
      </w:rPr>
      <w:tblPr/>
      <w:trPr>
        <w:tblHeader/>
      </w:trPr>
      <w:tcPr>
        <w:vAlign w:val="bottom"/>
      </w:tcPr>
    </w:tblStylePr>
    <w:tblStylePr w:type="firstCol">
      <w:rPr>
        <w:b/>
      </w:rPr>
      <w:tblPr/>
      <w:tcPr>
        <w:tcBorders>
          <w:top w:val="nil"/>
          <w:left w:val="nil"/>
          <w:bottom w:val="single" w:sz="4" w:space="0" w:color="auto"/>
          <w:right w:val="nil"/>
          <w:insideH w:val="nil"/>
          <w:insideV w:val="nil"/>
          <w:tl2br w:val="nil"/>
          <w:tr2bl w:val="nil"/>
        </w:tcBorders>
      </w:tcPr>
    </w:tblStylePr>
    <w:tblStylePr w:type="band1Horz">
      <w:tblPr/>
      <w:tcPr>
        <w:shd w:val="clear" w:color="auto" w:fill="E6E7E9"/>
      </w:tcPr>
    </w:tblStylePr>
  </w:style>
  <w:style w:type="paragraph" w:styleId="TOCHeading">
    <w:name w:val="TOC Heading"/>
    <w:basedOn w:val="Heading1"/>
    <w:next w:val="Normal"/>
    <w:uiPriority w:val="39"/>
    <w:rsid w:val="002256A8"/>
    <w:pPr>
      <w:outlineLvl w:val="9"/>
    </w:pPr>
    <w:rPr>
      <w:rFonts w:eastAsiaTheme="majorEastAsia" w:cstheme="majorBidi"/>
      <w:bCs/>
      <w:szCs w:val="28"/>
    </w:rPr>
  </w:style>
  <w:style w:type="paragraph" w:customStyle="1" w:styleId="SourceNotesText">
    <w:name w:val="Source/Notes Text"/>
    <w:basedOn w:val="Normal"/>
    <w:uiPriority w:val="9"/>
    <w:qFormat/>
    <w:rsid w:val="007802BE"/>
    <w:pPr>
      <w:spacing w:line="240" w:lineRule="auto"/>
    </w:pPr>
    <w:rPr>
      <w:sz w:val="18"/>
      <w:szCs w:val="16"/>
    </w:rPr>
  </w:style>
  <w:style w:type="character" w:styleId="Strong">
    <w:name w:val="Strong"/>
    <w:basedOn w:val="DefaultParagraphFont"/>
    <w:uiPriority w:val="22"/>
    <w:qFormat/>
    <w:rsid w:val="00D45B67"/>
    <w:rPr>
      <w:b/>
      <w:bCs/>
    </w:rPr>
  </w:style>
  <w:style w:type="paragraph" w:customStyle="1" w:styleId="Intro">
    <w:name w:val="Intro"/>
    <w:basedOn w:val="Normal"/>
    <w:uiPriority w:val="2"/>
    <w:qFormat/>
    <w:rsid w:val="00571AB1"/>
    <w:rPr>
      <w:color w:val="008A00"/>
      <w:szCs w:val="30"/>
    </w:rPr>
  </w:style>
  <w:style w:type="paragraph" w:styleId="BalloonText">
    <w:name w:val="Balloon Text"/>
    <w:basedOn w:val="Normal"/>
    <w:link w:val="BalloonTextChar"/>
    <w:semiHidden/>
    <w:rsid w:val="001B5259"/>
    <w:rPr>
      <w:rFonts w:ascii="Tahoma" w:hAnsi="Tahoma" w:cs="Tahoma"/>
      <w:sz w:val="16"/>
      <w:szCs w:val="16"/>
    </w:rPr>
  </w:style>
  <w:style w:type="character" w:customStyle="1" w:styleId="BalloonTextChar">
    <w:name w:val="Balloon Text Char"/>
    <w:basedOn w:val="DefaultParagraphFont"/>
    <w:link w:val="BalloonText"/>
    <w:semiHidden/>
    <w:rsid w:val="001D2904"/>
    <w:rPr>
      <w:rFonts w:ascii="Tahoma" w:hAnsi="Tahoma" w:cs="Tahoma"/>
      <w:sz w:val="16"/>
      <w:szCs w:val="16"/>
    </w:rPr>
  </w:style>
  <w:style w:type="paragraph" w:styleId="NoSpacing">
    <w:name w:val="No Spacing"/>
    <w:uiPriority w:val="1"/>
    <w:qFormat/>
    <w:rsid w:val="00406578"/>
    <w:rPr>
      <w:rFonts w:ascii="Arial" w:hAnsi="Arial"/>
      <w:sz w:val="22"/>
      <w:szCs w:val="24"/>
    </w:rPr>
  </w:style>
  <w:style w:type="paragraph" w:styleId="EndnoteText">
    <w:name w:val="endnote text"/>
    <w:basedOn w:val="Normal"/>
    <w:link w:val="EndnoteTextChar"/>
    <w:semiHidden/>
    <w:rsid w:val="00EE265C"/>
    <w:rPr>
      <w:sz w:val="20"/>
      <w:szCs w:val="20"/>
    </w:rPr>
  </w:style>
  <w:style w:type="character" w:customStyle="1" w:styleId="EndnoteTextChar">
    <w:name w:val="Endnote Text Char"/>
    <w:basedOn w:val="DefaultParagraphFont"/>
    <w:link w:val="EndnoteText"/>
    <w:semiHidden/>
    <w:rsid w:val="001D2904"/>
    <w:rPr>
      <w:rFonts w:ascii="Arial" w:hAnsi="Arial"/>
    </w:rPr>
  </w:style>
  <w:style w:type="character" w:styleId="EndnoteReference">
    <w:name w:val="endnote reference"/>
    <w:basedOn w:val="DefaultParagraphFont"/>
    <w:semiHidden/>
    <w:rsid w:val="00EE265C"/>
    <w:rPr>
      <w:vertAlign w:val="superscript"/>
    </w:rPr>
  </w:style>
  <w:style w:type="character" w:styleId="FollowedHyperlink">
    <w:name w:val="FollowedHyperlink"/>
    <w:basedOn w:val="DefaultParagraphFont"/>
    <w:semiHidden/>
    <w:rsid w:val="000E39EF"/>
    <w:rPr>
      <w:color w:val="000000" w:themeColor="followedHyperlink"/>
      <w:u w:val="single"/>
    </w:rPr>
  </w:style>
  <w:style w:type="paragraph" w:styleId="Subtitle">
    <w:name w:val="Subtitle"/>
    <w:basedOn w:val="Normal"/>
    <w:next w:val="Versionanddate"/>
    <w:link w:val="SubtitleChar"/>
    <w:rsid w:val="00E15D40"/>
    <w:pPr>
      <w:numPr>
        <w:ilvl w:val="1"/>
      </w:numPr>
      <w:spacing w:before="480" w:after="360"/>
    </w:pPr>
    <w:rPr>
      <w:rFonts w:asciiTheme="majorHAnsi" w:eastAsiaTheme="majorEastAsia" w:hAnsiTheme="majorHAnsi" w:cstheme="majorBidi"/>
      <w:b/>
      <w:iCs/>
      <w:color w:val="FFFFFF" w:themeColor="background1"/>
      <w:sz w:val="40"/>
    </w:rPr>
  </w:style>
  <w:style w:type="character" w:customStyle="1" w:styleId="SubtitleChar">
    <w:name w:val="Subtitle Char"/>
    <w:basedOn w:val="DefaultParagraphFont"/>
    <w:link w:val="Subtitle"/>
    <w:rsid w:val="00E15D40"/>
    <w:rPr>
      <w:rFonts w:asciiTheme="majorHAnsi" w:eastAsiaTheme="majorEastAsia" w:hAnsiTheme="majorHAnsi" w:cstheme="majorBidi"/>
      <w:b/>
      <w:iCs/>
      <w:color w:val="FFFFFF" w:themeColor="background1"/>
      <w:sz w:val="40"/>
      <w:szCs w:val="24"/>
    </w:rPr>
  </w:style>
  <w:style w:type="paragraph" w:customStyle="1" w:styleId="TableHeading">
    <w:name w:val="Table Heading"/>
    <w:basedOn w:val="Normal"/>
    <w:next w:val="TableText"/>
    <w:uiPriority w:val="99"/>
    <w:rsid w:val="00835FC9"/>
    <w:pPr>
      <w:keepNext/>
      <w:keepLines/>
      <w:spacing w:before="360"/>
      <w:contextualSpacing/>
    </w:pPr>
    <w:rPr>
      <w:b/>
      <w:szCs w:val="20"/>
    </w:rPr>
  </w:style>
  <w:style w:type="paragraph" w:customStyle="1" w:styleId="FigureHeading">
    <w:name w:val="Figure Heading"/>
    <w:basedOn w:val="Normal"/>
    <w:next w:val="Normal"/>
    <w:uiPriority w:val="99"/>
    <w:qFormat/>
    <w:rsid w:val="00E74A73"/>
    <w:pPr>
      <w:keepNext/>
      <w:keepLines/>
      <w:numPr>
        <w:numId w:val="2"/>
      </w:numPr>
      <w:tabs>
        <w:tab w:val="left" w:pos="907"/>
      </w:tabs>
      <w:contextualSpacing/>
    </w:pPr>
  </w:style>
  <w:style w:type="paragraph" w:customStyle="1" w:styleId="FinancialsH1">
    <w:name w:val="Financials H1"/>
    <w:basedOn w:val="Heading1"/>
    <w:next w:val="Normal"/>
    <w:uiPriority w:val="1"/>
    <w:semiHidden/>
    <w:rsid w:val="00010D84"/>
    <w:pPr>
      <w:spacing w:after="360"/>
    </w:pPr>
    <w:rPr>
      <w:color w:val="008A00" w:themeColor="accent2"/>
      <w:sz w:val="44"/>
    </w:rPr>
  </w:style>
  <w:style w:type="paragraph" w:customStyle="1" w:styleId="FinancialsH2">
    <w:name w:val="Financials H2"/>
    <w:basedOn w:val="Heading2"/>
    <w:next w:val="Normal"/>
    <w:uiPriority w:val="1"/>
    <w:semiHidden/>
    <w:rsid w:val="00FC654D"/>
    <w:pPr>
      <w:spacing w:after="0" w:line="240" w:lineRule="auto"/>
    </w:pPr>
    <w:rPr>
      <w:rFonts w:ascii="Arial Bold" w:hAnsi="Arial Bold"/>
      <w:caps/>
      <w:sz w:val="24"/>
      <w:szCs w:val="24"/>
    </w:rPr>
  </w:style>
  <w:style w:type="paragraph" w:customStyle="1" w:styleId="FinancialsH3">
    <w:name w:val="Financials H3"/>
    <w:basedOn w:val="Heading3"/>
    <w:uiPriority w:val="1"/>
    <w:semiHidden/>
    <w:rsid w:val="00A00568"/>
    <w:rPr>
      <w:szCs w:val="22"/>
      <w:lang w:val="en-GB"/>
    </w:rPr>
  </w:style>
  <w:style w:type="paragraph" w:customStyle="1" w:styleId="FinancialsH4">
    <w:name w:val="Financials H4"/>
    <w:basedOn w:val="Heading4"/>
    <w:uiPriority w:val="1"/>
    <w:semiHidden/>
    <w:rsid w:val="00A00568"/>
    <w:pPr>
      <w:spacing w:before="120"/>
    </w:pPr>
    <w:rPr>
      <w:rFonts w:ascii="Arial Bold" w:hAnsi="Arial Bold"/>
      <w:lang w:val="en-GB"/>
    </w:rPr>
  </w:style>
  <w:style w:type="paragraph" w:customStyle="1" w:styleId="FinancialsH5">
    <w:name w:val="Financials H5"/>
    <w:basedOn w:val="Heading5"/>
    <w:uiPriority w:val="1"/>
    <w:semiHidden/>
    <w:rsid w:val="00A00568"/>
    <w:pPr>
      <w:spacing w:before="120"/>
    </w:pPr>
    <w:rPr>
      <w:bCs/>
      <w:lang w:val="en-GB"/>
    </w:rPr>
  </w:style>
  <w:style w:type="paragraph" w:customStyle="1" w:styleId="FinancialsTableH2">
    <w:name w:val="Financials Table H2"/>
    <w:basedOn w:val="TableText"/>
    <w:uiPriority w:val="1"/>
    <w:semiHidden/>
    <w:rsid w:val="00660951"/>
    <w:pPr>
      <w:spacing w:before="120" w:after="40" w:line="240" w:lineRule="auto"/>
    </w:pPr>
    <w:rPr>
      <w:b/>
      <w:color w:val="008A00" w:themeColor="accent2"/>
    </w:rPr>
  </w:style>
  <w:style w:type="paragraph" w:customStyle="1" w:styleId="FinancialsTableText">
    <w:name w:val="Financials Table Text"/>
    <w:basedOn w:val="TableText"/>
    <w:uiPriority w:val="1"/>
    <w:semiHidden/>
    <w:rsid w:val="00660951"/>
    <w:pPr>
      <w:spacing w:before="40" w:after="40" w:line="240" w:lineRule="auto"/>
    </w:pPr>
  </w:style>
  <w:style w:type="paragraph" w:customStyle="1" w:styleId="FinancialsTableTextIndented">
    <w:name w:val="Financials Table Text Indented"/>
    <w:basedOn w:val="TableText"/>
    <w:uiPriority w:val="1"/>
    <w:semiHidden/>
    <w:rsid w:val="00F3495A"/>
    <w:pPr>
      <w:spacing w:before="40" w:after="40" w:line="240" w:lineRule="auto"/>
      <w:ind w:left="170"/>
    </w:pPr>
    <w:rPr>
      <w:i/>
    </w:rPr>
  </w:style>
  <w:style w:type="paragraph" w:customStyle="1" w:styleId="FinancialsTableH1">
    <w:name w:val="Financials Table H1"/>
    <w:basedOn w:val="TableText"/>
    <w:uiPriority w:val="1"/>
    <w:semiHidden/>
    <w:rsid w:val="007A7D19"/>
    <w:pPr>
      <w:spacing w:before="160" w:after="40" w:line="240" w:lineRule="auto"/>
    </w:pPr>
    <w:rPr>
      <w:rFonts w:ascii="Arial Bold" w:hAnsi="Arial Bold"/>
      <w:b/>
      <w:caps/>
    </w:rPr>
  </w:style>
  <w:style w:type="paragraph" w:customStyle="1" w:styleId="NoParagraphStyle">
    <w:name w:val="[No Paragraph Style]"/>
    <w:rsid w:val="00536880"/>
    <w:pPr>
      <w:autoSpaceDE w:val="0"/>
      <w:autoSpaceDN w:val="0"/>
      <w:adjustRightInd w:val="0"/>
      <w:spacing w:line="288" w:lineRule="auto"/>
      <w:textAlignment w:val="center"/>
    </w:pPr>
    <w:rPr>
      <w:rFonts w:ascii="Arial" w:hAnsi="Arial" w:cs="Arial"/>
      <w:color w:val="000000"/>
      <w:sz w:val="24"/>
      <w:szCs w:val="24"/>
      <w:lang w:val="en-US"/>
    </w:rPr>
  </w:style>
  <w:style w:type="paragraph" w:customStyle="1" w:styleId="AppendixH1">
    <w:name w:val="Appendix H1"/>
    <w:basedOn w:val="FinancialsH1"/>
    <w:uiPriority w:val="1"/>
    <w:semiHidden/>
    <w:rsid w:val="00FC6134"/>
  </w:style>
  <w:style w:type="paragraph" w:customStyle="1" w:styleId="AppendixH2">
    <w:name w:val="Appendix H2"/>
    <w:basedOn w:val="FinancialsH2"/>
    <w:uiPriority w:val="1"/>
    <w:semiHidden/>
    <w:rsid w:val="00FC6134"/>
  </w:style>
  <w:style w:type="character" w:styleId="PageNumber">
    <w:name w:val="page number"/>
    <w:basedOn w:val="DefaultParagraphFont"/>
    <w:semiHidden/>
    <w:unhideWhenUsed/>
    <w:rsid w:val="005F219D"/>
    <w:rPr>
      <w:rFonts w:asciiTheme="minorHAnsi" w:hAnsiTheme="minorHAnsi"/>
      <w:b/>
      <w:color w:val="008A00" w:themeColor="accent2"/>
      <w:sz w:val="16"/>
    </w:rPr>
  </w:style>
  <w:style w:type="paragraph" w:customStyle="1" w:styleId="p1">
    <w:name w:val="p1"/>
    <w:basedOn w:val="Normal"/>
    <w:rsid w:val="00C303D7"/>
    <w:pPr>
      <w:spacing w:before="0" w:after="86" w:line="240" w:lineRule="auto"/>
    </w:pPr>
    <w:rPr>
      <w:rFonts w:cs="Arial"/>
      <w:sz w:val="12"/>
      <w:szCs w:val="12"/>
      <w:lang w:val="en-US" w:eastAsia="en-US"/>
    </w:rPr>
  </w:style>
  <w:style w:type="paragraph" w:customStyle="1" w:styleId="p2">
    <w:name w:val="p2"/>
    <w:basedOn w:val="Normal"/>
    <w:rsid w:val="00C303D7"/>
    <w:pPr>
      <w:spacing w:before="0" w:after="0" w:line="240" w:lineRule="auto"/>
    </w:pPr>
    <w:rPr>
      <w:rFonts w:cs="Arial"/>
      <w:color w:val="005100"/>
      <w:sz w:val="12"/>
      <w:szCs w:val="12"/>
      <w:lang w:val="en-US" w:eastAsia="en-US"/>
    </w:rPr>
  </w:style>
  <w:style w:type="paragraph" w:customStyle="1" w:styleId="p3">
    <w:name w:val="p3"/>
    <w:basedOn w:val="Normal"/>
    <w:rsid w:val="00C303D7"/>
    <w:pPr>
      <w:spacing w:before="0" w:after="86" w:line="240" w:lineRule="auto"/>
    </w:pPr>
    <w:rPr>
      <w:rFonts w:cs="Arial"/>
      <w:color w:val="005100"/>
      <w:sz w:val="12"/>
      <w:szCs w:val="12"/>
      <w:lang w:val="en-US" w:eastAsia="en-US"/>
    </w:rPr>
  </w:style>
  <w:style w:type="paragraph" w:customStyle="1" w:styleId="p4">
    <w:name w:val="p4"/>
    <w:basedOn w:val="Normal"/>
    <w:rsid w:val="00C303D7"/>
    <w:pPr>
      <w:spacing w:before="0" w:after="0" w:line="240" w:lineRule="auto"/>
    </w:pPr>
    <w:rPr>
      <w:rFonts w:cs="Arial"/>
      <w:sz w:val="12"/>
      <w:szCs w:val="12"/>
      <w:lang w:val="en-US" w:eastAsia="en-US"/>
    </w:rPr>
  </w:style>
  <w:style w:type="character" w:customStyle="1" w:styleId="s2">
    <w:name w:val="s2"/>
    <w:basedOn w:val="DefaultParagraphFont"/>
    <w:rsid w:val="00C303D7"/>
    <w:rPr>
      <w:color w:val="000000"/>
    </w:rPr>
  </w:style>
  <w:style w:type="character" w:customStyle="1" w:styleId="s1">
    <w:name w:val="s1"/>
    <w:basedOn w:val="DefaultParagraphFont"/>
    <w:rsid w:val="00C303D7"/>
  </w:style>
  <w:style w:type="character" w:customStyle="1" w:styleId="apple-converted-space">
    <w:name w:val="apple-converted-space"/>
    <w:basedOn w:val="DefaultParagraphFont"/>
    <w:rsid w:val="00C303D7"/>
  </w:style>
  <w:style w:type="paragraph" w:customStyle="1" w:styleId="Address">
    <w:name w:val="Address"/>
    <w:basedOn w:val="Normal"/>
    <w:uiPriority w:val="1"/>
    <w:qFormat/>
    <w:rsid w:val="00C303D7"/>
    <w:pPr>
      <w:spacing w:before="0" w:after="0" w:line="192" w:lineRule="exact"/>
    </w:pPr>
    <w:rPr>
      <w:b/>
      <w:bCs/>
      <w:color w:val="FFFFFF" w:themeColor="background1"/>
      <w:sz w:val="16"/>
      <w:szCs w:val="16"/>
    </w:rPr>
  </w:style>
  <w:style w:type="paragraph" w:customStyle="1" w:styleId="Act">
    <w:name w:val="Act"/>
    <w:basedOn w:val="Normal"/>
    <w:uiPriority w:val="1"/>
    <w:qFormat/>
    <w:rsid w:val="00E15D40"/>
    <w:pPr>
      <w:spacing w:before="0" w:after="0" w:line="240" w:lineRule="auto"/>
    </w:pPr>
    <w:rPr>
      <w:i/>
    </w:rPr>
  </w:style>
  <w:style w:type="paragraph" w:customStyle="1" w:styleId="Disclaimer">
    <w:name w:val="Disclaimer"/>
    <w:basedOn w:val="Normal"/>
    <w:uiPriority w:val="1"/>
    <w:qFormat/>
    <w:rsid w:val="00E15D40"/>
    <w:pPr>
      <w:spacing w:before="0" w:after="0" w:line="240" w:lineRule="auto"/>
    </w:pPr>
    <w:rPr>
      <w:i/>
    </w:rPr>
  </w:style>
  <w:style w:type="paragraph" w:customStyle="1" w:styleId="Organisationname">
    <w:name w:val="Organisation name"/>
    <w:basedOn w:val="CommentSubject"/>
    <w:autoRedefine/>
    <w:uiPriority w:val="1"/>
    <w:qFormat/>
    <w:rsid w:val="0047601C"/>
    <w:pPr>
      <w:spacing w:before="0" w:after="1320" w:line="260" w:lineRule="atLeast"/>
    </w:pPr>
    <w:rPr>
      <w:noProof/>
      <w:color w:val="FFFFFF" w:themeColor="background1"/>
    </w:rPr>
  </w:style>
  <w:style w:type="paragraph" w:styleId="CommentText">
    <w:name w:val="annotation text"/>
    <w:basedOn w:val="Normal"/>
    <w:link w:val="CommentTextChar"/>
    <w:unhideWhenUsed/>
    <w:rsid w:val="00E15D40"/>
    <w:pPr>
      <w:spacing w:line="240" w:lineRule="auto"/>
    </w:pPr>
    <w:rPr>
      <w:sz w:val="20"/>
      <w:szCs w:val="20"/>
    </w:rPr>
  </w:style>
  <w:style w:type="character" w:customStyle="1" w:styleId="CommentTextChar">
    <w:name w:val="Comment Text Char"/>
    <w:basedOn w:val="DefaultParagraphFont"/>
    <w:link w:val="CommentText"/>
    <w:rsid w:val="00E15D40"/>
    <w:rPr>
      <w:rFonts w:ascii="Arial" w:hAnsi="Arial"/>
    </w:rPr>
  </w:style>
  <w:style w:type="paragraph" w:styleId="CommentSubject">
    <w:name w:val="annotation subject"/>
    <w:basedOn w:val="CommentText"/>
    <w:next w:val="CommentText"/>
    <w:link w:val="CommentSubjectChar"/>
    <w:unhideWhenUsed/>
    <w:rsid w:val="00E15D40"/>
    <w:rPr>
      <w:b/>
      <w:bCs/>
    </w:rPr>
  </w:style>
  <w:style w:type="character" w:customStyle="1" w:styleId="CommentSubjectChar">
    <w:name w:val="Comment Subject Char"/>
    <w:basedOn w:val="CommentTextChar"/>
    <w:link w:val="CommentSubject"/>
    <w:rsid w:val="00E15D40"/>
    <w:rPr>
      <w:rFonts w:ascii="Arial" w:hAnsi="Arial"/>
      <w:b/>
      <w:bCs/>
    </w:rPr>
  </w:style>
  <w:style w:type="paragraph" w:customStyle="1" w:styleId="Versionanddate">
    <w:name w:val="Version and date"/>
    <w:basedOn w:val="Subtitle"/>
    <w:uiPriority w:val="1"/>
    <w:qFormat/>
    <w:rsid w:val="00E15D40"/>
    <w:rPr>
      <w:color w:val="7EC352" w:themeColor="accent3"/>
      <w:sz w:val="28"/>
      <w:szCs w:val="28"/>
    </w:rPr>
  </w:style>
  <w:style w:type="paragraph" w:customStyle="1" w:styleId="Report">
    <w:name w:val="Report"/>
    <w:basedOn w:val="Normal"/>
    <w:next w:val="Normal"/>
    <w:uiPriority w:val="1"/>
    <w:qFormat/>
    <w:rsid w:val="002A4C1B"/>
    <w:pPr>
      <w:spacing w:before="4000" w:after="200" w:line="276" w:lineRule="auto"/>
    </w:pPr>
    <w:rPr>
      <w:b/>
    </w:rPr>
  </w:style>
  <w:style w:type="paragraph" w:styleId="NormalIndent">
    <w:name w:val="Normal Indent"/>
    <w:basedOn w:val="Normal"/>
    <w:unhideWhenUsed/>
    <w:rsid w:val="002A4C1B"/>
    <w:pPr>
      <w:ind w:left="720"/>
    </w:pPr>
  </w:style>
  <w:style w:type="paragraph" w:styleId="TOC3">
    <w:name w:val="toc 3"/>
    <w:basedOn w:val="Normal"/>
    <w:next w:val="Normal"/>
    <w:autoRedefine/>
    <w:uiPriority w:val="39"/>
    <w:unhideWhenUsed/>
    <w:rsid w:val="0089599A"/>
    <w:pPr>
      <w:tabs>
        <w:tab w:val="right" w:leader="dot" w:pos="9072"/>
      </w:tabs>
      <w:spacing w:before="60" w:after="60" w:line="240" w:lineRule="auto"/>
    </w:pPr>
  </w:style>
  <w:style w:type="character" w:customStyle="1" w:styleId="ListParagraphChar">
    <w:name w:val="List Paragraph Char"/>
    <w:aliases w:val="List Paragraph1 Char,Recommendation Char"/>
    <w:link w:val="ListParagraph"/>
    <w:uiPriority w:val="34"/>
    <w:locked/>
    <w:rsid w:val="0064379C"/>
    <w:rPr>
      <w:rFonts w:ascii="Arial" w:hAnsi="Arial"/>
      <w:sz w:val="22"/>
      <w:szCs w:val="24"/>
    </w:rPr>
  </w:style>
  <w:style w:type="paragraph" w:styleId="NormalWeb">
    <w:name w:val="Normal (Web)"/>
    <w:basedOn w:val="Normal"/>
    <w:uiPriority w:val="99"/>
    <w:unhideWhenUsed/>
    <w:rsid w:val="0064379C"/>
    <w:pPr>
      <w:spacing w:before="100" w:beforeAutospacing="1" w:after="100" w:afterAutospacing="1" w:line="240" w:lineRule="auto"/>
    </w:pPr>
    <w:rPr>
      <w:rFonts w:ascii="Times New Roman" w:hAnsi="Times New Roman"/>
      <w:sz w:val="24"/>
    </w:rPr>
  </w:style>
  <w:style w:type="character" w:styleId="CommentReference">
    <w:name w:val="annotation reference"/>
    <w:basedOn w:val="DefaultParagraphFont"/>
    <w:unhideWhenUsed/>
    <w:rsid w:val="0064379C"/>
    <w:rPr>
      <w:sz w:val="16"/>
      <w:szCs w:val="16"/>
    </w:rPr>
  </w:style>
  <w:style w:type="paragraph" w:styleId="BodyText">
    <w:name w:val="Body Text"/>
    <w:basedOn w:val="Normal"/>
    <w:link w:val="BodyTextChar"/>
    <w:qFormat/>
    <w:rsid w:val="0064379C"/>
    <w:pPr>
      <w:spacing w:before="0" w:line="240" w:lineRule="auto"/>
    </w:pPr>
    <w:rPr>
      <w:rFonts w:ascii="Calibri" w:hAnsi="Calibri"/>
      <w:szCs w:val="22"/>
      <w:lang w:eastAsia="en-US"/>
    </w:rPr>
  </w:style>
  <w:style w:type="character" w:customStyle="1" w:styleId="BodyTextChar">
    <w:name w:val="Body Text Char"/>
    <w:basedOn w:val="DefaultParagraphFont"/>
    <w:link w:val="BodyText"/>
    <w:rsid w:val="0064379C"/>
    <w:rPr>
      <w:rFonts w:ascii="Calibri" w:hAnsi="Calibri"/>
      <w:sz w:val="22"/>
      <w:szCs w:val="22"/>
      <w:lang w:eastAsia="en-US"/>
    </w:rPr>
  </w:style>
  <w:style w:type="paragraph" w:styleId="Caption">
    <w:name w:val="caption"/>
    <w:basedOn w:val="Normal"/>
    <w:next w:val="Normal"/>
    <w:unhideWhenUsed/>
    <w:qFormat/>
    <w:rsid w:val="00F81025"/>
    <w:pPr>
      <w:spacing w:before="0" w:after="200" w:line="240" w:lineRule="auto"/>
    </w:pPr>
    <w:rPr>
      <w:rFonts w:asciiTheme="minorHAnsi" w:eastAsiaTheme="minorHAnsi" w:hAnsiTheme="minorHAnsi" w:cstheme="minorBidi"/>
      <w:bCs/>
      <w:color w:val="004200" w:themeColor="accent1"/>
      <w:szCs w:val="18"/>
      <w:lang w:eastAsia="en-US"/>
    </w:rPr>
  </w:style>
  <w:style w:type="table" w:styleId="LightList-Accent5">
    <w:name w:val="Light List Accent 5"/>
    <w:basedOn w:val="TableNormal"/>
    <w:uiPriority w:val="61"/>
    <w:rsid w:val="00D818F2"/>
    <w:pPr>
      <w:ind w:firstLine="567"/>
    </w:pPr>
    <w:rPr>
      <w:lang w:val="en-US" w:eastAsia="en-US"/>
    </w:rPr>
    <w:tblPr>
      <w:tblStyleRowBandSize w:val="1"/>
      <w:tblStyleColBandSize w:val="1"/>
      <w:tblBorders>
        <w:top w:val="single" w:sz="8" w:space="0" w:color="939598" w:themeColor="accent5"/>
        <w:left w:val="single" w:sz="8" w:space="0" w:color="939598" w:themeColor="accent5"/>
        <w:bottom w:val="single" w:sz="8" w:space="0" w:color="939598" w:themeColor="accent5"/>
        <w:right w:val="single" w:sz="8" w:space="0" w:color="939598" w:themeColor="accent5"/>
      </w:tblBorders>
    </w:tblPr>
    <w:tblStylePr w:type="firstRow">
      <w:pPr>
        <w:spacing w:before="0" w:after="0" w:line="240" w:lineRule="auto"/>
      </w:pPr>
      <w:rPr>
        <w:b/>
        <w:bCs/>
        <w:color w:val="FFFFFF" w:themeColor="background1"/>
      </w:rPr>
      <w:tblPr/>
      <w:tcPr>
        <w:shd w:val="clear" w:color="auto" w:fill="939598" w:themeFill="accent5"/>
      </w:tcPr>
    </w:tblStylePr>
    <w:tblStylePr w:type="lastRow">
      <w:pPr>
        <w:spacing w:before="0" w:after="0" w:line="240" w:lineRule="auto"/>
      </w:pPr>
      <w:rPr>
        <w:b/>
        <w:bCs/>
      </w:rPr>
      <w:tblPr/>
      <w:tcPr>
        <w:tcBorders>
          <w:top w:val="double" w:sz="6" w:space="0" w:color="939598" w:themeColor="accent5"/>
          <w:left w:val="single" w:sz="8" w:space="0" w:color="939598" w:themeColor="accent5"/>
          <w:bottom w:val="single" w:sz="8" w:space="0" w:color="939598" w:themeColor="accent5"/>
          <w:right w:val="single" w:sz="8" w:space="0" w:color="939598" w:themeColor="accent5"/>
        </w:tcBorders>
      </w:tcPr>
    </w:tblStylePr>
    <w:tblStylePr w:type="firstCol">
      <w:rPr>
        <w:b/>
        <w:bCs/>
      </w:rPr>
    </w:tblStylePr>
    <w:tblStylePr w:type="lastCol">
      <w:rPr>
        <w:b/>
        <w:bCs/>
      </w:rPr>
    </w:tblStylePr>
    <w:tblStylePr w:type="band1Vert">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tblStylePr w:type="band1Horz">
      <w:tblPr/>
      <w:tcPr>
        <w:tcBorders>
          <w:top w:val="single" w:sz="8" w:space="0" w:color="939598" w:themeColor="accent5"/>
          <w:left w:val="single" w:sz="8" w:space="0" w:color="939598" w:themeColor="accent5"/>
          <w:bottom w:val="single" w:sz="8" w:space="0" w:color="939598" w:themeColor="accent5"/>
          <w:right w:val="single" w:sz="8" w:space="0" w:color="939598" w:themeColor="accent5"/>
        </w:tcBorders>
      </w:tcPr>
    </w:tblStylePr>
  </w:style>
  <w:style w:type="paragraph" w:customStyle="1" w:styleId="Indent1">
    <w:name w:val="Indent 1"/>
    <w:basedOn w:val="Normal"/>
    <w:rsid w:val="00D818F2"/>
    <w:pPr>
      <w:numPr>
        <w:ilvl w:val="1"/>
        <w:numId w:val="28"/>
      </w:numPr>
      <w:kinsoku w:val="0"/>
      <w:overflowPunct w:val="0"/>
      <w:autoSpaceDE w:val="0"/>
      <w:autoSpaceDN w:val="0"/>
      <w:adjustRightInd w:val="0"/>
      <w:snapToGrid w:val="0"/>
      <w:spacing w:before="100" w:after="100" w:line="240" w:lineRule="auto"/>
    </w:pPr>
    <w:rPr>
      <w:rFonts w:ascii="Georgia" w:hAnsi="Georgia"/>
      <w:snapToGrid w:val="0"/>
      <w:sz w:val="20"/>
      <w:szCs w:val="20"/>
      <w:lang w:eastAsia="en-US"/>
    </w:rPr>
  </w:style>
  <w:style w:type="paragraph" w:customStyle="1" w:styleId="Indent2">
    <w:name w:val="Indent 2"/>
    <w:basedOn w:val="Indent1"/>
    <w:rsid w:val="00D818F2"/>
    <w:pPr>
      <w:numPr>
        <w:ilvl w:val="2"/>
      </w:numPr>
    </w:pPr>
  </w:style>
  <w:style w:type="paragraph" w:customStyle="1" w:styleId="Indent3">
    <w:name w:val="Indent 3"/>
    <w:basedOn w:val="Indent2"/>
    <w:rsid w:val="00D818F2"/>
    <w:pPr>
      <w:numPr>
        <w:ilvl w:val="3"/>
      </w:numPr>
    </w:pPr>
  </w:style>
  <w:style w:type="paragraph" w:customStyle="1" w:styleId="Indent5">
    <w:name w:val="Indent 5"/>
    <w:basedOn w:val="Indent4"/>
    <w:rsid w:val="00D818F2"/>
    <w:pPr>
      <w:numPr>
        <w:ilvl w:val="5"/>
      </w:numPr>
    </w:pPr>
  </w:style>
  <w:style w:type="paragraph" w:customStyle="1" w:styleId="Indent6">
    <w:name w:val="Indent 6"/>
    <w:basedOn w:val="Indent5"/>
    <w:rsid w:val="00D818F2"/>
    <w:pPr>
      <w:numPr>
        <w:ilvl w:val="6"/>
      </w:numPr>
    </w:pPr>
  </w:style>
  <w:style w:type="paragraph" w:customStyle="1" w:styleId="Indent7">
    <w:name w:val="Indent 7"/>
    <w:basedOn w:val="Indent6"/>
    <w:rsid w:val="00D818F2"/>
    <w:pPr>
      <w:numPr>
        <w:ilvl w:val="7"/>
      </w:numPr>
    </w:pPr>
  </w:style>
  <w:style w:type="paragraph" w:customStyle="1" w:styleId="Indent4">
    <w:name w:val="Indent 4"/>
    <w:basedOn w:val="Indent3"/>
    <w:rsid w:val="00D818F2"/>
    <w:pPr>
      <w:numPr>
        <w:ilvl w:val="4"/>
      </w:numPr>
    </w:pPr>
  </w:style>
  <w:style w:type="paragraph" w:customStyle="1" w:styleId="PwCNormal">
    <w:name w:val="PwC Normal"/>
    <w:basedOn w:val="Normal"/>
    <w:link w:val="PwCNormalChar"/>
    <w:rsid w:val="00D818F2"/>
    <w:pPr>
      <w:numPr>
        <w:numId w:val="28"/>
      </w:numPr>
      <w:kinsoku w:val="0"/>
      <w:overflowPunct w:val="0"/>
      <w:autoSpaceDE w:val="0"/>
      <w:autoSpaceDN w:val="0"/>
      <w:adjustRightInd w:val="0"/>
      <w:snapToGrid w:val="0"/>
      <w:spacing w:before="0" w:after="240" w:line="240" w:lineRule="auto"/>
    </w:pPr>
    <w:rPr>
      <w:rFonts w:ascii="Georgia" w:hAnsi="Georgia" w:cs="Arial"/>
      <w:snapToGrid w:val="0"/>
      <w:sz w:val="20"/>
      <w:szCs w:val="20"/>
      <w:lang w:eastAsia="en-US"/>
    </w:rPr>
  </w:style>
  <w:style w:type="character" w:customStyle="1" w:styleId="PwCNormalChar">
    <w:name w:val="PwC Normal Char"/>
    <w:basedOn w:val="DefaultParagraphFont"/>
    <w:link w:val="PwCNormal"/>
    <w:rsid w:val="00D818F2"/>
    <w:rPr>
      <w:rFonts w:ascii="Georgia" w:hAnsi="Georgia" w:cs="Arial"/>
      <w:snapToGrid w:val="0"/>
      <w:lang w:eastAsia="en-US"/>
    </w:rPr>
  </w:style>
  <w:style w:type="paragraph" w:customStyle="1" w:styleId="Indent8">
    <w:name w:val="Indent 8"/>
    <w:basedOn w:val="Indent7"/>
    <w:rsid w:val="00D818F2"/>
    <w:pPr>
      <w:numPr>
        <w:ilvl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321943">
      <w:bodyDiv w:val="1"/>
      <w:marLeft w:val="0"/>
      <w:marRight w:val="0"/>
      <w:marTop w:val="0"/>
      <w:marBottom w:val="0"/>
      <w:divBdr>
        <w:top w:val="none" w:sz="0" w:space="0" w:color="auto"/>
        <w:left w:val="none" w:sz="0" w:space="0" w:color="auto"/>
        <w:bottom w:val="none" w:sz="0" w:space="0" w:color="auto"/>
        <w:right w:val="none" w:sz="0" w:space="0" w:color="auto"/>
      </w:divBdr>
    </w:div>
    <w:div w:id="817259461">
      <w:bodyDiv w:val="1"/>
      <w:marLeft w:val="0"/>
      <w:marRight w:val="0"/>
      <w:marTop w:val="0"/>
      <w:marBottom w:val="0"/>
      <w:divBdr>
        <w:top w:val="none" w:sz="0" w:space="0" w:color="auto"/>
        <w:left w:val="none" w:sz="0" w:space="0" w:color="auto"/>
        <w:bottom w:val="none" w:sz="0" w:space="0" w:color="auto"/>
        <w:right w:val="none" w:sz="0" w:space="0" w:color="auto"/>
      </w:divBdr>
    </w:div>
    <w:div w:id="1276862347">
      <w:bodyDiv w:val="1"/>
      <w:marLeft w:val="0"/>
      <w:marRight w:val="0"/>
      <w:marTop w:val="0"/>
      <w:marBottom w:val="0"/>
      <w:divBdr>
        <w:top w:val="none" w:sz="0" w:space="0" w:color="auto"/>
        <w:left w:val="none" w:sz="0" w:space="0" w:color="auto"/>
        <w:bottom w:val="none" w:sz="0" w:space="0" w:color="auto"/>
        <w:right w:val="none" w:sz="0" w:space="0" w:color="auto"/>
      </w:divBdr>
    </w:div>
    <w:div w:id="1455177061">
      <w:bodyDiv w:val="1"/>
      <w:marLeft w:val="0"/>
      <w:marRight w:val="0"/>
      <w:marTop w:val="0"/>
      <w:marBottom w:val="0"/>
      <w:divBdr>
        <w:top w:val="none" w:sz="0" w:space="0" w:color="auto"/>
        <w:left w:val="none" w:sz="0" w:space="0" w:color="auto"/>
        <w:bottom w:val="none" w:sz="0" w:space="0" w:color="auto"/>
        <w:right w:val="none" w:sz="0" w:space="0" w:color="auto"/>
      </w:divBdr>
    </w:div>
    <w:div w:id="205738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hyperlink" Target="mailto:enquiries.ihpa@health.gov.au."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meteor.aihw.gov.au/content/index.phtml/itemId/181162" TargetMode="External"/><Relationship Id="rId7" Type="http://schemas.openxmlformats.org/officeDocument/2006/relationships/footnotes" Target="footnotes.xml"/><Relationship Id="rId12" Type="http://schemas.openxmlformats.org/officeDocument/2006/relationships/hyperlink" Target="http://creativecommons.org/licenses/by/3.0/au/legalcode" TargetMode="External"/><Relationship Id="rId17" Type="http://schemas.openxmlformats.org/officeDocument/2006/relationships/hyperlink" Target="http://www.ihpa.gov.au/" TargetMode="External"/><Relationship Id="rId25"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ihpa.gov.au/internet/ihpa/publishing.nsf/Content/mental-health" TargetMode="External"/><Relationship Id="rId20" Type="http://schemas.openxmlformats.org/officeDocument/2006/relationships/hyperlink" Target="https://www.ihpa.gov.au/publications/teaching-training-and-research-definitions-and-cost-drivers-projec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reativecommons.org/licenses/by/3.0/au/deed.en" TargetMode="External"/><Relationship Id="rId24"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hyperlink" Target="mailto:submissions.ihpa@ihpa.gov.au" TargetMode="Externa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s://www.ihpa.gov.au/who-we-are/pricing-author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creativecommons.org/licenses/by/3.0/au/deed.en" TargetMode="External"/><Relationship Id="rId22" Type="http://schemas.openxmlformats.org/officeDocument/2006/relationships/hyperlink" Target="https://www.ihpa.gov.au/publications/teaching-training-and-research-costing-study-final-report-july-2016" TargetMode="External"/><Relationship Id="rId27"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IHPA">
      <a:dk1>
        <a:sysClr val="windowText" lastClr="000000"/>
      </a:dk1>
      <a:lt1>
        <a:sysClr val="window" lastClr="FFFFFF"/>
      </a:lt1>
      <a:dk2>
        <a:srgbClr val="333132"/>
      </a:dk2>
      <a:lt2>
        <a:srgbClr val="FFFFFF"/>
      </a:lt2>
      <a:accent1>
        <a:srgbClr val="004200"/>
      </a:accent1>
      <a:accent2>
        <a:srgbClr val="008A00"/>
      </a:accent2>
      <a:accent3>
        <a:srgbClr val="7EC352"/>
      </a:accent3>
      <a:accent4>
        <a:srgbClr val="636466"/>
      </a:accent4>
      <a:accent5>
        <a:srgbClr val="939598"/>
      </a:accent5>
      <a:accent6>
        <a:srgbClr val="C7C8CA"/>
      </a:accent6>
      <a:hlink>
        <a:srgbClr val="000000"/>
      </a:hlink>
      <a:folHlink>
        <a:srgbClr val="000000"/>
      </a:folHlink>
    </a:clrScheme>
    <a:fontScheme name="IHP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FC444-8E80-46AC-BED2-D3AF84A9A3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36</Pages>
  <Words>10077</Words>
  <Characters>57439</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Development of the Australian Teaching and Training Classification</vt:lpstr>
    </vt:vector>
  </TitlesOfParts>
  <Company>Independent Hospital Pricing Authority</Company>
  <LinksUpToDate>false</LinksUpToDate>
  <CharactersWithSpaces>67382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of the Australian Teaching and Training Classification</dc:title>
  <dc:creator>Independent Hospital Pricing Authority</dc:creator>
  <cp:lastModifiedBy>SYMONDS, Jessica</cp:lastModifiedBy>
  <cp:revision>26</cp:revision>
  <cp:lastPrinted>2017-07-20T04:50:00Z</cp:lastPrinted>
  <dcterms:created xsi:type="dcterms:W3CDTF">2017-07-19T05:20:00Z</dcterms:created>
  <dcterms:modified xsi:type="dcterms:W3CDTF">2017-08-04T07:20:00Z</dcterms:modified>
</cp:coreProperties>
</file>