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A2B9A" w14:textId="77777777" w:rsidR="00C415F5" w:rsidRPr="00EE1BDC" w:rsidRDefault="00D141FD" w:rsidP="00EE1BDC">
      <w:pPr>
        <w:pStyle w:val="Heading1"/>
        <w:spacing w:after="0"/>
        <w:rPr>
          <w:bCs/>
          <w:color w:val="FFFFFF" w:themeColor="background1"/>
        </w:rPr>
      </w:pPr>
      <w:r w:rsidRPr="00EE1BDC">
        <w:rPr>
          <w:rFonts w:ascii="Times New Roman"/>
          <w:bCs/>
          <w:noProof/>
          <w:color w:val="FFFFFF" w:themeColor="background1"/>
          <w:sz w:val="20"/>
        </w:rPr>
        <w:drawing>
          <wp:anchor distT="0" distB="0" distL="114300" distR="114300" simplePos="0" relativeHeight="251627520" behindDoc="1" locked="0" layoutInCell="1" allowOverlap="1" wp14:anchorId="2D985601" wp14:editId="48282F11">
            <wp:simplePos x="0" y="0"/>
            <wp:positionH relativeFrom="column">
              <wp:posOffset>-902970</wp:posOffset>
            </wp:positionH>
            <wp:positionV relativeFrom="page">
              <wp:posOffset>2540</wp:posOffset>
            </wp:positionV>
            <wp:extent cx="7540625" cy="106641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PA0568_PricingFramework_ACCESSIBLE_181204_Page_01.jpg"/>
                    <pic:cNvPicPr/>
                  </pic:nvPicPr>
                  <pic:blipFill>
                    <a:blip r:embed="rId8">
                      <a:extLst>
                        <a:ext uri="{28A0092B-C50C-407E-A947-70E740481C1C}">
                          <a14:useLocalDpi xmlns:a14="http://schemas.microsoft.com/office/drawing/2010/main" val="0"/>
                        </a:ext>
                      </a:extLst>
                    </a:blip>
                    <a:stretch>
                      <a:fillRect/>
                    </a:stretch>
                  </pic:blipFill>
                  <pic:spPr>
                    <a:xfrm>
                      <a:off x="0" y="0"/>
                      <a:ext cx="7540625" cy="10664190"/>
                    </a:xfrm>
                    <a:prstGeom prst="rect">
                      <a:avLst/>
                    </a:prstGeom>
                  </pic:spPr>
                </pic:pic>
              </a:graphicData>
            </a:graphic>
            <wp14:sizeRelH relativeFrom="margin">
              <wp14:pctWidth>0</wp14:pctWidth>
            </wp14:sizeRelH>
            <wp14:sizeRelV relativeFrom="margin">
              <wp14:pctHeight>0</wp14:pctHeight>
            </wp14:sizeRelV>
          </wp:anchor>
        </w:drawing>
      </w:r>
      <w:bookmarkStart w:id="0" w:name="Cover"/>
      <w:bookmarkEnd w:id="0"/>
      <w:r w:rsidR="00603DEC" w:rsidRPr="00EE1BDC">
        <w:rPr>
          <w:bCs/>
          <w:color w:val="FFFFFF" w:themeColor="background1"/>
        </w:rPr>
        <w:t>Consultation Paper on the Pricing Framework for Australian Public Hospital Services</w:t>
      </w:r>
    </w:p>
    <w:p w14:paraId="2DF797E0" w14:textId="77777777" w:rsidR="00C415F5" w:rsidRPr="00EE1BDC" w:rsidRDefault="00603DEC" w:rsidP="00EE1BDC">
      <w:pPr>
        <w:pStyle w:val="Heading1"/>
        <w:spacing w:before="0" w:after="480"/>
        <w:rPr>
          <w:b w:val="0"/>
          <w:bCs/>
          <w:color w:val="FFFFFF" w:themeColor="background1"/>
        </w:rPr>
      </w:pPr>
      <w:r w:rsidRPr="00EE1BDC">
        <w:rPr>
          <w:b w:val="0"/>
          <w:bCs/>
          <w:color w:val="FFFFFF" w:themeColor="background1"/>
        </w:rPr>
        <w:t>2020–21</w:t>
      </w:r>
    </w:p>
    <w:p w14:paraId="0E8A39A1" w14:textId="77777777" w:rsidR="00C415F5" w:rsidRDefault="00603DEC" w:rsidP="00D141FD">
      <w:pPr>
        <w:spacing w:before="85"/>
        <w:ind w:left="1417" w:hanging="1418"/>
        <w:rPr>
          <w:rFonts w:ascii="Tahoma"/>
          <w:sz w:val="36"/>
        </w:rPr>
      </w:pPr>
      <w:r>
        <w:rPr>
          <w:rFonts w:ascii="Tahoma"/>
          <w:color w:val="7EC352"/>
          <w:sz w:val="36"/>
        </w:rPr>
        <w:t>June 2019</w:t>
      </w:r>
    </w:p>
    <w:p w14:paraId="67D19360" w14:textId="77777777" w:rsidR="00C415F5" w:rsidRDefault="00603DEC" w:rsidP="00DD5CA2">
      <w:pPr>
        <w:spacing w:before="2040"/>
        <w:ind w:left="1424" w:hanging="1418"/>
        <w:rPr>
          <w:sz w:val="20"/>
        </w:rPr>
      </w:pPr>
      <w:r>
        <w:rPr>
          <w:color w:val="FFFFFF"/>
          <w:sz w:val="20"/>
        </w:rPr>
        <w:t>Independent Hospital Pricing Authority</w:t>
      </w:r>
    </w:p>
    <w:p w14:paraId="6E0FCB6C" w14:textId="77777777" w:rsidR="00C415F5" w:rsidRDefault="00C415F5">
      <w:pPr>
        <w:rPr>
          <w:sz w:val="20"/>
        </w:rPr>
        <w:sectPr w:rsidR="00C415F5" w:rsidSect="001A4606">
          <w:headerReference w:type="default" r:id="rId9"/>
          <w:type w:val="continuous"/>
          <w:pgSz w:w="11910" w:h="16840"/>
          <w:pgMar w:top="9498" w:right="1440" w:bottom="1440" w:left="1440" w:header="0" w:footer="720" w:gutter="0"/>
          <w:cols w:space="720"/>
          <w:docGrid w:linePitch="299"/>
        </w:sectPr>
      </w:pPr>
    </w:p>
    <w:p w14:paraId="6EFBF09B" w14:textId="77777777" w:rsidR="00C415F5" w:rsidRDefault="00603DEC" w:rsidP="00392586">
      <w:pPr>
        <w:pStyle w:val="Heading4"/>
        <w:spacing w:before="99" w:line="256" w:lineRule="auto"/>
        <w:ind w:right="4210"/>
      </w:pPr>
      <w:r>
        <w:rPr>
          <w:color w:val="003E2D"/>
        </w:rPr>
        <w:lastRenderedPageBreak/>
        <w:t xml:space="preserve">Consultation Paper on the Pricing Framework for Australian Public Hospital Services </w:t>
      </w:r>
      <w:r>
        <w:rPr>
          <w:color w:val="003E2D"/>
        </w:rPr>
        <w:br/>
        <w:t>2020–21 — June 2019</w:t>
      </w:r>
    </w:p>
    <w:p w14:paraId="524A6C9C" w14:textId="77777777" w:rsidR="00603DEC" w:rsidRDefault="00603DEC" w:rsidP="00392586">
      <w:pPr>
        <w:pStyle w:val="BodyText"/>
        <w:ind w:right="4210"/>
      </w:pPr>
      <w:r>
        <w:t>© Independent Hospital Pricing Authority 2019</w:t>
      </w:r>
    </w:p>
    <w:p w14:paraId="0C3571B8" w14:textId="77777777" w:rsidR="00C415F5" w:rsidRDefault="00392586" w:rsidP="00392586">
      <w:pPr>
        <w:pStyle w:val="BodyText"/>
        <w:ind w:right="4210"/>
      </w:pPr>
      <w:r>
        <w:rPr>
          <w:noProof/>
          <w:sz w:val="22"/>
        </w:rPr>
        <w:drawing>
          <wp:anchor distT="0" distB="0" distL="114300" distR="114300" simplePos="0" relativeHeight="251628544" behindDoc="0" locked="0" layoutInCell="1" allowOverlap="1" wp14:anchorId="48A27CB0" wp14:editId="1C9639CA">
            <wp:simplePos x="0" y="0"/>
            <wp:positionH relativeFrom="column">
              <wp:posOffset>0</wp:posOffset>
            </wp:positionH>
            <wp:positionV relativeFrom="paragraph">
              <wp:posOffset>1116870</wp:posOffset>
            </wp:positionV>
            <wp:extent cx="1175004" cy="4114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jpg"/>
                    <pic:cNvPicPr/>
                  </pic:nvPicPr>
                  <pic:blipFill>
                    <a:blip r:embed="rId10">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anchor>
        </w:drawing>
      </w:r>
      <w:r w:rsidR="00603DEC">
        <w:t xml:space="preserve">This publication is available for your use under a Creative Commons BY Attribution 3.0 Australia </w:t>
      </w:r>
      <w:proofErr w:type="spellStart"/>
      <w:r w:rsidR="00603DEC">
        <w:t>licence</w:t>
      </w:r>
      <w:proofErr w:type="spellEnd"/>
      <w:r w:rsidR="00603DEC">
        <w:t xml:space="preserve">, with the exception of the Independent Hospital Pricing Authority logo, photographs, images, signatures and where otherwise stated. The full </w:t>
      </w:r>
      <w:proofErr w:type="spellStart"/>
      <w:r w:rsidR="00603DEC">
        <w:t>licence</w:t>
      </w:r>
      <w:proofErr w:type="spellEnd"/>
      <w:r w:rsidR="00603DEC">
        <w:t xml:space="preserve"> terms are available from the Creative Commons website.</w:t>
      </w:r>
    </w:p>
    <w:p w14:paraId="79585989" w14:textId="77777777" w:rsidR="00C415F5" w:rsidRDefault="00603DEC" w:rsidP="00392586">
      <w:pPr>
        <w:pStyle w:val="BodyText"/>
        <w:ind w:right="4210"/>
      </w:pPr>
      <w:r>
        <w:t xml:space="preserve">Use of Independent Hospital Pricing Authority material under a Creative Commons BY Attribution 3.0 Australia </w:t>
      </w:r>
      <w:proofErr w:type="spellStart"/>
      <w:r>
        <w:t>licence</w:t>
      </w:r>
      <w:proofErr w:type="spellEnd"/>
      <w:r>
        <w:t xml:space="preserve"> requires you to attribute the work (but not in any way that suggests that the Independent Hospital Pricing Authority endorses you or your use of the </w:t>
      </w:r>
      <w:r>
        <w:rPr>
          <w:spacing w:val="-3"/>
        </w:rPr>
        <w:t>work).</w:t>
      </w:r>
    </w:p>
    <w:p w14:paraId="4D6FD7BA" w14:textId="77777777" w:rsidR="00C415F5" w:rsidRDefault="00603DEC" w:rsidP="00392586">
      <w:pPr>
        <w:spacing w:before="166" w:line="256" w:lineRule="auto"/>
        <w:ind w:right="4210"/>
        <w:rPr>
          <w:i/>
          <w:sz w:val="19"/>
        </w:rPr>
      </w:pPr>
      <w:r>
        <w:rPr>
          <w:i/>
          <w:color w:val="58595B"/>
          <w:sz w:val="19"/>
        </w:rPr>
        <w:t>Independent Hospital Pricing Authority material used ‘as supplied’.</w:t>
      </w:r>
    </w:p>
    <w:p w14:paraId="56B3D741" w14:textId="77777777" w:rsidR="00C415F5" w:rsidRDefault="00603DEC" w:rsidP="00392586">
      <w:pPr>
        <w:pStyle w:val="BodyText"/>
        <w:ind w:right="4210"/>
      </w:pPr>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4C55CCE7" w14:textId="77777777" w:rsidR="00C415F5" w:rsidRDefault="00603DEC" w:rsidP="00392586">
      <w:pPr>
        <w:spacing w:before="167"/>
        <w:ind w:right="4210"/>
        <w:rPr>
          <w:i/>
          <w:sz w:val="19"/>
        </w:rPr>
      </w:pPr>
      <w:r>
        <w:rPr>
          <w:i/>
          <w:color w:val="58595B"/>
          <w:sz w:val="19"/>
        </w:rPr>
        <w:t>Source: The Independent Hospital Pricing Authority</w:t>
      </w:r>
    </w:p>
    <w:p w14:paraId="12A2902A" w14:textId="77777777" w:rsidR="00C415F5" w:rsidRDefault="00C415F5">
      <w:pPr>
        <w:rPr>
          <w:sz w:val="19"/>
        </w:rPr>
        <w:sectPr w:rsidR="00C415F5" w:rsidSect="00392586">
          <w:headerReference w:type="default" r:id="rId11"/>
          <w:pgSz w:w="11910" w:h="16840"/>
          <w:pgMar w:top="7797" w:right="1440" w:bottom="1440" w:left="1440" w:header="0" w:footer="0" w:gutter="0"/>
          <w:cols w:space="720"/>
          <w:docGrid w:linePitch="299"/>
        </w:sectPr>
      </w:pPr>
    </w:p>
    <w:p w14:paraId="0181515C" w14:textId="77777777" w:rsidR="00C415F5" w:rsidRPr="00F57333" w:rsidRDefault="00603DEC" w:rsidP="00F57333">
      <w:pPr>
        <w:pStyle w:val="Heading1"/>
      </w:pPr>
      <w:bookmarkStart w:id="1" w:name="Table_of_contents"/>
      <w:bookmarkEnd w:id="1"/>
      <w:r w:rsidRPr="00F57333">
        <w:lastRenderedPageBreak/>
        <w:t>Table of contents</w:t>
      </w:r>
    </w:p>
    <w:sdt>
      <w:sdtPr>
        <w:id w:val="6486506"/>
        <w:docPartObj>
          <w:docPartGallery w:val="Table of Contents"/>
          <w:docPartUnique/>
        </w:docPartObj>
      </w:sdtPr>
      <w:sdtEndPr/>
      <w:sdtContent>
        <w:p w14:paraId="591AEF71" w14:textId="77777777" w:rsidR="00C415F5" w:rsidRPr="00944DA4" w:rsidRDefault="00944DA4" w:rsidP="00A938F7">
          <w:pPr>
            <w:pStyle w:val="TOC1"/>
            <w:tabs>
              <w:tab w:val="right" w:pos="9030"/>
            </w:tabs>
            <w:spacing w:before="0"/>
            <w:ind w:left="426" w:hanging="426"/>
            <w:rPr>
              <w:rStyle w:val="Hyperlink"/>
              <w:color w:val="003E2D" w:themeColor="text2"/>
              <w:u w:val="none"/>
            </w:rPr>
          </w:pPr>
          <w:r w:rsidRPr="00944DA4">
            <w:rPr>
              <w:color w:val="003E2D" w:themeColor="text2"/>
              <w:w w:val="105"/>
            </w:rPr>
            <w:fldChar w:fldCharType="begin"/>
          </w:r>
          <w:r w:rsidRPr="00944DA4">
            <w:rPr>
              <w:color w:val="003E2D" w:themeColor="text2"/>
              <w:w w:val="105"/>
            </w:rPr>
            <w:instrText xml:space="preserve"> HYPERLINK  \l "Glossary" </w:instrText>
          </w:r>
          <w:r w:rsidRPr="00944DA4">
            <w:rPr>
              <w:color w:val="003E2D" w:themeColor="text2"/>
              <w:w w:val="105"/>
            </w:rPr>
            <w:fldChar w:fldCharType="separate"/>
          </w:r>
          <w:r w:rsidR="003D2632" w:rsidRPr="00944DA4">
            <w:rPr>
              <w:rStyle w:val="Hyperlink"/>
              <w:color w:val="003E2D" w:themeColor="text2"/>
              <w:w w:val="105"/>
              <w:u w:val="none"/>
            </w:rPr>
            <w:t>Glossary</w:t>
          </w:r>
          <w:r w:rsidR="00A938F7" w:rsidRPr="00944DA4">
            <w:rPr>
              <w:rStyle w:val="Hyperlink"/>
              <w:color w:val="003E2D" w:themeColor="text2"/>
              <w:w w:val="105"/>
              <w:u w:val="none"/>
            </w:rPr>
            <w:tab/>
          </w:r>
          <w:r w:rsidR="003D2632" w:rsidRPr="00944DA4">
            <w:rPr>
              <w:rStyle w:val="Hyperlink"/>
              <w:color w:val="003E2D" w:themeColor="text2"/>
              <w:w w:val="105"/>
              <w:u w:val="none"/>
            </w:rPr>
            <w:t>1</w:t>
          </w:r>
        </w:p>
        <w:p w14:paraId="7960A4A8" w14:textId="77777777" w:rsidR="00C415F5" w:rsidRPr="006C181D" w:rsidRDefault="00944DA4" w:rsidP="00A938F7">
          <w:pPr>
            <w:pStyle w:val="TOC1"/>
            <w:numPr>
              <w:ilvl w:val="0"/>
              <w:numId w:val="25"/>
            </w:numPr>
            <w:tabs>
              <w:tab w:val="left" w:pos="1870"/>
              <w:tab w:val="left" w:pos="1871"/>
              <w:tab w:val="right" w:pos="9030"/>
            </w:tabs>
            <w:ind w:left="567" w:hanging="567"/>
            <w:rPr>
              <w:rStyle w:val="Hyperlink"/>
              <w:color w:val="003E2D" w:themeColor="text1"/>
              <w:u w:val="none"/>
            </w:rPr>
          </w:pPr>
          <w:r w:rsidRPr="00944DA4">
            <w:rPr>
              <w:color w:val="003E2D" w:themeColor="text2"/>
              <w:w w:val="105"/>
            </w:rPr>
            <w:fldChar w:fldCharType="end"/>
          </w:r>
          <w:r w:rsidRPr="006C181D">
            <w:rPr>
              <w:color w:val="003E2D" w:themeColor="text1"/>
            </w:rPr>
            <w:fldChar w:fldCharType="begin"/>
          </w:r>
          <w:r w:rsidRPr="006C181D">
            <w:rPr>
              <w:color w:val="003E2D" w:themeColor="text1"/>
            </w:rPr>
            <w:instrText xml:space="preserve"> HYPERLINK  \l "_Introduction" </w:instrText>
          </w:r>
          <w:r w:rsidRPr="006C181D">
            <w:rPr>
              <w:color w:val="003E2D" w:themeColor="text1"/>
            </w:rPr>
            <w:fldChar w:fldCharType="separate"/>
          </w:r>
          <w:r w:rsidR="003D2632" w:rsidRPr="006C181D">
            <w:rPr>
              <w:rStyle w:val="Hyperlink"/>
              <w:color w:val="003E2D" w:themeColor="text1"/>
              <w:u w:val="none"/>
            </w:rPr>
            <w:t>Introduction</w:t>
          </w:r>
          <w:r w:rsidR="00A938F7" w:rsidRPr="006C181D">
            <w:rPr>
              <w:rStyle w:val="Hyperlink"/>
              <w:color w:val="003E2D" w:themeColor="text1"/>
              <w:u w:val="none"/>
            </w:rPr>
            <w:tab/>
          </w:r>
          <w:r w:rsidR="003D2632" w:rsidRPr="006C181D">
            <w:rPr>
              <w:rStyle w:val="Hyperlink"/>
              <w:color w:val="003E2D" w:themeColor="text1"/>
              <w:u w:val="none"/>
            </w:rPr>
            <w:t>2</w:t>
          </w:r>
        </w:p>
        <w:p w14:paraId="0B99A7D6" w14:textId="77777777" w:rsidR="00C415F5" w:rsidRPr="006C181D" w:rsidRDefault="00944DA4" w:rsidP="00A938F7">
          <w:pPr>
            <w:pStyle w:val="TOC1"/>
            <w:numPr>
              <w:ilvl w:val="0"/>
              <w:numId w:val="25"/>
            </w:numPr>
            <w:tabs>
              <w:tab w:val="left" w:pos="1870"/>
              <w:tab w:val="left" w:pos="1871"/>
              <w:tab w:val="right" w:pos="9030"/>
            </w:tabs>
            <w:ind w:left="567" w:hanging="567"/>
            <w:rPr>
              <w:rStyle w:val="Hyperlink"/>
              <w:color w:val="003E2D" w:themeColor="text1"/>
              <w:u w:val="none"/>
            </w:rPr>
          </w:pPr>
          <w:r w:rsidRPr="006C181D">
            <w:rPr>
              <w:color w:val="003E2D" w:themeColor="text1"/>
            </w:rPr>
            <w:fldChar w:fldCharType="end"/>
          </w:r>
          <w:r w:rsidRPr="006C181D">
            <w:rPr>
              <w:color w:val="003E2D" w:themeColor="text1"/>
              <w:spacing w:val="-6"/>
            </w:rPr>
            <w:fldChar w:fldCharType="begin"/>
          </w:r>
          <w:r w:rsidRPr="006C181D">
            <w:rPr>
              <w:color w:val="003E2D" w:themeColor="text1"/>
              <w:spacing w:val="-6"/>
            </w:rPr>
            <w:instrText xml:space="preserve"> HYPERLINK  \l "_2_The_Pricing" </w:instrText>
          </w:r>
          <w:r w:rsidRPr="006C181D">
            <w:rPr>
              <w:color w:val="003E2D" w:themeColor="text1"/>
              <w:spacing w:val="-6"/>
            </w:rPr>
            <w:fldChar w:fldCharType="separate"/>
          </w:r>
          <w:r w:rsidR="003D2632" w:rsidRPr="006C181D">
            <w:rPr>
              <w:rStyle w:val="Hyperlink"/>
              <w:color w:val="003E2D" w:themeColor="text1"/>
              <w:spacing w:val="-6"/>
              <w:u w:val="none"/>
            </w:rPr>
            <w:t>The</w:t>
          </w:r>
          <w:r w:rsidR="003D2632" w:rsidRPr="006C181D">
            <w:rPr>
              <w:rStyle w:val="Hyperlink"/>
              <w:color w:val="003E2D" w:themeColor="text1"/>
              <w:spacing w:val="-24"/>
              <w:u w:val="none"/>
            </w:rPr>
            <w:t xml:space="preserve"> </w:t>
          </w:r>
          <w:r w:rsidR="003D2632" w:rsidRPr="006C181D">
            <w:rPr>
              <w:rStyle w:val="Hyperlink"/>
              <w:color w:val="003E2D" w:themeColor="text1"/>
              <w:u w:val="none"/>
            </w:rPr>
            <w:t>Pricing</w:t>
          </w:r>
          <w:r w:rsidR="003D2632" w:rsidRPr="006C181D">
            <w:rPr>
              <w:rStyle w:val="Hyperlink"/>
              <w:color w:val="003E2D" w:themeColor="text1"/>
              <w:spacing w:val="-23"/>
              <w:u w:val="none"/>
            </w:rPr>
            <w:t xml:space="preserve"> </w:t>
          </w:r>
          <w:r w:rsidR="003D2632" w:rsidRPr="006C181D">
            <w:rPr>
              <w:rStyle w:val="Hyperlink"/>
              <w:color w:val="003E2D" w:themeColor="text1"/>
              <w:u w:val="none"/>
            </w:rPr>
            <w:t>Guidelines</w:t>
          </w:r>
          <w:r w:rsidR="00A938F7" w:rsidRPr="006C181D">
            <w:rPr>
              <w:rStyle w:val="Hyperlink"/>
              <w:color w:val="003E2D" w:themeColor="text1"/>
              <w:u w:val="none"/>
            </w:rPr>
            <w:tab/>
          </w:r>
          <w:r w:rsidR="0081421D" w:rsidRPr="006C181D">
            <w:rPr>
              <w:rStyle w:val="Hyperlink"/>
              <w:color w:val="003E2D" w:themeColor="text1"/>
              <w:u w:val="none"/>
            </w:rPr>
            <w:t>4</w:t>
          </w:r>
        </w:p>
        <w:p w14:paraId="20C87850" w14:textId="77777777" w:rsidR="00C415F5" w:rsidRPr="00944DA4" w:rsidRDefault="00944DA4" w:rsidP="00A938F7">
          <w:pPr>
            <w:pStyle w:val="TOC1"/>
            <w:numPr>
              <w:ilvl w:val="0"/>
              <w:numId w:val="25"/>
            </w:numPr>
            <w:tabs>
              <w:tab w:val="left" w:pos="1870"/>
              <w:tab w:val="left" w:pos="1871"/>
              <w:tab w:val="right" w:pos="9030"/>
            </w:tabs>
            <w:spacing w:before="418"/>
            <w:ind w:left="567" w:hanging="567"/>
            <w:rPr>
              <w:rStyle w:val="Hyperlink"/>
              <w:color w:val="003E2D" w:themeColor="text2"/>
              <w:u w:val="none"/>
            </w:rPr>
          </w:pPr>
          <w:r w:rsidRPr="006C181D">
            <w:rPr>
              <w:color w:val="003E2D" w:themeColor="text1"/>
              <w:spacing w:val="-6"/>
            </w:rPr>
            <w:fldChar w:fldCharType="end"/>
          </w:r>
          <w:r w:rsidRPr="00944DA4">
            <w:rPr>
              <w:color w:val="003E2D" w:themeColor="text2"/>
            </w:rPr>
            <w:fldChar w:fldCharType="begin"/>
          </w:r>
          <w:r w:rsidRPr="00944DA4">
            <w:rPr>
              <w:color w:val="003E2D" w:themeColor="text2"/>
            </w:rPr>
            <w:instrText xml:space="preserve"> HYPERLINK  \l "_3_Scope_of" </w:instrText>
          </w:r>
          <w:r w:rsidRPr="00944DA4">
            <w:rPr>
              <w:color w:val="003E2D" w:themeColor="text2"/>
            </w:rPr>
            <w:fldChar w:fldCharType="separate"/>
          </w:r>
          <w:r w:rsidR="003D2632" w:rsidRPr="00944DA4">
            <w:rPr>
              <w:rStyle w:val="Hyperlink"/>
              <w:color w:val="003E2D" w:themeColor="text2"/>
              <w:u w:val="none"/>
            </w:rPr>
            <w:t>Scope</w:t>
          </w:r>
          <w:r w:rsidR="003D2632" w:rsidRPr="00944DA4">
            <w:rPr>
              <w:rStyle w:val="Hyperlink"/>
              <w:color w:val="003E2D" w:themeColor="text2"/>
              <w:spacing w:val="-24"/>
              <w:u w:val="none"/>
            </w:rPr>
            <w:t xml:space="preserve"> </w:t>
          </w:r>
          <w:r w:rsidR="003D2632" w:rsidRPr="00944DA4">
            <w:rPr>
              <w:rStyle w:val="Hyperlink"/>
              <w:color w:val="003E2D" w:themeColor="text2"/>
              <w:u w:val="none"/>
            </w:rPr>
            <w:t>of</w:t>
          </w:r>
          <w:r w:rsidR="003D2632" w:rsidRPr="00944DA4">
            <w:rPr>
              <w:rStyle w:val="Hyperlink"/>
              <w:color w:val="003E2D" w:themeColor="text2"/>
              <w:spacing w:val="-24"/>
              <w:u w:val="none"/>
            </w:rPr>
            <w:t xml:space="preserve"> </w:t>
          </w:r>
          <w:r w:rsidR="003D2632" w:rsidRPr="00944DA4">
            <w:rPr>
              <w:rStyle w:val="Hyperlink"/>
              <w:color w:val="003E2D" w:themeColor="text2"/>
              <w:u w:val="none"/>
            </w:rPr>
            <w:t>public</w:t>
          </w:r>
          <w:r w:rsidR="003D2632" w:rsidRPr="00944DA4">
            <w:rPr>
              <w:rStyle w:val="Hyperlink"/>
              <w:color w:val="003E2D" w:themeColor="text2"/>
              <w:spacing w:val="-23"/>
              <w:u w:val="none"/>
            </w:rPr>
            <w:t xml:space="preserve"> </w:t>
          </w:r>
          <w:r w:rsidR="003D2632" w:rsidRPr="00944DA4">
            <w:rPr>
              <w:rStyle w:val="Hyperlink"/>
              <w:color w:val="003E2D" w:themeColor="text2"/>
              <w:u w:val="none"/>
            </w:rPr>
            <w:t>hospital</w:t>
          </w:r>
          <w:r w:rsidR="003D2632" w:rsidRPr="00944DA4">
            <w:rPr>
              <w:rStyle w:val="Hyperlink"/>
              <w:color w:val="003E2D" w:themeColor="text2"/>
              <w:spacing w:val="-24"/>
              <w:u w:val="none"/>
            </w:rPr>
            <w:t xml:space="preserve"> </w:t>
          </w:r>
          <w:r w:rsidR="003D2632" w:rsidRPr="00944DA4">
            <w:rPr>
              <w:rStyle w:val="Hyperlink"/>
              <w:color w:val="003E2D" w:themeColor="text2"/>
              <w:u w:val="none"/>
            </w:rPr>
            <w:t>services</w:t>
          </w:r>
          <w:r w:rsidR="00A938F7" w:rsidRPr="00944DA4">
            <w:rPr>
              <w:rStyle w:val="Hyperlink"/>
              <w:color w:val="003E2D" w:themeColor="text2"/>
              <w:u w:val="none"/>
            </w:rPr>
            <w:tab/>
          </w:r>
          <w:r w:rsidR="0081421D">
            <w:rPr>
              <w:rStyle w:val="Hyperlink"/>
              <w:color w:val="003E2D" w:themeColor="text2"/>
              <w:u w:val="none"/>
            </w:rPr>
            <w:t>7</w:t>
          </w:r>
        </w:p>
        <w:p w14:paraId="45BC580C" w14:textId="77777777" w:rsidR="00C415F5" w:rsidRPr="00944DA4" w:rsidRDefault="00944DA4" w:rsidP="00A938F7">
          <w:pPr>
            <w:pStyle w:val="TOC1"/>
            <w:numPr>
              <w:ilvl w:val="0"/>
              <w:numId w:val="25"/>
            </w:numPr>
            <w:tabs>
              <w:tab w:val="left" w:pos="1870"/>
              <w:tab w:val="left" w:pos="1871"/>
              <w:tab w:val="right" w:pos="9030"/>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"_4_Classifications_used" </w:instrText>
          </w:r>
          <w:r w:rsidRPr="00944DA4">
            <w:rPr>
              <w:color w:val="003E2D" w:themeColor="text2"/>
            </w:rPr>
            <w:fldChar w:fldCharType="separate"/>
          </w:r>
          <w:r w:rsidR="003D2632" w:rsidRPr="00944DA4">
            <w:rPr>
              <w:rStyle w:val="Hyperlink"/>
              <w:color w:val="003E2D" w:themeColor="text2"/>
              <w:u w:val="none"/>
            </w:rPr>
            <w:t>Classifications</w:t>
          </w:r>
          <w:r w:rsidR="003D2632" w:rsidRPr="00944DA4">
            <w:rPr>
              <w:rStyle w:val="Hyperlink"/>
              <w:color w:val="003E2D" w:themeColor="text2"/>
              <w:spacing w:val="-30"/>
              <w:u w:val="none"/>
            </w:rPr>
            <w:t xml:space="preserve"> </w:t>
          </w:r>
          <w:r w:rsidR="003D2632" w:rsidRPr="00944DA4">
            <w:rPr>
              <w:rStyle w:val="Hyperlink"/>
              <w:color w:val="003E2D" w:themeColor="text2"/>
              <w:u w:val="none"/>
            </w:rPr>
            <w:t>used</w:t>
          </w:r>
          <w:r w:rsidR="003D2632" w:rsidRPr="00944DA4">
            <w:rPr>
              <w:rStyle w:val="Hyperlink"/>
              <w:color w:val="003E2D" w:themeColor="text2"/>
              <w:spacing w:val="-29"/>
              <w:u w:val="none"/>
            </w:rPr>
            <w:t xml:space="preserve"> </w:t>
          </w:r>
          <w:r w:rsidR="003D2632" w:rsidRPr="00944DA4">
            <w:rPr>
              <w:rStyle w:val="Hyperlink"/>
              <w:color w:val="003E2D" w:themeColor="text2"/>
              <w:u w:val="none"/>
            </w:rPr>
            <w:t>to</w:t>
          </w:r>
          <w:r w:rsidR="003D2632" w:rsidRPr="00944DA4">
            <w:rPr>
              <w:rStyle w:val="Hyperlink"/>
              <w:color w:val="003E2D" w:themeColor="text2"/>
              <w:spacing w:val="-29"/>
              <w:u w:val="none"/>
            </w:rPr>
            <w:t xml:space="preserve"> </w:t>
          </w:r>
          <w:r w:rsidR="003D2632" w:rsidRPr="00944DA4">
            <w:rPr>
              <w:rStyle w:val="Hyperlink"/>
              <w:color w:val="003E2D" w:themeColor="text2"/>
              <w:u w:val="none"/>
            </w:rPr>
            <w:t>describe</w:t>
          </w:r>
          <w:r w:rsidR="003D2632" w:rsidRPr="00944DA4">
            <w:rPr>
              <w:rStyle w:val="Hyperlink"/>
              <w:color w:val="003E2D" w:themeColor="text2"/>
              <w:spacing w:val="-29"/>
              <w:u w:val="none"/>
            </w:rPr>
            <w:t xml:space="preserve"> </w:t>
          </w:r>
          <w:r w:rsidR="003D2632" w:rsidRPr="00944DA4">
            <w:rPr>
              <w:rStyle w:val="Hyperlink"/>
              <w:color w:val="003E2D" w:themeColor="text2"/>
              <w:u w:val="none"/>
            </w:rPr>
            <w:t>and</w:t>
          </w:r>
          <w:r w:rsidR="003D2632" w:rsidRPr="00944DA4">
            <w:rPr>
              <w:rStyle w:val="Hyperlink"/>
              <w:color w:val="003E2D" w:themeColor="text2"/>
              <w:spacing w:val="-29"/>
              <w:u w:val="none"/>
            </w:rPr>
            <w:t xml:space="preserve"> </w:t>
          </w:r>
          <w:r w:rsidR="003D2632" w:rsidRPr="00944DA4">
            <w:rPr>
              <w:rStyle w:val="Hyperlink"/>
              <w:color w:val="003E2D" w:themeColor="text2"/>
              <w:u w:val="none"/>
            </w:rPr>
            <w:t>price</w:t>
          </w:r>
          <w:r w:rsidR="003D2632" w:rsidRPr="00944DA4">
            <w:rPr>
              <w:rStyle w:val="Hyperlink"/>
              <w:color w:val="003E2D" w:themeColor="text2"/>
              <w:spacing w:val="-30"/>
              <w:u w:val="none"/>
            </w:rPr>
            <w:t xml:space="preserve"> </w:t>
          </w:r>
          <w:r w:rsidR="003D2632" w:rsidRPr="00944DA4">
            <w:rPr>
              <w:rStyle w:val="Hyperlink"/>
              <w:color w:val="003E2D" w:themeColor="text2"/>
              <w:u w:val="none"/>
            </w:rPr>
            <w:t>public</w:t>
          </w:r>
          <w:r w:rsidR="003D2632" w:rsidRPr="00944DA4">
            <w:rPr>
              <w:rStyle w:val="Hyperlink"/>
              <w:color w:val="003E2D" w:themeColor="text2"/>
              <w:spacing w:val="-29"/>
              <w:u w:val="none"/>
            </w:rPr>
            <w:t xml:space="preserve"> </w:t>
          </w:r>
          <w:r w:rsidR="003D2632" w:rsidRPr="00944DA4">
            <w:rPr>
              <w:rStyle w:val="Hyperlink"/>
              <w:color w:val="003E2D" w:themeColor="text2"/>
              <w:u w:val="none"/>
            </w:rPr>
            <w:t>hospital</w:t>
          </w:r>
          <w:r w:rsidR="003D2632" w:rsidRPr="00944DA4">
            <w:rPr>
              <w:rStyle w:val="Hyperlink"/>
              <w:color w:val="003E2D" w:themeColor="text2"/>
              <w:spacing w:val="-29"/>
              <w:u w:val="none"/>
            </w:rPr>
            <w:t xml:space="preserve"> </w:t>
          </w:r>
          <w:r w:rsidR="003D2632" w:rsidRPr="00944DA4">
            <w:rPr>
              <w:rStyle w:val="Hyperlink"/>
              <w:color w:val="003E2D" w:themeColor="text2"/>
              <w:u w:val="none"/>
            </w:rPr>
            <w:t>services</w:t>
          </w:r>
          <w:r w:rsidR="00A938F7" w:rsidRPr="00944DA4">
            <w:rPr>
              <w:rStyle w:val="Hyperlink"/>
              <w:color w:val="003E2D" w:themeColor="text2"/>
              <w:u w:val="none"/>
            </w:rPr>
            <w:tab/>
          </w:r>
          <w:r w:rsidR="0081421D">
            <w:rPr>
              <w:rStyle w:val="Hyperlink"/>
              <w:color w:val="003E2D" w:themeColor="text2"/>
              <w:spacing w:val="-10"/>
              <w:u w:val="none"/>
            </w:rPr>
            <w:t>10</w:t>
          </w:r>
        </w:p>
        <w:p w14:paraId="658AAD08" w14:textId="77777777" w:rsidR="00C415F5" w:rsidRPr="00944DA4" w:rsidRDefault="00944DA4" w:rsidP="00603DEC">
          <w:pPr>
            <w:pStyle w:val="TOC1"/>
            <w:numPr>
              <w:ilvl w:val="0"/>
              <w:numId w:val="25"/>
            </w:numPr>
            <w:tabs>
              <w:tab w:val="left" w:pos="1870"/>
              <w:tab w:val="left" w:pos="1871"/>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"_5_Setting_the" </w:instrText>
          </w:r>
          <w:r w:rsidRPr="00944DA4">
            <w:rPr>
              <w:color w:val="003E2D" w:themeColor="text2"/>
            </w:rPr>
            <w:fldChar w:fldCharType="separate"/>
          </w:r>
          <w:r w:rsidR="003D2632" w:rsidRPr="00944DA4">
            <w:rPr>
              <w:rStyle w:val="Hyperlink"/>
              <w:color w:val="003E2D" w:themeColor="text2"/>
              <w:u w:val="none"/>
            </w:rPr>
            <w:t>Setting</w:t>
          </w:r>
          <w:r w:rsidR="003D2632" w:rsidRPr="00944DA4">
            <w:rPr>
              <w:rStyle w:val="Hyperlink"/>
              <w:color w:val="003E2D" w:themeColor="text2"/>
              <w:spacing w:val="-26"/>
              <w:u w:val="none"/>
            </w:rPr>
            <w:t xml:space="preserve"> </w:t>
          </w:r>
          <w:r w:rsidR="003D2632" w:rsidRPr="00944DA4">
            <w:rPr>
              <w:rStyle w:val="Hyperlink"/>
              <w:color w:val="003E2D" w:themeColor="text2"/>
              <w:u w:val="none"/>
            </w:rPr>
            <w:t>the</w:t>
          </w:r>
          <w:r w:rsidR="003D2632" w:rsidRPr="00944DA4">
            <w:rPr>
              <w:rStyle w:val="Hyperlink"/>
              <w:color w:val="003E2D" w:themeColor="text2"/>
              <w:spacing w:val="-26"/>
              <w:u w:val="none"/>
            </w:rPr>
            <w:t xml:space="preserve"> </w:t>
          </w:r>
          <w:r w:rsidR="003D2632" w:rsidRPr="00944DA4">
            <w:rPr>
              <w:rStyle w:val="Hyperlink"/>
              <w:color w:val="003E2D" w:themeColor="text2"/>
              <w:u w:val="none"/>
            </w:rPr>
            <w:t>National</w:t>
          </w:r>
          <w:r w:rsidR="003D2632" w:rsidRPr="00944DA4">
            <w:rPr>
              <w:rStyle w:val="Hyperlink"/>
              <w:color w:val="003E2D" w:themeColor="text2"/>
              <w:spacing w:val="-26"/>
              <w:u w:val="none"/>
            </w:rPr>
            <w:t xml:space="preserve"> </w:t>
          </w:r>
          <w:r w:rsidR="003D2632" w:rsidRPr="00944DA4">
            <w:rPr>
              <w:rStyle w:val="Hyperlink"/>
              <w:color w:val="003E2D" w:themeColor="text2"/>
              <w:u w:val="none"/>
            </w:rPr>
            <w:t>Efficient</w:t>
          </w:r>
          <w:r w:rsidR="003D2632" w:rsidRPr="00944DA4">
            <w:rPr>
              <w:rStyle w:val="Hyperlink"/>
              <w:color w:val="003E2D" w:themeColor="text2"/>
              <w:spacing w:val="-26"/>
              <w:u w:val="none"/>
            </w:rPr>
            <w:t xml:space="preserve"> </w:t>
          </w:r>
          <w:r w:rsidR="003D2632" w:rsidRPr="00944DA4">
            <w:rPr>
              <w:rStyle w:val="Hyperlink"/>
              <w:color w:val="003E2D" w:themeColor="text2"/>
              <w:u w:val="none"/>
            </w:rPr>
            <w:t>Price</w:t>
          </w:r>
          <w:r w:rsidR="003D2632" w:rsidRPr="00944DA4">
            <w:rPr>
              <w:rStyle w:val="Hyperlink"/>
              <w:color w:val="003E2D" w:themeColor="text2"/>
              <w:spacing w:val="-26"/>
              <w:u w:val="none"/>
            </w:rPr>
            <w:t xml:space="preserve"> </w:t>
          </w:r>
          <w:r w:rsidR="003D2632" w:rsidRPr="00944DA4">
            <w:rPr>
              <w:rStyle w:val="Hyperlink"/>
              <w:color w:val="003E2D" w:themeColor="text2"/>
              <w:u w:val="none"/>
            </w:rPr>
            <w:t>for</w:t>
          </w:r>
          <w:r w:rsidR="003D2632" w:rsidRPr="00944DA4">
            <w:rPr>
              <w:rStyle w:val="Hyperlink"/>
              <w:color w:val="003E2D" w:themeColor="text2"/>
              <w:spacing w:val="-26"/>
              <w:u w:val="none"/>
            </w:rPr>
            <w:t xml:space="preserve"> </w:t>
          </w:r>
          <w:r w:rsidR="003D2632" w:rsidRPr="00944DA4">
            <w:rPr>
              <w:rStyle w:val="Hyperlink"/>
              <w:color w:val="003E2D" w:themeColor="text2"/>
              <w:u w:val="none"/>
            </w:rPr>
            <w:t>activity</w:t>
          </w:r>
          <w:r w:rsidR="003D2632" w:rsidRPr="00944DA4">
            <w:rPr>
              <w:rStyle w:val="Hyperlink"/>
              <w:color w:val="003E2D" w:themeColor="text2"/>
              <w:spacing w:val="-26"/>
              <w:u w:val="none"/>
            </w:rPr>
            <w:t xml:space="preserve"> </w:t>
          </w:r>
          <w:r w:rsidR="003D2632" w:rsidRPr="00944DA4">
            <w:rPr>
              <w:rStyle w:val="Hyperlink"/>
              <w:color w:val="003E2D" w:themeColor="text2"/>
              <w:u w:val="none"/>
            </w:rPr>
            <w:t>based</w:t>
          </w:r>
          <w:r w:rsidR="003D2632" w:rsidRPr="00944DA4">
            <w:rPr>
              <w:rStyle w:val="Hyperlink"/>
              <w:color w:val="003E2D" w:themeColor="text2"/>
              <w:spacing w:val="-25"/>
              <w:u w:val="none"/>
            </w:rPr>
            <w:t xml:space="preserve"> </w:t>
          </w:r>
          <w:r w:rsidR="003D2632" w:rsidRPr="00944DA4">
            <w:rPr>
              <w:rStyle w:val="Hyperlink"/>
              <w:color w:val="003E2D" w:themeColor="text2"/>
              <w:u w:val="none"/>
            </w:rPr>
            <w:t>funded</w:t>
          </w:r>
        </w:p>
        <w:p w14:paraId="141D0298" w14:textId="77777777" w:rsidR="00C415F5" w:rsidRPr="00944DA4" w:rsidRDefault="00944DA4" w:rsidP="00A938F7">
          <w:pPr>
            <w:pStyle w:val="TOC3"/>
            <w:tabs>
              <w:tab w:val="right" w:pos="9030"/>
            </w:tabs>
            <w:ind w:left="1134" w:hanging="567"/>
            <w:rPr>
              <w:rStyle w:val="Hyperlink"/>
              <w:b w:val="0"/>
              <w:bCs/>
              <w:color w:val="003E2D" w:themeColor="text2"/>
              <w:u w:val="none"/>
            </w:rPr>
          </w:pPr>
          <w:r w:rsidRPr="00944DA4">
            <w:rPr>
              <w:b w:val="0"/>
              <w:color w:val="003E2D" w:themeColor="text2"/>
            </w:rPr>
            <w:fldChar w:fldCharType="end"/>
          </w:r>
          <w:r w:rsidRPr="00944DA4">
            <w:rPr>
              <w:b w:val="0"/>
              <w:bCs/>
              <w:color w:val="003E2D" w:themeColor="text2"/>
            </w:rPr>
            <w:fldChar w:fldCharType="begin"/>
          </w:r>
          <w:r w:rsidRPr="00944DA4">
            <w:rPr>
              <w:b w:val="0"/>
              <w:bCs/>
              <w:color w:val="003E2D" w:themeColor="text2"/>
            </w:rPr>
            <w:instrText xml:space="preserve"> HYPERLINK  \l "_5_Setting_the" </w:instrText>
          </w:r>
          <w:r w:rsidRPr="00944DA4">
            <w:rPr>
              <w:b w:val="0"/>
              <w:bCs/>
              <w:color w:val="003E2D" w:themeColor="text2"/>
            </w:rPr>
            <w:fldChar w:fldCharType="separate"/>
          </w:r>
          <w:r w:rsidR="003D2632" w:rsidRPr="00944DA4">
            <w:rPr>
              <w:rStyle w:val="Hyperlink"/>
              <w:b w:val="0"/>
              <w:bCs/>
              <w:color w:val="003E2D" w:themeColor="text2"/>
              <w:u w:val="none"/>
            </w:rPr>
            <w:t>public</w:t>
          </w:r>
          <w:r w:rsidR="003D2632" w:rsidRPr="00944DA4">
            <w:rPr>
              <w:rStyle w:val="Hyperlink"/>
              <w:b w:val="0"/>
              <w:bCs/>
              <w:color w:val="003E2D" w:themeColor="text2"/>
              <w:spacing w:val="-24"/>
              <w:u w:val="none"/>
            </w:rPr>
            <w:t xml:space="preserve"> </w:t>
          </w:r>
          <w:r w:rsidR="003D2632" w:rsidRPr="00944DA4">
            <w:rPr>
              <w:rStyle w:val="Hyperlink"/>
              <w:b w:val="0"/>
              <w:bCs/>
              <w:color w:val="003E2D" w:themeColor="text2"/>
              <w:u w:val="none"/>
            </w:rPr>
            <w:t>hospitals</w:t>
          </w:r>
          <w:r w:rsidR="00A938F7" w:rsidRPr="00944DA4">
            <w:rPr>
              <w:rStyle w:val="Hyperlink"/>
              <w:b w:val="0"/>
              <w:bCs/>
              <w:color w:val="003E2D" w:themeColor="text2"/>
              <w:u w:val="none"/>
            </w:rPr>
            <w:tab/>
          </w:r>
          <w:r>
            <w:rPr>
              <w:rStyle w:val="Hyperlink"/>
              <w:b w:val="0"/>
              <w:bCs/>
              <w:color w:val="003E2D" w:themeColor="text2"/>
              <w:spacing w:val="-17"/>
              <w:u w:val="none"/>
            </w:rPr>
            <w:t>1</w:t>
          </w:r>
          <w:r w:rsidR="0081421D">
            <w:rPr>
              <w:rStyle w:val="Hyperlink"/>
              <w:b w:val="0"/>
              <w:bCs/>
              <w:color w:val="003E2D" w:themeColor="text2"/>
              <w:spacing w:val="-17"/>
              <w:u w:val="none"/>
            </w:rPr>
            <w:t>7</w:t>
          </w:r>
        </w:p>
        <w:p w14:paraId="37F95045" w14:textId="77777777" w:rsidR="00C415F5" w:rsidRPr="00944DA4" w:rsidRDefault="00944DA4" w:rsidP="00A938F7">
          <w:pPr>
            <w:pStyle w:val="TOC1"/>
            <w:numPr>
              <w:ilvl w:val="0"/>
              <w:numId w:val="25"/>
            </w:numPr>
            <w:tabs>
              <w:tab w:val="left" w:pos="1870"/>
              <w:tab w:val="left" w:pos="1871"/>
              <w:tab w:val="right" w:pos="9030"/>
            </w:tabs>
            <w:ind w:left="567" w:hanging="567"/>
            <w:rPr>
              <w:rStyle w:val="Hyperlink"/>
              <w:color w:val="003E2D" w:themeColor="text2"/>
              <w:u w:val="none"/>
            </w:rPr>
          </w:pPr>
          <w:r w:rsidRPr="00944DA4">
            <w:rPr>
              <w:bCs/>
              <w:color w:val="003E2D" w:themeColor="text2"/>
            </w:rPr>
            <w:fldChar w:fldCharType="end"/>
          </w:r>
          <w:r w:rsidRPr="00944DA4">
            <w:rPr>
              <w:color w:val="003E2D" w:themeColor="text2"/>
            </w:rPr>
            <w:fldChar w:fldCharType="begin"/>
          </w:r>
          <w:r w:rsidRPr="00944DA4">
            <w:rPr>
              <w:color w:val="003E2D" w:themeColor="text2"/>
            </w:rPr>
            <w:instrText xml:space="preserve"> HYPERLINK  \l "_6_Data_collection" </w:instrText>
          </w:r>
          <w:r w:rsidRPr="00944DA4">
            <w:rPr>
              <w:color w:val="003E2D" w:themeColor="text2"/>
            </w:rPr>
            <w:fldChar w:fldCharType="separate"/>
          </w:r>
          <w:r w:rsidR="003D2632" w:rsidRPr="00944DA4">
            <w:rPr>
              <w:rStyle w:val="Hyperlink"/>
              <w:color w:val="003E2D" w:themeColor="text2"/>
              <w:u w:val="none"/>
            </w:rPr>
            <w:t>Data</w:t>
          </w:r>
          <w:r w:rsidR="003D2632" w:rsidRPr="00944DA4">
            <w:rPr>
              <w:rStyle w:val="Hyperlink"/>
              <w:color w:val="003E2D" w:themeColor="text2"/>
              <w:spacing w:val="-24"/>
              <w:u w:val="none"/>
            </w:rPr>
            <w:t xml:space="preserve"> </w:t>
          </w:r>
          <w:r w:rsidR="003D2632" w:rsidRPr="00944DA4">
            <w:rPr>
              <w:rStyle w:val="Hyperlink"/>
              <w:color w:val="003E2D" w:themeColor="text2"/>
              <w:u w:val="none"/>
            </w:rPr>
            <w:t>collection</w:t>
          </w:r>
          <w:r w:rsidR="00A938F7" w:rsidRPr="00944DA4">
            <w:rPr>
              <w:rStyle w:val="Hyperlink"/>
              <w:color w:val="003E2D" w:themeColor="text2"/>
              <w:u w:val="none"/>
            </w:rPr>
            <w:tab/>
          </w:r>
          <w:r w:rsidR="0081421D">
            <w:rPr>
              <w:rStyle w:val="Hyperlink"/>
              <w:color w:val="003E2D" w:themeColor="text2"/>
              <w:spacing w:val="-15"/>
              <w:u w:val="none"/>
            </w:rPr>
            <w:t>21</w:t>
          </w:r>
        </w:p>
        <w:p w14:paraId="728932BE" w14:textId="77777777" w:rsidR="00C415F5" w:rsidRPr="00944DA4" w:rsidRDefault="00944DA4" w:rsidP="00A938F7">
          <w:pPr>
            <w:pStyle w:val="TOC1"/>
            <w:numPr>
              <w:ilvl w:val="0"/>
              <w:numId w:val="25"/>
            </w:numPr>
            <w:tabs>
              <w:tab w:val="left" w:pos="1870"/>
              <w:tab w:val="left" w:pos="1871"/>
              <w:tab w:val="right" w:pos="9030"/>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"_7_Treatment_of" </w:instrText>
          </w:r>
          <w:r w:rsidRPr="00944DA4">
            <w:rPr>
              <w:color w:val="003E2D" w:themeColor="text2"/>
            </w:rPr>
            <w:fldChar w:fldCharType="separate"/>
          </w:r>
          <w:r w:rsidR="003D2632" w:rsidRPr="00944DA4">
            <w:rPr>
              <w:rStyle w:val="Hyperlink"/>
              <w:color w:val="003E2D" w:themeColor="text2"/>
              <w:u w:val="none"/>
            </w:rPr>
            <w:t>Treatment</w:t>
          </w:r>
          <w:r w:rsidR="003D2632" w:rsidRPr="00944DA4">
            <w:rPr>
              <w:rStyle w:val="Hyperlink"/>
              <w:color w:val="003E2D" w:themeColor="text2"/>
              <w:spacing w:val="-26"/>
              <w:u w:val="none"/>
            </w:rPr>
            <w:t xml:space="preserve"> </w:t>
          </w:r>
          <w:r w:rsidR="003D2632" w:rsidRPr="00944DA4">
            <w:rPr>
              <w:rStyle w:val="Hyperlink"/>
              <w:color w:val="003E2D" w:themeColor="text2"/>
              <w:u w:val="none"/>
            </w:rPr>
            <w:t>of</w:t>
          </w:r>
          <w:r w:rsidR="003D2632" w:rsidRPr="00944DA4">
            <w:rPr>
              <w:rStyle w:val="Hyperlink"/>
              <w:color w:val="003E2D" w:themeColor="text2"/>
              <w:spacing w:val="-26"/>
              <w:u w:val="none"/>
            </w:rPr>
            <w:t xml:space="preserve"> </w:t>
          </w:r>
          <w:r w:rsidR="003D2632" w:rsidRPr="00944DA4">
            <w:rPr>
              <w:rStyle w:val="Hyperlink"/>
              <w:color w:val="003E2D" w:themeColor="text2"/>
              <w:u w:val="none"/>
            </w:rPr>
            <w:t>other</w:t>
          </w:r>
          <w:r w:rsidR="003D2632" w:rsidRPr="00944DA4">
            <w:rPr>
              <w:rStyle w:val="Hyperlink"/>
              <w:color w:val="003E2D" w:themeColor="text2"/>
              <w:spacing w:val="-26"/>
              <w:u w:val="none"/>
            </w:rPr>
            <w:t xml:space="preserve"> </w:t>
          </w:r>
          <w:r w:rsidR="003D2632" w:rsidRPr="00944DA4">
            <w:rPr>
              <w:rStyle w:val="Hyperlink"/>
              <w:color w:val="003E2D" w:themeColor="text2"/>
              <w:u w:val="none"/>
            </w:rPr>
            <w:t>Commonwealth</w:t>
          </w:r>
          <w:r w:rsidR="003D2632" w:rsidRPr="00944DA4">
            <w:rPr>
              <w:rStyle w:val="Hyperlink"/>
              <w:color w:val="003E2D" w:themeColor="text2"/>
              <w:spacing w:val="-26"/>
              <w:u w:val="none"/>
            </w:rPr>
            <w:t xml:space="preserve"> </w:t>
          </w:r>
          <w:r w:rsidR="003D2632" w:rsidRPr="00944DA4">
            <w:rPr>
              <w:rStyle w:val="Hyperlink"/>
              <w:color w:val="003E2D" w:themeColor="text2"/>
              <w:u w:val="none"/>
            </w:rPr>
            <w:t>programs</w:t>
          </w:r>
          <w:r w:rsidR="00A938F7" w:rsidRPr="00944DA4">
            <w:rPr>
              <w:rStyle w:val="Hyperlink"/>
              <w:color w:val="003E2D" w:themeColor="text2"/>
              <w:u w:val="none"/>
            </w:rPr>
            <w:tab/>
          </w:r>
          <w:r w:rsidR="0081421D">
            <w:rPr>
              <w:rStyle w:val="Hyperlink"/>
              <w:color w:val="003E2D" w:themeColor="text2"/>
              <w:u w:val="none"/>
            </w:rPr>
            <w:t>25</w:t>
          </w:r>
        </w:p>
        <w:p w14:paraId="146C8E66" w14:textId="77777777" w:rsidR="00C415F5" w:rsidRPr="00944DA4" w:rsidRDefault="00944DA4" w:rsidP="00A938F7">
          <w:pPr>
            <w:pStyle w:val="TOC1"/>
            <w:numPr>
              <w:ilvl w:val="0"/>
              <w:numId w:val="25"/>
            </w:numPr>
            <w:tabs>
              <w:tab w:val="left" w:pos="1870"/>
              <w:tab w:val="left" w:pos="1871"/>
              <w:tab w:val="right" w:pos="9030"/>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"_8_Setting_the" </w:instrText>
          </w:r>
          <w:r w:rsidRPr="00944DA4">
            <w:rPr>
              <w:color w:val="003E2D" w:themeColor="text2"/>
            </w:rPr>
            <w:fldChar w:fldCharType="separate"/>
          </w:r>
          <w:r w:rsidR="003D2632" w:rsidRPr="00944DA4">
            <w:rPr>
              <w:rStyle w:val="Hyperlink"/>
              <w:color w:val="003E2D" w:themeColor="text2"/>
              <w:u w:val="none"/>
            </w:rPr>
            <w:t>Setting</w:t>
          </w:r>
          <w:r w:rsidR="003D2632" w:rsidRPr="00944DA4">
            <w:rPr>
              <w:rStyle w:val="Hyperlink"/>
              <w:color w:val="003E2D" w:themeColor="text2"/>
              <w:spacing w:val="-25"/>
              <w:u w:val="none"/>
            </w:rPr>
            <w:t xml:space="preserve"> </w:t>
          </w:r>
          <w:r w:rsidR="003D2632" w:rsidRPr="00944DA4">
            <w:rPr>
              <w:rStyle w:val="Hyperlink"/>
              <w:color w:val="003E2D" w:themeColor="text2"/>
              <w:u w:val="none"/>
            </w:rPr>
            <w:t>the</w:t>
          </w:r>
          <w:r w:rsidR="003D2632" w:rsidRPr="00944DA4">
            <w:rPr>
              <w:rStyle w:val="Hyperlink"/>
              <w:color w:val="003E2D" w:themeColor="text2"/>
              <w:spacing w:val="-24"/>
              <w:u w:val="none"/>
            </w:rPr>
            <w:t xml:space="preserve"> </w:t>
          </w:r>
          <w:r w:rsidR="003D2632" w:rsidRPr="00944DA4">
            <w:rPr>
              <w:rStyle w:val="Hyperlink"/>
              <w:color w:val="003E2D" w:themeColor="text2"/>
              <w:u w:val="none"/>
            </w:rPr>
            <w:t>National</w:t>
          </w:r>
          <w:r w:rsidR="003D2632" w:rsidRPr="00944DA4">
            <w:rPr>
              <w:rStyle w:val="Hyperlink"/>
              <w:color w:val="003E2D" w:themeColor="text2"/>
              <w:spacing w:val="-24"/>
              <w:u w:val="none"/>
            </w:rPr>
            <w:t xml:space="preserve"> </w:t>
          </w:r>
          <w:r w:rsidR="003D2632" w:rsidRPr="00944DA4">
            <w:rPr>
              <w:rStyle w:val="Hyperlink"/>
              <w:color w:val="003E2D" w:themeColor="text2"/>
              <w:u w:val="none"/>
            </w:rPr>
            <w:t>Efficient</w:t>
          </w:r>
          <w:r w:rsidR="003D2632" w:rsidRPr="00944DA4">
            <w:rPr>
              <w:rStyle w:val="Hyperlink"/>
              <w:color w:val="003E2D" w:themeColor="text2"/>
              <w:spacing w:val="-25"/>
              <w:u w:val="none"/>
            </w:rPr>
            <w:t xml:space="preserve"> </w:t>
          </w:r>
          <w:r w:rsidR="003D2632" w:rsidRPr="00944DA4">
            <w:rPr>
              <w:rStyle w:val="Hyperlink"/>
              <w:color w:val="003E2D" w:themeColor="text2"/>
              <w:u w:val="none"/>
            </w:rPr>
            <w:t>Cost</w:t>
          </w:r>
          <w:r w:rsidR="00A938F7" w:rsidRPr="00944DA4">
            <w:rPr>
              <w:rStyle w:val="Hyperlink"/>
              <w:color w:val="003E2D" w:themeColor="text2"/>
              <w:u w:val="none"/>
            </w:rPr>
            <w:tab/>
          </w:r>
          <w:r>
            <w:rPr>
              <w:rStyle w:val="Hyperlink"/>
              <w:color w:val="003E2D" w:themeColor="text2"/>
              <w:spacing w:val="-5"/>
              <w:u w:val="none"/>
            </w:rPr>
            <w:t>2</w:t>
          </w:r>
          <w:r w:rsidR="0081421D">
            <w:rPr>
              <w:rStyle w:val="Hyperlink"/>
              <w:color w:val="003E2D" w:themeColor="text2"/>
              <w:spacing w:val="-5"/>
              <w:u w:val="none"/>
            </w:rPr>
            <w:t>7</w:t>
          </w:r>
        </w:p>
        <w:p w14:paraId="239F9DC6" w14:textId="77777777" w:rsidR="00C415F5" w:rsidRPr="00944DA4" w:rsidRDefault="00944DA4" w:rsidP="00A938F7">
          <w:pPr>
            <w:pStyle w:val="TOC1"/>
            <w:numPr>
              <w:ilvl w:val="0"/>
              <w:numId w:val="25"/>
            </w:numPr>
            <w:tabs>
              <w:tab w:val="left" w:pos="1870"/>
              <w:tab w:val="left" w:pos="1871"/>
              <w:tab w:val="right" w:pos="9030"/>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"_9_Alternate_funding" </w:instrText>
          </w:r>
          <w:r w:rsidRPr="00944DA4">
            <w:rPr>
              <w:color w:val="003E2D" w:themeColor="text2"/>
            </w:rPr>
            <w:fldChar w:fldCharType="separate"/>
          </w:r>
          <w:r w:rsidR="003D2632" w:rsidRPr="00944DA4">
            <w:rPr>
              <w:rStyle w:val="Hyperlink"/>
              <w:color w:val="003E2D" w:themeColor="text2"/>
              <w:u w:val="none"/>
            </w:rPr>
            <w:t>Alternate</w:t>
          </w:r>
          <w:r w:rsidR="003D2632" w:rsidRPr="00944DA4">
            <w:rPr>
              <w:rStyle w:val="Hyperlink"/>
              <w:color w:val="003E2D" w:themeColor="text2"/>
              <w:spacing w:val="-24"/>
              <w:u w:val="none"/>
            </w:rPr>
            <w:t xml:space="preserve"> </w:t>
          </w:r>
          <w:r w:rsidR="003D2632" w:rsidRPr="00944DA4">
            <w:rPr>
              <w:rStyle w:val="Hyperlink"/>
              <w:color w:val="003E2D" w:themeColor="text2"/>
              <w:u w:val="none"/>
            </w:rPr>
            <w:t>funding</w:t>
          </w:r>
          <w:r w:rsidR="003D2632" w:rsidRPr="00944DA4">
            <w:rPr>
              <w:rStyle w:val="Hyperlink"/>
              <w:color w:val="003E2D" w:themeColor="text2"/>
              <w:spacing w:val="-23"/>
              <w:u w:val="none"/>
            </w:rPr>
            <w:t xml:space="preserve"> </w:t>
          </w:r>
          <w:r w:rsidR="003D2632" w:rsidRPr="00944DA4">
            <w:rPr>
              <w:rStyle w:val="Hyperlink"/>
              <w:color w:val="003E2D" w:themeColor="text2"/>
              <w:u w:val="none"/>
            </w:rPr>
            <w:t>models</w:t>
          </w:r>
          <w:r w:rsidR="00A938F7" w:rsidRPr="00944DA4">
            <w:rPr>
              <w:rStyle w:val="Hyperlink"/>
              <w:color w:val="003E2D" w:themeColor="text2"/>
              <w:u w:val="none"/>
            </w:rPr>
            <w:tab/>
          </w:r>
          <w:r>
            <w:rPr>
              <w:rStyle w:val="Hyperlink"/>
              <w:color w:val="003E2D" w:themeColor="text2"/>
              <w:spacing w:val="-4"/>
              <w:u w:val="none"/>
            </w:rPr>
            <w:t>2</w:t>
          </w:r>
          <w:r w:rsidR="0081421D">
            <w:rPr>
              <w:rStyle w:val="Hyperlink"/>
              <w:color w:val="003E2D" w:themeColor="text2"/>
              <w:spacing w:val="-4"/>
              <w:u w:val="none"/>
            </w:rPr>
            <w:t>9</w:t>
          </w:r>
        </w:p>
        <w:p w14:paraId="3D7469AE" w14:textId="77777777" w:rsidR="00C415F5" w:rsidRPr="00944DA4" w:rsidRDefault="00944DA4" w:rsidP="00A938F7">
          <w:pPr>
            <w:pStyle w:val="TOC2"/>
            <w:numPr>
              <w:ilvl w:val="0"/>
              <w:numId w:val="25"/>
            </w:numPr>
            <w:tabs>
              <w:tab w:val="left" w:pos="1871"/>
              <w:tab w:val="right" w:pos="9030"/>
            </w:tabs>
            <w:ind w:left="567" w:hanging="567"/>
            <w:rPr>
              <w:rStyle w:val="Hyperlink"/>
              <w:color w:val="003E2D" w:themeColor="text2"/>
              <w:u w:val="none"/>
            </w:rPr>
          </w:pPr>
          <w:r w:rsidRPr="00944DA4">
            <w:rPr>
              <w:color w:val="003E2D" w:themeColor="text2"/>
            </w:rPr>
            <w:fldChar w:fldCharType="end"/>
          </w:r>
          <w:r w:rsidRPr="00944DA4">
            <w:rPr>
              <w:color w:val="003E2D" w:themeColor="text2"/>
            </w:rPr>
            <w:fldChar w:fldCharType="begin"/>
          </w:r>
          <w:r w:rsidRPr="00944DA4">
            <w:rPr>
              <w:color w:val="003E2D" w:themeColor="text2"/>
            </w:rPr>
            <w:instrText xml:space="preserve"> HYPERLINK  \l "_10_Pricing_and" </w:instrText>
          </w:r>
          <w:r w:rsidRPr="00944DA4">
            <w:rPr>
              <w:color w:val="003E2D" w:themeColor="text2"/>
            </w:rPr>
            <w:fldChar w:fldCharType="separate"/>
          </w:r>
          <w:r w:rsidR="003D2632" w:rsidRPr="00944DA4">
            <w:rPr>
              <w:rStyle w:val="Hyperlink"/>
              <w:color w:val="003E2D" w:themeColor="text2"/>
              <w:u w:val="none"/>
            </w:rPr>
            <w:t>Pricing</w:t>
          </w:r>
          <w:r w:rsidR="003D2632" w:rsidRPr="00944DA4">
            <w:rPr>
              <w:rStyle w:val="Hyperlink"/>
              <w:color w:val="003E2D" w:themeColor="text2"/>
              <w:spacing w:val="-23"/>
              <w:u w:val="none"/>
            </w:rPr>
            <w:t xml:space="preserve"> </w:t>
          </w:r>
          <w:r w:rsidR="003D2632" w:rsidRPr="00944DA4">
            <w:rPr>
              <w:rStyle w:val="Hyperlink"/>
              <w:color w:val="003E2D" w:themeColor="text2"/>
              <w:u w:val="none"/>
            </w:rPr>
            <w:t>and</w:t>
          </w:r>
          <w:r w:rsidR="003D2632" w:rsidRPr="00944DA4">
            <w:rPr>
              <w:rStyle w:val="Hyperlink"/>
              <w:color w:val="003E2D" w:themeColor="text2"/>
              <w:spacing w:val="-23"/>
              <w:u w:val="none"/>
            </w:rPr>
            <w:t xml:space="preserve"> </w:t>
          </w:r>
          <w:r w:rsidR="003D2632" w:rsidRPr="00944DA4">
            <w:rPr>
              <w:rStyle w:val="Hyperlink"/>
              <w:color w:val="003E2D" w:themeColor="text2"/>
              <w:u w:val="none"/>
            </w:rPr>
            <w:t>funding</w:t>
          </w:r>
          <w:r w:rsidR="003D2632" w:rsidRPr="00944DA4">
            <w:rPr>
              <w:rStyle w:val="Hyperlink"/>
              <w:color w:val="003E2D" w:themeColor="text2"/>
              <w:spacing w:val="-23"/>
              <w:u w:val="none"/>
            </w:rPr>
            <w:t xml:space="preserve"> </w:t>
          </w:r>
          <w:r w:rsidR="003D2632" w:rsidRPr="00944DA4">
            <w:rPr>
              <w:rStyle w:val="Hyperlink"/>
              <w:color w:val="003E2D" w:themeColor="text2"/>
              <w:u w:val="none"/>
            </w:rPr>
            <w:t>for</w:t>
          </w:r>
          <w:r w:rsidR="003D2632" w:rsidRPr="00944DA4">
            <w:rPr>
              <w:rStyle w:val="Hyperlink"/>
              <w:color w:val="003E2D" w:themeColor="text2"/>
              <w:spacing w:val="-23"/>
              <w:u w:val="none"/>
            </w:rPr>
            <w:t xml:space="preserve"> </w:t>
          </w:r>
          <w:r w:rsidR="003D2632" w:rsidRPr="00944DA4">
            <w:rPr>
              <w:rStyle w:val="Hyperlink"/>
              <w:color w:val="003E2D" w:themeColor="text2"/>
              <w:u w:val="none"/>
            </w:rPr>
            <w:t>safety</w:t>
          </w:r>
          <w:r w:rsidR="003D2632" w:rsidRPr="00944DA4">
            <w:rPr>
              <w:rStyle w:val="Hyperlink"/>
              <w:color w:val="003E2D" w:themeColor="text2"/>
              <w:spacing w:val="-22"/>
              <w:u w:val="none"/>
            </w:rPr>
            <w:t xml:space="preserve"> </w:t>
          </w:r>
          <w:r w:rsidR="003D2632" w:rsidRPr="00944DA4">
            <w:rPr>
              <w:rStyle w:val="Hyperlink"/>
              <w:color w:val="003E2D" w:themeColor="text2"/>
              <w:u w:val="none"/>
            </w:rPr>
            <w:t>and</w:t>
          </w:r>
          <w:r w:rsidR="003D2632" w:rsidRPr="00944DA4">
            <w:rPr>
              <w:rStyle w:val="Hyperlink"/>
              <w:color w:val="003E2D" w:themeColor="text2"/>
              <w:spacing w:val="-23"/>
              <w:u w:val="none"/>
            </w:rPr>
            <w:t xml:space="preserve"> </w:t>
          </w:r>
          <w:r w:rsidR="003D2632" w:rsidRPr="00944DA4">
            <w:rPr>
              <w:rStyle w:val="Hyperlink"/>
              <w:color w:val="003E2D" w:themeColor="text2"/>
              <w:u w:val="none"/>
            </w:rPr>
            <w:t>quality</w:t>
          </w:r>
          <w:r w:rsidR="00A938F7" w:rsidRPr="00944DA4">
            <w:rPr>
              <w:rStyle w:val="Hyperlink"/>
              <w:color w:val="003E2D" w:themeColor="text2"/>
              <w:u w:val="none"/>
            </w:rPr>
            <w:tab/>
          </w:r>
          <w:r w:rsidR="006C181D">
            <w:rPr>
              <w:rStyle w:val="Hyperlink"/>
              <w:color w:val="003E2D" w:themeColor="text2"/>
              <w:u w:val="none"/>
            </w:rPr>
            <w:t>33</w:t>
          </w:r>
        </w:p>
        <w:p w14:paraId="36070D41" w14:textId="77777777" w:rsidR="00C415F5" w:rsidRDefault="00944DA4" w:rsidP="00A938F7">
          <w:pPr>
            <w:pStyle w:val="TOC1"/>
            <w:tabs>
              <w:tab w:val="right" w:pos="9030"/>
            </w:tabs>
            <w:spacing w:before="418"/>
            <w:ind w:left="426" w:hanging="426"/>
          </w:pPr>
          <w:r w:rsidRPr="00944DA4">
            <w:rPr>
              <w:color w:val="003E2D" w:themeColor="text2"/>
            </w:rPr>
            <w:fldChar w:fldCharType="end"/>
          </w:r>
          <w:hyperlink w:anchor="Appendix_A_—_List_of_consultation_questi" w:history="1">
            <w:r w:rsidR="003D2632" w:rsidRPr="00944DA4">
              <w:rPr>
                <w:rStyle w:val="Hyperlink"/>
                <w:color w:val="003E2D" w:themeColor="text2"/>
                <w:u w:val="none"/>
              </w:rPr>
              <w:t>Appendix</w:t>
            </w:r>
            <w:r w:rsidR="003D2632" w:rsidRPr="00944DA4">
              <w:rPr>
                <w:rStyle w:val="Hyperlink"/>
                <w:color w:val="003E2D" w:themeColor="text2"/>
                <w:spacing w:val="-25"/>
                <w:u w:val="none"/>
              </w:rPr>
              <w:t xml:space="preserve"> </w:t>
            </w:r>
            <w:r w:rsidR="003D2632" w:rsidRPr="00944DA4">
              <w:rPr>
                <w:rStyle w:val="Hyperlink"/>
                <w:color w:val="003E2D" w:themeColor="text2"/>
                <w:u w:val="none"/>
              </w:rPr>
              <w:t>A</w:t>
            </w:r>
            <w:r w:rsidR="003D2632" w:rsidRPr="00944DA4">
              <w:rPr>
                <w:rStyle w:val="Hyperlink"/>
                <w:color w:val="003E2D" w:themeColor="text2"/>
                <w:spacing w:val="-24"/>
                <w:u w:val="none"/>
              </w:rPr>
              <w:t xml:space="preserve"> </w:t>
            </w:r>
            <w:r w:rsidR="003D2632" w:rsidRPr="00944DA4">
              <w:rPr>
                <w:rStyle w:val="Hyperlink"/>
                <w:color w:val="003E2D" w:themeColor="text2"/>
                <w:u w:val="none"/>
              </w:rPr>
              <w:t>—</w:t>
            </w:r>
            <w:r w:rsidR="003D2632" w:rsidRPr="00944DA4">
              <w:rPr>
                <w:rStyle w:val="Hyperlink"/>
                <w:color w:val="003E2D" w:themeColor="text2"/>
                <w:spacing w:val="-24"/>
                <w:u w:val="none"/>
              </w:rPr>
              <w:t xml:space="preserve"> </w:t>
            </w:r>
            <w:r w:rsidR="003D2632" w:rsidRPr="00944DA4">
              <w:rPr>
                <w:rStyle w:val="Hyperlink"/>
                <w:color w:val="003E2D" w:themeColor="text2"/>
                <w:u w:val="none"/>
              </w:rPr>
              <w:t>List</w:t>
            </w:r>
            <w:r w:rsidR="003D2632" w:rsidRPr="00944DA4">
              <w:rPr>
                <w:rStyle w:val="Hyperlink"/>
                <w:color w:val="003E2D" w:themeColor="text2"/>
                <w:spacing w:val="-24"/>
                <w:u w:val="none"/>
              </w:rPr>
              <w:t xml:space="preserve"> </w:t>
            </w:r>
            <w:r w:rsidR="003D2632" w:rsidRPr="00944DA4">
              <w:rPr>
                <w:rStyle w:val="Hyperlink"/>
                <w:color w:val="003E2D" w:themeColor="text2"/>
                <w:u w:val="none"/>
              </w:rPr>
              <w:t>of</w:t>
            </w:r>
            <w:r w:rsidR="003D2632" w:rsidRPr="00944DA4">
              <w:rPr>
                <w:rStyle w:val="Hyperlink"/>
                <w:color w:val="003E2D" w:themeColor="text2"/>
                <w:spacing w:val="-25"/>
                <w:u w:val="none"/>
              </w:rPr>
              <w:t xml:space="preserve"> </w:t>
            </w:r>
            <w:r w:rsidR="003D2632" w:rsidRPr="00944DA4">
              <w:rPr>
                <w:rStyle w:val="Hyperlink"/>
                <w:color w:val="003E2D" w:themeColor="text2"/>
                <w:u w:val="none"/>
              </w:rPr>
              <w:t>consultation</w:t>
            </w:r>
            <w:r w:rsidR="003D2632" w:rsidRPr="00944DA4">
              <w:rPr>
                <w:rStyle w:val="Hyperlink"/>
                <w:color w:val="003E2D" w:themeColor="text2"/>
                <w:spacing w:val="-24"/>
                <w:u w:val="none"/>
              </w:rPr>
              <w:t xml:space="preserve"> </w:t>
            </w:r>
            <w:r w:rsidR="003D2632" w:rsidRPr="00944DA4">
              <w:rPr>
                <w:rStyle w:val="Hyperlink"/>
                <w:color w:val="003E2D" w:themeColor="text2"/>
                <w:u w:val="none"/>
              </w:rPr>
              <w:t>questions</w:t>
            </w:r>
            <w:r w:rsidR="00A938F7" w:rsidRPr="00944DA4">
              <w:rPr>
                <w:rStyle w:val="Hyperlink"/>
                <w:color w:val="003E2D" w:themeColor="text2"/>
                <w:u w:val="none"/>
              </w:rPr>
              <w:tab/>
            </w:r>
            <w:r w:rsidR="006C181D">
              <w:rPr>
                <w:rStyle w:val="Hyperlink"/>
                <w:color w:val="003E2D" w:themeColor="text2"/>
                <w:u w:val="none"/>
              </w:rPr>
              <w:t>3</w:t>
            </w:r>
            <w:r>
              <w:rPr>
                <w:rStyle w:val="Hyperlink"/>
                <w:color w:val="003E2D" w:themeColor="text2"/>
                <w:u w:val="none"/>
              </w:rPr>
              <w:t>9</w:t>
            </w:r>
          </w:hyperlink>
        </w:p>
      </w:sdtContent>
    </w:sdt>
    <w:p w14:paraId="479456AC" w14:textId="77777777" w:rsidR="00C415F5" w:rsidRDefault="00C415F5">
      <w:pPr>
        <w:sectPr w:rsidR="00C415F5" w:rsidSect="00603DEC">
          <w:headerReference w:type="default" r:id="rId12"/>
          <w:pgSz w:w="11910" w:h="16840"/>
          <w:pgMar w:top="1440" w:right="1440" w:bottom="1440" w:left="1440" w:header="0" w:footer="0" w:gutter="0"/>
          <w:cols w:space="720"/>
        </w:sectPr>
      </w:pPr>
    </w:p>
    <w:p w14:paraId="20CDD915" w14:textId="77777777" w:rsidR="00C415F5" w:rsidRDefault="00603DEC" w:rsidP="00F57333">
      <w:pPr>
        <w:pStyle w:val="Heading1"/>
      </w:pPr>
      <w:bookmarkStart w:id="2" w:name="Glossary"/>
      <w:bookmarkStart w:id="3" w:name="_bookmark0"/>
      <w:bookmarkEnd w:id="2"/>
      <w:bookmarkEnd w:id="3"/>
      <w:r w:rsidRPr="00F57333">
        <w:lastRenderedPageBreak/>
        <w:t>Glossary</w:t>
      </w:r>
    </w:p>
    <w:tbl>
      <w:tblPr>
        <w:tblW w:w="9072" w:type="dxa"/>
        <w:tblLayout w:type="fixed"/>
        <w:tblCellMar>
          <w:left w:w="0" w:type="dxa"/>
          <w:right w:w="0" w:type="dxa"/>
        </w:tblCellMar>
        <w:tblLook w:val="01E0" w:firstRow="1" w:lastRow="1" w:firstColumn="1" w:lastColumn="1" w:noHBand="0" w:noVBand="0"/>
      </w:tblPr>
      <w:tblGrid>
        <w:gridCol w:w="1831"/>
        <w:gridCol w:w="7241"/>
      </w:tblGrid>
      <w:tr w:rsidR="00C415F5" w14:paraId="0B6E7D08" w14:textId="77777777" w:rsidTr="00BA4D19">
        <w:trPr>
          <w:trHeight w:val="298"/>
        </w:trPr>
        <w:tc>
          <w:tcPr>
            <w:tcW w:w="1831" w:type="dxa"/>
          </w:tcPr>
          <w:p w14:paraId="140DB0E1" w14:textId="77777777" w:rsidR="00C415F5" w:rsidRPr="00277AD9" w:rsidRDefault="00603DEC" w:rsidP="007A655F">
            <w:pPr>
              <w:pStyle w:val="TableParagraph"/>
              <w:rPr>
                <w:b/>
                <w:bCs/>
              </w:rPr>
            </w:pPr>
            <w:r w:rsidRPr="00277AD9">
              <w:rPr>
                <w:b/>
                <w:bCs/>
              </w:rPr>
              <w:t>ABF</w:t>
            </w:r>
          </w:p>
        </w:tc>
        <w:tc>
          <w:tcPr>
            <w:tcW w:w="7241" w:type="dxa"/>
          </w:tcPr>
          <w:p w14:paraId="6C476EB1" w14:textId="77777777" w:rsidR="00C415F5" w:rsidRDefault="00603DEC" w:rsidP="007A655F">
            <w:pPr>
              <w:pStyle w:val="TableParagraph"/>
            </w:pPr>
            <w:r>
              <w:t>Activity Based Funding</w:t>
            </w:r>
          </w:p>
        </w:tc>
      </w:tr>
      <w:tr w:rsidR="00C415F5" w14:paraId="7E907751" w14:textId="77777777" w:rsidTr="00BA4D19">
        <w:trPr>
          <w:trHeight w:val="362"/>
        </w:trPr>
        <w:tc>
          <w:tcPr>
            <w:tcW w:w="1831" w:type="dxa"/>
          </w:tcPr>
          <w:p w14:paraId="28BF51C8" w14:textId="77777777" w:rsidR="00C415F5" w:rsidRPr="00277AD9" w:rsidRDefault="00603DEC" w:rsidP="007A655F">
            <w:pPr>
              <w:pStyle w:val="TableParagraph"/>
              <w:rPr>
                <w:b/>
                <w:bCs/>
              </w:rPr>
            </w:pPr>
            <w:r w:rsidRPr="00277AD9">
              <w:rPr>
                <w:b/>
                <w:bCs/>
              </w:rPr>
              <w:t>ACHI</w:t>
            </w:r>
          </w:p>
        </w:tc>
        <w:tc>
          <w:tcPr>
            <w:tcW w:w="7241" w:type="dxa"/>
          </w:tcPr>
          <w:p w14:paraId="4EB13022" w14:textId="77777777" w:rsidR="00C415F5" w:rsidRDefault="00603DEC" w:rsidP="007A655F">
            <w:pPr>
              <w:pStyle w:val="TableParagraph"/>
            </w:pPr>
            <w:r>
              <w:t>Australian Classification of Health Interventions</w:t>
            </w:r>
          </w:p>
        </w:tc>
      </w:tr>
      <w:tr w:rsidR="00C415F5" w14:paraId="7828C7BC" w14:textId="77777777" w:rsidTr="00BA4D19">
        <w:trPr>
          <w:trHeight w:val="362"/>
        </w:trPr>
        <w:tc>
          <w:tcPr>
            <w:tcW w:w="1831" w:type="dxa"/>
          </w:tcPr>
          <w:p w14:paraId="073E5F02" w14:textId="77777777" w:rsidR="00C415F5" w:rsidRPr="00277AD9" w:rsidRDefault="00603DEC" w:rsidP="007A655F">
            <w:pPr>
              <w:pStyle w:val="TableParagraph"/>
              <w:rPr>
                <w:b/>
                <w:bCs/>
              </w:rPr>
            </w:pPr>
            <w:r w:rsidRPr="00277AD9">
              <w:rPr>
                <w:b/>
                <w:bCs/>
              </w:rPr>
              <w:t>ACS</w:t>
            </w:r>
          </w:p>
        </w:tc>
        <w:tc>
          <w:tcPr>
            <w:tcW w:w="7241" w:type="dxa"/>
          </w:tcPr>
          <w:p w14:paraId="7ECF7783" w14:textId="77777777" w:rsidR="00C415F5" w:rsidRDefault="00603DEC" w:rsidP="007A655F">
            <w:pPr>
              <w:pStyle w:val="TableParagraph"/>
            </w:pPr>
            <w:r>
              <w:t>Australian Coding Standards</w:t>
            </w:r>
          </w:p>
        </w:tc>
      </w:tr>
      <w:tr w:rsidR="00C415F5" w14:paraId="5894CE3D" w14:textId="77777777" w:rsidTr="00BA4D19">
        <w:trPr>
          <w:trHeight w:val="362"/>
        </w:trPr>
        <w:tc>
          <w:tcPr>
            <w:tcW w:w="1831" w:type="dxa"/>
          </w:tcPr>
          <w:p w14:paraId="4F836DE8" w14:textId="77777777" w:rsidR="00C415F5" w:rsidRPr="00277AD9" w:rsidRDefault="00603DEC" w:rsidP="007A655F">
            <w:pPr>
              <w:pStyle w:val="TableParagraph"/>
              <w:rPr>
                <w:b/>
                <w:bCs/>
              </w:rPr>
            </w:pPr>
            <w:r w:rsidRPr="00277AD9">
              <w:rPr>
                <w:b/>
                <w:bCs/>
              </w:rPr>
              <w:t>AECC</w:t>
            </w:r>
          </w:p>
        </w:tc>
        <w:tc>
          <w:tcPr>
            <w:tcW w:w="7241" w:type="dxa"/>
          </w:tcPr>
          <w:p w14:paraId="001C4BCE" w14:textId="77777777" w:rsidR="00C415F5" w:rsidRDefault="00603DEC" w:rsidP="007A655F">
            <w:pPr>
              <w:pStyle w:val="TableParagraph"/>
            </w:pPr>
            <w:r>
              <w:t>Australian Emergency Care Classification</w:t>
            </w:r>
          </w:p>
        </w:tc>
      </w:tr>
      <w:tr w:rsidR="00C415F5" w14:paraId="147AE106" w14:textId="77777777" w:rsidTr="00BA4D19">
        <w:trPr>
          <w:trHeight w:val="362"/>
        </w:trPr>
        <w:tc>
          <w:tcPr>
            <w:tcW w:w="1831" w:type="dxa"/>
          </w:tcPr>
          <w:p w14:paraId="5FB8E109" w14:textId="77777777" w:rsidR="00C415F5" w:rsidRPr="00277AD9" w:rsidRDefault="00603DEC" w:rsidP="007A655F">
            <w:pPr>
              <w:pStyle w:val="TableParagraph"/>
              <w:rPr>
                <w:b/>
                <w:bCs/>
              </w:rPr>
            </w:pPr>
            <w:r w:rsidRPr="00277AD9">
              <w:rPr>
                <w:b/>
                <w:bCs/>
              </w:rPr>
              <w:t>AHPCS</w:t>
            </w:r>
          </w:p>
        </w:tc>
        <w:tc>
          <w:tcPr>
            <w:tcW w:w="7241" w:type="dxa"/>
          </w:tcPr>
          <w:p w14:paraId="529E0D8E" w14:textId="77777777" w:rsidR="00C415F5" w:rsidRDefault="00603DEC" w:rsidP="007A655F">
            <w:pPr>
              <w:pStyle w:val="TableParagraph"/>
            </w:pPr>
            <w:r>
              <w:t>Australian Hospital Patient Costing Standards</w:t>
            </w:r>
          </w:p>
        </w:tc>
      </w:tr>
      <w:tr w:rsidR="00C415F5" w14:paraId="7D4B3992" w14:textId="77777777" w:rsidTr="00BA4D19">
        <w:trPr>
          <w:trHeight w:val="362"/>
        </w:trPr>
        <w:tc>
          <w:tcPr>
            <w:tcW w:w="1831" w:type="dxa"/>
          </w:tcPr>
          <w:p w14:paraId="49174DE3" w14:textId="77777777" w:rsidR="00C415F5" w:rsidRPr="00277AD9" w:rsidRDefault="00603DEC" w:rsidP="007A655F">
            <w:pPr>
              <w:pStyle w:val="TableParagraph"/>
              <w:rPr>
                <w:b/>
                <w:bCs/>
              </w:rPr>
            </w:pPr>
            <w:r w:rsidRPr="00277AD9">
              <w:rPr>
                <w:b/>
                <w:bCs/>
              </w:rPr>
              <w:t>ANACC</w:t>
            </w:r>
          </w:p>
        </w:tc>
        <w:tc>
          <w:tcPr>
            <w:tcW w:w="7241" w:type="dxa"/>
          </w:tcPr>
          <w:p w14:paraId="1E13EBD6" w14:textId="77777777" w:rsidR="00C415F5" w:rsidRDefault="00603DEC" w:rsidP="007A655F">
            <w:pPr>
              <w:pStyle w:val="TableParagraph"/>
            </w:pPr>
            <w:r>
              <w:t>Australian Non-Admitted Care Classification</w:t>
            </w:r>
          </w:p>
        </w:tc>
      </w:tr>
      <w:tr w:rsidR="00C415F5" w14:paraId="2310DA5B" w14:textId="77777777" w:rsidTr="00BA4D19">
        <w:trPr>
          <w:trHeight w:val="362"/>
        </w:trPr>
        <w:tc>
          <w:tcPr>
            <w:tcW w:w="1831" w:type="dxa"/>
          </w:tcPr>
          <w:p w14:paraId="49EC8528" w14:textId="77777777" w:rsidR="00C415F5" w:rsidRPr="00277AD9" w:rsidRDefault="00603DEC" w:rsidP="007A655F">
            <w:pPr>
              <w:pStyle w:val="TableParagraph"/>
              <w:rPr>
                <w:b/>
                <w:bCs/>
              </w:rPr>
            </w:pPr>
            <w:r w:rsidRPr="00277AD9">
              <w:rPr>
                <w:b/>
                <w:bCs/>
              </w:rPr>
              <w:t>AMHCC</w:t>
            </w:r>
          </w:p>
        </w:tc>
        <w:tc>
          <w:tcPr>
            <w:tcW w:w="7241" w:type="dxa"/>
          </w:tcPr>
          <w:p w14:paraId="11BD37C2" w14:textId="77777777" w:rsidR="00C415F5" w:rsidRDefault="00603DEC" w:rsidP="007A655F">
            <w:pPr>
              <w:pStyle w:val="TableParagraph"/>
            </w:pPr>
            <w:r>
              <w:t>Australian Mental Health Care Classification</w:t>
            </w:r>
          </w:p>
        </w:tc>
      </w:tr>
      <w:tr w:rsidR="00C415F5" w14:paraId="7369D51A" w14:textId="77777777" w:rsidTr="00BA4D19">
        <w:trPr>
          <w:trHeight w:val="362"/>
        </w:trPr>
        <w:tc>
          <w:tcPr>
            <w:tcW w:w="1831" w:type="dxa"/>
          </w:tcPr>
          <w:p w14:paraId="58959678" w14:textId="77777777" w:rsidR="00C415F5" w:rsidRPr="00277AD9" w:rsidRDefault="00603DEC" w:rsidP="007A655F">
            <w:pPr>
              <w:pStyle w:val="TableParagraph"/>
              <w:rPr>
                <w:b/>
                <w:bCs/>
              </w:rPr>
            </w:pPr>
            <w:r w:rsidRPr="00277AD9">
              <w:rPr>
                <w:b/>
                <w:bCs/>
              </w:rPr>
              <w:t>AN-SNAP</w:t>
            </w:r>
          </w:p>
        </w:tc>
        <w:tc>
          <w:tcPr>
            <w:tcW w:w="7241" w:type="dxa"/>
          </w:tcPr>
          <w:p w14:paraId="7DBA6962" w14:textId="77777777" w:rsidR="00C415F5" w:rsidRDefault="00603DEC" w:rsidP="007A655F">
            <w:pPr>
              <w:pStyle w:val="TableParagraph"/>
            </w:pPr>
            <w:r>
              <w:t>Australian National Subacute and Non-Acute Patient classification</w:t>
            </w:r>
          </w:p>
        </w:tc>
      </w:tr>
      <w:tr w:rsidR="00C415F5" w14:paraId="4EC3DE32" w14:textId="77777777" w:rsidTr="00BA4D19">
        <w:trPr>
          <w:trHeight w:val="362"/>
        </w:trPr>
        <w:tc>
          <w:tcPr>
            <w:tcW w:w="1831" w:type="dxa"/>
          </w:tcPr>
          <w:p w14:paraId="3E213411" w14:textId="77777777" w:rsidR="00C415F5" w:rsidRPr="00277AD9" w:rsidRDefault="00603DEC" w:rsidP="007A655F">
            <w:pPr>
              <w:pStyle w:val="TableParagraph"/>
              <w:rPr>
                <w:b/>
                <w:bCs/>
              </w:rPr>
            </w:pPr>
            <w:r w:rsidRPr="00277AD9">
              <w:rPr>
                <w:b/>
                <w:bCs/>
              </w:rPr>
              <w:t>AR-DRG</w:t>
            </w:r>
          </w:p>
        </w:tc>
        <w:tc>
          <w:tcPr>
            <w:tcW w:w="7241" w:type="dxa"/>
          </w:tcPr>
          <w:p w14:paraId="1AD74020" w14:textId="77777777" w:rsidR="00C415F5" w:rsidRDefault="00603DEC" w:rsidP="007A655F">
            <w:pPr>
              <w:pStyle w:val="TableParagraph"/>
            </w:pPr>
            <w:r>
              <w:t>Australian Refined Diagnosis Related Group</w:t>
            </w:r>
          </w:p>
        </w:tc>
      </w:tr>
      <w:tr w:rsidR="00C415F5" w14:paraId="60704B41" w14:textId="77777777" w:rsidTr="00BA4D19">
        <w:trPr>
          <w:trHeight w:val="362"/>
        </w:trPr>
        <w:tc>
          <w:tcPr>
            <w:tcW w:w="1831" w:type="dxa"/>
          </w:tcPr>
          <w:p w14:paraId="4B300472" w14:textId="77777777" w:rsidR="00C415F5" w:rsidRPr="00277AD9" w:rsidRDefault="00603DEC" w:rsidP="007A655F">
            <w:pPr>
              <w:pStyle w:val="TableParagraph"/>
              <w:rPr>
                <w:b/>
                <w:bCs/>
              </w:rPr>
            </w:pPr>
            <w:r w:rsidRPr="00277AD9">
              <w:rPr>
                <w:b/>
                <w:bCs/>
              </w:rPr>
              <w:t>ATTC</w:t>
            </w:r>
          </w:p>
        </w:tc>
        <w:tc>
          <w:tcPr>
            <w:tcW w:w="7241" w:type="dxa"/>
          </w:tcPr>
          <w:p w14:paraId="0C2772EB" w14:textId="77777777" w:rsidR="00C415F5" w:rsidRDefault="00603DEC" w:rsidP="007A655F">
            <w:pPr>
              <w:pStyle w:val="TableParagraph"/>
            </w:pPr>
            <w:r>
              <w:t>Australian Teaching and Training Classification</w:t>
            </w:r>
          </w:p>
        </w:tc>
      </w:tr>
      <w:tr w:rsidR="00C415F5" w14:paraId="6F5B51E2" w14:textId="77777777" w:rsidTr="00BA4D19">
        <w:trPr>
          <w:trHeight w:val="362"/>
        </w:trPr>
        <w:tc>
          <w:tcPr>
            <w:tcW w:w="1831" w:type="dxa"/>
          </w:tcPr>
          <w:p w14:paraId="4F03EB0F" w14:textId="77777777" w:rsidR="00C415F5" w:rsidRPr="00277AD9" w:rsidRDefault="00603DEC" w:rsidP="007A655F">
            <w:pPr>
              <w:pStyle w:val="TableParagraph"/>
              <w:rPr>
                <w:b/>
                <w:bCs/>
              </w:rPr>
            </w:pPr>
            <w:r w:rsidRPr="00277AD9">
              <w:rPr>
                <w:b/>
                <w:bCs/>
              </w:rPr>
              <w:t>DRG</w:t>
            </w:r>
          </w:p>
        </w:tc>
        <w:tc>
          <w:tcPr>
            <w:tcW w:w="7241" w:type="dxa"/>
          </w:tcPr>
          <w:p w14:paraId="645D6E3F" w14:textId="77777777" w:rsidR="00C415F5" w:rsidRDefault="00603DEC" w:rsidP="007A655F">
            <w:pPr>
              <w:pStyle w:val="TableParagraph"/>
            </w:pPr>
            <w:r>
              <w:t>Diagnosis Related Group</w:t>
            </w:r>
          </w:p>
        </w:tc>
      </w:tr>
      <w:tr w:rsidR="00C415F5" w14:paraId="521B6D89" w14:textId="77777777" w:rsidTr="00BA4D19">
        <w:trPr>
          <w:trHeight w:val="362"/>
        </w:trPr>
        <w:tc>
          <w:tcPr>
            <w:tcW w:w="1831" w:type="dxa"/>
          </w:tcPr>
          <w:p w14:paraId="1D6133A1" w14:textId="77777777" w:rsidR="00C415F5" w:rsidRPr="00277AD9" w:rsidRDefault="00603DEC" w:rsidP="007A655F">
            <w:pPr>
              <w:pStyle w:val="TableParagraph"/>
              <w:rPr>
                <w:b/>
                <w:bCs/>
              </w:rPr>
            </w:pPr>
            <w:r w:rsidRPr="00277AD9">
              <w:rPr>
                <w:b/>
                <w:bCs/>
              </w:rPr>
              <w:t>HAC</w:t>
            </w:r>
          </w:p>
        </w:tc>
        <w:tc>
          <w:tcPr>
            <w:tcW w:w="7241" w:type="dxa"/>
          </w:tcPr>
          <w:p w14:paraId="350669F3" w14:textId="77777777" w:rsidR="00C415F5" w:rsidRDefault="00603DEC" w:rsidP="007A655F">
            <w:pPr>
              <w:pStyle w:val="TableParagraph"/>
            </w:pPr>
            <w:r>
              <w:t>Hospital Acquired Complication</w:t>
            </w:r>
          </w:p>
        </w:tc>
      </w:tr>
      <w:tr w:rsidR="00C415F5" w14:paraId="29263527" w14:textId="77777777" w:rsidTr="00BA4D19">
        <w:trPr>
          <w:trHeight w:val="621"/>
        </w:trPr>
        <w:tc>
          <w:tcPr>
            <w:tcW w:w="1831" w:type="dxa"/>
          </w:tcPr>
          <w:p w14:paraId="01460DF2" w14:textId="77777777" w:rsidR="00C415F5" w:rsidRPr="00277AD9" w:rsidRDefault="00603DEC" w:rsidP="007A655F">
            <w:pPr>
              <w:pStyle w:val="TableParagraph"/>
              <w:rPr>
                <w:b/>
                <w:bCs/>
              </w:rPr>
            </w:pPr>
            <w:r w:rsidRPr="00277AD9">
              <w:rPr>
                <w:b/>
                <w:bCs/>
              </w:rPr>
              <w:t>ICD-10-AM</w:t>
            </w:r>
          </w:p>
        </w:tc>
        <w:tc>
          <w:tcPr>
            <w:tcW w:w="7241" w:type="dxa"/>
          </w:tcPr>
          <w:p w14:paraId="7791A2F9" w14:textId="77777777" w:rsidR="00C415F5" w:rsidRDefault="00603DEC" w:rsidP="007A655F">
            <w:pPr>
              <w:pStyle w:val="TableParagraph"/>
            </w:pPr>
            <w:r>
              <w:t>International Statistical Classification of Diseases and Related Health Problems, Tenth Revision, Australian Modification</w:t>
            </w:r>
          </w:p>
        </w:tc>
      </w:tr>
      <w:tr w:rsidR="00C415F5" w14:paraId="1CE91258" w14:textId="77777777" w:rsidTr="00BA4D19">
        <w:trPr>
          <w:trHeight w:val="362"/>
        </w:trPr>
        <w:tc>
          <w:tcPr>
            <w:tcW w:w="1831" w:type="dxa"/>
          </w:tcPr>
          <w:p w14:paraId="39D1E093" w14:textId="77777777" w:rsidR="00C415F5" w:rsidRPr="00277AD9" w:rsidRDefault="00603DEC" w:rsidP="007A655F">
            <w:pPr>
              <w:pStyle w:val="TableParagraph"/>
              <w:rPr>
                <w:b/>
                <w:bCs/>
              </w:rPr>
            </w:pPr>
            <w:r w:rsidRPr="00277AD9">
              <w:rPr>
                <w:b/>
                <w:bCs/>
              </w:rPr>
              <w:t>IHI</w:t>
            </w:r>
          </w:p>
        </w:tc>
        <w:tc>
          <w:tcPr>
            <w:tcW w:w="7241" w:type="dxa"/>
          </w:tcPr>
          <w:p w14:paraId="43A14536" w14:textId="77777777" w:rsidR="00C415F5" w:rsidRDefault="00603DEC" w:rsidP="007A655F">
            <w:pPr>
              <w:pStyle w:val="TableParagraph"/>
            </w:pPr>
            <w:r>
              <w:t>Individual Healthcare Identifier</w:t>
            </w:r>
          </w:p>
        </w:tc>
      </w:tr>
      <w:tr w:rsidR="00C415F5" w14:paraId="2E471AE0" w14:textId="77777777" w:rsidTr="00BA4D19">
        <w:trPr>
          <w:trHeight w:val="362"/>
        </w:trPr>
        <w:tc>
          <w:tcPr>
            <w:tcW w:w="1831" w:type="dxa"/>
          </w:tcPr>
          <w:p w14:paraId="347178C2" w14:textId="77777777" w:rsidR="00C415F5" w:rsidRPr="00277AD9" w:rsidRDefault="00603DEC" w:rsidP="007A655F">
            <w:pPr>
              <w:pStyle w:val="TableParagraph"/>
              <w:rPr>
                <w:b/>
                <w:bCs/>
              </w:rPr>
            </w:pPr>
            <w:r w:rsidRPr="00277AD9">
              <w:rPr>
                <w:b/>
                <w:bCs/>
              </w:rPr>
              <w:t>IHPA</w:t>
            </w:r>
          </w:p>
        </w:tc>
        <w:tc>
          <w:tcPr>
            <w:tcW w:w="7241" w:type="dxa"/>
          </w:tcPr>
          <w:p w14:paraId="00328C90" w14:textId="77777777" w:rsidR="00C415F5" w:rsidRDefault="00603DEC" w:rsidP="007A655F">
            <w:pPr>
              <w:pStyle w:val="TableParagraph"/>
            </w:pPr>
            <w:r>
              <w:t>Independent Hospital Pricing Authority</w:t>
            </w:r>
          </w:p>
        </w:tc>
      </w:tr>
      <w:tr w:rsidR="00C415F5" w14:paraId="42B35DBC" w14:textId="77777777" w:rsidTr="00BA4D19">
        <w:trPr>
          <w:trHeight w:val="362"/>
        </w:trPr>
        <w:tc>
          <w:tcPr>
            <w:tcW w:w="1831" w:type="dxa"/>
          </w:tcPr>
          <w:p w14:paraId="78DEBD71" w14:textId="77777777" w:rsidR="00C415F5" w:rsidRPr="00277AD9" w:rsidRDefault="00603DEC" w:rsidP="007A655F">
            <w:pPr>
              <w:pStyle w:val="TableParagraph"/>
              <w:rPr>
                <w:b/>
                <w:bCs/>
              </w:rPr>
            </w:pPr>
            <w:r w:rsidRPr="00277AD9">
              <w:rPr>
                <w:b/>
                <w:bCs/>
              </w:rPr>
              <w:t>LBVC</w:t>
            </w:r>
          </w:p>
        </w:tc>
        <w:tc>
          <w:tcPr>
            <w:tcW w:w="7241" w:type="dxa"/>
          </w:tcPr>
          <w:p w14:paraId="14169DE0" w14:textId="77777777" w:rsidR="00C415F5" w:rsidRDefault="00603DEC" w:rsidP="007A655F">
            <w:pPr>
              <w:pStyle w:val="TableParagraph"/>
            </w:pPr>
            <w:r>
              <w:t>Leading Better Value Care</w:t>
            </w:r>
          </w:p>
        </w:tc>
      </w:tr>
      <w:tr w:rsidR="00C415F5" w14:paraId="56607BEB" w14:textId="77777777" w:rsidTr="00BA4D19">
        <w:trPr>
          <w:trHeight w:val="362"/>
        </w:trPr>
        <w:tc>
          <w:tcPr>
            <w:tcW w:w="1831" w:type="dxa"/>
          </w:tcPr>
          <w:p w14:paraId="761FDA72" w14:textId="77777777" w:rsidR="00C415F5" w:rsidRPr="00277AD9" w:rsidRDefault="00603DEC" w:rsidP="007A655F">
            <w:pPr>
              <w:pStyle w:val="TableParagraph"/>
              <w:rPr>
                <w:b/>
                <w:bCs/>
              </w:rPr>
            </w:pPr>
            <w:r w:rsidRPr="00277AD9">
              <w:rPr>
                <w:b/>
                <w:bCs/>
              </w:rPr>
              <w:t>LHN</w:t>
            </w:r>
          </w:p>
        </w:tc>
        <w:tc>
          <w:tcPr>
            <w:tcW w:w="7241" w:type="dxa"/>
          </w:tcPr>
          <w:p w14:paraId="3F0C4FDC" w14:textId="77777777" w:rsidR="00C415F5" w:rsidRDefault="00603DEC" w:rsidP="007A655F">
            <w:pPr>
              <w:pStyle w:val="TableParagraph"/>
            </w:pPr>
            <w:r>
              <w:t>Local Hospital Network</w:t>
            </w:r>
          </w:p>
        </w:tc>
      </w:tr>
      <w:tr w:rsidR="00C415F5" w14:paraId="7954337B" w14:textId="77777777" w:rsidTr="00BA4D19">
        <w:trPr>
          <w:trHeight w:val="362"/>
        </w:trPr>
        <w:tc>
          <w:tcPr>
            <w:tcW w:w="1831" w:type="dxa"/>
          </w:tcPr>
          <w:p w14:paraId="4E7ECDC6" w14:textId="77777777" w:rsidR="00C415F5" w:rsidRPr="00277AD9" w:rsidRDefault="00603DEC" w:rsidP="007A655F">
            <w:pPr>
              <w:pStyle w:val="TableParagraph"/>
              <w:rPr>
                <w:b/>
                <w:bCs/>
              </w:rPr>
            </w:pPr>
            <w:r w:rsidRPr="00277AD9">
              <w:rPr>
                <w:b/>
                <w:bCs/>
              </w:rPr>
              <w:t>MBS</w:t>
            </w:r>
          </w:p>
        </w:tc>
        <w:tc>
          <w:tcPr>
            <w:tcW w:w="7241" w:type="dxa"/>
          </w:tcPr>
          <w:p w14:paraId="71A8F1E1" w14:textId="77777777" w:rsidR="00C415F5" w:rsidRDefault="00603DEC" w:rsidP="007A655F">
            <w:pPr>
              <w:pStyle w:val="TableParagraph"/>
            </w:pPr>
            <w:r>
              <w:t>Medicare Benefits Schedule</w:t>
            </w:r>
          </w:p>
        </w:tc>
      </w:tr>
      <w:tr w:rsidR="00C415F5" w14:paraId="056C90B8" w14:textId="77777777" w:rsidTr="00BA4D19">
        <w:trPr>
          <w:trHeight w:val="362"/>
        </w:trPr>
        <w:tc>
          <w:tcPr>
            <w:tcW w:w="1831" w:type="dxa"/>
          </w:tcPr>
          <w:p w14:paraId="2E47E182" w14:textId="77777777" w:rsidR="00C415F5" w:rsidRPr="00277AD9" w:rsidRDefault="00603DEC" w:rsidP="007A655F">
            <w:pPr>
              <w:pStyle w:val="TableParagraph"/>
              <w:rPr>
                <w:b/>
                <w:bCs/>
              </w:rPr>
            </w:pPr>
            <w:r w:rsidRPr="00277AD9">
              <w:rPr>
                <w:b/>
                <w:bCs/>
              </w:rPr>
              <w:t>MDCC</w:t>
            </w:r>
          </w:p>
        </w:tc>
        <w:tc>
          <w:tcPr>
            <w:tcW w:w="7241" w:type="dxa"/>
          </w:tcPr>
          <w:p w14:paraId="16A2FA64" w14:textId="77777777" w:rsidR="00C415F5" w:rsidRDefault="00603DEC" w:rsidP="007A655F">
            <w:pPr>
              <w:pStyle w:val="TableParagraph"/>
            </w:pPr>
            <w:r>
              <w:t>Multidisciplinary Case Conference</w:t>
            </w:r>
          </w:p>
        </w:tc>
      </w:tr>
      <w:tr w:rsidR="00C415F5" w14:paraId="6BD10CF9" w14:textId="77777777" w:rsidTr="00BA4D19">
        <w:trPr>
          <w:trHeight w:val="362"/>
        </w:trPr>
        <w:tc>
          <w:tcPr>
            <w:tcW w:w="1831" w:type="dxa"/>
          </w:tcPr>
          <w:p w14:paraId="30F893C6" w14:textId="77777777" w:rsidR="00C415F5" w:rsidRPr="00277AD9" w:rsidRDefault="00603DEC" w:rsidP="007A655F">
            <w:pPr>
              <w:pStyle w:val="TableParagraph"/>
              <w:rPr>
                <w:b/>
                <w:bCs/>
              </w:rPr>
            </w:pPr>
            <w:r w:rsidRPr="00277AD9">
              <w:rPr>
                <w:b/>
                <w:bCs/>
              </w:rPr>
              <w:t>NBP</w:t>
            </w:r>
          </w:p>
        </w:tc>
        <w:tc>
          <w:tcPr>
            <w:tcW w:w="7241" w:type="dxa"/>
          </w:tcPr>
          <w:p w14:paraId="4B49DDDC" w14:textId="77777777" w:rsidR="00C415F5" w:rsidRDefault="00603DEC" w:rsidP="007A655F">
            <w:pPr>
              <w:pStyle w:val="TableParagraph"/>
            </w:pPr>
            <w:r>
              <w:t>National Benchmarking Portal</w:t>
            </w:r>
          </w:p>
        </w:tc>
      </w:tr>
      <w:tr w:rsidR="00C415F5" w14:paraId="221033D8" w14:textId="77777777" w:rsidTr="00BA4D19">
        <w:trPr>
          <w:trHeight w:val="362"/>
        </w:trPr>
        <w:tc>
          <w:tcPr>
            <w:tcW w:w="1831" w:type="dxa"/>
          </w:tcPr>
          <w:p w14:paraId="4DEB944F" w14:textId="77777777" w:rsidR="00C415F5" w:rsidRPr="00277AD9" w:rsidRDefault="00603DEC" w:rsidP="007A655F">
            <w:pPr>
              <w:pStyle w:val="TableParagraph"/>
              <w:rPr>
                <w:b/>
                <w:bCs/>
              </w:rPr>
            </w:pPr>
            <w:r w:rsidRPr="00277AD9">
              <w:rPr>
                <w:b/>
                <w:bCs/>
              </w:rPr>
              <w:t>NEC</w:t>
            </w:r>
          </w:p>
        </w:tc>
        <w:tc>
          <w:tcPr>
            <w:tcW w:w="7241" w:type="dxa"/>
          </w:tcPr>
          <w:p w14:paraId="61A56B3F" w14:textId="77777777" w:rsidR="00C415F5" w:rsidRDefault="00603DEC" w:rsidP="007A655F">
            <w:pPr>
              <w:pStyle w:val="TableParagraph"/>
            </w:pPr>
            <w:r>
              <w:t>National Efficient Cost</w:t>
            </w:r>
          </w:p>
        </w:tc>
      </w:tr>
      <w:tr w:rsidR="00C415F5" w14:paraId="7AA3A79A" w14:textId="77777777" w:rsidTr="00BA4D19">
        <w:trPr>
          <w:trHeight w:val="362"/>
        </w:trPr>
        <w:tc>
          <w:tcPr>
            <w:tcW w:w="1831" w:type="dxa"/>
          </w:tcPr>
          <w:p w14:paraId="62A1A4C8" w14:textId="77777777" w:rsidR="00C415F5" w:rsidRPr="00277AD9" w:rsidRDefault="00603DEC" w:rsidP="007A655F">
            <w:pPr>
              <w:pStyle w:val="TableParagraph"/>
              <w:rPr>
                <w:b/>
                <w:bCs/>
              </w:rPr>
            </w:pPr>
            <w:r w:rsidRPr="00277AD9">
              <w:rPr>
                <w:b/>
                <w:bCs/>
              </w:rPr>
              <w:t>NEP</w:t>
            </w:r>
          </w:p>
        </w:tc>
        <w:tc>
          <w:tcPr>
            <w:tcW w:w="7241" w:type="dxa"/>
          </w:tcPr>
          <w:p w14:paraId="6E3B7926" w14:textId="77777777" w:rsidR="00C415F5" w:rsidRDefault="00603DEC" w:rsidP="007A655F">
            <w:pPr>
              <w:pStyle w:val="TableParagraph"/>
            </w:pPr>
            <w:r>
              <w:t>National Efficient Price</w:t>
            </w:r>
          </w:p>
        </w:tc>
      </w:tr>
      <w:tr w:rsidR="00C415F5" w14:paraId="5D2ADA19" w14:textId="77777777" w:rsidTr="00BA4D19">
        <w:trPr>
          <w:trHeight w:val="362"/>
        </w:trPr>
        <w:tc>
          <w:tcPr>
            <w:tcW w:w="1831" w:type="dxa"/>
          </w:tcPr>
          <w:p w14:paraId="7361C870" w14:textId="77777777" w:rsidR="00C415F5" w:rsidRPr="00277AD9" w:rsidRDefault="00603DEC" w:rsidP="007A655F">
            <w:pPr>
              <w:pStyle w:val="TableParagraph"/>
              <w:rPr>
                <w:b/>
                <w:bCs/>
              </w:rPr>
            </w:pPr>
            <w:r w:rsidRPr="00277AD9">
              <w:rPr>
                <w:b/>
                <w:bCs/>
              </w:rPr>
              <w:t>NHCDC</w:t>
            </w:r>
          </w:p>
        </w:tc>
        <w:tc>
          <w:tcPr>
            <w:tcW w:w="7241" w:type="dxa"/>
          </w:tcPr>
          <w:p w14:paraId="09535685" w14:textId="77777777" w:rsidR="00C415F5" w:rsidRDefault="00603DEC" w:rsidP="007A655F">
            <w:pPr>
              <w:pStyle w:val="TableParagraph"/>
            </w:pPr>
            <w:r>
              <w:t>National Hospital Cost Data Collection</w:t>
            </w:r>
          </w:p>
        </w:tc>
      </w:tr>
      <w:tr w:rsidR="00C415F5" w14:paraId="24836328" w14:textId="77777777" w:rsidTr="00BA4D19">
        <w:trPr>
          <w:trHeight w:val="362"/>
        </w:trPr>
        <w:tc>
          <w:tcPr>
            <w:tcW w:w="1831" w:type="dxa"/>
          </w:tcPr>
          <w:p w14:paraId="4FFDCA3F" w14:textId="77777777" w:rsidR="00C415F5" w:rsidRPr="00277AD9" w:rsidRDefault="00603DEC" w:rsidP="007A655F">
            <w:pPr>
              <w:pStyle w:val="TableParagraph"/>
              <w:rPr>
                <w:b/>
                <w:bCs/>
              </w:rPr>
            </w:pPr>
            <w:r w:rsidRPr="00277AD9">
              <w:rPr>
                <w:b/>
                <w:bCs/>
              </w:rPr>
              <w:t>NHRA</w:t>
            </w:r>
          </w:p>
        </w:tc>
        <w:tc>
          <w:tcPr>
            <w:tcW w:w="7241" w:type="dxa"/>
          </w:tcPr>
          <w:p w14:paraId="5644B292" w14:textId="77777777" w:rsidR="00C415F5" w:rsidRDefault="00603DEC" w:rsidP="007A655F">
            <w:pPr>
              <w:pStyle w:val="TableParagraph"/>
            </w:pPr>
            <w:r>
              <w:t>National Health Reform Agreement</w:t>
            </w:r>
          </w:p>
        </w:tc>
      </w:tr>
      <w:tr w:rsidR="00C415F5" w14:paraId="1925C755" w14:textId="77777777" w:rsidTr="00BA4D19">
        <w:trPr>
          <w:trHeight w:val="362"/>
        </w:trPr>
        <w:tc>
          <w:tcPr>
            <w:tcW w:w="1831" w:type="dxa"/>
          </w:tcPr>
          <w:p w14:paraId="5F7FC062" w14:textId="77777777" w:rsidR="00C415F5" w:rsidRPr="00277AD9" w:rsidRDefault="00603DEC" w:rsidP="007A655F">
            <w:pPr>
              <w:pStyle w:val="TableParagraph"/>
              <w:rPr>
                <w:b/>
                <w:bCs/>
              </w:rPr>
            </w:pPr>
            <w:r w:rsidRPr="00277AD9">
              <w:rPr>
                <w:b/>
                <w:bCs/>
              </w:rPr>
              <w:t>NWAU</w:t>
            </w:r>
          </w:p>
        </w:tc>
        <w:tc>
          <w:tcPr>
            <w:tcW w:w="7241" w:type="dxa"/>
          </w:tcPr>
          <w:p w14:paraId="43045B0D" w14:textId="77777777" w:rsidR="00C415F5" w:rsidRDefault="00603DEC" w:rsidP="007A655F">
            <w:pPr>
              <w:pStyle w:val="TableParagraph"/>
            </w:pPr>
            <w:r>
              <w:t>National Weighted Activity Unit</w:t>
            </w:r>
          </w:p>
        </w:tc>
      </w:tr>
      <w:tr w:rsidR="00C415F5" w14:paraId="24A66EAB" w14:textId="77777777" w:rsidTr="00BA4D19">
        <w:trPr>
          <w:trHeight w:val="362"/>
        </w:trPr>
        <w:tc>
          <w:tcPr>
            <w:tcW w:w="1831" w:type="dxa"/>
          </w:tcPr>
          <w:p w14:paraId="595CD7E7" w14:textId="77777777" w:rsidR="00C415F5" w:rsidRPr="00277AD9" w:rsidRDefault="00603DEC" w:rsidP="007A655F">
            <w:pPr>
              <w:pStyle w:val="TableParagraph"/>
              <w:rPr>
                <w:b/>
                <w:bCs/>
              </w:rPr>
            </w:pPr>
            <w:r w:rsidRPr="00277AD9">
              <w:rPr>
                <w:b/>
                <w:bCs/>
              </w:rPr>
              <w:t>PREMs</w:t>
            </w:r>
          </w:p>
        </w:tc>
        <w:tc>
          <w:tcPr>
            <w:tcW w:w="7241" w:type="dxa"/>
          </w:tcPr>
          <w:p w14:paraId="59D39275" w14:textId="77777777" w:rsidR="00C415F5" w:rsidRDefault="00603DEC" w:rsidP="007A655F">
            <w:pPr>
              <w:pStyle w:val="TableParagraph"/>
            </w:pPr>
            <w:r>
              <w:t>Patient Reported Experience Measures</w:t>
            </w:r>
          </w:p>
        </w:tc>
      </w:tr>
      <w:tr w:rsidR="00C415F5" w14:paraId="64D7CF9A" w14:textId="77777777" w:rsidTr="00BA4D19">
        <w:trPr>
          <w:trHeight w:val="362"/>
        </w:trPr>
        <w:tc>
          <w:tcPr>
            <w:tcW w:w="1831" w:type="dxa"/>
          </w:tcPr>
          <w:p w14:paraId="1FF059A2" w14:textId="77777777" w:rsidR="00C415F5" w:rsidRPr="00277AD9" w:rsidRDefault="00603DEC" w:rsidP="007A655F">
            <w:pPr>
              <w:pStyle w:val="TableParagraph"/>
              <w:rPr>
                <w:b/>
                <w:bCs/>
              </w:rPr>
            </w:pPr>
            <w:r w:rsidRPr="00277AD9">
              <w:rPr>
                <w:b/>
                <w:bCs/>
              </w:rPr>
              <w:t>PROMs</w:t>
            </w:r>
          </w:p>
        </w:tc>
        <w:tc>
          <w:tcPr>
            <w:tcW w:w="7241" w:type="dxa"/>
          </w:tcPr>
          <w:p w14:paraId="62AB6894" w14:textId="77777777" w:rsidR="00C415F5" w:rsidRDefault="00603DEC" w:rsidP="007A655F">
            <w:pPr>
              <w:pStyle w:val="TableParagraph"/>
            </w:pPr>
            <w:r>
              <w:t>Patient Reported Outcomes Measures</w:t>
            </w:r>
          </w:p>
        </w:tc>
      </w:tr>
      <w:tr w:rsidR="00C415F5" w14:paraId="495661A1" w14:textId="77777777" w:rsidTr="00BA4D19">
        <w:trPr>
          <w:trHeight w:val="362"/>
        </w:trPr>
        <w:tc>
          <w:tcPr>
            <w:tcW w:w="1831" w:type="dxa"/>
          </w:tcPr>
          <w:p w14:paraId="46443EFB" w14:textId="77777777" w:rsidR="00C415F5" w:rsidRPr="00277AD9" w:rsidRDefault="00603DEC" w:rsidP="007A655F">
            <w:pPr>
              <w:pStyle w:val="TableParagraph"/>
              <w:rPr>
                <w:b/>
                <w:bCs/>
              </w:rPr>
            </w:pPr>
            <w:r w:rsidRPr="00277AD9">
              <w:rPr>
                <w:b/>
                <w:bCs/>
              </w:rPr>
              <w:t>The Addendum</w:t>
            </w:r>
          </w:p>
        </w:tc>
        <w:tc>
          <w:tcPr>
            <w:tcW w:w="7241" w:type="dxa"/>
          </w:tcPr>
          <w:p w14:paraId="4330FC93" w14:textId="77777777" w:rsidR="00C415F5" w:rsidRDefault="00603DEC" w:rsidP="007A655F">
            <w:pPr>
              <w:pStyle w:val="TableParagraph"/>
            </w:pPr>
            <w:r>
              <w:t>Addendum to the National Health Reform Agreement</w:t>
            </w:r>
          </w:p>
        </w:tc>
      </w:tr>
      <w:tr w:rsidR="00C415F5" w14:paraId="3D1B3E62" w14:textId="77777777" w:rsidTr="00BA4D19">
        <w:trPr>
          <w:trHeight w:val="362"/>
        </w:trPr>
        <w:tc>
          <w:tcPr>
            <w:tcW w:w="1831" w:type="dxa"/>
          </w:tcPr>
          <w:p w14:paraId="11EC293E" w14:textId="77777777" w:rsidR="00C415F5" w:rsidRPr="00277AD9" w:rsidRDefault="00603DEC" w:rsidP="007A655F">
            <w:pPr>
              <w:pStyle w:val="TableParagraph"/>
              <w:rPr>
                <w:b/>
                <w:bCs/>
              </w:rPr>
            </w:pPr>
            <w:r w:rsidRPr="00277AD9">
              <w:rPr>
                <w:b/>
                <w:bCs/>
              </w:rPr>
              <w:t>The Commission</w:t>
            </w:r>
          </w:p>
        </w:tc>
        <w:tc>
          <w:tcPr>
            <w:tcW w:w="7241" w:type="dxa"/>
          </w:tcPr>
          <w:p w14:paraId="2BF6FB81" w14:textId="77777777" w:rsidR="00C415F5" w:rsidRDefault="00603DEC" w:rsidP="007A655F">
            <w:pPr>
              <w:pStyle w:val="TableParagraph"/>
            </w:pPr>
            <w:r>
              <w:t>Australian Commission on Safety and Quality in Health Care</w:t>
            </w:r>
          </w:p>
        </w:tc>
      </w:tr>
      <w:tr w:rsidR="00C415F5" w14:paraId="31ABBB5C" w14:textId="77777777" w:rsidTr="00BA4D19">
        <w:trPr>
          <w:trHeight w:val="362"/>
        </w:trPr>
        <w:tc>
          <w:tcPr>
            <w:tcW w:w="1831" w:type="dxa"/>
          </w:tcPr>
          <w:p w14:paraId="59350A1F" w14:textId="77777777" w:rsidR="00C415F5" w:rsidRPr="00277AD9" w:rsidRDefault="00603DEC" w:rsidP="007A655F">
            <w:pPr>
              <w:pStyle w:val="TableParagraph"/>
              <w:rPr>
                <w:b/>
                <w:bCs/>
              </w:rPr>
            </w:pPr>
            <w:r w:rsidRPr="00277AD9">
              <w:rPr>
                <w:b/>
                <w:bCs/>
              </w:rPr>
              <w:t>UDGs</w:t>
            </w:r>
          </w:p>
        </w:tc>
        <w:tc>
          <w:tcPr>
            <w:tcW w:w="7241" w:type="dxa"/>
          </w:tcPr>
          <w:p w14:paraId="62D21CE7" w14:textId="77777777" w:rsidR="00C415F5" w:rsidRDefault="00603DEC" w:rsidP="007A655F">
            <w:pPr>
              <w:pStyle w:val="TableParagraph"/>
            </w:pPr>
            <w:r>
              <w:t>Urgency Disposition Groups</w:t>
            </w:r>
          </w:p>
        </w:tc>
      </w:tr>
      <w:tr w:rsidR="00C415F5" w14:paraId="0643AE44" w14:textId="77777777" w:rsidTr="00BA4D19">
        <w:trPr>
          <w:trHeight w:val="362"/>
        </w:trPr>
        <w:tc>
          <w:tcPr>
            <w:tcW w:w="1831" w:type="dxa"/>
          </w:tcPr>
          <w:p w14:paraId="243F926A" w14:textId="77777777" w:rsidR="00C415F5" w:rsidRPr="00277AD9" w:rsidRDefault="00603DEC" w:rsidP="007A655F">
            <w:pPr>
              <w:pStyle w:val="TableParagraph"/>
              <w:rPr>
                <w:b/>
                <w:bCs/>
              </w:rPr>
            </w:pPr>
            <w:r w:rsidRPr="00277AD9">
              <w:rPr>
                <w:b/>
                <w:bCs/>
              </w:rPr>
              <w:t>URGs</w:t>
            </w:r>
          </w:p>
        </w:tc>
        <w:tc>
          <w:tcPr>
            <w:tcW w:w="7241" w:type="dxa"/>
          </w:tcPr>
          <w:p w14:paraId="35E0A5C1" w14:textId="77777777" w:rsidR="00C415F5" w:rsidRDefault="00603DEC" w:rsidP="007A655F">
            <w:pPr>
              <w:pStyle w:val="TableParagraph"/>
            </w:pPr>
            <w:r>
              <w:t>Urgency Related Groups</w:t>
            </w:r>
          </w:p>
        </w:tc>
      </w:tr>
      <w:tr w:rsidR="00C415F5" w14:paraId="18F616EC" w14:textId="77777777" w:rsidTr="00BA4D19">
        <w:trPr>
          <w:trHeight w:val="298"/>
        </w:trPr>
        <w:tc>
          <w:tcPr>
            <w:tcW w:w="1831" w:type="dxa"/>
          </w:tcPr>
          <w:p w14:paraId="6D810F50" w14:textId="77777777" w:rsidR="00C415F5" w:rsidRPr="00277AD9" w:rsidRDefault="00603DEC" w:rsidP="007A655F">
            <w:pPr>
              <w:pStyle w:val="TableParagraph"/>
              <w:rPr>
                <w:b/>
                <w:bCs/>
              </w:rPr>
            </w:pPr>
            <w:r w:rsidRPr="00277AD9">
              <w:rPr>
                <w:b/>
                <w:bCs/>
              </w:rPr>
              <w:t>VBHC</w:t>
            </w:r>
          </w:p>
        </w:tc>
        <w:tc>
          <w:tcPr>
            <w:tcW w:w="7241" w:type="dxa"/>
          </w:tcPr>
          <w:p w14:paraId="0B355B23" w14:textId="77777777" w:rsidR="00460625" w:rsidRPr="00460625" w:rsidRDefault="00603DEC" w:rsidP="007A655F">
            <w:pPr>
              <w:pStyle w:val="TableParagraph"/>
            </w:pPr>
            <w:r>
              <w:t>Value Based Healthcare</w:t>
            </w:r>
          </w:p>
        </w:tc>
      </w:tr>
    </w:tbl>
    <w:p w14:paraId="33DA20F8" w14:textId="77777777" w:rsidR="00C415F5" w:rsidRDefault="00C415F5">
      <w:pPr>
        <w:spacing w:line="216" w:lineRule="exact"/>
        <w:rPr>
          <w:sz w:val="19"/>
        </w:rPr>
        <w:sectPr w:rsidR="00C415F5" w:rsidSect="00603DEC">
          <w:headerReference w:type="default" r:id="rId13"/>
          <w:footerReference w:type="default" r:id="rId14"/>
          <w:pgSz w:w="11910" w:h="16840"/>
          <w:pgMar w:top="1440" w:right="1440" w:bottom="1440" w:left="1440" w:header="0" w:footer="656" w:gutter="0"/>
          <w:pgNumType w:start="1"/>
          <w:cols w:space="720"/>
        </w:sectPr>
      </w:pPr>
    </w:p>
    <w:p w14:paraId="522F9DA3" w14:textId="77777777" w:rsidR="008613E1" w:rsidRPr="008613E1" w:rsidRDefault="008613E1" w:rsidP="008613E1">
      <w:pPr>
        <w:pStyle w:val="Heading1"/>
        <w:spacing w:after="3600"/>
        <w:rPr>
          <w:color w:val="FFFFFF" w:themeColor="background1"/>
        </w:rPr>
      </w:pPr>
      <w:bookmarkStart w:id="4" w:name="_Introduction"/>
      <w:bookmarkEnd w:id="4"/>
      <w:r w:rsidRPr="008613E1">
        <w:rPr>
          <w:noProof/>
          <w:color w:val="FFFFFF" w:themeColor="background1"/>
        </w:rPr>
        <w:lastRenderedPageBreak/>
        <w:drawing>
          <wp:anchor distT="0" distB="0" distL="114300" distR="114300" simplePos="0" relativeHeight="251639296" behindDoc="1" locked="0" layoutInCell="1" allowOverlap="1" wp14:anchorId="4A33C9A8" wp14:editId="3FCC129D">
            <wp:simplePos x="0" y="0"/>
            <wp:positionH relativeFrom="margin">
              <wp:posOffset>-914400</wp:posOffset>
            </wp:positionH>
            <wp:positionV relativeFrom="page">
              <wp:posOffset>954157</wp:posOffset>
            </wp:positionV>
            <wp:extent cx="5462270" cy="3578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8613E1">
        <w:rPr>
          <w:color w:val="FFFFFF" w:themeColor="background1"/>
        </w:rPr>
        <w:t>1</w:t>
      </w:r>
    </w:p>
    <w:p w14:paraId="07BF645D" w14:textId="77777777" w:rsidR="008613E1" w:rsidRDefault="008613E1" w:rsidP="00F57333">
      <w:pPr>
        <w:pStyle w:val="Heading1"/>
        <w:sectPr w:rsidR="008613E1" w:rsidSect="008613E1">
          <w:headerReference w:type="default" r:id="rId16"/>
          <w:footerReference w:type="default" r:id="rId17"/>
          <w:pgSz w:w="11910" w:h="16840"/>
          <w:pgMar w:top="3970" w:right="1440" w:bottom="1440" w:left="1440" w:header="0" w:footer="656" w:gutter="0"/>
          <w:cols w:space="720"/>
        </w:sectPr>
      </w:pPr>
      <w:r>
        <w:t>Introduction</w:t>
      </w:r>
    </w:p>
    <w:p w14:paraId="5479F7B6" w14:textId="77777777" w:rsidR="00C415F5" w:rsidRPr="00E564DC" w:rsidRDefault="008613E1" w:rsidP="00F62597">
      <w:pPr>
        <w:pStyle w:val="Heading1"/>
        <w:ind w:left="227"/>
      </w:pPr>
      <w:r w:rsidRPr="008613E1">
        <w:rPr>
          <w:noProof/>
          <w:color w:val="FFFFFF" w:themeColor="background1"/>
        </w:rPr>
        <w:lastRenderedPageBreak/>
        <w:drawing>
          <wp:anchor distT="0" distB="0" distL="114300" distR="114300" simplePos="0" relativeHeight="251642368" behindDoc="1" locked="0" layoutInCell="1" allowOverlap="1" wp14:anchorId="12F2F00C" wp14:editId="0CEFBC20">
            <wp:simplePos x="0" y="0"/>
            <wp:positionH relativeFrom="column">
              <wp:posOffset>-914400</wp:posOffset>
            </wp:positionH>
            <wp:positionV relativeFrom="page">
              <wp:posOffset>658826</wp:posOffset>
            </wp:positionV>
            <wp:extent cx="1685925" cy="946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8613E1">
        <w:rPr>
          <w:color w:val="FFFFFF" w:themeColor="background1"/>
        </w:rPr>
        <w:t>1</w:t>
      </w:r>
      <w:r>
        <w:rPr>
          <w:color w:val="FFFFFF" w:themeColor="background1"/>
        </w:rPr>
        <w:tab/>
      </w:r>
      <w:r>
        <w:tab/>
      </w:r>
      <w:r w:rsidR="00603DEC" w:rsidRPr="00E564DC">
        <w:t>Introduction</w:t>
      </w:r>
    </w:p>
    <w:p w14:paraId="6620D63C" w14:textId="77777777" w:rsidR="00C415F5" w:rsidRDefault="00C415F5" w:rsidP="003932A6">
      <w:pPr>
        <w:pStyle w:val="BodyText"/>
      </w:pPr>
    </w:p>
    <w:p w14:paraId="14C7A2D4" w14:textId="77777777" w:rsidR="00C415F5" w:rsidRDefault="00C415F5">
      <w:pPr>
        <w:rPr>
          <w:rFonts w:ascii="Futura PT Heavy"/>
          <w:sz w:val="15"/>
        </w:rPr>
        <w:sectPr w:rsidR="00C415F5" w:rsidSect="001142D0">
          <w:pgSz w:w="11910" w:h="16840"/>
          <w:pgMar w:top="1440" w:right="1440" w:bottom="1440" w:left="1440" w:header="0" w:footer="656" w:gutter="0"/>
          <w:cols w:space="720"/>
        </w:sectPr>
      </w:pPr>
    </w:p>
    <w:p w14:paraId="49BE4920" w14:textId="77777777" w:rsidR="00C415F5" w:rsidRDefault="00603DEC" w:rsidP="003932A6">
      <w:pPr>
        <w:pStyle w:val="BodyText"/>
      </w:pPr>
      <w:r>
        <w:rPr>
          <w:spacing w:val="-6"/>
        </w:rPr>
        <w:t xml:space="preserve">The </w:t>
      </w:r>
      <w:r>
        <w:t xml:space="preserve">Consultation Paper on the </w:t>
      </w:r>
      <w:r>
        <w:rPr>
          <w:i/>
        </w:rPr>
        <w:t xml:space="preserve">Pricing Framework for Australian Public Hospital Services </w:t>
      </w:r>
      <w:r>
        <w:rPr>
          <w:i/>
          <w:spacing w:val="-5"/>
        </w:rPr>
        <w:t xml:space="preserve">2020–21 </w:t>
      </w:r>
      <w:r>
        <w:t>(Consultation Paper) is the primary mechanism for providing input on the approach the Independent Hospital Pricing Authority (IHPA) takes to</w:t>
      </w:r>
      <w:r>
        <w:rPr>
          <w:spacing w:val="-24"/>
        </w:rPr>
        <w:t xml:space="preserve"> </w:t>
      </w:r>
      <w:r>
        <w:t>determine public hospital funding. It provides an opportunity to comment on the development and refinement of the national Activity Based Funding (ABF) system, including data collection, classification systems</w:t>
      </w:r>
      <w:r>
        <w:rPr>
          <w:spacing w:val="-4"/>
        </w:rPr>
        <w:t xml:space="preserve"> </w:t>
      </w:r>
      <w:r>
        <w:t>and</w:t>
      </w:r>
      <w:r w:rsidR="00210AB3">
        <w:t xml:space="preserve"> </w:t>
      </w:r>
      <w:r>
        <w:t xml:space="preserve">policy decisions which underpin the National Efficient Price (NEP) and National Efficient Cost (NEC) Determinations for </w:t>
      </w:r>
      <w:r>
        <w:rPr>
          <w:spacing w:val="-6"/>
        </w:rPr>
        <w:t xml:space="preserve">2020–21 </w:t>
      </w:r>
      <w:r>
        <w:t>(NEP20 and</w:t>
      </w:r>
      <w:r>
        <w:rPr>
          <w:spacing w:val="1"/>
        </w:rPr>
        <w:t xml:space="preserve"> </w:t>
      </w:r>
      <w:r>
        <w:t>NEC20).</w:t>
      </w:r>
    </w:p>
    <w:p w14:paraId="24082D9D" w14:textId="77777777" w:rsidR="00C415F5" w:rsidRDefault="00603DEC" w:rsidP="003932A6">
      <w:pPr>
        <w:pStyle w:val="BodyText"/>
      </w:pPr>
      <w:r>
        <w:t>The current National Health Reform Agreement (NHRA) was entered into by all states, territories and the Commonwealth in August 2011. It sets out the shared intention of the Commonwealth, state and territory governments to work in partnership to improve health outcomes for all Australians and ensure the sustainability of the Australian health system. In 2017, all Australian governments signed the Addendum to the NHRA</w:t>
      </w:r>
      <w:r w:rsidR="00210AB3">
        <w:t xml:space="preserve"> </w:t>
      </w:r>
      <w:r>
        <w:t>(the Addendum). The Addendum comes to an end in June 2020 with a new agreement still in negotiation.</w:t>
      </w:r>
    </w:p>
    <w:p w14:paraId="68CAA378" w14:textId="77777777" w:rsidR="00C415F5" w:rsidRDefault="00603DEC" w:rsidP="003932A6">
      <w:pPr>
        <w:pStyle w:val="BodyText"/>
      </w:pPr>
      <w:r>
        <w:rPr>
          <w:spacing w:val="-4"/>
        </w:rPr>
        <w:t xml:space="preserve">This </w:t>
      </w:r>
      <w:r>
        <w:t xml:space="preserve">document has been prepared in anticipation that the fundamental elements of the Addendum will form </w:t>
      </w:r>
      <w:r>
        <w:rPr>
          <w:spacing w:val="-9"/>
        </w:rPr>
        <w:t xml:space="preserve">the </w:t>
      </w:r>
      <w:r>
        <w:t xml:space="preserve">basis of a new or rolling agreement for the </w:t>
      </w:r>
      <w:r>
        <w:rPr>
          <w:spacing w:val="-6"/>
        </w:rPr>
        <w:t xml:space="preserve">2020–21 </w:t>
      </w:r>
      <w:r>
        <w:t>financial</w:t>
      </w:r>
      <w:r>
        <w:rPr>
          <w:spacing w:val="-1"/>
        </w:rPr>
        <w:t xml:space="preserve"> </w:t>
      </w:r>
      <w:r>
        <w:t>year.</w:t>
      </w:r>
    </w:p>
    <w:p w14:paraId="40EE1EB7" w14:textId="77777777" w:rsidR="00C415F5" w:rsidRDefault="00603DEC" w:rsidP="003932A6">
      <w:pPr>
        <w:pStyle w:val="BodyText"/>
      </w:pPr>
      <w:r>
        <w:rPr>
          <w:spacing w:val="-4"/>
        </w:rPr>
        <w:t xml:space="preserve">This </w:t>
      </w:r>
      <w:r>
        <w:t xml:space="preserve">Consultation Paper provides an opportunity to investigate some emerging themes around hospital </w:t>
      </w:r>
      <w:r>
        <w:rPr>
          <w:spacing w:val="-3"/>
        </w:rPr>
        <w:t xml:space="preserve">pricing </w:t>
      </w:r>
      <w:r>
        <w:t xml:space="preserve">and funding following the maturation of </w:t>
      </w:r>
      <w:r>
        <w:rPr>
          <w:spacing w:val="-5"/>
        </w:rPr>
        <w:t xml:space="preserve">ABF. </w:t>
      </w:r>
      <w:r>
        <w:rPr>
          <w:spacing w:val="-4"/>
        </w:rPr>
        <w:t xml:space="preserve">This </w:t>
      </w:r>
      <w:r>
        <w:t>includes the growing support for more open access to data and the opportunities this provides for a number of areas such as value-based care and a more patient-centric focus to health</w:t>
      </w:r>
      <w:r>
        <w:rPr>
          <w:spacing w:val="-1"/>
        </w:rPr>
        <w:t xml:space="preserve"> </w:t>
      </w:r>
      <w:r>
        <w:t>funding.</w:t>
      </w:r>
    </w:p>
    <w:p w14:paraId="0A1D3072" w14:textId="77777777" w:rsidR="00C415F5" w:rsidRDefault="00603DEC" w:rsidP="003932A6">
      <w:pPr>
        <w:pStyle w:val="BodyText"/>
      </w:pPr>
      <w:r>
        <w:t>Specifically, this Consultation Paper covers opportunities for bundled pricing and capitation models as well as patient reported outcome measures (PROMs) and how they could be incorporated into ABF funding models.</w:t>
      </w:r>
      <w:r w:rsidR="00210AB3">
        <w:t xml:space="preserve"> </w:t>
      </w:r>
      <w:r>
        <w:t>Discussion also continues around improving safety and quality through funding measures to reduce avoidable hospital readmissions.</w:t>
      </w:r>
    </w:p>
    <w:p w14:paraId="1CD8305A" w14:textId="77777777" w:rsidR="00C415F5" w:rsidRDefault="00603DEC" w:rsidP="003932A6">
      <w:pPr>
        <w:pStyle w:val="BodyText"/>
      </w:pPr>
      <w:r>
        <w:br w:type="column"/>
      </w:r>
      <w:r>
        <w:t>This Consultation Paper builds on previous work in this area and should be read in conjunction with the following documents:</w:t>
      </w:r>
    </w:p>
    <w:p w14:paraId="2CC3A33F" w14:textId="77777777" w:rsidR="00C415F5" w:rsidRDefault="009E23A6" w:rsidP="00277AD9">
      <w:pPr>
        <w:pStyle w:val="ListParagraph"/>
        <w:numPr>
          <w:ilvl w:val="0"/>
          <w:numId w:val="24"/>
        </w:numPr>
        <w:ind w:left="284"/>
        <w:rPr>
          <w:i/>
        </w:rPr>
      </w:pPr>
      <w:hyperlink r:id="rId19">
        <w:r w:rsidR="00603DEC">
          <w:rPr>
            <w:i/>
            <w:color w:val="008F54"/>
            <w:u w:val="single" w:color="008F54"/>
          </w:rPr>
          <w:t>Pricing Framework for Australian Public Hospital</w:t>
        </w:r>
      </w:hyperlink>
      <w:hyperlink r:id="rId20">
        <w:r w:rsidR="00603DEC">
          <w:rPr>
            <w:i/>
            <w:color w:val="008F54"/>
            <w:u w:val="single" w:color="008F54"/>
          </w:rPr>
          <w:t xml:space="preserve"> </w:t>
        </w:r>
        <w:r w:rsidR="00603DEC">
          <w:rPr>
            <w:i/>
            <w:color w:val="008F54"/>
            <w:spacing w:val="2"/>
            <w:u w:val="single" w:color="008F54"/>
          </w:rPr>
          <w:t>Services</w:t>
        </w:r>
        <w:r w:rsidR="00603DEC">
          <w:rPr>
            <w:i/>
            <w:color w:val="008F54"/>
            <w:u w:val="single" w:color="008F54"/>
          </w:rPr>
          <w:t xml:space="preserve"> </w:t>
        </w:r>
        <w:r w:rsidR="00603DEC">
          <w:rPr>
            <w:i/>
            <w:color w:val="008F54"/>
            <w:spacing w:val="-6"/>
            <w:u w:val="single" w:color="008F54"/>
          </w:rPr>
          <w:t>2019–20</w:t>
        </w:r>
      </w:hyperlink>
    </w:p>
    <w:p w14:paraId="685A645A" w14:textId="77777777" w:rsidR="00210AB3" w:rsidRDefault="009E23A6" w:rsidP="00277AD9">
      <w:pPr>
        <w:pStyle w:val="ListParagraph"/>
        <w:numPr>
          <w:ilvl w:val="0"/>
          <w:numId w:val="24"/>
        </w:numPr>
        <w:ind w:left="284"/>
      </w:pPr>
      <w:hyperlink r:id="rId21">
        <w:r w:rsidR="00603DEC">
          <w:rPr>
            <w:color w:val="008F54"/>
            <w:u w:val="single" w:color="008F54"/>
          </w:rPr>
          <w:t xml:space="preserve">National Efficient Price Determination </w:t>
        </w:r>
        <w:r w:rsidR="00603DEC">
          <w:rPr>
            <w:color w:val="008F54"/>
            <w:spacing w:val="-6"/>
            <w:u w:val="single" w:color="008F54"/>
          </w:rPr>
          <w:t>2019–20</w:t>
        </w:r>
      </w:hyperlink>
    </w:p>
    <w:p w14:paraId="6EC8C0EF" w14:textId="77777777" w:rsidR="00C415F5" w:rsidRDefault="009E23A6" w:rsidP="00277AD9">
      <w:pPr>
        <w:pStyle w:val="ListParagraph"/>
        <w:numPr>
          <w:ilvl w:val="0"/>
          <w:numId w:val="24"/>
        </w:numPr>
        <w:ind w:left="284"/>
      </w:pPr>
      <w:hyperlink r:id="rId22">
        <w:r w:rsidR="00603DEC">
          <w:rPr>
            <w:color w:val="008F54"/>
            <w:u w:val="single" w:color="008F54"/>
          </w:rPr>
          <w:t>National Efficient Cost Determination</w:t>
        </w:r>
        <w:r w:rsidR="00603DEC">
          <w:rPr>
            <w:color w:val="008F54"/>
            <w:spacing w:val="2"/>
            <w:u w:val="single" w:color="008F54"/>
          </w:rPr>
          <w:t xml:space="preserve"> </w:t>
        </w:r>
        <w:r w:rsidR="00603DEC">
          <w:rPr>
            <w:color w:val="008F54"/>
            <w:spacing w:val="-14"/>
            <w:u w:val="single" w:color="008F54"/>
          </w:rPr>
          <w:t>2019–20</w:t>
        </w:r>
      </w:hyperlink>
    </w:p>
    <w:p w14:paraId="269E94C6" w14:textId="77777777" w:rsidR="00C415F5" w:rsidRDefault="009E23A6" w:rsidP="003932A6">
      <w:pPr>
        <w:pStyle w:val="BodyText"/>
        <w:rPr>
          <w:sz w:val="12"/>
        </w:rPr>
      </w:pPr>
      <w:r>
        <w:pict w14:anchorId="6410E134">
          <v:shapetype id="_x0000_t202" coordsize="21600,21600" o:spt="202" path="m,l,21600r21600,l21600,xe">
            <v:stroke joinstyle="miter"/>
            <v:path gradientshapeok="t" o:connecttype="rect"/>
          </v:shapetype>
          <v:shape id="_x0000_s1048" type="#_x0000_t202" alt="" style="position:absolute;margin-left:311.8pt;margin-top:30.1pt;width:211.7pt;height:249.95pt;z-index:-251651072;mso-wrap-style:square;mso-wrap-edited:f;mso-width-percent:0;mso-height-percent:0;mso-wrap-distance-left:0;mso-wrap-distance-right:0;mso-position-horizontal-relative:page;mso-width-percent:0;mso-height-percent:0;v-text-anchor:top" filled="f" strokecolor="#008f54 [3205]">
            <v:textbox style="mso-next-textbox:#_x0000_s1048" inset="0,0,0,0">
              <w:txbxContent>
                <w:p w14:paraId="2CED4DBC" w14:textId="77777777" w:rsidR="005907C8" w:rsidRPr="00693365" w:rsidRDefault="005907C8" w:rsidP="00210AB3">
                  <w:pPr>
                    <w:pStyle w:val="Heading3"/>
                    <w:ind w:left="283" w:right="246"/>
                  </w:pPr>
                  <w:r w:rsidRPr="00693365">
                    <w:t>Have your say</w:t>
                  </w:r>
                </w:p>
                <w:p w14:paraId="26CBEEA7" w14:textId="77777777" w:rsidR="005907C8" w:rsidRDefault="005907C8" w:rsidP="003932A6">
                  <w:pPr>
                    <w:pStyle w:val="BodyText"/>
                    <w:ind w:left="284"/>
                  </w:pPr>
                  <w:r>
                    <w:t xml:space="preserve">Submissions close at </w:t>
                  </w:r>
                  <w:r>
                    <w:rPr>
                      <w:u w:color="58595B"/>
                    </w:rPr>
                    <w:t>5pm on Monday,</w:t>
                  </w:r>
                  <w:r>
                    <w:t xml:space="preserve"> </w:t>
                  </w:r>
                  <w:r>
                    <w:rPr>
                      <w:u w:color="58595B"/>
                    </w:rPr>
                    <w:t>15 July 2019</w:t>
                  </w:r>
                  <w:r>
                    <w:t>.</w:t>
                  </w:r>
                </w:p>
                <w:p w14:paraId="788F4FD6" w14:textId="77777777" w:rsidR="005907C8" w:rsidRDefault="005907C8" w:rsidP="003932A6">
                  <w:pPr>
                    <w:pStyle w:val="BodyText"/>
                    <w:ind w:left="284"/>
                  </w:pPr>
                  <w:r>
                    <w:t xml:space="preserve">Submissions should be emailed to IHPA Secretariat at </w:t>
                  </w:r>
                  <w:hyperlink r:id="rId23">
                    <w:r>
                      <w:rPr>
                        <w:color w:val="008F54"/>
                        <w:u w:val="single" w:color="008F54"/>
                      </w:rPr>
                      <w:t>submissions.ihpa@ihpa.gov.au</w:t>
                    </w:r>
                    <w:r>
                      <w:t>.</w:t>
                    </w:r>
                  </w:hyperlink>
                </w:p>
                <w:p w14:paraId="2CF6B669" w14:textId="77777777" w:rsidR="005907C8" w:rsidRDefault="005907C8" w:rsidP="003932A6">
                  <w:pPr>
                    <w:pStyle w:val="BodyText"/>
                    <w:ind w:left="284"/>
                  </w:pPr>
                  <w:r>
                    <w:t xml:space="preserve">All submissions will be published on </w:t>
                  </w:r>
                  <w:hyperlink r:id="rId24">
                    <w:r>
                      <w:rPr>
                        <w:color w:val="008F54"/>
                        <w:u w:val="single" w:color="008F54"/>
                      </w:rPr>
                      <w:t>IHPA’s website</w:t>
                    </w:r>
                  </w:hyperlink>
                  <w:r>
                    <w:rPr>
                      <w:color w:val="008F54"/>
                    </w:rPr>
                    <w:t xml:space="preserve"> </w:t>
                  </w:r>
                  <w:r>
                    <w:t>unless respondents specifically identify sections that they believe should be kept confidential due to commercial or other reasons.</w:t>
                  </w:r>
                </w:p>
                <w:p w14:paraId="0FC0A2C1" w14:textId="77777777" w:rsidR="005907C8" w:rsidRDefault="005907C8" w:rsidP="00210AB3">
                  <w:pPr>
                    <w:spacing w:before="168" w:line="256" w:lineRule="auto"/>
                    <w:ind w:left="283" w:right="246"/>
                    <w:rPr>
                      <w:sz w:val="19"/>
                    </w:rPr>
                  </w:pPr>
                  <w:r>
                    <w:rPr>
                      <w:color w:val="58595B"/>
                      <w:sz w:val="19"/>
                    </w:rPr>
                    <w:t xml:space="preserve">The </w:t>
                  </w:r>
                  <w:r>
                    <w:rPr>
                      <w:i/>
                      <w:color w:val="58595B"/>
                      <w:sz w:val="19"/>
                    </w:rPr>
                    <w:t xml:space="preserve">Pricing Framework for Australian Public Hospital Services 2020–21 </w:t>
                  </w:r>
                  <w:r>
                    <w:rPr>
                      <w:color w:val="58595B"/>
                      <w:sz w:val="19"/>
                    </w:rPr>
                    <w:t>will be released in December 2019 prior to publication of the NEP20 and NEC20 in March 2020.</w:t>
                  </w:r>
                </w:p>
              </w:txbxContent>
            </v:textbox>
            <w10:wrap type="topAndBottom" anchorx="page"/>
          </v:shape>
        </w:pict>
      </w:r>
    </w:p>
    <w:p w14:paraId="2CBE44D3" w14:textId="77777777" w:rsidR="00C415F5" w:rsidRDefault="00C415F5">
      <w:pPr>
        <w:rPr>
          <w:sz w:val="12"/>
        </w:rPr>
        <w:sectPr w:rsidR="00C415F5" w:rsidSect="00277AD9">
          <w:type w:val="continuous"/>
          <w:pgSz w:w="11910" w:h="16840"/>
          <w:pgMar w:top="1440" w:right="1440" w:bottom="1440" w:left="1440" w:header="720" w:footer="720" w:gutter="0"/>
          <w:cols w:num="2" w:space="340"/>
        </w:sectPr>
      </w:pPr>
    </w:p>
    <w:p w14:paraId="1A6324C7" w14:textId="77777777" w:rsidR="00F62597" w:rsidRPr="00F62597" w:rsidRDefault="00F62597" w:rsidP="00F62597">
      <w:pPr>
        <w:pStyle w:val="Heading1"/>
        <w:spacing w:after="3600"/>
        <w:rPr>
          <w:color w:val="003E2D" w:themeColor="text2"/>
        </w:rPr>
      </w:pPr>
      <w:bookmarkStart w:id="5" w:name="_bookmark3"/>
      <w:bookmarkStart w:id="6" w:name="_2_The_Pricing"/>
      <w:bookmarkEnd w:id="5"/>
      <w:bookmarkEnd w:id="6"/>
      <w:r w:rsidRPr="00F62597">
        <w:rPr>
          <w:noProof/>
          <w:color w:val="003E2D" w:themeColor="text2"/>
        </w:rPr>
        <w:lastRenderedPageBreak/>
        <w:drawing>
          <wp:anchor distT="0" distB="0" distL="114300" distR="114300" simplePos="0" relativeHeight="251643392" behindDoc="1" locked="0" layoutInCell="1" allowOverlap="1" wp14:anchorId="769C6FF7" wp14:editId="6A803C08">
            <wp:simplePos x="0" y="0"/>
            <wp:positionH relativeFrom="margin">
              <wp:posOffset>-914400</wp:posOffset>
            </wp:positionH>
            <wp:positionV relativeFrom="page">
              <wp:posOffset>954536</wp:posOffset>
            </wp:positionV>
            <wp:extent cx="5462270" cy="35774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F62597">
        <w:rPr>
          <w:color w:val="003E2D" w:themeColor="text2"/>
        </w:rPr>
        <w:t>2</w:t>
      </w:r>
    </w:p>
    <w:p w14:paraId="68869CC4" w14:textId="77777777" w:rsidR="00F62597" w:rsidRDefault="00F62597" w:rsidP="00F62597">
      <w:pPr>
        <w:pStyle w:val="Heading1"/>
        <w:sectPr w:rsidR="00F62597" w:rsidSect="008613E1">
          <w:headerReference w:type="default" r:id="rId26"/>
          <w:footerReference w:type="default" r:id="rId27"/>
          <w:pgSz w:w="11910" w:h="16840"/>
          <w:pgMar w:top="3970" w:right="1440" w:bottom="1440" w:left="1440" w:header="0" w:footer="656" w:gutter="0"/>
          <w:cols w:space="720"/>
        </w:sectPr>
      </w:pPr>
      <w:r>
        <w:t>The Pricing Guidelines</w:t>
      </w:r>
    </w:p>
    <w:p w14:paraId="0F38E712" w14:textId="77777777" w:rsidR="00C415F5" w:rsidRPr="00EE1BDC" w:rsidRDefault="005470B1" w:rsidP="00F62597">
      <w:pPr>
        <w:pStyle w:val="Heading1"/>
        <w:ind w:left="227"/>
      </w:pPr>
      <w:r>
        <w:rPr>
          <w:noProof/>
        </w:rPr>
        <w:lastRenderedPageBreak/>
        <w:drawing>
          <wp:anchor distT="0" distB="0" distL="114300" distR="114300" simplePos="0" relativeHeight="251654656" behindDoc="0" locked="0" layoutInCell="1" allowOverlap="1" wp14:anchorId="548BEEEC" wp14:editId="1759C2C8">
            <wp:simplePos x="0" y="0"/>
            <wp:positionH relativeFrom="column">
              <wp:posOffset>3254375</wp:posOffset>
            </wp:positionH>
            <wp:positionV relativeFrom="page">
              <wp:posOffset>2223609</wp:posOffset>
            </wp:positionV>
            <wp:extent cx="240665" cy="215900"/>
            <wp:effectExtent l="0" t="0" r="0" b="0"/>
            <wp:wrapNone/>
            <wp:docPr id="25" name="Picture 25"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65" cy="215900"/>
                    </a:xfrm>
                    <a:prstGeom prst="rect">
                      <a:avLst/>
                    </a:prstGeom>
                  </pic:spPr>
                </pic:pic>
              </a:graphicData>
            </a:graphic>
          </wp:anchor>
        </w:drawing>
      </w:r>
      <w:r w:rsidR="00F62597" w:rsidRPr="008613E1">
        <w:rPr>
          <w:noProof/>
          <w:color w:val="FFFFFF" w:themeColor="background1"/>
        </w:rPr>
        <w:drawing>
          <wp:anchor distT="0" distB="0" distL="114300" distR="114300" simplePos="0" relativeHeight="251638272" behindDoc="1" locked="0" layoutInCell="1" allowOverlap="1" wp14:anchorId="69922D79" wp14:editId="27E76B5A">
            <wp:simplePos x="0" y="0"/>
            <wp:positionH relativeFrom="column">
              <wp:posOffset>-914150</wp:posOffset>
            </wp:positionH>
            <wp:positionV relativeFrom="page">
              <wp:posOffset>652007</wp:posOffset>
            </wp:positionV>
            <wp:extent cx="1685424" cy="946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9E23A6">
        <w:rPr>
          <w:noProof/>
        </w:rPr>
        <w:pict w14:anchorId="740E20DA">
          <v:shape id="_x0000_s1047" type="#_x0000_t202" alt="" style="position:absolute;left:0;text-align:left;margin-left:313.8pt;margin-top:90.4pt;width:211.7pt;height:156.25pt;z-index:-251649024;mso-wrap-style:square;mso-wrap-edited:f;mso-width-percent:0;mso-height-percent:0;mso-wrap-distance-left:0;mso-wrap-distance-right:0;mso-position-horizontal-relative:page;mso-position-vertical-relative:text;mso-width-percent:0;mso-height-percent:0;v-text-anchor:top" filled="f" strokecolor="#7ec352 [3204]">
            <v:textbox style="mso-next-textbox:#_x0000_s1047" inset="0,0,0,0">
              <w:txbxContent>
                <w:p w14:paraId="1AC3C6E2" w14:textId="77777777" w:rsidR="005907C8" w:rsidRPr="005470B1" w:rsidRDefault="005907C8" w:rsidP="005470B1">
                  <w:pPr>
                    <w:pStyle w:val="Questionheading"/>
                  </w:pPr>
                  <w:r w:rsidRPr="005470B1">
                    <w:t>Consultation questions</w:t>
                  </w:r>
                </w:p>
                <w:p w14:paraId="63B190F5" w14:textId="77777777" w:rsidR="005907C8" w:rsidRDefault="005907C8" w:rsidP="00C658F7">
                  <w:pPr>
                    <w:pStyle w:val="ListParagraph"/>
                    <w:ind w:left="567" w:right="259"/>
                  </w:pPr>
                  <w:r>
                    <w:t>Are the Pricing Guidelines still relevant in providing guidance on IHPA’s role in pricing Australian public hospital services?</w:t>
                  </w:r>
                </w:p>
                <w:p w14:paraId="2E13046F" w14:textId="51491CEF" w:rsidR="005907C8" w:rsidRDefault="005907C8" w:rsidP="00C658F7">
                  <w:pPr>
                    <w:pStyle w:val="ListParagraph"/>
                    <w:ind w:left="567" w:right="259"/>
                  </w:pPr>
                  <w:r>
                    <w:t xml:space="preserve">Does the proposed addition to the Pricing Guidelines appropriately capture the need for pricing models to support </w:t>
                  </w:r>
                  <w:r w:rsidR="0003549A">
                    <w:t>‘</w:t>
                  </w:r>
                  <w:r>
                    <w:t>value</w:t>
                  </w:r>
                  <w:r w:rsidR="0003549A">
                    <w:t>’</w:t>
                  </w:r>
                  <w:r>
                    <w:t xml:space="preserve"> in hospital and health services?</w:t>
                  </w:r>
                </w:p>
              </w:txbxContent>
            </v:textbox>
            <w10:wrap type="topAndBottom" anchorx="page"/>
          </v:shape>
        </w:pict>
      </w:r>
      <w:r w:rsidR="00603DEC" w:rsidRPr="00EE1BDC">
        <w:t>2</w:t>
      </w:r>
      <w:r w:rsidR="00603DEC" w:rsidRPr="00EE1BDC">
        <w:tab/>
      </w:r>
      <w:r w:rsidR="00F62597">
        <w:tab/>
      </w:r>
      <w:r w:rsidR="00603DEC" w:rsidRPr="00EE1BDC">
        <w:t>The Pricing Guidelines</w:t>
      </w:r>
    </w:p>
    <w:p w14:paraId="1505452E" w14:textId="77777777" w:rsidR="003932A6" w:rsidRDefault="003932A6" w:rsidP="003932A6">
      <w:pPr>
        <w:pStyle w:val="BodyText"/>
        <w:sectPr w:rsidR="003932A6" w:rsidSect="001142D0">
          <w:headerReference w:type="default" r:id="rId30"/>
          <w:pgSz w:w="11910" w:h="16840"/>
          <w:pgMar w:top="1440" w:right="1440" w:bottom="1440" w:left="1440" w:header="0" w:footer="656" w:gutter="0"/>
          <w:cols w:space="720"/>
        </w:sectPr>
      </w:pPr>
    </w:p>
    <w:p w14:paraId="063BAC90" w14:textId="77777777" w:rsidR="00C415F5" w:rsidRDefault="00603DEC" w:rsidP="003932A6">
      <w:pPr>
        <w:pStyle w:val="BodyText"/>
      </w:pPr>
      <w:r>
        <w:t xml:space="preserve">The decisions made by IHPA in pricing in-scope </w:t>
      </w:r>
      <w:bookmarkStart w:id="7" w:name="_Consultation_questions_1"/>
      <w:bookmarkEnd w:id="7"/>
      <w:r>
        <w:t>public hospital services are evidence-based and use the latest costing and activity data supplied to IHPA by states</w:t>
      </w:r>
      <w:r w:rsidR="001A38F5">
        <w:t xml:space="preserve"> </w:t>
      </w:r>
      <w:r>
        <w:t>and territories. In making these decisions, IHPA balances a range of policy objectives including improving the efficiency and accessibility of public hospital services.</w:t>
      </w:r>
      <w:r w:rsidR="001A38F5">
        <w:t xml:space="preserve"> </w:t>
      </w:r>
      <w:r>
        <w:t>This involves exercising judgement on the weight to be given to different policy objectives.</w:t>
      </w:r>
    </w:p>
    <w:p w14:paraId="3A57C24A" w14:textId="77777777" w:rsidR="00C415F5" w:rsidRDefault="00603DEC" w:rsidP="006D53C3">
      <w:pPr>
        <w:pStyle w:val="BodyText"/>
      </w:pPr>
      <w:r>
        <w:t>The Pricing Guidelines signal IHPA’s commitment to transparency and accountability as it undertakes its work. They are the overarching framework within which</w:t>
      </w:r>
      <w:r w:rsidR="006D53C3">
        <w:t xml:space="preserve"> </w:t>
      </w:r>
      <w:r>
        <w:rPr>
          <w:spacing w:val="-3"/>
        </w:rPr>
        <w:t xml:space="preserve">IHPA </w:t>
      </w:r>
      <w:r>
        <w:t xml:space="preserve">makes its policy decisions, which are outlined in the annual </w:t>
      </w:r>
      <w:r>
        <w:rPr>
          <w:i/>
        </w:rPr>
        <w:t xml:space="preserve">Pricing Framework for Australian </w:t>
      </w:r>
      <w:r>
        <w:rPr>
          <w:i/>
          <w:spacing w:val="-3"/>
        </w:rPr>
        <w:t xml:space="preserve">Public </w:t>
      </w:r>
      <w:r>
        <w:rPr>
          <w:i/>
        </w:rPr>
        <w:t>Hospital Services</w:t>
      </w:r>
      <w:r>
        <w:t>.</w:t>
      </w:r>
    </w:p>
    <w:p w14:paraId="53C570A4" w14:textId="77777777" w:rsidR="00C415F5" w:rsidRDefault="00603DEC" w:rsidP="003932A6">
      <w:pPr>
        <w:pStyle w:val="BodyText"/>
      </w:pPr>
      <w:r>
        <w:t xml:space="preserve">IHPA has proposed one addition to the Pricing Guidelines for 2020–21 in recognition that pricing should seek to promote value in public hospital services and support alternative funding solutions that deliver efficient </w:t>
      </w:r>
      <w:proofErr w:type="gramStart"/>
      <w:r>
        <w:t>high</w:t>
      </w:r>
      <w:r w:rsidR="002A636F">
        <w:t xml:space="preserve"> </w:t>
      </w:r>
      <w:r>
        <w:t>quality</w:t>
      </w:r>
      <w:proofErr w:type="gramEnd"/>
      <w:r>
        <w:t xml:space="preserve"> care and have a focus on patient outcomes. This addition is highlighted under the ‘System Design Guidelines’ in </w:t>
      </w:r>
      <w:r w:rsidRPr="00B23364">
        <w:rPr>
          <w:rFonts w:cs="Arial"/>
          <w:b/>
        </w:rPr>
        <w:t>Figure 1</w:t>
      </w:r>
      <w:r>
        <w:t>.</w:t>
      </w:r>
    </w:p>
    <w:p w14:paraId="587F22A9" w14:textId="77777777" w:rsidR="00C415F5" w:rsidRDefault="00C415F5">
      <w:pPr>
        <w:spacing w:line="256" w:lineRule="auto"/>
        <w:sectPr w:rsidR="00C415F5" w:rsidSect="006D53C3">
          <w:type w:val="continuous"/>
          <w:pgSz w:w="11910" w:h="16840"/>
          <w:pgMar w:top="1440" w:right="1440" w:bottom="1440" w:left="1440" w:header="0" w:footer="656" w:gutter="0"/>
          <w:cols w:num="2" w:space="340"/>
        </w:sectPr>
      </w:pPr>
    </w:p>
    <w:p w14:paraId="20619A7E" w14:textId="77777777" w:rsidR="00C415F5" w:rsidRDefault="00603DEC" w:rsidP="00A07AEB">
      <w:pPr>
        <w:pStyle w:val="Heading4"/>
      </w:pPr>
      <w:r>
        <w:lastRenderedPageBreak/>
        <w:t>Figure 1: Pricing Guidelines</w:t>
      </w:r>
    </w:p>
    <w:p w14:paraId="5B70993B" w14:textId="77777777" w:rsidR="00C415F5" w:rsidRDefault="00C415F5" w:rsidP="003932A6">
      <w:pPr>
        <w:pStyle w:val="BodyText"/>
      </w:pPr>
    </w:p>
    <w:p w14:paraId="09B354E3" w14:textId="77777777" w:rsidR="00C415F5" w:rsidRDefault="00C415F5">
      <w:pPr>
        <w:rPr>
          <w:rFonts w:ascii="Tahoma"/>
          <w:sz w:val="21"/>
        </w:rPr>
        <w:sectPr w:rsidR="00C415F5" w:rsidSect="001142D0">
          <w:headerReference w:type="default" r:id="rId31"/>
          <w:pgSz w:w="11910" w:h="16840"/>
          <w:pgMar w:top="1440" w:right="1440" w:bottom="1440" w:left="1440" w:header="0" w:footer="656" w:gutter="0"/>
          <w:cols w:space="720"/>
        </w:sectPr>
      </w:pPr>
    </w:p>
    <w:p w14:paraId="3FCC43E2" w14:textId="77777777" w:rsidR="00C415F5" w:rsidRDefault="00603DEC" w:rsidP="003932A6">
      <w:pPr>
        <w:pStyle w:val="BodyText"/>
      </w:pPr>
      <w:r w:rsidRPr="001F0A91">
        <w:rPr>
          <w:b/>
          <w:bCs/>
        </w:rPr>
        <w:t>Overarching Guidelines</w:t>
      </w:r>
      <w:r>
        <w:rPr>
          <w:rFonts w:ascii="Futura PT Bold"/>
          <w:b/>
        </w:rPr>
        <w:t xml:space="preserve"> </w:t>
      </w:r>
      <w:r>
        <w:t>that articulate the policy intent behind the introduction of funding reform for public hospital services comprising ABF and block grant funding:</w:t>
      </w:r>
    </w:p>
    <w:p w14:paraId="1A551084" w14:textId="77777777" w:rsidR="00C415F5" w:rsidRDefault="00603DEC" w:rsidP="00066FBA">
      <w:pPr>
        <w:pStyle w:val="ListParagraph"/>
        <w:numPr>
          <w:ilvl w:val="0"/>
          <w:numId w:val="23"/>
        </w:numPr>
        <w:tabs>
          <w:tab w:val="clear" w:pos="1418"/>
          <w:tab w:val="left" w:pos="1701"/>
        </w:tabs>
        <w:ind w:left="284"/>
      </w:pPr>
      <w:r w:rsidRPr="001F0A91">
        <w:rPr>
          <w:rFonts w:cs="Arial"/>
          <w:b/>
          <w:spacing w:val="2"/>
        </w:rPr>
        <w:t xml:space="preserve">Timely–quality </w:t>
      </w:r>
      <w:r w:rsidRPr="001F0A91">
        <w:rPr>
          <w:rFonts w:cs="Arial"/>
          <w:b/>
        </w:rPr>
        <w:t>care:</w:t>
      </w:r>
      <w:r>
        <w:rPr>
          <w:rFonts w:ascii="Futura PT Bold" w:hAnsi="Futura PT Bold"/>
          <w:b/>
        </w:rPr>
        <w:t xml:space="preserve"> </w:t>
      </w:r>
      <w:r>
        <w:t>Funding should support timely access to quality health</w:t>
      </w:r>
      <w:r>
        <w:rPr>
          <w:spacing w:val="9"/>
        </w:rPr>
        <w:t xml:space="preserve"> </w:t>
      </w:r>
      <w:r>
        <w:rPr>
          <w:spacing w:val="2"/>
        </w:rPr>
        <w:t>services.</w:t>
      </w:r>
    </w:p>
    <w:p w14:paraId="4C676282" w14:textId="77777777" w:rsidR="00C415F5" w:rsidRDefault="00603DEC" w:rsidP="00066FBA">
      <w:pPr>
        <w:pStyle w:val="ListParagraph"/>
        <w:numPr>
          <w:ilvl w:val="0"/>
          <w:numId w:val="23"/>
        </w:numPr>
        <w:tabs>
          <w:tab w:val="clear" w:pos="1418"/>
          <w:tab w:val="left" w:pos="1701"/>
        </w:tabs>
        <w:ind w:left="284"/>
      </w:pPr>
      <w:r w:rsidRPr="001F0A91">
        <w:rPr>
          <w:rFonts w:cs="Arial"/>
          <w:b/>
          <w:spacing w:val="3"/>
        </w:rPr>
        <w:t>Efficiency:</w:t>
      </w:r>
      <w:r>
        <w:rPr>
          <w:rFonts w:ascii="Futura PT Bold" w:hAnsi="Futura PT Bold"/>
          <w:b/>
          <w:spacing w:val="3"/>
        </w:rPr>
        <w:t xml:space="preserve"> </w:t>
      </w:r>
      <w:r>
        <w:t>ABF should improve the value of</w:t>
      </w:r>
      <w:r w:rsidR="001F0A91">
        <w:t xml:space="preserve"> </w:t>
      </w:r>
      <w:r>
        <w:t xml:space="preserve">the public investment in hospital care and ensure a sustainable and efficient network of public hospital </w:t>
      </w:r>
      <w:r>
        <w:rPr>
          <w:spacing w:val="2"/>
        </w:rPr>
        <w:t>services.</w:t>
      </w:r>
    </w:p>
    <w:p w14:paraId="353AE4CD" w14:textId="77777777" w:rsidR="00C415F5" w:rsidRDefault="00603DEC" w:rsidP="00066FBA">
      <w:pPr>
        <w:pStyle w:val="ListParagraph"/>
        <w:numPr>
          <w:ilvl w:val="0"/>
          <w:numId w:val="23"/>
        </w:numPr>
        <w:tabs>
          <w:tab w:val="clear" w:pos="1418"/>
          <w:tab w:val="left" w:pos="1701"/>
        </w:tabs>
        <w:ind w:left="284"/>
      </w:pPr>
      <w:r w:rsidRPr="001F0A91">
        <w:rPr>
          <w:rFonts w:cs="Arial"/>
          <w:b/>
        </w:rPr>
        <w:t>Fairness:</w:t>
      </w:r>
      <w:r>
        <w:rPr>
          <w:rFonts w:ascii="Futura PT Bold" w:hAnsi="Futura PT Bold"/>
          <w:b/>
        </w:rPr>
        <w:t xml:space="preserve"> </w:t>
      </w:r>
      <w:r>
        <w:t>ABF payments should be fair and equitable, including being based on</w:t>
      </w:r>
      <w:r>
        <w:rPr>
          <w:spacing w:val="38"/>
        </w:rPr>
        <w:t xml:space="preserve"> </w:t>
      </w:r>
      <w:r>
        <w:t>the</w:t>
      </w:r>
      <w:r w:rsidR="001F0A91">
        <w:t xml:space="preserve"> </w:t>
      </w:r>
      <w:r w:rsidR="001F0A91" w:rsidRPr="001F0A91">
        <w:t>same price for the same service across public, private or not-for-profit providers of public hospital ser-vices.</w:t>
      </w:r>
    </w:p>
    <w:p w14:paraId="2F686291" w14:textId="77777777" w:rsidR="00C415F5" w:rsidRDefault="00603DEC" w:rsidP="00066FBA">
      <w:pPr>
        <w:pStyle w:val="ListParagraph"/>
        <w:numPr>
          <w:ilvl w:val="0"/>
          <w:numId w:val="23"/>
        </w:numPr>
        <w:tabs>
          <w:tab w:val="clear" w:pos="1418"/>
          <w:tab w:val="left" w:pos="1701"/>
        </w:tabs>
        <w:ind w:left="284"/>
      </w:pPr>
      <w:r w:rsidRPr="001F0A91">
        <w:rPr>
          <w:rFonts w:cs="Arial"/>
          <w:b/>
          <w:spacing w:val="2"/>
        </w:rPr>
        <w:t xml:space="preserve">Maintaining </w:t>
      </w:r>
      <w:r w:rsidRPr="001F0A91">
        <w:rPr>
          <w:rFonts w:cs="Arial"/>
          <w:b/>
        </w:rPr>
        <w:t xml:space="preserve">agreed roles and responsibilities of governments determined by </w:t>
      </w:r>
      <w:r w:rsidRPr="001F0A91">
        <w:rPr>
          <w:rFonts w:cs="Arial"/>
          <w:b/>
          <w:spacing w:val="2"/>
        </w:rPr>
        <w:t xml:space="preserve">the National Health </w:t>
      </w:r>
      <w:r w:rsidRPr="001F0A91">
        <w:rPr>
          <w:rFonts w:cs="Arial"/>
          <w:b/>
        </w:rPr>
        <w:t>Reform Agreement:</w:t>
      </w:r>
      <w:r>
        <w:rPr>
          <w:rFonts w:ascii="Futura PT Bold" w:hAnsi="Futura PT Bold"/>
          <w:b/>
        </w:rPr>
        <w:t xml:space="preserve"> </w:t>
      </w:r>
      <w:r>
        <w:t xml:space="preserve">Funding design should </w:t>
      </w:r>
      <w:proofErr w:type="spellStart"/>
      <w:r>
        <w:t>recognise</w:t>
      </w:r>
      <w:proofErr w:type="spellEnd"/>
      <w:r>
        <w:t xml:space="preserve"> the complementary</w:t>
      </w:r>
      <w:r w:rsidR="001F0A91">
        <w:t xml:space="preserve"> </w:t>
      </w:r>
      <w:r>
        <w:t>responsibilities of each level of government in</w:t>
      </w:r>
      <w:r>
        <w:rPr>
          <w:spacing w:val="7"/>
        </w:rPr>
        <w:t xml:space="preserve"> </w:t>
      </w:r>
      <w:r>
        <w:t>funding</w:t>
      </w:r>
      <w:r w:rsidR="001F0A91">
        <w:t xml:space="preserve"> health services.</w:t>
      </w:r>
    </w:p>
    <w:p w14:paraId="529A2333" w14:textId="77777777" w:rsidR="00C415F5" w:rsidRDefault="00C415F5" w:rsidP="003932A6">
      <w:pPr>
        <w:pStyle w:val="BodyText"/>
      </w:pPr>
    </w:p>
    <w:p w14:paraId="7E454326" w14:textId="77777777" w:rsidR="00C415F5" w:rsidRDefault="00603DEC" w:rsidP="001F0A91">
      <w:pPr>
        <w:spacing w:line="256" w:lineRule="auto"/>
        <w:ind w:right="94"/>
        <w:rPr>
          <w:sz w:val="19"/>
        </w:rPr>
      </w:pPr>
      <w:r w:rsidRPr="001F0A91">
        <w:rPr>
          <w:rFonts w:cs="Arial"/>
          <w:b/>
          <w:color w:val="58595B"/>
          <w:sz w:val="19"/>
        </w:rPr>
        <w:t>Process Guidelines</w:t>
      </w:r>
      <w:r>
        <w:rPr>
          <w:rFonts w:ascii="Futura PT Bold"/>
          <w:b/>
          <w:color w:val="58595B"/>
          <w:sz w:val="19"/>
        </w:rPr>
        <w:t xml:space="preserve"> </w:t>
      </w:r>
      <w:r>
        <w:rPr>
          <w:color w:val="58595B"/>
          <w:sz w:val="19"/>
        </w:rPr>
        <w:t>to guide the implementation of ABF and block grant funding arrangements:</w:t>
      </w:r>
    </w:p>
    <w:p w14:paraId="422E1106" w14:textId="77777777" w:rsidR="00C415F5" w:rsidRDefault="00603DEC" w:rsidP="00066FBA">
      <w:pPr>
        <w:pStyle w:val="ListParagraph"/>
        <w:numPr>
          <w:ilvl w:val="0"/>
          <w:numId w:val="23"/>
        </w:numPr>
        <w:ind w:left="284"/>
      </w:pPr>
      <w:r w:rsidRPr="001F0A91">
        <w:rPr>
          <w:rFonts w:cs="Arial"/>
          <w:b/>
        </w:rPr>
        <w:t>Transparency:</w:t>
      </w:r>
      <w:r>
        <w:rPr>
          <w:rFonts w:ascii="Futura PT Bold" w:hAnsi="Futura PT Bold"/>
          <w:b/>
        </w:rPr>
        <w:t xml:space="preserve"> </w:t>
      </w:r>
      <w:r>
        <w:t>All steps in the determination of ABF and block grant funding should be clear and transparent.</w:t>
      </w:r>
    </w:p>
    <w:p w14:paraId="7C4FF5B5" w14:textId="77777777" w:rsidR="00C415F5" w:rsidRDefault="00603DEC" w:rsidP="00066FBA">
      <w:pPr>
        <w:pStyle w:val="ListParagraph"/>
        <w:numPr>
          <w:ilvl w:val="0"/>
          <w:numId w:val="23"/>
        </w:numPr>
        <w:ind w:left="284"/>
      </w:pPr>
      <w:r w:rsidRPr="001F0A91">
        <w:rPr>
          <w:rFonts w:cs="Arial"/>
          <w:b/>
          <w:spacing w:val="2"/>
        </w:rPr>
        <w:t xml:space="preserve">Administrative </w:t>
      </w:r>
      <w:r w:rsidRPr="001F0A91">
        <w:rPr>
          <w:rFonts w:cs="Arial"/>
          <w:b/>
        </w:rPr>
        <w:t>ease:</w:t>
      </w:r>
      <w:r>
        <w:rPr>
          <w:rFonts w:ascii="Futura PT Bold" w:hAnsi="Futura PT Bold"/>
          <w:b/>
        </w:rPr>
        <w:t xml:space="preserve"> </w:t>
      </w:r>
      <w:r>
        <w:t>Funding arrangements should not unduly increase the administrative burden on hospitals and system</w:t>
      </w:r>
      <w:r>
        <w:rPr>
          <w:spacing w:val="11"/>
        </w:rPr>
        <w:t xml:space="preserve"> </w:t>
      </w:r>
      <w:r>
        <w:t>managers.</w:t>
      </w:r>
    </w:p>
    <w:p w14:paraId="22921B7D" w14:textId="77777777" w:rsidR="00C415F5" w:rsidRDefault="00603DEC" w:rsidP="00066FBA">
      <w:pPr>
        <w:pStyle w:val="ListParagraph"/>
        <w:numPr>
          <w:ilvl w:val="0"/>
          <w:numId w:val="23"/>
        </w:numPr>
        <w:ind w:left="284"/>
      </w:pPr>
      <w:r w:rsidRPr="001F0A91">
        <w:rPr>
          <w:rFonts w:cs="Arial"/>
          <w:b/>
          <w:spacing w:val="2"/>
        </w:rPr>
        <w:t>Stability:</w:t>
      </w:r>
      <w:r>
        <w:rPr>
          <w:rFonts w:ascii="Futura PT Bold" w:hAnsi="Futura PT Bold"/>
          <w:b/>
          <w:spacing w:val="2"/>
        </w:rPr>
        <w:t xml:space="preserve"> </w:t>
      </w:r>
      <w:r>
        <w:t>The payment relativities for ABF are consistent over time.</w:t>
      </w:r>
    </w:p>
    <w:p w14:paraId="5A355244" w14:textId="77777777" w:rsidR="00C415F5" w:rsidRDefault="00603DEC" w:rsidP="00066FBA">
      <w:pPr>
        <w:pStyle w:val="ListParagraph"/>
        <w:numPr>
          <w:ilvl w:val="0"/>
          <w:numId w:val="23"/>
        </w:numPr>
        <w:ind w:left="284"/>
      </w:pPr>
      <w:r w:rsidRPr="001F0A91">
        <w:rPr>
          <w:rFonts w:cs="Arial"/>
          <w:b/>
          <w:spacing w:val="2"/>
        </w:rPr>
        <w:t>Evidence-based:</w:t>
      </w:r>
      <w:r>
        <w:rPr>
          <w:rFonts w:ascii="Futura PT Bold" w:hAnsi="Futura PT Bold"/>
          <w:b/>
          <w:spacing w:val="2"/>
        </w:rPr>
        <w:t xml:space="preserve"> </w:t>
      </w:r>
      <w:r>
        <w:t>Funding should be based on best available</w:t>
      </w:r>
      <w:r>
        <w:rPr>
          <w:spacing w:val="3"/>
        </w:rPr>
        <w:t xml:space="preserve"> </w:t>
      </w:r>
      <w:r>
        <w:t>information.</w:t>
      </w:r>
    </w:p>
    <w:p w14:paraId="4AA1DBF6" w14:textId="77777777" w:rsidR="00C415F5" w:rsidRDefault="00603DEC" w:rsidP="001F0A91">
      <w:pPr>
        <w:spacing w:before="100" w:line="256" w:lineRule="auto"/>
        <w:ind w:left="284" w:right="-18"/>
        <w:rPr>
          <w:sz w:val="19"/>
        </w:rPr>
      </w:pPr>
      <w:r>
        <w:br w:type="column"/>
      </w:r>
      <w:r w:rsidRPr="001F0A91">
        <w:rPr>
          <w:rFonts w:cs="Arial"/>
          <w:b/>
          <w:color w:val="58595B"/>
          <w:sz w:val="19"/>
        </w:rPr>
        <w:t>System Design Guidelines</w:t>
      </w:r>
      <w:r>
        <w:rPr>
          <w:rFonts w:ascii="Futura PT Bold"/>
          <w:b/>
          <w:color w:val="58595B"/>
          <w:sz w:val="19"/>
        </w:rPr>
        <w:t xml:space="preserve"> </w:t>
      </w:r>
      <w:r>
        <w:rPr>
          <w:color w:val="58595B"/>
          <w:sz w:val="19"/>
        </w:rPr>
        <w:t>to inform the options for design of ABF and block grant funding arrangements:</w:t>
      </w:r>
    </w:p>
    <w:p w14:paraId="3E803D5D" w14:textId="77777777" w:rsidR="00C415F5" w:rsidRDefault="00603DEC" w:rsidP="00DE578F">
      <w:pPr>
        <w:pStyle w:val="ListParagraph"/>
        <w:numPr>
          <w:ilvl w:val="0"/>
          <w:numId w:val="24"/>
        </w:numPr>
        <w:ind w:left="567" w:right="-18"/>
      </w:pPr>
      <w:r w:rsidRPr="001F0A91">
        <w:rPr>
          <w:rFonts w:cs="Arial"/>
          <w:b/>
        </w:rPr>
        <w:t xml:space="preserve">Fostering </w:t>
      </w:r>
      <w:r w:rsidRPr="001F0A91">
        <w:rPr>
          <w:rFonts w:cs="Arial"/>
          <w:b/>
          <w:spacing w:val="2"/>
        </w:rPr>
        <w:t xml:space="preserve">clinical </w:t>
      </w:r>
      <w:r w:rsidRPr="001F0A91">
        <w:rPr>
          <w:rFonts w:cs="Arial"/>
          <w:b/>
        </w:rPr>
        <w:t>innovation:</w:t>
      </w:r>
      <w:r>
        <w:rPr>
          <w:rFonts w:ascii="Futura PT Bold" w:hAnsi="Futura PT Bold"/>
          <w:b/>
        </w:rPr>
        <w:t xml:space="preserve"> </w:t>
      </w:r>
      <w:r>
        <w:t xml:space="preserve">Pricing of public hospital </w:t>
      </w:r>
      <w:r>
        <w:rPr>
          <w:spacing w:val="2"/>
        </w:rPr>
        <w:t xml:space="preserve">services </w:t>
      </w:r>
      <w:r>
        <w:t xml:space="preserve">should respond in a timely way to introduction of evidence-based, </w:t>
      </w:r>
      <w:r>
        <w:rPr>
          <w:spacing w:val="2"/>
        </w:rPr>
        <w:t xml:space="preserve">effective </w:t>
      </w:r>
      <w:r>
        <w:t>new technology and innovations in the models of care that improve patient</w:t>
      </w:r>
      <w:r>
        <w:rPr>
          <w:spacing w:val="25"/>
        </w:rPr>
        <w:t xml:space="preserve"> </w:t>
      </w:r>
      <w:r>
        <w:t>outcomes.</w:t>
      </w:r>
    </w:p>
    <w:p w14:paraId="58BF002F" w14:textId="77777777" w:rsidR="00C415F5" w:rsidRDefault="009E23A6" w:rsidP="003932A6">
      <w:pPr>
        <w:pStyle w:val="BodyText"/>
      </w:pPr>
      <w:r>
        <w:rPr>
          <w:noProof/>
        </w:rPr>
        <w:pict w14:anchorId="5D0F3E22">
          <v:rect id="_x0000_s1046" alt="" style="position:absolute;margin-left:11.35pt;margin-top:15.3pt;width:223.95pt;height:1in;z-index:-251650048;mso-wrap-edited:f;mso-width-percent:0;mso-height-percent:0;mso-width-percent:0;mso-height-percent:0" fillcolor="#008f54 [3205]" stroked="f"/>
        </w:pict>
      </w:r>
    </w:p>
    <w:p w14:paraId="3276FE64" w14:textId="77777777" w:rsidR="00C415F5" w:rsidRPr="00066FBA" w:rsidRDefault="00603DEC" w:rsidP="00DE578F">
      <w:pPr>
        <w:pStyle w:val="ListParagraph"/>
        <w:numPr>
          <w:ilvl w:val="0"/>
          <w:numId w:val="24"/>
        </w:numPr>
        <w:ind w:right="-18"/>
        <w:rPr>
          <w:color w:val="FFFFFF" w:themeColor="background1"/>
        </w:rPr>
      </w:pPr>
      <w:r w:rsidRPr="00066FBA">
        <w:rPr>
          <w:rFonts w:cs="Arial"/>
          <w:b/>
          <w:color w:val="FFFFFF" w:themeColor="background1"/>
        </w:rPr>
        <w:t>Promoting value:</w:t>
      </w:r>
      <w:r w:rsidRPr="00066FBA">
        <w:rPr>
          <w:rFonts w:ascii="Futura PT Bold" w:hAnsi="Futura PT Bold"/>
          <w:b/>
          <w:color w:val="FFFFFF" w:themeColor="background1"/>
        </w:rPr>
        <w:t xml:space="preserve"> </w:t>
      </w:r>
      <w:r w:rsidRPr="00066FBA">
        <w:rPr>
          <w:color w:val="FFFFFF" w:themeColor="background1"/>
        </w:rPr>
        <w:t>Pricing should support innovative and alternative funding solutions that deliver efficient quality care with a focus on patient</w:t>
      </w:r>
      <w:r w:rsidRPr="00066FBA">
        <w:rPr>
          <w:color w:val="FFFFFF" w:themeColor="background1"/>
          <w:spacing w:val="1"/>
        </w:rPr>
        <w:t xml:space="preserve"> </w:t>
      </w:r>
      <w:r w:rsidRPr="00066FBA">
        <w:rPr>
          <w:color w:val="FFFFFF" w:themeColor="background1"/>
        </w:rPr>
        <w:t>outcomes.</w:t>
      </w:r>
    </w:p>
    <w:p w14:paraId="1A0A0AB6" w14:textId="77777777" w:rsidR="00C415F5" w:rsidRDefault="00C415F5" w:rsidP="003932A6">
      <w:pPr>
        <w:pStyle w:val="BodyText"/>
      </w:pPr>
    </w:p>
    <w:p w14:paraId="0E49AD6E" w14:textId="77777777" w:rsidR="00C415F5" w:rsidRDefault="00603DEC" w:rsidP="00DE578F">
      <w:pPr>
        <w:pStyle w:val="ListParagraph"/>
        <w:numPr>
          <w:ilvl w:val="0"/>
          <w:numId w:val="24"/>
        </w:numPr>
        <w:ind w:left="567" w:right="-18"/>
      </w:pPr>
      <w:r w:rsidRPr="001F0A91">
        <w:rPr>
          <w:rFonts w:cs="Arial"/>
          <w:b/>
        </w:rPr>
        <w:t xml:space="preserve">Promoting </w:t>
      </w:r>
      <w:proofErr w:type="spellStart"/>
      <w:r w:rsidRPr="001F0A91">
        <w:rPr>
          <w:rFonts w:cs="Arial"/>
          <w:b/>
          <w:spacing w:val="2"/>
        </w:rPr>
        <w:t>harmonisation</w:t>
      </w:r>
      <w:proofErr w:type="spellEnd"/>
      <w:r w:rsidRPr="001F0A91">
        <w:rPr>
          <w:rFonts w:cs="Arial"/>
          <w:b/>
          <w:spacing w:val="2"/>
        </w:rPr>
        <w:t>:</w:t>
      </w:r>
      <w:r>
        <w:rPr>
          <w:rFonts w:ascii="Futura PT Bold" w:hAnsi="Futura PT Bold"/>
          <w:b/>
          <w:spacing w:val="2"/>
        </w:rPr>
        <w:t xml:space="preserve"> </w:t>
      </w:r>
      <w:r>
        <w:t>Pricing should facilitate best practice provision of appropriate site of care.</w:t>
      </w:r>
    </w:p>
    <w:p w14:paraId="3B8F091D" w14:textId="77777777" w:rsidR="00C415F5" w:rsidRDefault="00603DEC" w:rsidP="00DE578F">
      <w:pPr>
        <w:pStyle w:val="ListParagraph"/>
        <w:numPr>
          <w:ilvl w:val="0"/>
          <w:numId w:val="24"/>
        </w:numPr>
        <w:ind w:left="567" w:right="-18"/>
      </w:pPr>
      <w:proofErr w:type="spellStart"/>
      <w:r w:rsidRPr="001F0A91">
        <w:rPr>
          <w:rFonts w:cs="Arial"/>
          <w:b/>
          <w:spacing w:val="2"/>
        </w:rPr>
        <w:t>Minimising</w:t>
      </w:r>
      <w:proofErr w:type="spellEnd"/>
      <w:r w:rsidRPr="001F0A91">
        <w:rPr>
          <w:rFonts w:cs="Arial"/>
          <w:b/>
          <w:spacing w:val="2"/>
        </w:rPr>
        <w:t xml:space="preserve"> undesirable </w:t>
      </w:r>
      <w:r w:rsidRPr="001F0A91">
        <w:rPr>
          <w:rFonts w:cs="Arial"/>
          <w:b/>
        </w:rPr>
        <w:t xml:space="preserve">and </w:t>
      </w:r>
      <w:r w:rsidRPr="001F0A91">
        <w:rPr>
          <w:rFonts w:cs="Arial"/>
          <w:b/>
          <w:spacing w:val="2"/>
        </w:rPr>
        <w:t xml:space="preserve">inadvertent </w:t>
      </w:r>
      <w:r w:rsidRPr="001F0A91">
        <w:rPr>
          <w:rFonts w:cs="Arial"/>
          <w:b/>
        </w:rPr>
        <w:t>consequences:</w:t>
      </w:r>
      <w:r>
        <w:rPr>
          <w:rFonts w:ascii="Futura PT Bold" w:hAnsi="Futura PT Bold"/>
          <w:b/>
        </w:rPr>
        <w:t xml:space="preserve"> </w:t>
      </w:r>
      <w:r>
        <w:t xml:space="preserve">Funding design should </w:t>
      </w:r>
      <w:proofErr w:type="spellStart"/>
      <w:r>
        <w:t>minimise</w:t>
      </w:r>
      <w:proofErr w:type="spellEnd"/>
      <w:r>
        <w:t xml:space="preserve"> susceptibility to gaming, inappropriate rewards and perverse</w:t>
      </w:r>
      <w:r>
        <w:rPr>
          <w:spacing w:val="28"/>
        </w:rPr>
        <w:t xml:space="preserve"> </w:t>
      </w:r>
      <w:r>
        <w:t>incentives.</w:t>
      </w:r>
    </w:p>
    <w:p w14:paraId="795D6131" w14:textId="77777777" w:rsidR="00C415F5" w:rsidRDefault="00603DEC" w:rsidP="00DE578F">
      <w:pPr>
        <w:pStyle w:val="ListParagraph"/>
        <w:numPr>
          <w:ilvl w:val="0"/>
          <w:numId w:val="24"/>
        </w:numPr>
        <w:ind w:left="567" w:right="-18"/>
      </w:pPr>
      <w:r w:rsidRPr="001F0A91">
        <w:rPr>
          <w:rFonts w:cs="Arial"/>
          <w:b/>
        </w:rPr>
        <w:t xml:space="preserve">ABF </w:t>
      </w:r>
      <w:r w:rsidRPr="001F0A91">
        <w:rPr>
          <w:rFonts w:cs="Arial"/>
          <w:b/>
          <w:spacing w:val="2"/>
        </w:rPr>
        <w:t>pre-eminence:</w:t>
      </w:r>
      <w:r>
        <w:rPr>
          <w:rFonts w:ascii="Futura PT Bold" w:hAnsi="Futura PT Bold"/>
          <w:b/>
          <w:spacing w:val="2"/>
        </w:rPr>
        <w:t xml:space="preserve"> </w:t>
      </w:r>
      <w:r>
        <w:t xml:space="preserve">ABF should be used for funding public hospital </w:t>
      </w:r>
      <w:r>
        <w:rPr>
          <w:spacing w:val="2"/>
        </w:rPr>
        <w:t xml:space="preserve">services </w:t>
      </w:r>
      <w:r>
        <w:t>wherever practicable.</w:t>
      </w:r>
    </w:p>
    <w:p w14:paraId="0E6695D5" w14:textId="77777777" w:rsidR="00C415F5" w:rsidRPr="00E74C51" w:rsidRDefault="00603DEC" w:rsidP="001F0A91">
      <w:pPr>
        <w:pStyle w:val="Heading4"/>
        <w:numPr>
          <w:ilvl w:val="0"/>
          <w:numId w:val="24"/>
        </w:numPr>
        <w:tabs>
          <w:tab w:val="left" w:pos="853"/>
        </w:tabs>
        <w:spacing w:before="111"/>
        <w:ind w:left="567" w:right="-18" w:hanging="283"/>
        <w:rPr>
          <w:sz w:val="19"/>
        </w:rPr>
      </w:pPr>
      <w:r w:rsidRPr="00E74C51">
        <w:rPr>
          <w:color w:val="58595B"/>
          <w:spacing w:val="2"/>
          <w:sz w:val="19"/>
        </w:rPr>
        <w:t xml:space="preserve">Single </w:t>
      </w:r>
      <w:r w:rsidRPr="00E74C51">
        <w:rPr>
          <w:color w:val="58595B"/>
          <w:sz w:val="19"/>
        </w:rPr>
        <w:t>unit of measure and</w:t>
      </w:r>
      <w:r w:rsidR="001F0A91" w:rsidRPr="00E74C51">
        <w:rPr>
          <w:color w:val="58595B"/>
          <w:sz w:val="19"/>
        </w:rPr>
        <w:t xml:space="preserve"> price equivalence: </w:t>
      </w:r>
      <w:r w:rsidRPr="00E74C51">
        <w:rPr>
          <w:b w:val="0"/>
          <w:bCs w:val="0"/>
          <w:color w:val="58595B"/>
          <w:sz w:val="19"/>
        </w:rPr>
        <w:t xml:space="preserve">ABF pricing should support dynamic </w:t>
      </w:r>
      <w:r w:rsidRPr="00E74C51">
        <w:rPr>
          <w:b w:val="0"/>
          <w:bCs w:val="0"/>
          <w:color w:val="58595B"/>
          <w:spacing w:val="2"/>
          <w:sz w:val="19"/>
        </w:rPr>
        <w:t xml:space="preserve">efficiency </w:t>
      </w:r>
      <w:r w:rsidRPr="00E74C51">
        <w:rPr>
          <w:b w:val="0"/>
          <w:bCs w:val="0"/>
          <w:color w:val="58595B"/>
          <w:sz w:val="19"/>
        </w:rPr>
        <w:t xml:space="preserve">and changes to models of care with the ready transferability of funding between different care </w:t>
      </w:r>
      <w:r w:rsidRPr="00E74C51">
        <w:rPr>
          <w:b w:val="0"/>
          <w:bCs w:val="0"/>
          <w:color w:val="58595B"/>
          <w:spacing w:val="2"/>
          <w:sz w:val="19"/>
        </w:rPr>
        <w:t xml:space="preserve">types </w:t>
      </w:r>
      <w:r w:rsidRPr="00E74C51">
        <w:rPr>
          <w:b w:val="0"/>
          <w:bCs w:val="0"/>
          <w:color w:val="58595B"/>
          <w:sz w:val="19"/>
        </w:rPr>
        <w:t xml:space="preserve">and </w:t>
      </w:r>
      <w:r w:rsidRPr="00E74C51">
        <w:rPr>
          <w:b w:val="0"/>
          <w:bCs w:val="0"/>
          <w:color w:val="58595B"/>
          <w:spacing w:val="2"/>
          <w:sz w:val="19"/>
        </w:rPr>
        <w:t xml:space="preserve">service </w:t>
      </w:r>
      <w:r w:rsidRPr="00E74C51">
        <w:rPr>
          <w:b w:val="0"/>
          <w:bCs w:val="0"/>
          <w:color w:val="58595B"/>
          <w:sz w:val="19"/>
        </w:rPr>
        <w:t>streams through a single unit of measure and relative weights.</w:t>
      </w:r>
    </w:p>
    <w:p w14:paraId="108EB7C4" w14:textId="77777777" w:rsidR="00C415F5" w:rsidRPr="001F0A91" w:rsidRDefault="00603DEC" w:rsidP="00DE578F">
      <w:pPr>
        <w:pStyle w:val="ListParagraph"/>
        <w:numPr>
          <w:ilvl w:val="0"/>
          <w:numId w:val="24"/>
        </w:numPr>
        <w:ind w:left="567" w:right="-18"/>
        <w:rPr>
          <w:szCs w:val="19"/>
        </w:rPr>
      </w:pPr>
      <w:r w:rsidRPr="001F0A91">
        <w:rPr>
          <w:rFonts w:cs="Arial"/>
          <w:b/>
        </w:rPr>
        <w:t>Patient-based:</w:t>
      </w:r>
      <w:r w:rsidRPr="001F0A91">
        <w:rPr>
          <w:rFonts w:ascii="Futura PT Bold" w:hAnsi="Futura PT Bold"/>
          <w:b/>
        </w:rPr>
        <w:t xml:space="preserve"> </w:t>
      </w:r>
      <w:r w:rsidRPr="001F0A91">
        <w:t>Adjustments to the standard price should be, as far as is practicable, based on patient-related rather</w:t>
      </w:r>
      <w:r w:rsidRPr="001F0A91">
        <w:rPr>
          <w:spacing w:val="-17"/>
        </w:rPr>
        <w:t xml:space="preserve"> </w:t>
      </w:r>
      <w:r w:rsidRPr="001F0A91">
        <w:rPr>
          <w:szCs w:val="19"/>
        </w:rPr>
        <w:t>than</w:t>
      </w:r>
      <w:r w:rsidR="001F0A91">
        <w:rPr>
          <w:szCs w:val="19"/>
        </w:rPr>
        <w:t xml:space="preserve"> </w:t>
      </w:r>
      <w:r w:rsidRPr="001F0A91">
        <w:rPr>
          <w:szCs w:val="19"/>
        </w:rPr>
        <w:t>provider-related characteristics.</w:t>
      </w:r>
    </w:p>
    <w:p w14:paraId="4E2C9432" w14:textId="77777777" w:rsidR="00C415F5" w:rsidRDefault="00603DEC" w:rsidP="00DE578F">
      <w:pPr>
        <w:pStyle w:val="ListParagraph"/>
        <w:numPr>
          <w:ilvl w:val="0"/>
          <w:numId w:val="24"/>
        </w:numPr>
        <w:ind w:left="567" w:right="-18"/>
      </w:pPr>
      <w:r w:rsidRPr="001F0A91">
        <w:rPr>
          <w:rFonts w:cs="Arial"/>
          <w:b/>
        </w:rPr>
        <w:t xml:space="preserve">Public-private </w:t>
      </w:r>
      <w:r w:rsidRPr="001F0A91">
        <w:rPr>
          <w:rFonts w:cs="Arial"/>
          <w:b/>
          <w:spacing w:val="2"/>
        </w:rPr>
        <w:t>neutrality:</w:t>
      </w:r>
      <w:r>
        <w:rPr>
          <w:rFonts w:ascii="Futura PT Bold" w:hAnsi="Futura PT Bold"/>
          <w:b/>
          <w:spacing w:val="2"/>
        </w:rPr>
        <w:t xml:space="preserve"> </w:t>
      </w:r>
      <w:r>
        <w:t>ABF pricing should not disrupt current incentives for a person to elect to be treated as a private or a public patient in a public</w:t>
      </w:r>
      <w:r>
        <w:rPr>
          <w:spacing w:val="2"/>
        </w:rPr>
        <w:t xml:space="preserve"> </w:t>
      </w:r>
      <w:r>
        <w:t>hospital.</w:t>
      </w:r>
    </w:p>
    <w:p w14:paraId="1F3E32A2" w14:textId="77777777" w:rsidR="00C415F5" w:rsidRDefault="00C415F5">
      <w:pPr>
        <w:spacing w:line="256" w:lineRule="auto"/>
        <w:rPr>
          <w:sz w:val="19"/>
        </w:rPr>
        <w:sectPr w:rsidR="00C415F5" w:rsidSect="006D53C3">
          <w:type w:val="continuous"/>
          <w:pgSz w:w="11910" w:h="16840"/>
          <w:pgMar w:top="1440" w:right="1440" w:bottom="1440" w:left="1440" w:header="720" w:footer="720" w:gutter="0"/>
          <w:cols w:num="2" w:space="340"/>
        </w:sectPr>
      </w:pPr>
    </w:p>
    <w:p w14:paraId="30293CFB" w14:textId="77777777" w:rsidR="00F83327" w:rsidRPr="00F83327" w:rsidRDefault="00F83327" w:rsidP="00F83327">
      <w:pPr>
        <w:pStyle w:val="Heading1"/>
        <w:spacing w:after="3600"/>
        <w:rPr>
          <w:color w:val="FFFFFF" w:themeColor="background1"/>
        </w:rPr>
      </w:pPr>
      <w:bookmarkStart w:id="8" w:name="_3_Scope_of"/>
      <w:bookmarkEnd w:id="8"/>
      <w:r w:rsidRPr="00F83327">
        <w:rPr>
          <w:noProof/>
          <w:color w:val="FFFFFF" w:themeColor="background1"/>
        </w:rPr>
        <w:lastRenderedPageBreak/>
        <w:drawing>
          <wp:anchor distT="0" distB="0" distL="114300" distR="114300" simplePos="0" relativeHeight="251644416" behindDoc="1" locked="0" layoutInCell="1" allowOverlap="1" wp14:anchorId="2CCF90C5" wp14:editId="31F1970E">
            <wp:simplePos x="0" y="0"/>
            <wp:positionH relativeFrom="margin">
              <wp:posOffset>-914400</wp:posOffset>
            </wp:positionH>
            <wp:positionV relativeFrom="page">
              <wp:posOffset>954157</wp:posOffset>
            </wp:positionV>
            <wp:extent cx="5462269" cy="35774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F83327">
        <w:rPr>
          <w:color w:val="FFFFFF" w:themeColor="background1"/>
        </w:rPr>
        <w:t>3</w:t>
      </w:r>
    </w:p>
    <w:p w14:paraId="391531A4" w14:textId="77777777" w:rsidR="00F83327" w:rsidRDefault="00F83327" w:rsidP="00F83327">
      <w:pPr>
        <w:pStyle w:val="Heading1"/>
        <w:ind w:right="3643"/>
        <w:sectPr w:rsidR="00F83327" w:rsidSect="008613E1">
          <w:headerReference w:type="default" r:id="rId33"/>
          <w:footerReference w:type="default" r:id="rId34"/>
          <w:pgSz w:w="11910" w:h="16840"/>
          <w:pgMar w:top="3970" w:right="1440" w:bottom="1440" w:left="1440" w:header="0" w:footer="656" w:gutter="0"/>
          <w:cols w:space="720"/>
        </w:sectPr>
      </w:pPr>
      <w:r>
        <w:t>Scope of public hospital services</w:t>
      </w:r>
    </w:p>
    <w:p w14:paraId="7D1E2CDA" w14:textId="77777777" w:rsidR="00C415F5" w:rsidRPr="00B23364" w:rsidRDefault="005907C8" w:rsidP="00D32313">
      <w:pPr>
        <w:pStyle w:val="Heading1"/>
        <w:ind w:left="1418" w:right="1375" w:hanging="1191"/>
      </w:pPr>
      <w:r w:rsidRPr="00D32313">
        <w:rPr>
          <w:noProof/>
          <w:color w:val="FFFFFF" w:themeColor="background1"/>
        </w:rPr>
        <w:lastRenderedPageBreak/>
        <w:drawing>
          <wp:anchor distT="0" distB="0" distL="114300" distR="114300" simplePos="0" relativeHeight="251645440" behindDoc="1" locked="0" layoutInCell="1" allowOverlap="1" wp14:anchorId="1C3CC47D" wp14:editId="624A9F10">
            <wp:simplePos x="0" y="0"/>
            <wp:positionH relativeFrom="column">
              <wp:posOffset>-914400</wp:posOffset>
            </wp:positionH>
            <wp:positionV relativeFrom="page">
              <wp:posOffset>667910</wp:posOffset>
            </wp:positionV>
            <wp:extent cx="1685424" cy="9461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D32313">
        <w:rPr>
          <w:color w:val="FFFFFF" w:themeColor="background1"/>
        </w:rPr>
        <w:t>3</w:t>
      </w:r>
      <w:r w:rsidR="00B23364" w:rsidRPr="00B23364">
        <w:tab/>
      </w:r>
      <w:r w:rsidR="00D32313">
        <w:tab/>
      </w:r>
      <w:r w:rsidR="00603DEC" w:rsidRPr="00B23364">
        <w:t>Scope of public hospital services</w:t>
      </w:r>
    </w:p>
    <w:p w14:paraId="09ABA3F4" w14:textId="77777777" w:rsidR="00C415F5" w:rsidRDefault="00C415F5" w:rsidP="003932A6">
      <w:pPr>
        <w:pStyle w:val="BodyText"/>
      </w:pPr>
    </w:p>
    <w:p w14:paraId="18BD8BC1" w14:textId="77777777" w:rsidR="00C415F5" w:rsidRDefault="00C415F5">
      <w:pPr>
        <w:rPr>
          <w:rFonts w:ascii="Futura PT Heavy"/>
          <w:sz w:val="20"/>
        </w:rPr>
        <w:sectPr w:rsidR="00C415F5" w:rsidSect="00342612">
          <w:headerReference w:type="default" r:id="rId36"/>
          <w:pgSz w:w="11910" w:h="16840"/>
          <w:pgMar w:top="1440" w:right="1440" w:bottom="1440" w:left="1440" w:header="0" w:footer="656" w:gutter="0"/>
          <w:cols w:space="720"/>
        </w:sectPr>
      </w:pPr>
    </w:p>
    <w:p w14:paraId="3AA722DC" w14:textId="77777777" w:rsidR="00C415F5" w:rsidRDefault="007053EF" w:rsidP="007053EF">
      <w:pPr>
        <w:pStyle w:val="Heading2"/>
      </w:pPr>
      <w:r>
        <w:t xml:space="preserve">3.1 </w:t>
      </w:r>
      <w:r w:rsidR="00603DEC">
        <w:t>Overview</w:t>
      </w:r>
    </w:p>
    <w:p w14:paraId="38F13128" w14:textId="77777777" w:rsidR="00C415F5" w:rsidRDefault="00603DEC" w:rsidP="003932A6">
      <w:pPr>
        <w:pStyle w:val="BodyText"/>
      </w:pPr>
      <w:r>
        <w:t>In August 2011, Australian governments agreed to be jointly responsible for funding efficient growth in public hospital services. As there was no standard definition or listing of public hospital services, the Council of Australian Governments assigned IHPA the task of determining whether a service is ruled ‘in-scope’ as</w:t>
      </w:r>
      <w:r w:rsidR="00066FBA">
        <w:t xml:space="preserve"> </w:t>
      </w:r>
      <w:r>
        <w:t>a public hospital service, and therefore eligible for Commonwealth funding under the NHRA.</w:t>
      </w:r>
    </w:p>
    <w:p w14:paraId="17F7A034" w14:textId="77777777" w:rsidR="002D5002" w:rsidRDefault="00603DEC" w:rsidP="003932A6">
      <w:pPr>
        <w:pStyle w:val="BodyText"/>
      </w:pPr>
      <w:r>
        <w:t xml:space="preserve">Each year, </w:t>
      </w:r>
      <w:r>
        <w:rPr>
          <w:spacing w:val="-3"/>
        </w:rPr>
        <w:t xml:space="preserve">IHPA </w:t>
      </w:r>
      <w:r>
        <w:t xml:space="preserve">publishes the </w:t>
      </w:r>
      <w:r>
        <w:rPr>
          <w:i/>
        </w:rPr>
        <w:t xml:space="preserve">General List of </w:t>
      </w:r>
      <w:proofErr w:type="gramStart"/>
      <w:r>
        <w:rPr>
          <w:i/>
        </w:rPr>
        <w:t>In</w:t>
      </w:r>
      <w:proofErr w:type="gramEnd"/>
      <w:r>
        <w:rPr>
          <w:rFonts w:ascii="Cambria Math" w:hAnsi="Cambria Math" w:cs="Cambria Math"/>
          <w:i/>
        </w:rPr>
        <w:t>‑</w:t>
      </w:r>
      <w:r>
        <w:rPr>
          <w:i/>
        </w:rPr>
        <w:t xml:space="preserve">Scope Public Hospital Services </w:t>
      </w:r>
      <w:r>
        <w:t xml:space="preserve">(the General List) as part of the NEP Determination. </w:t>
      </w:r>
      <w:r>
        <w:rPr>
          <w:spacing w:val="-6"/>
        </w:rPr>
        <w:t xml:space="preserve">The </w:t>
      </w:r>
      <w:r>
        <w:t xml:space="preserve">General List defines public hospital services eligible for Commonwealth funding, except where funding is otherwise agreed between </w:t>
      </w:r>
      <w:r>
        <w:rPr>
          <w:spacing w:val="-8"/>
        </w:rPr>
        <w:t xml:space="preserve">the </w:t>
      </w:r>
      <w:r>
        <w:t>Commonwealth and a state or</w:t>
      </w:r>
      <w:r>
        <w:rPr>
          <w:spacing w:val="-1"/>
        </w:rPr>
        <w:t xml:space="preserve"> </w:t>
      </w:r>
      <w:r>
        <w:t>territory.</w:t>
      </w:r>
    </w:p>
    <w:p w14:paraId="11C9A81C" w14:textId="77777777" w:rsidR="00C415F5" w:rsidRDefault="00603DEC" w:rsidP="003932A6">
      <w:pPr>
        <w:pStyle w:val="BodyText"/>
      </w:pPr>
      <w:r>
        <w:t xml:space="preserve">In accordance with Section </w:t>
      </w:r>
      <w:r>
        <w:rPr>
          <w:spacing w:val="-10"/>
        </w:rPr>
        <w:t xml:space="preserve">131(f) </w:t>
      </w:r>
      <w:r>
        <w:t xml:space="preserve">of the </w:t>
      </w:r>
      <w:hyperlink r:id="rId37">
        <w:r>
          <w:rPr>
            <w:i/>
            <w:color w:val="008F54"/>
            <w:u w:val="single" w:color="008F54"/>
          </w:rPr>
          <w:t>National Health</w:t>
        </w:r>
      </w:hyperlink>
      <w:r w:rsidRPr="002E5500">
        <w:rPr>
          <w:i/>
          <w:color w:val="008F54"/>
          <w:u w:val="single"/>
        </w:rPr>
        <w:t xml:space="preserve"> </w:t>
      </w:r>
      <w:hyperlink r:id="rId38">
        <w:r>
          <w:rPr>
            <w:i/>
            <w:color w:val="008F54"/>
            <w:u w:val="single" w:color="008F54"/>
          </w:rPr>
          <w:t xml:space="preserve">Reform Act </w:t>
        </w:r>
        <w:r>
          <w:rPr>
            <w:i/>
            <w:color w:val="008F54"/>
            <w:spacing w:val="-16"/>
            <w:u w:val="single" w:color="008F54"/>
          </w:rPr>
          <w:t>2011</w:t>
        </w:r>
      </w:hyperlink>
      <w:r>
        <w:rPr>
          <w:i/>
          <w:color w:val="008F54"/>
          <w:spacing w:val="-16"/>
        </w:rPr>
        <w:t xml:space="preserve"> </w:t>
      </w:r>
      <w:r>
        <w:t>(</w:t>
      </w:r>
      <w:proofErr w:type="spellStart"/>
      <w:r>
        <w:t>Cth</w:t>
      </w:r>
      <w:proofErr w:type="spellEnd"/>
      <w:r>
        <w:t xml:space="preserve">) and Clauses </w:t>
      </w:r>
      <w:r>
        <w:rPr>
          <w:spacing w:val="-4"/>
        </w:rPr>
        <w:t xml:space="preserve">A9-A17 </w:t>
      </w:r>
      <w:r>
        <w:t xml:space="preserve">of the </w:t>
      </w:r>
      <w:r>
        <w:rPr>
          <w:spacing w:val="-4"/>
        </w:rPr>
        <w:t xml:space="preserve">NHRA, </w:t>
      </w:r>
      <w:r>
        <w:t xml:space="preserve">the </w:t>
      </w:r>
      <w:r>
        <w:rPr>
          <w:spacing w:val="-3"/>
        </w:rPr>
        <w:t xml:space="preserve">IHPA </w:t>
      </w:r>
      <w:hyperlink r:id="rId39">
        <w:r>
          <w:rPr>
            <w:i/>
            <w:color w:val="008F54"/>
            <w:u w:val="single" w:color="008F54"/>
          </w:rPr>
          <w:t>General List of In</w:t>
        </w:r>
        <w:r>
          <w:rPr>
            <w:rFonts w:ascii="Cambria Math" w:hAnsi="Cambria Math" w:cs="Cambria Math"/>
            <w:i/>
            <w:color w:val="008F54"/>
            <w:u w:val="single" w:color="008F54"/>
          </w:rPr>
          <w:t>‑</w:t>
        </w:r>
        <w:r>
          <w:rPr>
            <w:i/>
            <w:color w:val="008F54"/>
            <w:u w:val="single" w:color="008F54"/>
          </w:rPr>
          <w:t xml:space="preserve">Scope Public Hospital </w:t>
        </w:r>
        <w:r>
          <w:rPr>
            <w:i/>
            <w:color w:val="008F54"/>
            <w:spacing w:val="-3"/>
            <w:u w:val="single" w:color="008F54"/>
          </w:rPr>
          <w:t>Services</w:t>
        </w:r>
      </w:hyperlink>
      <w:r w:rsidRPr="002E5500">
        <w:rPr>
          <w:i/>
          <w:color w:val="008F54"/>
          <w:spacing w:val="-3"/>
          <w:u w:val="single"/>
        </w:rPr>
        <w:t xml:space="preserve"> </w:t>
      </w:r>
      <w:hyperlink r:id="rId40">
        <w:r>
          <w:rPr>
            <w:i/>
            <w:color w:val="008F54"/>
            <w:u w:val="single" w:color="008F54"/>
          </w:rPr>
          <w:t>Eligibility Policy</w:t>
        </w:r>
      </w:hyperlink>
      <w:r>
        <w:rPr>
          <w:i/>
          <w:color w:val="008F54"/>
        </w:rPr>
        <w:t xml:space="preserve"> </w:t>
      </w:r>
      <w:r>
        <w:t>(the General List policy) defines public hospital services eligible for Commonwealth funding</w:t>
      </w:r>
      <w:r w:rsidR="00066FBA">
        <w:t xml:space="preserve"> </w:t>
      </w:r>
      <w:r>
        <w:t>to be:</w:t>
      </w:r>
    </w:p>
    <w:p w14:paraId="0042FD03" w14:textId="77777777" w:rsidR="00C415F5" w:rsidRPr="00066FBA" w:rsidRDefault="00603DEC" w:rsidP="00066FBA">
      <w:pPr>
        <w:pStyle w:val="ListParagraph"/>
      </w:pPr>
      <w:r w:rsidRPr="00066FBA">
        <w:t>All admitted programs including hospital in the home programs and forensic mental health inpatient services;</w:t>
      </w:r>
    </w:p>
    <w:p w14:paraId="24F11077" w14:textId="77777777" w:rsidR="00C415F5" w:rsidRDefault="00603DEC" w:rsidP="00066FBA">
      <w:pPr>
        <w:pStyle w:val="ListParagraph"/>
      </w:pPr>
      <w:r>
        <w:t>All emergency department services;</w:t>
      </w:r>
      <w:r>
        <w:rPr>
          <w:spacing w:val="7"/>
        </w:rPr>
        <w:t xml:space="preserve"> </w:t>
      </w:r>
      <w:r>
        <w:t>and</w:t>
      </w:r>
    </w:p>
    <w:p w14:paraId="4F117DCC" w14:textId="77777777" w:rsidR="00C415F5" w:rsidRDefault="00603DEC" w:rsidP="00066FBA">
      <w:pPr>
        <w:pStyle w:val="ListParagraph"/>
      </w:pPr>
      <w:r>
        <w:t xml:space="preserve">Other </w:t>
      </w:r>
      <w:r>
        <w:rPr>
          <w:spacing w:val="2"/>
        </w:rPr>
        <w:t xml:space="preserve">non-admitted services </w:t>
      </w:r>
      <w:r>
        <w:t>that meet the criteria for inclusion on the General</w:t>
      </w:r>
      <w:r>
        <w:rPr>
          <w:spacing w:val="3"/>
        </w:rPr>
        <w:t xml:space="preserve"> </w:t>
      </w:r>
      <w:r>
        <w:t>List.</w:t>
      </w:r>
    </w:p>
    <w:p w14:paraId="6D13D7CB" w14:textId="77777777" w:rsidR="00C415F5" w:rsidRDefault="00603DEC" w:rsidP="003932A6">
      <w:pPr>
        <w:pStyle w:val="BodyText"/>
      </w:pPr>
      <w:r>
        <w:rPr>
          <w:spacing w:val="-6"/>
        </w:rPr>
        <w:t xml:space="preserve">The </w:t>
      </w:r>
      <w:r>
        <w:t xml:space="preserve">General List policy does not exclude public hospital services provided in settings outside a hospital (e.g. whether the service is provided in a hospital, in </w:t>
      </w:r>
      <w:r>
        <w:rPr>
          <w:spacing w:val="-9"/>
        </w:rPr>
        <w:t xml:space="preserve">the </w:t>
      </w:r>
      <w:r>
        <w:t xml:space="preserve">community or in a </w:t>
      </w:r>
      <w:r>
        <w:rPr>
          <w:spacing w:val="-3"/>
        </w:rPr>
        <w:t xml:space="preserve">person’s </w:t>
      </w:r>
      <w:r>
        <w:t xml:space="preserve">home). </w:t>
      </w:r>
      <w:r>
        <w:rPr>
          <w:spacing w:val="-6"/>
        </w:rPr>
        <w:t xml:space="preserve">The </w:t>
      </w:r>
      <w:r>
        <w:t>Pricing Authority determines whether specific services proposed by states and territories are ‘in-scope’ and eligible</w:t>
      </w:r>
      <w:r>
        <w:rPr>
          <w:spacing w:val="-3"/>
        </w:rPr>
        <w:t xml:space="preserve"> </w:t>
      </w:r>
      <w:r>
        <w:t>for</w:t>
      </w:r>
      <w:r w:rsidR="00066FBA">
        <w:t xml:space="preserve"> </w:t>
      </w:r>
      <w:r>
        <w:t xml:space="preserve">Commonwealth funding based on criteria and empirical evidence provided by states and territories. </w:t>
      </w:r>
      <w:r>
        <w:rPr>
          <w:spacing w:val="-4"/>
        </w:rPr>
        <w:t xml:space="preserve">These </w:t>
      </w:r>
      <w:r>
        <w:rPr>
          <w:spacing w:val="-3"/>
        </w:rPr>
        <w:t xml:space="preserve">criteria </w:t>
      </w:r>
      <w:r>
        <w:t>are outlined in the General List policy.</w:t>
      </w:r>
    </w:p>
    <w:p w14:paraId="2D4A7B09" w14:textId="77777777" w:rsidR="00C415F5" w:rsidRPr="007053EF" w:rsidRDefault="00603DEC" w:rsidP="007053EF">
      <w:pPr>
        <w:pStyle w:val="Heading2"/>
        <w:ind w:left="142"/>
      </w:pPr>
      <w:r>
        <w:rPr>
          <w:spacing w:val="-8"/>
        </w:rPr>
        <w:br w:type="column"/>
      </w:r>
      <w:r w:rsidR="007053EF">
        <w:rPr>
          <w:spacing w:val="-8"/>
        </w:rPr>
        <w:t xml:space="preserve">3.2 </w:t>
      </w:r>
      <w:r w:rsidRPr="007053EF">
        <w:t>Review of the General List policy</w:t>
      </w:r>
    </w:p>
    <w:p w14:paraId="1D5EDE84" w14:textId="77777777" w:rsidR="00C415F5" w:rsidRDefault="00603DEC" w:rsidP="00E51C81">
      <w:pPr>
        <w:pStyle w:val="BodyText"/>
        <w:ind w:left="142"/>
      </w:pPr>
      <w:proofErr w:type="spellStart"/>
      <w:r>
        <w:t>Recognising</w:t>
      </w:r>
      <w:proofErr w:type="spellEnd"/>
      <w:r>
        <w:t xml:space="preserve"> that the General List criteria and assessment process previously created challenges for states</w:t>
      </w:r>
      <w:r w:rsidR="00466FDD">
        <w:t xml:space="preserve"> </w:t>
      </w:r>
      <w:r>
        <w:t xml:space="preserve">and territories, </w:t>
      </w:r>
      <w:r>
        <w:rPr>
          <w:spacing w:val="-3"/>
        </w:rPr>
        <w:t xml:space="preserve">IHPA </w:t>
      </w:r>
      <w:r>
        <w:t xml:space="preserve">undertook a comprehensive review of the General List policy in consultation with all states and territories in late </w:t>
      </w:r>
      <w:r>
        <w:rPr>
          <w:spacing w:val="-10"/>
        </w:rPr>
        <w:t xml:space="preserve">2018. </w:t>
      </w:r>
      <w:r>
        <w:t xml:space="preserve">Following the </w:t>
      </w:r>
      <w:r>
        <w:rPr>
          <w:spacing w:val="-5"/>
        </w:rPr>
        <w:t xml:space="preserve">review, </w:t>
      </w:r>
      <w:r>
        <w:rPr>
          <w:spacing w:val="-3"/>
        </w:rPr>
        <w:t xml:space="preserve">IHPA </w:t>
      </w:r>
      <w:r>
        <w:t>updated the General List policy to:</w:t>
      </w:r>
    </w:p>
    <w:p w14:paraId="5B8B240D" w14:textId="77777777" w:rsidR="00C415F5" w:rsidRPr="00066FBA" w:rsidRDefault="00603DEC" w:rsidP="00DE578F">
      <w:pPr>
        <w:pStyle w:val="ListParagraph"/>
        <w:ind w:left="426"/>
      </w:pPr>
      <w:r w:rsidRPr="00066FBA">
        <w:t>Clarify the extent to which disease streams may include patients with chronic disease;</w:t>
      </w:r>
    </w:p>
    <w:p w14:paraId="03F2E61C" w14:textId="77777777" w:rsidR="00C415F5" w:rsidRPr="00066FBA" w:rsidRDefault="00603DEC" w:rsidP="00DE578F">
      <w:pPr>
        <w:pStyle w:val="ListParagraph"/>
        <w:ind w:left="426"/>
      </w:pPr>
      <w:r w:rsidRPr="00066FBA">
        <w:t>Strengthen the definition around what constitutes a hospital avoidance program; and</w:t>
      </w:r>
    </w:p>
    <w:p w14:paraId="18727C6B" w14:textId="77777777" w:rsidR="00C415F5" w:rsidRPr="00066FBA" w:rsidRDefault="00603DEC" w:rsidP="00DE578F">
      <w:pPr>
        <w:pStyle w:val="ListParagraph"/>
        <w:ind w:left="426"/>
      </w:pPr>
      <w:r w:rsidRPr="00066FBA">
        <w:t>Include a simpler application form to apply for a service to be considered ‘in-scope’.</w:t>
      </w:r>
    </w:p>
    <w:p w14:paraId="7B1BC9D8" w14:textId="77777777" w:rsidR="00C415F5" w:rsidRDefault="00603DEC" w:rsidP="00E51C81">
      <w:pPr>
        <w:pStyle w:val="BodyText"/>
        <w:ind w:left="142"/>
      </w:pPr>
      <w:r>
        <w:t xml:space="preserve">The updated General List policy was approved by the Pricing Authority in May 2019 and can be accessed on IHPA’s </w:t>
      </w:r>
      <w:hyperlink r:id="rId41">
        <w:r>
          <w:rPr>
            <w:color w:val="008F54"/>
            <w:u w:val="single" w:color="008F54"/>
          </w:rPr>
          <w:t>website</w:t>
        </w:r>
      </w:hyperlink>
      <w:r>
        <w:t>.</w:t>
      </w:r>
    </w:p>
    <w:p w14:paraId="741B4D6A" w14:textId="77777777" w:rsidR="00C415F5" w:rsidRDefault="00C415F5">
      <w:pPr>
        <w:spacing w:line="256" w:lineRule="auto"/>
        <w:sectPr w:rsidR="00C415F5" w:rsidSect="001311FF">
          <w:type w:val="continuous"/>
          <w:pgSz w:w="11910" w:h="16840"/>
          <w:pgMar w:top="1440" w:right="1440" w:bottom="1440" w:left="1440" w:header="720" w:footer="720" w:gutter="0"/>
          <w:cols w:num="2" w:space="340"/>
        </w:sectPr>
      </w:pPr>
    </w:p>
    <w:p w14:paraId="5675D5B7" w14:textId="77777777" w:rsidR="00C415F5" w:rsidRDefault="00603DEC" w:rsidP="003932A6">
      <w:pPr>
        <w:pStyle w:val="BodyText"/>
      </w:pPr>
      <w:r w:rsidRPr="00EB4CDF">
        <w:rPr>
          <w:rFonts w:cs="Arial"/>
          <w:b/>
        </w:rPr>
        <w:lastRenderedPageBreak/>
        <w:t>Figure 2</w:t>
      </w:r>
      <w:r>
        <w:rPr>
          <w:rFonts w:ascii="Futura PT Heavy"/>
          <w:b/>
        </w:rPr>
        <w:t xml:space="preserve"> </w:t>
      </w:r>
      <w:r>
        <w:t>outlines the scope of public hospital services eligible for Commonwealth funding under the NHRA. The General List was last published as part of the National Efficient Price Determination 2019-20 (NEP19) in early March 2019.</w:t>
      </w:r>
    </w:p>
    <w:p w14:paraId="0194B137" w14:textId="77777777" w:rsidR="00C415F5" w:rsidRDefault="00603DEC" w:rsidP="003932A6">
      <w:pPr>
        <w:pStyle w:val="BodyText"/>
      </w:pPr>
      <w:r>
        <w:t>Applications to have a particular service added to the General List are made as part of the annual process outlined in the General List policy.</w:t>
      </w:r>
    </w:p>
    <w:p w14:paraId="405F3564" w14:textId="77777777" w:rsidR="00C415F5" w:rsidRDefault="00603DEC" w:rsidP="00A07AEB">
      <w:pPr>
        <w:pStyle w:val="Heading4"/>
      </w:pPr>
      <w:r>
        <w:t>Figure 2: Scope of public hospital services</w:t>
      </w:r>
    </w:p>
    <w:p w14:paraId="1F900FD4" w14:textId="77777777" w:rsidR="002F0C2D" w:rsidRDefault="009E23A6" w:rsidP="00A07AEB">
      <w:pPr>
        <w:pStyle w:val="Heading4"/>
      </w:pPr>
      <w:r>
        <w:rPr>
          <w:rFonts w:ascii="Tahoma"/>
          <w:noProof/>
        </w:rPr>
        <w:pict w14:anchorId="63C516BB">
          <v:shape id="_x0000_s1045" type="#_x0000_t202" alt="" style="position:absolute;margin-left:211.25pt;margin-top:255.5pt;width:113pt;height:125.3pt;z-index:251687936;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5">
              <w:txbxContent>
                <w:p w14:paraId="08750889" w14:textId="77777777" w:rsidR="005907C8" w:rsidRPr="00C6270B" w:rsidRDefault="005907C8" w:rsidP="00C6270B">
                  <w:pPr>
                    <w:pStyle w:val="TableParagraph"/>
                    <w:spacing w:before="40"/>
                    <w:ind w:left="0"/>
                    <w:rPr>
                      <w:rFonts w:cs="Arial"/>
                      <w:sz w:val="13"/>
                      <w:szCs w:val="13"/>
                    </w:rPr>
                  </w:pPr>
                  <w:r w:rsidRPr="00C6270B">
                    <w:rPr>
                      <w:rFonts w:cs="Arial"/>
                      <w:sz w:val="13"/>
                      <w:szCs w:val="13"/>
                    </w:rPr>
                    <w:t xml:space="preserve">Non-medical </w:t>
                  </w:r>
                  <w:proofErr w:type="gramStart"/>
                  <w:r w:rsidRPr="00C6270B">
                    <w:rPr>
                      <w:rFonts w:cs="Arial"/>
                      <w:sz w:val="13"/>
                      <w:szCs w:val="13"/>
                    </w:rPr>
                    <w:t>specialists</w:t>
                  </w:r>
                  <w:proofErr w:type="gramEnd"/>
                  <w:r w:rsidRPr="00C6270B">
                    <w:rPr>
                      <w:rFonts w:cs="Arial"/>
                      <w:sz w:val="13"/>
                      <w:szCs w:val="13"/>
                    </w:rPr>
                    <w:t xml:space="preserve"> outpatient clinics in the Tier 2 Non-Admitted Services Classification that meet eligibility criteria except:</w:t>
                  </w:r>
                </w:p>
                <w:p w14:paraId="0CD53023" w14:textId="77777777" w:rsidR="005907C8" w:rsidRPr="00C6270B" w:rsidRDefault="005907C8" w:rsidP="00C6270B">
                  <w:pPr>
                    <w:pStyle w:val="TableParagraph"/>
                    <w:numPr>
                      <w:ilvl w:val="0"/>
                      <w:numId w:val="28"/>
                    </w:numPr>
                    <w:spacing w:before="40"/>
                    <w:ind w:left="284" w:hanging="284"/>
                    <w:rPr>
                      <w:rFonts w:cs="Arial"/>
                      <w:sz w:val="13"/>
                      <w:szCs w:val="13"/>
                    </w:rPr>
                  </w:pPr>
                  <w:r w:rsidRPr="00C6270B">
                    <w:rPr>
                      <w:rFonts w:cs="Arial"/>
                      <w:sz w:val="13"/>
                      <w:szCs w:val="13"/>
                    </w:rPr>
                    <w:t>Aged care 40.02</w:t>
                  </w:r>
                </w:p>
                <w:p w14:paraId="69A46350" w14:textId="77777777" w:rsidR="005907C8" w:rsidRPr="00C6270B" w:rsidRDefault="005907C8" w:rsidP="00C6270B">
                  <w:pPr>
                    <w:pStyle w:val="TableParagraph"/>
                    <w:numPr>
                      <w:ilvl w:val="0"/>
                      <w:numId w:val="28"/>
                    </w:numPr>
                    <w:spacing w:before="40"/>
                    <w:ind w:left="284" w:hanging="284"/>
                    <w:rPr>
                      <w:rFonts w:cs="Arial"/>
                      <w:sz w:val="13"/>
                      <w:szCs w:val="13"/>
                    </w:rPr>
                  </w:pPr>
                  <w:r w:rsidRPr="00C6270B">
                    <w:rPr>
                      <w:rFonts w:cs="Arial"/>
                      <w:sz w:val="13"/>
                      <w:szCs w:val="13"/>
                    </w:rPr>
                    <w:t>Family planning 40.27</w:t>
                  </w:r>
                </w:p>
                <w:p w14:paraId="6282E188" w14:textId="77777777" w:rsidR="005907C8" w:rsidRPr="00C6270B" w:rsidRDefault="005907C8" w:rsidP="00C6270B">
                  <w:pPr>
                    <w:pStyle w:val="TableParagraph"/>
                    <w:numPr>
                      <w:ilvl w:val="0"/>
                      <w:numId w:val="28"/>
                    </w:numPr>
                    <w:spacing w:before="40"/>
                    <w:ind w:left="284" w:hanging="284"/>
                    <w:rPr>
                      <w:rFonts w:cs="Arial"/>
                      <w:sz w:val="13"/>
                      <w:szCs w:val="13"/>
                    </w:rPr>
                  </w:pPr>
                  <w:r w:rsidRPr="00C6270B">
                    <w:rPr>
                      <w:rFonts w:cs="Arial"/>
                      <w:sz w:val="13"/>
                      <w:szCs w:val="13"/>
                    </w:rPr>
                    <w:t>General counselling 30.33</w:t>
                  </w:r>
                </w:p>
                <w:p w14:paraId="521306B5" w14:textId="77777777" w:rsidR="005907C8" w:rsidRPr="00C6270B" w:rsidRDefault="005907C8" w:rsidP="00C6270B">
                  <w:pPr>
                    <w:pStyle w:val="TableParagraph"/>
                    <w:numPr>
                      <w:ilvl w:val="0"/>
                      <w:numId w:val="28"/>
                    </w:numPr>
                    <w:spacing w:before="40"/>
                    <w:ind w:left="284" w:hanging="284"/>
                    <w:rPr>
                      <w:rFonts w:cs="Arial"/>
                      <w:sz w:val="13"/>
                      <w:szCs w:val="13"/>
                    </w:rPr>
                  </w:pPr>
                  <w:r w:rsidRPr="00C6270B">
                    <w:rPr>
                      <w:rFonts w:cs="Arial"/>
                      <w:sz w:val="13"/>
                      <w:szCs w:val="13"/>
                    </w:rPr>
                    <w:t>Primary healthcare 40.08</w:t>
                  </w:r>
                </w:p>
              </w:txbxContent>
            </v:textbox>
            <w10:wrap type="square"/>
          </v:shape>
        </w:pict>
      </w:r>
      <w:r>
        <w:rPr>
          <w:rFonts w:ascii="Tahoma"/>
          <w:noProof/>
        </w:rPr>
        <w:pict w14:anchorId="1B05EFAF">
          <v:shape id="_x0000_s1044" type="#_x0000_t202" alt="" style="position:absolute;margin-left:211.3pt;margin-top:165.4pt;width:103pt;height:88.35pt;z-index:251686912;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4">
              <w:txbxContent>
                <w:p w14:paraId="5D16CE3C" w14:textId="77777777" w:rsidR="005907C8" w:rsidRPr="00C6270B" w:rsidRDefault="005907C8" w:rsidP="00C6270B">
                  <w:pPr>
                    <w:pStyle w:val="TableParagraph"/>
                    <w:rPr>
                      <w:rFonts w:cs="Arial"/>
                      <w:sz w:val="13"/>
                      <w:szCs w:val="13"/>
                    </w:rPr>
                  </w:pPr>
                  <w:r w:rsidRPr="00C6270B">
                    <w:rPr>
                      <w:rFonts w:cs="Arial"/>
                      <w:sz w:val="13"/>
                      <w:szCs w:val="13"/>
                    </w:rPr>
                    <w:t>All clinics in the Tier 2 Non</w:t>
                  </w:r>
                  <w:r w:rsidRPr="00C6270B">
                    <w:rPr>
                      <w:rFonts w:ascii="Cambria Math" w:hAnsi="Cambria Math" w:cs="Cambria Math"/>
                      <w:sz w:val="13"/>
                      <w:szCs w:val="13"/>
                    </w:rPr>
                    <w:t>‑</w:t>
                  </w:r>
                  <w:r w:rsidRPr="00C6270B">
                    <w:rPr>
                      <w:rFonts w:cs="Arial"/>
                      <w:sz w:val="13"/>
                      <w:szCs w:val="13"/>
                    </w:rPr>
                    <w:t>Admitted Services Classifications:</w:t>
                  </w:r>
                </w:p>
                <w:p w14:paraId="4EF2C3F7" w14:textId="77777777" w:rsidR="005907C8" w:rsidRPr="00C6270B" w:rsidRDefault="005907C8" w:rsidP="00C6270B">
                  <w:pPr>
                    <w:pStyle w:val="TableParagraph"/>
                    <w:numPr>
                      <w:ilvl w:val="0"/>
                      <w:numId w:val="28"/>
                    </w:numPr>
                    <w:spacing w:before="40"/>
                    <w:ind w:left="284" w:hanging="218"/>
                    <w:rPr>
                      <w:rFonts w:cs="Arial"/>
                      <w:sz w:val="13"/>
                      <w:szCs w:val="13"/>
                    </w:rPr>
                  </w:pPr>
                  <w:r w:rsidRPr="00C6270B">
                    <w:rPr>
                      <w:rFonts w:cs="Arial"/>
                      <w:sz w:val="13"/>
                      <w:szCs w:val="13"/>
                    </w:rPr>
                    <w:t>Classes 10</w:t>
                  </w:r>
                </w:p>
                <w:p w14:paraId="5254B159" w14:textId="77777777" w:rsidR="005907C8" w:rsidRPr="00C6270B" w:rsidRDefault="005907C8" w:rsidP="00C6270B">
                  <w:pPr>
                    <w:pStyle w:val="TableParagraph"/>
                    <w:numPr>
                      <w:ilvl w:val="0"/>
                      <w:numId w:val="28"/>
                    </w:numPr>
                    <w:spacing w:before="40"/>
                    <w:ind w:left="284" w:hanging="218"/>
                    <w:rPr>
                      <w:rFonts w:cs="Arial"/>
                      <w:sz w:val="13"/>
                      <w:szCs w:val="13"/>
                    </w:rPr>
                  </w:pPr>
                  <w:r w:rsidRPr="00C6270B">
                    <w:rPr>
                      <w:rFonts w:cs="Arial"/>
                      <w:sz w:val="13"/>
                      <w:szCs w:val="13"/>
                    </w:rPr>
                    <w:t>Classes 20 (Except GP/Primary Care 20.06)</w:t>
                  </w:r>
                </w:p>
                <w:p w14:paraId="16247C46" w14:textId="77777777" w:rsidR="005907C8" w:rsidRPr="00C6270B" w:rsidRDefault="005907C8" w:rsidP="00C6270B">
                  <w:pPr>
                    <w:pStyle w:val="TableParagraph"/>
                    <w:numPr>
                      <w:ilvl w:val="0"/>
                      <w:numId w:val="28"/>
                    </w:numPr>
                    <w:spacing w:before="40"/>
                    <w:ind w:left="284" w:hanging="218"/>
                    <w:rPr>
                      <w:rFonts w:cs="Arial"/>
                      <w:sz w:val="13"/>
                      <w:szCs w:val="13"/>
                    </w:rPr>
                  </w:pPr>
                  <w:r w:rsidRPr="00C6270B">
                    <w:rPr>
                      <w:rFonts w:cs="Arial"/>
                      <w:sz w:val="13"/>
                      <w:szCs w:val="13"/>
                    </w:rPr>
                    <w:t>Class 30</w:t>
                  </w:r>
                </w:p>
              </w:txbxContent>
            </v:textbox>
            <w10:wrap type="square"/>
          </v:shape>
        </w:pict>
      </w:r>
      <w:r>
        <w:rPr>
          <w:rFonts w:ascii="Tahoma"/>
          <w:noProof/>
        </w:rPr>
        <w:pict w14:anchorId="4DC8C7B1">
          <v:shape id="_x0000_s1043" type="#_x0000_t202" alt="" style="position:absolute;margin-left:89.6pt;margin-top:251.95pt;width:111.95pt;height:70.75pt;z-index:251685888;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3">
              <w:txbxContent>
                <w:p w14:paraId="3D6B59BC" w14:textId="77777777" w:rsidR="005907C8" w:rsidRDefault="005907C8" w:rsidP="00C6270B">
                  <w:pPr>
                    <w:pStyle w:val="BodyText"/>
                    <w:rPr>
                      <w:b/>
                      <w:bCs/>
                    </w:rPr>
                  </w:pPr>
                  <w:r>
                    <w:rPr>
                      <w:b/>
                      <w:bCs/>
                    </w:rPr>
                    <w:t>Category B</w:t>
                  </w:r>
                </w:p>
                <w:p w14:paraId="5A5E4B06" w14:textId="77777777" w:rsidR="005907C8" w:rsidRPr="00C6270B" w:rsidRDefault="005907C8" w:rsidP="00C6270B">
                  <w:pPr>
                    <w:pStyle w:val="BodyText"/>
                    <w:rPr>
                      <w:b/>
                      <w:bCs/>
                    </w:rPr>
                  </w:pPr>
                  <w:r>
                    <w:rPr>
                      <w:b/>
                      <w:bCs/>
                    </w:rPr>
                    <w:t>Other Non-Admitted Patient Services</w:t>
                  </w:r>
                </w:p>
              </w:txbxContent>
            </v:textbox>
            <w10:wrap type="square"/>
          </v:shape>
        </w:pict>
      </w:r>
      <w:r>
        <w:rPr>
          <w:rFonts w:ascii="Tahoma"/>
          <w:noProof/>
        </w:rPr>
        <w:pict w14:anchorId="2AA1B734">
          <v:shape id="_x0000_s1042" type="#_x0000_t202" alt="" style="position:absolute;margin-left:89pt;margin-top:162.1pt;width:111.95pt;height:70.75pt;z-index:251684864;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2">
              <w:txbxContent>
                <w:p w14:paraId="042D03DE" w14:textId="77777777" w:rsidR="005907C8" w:rsidRDefault="005907C8" w:rsidP="00C6270B">
                  <w:pPr>
                    <w:pStyle w:val="BodyText"/>
                    <w:rPr>
                      <w:b/>
                      <w:bCs/>
                    </w:rPr>
                  </w:pPr>
                  <w:r>
                    <w:rPr>
                      <w:b/>
                      <w:bCs/>
                    </w:rPr>
                    <w:t>Category A</w:t>
                  </w:r>
                </w:p>
                <w:p w14:paraId="4DF9FFD7" w14:textId="77777777" w:rsidR="005907C8" w:rsidRPr="00C6270B" w:rsidRDefault="005907C8" w:rsidP="00C6270B">
                  <w:pPr>
                    <w:pStyle w:val="BodyText"/>
                    <w:rPr>
                      <w:b/>
                      <w:bCs/>
                    </w:rPr>
                  </w:pPr>
                  <w:r>
                    <w:rPr>
                      <w:b/>
                      <w:bCs/>
                    </w:rPr>
                    <w:t>Specialist Outpatient Clinic Services</w:t>
                  </w:r>
                </w:p>
              </w:txbxContent>
            </v:textbox>
            <w10:wrap type="square"/>
          </v:shape>
        </w:pict>
      </w:r>
      <w:r>
        <w:rPr>
          <w:rFonts w:ascii="Tahoma"/>
          <w:noProof/>
        </w:rPr>
        <w:pict w14:anchorId="18FE20EE">
          <v:shape id="_x0000_s1041" type="#_x0000_t202" alt="" style="position:absolute;margin-left:55.1pt;margin-top:118.55pt;width:259.2pt;height:35.45pt;z-index:251683840;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1">
              <w:txbxContent>
                <w:p w14:paraId="3518AB4E" w14:textId="77777777" w:rsidR="005907C8" w:rsidRPr="009E12C3" w:rsidRDefault="005907C8" w:rsidP="009E12C3">
                  <w:pPr>
                    <w:pStyle w:val="Heading4"/>
                    <w:rPr>
                      <w:color w:val="FFFFFF" w:themeColor="background1"/>
                    </w:rPr>
                  </w:pPr>
                  <w:r>
                    <w:rPr>
                      <w:color w:val="FFFFFF" w:themeColor="background1"/>
                    </w:rPr>
                    <w:t>Non-admitted services</w:t>
                  </w:r>
                </w:p>
              </w:txbxContent>
            </v:textbox>
            <w10:wrap type="square"/>
          </v:shape>
        </w:pict>
      </w:r>
      <w:r>
        <w:rPr>
          <w:rFonts w:ascii="Tahoma"/>
          <w:noProof/>
        </w:rPr>
        <w:pict w14:anchorId="68421889">
          <v:shape id="_x0000_s1040" type="#_x0000_t202" alt="" style="position:absolute;margin-left:55.1pt;margin-top:83.1pt;width:259.2pt;height:35.45pt;z-index:251682816;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filled="f" stroked="f">
            <v:textbox style="mso-next-textbox:#_x0000_s1040">
              <w:txbxContent>
                <w:p w14:paraId="1164E88D" w14:textId="77777777" w:rsidR="005907C8" w:rsidRPr="009E12C3" w:rsidRDefault="005907C8" w:rsidP="009E12C3">
                  <w:pPr>
                    <w:pStyle w:val="Heading4"/>
                    <w:rPr>
                      <w:color w:val="FFFFFF" w:themeColor="background1"/>
                    </w:rPr>
                  </w:pPr>
                  <w:r>
                    <w:rPr>
                      <w:color w:val="FFFFFF" w:themeColor="background1"/>
                    </w:rPr>
                    <w:t>All emergency department services</w:t>
                  </w:r>
                </w:p>
              </w:txbxContent>
            </v:textbox>
            <w10:wrap type="square"/>
          </v:shape>
        </w:pict>
      </w:r>
      <w:r>
        <w:rPr>
          <w:rFonts w:ascii="Tahoma"/>
          <w:noProof/>
        </w:rPr>
        <w:pict w14:anchorId="4AB423F3">
          <v:shape id="_x0000_s1039" type="#_x0000_t202" alt="" style="position:absolute;margin-left:54.75pt;margin-top:47.65pt;width:180.6pt;height:35.45pt;z-index:251681792;visibility:visible;mso-wrap-style:square;mso-wrap-edited:f;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filled="f" stroked="f">
            <v:textbox style="mso-next-textbox:#_x0000_s1039">
              <w:txbxContent>
                <w:p w14:paraId="3C9F62DD" w14:textId="77777777" w:rsidR="005907C8" w:rsidRPr="009E12C3" w:rsidRDefault="005907C8" w:rsidP="009E12C3">
                  <w:pPr>
                    <w:pStyle w:val="Heading4"/>
                    <w:rPr>
                      <w:color w:val="FFFFFF" w:themeColor="background1"/>
                    </w:rPr>
                  </w:pPr>
                  <w:r>
                    <w:rPr>
                      <w:color w:val="FFFFFF" w:themeColor="background1"/>
                    </w:rPr>
                    <w:t>All admitted programs</w:t>
                  </w:r>
                </w:p>
              </w:txbxContent>
            </v:textbox>
            <w10:wrap type="square"/>
          </v:shape>
        </w:pict>
      </w:r>
      <w:r>
        <w:rPr>
          <w:noProof/>
        </w:rPr>
        <w:pict w14:anchorId="7BD3F57E">
          <v:shape id="Text Box 2" o:spid="_x0000_s1038" type="#_x0000_t202" alt="" style="position:absolute;margin-left:75pt;margin-top:10.25pt;width:180.6pt;height:35.45pt;z-index:251680768;visibility:visible;mso-wrap-style:square;mso-wrap-edited:f;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filled="f" stroked="f">
            <v:textbox style="mso-next-textbox:#Text Box 2">
              <w:txbxContent>
                <w:p w14:paraId="2D2A28CB" w14:textId="77777777" w:rsidR="005907C8" w:rsidRPr="009E12C3" w:rsidRDefault="005907C8" w:rsidP="009E12C3">
                  <w:pPr>
                    <w:pStyle w:val="Heading4"/>
                    <w:jc w:val="center"/>
                    <w:rPr>
                      <w:color w:val="FFFFFF" w:themeColor="background1"/>
                    </w:rPr>
                  </w:pPr>
                  <w:r w:rsidRPr="009E12C3">
                    <w:rPr>
                      <w:color w:val="FFFFFF" w:themeColor="background1"/>
                    </w:rPr>
                    <w:t>General List</w:t>
                  </w:r>
                </w:p>
              </w:txbxContent>
            </v:textbox>
            <w10:wrap type="square"/>
          </v:shape>
        </w:pict>
      </w:r>
      <w:r w:rsidR="00ED4F4C">
        <w:rPr>
          <w:noProof/>
        </w:rPr>
        <w:drawing>
          <wp:anchor distT="0" distB="0" distL="114300" distR="114300" simplePos="0" relativeHeight="251630592" behindDoc="1" locked="0" layoutInCell="1" allowOverlap="1" wp14:anchorId="0D7DE946" wp14:editId="326AD7B4">
            <wp:simplePos x="0" y="0"/>
            <wp:positionH relativeFrom="column">
              <wp:posOffset>0</wp:posOffset>
            </wp:positionH>
            <wp:positionV relativeFrom="paragraph">
              <wp:posOffset>3092</wp:posOffset>
            </wp:positionV>
            <wp:extent cx="4324350" cy="46672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324350" cy="4667250"/>
                    </a:xfrm>
                    <a:prstGeom prst="rect">
                      <a:avLst/>
                    </a:prstGeom>
                  </pic:spPr>
                </pic:pic>
              </a:graphicData>
            </a:graphic>
          </wp:anchor>
        </w:drawing>
      </w:r>
    </w:p>
    <w:p w14:paraId="74BBF66E" w14:textId="77777777" w:rsidR="00C415F5" w:rsidRDefault="00C415F5">
      <w:pPr>
        <w:rPr>
          <w:rFonts w:ascii="Tahoma"/>
        </w:rPr>
        <w:sectPr w:rsidR="00C415F5" w:rsidSect="00E15F92">
          <w:headerReference w:type="default" r:id="rId44"/>
          <w:pgSz w:w="11910" w:h="16840"/>
          <w:pgMar w:top="1440" w:right="1440" w:bottom="1440" w:left="1440" w:header="0" w:footer="656" w:gutter="0"/>
          <w:cols w:space="720"/>
        </w:sectPr>
      </w:pPr>
    </w:p>
    <w:p w14:paraId="69E9BF90" w14:textId="77777777" w:rsidR="00D32313" w:rsidRPr="00F83327" w:rsidRDefault="00D32313" w:rsidP="00D32313">
      <w:pPr>
        <w:pStyle w:val="Heading1"/>
        <w:spacing w:after="3600"/>
        <w:rPr>
          <w:color w:val="FFFFFF" w:themeColor="background1"/>
        </w:rPr>
      </w:pPr>
      <w:bookmarkStart w:id="9" w:name="_4_Classifications_used"/>
      <w:bookmarkEnd w:id="9"/>
      <w:r w:rsidRPr="00F83327">
        <w:rPr>
          <w:noProof/>
          <w:color w:val="FFFFFF" w:themeColor="background1"/>
        </w:rPr>
        <w:lastRenderedPageBreak/>
        <w:drawing>
          <wp:anchor distT="0" distB="0" distL="114300" distR="114300" simplePos="0" relativeHeight="251631616" behindDoc="1" locked="0" layoutInCell="1" allowOverlap="1" wp14:anchorId="47E1F3D9" wp14:editId="4254B568">
            <wp:simplePos x="0" y="0"/>
            <wp:positionH relativeFrom="margin">
              <wp:posOffset>-914400</wp:posOffset>
            </wp:positionH>
            <wp:positionV relativeFrom="page">
              <wp:posOffset>954157</wp:posOffset>
            </wp:positionV>
            <wp:extent cx="5462269" cy="35774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Pr>
          <w:color w:val="FFFFFF" w:themeColor="background1"/>
        </w:rPr>
        <w:t>4</w:t>
      </w:r>
    </w:p>
    <w:p w14:paraId="4766DCD7" w14:textId="77777777" w:rsidR="00D32313" w:rsidRDefault="00D32313" w:rsidP="00D32313">
      <w:pPr>
        <w:pStyle w:val="Heading1"/>
        <w:ind w:right="2651"/>
        <w:sectPr w:rsidR="00D32313" w:rsidSect="008613E1">
          <w:headerReference w:type="default" r:id="rId46"/>
          <w:footerReference w:type="default" r:id="rId47"/>
          <w:pgSz w:w="11910" w:h="16840"/>
          <w:pgMar w:top="3970" w:right="1440" w:bottom="1440" w:left="1440" w:header="0" w:footer="656" w:gutter="0"/>
          <w:cols w:space="720"/>
        </w:sectPr>
      </w:pPr>
      <w:r w:rsidRPr="00D32313">
        <w:t>Classifications used to describe and price public hospital</w:t>
      </w:r>
      <w:r>
        <w:t xml:space="preserve"> </w:t>
      </w:r>
      <w:r w:rsidRPr="00D32313">
        <w:t>service</w:t>
      </w:r>
    </w:p>
    <w:p w14:paraId="503302AA" w14:textId="77777777" w:rsidR="00C415F5" w:rsidRDefault="00D32313" w:rsidP="00D32313">
      <w:pPr>
        <w:pStyle w:val="Heading1"/>
        <w:ind w:left="1418" w:hanging="1191"/>
      </w:pPr>
      <w:r w:rsidRPr="00D32313">
        <w:rPr>
          <w:noProof/>
          <w:color w:val="FFFFFF" w:themeColor="background1"/>
        </w:rPr>
        <w:lastRenderedPageBreak/>
        <w:drawing>
          <wp:anchor distT="0" distB="0" distL="114300" distR="114300" simplePos="0" relativeHeight="251646464" behindDoc="1" locked="0" layoutInCell="1" allowOverlap="1" wp14:anchorId="46C02DFF" wp14:editId="55B179F5">
            <wp:simplePos x="0" y="0"/>
            <wp:positionH relativeFrom="column">
              <wp:posOffset>-914400</wp:posOffset>
            </wp:positionH>
            <wp:positionV relativeFrom="page">
              <wp:posOffset>652007</wp:posOffset>
            </wp:positionV>
            <wp:extent cx="1685422" cy="9461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D32313">
        <w:rPr>
          <w:color w:val="FFFFFF" w:themeColor="background1"/>
        </w:rPr>
        <w:t>4</w:t>
      </w:r>
      <w:r w:rsidR="00940B98">
        <w:tab/>
      </w:r>
      <w:r>
        <w:tab/>
      </w:r>
      <w:r w:rsidR="00603DEC">
        <w:t>Classifications used to describe and price</w:t>
      </w:r>
      <w:r w:rsidR="00940B98">
        <w:t xml:space="preserve"> </w:t>
      </w:r>
      <w:r w:rsidR="00603DEC">
        <w:t>public hospital services</w:t>
      </w:r>
    </w:p>
    <w:p w14:paraId="4FFA1670" w14:textId="77777777" w:rsidR="00C415F5" w:rsidRDefault="00C415F5" w:rsidP="003932A6">
      <w:pPr>
        <w:pStyle w:val="BodyText"/>
      </w:pPr>
    </w:p>
    <w:p w14:paraId="483BA8FE" w14:textId="77777777" w:rsidR="00C415F5" w:rsidRDefault="00C415F5">
      <w:pPr>
        <w:rPr>
          <w:rFonts w:ascii="Futura PT Heavy"/>
          <w:sz w:val="25"/>
        </w:rPr>
        <w:sectPr w:rsidR="00C415F5" w:rsidSect="00104482">
          <w:headerReference w:type="default" r:id="rId49"/>
          <w:pgSz w:w="11910" w:h="16840"/>
          <w:pgMar w:top="1440" w:right="1440" w:bottom="1440" w:left="1440" w:header="0" w:footer="656" w:gutter="0"/>
          <w:cols w:space="720"/>
        </w:sectPr>
      </w:pPr>
    </w:p>
    <w:p w14:paraId="33CEFE1A" w14:textId="77777777" w:rsidR="00C415F5" w:rsidRDefault="003932A6" w:rsidP="003932A6">
      <w:pPr>
        <w:pStyle w:val="Heading2"/>
      </w:pPr>
      <w:r>
        <w:t xml:space="preserve">4.1 </w:t>
      </w:r>
      <w:r w:rsidR="00603DEC">
        <w:t>Overview</w:t>
      </w:r>
    </w:p>
    <w:p w14:paraId="26F6FF84" w14:textId="77777777" w:rsidR="00C415F5" w:rsidRDefault="00603DEC" w:rsidP="003932A6">
      <w:pPr>
        <w:pStyle w:val="BodyText"/>
      </w:pPr>
      <w:r>
        <w:t>Classifications aim to provide the health care sector with a nationally consistent method of classifying all types of patients, their treatment and associated costs to provide better management, measurement and funding of high quality and efficient health</w:t>
      </w:r>
      <w:r w:rsidR="003932A6">
        <w:t xml:space="preserve"> </w:t>
      </w:r>
      <w:r>
        <w:t>care services. Classifications are a critical element of ABF as they help to group patients with similar</w:t>
      </w:r>
      <w:r w:rsidR="003932A6">
        <w:t xml:space="preserve"> </w:t>
      </w:r>
      <w:r>
        <w:t>conditions and complexity (i.e. the groups are clinically relevant and resource homogenous).</w:t>
      </w:r>
    </w:p>
    <w:p w14:paraId="6CB53D26" w14:textId="77777777" w:rsidR="00C415F5" w:rsidRPr="003932A6" w:rsidRDefault="00603DEC" w:rsidP="003932A6">
      <w:pPr>
        <w:pStyle w:val="BodyText"/>
      </w:pPr>
      <w:r w:rsidRPr="003932A6">
        <w:t>IHPA reviews and updates existing classifications and is also responsible for introducing new classifications.</w:t>
      </w:r>
      <w:r w:rsidR="003932A6" w:rsidRPr="003932A6">
        <w:t xml:space="preserve"> </w:t>
      </w:r>
      <w:r w:rsidRPr="003932A6">
        <w:t>There are currently six patient service categories that have classifications in use or in development in Australia:</w:t>
      </w:r>
    </w:p>
    <w:p w14:paraId="7FF7BE9B" w14:textId="77777777" w:rsidR="00C415F5" w:rsidRDefault="00603DEC" w:rsidP="00066FBA">
      <w:pPr>
        <w:pStyle w:val="ListParagraph"/>
      </w:pPr>
      <w:r>
        <w:t>Admitted acute care;</w:t>
      </w:r>
    </w:p>
    <w:p w14:paraId="5E583E69" w14:textId="77777777" w:rsidR="00104482" w:rsidRDefault="00603DEC" w:rsidP="00066FBA">
      <w:pPr>
        <w:pStyle w:val="ListParagraph"/>
      </w:pPr>
      <w:r>
        <w:t xml:space="preserve">Subacute and non-acute care; </w:t>
      </w:r>
    </w:p>
    <w:p w14:paraId="7A5F36F4" w14:textId="77777777" w:rsidR="00C415F5" w:rsidRDefault="00603DEC" w:rsidP="00066FBA">
      <w:pPr>
        <w:pStyle w:val="ListParagraph"/>
      </w:pPr>
      <w:r>
        <w:rPr>
          <w:spacing w:val="2"/>
        </w:rPr>
        <w:t>Non-admitted</w:t>
      </w:r>
      <w:r>
        <w:rPr>
          <w:spacing w:val="-4"/>
        </w:rPr>
        <w:t xml:space="preserve"> </w:t>
      </w:r>
      <w:r>
        <w:t>care;</w:t>
      </w:r>
    </w:p>
    <w:p w14:paraId="31CC35AA" w14:textId="77777777" w:rsidR="00C415F5" w:rsidRDefault="00603DEC" w:rsidP="00066FBA">
      <w:pPr>
        <w:pStyle w:val="ListParagraph"/>
      </w:pPr>
      <w:r>
        <w:t>Emergency care;</w:t>
      </w:r>
    </w:p>
    <w:p w14:paraId="02337A87" w14:textId="77777777" w:rsidR="00104482" w:rsidRDefault="00603DEC" w:rsidP="00066FBA">
      <w:pPr>
        <w:pStyle w:val="ListParagraph"/>
      </w:pPr>
      <w:r>
        <w:t xml:space="preserve">Mental health care; and </w:t>
      </w:r>
    </w:p>
    <w:p w14:paraId="0BF03043" w14:textId="77777777" w:rsidR="00C415F5" w:rsidRDefault="00603DEC" w:rsidP="00066FBA">
      <w:pPr>
        <w:pStyle w:val="ListParagraph"/>
      </w:pPr>
      <w:r>
        <w:t>Teaching and</w:t>
      </w:r>
      <w:r>
        <w:rPr>
          <w:spacing w:val="6"/>
        </w:rPr>
        <w:t xml:space="preserve"> </w:t>
      </w:r>
      <w:r>
        <w:t>training.</w:t>
      </w:r>
    </w:p>
    <w:p w14:paraId="18783C0F" w14:textId="77777777" w:rsidR="00C415F5" w:rsidRPr="003932A6" w:rsidRDefault="00603DEC" w:rsidP="00E32FB4">
      <w:pPr>
        <w:pStyle w:val="Heading2"/>
        <w:ind w:left="142"/>
      </w:pPr>
      <w:r>
        <w:rPr>
          <w:spacing w:val="-6"/>
        </w:rPr>
        <w:br w:type="column"/>
      </w:r>
      <w:r w:rsidR="003932A6">
        <w:rPr>
          <w:spacing w:val="-6"/>
        </w:rPr>
        <w:t xml:space="preserve">4.2 </w:t>
      </w:r>
      <w:r w:rsidRPr="003932A6">
        <w:t>Admitted acute care</w:t>
      </w:r>
    </w:p>
    <w:p w14:paraId="57A4BB05" w14:textId="77777777" w:rsidR="00C415F5" w:rsidRDefault="00603DEC" w:rsidP="00E32FB4">
      <w:pPr>
        <w:pStyle w:val="BodyText"/>
        <w:ind w:left="142"/>
      </w:pPr>
      <w:r>
        <w:t>The Australian-Refined Diagnosis Related Group (AR-DRG) classification system is used for admitted</w:t>
      </w:r>
      <w:r w:rsidR="00AE0084">
        <w:t xml:space="preserve"> </w:t>
      </w:r>
      <w:r>
        <w:t>acute episodes of care. This system is based on a set of three standards:</w:t>
      </w:r>
    </w:p>
    <w:p w14:paraId="65A78685" w14:textId="77777777" w:rsidR="00C415F5" w:rsidRDefault="00603DEC" w:rsidP="00E32FB4">
      <w:pPr>
        <w:pStyle w:val="ListParagraph"/>
        <w:numPr>
          <w:ilvl w:val="0"/>
          <w:numId w:val="20"/>
        </w:numPr>
        <w:ind w:left="426"/>
      </w:pPr>
      <w:r>
        <w:t>The International Statistical Classification of Diseases and Related Health Problems, Tenth Revision, Australian Modification (ICD-10-AM) to code diseases and problems;</w:t>
      </w:r>
    </w:p>
    <w:p w14:paraId="66E07A6D" w14:textId="77777777" w:rsidR="00C415F5" w:rsidRDefault="00603DEC" w:rsidP="00E32FB4">
      <w:pPr>
        <w:pStyle w:val="ListParagraph"/>
        <w:numPr>
          <w:ilvl w:val="0"/>
          <w:numId w:val="20"/>
        </w:numPr>
        <w:ind w:left="426"/>
      </w:pPr>
      <w:r>
        <w:t>Australian Classification of Health Interventions (ACHI) to code procedures and interventions;</w:t>
      </w:r>
      <w:r>
        <w:rPr>
          <w:spacing w:val="33"/>
        </w:rPr>
        <w:t xml:space="preserve"> </w:t>
      </w:r>
      <w:r>
        <w:t>and</w:t>
      </w:r>
    </w:p>
    <w:p w14:paraId="4CC586D5" w14:textId="77777777" w:rsidR="00C415F5" w:rsidRDefault="00603DEC" w:rsidP="00E32FB4">
      <w:pPr>
        <w:pStyle w:val="ListParagraph"/>
        <w:numPr>
          <w:ilvl w:val="0"/>
          <w:numId w:val="20"/>
        </w:numPr>
        <w:ind w:left="426"/>
      </w:pPr>
      <w:r>
        <w:t>Australian Coding Standards (ACS), a supplement to ICD-10-AM and ACHI, to assist clinical coders in using the</w:t>
      </w:r>
      <w:r>
        <w:rPr>
          <w:spacing w:val="2"/>
        </w:rPr>
        <w:t xml:space="preserve"> </w:t>
      </w:r>
      <w:r>
        <w:t>classifications.</w:t>
      </w:r>
    </w:p>
    <w:p w14:paraId="50D26E0C" w14:textId="77777777" w:rsidR="00C415F5" w:rsidRDefault="00603DEC" w:rsidP="00E32FB4">
      <w:pPr>
        <w:pStyle w:val="BodyText"/>
        <w:ind w:left="142"/>
      </w:pPr>
      <w:r>
        <w:rPr>
          <w:spacing w:val="-3"/>
        </w:rPr>
        <w:t xml:space="preserve">For </w:t>
      </w:r>
      <w:r>
        <w:rPr>
          <w:spacing w:val="-6"/>
        </w:rPr>
        <w:t xml:space="preserve">NEP19, </w:t>
      </w:r>
      <w:r>
        <w:rPr>
          <w:spacing w:val="-3"/>
        </w:rPr>
        <w:t xml:space="preserve">IHPA </w:t>
      </w:r>
      <w:r>
        <w:t xml:space="preserve">used </w:t>
      </w:r>
      <w:hyperlink r:id="rId50">
        <w:r>
          <w:rPr>
            <w:color w:val="008F54"/>
            <w:u w:val="single" w:color="008F54"/>
          </w:rPr>
          <w:t>AR-DRG</w:t>
        </w:r>
      </w:hyperlink>
      <w:r>
        <w:rPr>
          <w:color w:val="008F54"/>
        </w:rPr>
        <w:t xml:space="preserve"> </w:t>
      </w:r>
      <w:r>
        <w:t xml:space="preserve">Version </w:t>
      </w:r>
      <w:r>
        <w:rPr>
          <w:spacing w:val="-4"/>
        </w:rPr>
        <w:t xml:space="preserve">9.0 </w:t>
      </w:r>
      <w:r>
        <w:t xml:space="preserve">to </w:t>
      </w:r>
      <w:r>
        <w:rPr>
          <w:spacing w:val="-3"/>
        </w:rPr>
        <w:t xml:space="preserve">price </w:t>
      </w:r>
      <w:r>
        <w:t xml:space="preserve">admitted acute patient services. </w:t>
      </w:r>
      <w:r>
        <w:rPr>
          <w:spacing w:val="-3"/>
        </w:rPr>
        <w:t xml:space="preserve">IHPA </w:t>
      </w:r>
      <w:r>
        <w:t xml:space="preserve">has since developed AR-DRG Version </w:t>
      </w:r>
      <w:r>
        <w:rPr>
          <w:spacing w:val="-3"/>
        </w:rPr>
        <w:t xml:space="preserve">10.0, </w:t>
      </w:r>
      <w:r>
        <w:t>which will be used for NEP20.</w:t>
      </w:r>
    </w:p>
    <w:p w14:paraId="33D4A5F1" w14:textId="77777777" w:rsidR="00C415F5" w:rsidRDefault="00C415F5">
      <w:pPr>
        <w:spacing w:line="256" w:lineRule="auto"/>
        <w:sectPr w:rsidR="00C415F5" w:rsidSect="00971899">
          <w:type w:val="continuous"/>
          <w:pgSz w:w="11910" w:h="16840"/>
          <w:pgMar w:top="1440" w:right="1440" w:bottom="1440" w:left="1440" w:header="720" w:footer="720" w:gutter="0"/>
          <w:cols w:num="2" w:space="340"/>
        </w:sectPr>
      </w:pPr>
    </w:p>
    <w:p w14:paraId="7FEED162" w14:textId="77777777" w:rsidR="00C415F5" w:rsidRDefault="005470B1" w:rsidP="003932A6">
      <w:pPr>
        <w:pStyle w:val="BodyText"/>
      </w:pPr>
      <w:bookmarkStart w:id="10" w:name="_bookmark6"/>
      <w:bookmarkEnd w:id="10"/>
      <w:r>
        <w:rPr>
          <w:noProof/>
        </w:rPr>
        <w:lastRenderedPageBreak/>
        <w:drawing>
          <wp:anchor distT="0" distB="0" distL="114300" distR="114300" simplePos="0" relativeHeight="251656704" behindDoc="0" locked="0" layoutInCell="1" allowOverlap="1" wp14:anchorId="14A0A28B" wp14:editId="71886F9B">
            <wp:simplePos x="0" y="0"/>
            <wp:positionH relativeFrom="column">
              <wp:posOffset>3221091</wp:posOffset>
            </wp:positionH>
            <wp:positionV relativeFrom="page">
              <wp:posOffset>1091821</wp:posOffset>
            </wp:positionV>
            <wp:extent cx="240226" cy="215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226" cy="215900"/>
                    </a:xfrm>
                    <a:prstGeom prst="rect">
                      <a:avLst/>
                    </a:prstGeom>
                  </pic:spPr>
                </pic:pic>
              </a:graphicData>
            </a:graphic>
          </wp:anchor>
        </w:drawing>
      </w:r>
      <w:r w:rsidR="009E23A6">
        <w:rPr>
          <w:noProof/>
        </w:rPr>
        <w:pict w14:anchorId="1A2E8798">
          <v:shape id="_x0000_s1037" type="#_x0000_t202" alt="" style="position:absolute;margin-left:312.65pt;margin-top:2.3pt;width:211.7pt;height:144.75pt;z-index:-251648000;mso-wrap-style:square;mso-wrap-edited:f;mso-width-percent:0;mso-height-percent:0;mso-wrap-distance-left:0;mso-wrap-distance-right:0;mso-wrap-distance-bottom:11.35pt;mso-position-horizontal-relative:page;mso-position-vertical-relative:text;mso-width-percent:0;mso-height-percent:0;v-text-anchor:top" filled="f" strokecolor="#5f2f7e [3208]">
            <v:textbox style="mso-next-textbox:#_x0000_s1037" inset="0,0,0,0">
              <w:txbxContent>
                <w:p w14:paraId="52A3F1B5" w14:textId="77777777" w:rsidR="005907C8" w:rsidRPr="00693365" w:rsidRDefault="005907C8" w:rsidP="005470B1">
                  <w:pPr>
                    <w:pStyle w:val="Questionheading"/>
                  </w:pPr>
                  <w:r>
                    <w:t>Consultation questions</w:t>
                  </w:r>
                </w:p>
                <w:p w14:paraId="767C9640" w14:textId="77777777" w:rsidR="005907C8" w:rsidRDefault="005907C8" w:rsidP="00E74C51">
                  <w:pPr>
                    <w:pStyle w:val="ListParagraph"/>
                    <w:ind w:left="567" w:right="243"/>
                  </w:pPr>
                  <w:r>
                    <w:t xml:space="preserve">What should IHPA </w:t>
                  </w:r>
                  <w:proofErr w:type="spellStart"/>
                  <w:r>
                    <w:t>prioritise</w:t>
                  </w:r>
                  <w:proofErr w:type="spellEnd"/>
                  <w:r>
                    <w:t xml:space="preserve"> when developing AR-DRG Version 11.0 and ICD</w:t>
                  </w:r>
                  <w:r>
                    <w:rPr>
                      <w:rFonts w:ascii="Cambria Math" w:hAnsi="Cambria Math" w:cs="Cambria Math"/>
                    </w:rPr>
                    <w:t>‑</w:t>
                  </w:r>
                  <w:r>
                    <w:t>10-AM/ACHI/ACS Twelfth Edition?</w:t>
                  </w:r>
                </w:p>
                <w:p w14:paraId="249D0BDD" w14:textId="77777777" w:rsidR="005907C8" w:rsidRDefault="005907C8" w:rsidP="00E74C51">
                  <w:pPr>
                    <w:pStyle w:val="ListParagraph"/>
                    <w:ind w:left="567" w:right="243"/>
                  </w:pPr>
                  <w:r>
                    <w:t>Are there other priorities that should be included as part of the comprehensive review of the admitted acute care classification development process?</w:t>
                  </w:r>
                </w:p>
              </w:txbxContent>
            </v:textbox>
            <w10:wrap type="topAndBottom" anchorx="page"/>
          </v:shape>
        </w:pict>
      </w:r>
      <w:r w:rsidR="00603DEC">
        <w:t>Major refinements to AR-DRG Version 10.0 include:</w:t>
      </w:r>
    </w:p>
    <w:p w14:paraId="07E39DB5" w14:textId="77777777" w:rsidR="00C415F5" w:rsidRDefault="00603DEC" w:rsidP="009E18BA">
      <w:pPr>
        <w:pStyle w:val="ListParagraph"/>
        <w:numPr>
          <w:ilvl w:val="1"/>
          <w:numId w:val="20"/>
        </w:numPr>
        <w:ind w:left="284" w:right="92"/>
      </w:pPr>
      <w:r>
        <w:t>A clinical and statistical review of the diagnosis exclusions within the complexity</w:t>
      </w:r>
      <w:r>
        <w:rPr>
          <w:spacing w:val="9"/>
        </w:rPr>
        <w:t xml:space="preserve"> </w:t>
      </w:r>
      <w:r>
        <w:t>model;</w:t>
      </w:r>
    </w:p>
    <w:p w14:paraId="4225DB08" w14:textId="77777777" w:rsidR="00485759" w:rsidRDefault="00603DEC" w:rsidP="009E18BA">
      <w:pPr>
        <w:pStyle w:val="ListParagraph"/>
        <w:numPr>
          <w:ilvl w:val="1"/>
          <w:numId w:val="20"/>
        </w:numPr>
        <w:ind w:left="284" w:right="92"/>
      </w:pPr>
      <w:r>
        <w:t xml:space="preserve">Measures to improve its overall </w:t>
      </w:r>
      <w:r w:rsidRPr="009D2CA5">
        <w:rPr>
          <w:spacing w:val="2"/>
        </w:rPr>
        <w:t xml:space="preserve">stability; </w:t>
      </w:r>
      <w:r>
        <w:t xml:space="preserve">and </w:t>
      </w:r>
    </w:p>
    <w:p w14:paraId="4150972D" w14:textId="77777777" w:rsidR="00C415F5" w:rsidRDefault="00603DEC" w:rsidP="009E18BA">
      <w:pPr>
        <w:pStyle w:val="ListParagraph"/>
        <w:numPr>
          <w:ilvl w:val="1"/>
          <w:numId w:val="20"/>
        </w:numPr>
        <w:ind w:left="284" w:right="92"/>
      </w:pPr>
      <w:r>
        <w:t>More clinically coherent and</w:t>
      </w:r>
      <w:r w:rsidRPr="009D2CA5">
        <w:rPr>
          <w:spacing w:val="8"/>
        </w:rPr>
        <w:t xml:space="preserve"> </w:t>
      </w:r>
      <w:r>
        <w:t>resource</w:t>
      </w:r>
      <w:r w:rsidR="009D2CA5">
        <w:t xml:space="preserve"> </w:t>
      </w:r>
      <w:r>
        <w:t>homogenous groups being created for nephrolithiasis (urinary calculus) interventions, liver procurement from a living donor and osseointegration interventions.</w:t>
      </w:r>
    </w:p>
    <w:p w14:paraId="4BC467F2" w14:textId="77777777" w:rsidR="00C415F5" w:rsidRDefault="00603DEC" w:rsidP="003932A6">
      <w:pPr>
        <w:pStyle w:val="BodyText"/>
      </w:pPr>
      <w:r>
        <w:t>The Australian Consortium for Classification Development produced the Eleventh Edition of ICD-10-AM, ACHI and the ACS, which will be used for the underlying diagnosis and intervention coding from 1 July 2019.</w:t>
      </w:r>
    </w:p>
    <w:p w14:paraId="48D49D82" w14:textId="77777777" w:rsidR="00C415F5" w:rsidRDefault="00603DEC" w:rsidP="003932A6">
      <w:pPr>
        <w:pStyle w:val="BodyText"/>
      </w:pPr>
      <w:r>
        <w:t>IHPA is undertaking a comprehensive review of the admitted acute care classification development process. The review will:</w:t>
      </w:r>
    </w:p>
    <w:p w14:paraId="1FAB61F7" w14:textId="77777777" w:rsidR="00C415F5" w:rsidRDefault="00603DEC" w:rsidP="00A07AEB">
      <w:pPr>
        <w:pStyle w:val="ListParagraph"/>
        <w:numPr>
          <w:ilvl w:val="1"/>
          <w:numId w:val="20"/>
        </w:numPr>
        <w:ind w:left="284"/>
      </w:pPr>
      <w:r>
        <w:t xml:space="preserve">Evaluate the end-to-end development process of </w:t>
      </w:r>
      <w:r>
        <w:rPr>
          <w:spacing w:val="-3"/>
        </w:rPr>
        <w:t xml:space="preserve">ICD-10-AM/ACHI/ACS </w:t>
      </w:r>
      <w:r>
        <w:t xml:space="preserve">and AR-DRGs to </w:t>
      </w:r>
      <w:r>
        <w:rPr>
          <w:spacing w:val="2"/>
        </w:rPr>
        <w:t xml:space="preserve">identify </w:t>
      </w:r>
      <w:r>
        <w:t>strengths and weaknesses and areas for improvement;</w:t>
      </w:r>
    </w:p>
    <w:p w14:paraId="0CD9FD20" w14:textId="77777777" w:rsidR="00C415F5" w:rsidRDefault="00603DEC" w:rsidP="003932A6">
      <w:pPr>
        <w:pStyle w:val="ListParagraph"/>
        <w:numPr>
          <w:ilvl w:val="1"/>
          <w:numId w:val="20"/>
        </w:numPr>
        <w:ind w:left="284"/>
      </w:pPr>
      <w:r>
        <w:t xml:space="preserve">Understand stakeholder needs regarding development of </w:t>
      </w:r>
      <w:r w:rsidRPr="00A07AEB">
        <w:rPr>
          <w:spacing w:val="-3"/>
        </w:rPr>
        <w:t xml:space="preserve">ICD-10-AM/ACHI/ACS </w:t>
      </w:r>
      <w:r>
        <w:t>and AR-DRGs, including consideration</w:t>
      </w:r>
      <w:r w:rsidR="00A07AEB" w:rsidRPr="00A07AEB">
        <w:rPr>
          <w:spacing w:val="37"/>
        </w:rPr>
        <w:t xml:space="preserve"> </w:t>
      </w:r>
      <w:r>
        <w:t>of</w:t>
      </w:r>
      <w:r w:rsidR="00A07AEB">
        <w:t xml:space="preserve"> </w:t>
      </w:r>
      <w:r>
        <w:t>development timeframes, methods of incorporating new technologies faster and</w:t>
      </w:r>
      <w:r w:rsidRPr="00A07AEB">
        <w:rPr>
          <w:spacing w:val="10"/>
        </w:rPr>
        <w:t xml:space="preserve"> </w:t>
      </w:r>
      <w:r>
        <w:t>classification</w:t>
      </w:r>
      <w:r w:rsidR="00A07AEB">
        <w:t xml:space="preserve"> </w:t>
      </w:r>
      <w:r>
        <w:t>system materials; and</w:t>
      </w:r>
    </w:p>
    <w:p w14:paraId="21D0778A" w14:textId="77777777" w:rsidR="00C415F5" w:rsidRDefault="00603DEC" w:rsidP="00A07AEB">
      <w:pPr>
        <w:pStyle w:val="ListParagraph"/>
        <w:numPr>
          <w:ilvl w:val="1"/>
          <w:numId w:val="20"/>
        </w:numPr>
        <w:ind w:left="284" w:right="365"/>
      </w:pPr>
      <w:r>
        <w:t xml:space="preserve">Provide recommendations on a preferred model for </w:t>
      </w:r>
      <w:r>
        <w:rPr>
          <w:spacing w:val="-3"/>
        </w:rPr>
        <w:t xml:space="preserve">ICD-10-AM/ACHI/ACS </w:t>
      </w:r>
      <w:r>
        <w:t>and AR-DRG</w:t>
      </w:r>
      <w:r>
        <w:rPr>
          <w:spacing w:val="29"/>
        </w:rPr>
        <w:t xml:space="preserve"> </w:t>
      </w:r>
      <w:r>
        <w:t>development.</w:t>
      </w:r>
    </w:p>
    <w:p w14:paraId="5586A47A" w14:textId="77777777" w:rsidR="00C415F5" w:rsidRDefault="00603DEC" w:rsidP="003932A6">
      <w:pPr>
        <w:pStyle w:val="BodyText"/>
      </w:pPr>
      <w:r>
        <w:t>The development of ICD-10-AM/ACHI/ACS Twelfth Edition and future revisions will now be</w:t>
      </w:r>
      <w:r w:rsidR="00A07AEB">
        <w:t xml:space="preserve"> </w:t>
      </w:r>
      <w:r>
        <w:t>undertaken by IHPA. Work is anticipated to commence on both the Twelfth Edition and AR-DRG Version 11.0 from July 2019.</w:t>
      </w:r>
    </w:p>
    <w:p w14:paraId="2960B0C4" w14:textId="77777777" w:rsidR="00C415F5" w:rsidRPr="00A07AEB" w:rsidRDefault="00603DEC" w:rsidP="00A07AEB">
      <w:pPr>
        <w:pStyle w:val="Heading3"/>
        <w:ind w:left="142"/>
      </w:pPr>
      <w:r>
        <w:br w:type="column"/>
      </w:r>
      <w:r w:rsidR="00A07AEB">
        <w:t xml:space="preserve">4.2.1 </w:t>
      </w:r>
      <w:r w:rsidRPr="00A07AEB">
        <w:t>Phasing out support for older classification versions</w:t>
      </w:r>
    </w:p>
    <w:p w14:paraId="7D6A1DE0" w14:textId="77777777" w:rsidR="00C415F5" w:rsidRDefault="00603DEC" w:rsidP="009E18BA">
      <w:pPr>
        <w:spacing w:before="187" w:line="256" w:lineRule="auto"/>
        <w:ind w:left="142" w:right="92"/>
        <w:rPr>
          <w:sz w:val="19"/>
        </w:rPr>
      </w:pPr>
      <w:r>
        <w:rPr>
          <w:color w:val="58595B"/>
          <w:sz w:val="19"/>
        </w:rPr>
        <w:t xml:space="preserve">In the </w:t>
      </w:r>
      <w:r>
        <w:rPr>
          <w:i/>
          <w:color w:val="58595B"/>
          <w:sz w:val="19"/>
        </w:rPr>
        <w:t xml:space="preserve">Pricing Framework for Australian Public Hospital Services 2019–20 </w:t>
      </w:r>
      <w:r>
        <w:rPr>
          <w:color w:val="58595B"/>
          <w:sz w:val="19"/>
        </w:rPr>
        <w:t xml:space="preserve">IHPA announced that it intends to phase out support for old AR-DRG versions to maintain clinical currency of the classification and to ensure benefits of more recent versions are </w:t>
      </w:r>
      <w:proofErr w:type="spellStart"/>
      <w:r>
        <w:rPr>
          <w:color w:val="58595B"/>
          <w:sz w:val="19"/>
        </w:rPr>
        <w:t>realised</w:t>
      </w:r>
      <w:proofErr w:type="spellEnd"/>
      <w:r>
        <w:rPr>
          <w:color w:val="58595B"/>
          <w:sz w:val="19"/>
        </w:rPr>
        <w:t>.</w:t>
      </w:r>
    </w:p>
    <w:p w14:paraId="6B090FEF" w14:textId="77777777" w:rsidR="00C415F5" w:rsidRDefault="00603DEC" w:rsidP="009E18BA">
      <w:pPr>
        <w:pStyle w:val="BodyText"/>
        <w:ind w:left="142" w:right="92"/>
      </w:pPr>
      <w:r>
        <w:t xml:space="preserve">The rolling timeline for phasing out support for subsequent versions is detailed in </w:t>
      </w:r>
      <w:r w:rsidRPr="00A07AEB">
        <w:rPr>
          <w:rFonts w:cs="Arial"/>
          <w:b/>
        </w:rPr>
        <w:t>Figure 3</w:t>
      </w:r>
      <w:r>
        <w:t>. From 1 July 2019,</w:t>
      </w:r>
      <w:r w:rsidR="0007598B">
        <w:t xml:space="preserve"> </w:t>
      </w:r>
      <w:r>
        <w:t>AR-DRG Version 4.2 (and any versions prior to this)</w:t>
      </w:r>
      <w:r w:rsidR="0007598B">
        <w:t xml:space="preserve"> </w:t>
      </w:r>
      <w:r>
        <w:t xml:space="preserve">will not be supported. </w:t>
      </w:r>
      <w:r>
        <w:rPr>
          <w:spacing w:val="-3"/>
        </w:rPr>
        <w:t xml:space="preserve">IHPA </w:t>
      </w:r>
      <w:r>
        <w:t xml:space="preserve">will continue to work closely with the private sector to assess the readiness for </w:t>
      </w:r>
      <w:r>
        <w:rPr>
          <w:spacing w:val="-3"/>
        </w:rPr>
        <w:t xml:space="preserve">phasing </w:t>
      </w:r>
      <w:r>
        <w:t>out at each stage.</w:t>
      </w:r>
    </w:p>
    <w:p w14:paraId="55B543E0" w14:textId="77777777" w:rsidR="00C415F5" w:rsidRDefault="00603DEC" w:rsidP="00A07AEB">
      <w:pPr>
        <w:pStyle w:val="Heading4"/>
        <w:ind w:left="142"/>
      </w:pPr>
      <w:r>
        <w:t>Figure</w:t>
      </w:r>
      <w:r>
        <w:rPr>
          <w:spacing w:val="-35"/>
        </w:rPr>
        <w:t xml:space="preserve"> </w:t>
      </w:r>
      <w:r>
        <w:t>3:</w:t>
      </w:r>
      <w:r>
        <w:rPr>
          <w:spacing w:val="-35"/>
        </w:rPr>
        <w:t xml:space="preserve"> </w:t>
      </w:r>
      <w:r>
        <w:t>Timeline</w:t>
      </w:r>
      <w:r>
        <w:rPr>
          <w:spacing w:val="-34"/>
        </w:rPr>
        <w:t xml:space="preserve"> </w:t>
      </w:r>
      <w:r>
        <w:t>for</w:t>
      </w:r>
      <w:r>
        <w:rPr>
          <w:spacing w:val="-35"/>
        </w:rPr>
        <w:t xml:space="preserve"> </w:t>
      </w:r>
      <w:r>
        <w:t>phasing</w:t>
      </w:r>
      <w:r>
        <w:rPr>
          <w:spacing w:val="-35"/>
        </w:rPr>
        <w:t xml:space="preserve"> </w:t>
      </w:r>
      <w:r>
        <w:rPr>
          <w:spacing w:val="-5"/>
        </w:rPr>
        <w:t xml:space="preserve">out </w:t>
      </w:r>
      <w:r>
        <w:t>AR</w:t>
      </w:r>
      <w:r>
        <w:rPr>
          <w:rFonts w:ascii="Cambria Math" w:hAnsi="Cambria Math" w:cs="Cambria Math"/>
        </w:rPr>
        <w:t>‑</w:t>
      </w:r>
      <w:r>
        <w:t>DRG</w:t>
      </w:r>
      <w:r>
        <w:rPr>
          <w:spacing w:val="-19"/>
        </w:rPr>
        <w:t xml:space="preserve"> </w:t>
      </w:r>
      <w:r>
        <w:t>versions</w:t>
      </w:r>
    </w:p>
    <w:tbl>
      <w:tblPr>
        <w:tblW w:w="4327" w:type="dxa"/>
        <w:tblInd w:w="142" w:type="dxa"/>
        <w:tblLayout w:type="fixed"/>
        <w:tblCellMar>
          <w:left w:w="0" w:type="dxa"/>
          <w:right w:w="0" w:type="dxa"/>
        </w:tblCellMar>
        <w:tblLook w:val="01E0" w:firstRow="1" w:lastRow="1" w:firstColumn="1" w:lastColumn="1" w:noHBand="0" w:noVBand="0"/>
      </w:tblPr>
      <w:tblGrid>
        <w:gridCol w:w="1559"/>
        <w:gridCol w:w="1134"/>
        <w:gridCol w:w="1634"/>
      </w:tblGrid>
      <w:tr w:rsidR="00C415F5" w14:paraId="2A1A4AF4" w14:textId="77777777" w:rsidTr="009E18BA">
        <w:trPr>
          <w:trHeight w:val="606"/>
        </w:trPr>
        <w:tc>
          <w:tcPr>
            <w:tcW w:w="1559" w:type="dxa"/>
            <w:shd w:val="clear" w:color="auto" w:fill="003E2D"/>
          </w:tcPr>
          <w:p w14:paraId="25F9D28D" w14:textId="77777777" w:rsidR="00C415F5" w:rsidRPr="007A655F" w:rsidRDefault="00603DEC" w:rsidP="007A655F">
            <w:pPr>
              <w:pStyle w:val="TableParagraph"/>
              <w:rPr>
                <w:color w:val="FFFFFF" w:themeColor="background1"/>
              </w:rPr>
            </w:pPr>
            <w:r w:rsidRPr="007A655F">
              <w:rPr>
                <w:color w:val="FFFFFF" w:themeColor="background1"/>
              </w:rPr>
              <w:t>AR-DRG version</w:t>
            </w:r>
          </w:p>
        </w:tc>
        <w:tc>
          <w:tcPr>
            <w:tcW w:w="1134" w:type="dxa"/>
            <w:shd w:val="clear" w:color="auto" w:fill="003E2D"/>
          </w:tcPr>
          <w:p w14:paraId="7C0F2D75" w14:textId="77777777" w:rsidR="00C415F5" w:rsidRPr="007A655F" w:rsidRDefault="00603DEC" w:rsidP="007A655F">
            <w:pPr>
              <w:pStyle w:val="TableParagraph"/>
              <w:rPr>
                <w:color w:val="FFFFFF" w:themeColor="background1"/>
              </w:rPr>
            </w:pPr>
            <w:r w:rsidRPr="007A655F">
              <w:rPr>
                <w:color w:val="FFFFFF" w:themeColor="background1"/>
              </w:rPr>
              <w:t>Proposed phase out date</w:t>
            </w:r>
          </w:p>
        </w:tc>
        <w:tc>
          <w:tcPr>
            <w:tcW w:w="1634" w:type="dxa"/>
            <w:shd w:val="clear" w:color="auto" w:fill="003E2D"/>
          </w:tcPr>
          <w:p w14:paraId="6D4FD138" w14:textId="77777777" w:rsidR="00C415F5" w:rsidRPr="007A655F" w:rsidRDefault="00603DEC" w:rsidP="007A655F">
            <w:pPr>
              <w:pStyle w:val="TableParagraph"/>
              <w:rPr>
                <w:color w:val="FFFFFF" w:themeColor="background1"/>
              </w:rPr>
            </w:pPr>
            <w:r w:rsidRPr="007A655F">
              <w:rPr>
                <w:color w:val="FFFFFF" w:themeColor="background1"/>
              </w:rPr>
              <w:t>Most current AR-DRG version</w:t>
            </w:r>
          </w:p>
        </w:tc>
      </w:tr>
      <w:tr w:rsidR="00C415F5" w14:paraId="7FED5E1E" w14:textId="77777777" w:rsidTr="009E18BA">
        <w:trPr>
          <w:trHeight w:val="743"/>
        </w:trPr>
        <w:tc>
          <w:tcPr>
            <w:tcW w:w="1559" w:type="dxa"/>
            <w:tcBorders>
              <w:bottom w:val="single" w:sz="4" w:space="0" w:color="58595A"/>
            </w:tcBorders>
          </w:tcPr>
          <w:p w14:paraId="4DBA44FC" w14:textId="77777777" w:rsidR="00C415F5" w:rsidRDefault="00603DEC" w:rsidP="007A655F">
            <w:pPr>
              <w:pStyle w:val="TableParagraph"/>
            </w:pPr>
            <w:r>
              <w:t>AR-DRG Version 5.0, 5.1, 5.2, 6.0,</w:t>
            </w:r>
          </w:p>
          <w:p w14:paraId="7DF56949" w14:textId="77777777" w:rsidR="00C415F5" w:rsidRDefault="00603DEC" w:rsidP="007A655F">
            <w:pPr>
              <w:pStyle w:val="TableParagraph"/>
            </w:pPr>
            <w:r>
              <w:t>6.x and 7.0</w:t>
            </w:r>
          </w:p>
        </w:tc>
        <w:tc>
          <w:tcPr>
            <w:tcW w:w="1134" w:type="dxa"/>
            <w:tcBorders>
              <w:bottom w:val="single" w:sz="4" w:space="0" w:color="58595A"/>
            </w:tcBorders>
          </w:tcPr>
          <w:p w14:paraId="4AD50B62" w14:textId="77777777" w:rsidR="00C415F5" w:rsidRDefault="00603DEC" w:rsidP="007A655F">
            <w:pPr>
              <w:pStyle w:val="TableParagraph"/>
            </w:pPr>
            <w:r>
              <w:t>1 July 2021</w:t>
            </w:r>
          </w:p>
        </w:tc>
        <w:tc>
          <w:tcPr>
            <w:tcW w:w="1634" w:type="dxa"/>
            <w:tcBorders>
              <w:bottom w:val="single" w:sz="4" w:space="0" w:color="58595A"/>
            </w:tcBorders>
          </w:tcPr>
          <w:p w14:paraId="6A227DCC" w14:textId="77777777" w:rsidR="00C415F5" w:rsidRPr="007A655F" w:rsidRDefault="00603DEC" w:rsidP="007A655F">
            <w:pPr>
              <w:pStyle w:val="TableParagraph"/>
            </w:pPr>
            <w:r w:rsidRPr="007A655F">
              <w:t>AR-DRG</w:t>
            </w:r>
          </w:p>
          <w:p w14:paraId="4840FB16" w14:textId="77777777" w:rsidR="00C415F5" w:rsidRDefault="00603DEC" w:rsidP="007A655F">
            <w:pPr>
              <w:pStyle w:val="TableParagraph"/>
            </w:pPr>
            <w:r w:rsidRPr="007A655F">
              <w:t>Version 11.0</w:t>
            </w:r>
          </w:p>
        </w:tc>
      </w:tr>
      <w:tr w:rsidR="00C415F5" w14:paraId="78E522EF" w14:textId="77777777" w:rsidTr="009E18BA">
        <w:trPr>
          <w:trHeight w:val="543"/>
        </w:trPr>
        <w:tc>
          <w:tcPr>
            <w:tcW w:w="1559" w:type="dxa"/>
            <w:tcBorders>
              <w:top w:val="single" w:sz="4" w:space="0" w:color="58595A"/>
              <w:bottom w:val="single" w:sz="4" w:space="0" w:color="58595A"/>
            </w:tcBorders>
          </w:tcPr>
          <w:p w14:paraId="5040B104" w14:textId="77777777" w:rsidR="00C415F5" w:rsidRDefault="00603DEC" w:rsidP="007A655F">
            <w:pPr>
              <w:pStyle w:val="TableParagraph"/>
            </w:pPr>
            <w:r>
              <w:t>AR-DRG Version</w:t>
            </w:r>
          </w:p>
          <w:p w14:paraId="5CD3B3B4" w14:textId="77777777" w:rsidR="00C415F5" w:rsidRDefault="00603DEC" w:rsidP="007A655F">
            <w:pPr>
              <w:pStyle w:val="TableParagraph"/>
            </w:pPr>
            <w:r>
              <w:t>8.0 and 9.0</w:t>
            </w:r>
          </w:p>
        </w:tc>
        <w:tc>
          <w:tcPr>
            <w:tcW w:w="1134" w:type="dxa"/>
            <w:tcBorders>
              <w:top w:val="single" w:sz="4" w:space="0" w:color="58595A"/>
              <w:bottom w:val="single" w:sz="4" w:space="0" w:color="58595A"/>
            </w:tcBorders>
          </w:tcPr>
          <w:p w14:paraId="40A1E4A5" w14:textId="77777777" w:rsidR="00C415F5" w:rsidRDefault="00603DEC" w:rsidP="007A655F">
            <w:pPr>
              <w:pStyle w:val="TableParagraph"/>
            </w:pPr>
            <w:r>
              <w:t>1 July 2023</w:t>
            </w:r>
          </w:p>
        </w:tc>
        <w:tc>
          <w:tcPr>
            <w:tcW w:w="1634" w:type="dxa"/>
            <w:tcBorders>
              <w:top w:val="single" w:sz="4" w:space="0" w:color="58595A"/>
              <w:bottom w:val="single" w:sz="4" w:space="0" w:color="58595A"/>
            </w:tcBorders>
          </w:tcPr>
          <w:p w14:paraId="1DCD6922" w14:textId="77777777" w:rsidR="00C415F5" w:rsidRDefault="00603DEC" w:rsidP="007A655F">
            <w:pPr>
              <w:pStyle w:val="TableParagraph"/>
            </w:pPr>
            <w:r>
              <w:t>AR-DRG</w:t>
            </w:r>
          </w:p>
          <w:p w14:paraId="6C46F2FF" w14:textId="77777777" w:rsidR="00C415F5" w:rsidRDefault="00603DEC" w:rsidP="007A655F">
            <w:pPr>
              <w:pStyle w:val="TableParagraph"/>
            </w:pPr>
            <w:r>
              <w:t>Version</w:t>
            </w:r>
            <w:r>
              <w:rPr>
                <w:spacing w:val="5"/>
              </w:rPr>
              <w:t xml:space="preserve"> </w:t>
            </w:r>
            <w:r>
              <w:rPr>
                <w:spacing w:val="-3"/>
              </w:rPr>
              <w:t>12.0</w:t>
            </w:r>
          </w:p>
        </w:tc>
      </w:tr>
      <w:tr w:rsidR="00C415F5" w14:paraId="4DE10BD7" w14:textId="77777777" w:rsidTr="009E18BA">
        <w:trPr>
          <w:trHeight w:val="543"/>
        </w:trPr>
        <w:tc>
          <w:tcPr>
            <w:tcW w:w="1559" w:type="dxa"/>
            <w:tcBorders>
              <w:top w:val="single" w:sz="4" w:space="0" w:color="58595A"/>
              <w:bottom w:val="single" w:sz="4" w:space="0" w:color="58595A"/>
            </w:tcBorders>
          </w:tcPr>
          <w:p w14:paraId="097A263C" w14:textId="77777777" w:rsidR="00C415F5" w:rsidRDefault="00603DEC" w:rsidP="007A655F">
            <w:pPr>
              <w:pStyle w:val="TableParagraph"/>
            </w:pPr>
            <w:r>
              <w:t>AR-DRG</w:t>
            </w:r>
          </w:p>
          <w:p w14:paraId="2E198591" w14:textId="77777777" w:rsidR="00C415F5" w:rsidRDefault="00603DEC" w:rsidP="007A655F">
            <w:pPr>
              <w:pStyle w:val="TableParagraph"/>
            </w:pPr>
            <w:r>
              <w:t>Version 10.0</w:t>
            </w:r>
          </w:p>
        </w:tc>
        <w:tc>
          <w:tcPr>
            <w:tcW w:w="1134" w:type="dxa"/>
            <w:tcBorders>
              <w:top w:val="single" w:sz="4" w:space="0" w:color="58595A"/>
              <w:bottom w:val="single" w:sz="4" w:space="0" w:color="58595A"/>
            </w:tcBorders>
          </w:tcPr>
          <w:p w14:paraId="2425E73D" w14:textId="77777777" w:rsidR="00C415F5" w:rsidRDefault="00603DEC" w:rsidP="007A655F">
            <w:pPr>
              <w:pStyle w:val="TableParagraph"/>
            </w:pPr>
            <w:r>
              <w:t>1 July 2025</w:t>
            </w:r>
          </w:p>
        </w:tc>
        <w:tc>
          <w:tcPr>
            <w:tcW w:w="1634" w:type="dxa"/>
            <w:tcBorders>
              <w:top w:val="single" w:sz="4" w:space="0" w:color="58595A"/>
              <w:bottom w:val="single" w:sz="4" w:space="0" w:color="58595A"/>
            </w:tcBorders>
          </w:tcPr>
          <w:p w14:paraId="5D24E7A6" w14:textId="77777777" w:rsidR="00C415F5" w:rsidRDefault="00603DEC" w:rsidP="007A655F">
            <w:pPr>
              <w:pStyle w:val="TableParagraph"/>
            </w:pPr>
            <w:r>
              <w:t>AR-DRG</w:t>
            </w:r>
          </w:p>
          <w:p w14:paraId="6BD7B8FF" w14:textId="77777777" w:rsidR="00C415F5" w:rsidRDefault="00603DEC" w:rsidP="007A655F">
            <w:pPr>
              <w:pStyle w:val="TableParagraph"/>
            </w:pPr>
            <w:r>
              <w:t>Version</w:t>
            </w:r>
            <w:r>
              <w:rPr>
                <w:spacing w:val="6"/>
              </w:rPr>
              <w:t xml:space="preserve"> </w:t>
            </w:r>
            <w:r>
              <w:rPr>
                <w:spacing w:val="-3"/>
              </w:rPr>
              <w:t>13.0</w:t>
            </w:r>
          </w:p>
        </w:tc>
      </w:tr>
    </w:tbl>
    <w:p w14:paraId="4D902506" w14:textId="77777777" w:rsidR="00C415F5" w:rsidRPr="00BE0CB4" w:rsidRDefault="00BE0CB4" w:rsidP="00E74C51">
      <w:pPr>
        <w:pStyle w:val="Heading3"/>
        <w:ind w:left="142"/>
      </w:pPr>
      <w:r w:rsidRPr="00BE0CB4">
        <w:t xml:space="preserve">4.2.2 </w:t>
      </w:r>
      <w:r w:rsidR="00603DEC" w:rsidRPr="00BE0CB4">
        <w:t>Release of</w:t>
      </w:r>
      <w:r w:rsidRPr="00BE0CB4">
        <w:t xml:space="preserve"> </w:t>
      </w:r>
      <w:r w:rsidR="00603DEC" w:rsidRPr="00BE0CB4">
        <w:t>ICD</w:t>
      </w:r>
      <w:r w:rsidR="00603DEC" w:rsidRPr="00BE0CB4">
        <w:rPr>
          <w:rFonts w:ascii="Cambria Math" w:hAnsi="Cambria Math" w:cs="Cambria Math"/>
        </w:rPr>
        <w:t>‑</w:t>
      </w:r>
      <w:r w:rsidR="00603DEC" w:rsidRPr="00BE0CB4">
        <w:t>11</w:t>
      </w:r>
    </w:p>
    <w:p w14:paraId="2DE942EE" w14:textId="77777777" w:rsidR="00C415F5" w:rsidRDefault="00603DEC" w:rsidP="00E74C51">
      <w:pPr>
        <w:pStyle w:val="BodyText"/>
        <w:ind w:left="142"/>
      </w:pPr>
      <w:r>
        <w:rPr>
          <w:spacing w:val="-6"/>
        </w:rPr>
        <w:t xml:space="preserve">The </w:t>
      </w:r>
      <w:r>
        <w:t xml:space="preserve">World Health Organization released the eleventh revision of the International Classification of Diseases (ICD-11) in June </w:t>
      </w:r>
      <w:r>
        <w:rPr>
          <w:spacing w:val="-10"/>
        </w:rPr>
        <w:t xml:space="preserve">2018, </w:t>
      </w:r>
      <w:r>
        <w:t xml:space="preserve">which was approved by the World Health Assembly in May </w:t>
      </w:r>
      <w:r>
        <w:rPr>
          <w:spacing w:val="-12"/>
        </w:rPr>
        <w:t xml:space="preserve">2019. </w:t>
      </w:r>
      <w:r>
        <w:rPr>
          <w:spacing w:val="-6"/>
        </w:rPr>
        <w:t xml:space="preserve">The </w:t>
      </w:r>
      <w:r>
        <w:t xml:space="preserve">Australian Institute of Health and Welfare (AIHW) is reviewing </w:t>
      </w:r>
      <w:r>
        <w:rPr>
          <w:spacing w:val="-8"/>
        </w:rPr>
        <w:t xml:space="preserve">the </w:t>
      </w:r>
      <w:r>
        <w:t>feasibility and potential timeframe for implementation of</w:t>
      </w:r>
      <w:r>
        <w:rPr>
          <w:spacing w:val="-7"/>
        </w:rPr>
        <w:t xml:space="preserve"> </w:t>
      </w:r>
      <w:r>
        <w:t>ICD-11</w:t>
      </w:r>
      <w:r>
        <w:rPr>
          <w:spacing w:val="-7"/>
        </w:rPr>
        <w:t xml:space="preserve"> </w:t>
      </w:r>
      <w:r>
        <w:t>in</w:t>
      </w:r>
      <w:r>
        <w:rPr>
          <w:spacing w:val="-6"/>
        </w:rPr>
        <w:t xml:space="preserve"> </w:t>
      </w:r>
      <w:r>
        <w:t>Australia.</w:t>
      </w:r>
      <w:r>
        <w:rPr>
          <w:spacing w:val="-7"/>
        </w:rPr>
        <w:t xml:space="preserve"> </w:t>
      </w:r>
      <w:r>
        <w:t>No</w:t>
      </w:r>
      <w:r>
        <w:rPr>
          <w:spacing w:val="-7"/>
        </w:rPr>
        <w:t xml:space="preserve"> </w:t>
      </w:r>
      <w:r>
        <w:t>decision</w:t>
      </w:r>
      <w:r>
        <w:rPr>
          <w:spacing w:val="-6"/>
        </w:rPr>
        <w:t xml:space="preserve"> </w:t>
      </w:r>
      <w:r>
        <w:t>has</w:t>
      </w:r>
      <w:r>
        <w:rPr>
          <w:spacing w:val="-7"/>
        </w:rPr>
        <w:t xml:space="preserve"> </w:t>
      </w:r>
      <w:r>
        <w:t>yet</w:t>
      </w:r>
      <w:r>
        <w:rPr>
          <w:spacing w:val="-7"/>
        </w:rPr>
        <w:t xml:space="preserve"> </w:t>
      </w:r>
      <w:r>
        <w:t>been</w:t>
      </w:r>
      <w:r>
        <w:rPr>
          <w:spacing w:val="-6"/>
        </w:rPr>
        <w:t xml:space="preserve"> </w:t>
      </w:r>
      <w:r>
        <w:t>made regarding ICD-11</w:t>
      </w:r>
      <w:r>
        <w:rPr>
          <w:spacing w:val="-5"/>
        </w:rPr>
        <w:t xml:space="preserve"> </w:t>
      </w:r>
      <w:r>
        <w:t>implementation.</w:t>
      </w:r>
    </w:p>
    <w:p w14:paraId="68B95F94" w14:textId="77777777" w:rsidR="00C415F5" w:rsidRDefault="00C415F5">
      <w:pPr>
        <w:spacing w:line="256" w:lineRule="auto"/>
        <w:sectPr w:rsidR="00C415F5" w:rsidSect="009E18BA">
          <w:headerReference w:type="default" r:id="rId52"/>
          <w:pgSz w:w="11910" w:h="16840"/>
          <w:pgMar w:top="1440" w:right="1440" w:bottom="1276" w:left="1440" w:header="0" w:footer="656" w:gutter="0"/>
          <w:cols w:num="2" w:space="340"/>
        </w:sectPr>
      </w:pPr>
    </w:p>
    <w:p w14:paraId="2A9496AB" w14:textId="77777777" w:rsidR="00C415F5" w:rsidRPr="005A02E6" w:rsidRDefault="005A02E6" w:rsidP="005A02E6">
      <w:pPr>
        <w:pStyle w:val="Heading2"/>
      </w:pPr>
      <w:r>
        <w:lastRenderedPageBreak/>
        <w:t xml:space="preserve">4.3 </w:t>
      </w:r>
      <w:r w:rsidR="00603DEC" w:rsidRPr="005A02E6">
        <w:t>Subacute and non-acute care</w:t>
      </w:r>
    </w:p>
    <w:p w14:paraId="2164F929" w14:textId="77777777" w:rsidR="00C415F5" w:rsidRDefault="00603DEC" w:rsidP="003932A6">
      <w:pPr>
        <w:pStyle w:val="BodyText"/>
      </w:pPr>
      <w:r>
        <w:t xml:space="preserve">Subacute care is </w:t>
      </w:r>
      <w:proofErr w:type="spellStart"/>
      <w:r>
        <w:t>specialised</w:t>
      </w:r>
      <w:proofErr w:type="spellEnd"/>
      <w:r>
        <w:t xml:space="preserve"> multidisciplinary care in which the primary need is </w:t>
      </w:r>
      <w:proofErr w:type="spellStart"/>
      <w:r>
        <w:t>optimisation</w:t>
      </w:r>
      <w:proofErr w:type="spellEnd"/>
      <w:r>
        <w:t xml:space="preserve"> of the</w:t>
      </w:r>
      <w:r w:rsidR="00E74C51">
        <w:t xml:space="preserve"> </w:t>
      </w:r>
      <w:r>
        <w:t>patient’s functioning and quality of life. Subacute care includes rehabilitation, palliative care, geriatric</w:t>
      </w:r>
      <w:r>
        <w:rPr>
          <w:spacing w:val="-27"/>
        </w:rPr>
        <w:t xml:space="preserve"> </w:t>
      </w:r>
      <w:r>
        <w:t>evaluation and management and psychogeriatric care</w:t>
      </w:r>
      <w:r>
        <w:rPr>
          <w:spacing w:val="-1"/>
        </w:rPr>
        <w:t xml:space="preserve"> </w:t>
      </w:r>
      <w:r>
        <w:t>types</w:t>
      </w:r>
      <w:r w:rsidR="00622C52">
        <w:t xml:space="preserve"> </w:t>
      </w:r>
      <w:r>
        <w:t>while non-acute care is comprised of maintenance care services.</w:t>
      </w:r>
    </w:p>
    <w:p w14:paraId="39B767F8" w14:textId="77777777" w:rsidR="00C415F5" w:rsidRDefault="00603DEC" w:rsidP="003932A6">
      <w:pPr>
        <w:pStyle w:val="BodyText"/>
      </w:pPr>
      <w:r>
        <w:t>For NEP19, IHPA used the Australian National Subacute and Non-Acute Patient (AN-SNAP)</w:t>
      </w:r>
      <w:r w:rsidR="00A44F64">
        <w:t xml:space="preserve"> </w:t>
      </w:r>
      <w:r>
        <w:t>Version 4 classification system to price admitted subacute and non-acute services. Patients are classified on the basis of care type, phase of care, functional impairments, age and other measures. IHPA intends to continue using AN-SNAP Version 4 for NEP20.</w:t>
      </w:r>
    </w:p>
    <w:p w14:paraId="4C1C7946" w14:textId="77777777" w:rsidR="00C415F5" w:rsidRDefault="00603DEC" w:rsidP="003932A6">
      <w:pPr>
        <w:pStyle w:val="BodyText"/>
      </w:pPr>
      <w:r>
        <w:t>Subacute and non-acute services which are not classified using AN-SNAP are classified using AR-DRGs.</w:t>
      </w:r>
    </w:p>
    <w:p w14:paraId="7B6546A5" w14:textId="77777777" w:rsidR="00C415F5" w:rsidRDefault="00603DEC">
      <w:pPr>
        <w:pStyle w:val="Heading3"/>
        <w:spacing w:line="228" w:lineRule="auto"/>
        <w:ind w:right="453"/>
      </w:pPr>
      <w:r>
        <w:rPr>
          <w:color w:val="003E2D"/>
        </w:rPr>
        <w:t>4.3.1 Developing AN‑SNAP Version 5</w:t>
      </w:r>
    </w:p>
    <w:p w14:paraId="77542E6F" w14:textId="77777777" w:rsidR="00C415F5" w:rsidRDefault="00603DEC" w:rsidP="003932A6">
      <w:pPr>
        <w:pStyle w:val="BodyText"/>
      </w:pPr>
      <w:r>
        <w:rPr>
          <w:spacing w:val="-3"/>
        </w:rPr>
        <w:t xml:space="preserve">IHPA </w:t>
      </w:r>
      <w:r>
        <w:t xml:space="preserve">is continuing to develop the next version of the AN-SNAP classification. </w:t>
      </w:r>
      <w:r>
        <w:rPr>
          <w:spacing w:val="-6"/>
        </w:rPr>
        <w:t xml:space="preserve">The </w:t>
      </w:r>
      <w:r>
        <w:t>AN-SNAP Version 4 final report highlighted a key limitation to developing prior versions was a lack of data to aid the</w:t>
      </w:r>
      <w:r>
        <w:rPr>
          <w:spacing w:val="-21"/>
        </w:rPr>
        <w:t xml:space="preserve"> </w:t>
      </w:r>
      <w:r>
        <w:t>assessment of proposed structural changes to the</w:t>
      </w:r>
      <w:r>
        <w:rPr>
          <w:spacing w:val="-6"/>
        </w:rPr>
        <w:t xml:space="preserve"> </w:t>
      </w:r>
      <w:r>
        <w:t>classification.</w:t>
      </w:r>
      <w:r w:rsidR="006007E6">
        <w:t xml:space="preserve"> </w:t>
      </w:r>
      <w:r>
        <w:t>States and territories have made significant progress in their collection of subacute activity and cost data which may support improvements for AN-SNAP Version 5.</w:t>
      </w:r>
    </w:p>
    <w:p w14:paraId="73865A52" w14:textId="77777777" w:rsidR="00C415F5" w:rsidRDefault="00603DEC" w:rsidP="003932A6">
      <w:pPr>
        <w:pStyle w:val="BodyText"/>
      </w:pPr>
      <w:r>
        <w:t xml:space="preserve">As part of the development of AN-SNAP Version </w:t>
      </w:r>
      <w:r>
        <w:rPr>
          <w:spacing w:val="-14"/>
        </w:rPr>
        <w:t xml:space="preserve">5, </w:t>
      </w:r>
      <w:r>
        <w:rPr>
          <w:spacing w:val="-3"/>
        </w:rPr>
        <w:t xml:space="preserve">IHPA </w:t>
      </w:r>
      <w:r>
        <w:t>is reviewing the existing clinical variables used in AN-SNAP and testing the clinical and statistical assumptions that underpin the</w:t>
      </w:r>
      <w:r>
        <w:rPr>
          <w:spacing w:val="-1"/>
        </w:rPr>
        <w:t xml:space="preserve"> </w:t>
      </w:r>
      <w:r>
        <w:t>existing</w:t>
      </w:r>
      <w:r w:rsidR="006007E6">
        <w:t xml:space="preserve"> </w:t>
      </w:r>
      <w:r>
        <w:t>classification structures. This includes work to assess if the classification’s explanatory power can be improved using the existing data items. Following this, IHPA will explore whether new variables, such as complications and comorbidities, will improve the clinical and cost coherence of AN-SNAP.</w:t>
      </w:r>
    </w:p>
    <w:p w14:paraId="044401B1" w14:textId="77777777" w:rsidR="00C415F5" w:rsidRPr="005A02E6" w:rsidRDefault="00603DEC" w:rsidP="00E74C51">
      <w:pPr>
        <w:pStyle w:val="Heading2"/>
        <w:ind w:left="142"/>
      </w:pPr>
      <w:r>
        <w:rPr>
          <w:spacing w:val="-2"/>
        </w:rPr>
        <w:br w:type="column"/>
      </w:r>
      <w:r w:rsidR="005A02E6">
        <w:rPr>
          <w:spacing w:val="-2"/>
        </w:rPr>
        <w:t xml:space="preserve">4.4 </w:t>
      </w:r>
      <w:r w:rsidRPr="005A02E6">
        <w:t>Non-admitted care</w:t>
      </w:r>
    </w:p>
    <w:p w14:paraId="40018731" w14:textId="77777777" w:rsidR="00C415F5" w:rsidRPr="00E74C51" w:rsidRDefault="00E74C51" w:rsidP="00E74C51">
      <w:pPr>
        <w:pStyle w:val="Heading3"/>
        <w:ind w:left="142"/>
      </w:pPr>
      <w:r>
        <w:t xml:space="preserve">4.4.1 </w:t>
      </w:r>
      <w:r w:rsidR="00603DEC" w:rsidRPr="00E74C51">
        <w:t>Tier 2 Non</w:t>
      </w:r>
      <w:r w:rsidR="00603DEC" w:rsidRPr="00E74C51">
        <w:rPr>
          <w:rFonts w:ascii="Cambria Math" w:hAnsi="Cambria Math" w:cs="Cambria Math"/>
        </w:rPr>
        <w:t>‑</w:t>
      </w:r>
      <w:r w:rsidR="00603DEC" w:rsidRPr="00E74C51">
        <w:t>Admitted Services classification</w:t>
      </w:r>
    </w:p>
    <w:p w14:paraId="15AC3CDE" w14:textId="77777777" w:rsidR="00C415F5" w:rsidRDefault="00603DEC" w:rsidP="00E74C51">
      <w:pPr>
        <w:pStyle w:val="BodyText"/>
        <w:ind w:left="142"/>
      </w:pPr>
      <w:r>
        <w:t xml:space="preserve">The </w:t>
      </w:r>
      <w:hyperlink r:id="rId53">
        <w:r>
          <w:rPr>
            <w:color w:val="008F54"/>
            <w:u w:val="single" w:color="008F54"/>
          </w:rPr>
          <w:t>Tier 2 Non-Admitted Services</w:t>
        </w:r>
      </w:hyperlink>
      <w:r>
        <w:rPr>
          <w:color w:val="008F54"/>
        </w:rPr>
        <w:t xml:space="preserve"> </w:t>
      </w:r>
      <w:r>
        <w:t xml:space="preserve">classification is the existing classification system which </w:t>
      </w:r>
      <w:proofErr w:type="spellStart"/>
      <w:r>
        <w:t>categorises</w:t>
      </w:r>
      <w:proofErr w:type="spellEnd"/>
      <w:r>
        <w:t xml:space="preserve"> a public hospital’s non-admitted services into classes which are generally based on the nature of the service and the type of clinician providing the service.</w:t>
      </w:r>
    </w:p>
    <w:p w14:paraId="0BA7D0DE" w14:textId="77777777" w:rsidR="00C415F5" w:rsidRDefault="00603DEC" w:rsidP="00E74C51">
      <w:pPr>
        <w:pStyle w:val="BodyText"/>
        <w:ind w:left="142"/>
      </w:pPr>
      <w:r>
        <w:t>For NEP20, IHPA plans to continue using the Tier 2 Non-Admitted Services classification for pricing</w:t>
      </w:r>
      <w:r w:rsidR="00F67277">
        <w:t xml:space="preserve"> </w:t>
      </w:r>
      <w:r>
        <w:t>non-admitted services while continuing work to develop a new non-admitted care classification — the Australian Non-Admitted Care Classification (ANACC).</w:t>
      </w:r>
    </w:p>
    <w:p w14:paraId="40047B50" w14:textId="77777777" w:rsidR="00C415F5" w:rsidRPr="00E74C51" w:rsidRDefault="00E74C51" w:rsidP="00E74C51">
      <w:pPr>
        <w:pStyle w:val="Heading3"/>
        <w:ind w:left="142"/>
      </w:pPr>
      <w:r>
        <w:t xml:space="preserve">4.4.2 </w:t>
      </w:r>
      <w:r w:rsidR="00603DEC" w:rsidRPr="00E74C51">
        <w:t>Multidisciplinary case conferences where the patient is not present</w:t>
      </w:r>
    </w:p>
    <w:p w14:paraId="06FB7B6A" w14:textId="77777777" w:rsidR="00C415F5" w:rsidRDefault="00603DEC" w:rsidP="00E74C51">
      <w:pPr>
        <w:pStyle w:val="BodyText"/>
        <w:ind w:left="142"/>
      </w:pPr>
      <w:r>
        <w:t>To provide an indicative cost for service planning purposes, IHPA shadow priced medical led multidisciplinary case conference (MDCC) service events in NEP19 but was unable to shadow price nursing or allied health led</w:t>
      </w:r>
      <w:r w:rsidR="004C16C2">
        <w:t xml:space="preserve"> </w:t>
      </w:r>
      <w:r>
        <w:t>MDCC service events (class 40.62) due to insufficient data.</w:t>
      </w:r>
    </w:p>
    <w:p w14:paraId="78BA52B1" w14:textId="77777777" w:rsidR="00C415F5" w:rsidRDefault="00603DEC" w:rsidP="00E74C51">
      <w:pPr>
        <w:pStyle w:val="BodyText"/>
        <w:ind w:left="142"/>
      </w:pPr>
      <w:r>
        <w:t>IHPA plans to continue to shadow price medical led MDCCs where the patient is not present (class 20.56) for NEP20 and will continue working with states and territories to obtain the data to determine a shadow price for the nursing and allied health led MDCC class.</w:t>
      </w:r>
    </w:p>
    <w:p w14:paraId="1F03518E" w14:textId="77777777" w:rsidR="00C415F5" w:rsidRDefault="00C415F5">
      <w:pPr>
        <w:spacing w:line="256" w:lineRule="auto"/>
        <w:sectPr w:rsidR="00C415F5" w:rsidSect="009E18BA">
          <w:headerReference w:type="default" r:id="rId54"/>
          <w:pgSz w:w="11910" w:h="16840"/>
          <w:pgMar w:top="1440" w:right="1440" w:bottom="1440" w:left="1440" w:header="0" w:footer="656" w:gutter="0"/>
          <w:cols w:num="2" w:space="340"/>
        </w:sectPr>
      </w:pPr>
    </w:p>
    <w:p w14:paraId="5D5C74CC" w14:textId="77777777" w:rsidR="00C415F5" w:rsidRPr="00382D02" w:rsidRDefault="00382D02" w:rsidP="00382D02">
      <w:pPr>
        <w:pStyle w:val="Heading3"/>
        <w:spacing w:before="120"/>
      </w:pPr>
      <w:bookmarkStart w:id="11" w:name="_bookmark7"/>
      <w:bookmarkEnd w:id="11"/>
      <w:r>
        <w:lastRenderedPageBreak/>
        <w:t xml:space="preserve">4.4.3 </w:t>
      </w:r>
      <w:r w:rsidR="00603DEC" w:rsidRPr="00382D02">
        <w:t>Australian Non</w:t>
      </w:r>
      <w:r w:rsidR="00603DEC" w:rsidRPr="00382D02">
        <w:rPr>
          <w:rFonts w:ascii="Cambria Math" w:hAnsi="Cambria Math" w:cs="Cambria Math"/>
        </w:rPr>
        <w:t>‑</w:t>
      </w:r>
      <w:r w:rsidR="00603DEC" w:rsidRPr="00382D02">
        <w:t>Admitted Care Classification</w:t>
      </w:r>
    </w:p>
    <w:p w14:paraId="3EF9A980" w14:textId="77777777" w:rsidR="00C415F5" w:rsidRDefault="00603DEC" w:rsidP="003932A6">
      <w:pPr>
        <w:pStyle w:val="BodyText"/>
      </w:pPr>
      <w:r>
        <w:t>IHPA is developing the new ANACC to better describe patient characteristics and the complexity of care in order to more accurately reflect the costs of non-admitted services. It will also better account for changes in care delivery as services transition to the</w:t>
      </w:r>
      <w:r w:rsidR="00382D02">
        <w:t xml:space="preserve"> </w:t>
      </w:r>
      <w:r>
        <w:t>non-admitted setting, as new electronic medical records allow for more detailed data capture and as new funding models which span multiple settings are tested.</w:t>
      </w:r>
    </w:p>
    <w:p w14:paraId="0AE862DA" w14:textId="77777777" w:rsidR="00C415F5" w:rsidRDefault="00603DEC" w:rsidP="003932A6">
      <w:pPr>
        <w:pStyle w:val="BodyText"/>
      </w:pPr>
      <w:r>
        <w:t xml:space="preserve">A national costing study is currently underway to collect non-admitted (including non-admitted subacute) activity and cost data and test a shortlist of variables and potential classification hierarchies. In addition to collecting non-admitted activity and cost data through the costing study, </w:t>
      </w:r>
      <w:r>
        <w:rPr>
          <w:spacing w:val="-3"/>
        </w:rPr>
        <w:t xml:space="preserve">IHPA </w:t>
      </w:r>
      <w:r>
        <w:t>is aiming to understand:</w:t>
      </w:r>
    </w:p>
    <w:p w14:paraId="10250663" w14:textId="77777777" w:rsidR="00C415F5" w:rsidRDefault="00603DEC" w:rsidP="00382D02">
      <w:pPr>
        <w:pStyle w:val="ListParagraph"/>
        <w:numPr>
          <w:ilvl w:val="0"/>
          <w:numId w:val="18"/>
        </w:numPr>
        <w:ind w:left="284"/>
      </w:pPr>
      <w:r>
        <w:t xml:space="preserve">The level of data collection, in particular data captured electronically in </w:t>
      </w:r>
      <w:r>
        <w:rPr>
          <w:spacing w:val="2"/>
        </w:rPr>
        <w:t xml:space="preserve">non-admitted </w:t>
      </w:r>
      <w:r>
        <w:t>services;</w:t>
      </w:r>
      <w:r>
        <w:rPr>
          <w:spacing w:val="35"/>
        </w:rPr>
        <w:t xml:space="preserve"> </w:t>
      </w:r>
      <w:r>
        <w:t>and</w:t>
      </w:r>
    </w:p>
    <w:p w14:paraId="7772B87D" w14:textId="77777777" w:rsidR="00C415F5" w:rsidRDefault="00603DEC" w:rsidP="00382D02">
      <w:pPr>
        <w:pStyle w:val="ListParagraph"/>
        <w:numPr>
          <w:ilvl w:val="0"/>
          <w:numId w:val="18"/>
        </w:numPr>
        <w:ind w:left="284"/>
      </w:pPr>
      <w:r>
        <w:t xml:space="preserve">How to improve the collection of patient variables in </w:t>
      </w:r>
      <w:r>
        <w:rPr>
          <w:spacing w:val="2"/>
        </w:rPr>
        <w:t>non-admitted</w:t>
      </w:r>
      <w:r>
        <w:t xml:space="preserve"> </w:t>
      </w:r>
      <w:r>
        <w:rPr>
          <w:spacing w:val="2"/>
        </w:rPr>
        <w:t>services.</w:t>
      </w:r>
    </w:p>
    <w:p w14:paraId="071C79EA" w14:textId="77777777" w:rsidR="00C415F5" w:rsidRDefault="00603DEC" w:rsidP="003932A6">
      <w:pPr>
        <w:pStyle w:val="BodyText"/>
      </w:pPr>
      <w:r>
        <w:t>Web-based and mobile device applications will be used to facilitate data collection, assist sites, states and territories in managing the quality of data collection, and manage the data submission process.</w:t>
      </w:r>
    </w:p>
    <w:p w14:paraId="6A7DCC10" w14:textId="77777777" w:rsidR="00C415F5" w:rsidRDefault="005470B1" w:rsidP="003932A6">
      <w:pPr>
        <w:pStyle w:val="BodyText"/>
      </w:pPr>
      <w:r>
        <w:rPr>
          <w:noProof/>
        </w:rPr>
        <w:drawing>
          <wp:anchor distT="0" distB="0" distL="114300" distR="114300" simplePos="0" relativeHeight="251657728" behindDoc="0" locked="0" layoutInCell="1" allowOverlap="1" wp14:anchorId="0614967B" wp14:editId="5EDDB25E">
            <wp:simplePos x="0" y="0"/>
            <wp:positionH relativeFrom="column">
              <wp:posOffset>3159125</wp:posOffset>
            </wp:positionH>
            <wp:positionV relativeFrom="page">
              <wp:posOffset>6430484</wp:posOffset>
            </wp:positionV>
            <wp:extent cx="240226" cy="215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226" cy="215900"/>
                    </a:xfrm>
                    <a:prstGeom prst="rect">
                      <a:avLst/>
                    </a:prstGeom>
                  </pic:spPr>
                </pic:pic>
              </a:graphicData>
            </a:graphic>
          </wp:anchor>
        </w:drawing>
      </w:r>
      <w:r w:rsidR="009E23A6">
        <w:rPr>
          <w:noProof/>
        </w:rPr>
        <w:pict w14:anchorId="7A109723">
          <v:shape id="_x0000_s1036" type="#_x0000_t202" alt="" style="position:absolute;margin-left:306.55pt;margin-top:36.65pt;width:211.7pt;height:99.55pt;z-index:-251646976;mso-wrap-style:square;mso-wrap-edited:f;mso-width-percent:0;mso-height-percent:0;mso-wrap-distance-left:0;mso-wrap-distance-right:0;mso-wrap-distance-bottom:11.35pt;mso-position-horizontal-relative:page;mso-position-vertical-relative:text;mso-width-percent:0;mso-height-percent:0;v-text-anchor:top" filled="f" strokecolor="#5f2f7e [3208]">
            <v:textbox style="mso-next-textbox:#_x0000_s1036" inset="0,0,0,0">
              <w:txbxContent>
                <w:p w14:paraId="305AF6D2" w14:textId="77777777" w:rsidR="005907C8" w:rsidRPr="00693365" w:rsidRDefault="005907C8" w:rsidP="005470B1">
                  <w:pPr>
                    <w:pStyle w:val="Questionheading"/>
                  </w:pPr>
                  <w:bookmarkStart w:id="12" w:name="_Consultation_questions_3"/>
                  <w:bookmarkEnd w:id="12"/>
                  <w:r>
                    <w:t>Consultation questions</w:t>
                  </w:r>
                </w:p>
                <w:p w14:paraId="2CBB96CE" w14:textId="77777777" w:rsidR="005907C8" w:rsidRDefault="005907C8" w:rsidP="000000D5">
                  <w:pPr>
                    <w:pStyle w:val="ListParagraph"/>
                    <w:ind w:left="567" w:right="243"/>
                  </w:pPr>
                  <w:r w:rsidRPr="000000D5">
                    <w:t>Are there any impediments to implementing pricing using the AECC Version 1.0 for emergency departments from 1 July 2020?</w:t>
                  </w:r>
                </w:p>
              </w:txbxContent>
            </v:textbox>
            <w10:wrap type="topAndBottom" anchorx="page"/>
          </v:shape>
        </w:pict>
      </w:r>
      <w:r w:rsidR="00603DEC">
        <w:t xml:space="preserve">A public consultation on the costing study was undertaken in May </w:t>
      </w:r>
      <w:r w:rsidR="00603DEC">
        <w:rPr>
          <w:spacing w:val="-12"/>
        </w:rPr>
        <w:t xml:space="preserve">2019. </w:t>
      </w:r>
      <w:r w:rsidR="00603DEC">
        <w:rPr>
          <w:spacing w:val="-3"/>
        </w:rPr>
        <w:t xml:space="preserve">IHPA </w:t>
      </w:r>
      <w:r w:rsidR="00603DEC">
        <w:t xml:space="preserve">is currently reviewing the submissions it </w:t>
      </w:r>
      <w:proofErr w:type="gramStart"/>
      <w:r w:rsidR="00603DEC">
        <w:t>received, and</w:t>
      </w:r>
      <w:proofErr w:type="gramEnd"/>
      <w:r w:rsidR="00603DEC">
        <w:t xml:space="preserve"> will collaborate with its working groups and committees to incorporate feedback into the costing study design where</w:t>
      </w:r>
      <w:r w:rsidR="00603DEC">
        <w:rPr>
          <w:spacing w:val="-1"/>
        </w:rPr>
        <w:t xml:space="preserve"> </w:t>
      </w:r>
      <w:r w:rsidR="00603DEC">
        <w:t>appropriate.</w:t>
      </w:r>
    </w:p>
    <w:p w14:paraId="770A7BA5" w14:textId="77777777" w:rsidR="00C415F5" w:rsidRPr="00382D02" w:rsidRDefault="00603DEC" w:rsidP="00382D02">
      <w:pPr>
        <w:pStyle w:val="Heading2"/>
      </w:pPr>
      <w:r>
        <w:rPr>
          <w:spacing w:val="3"/>
        </w:rPr>
        <w:br w:type="column"/>
      </w:r>
      <w:r w:rsidR="00382D02">
        <w:rPr>
          <w:spacing w:val="3"/>
        </w:rPr>
        <w:t xml:space="preserve">4.5 </w:t>
      </w:r>
      <w:r w:rsidRPr="00382D02">
        <w:t>Emergency care</w:t>
      </w:r>
    </w:p>
    <w:p w14:paraId="6836501E" w14:textId="77777777" w:rsidR="00C415F5" w:rsidRDefault="00603DEC" w:rsidP="003932A6">
      <w:pPr>
        <w:pStyle w:val="BodyText"/>
      </w:pPr>
      <w:r>
        <w:rPr>
          <w:spacing w:val="-3"/>
        </w:rPr>
        <w:t xml:space="preserve">For </w:t>
      </w:r>
      <w:r>
        <w:rPr>
          <w:spacing w:val="-6"/>
        </w:rPr>
        <w:t xml:space="preserve">NEP19, </w:t>
      </w:r>
      <w:r>
        <w:rPr>
          <w:spacing w:val="-3"/>
        </w:rPr>
        <w:t xml:space="preserve">IHPA </w:t>
      </w:r>
      <w:r>
        <w:t xml:space="preserve">used Urgency Related Groups (URGs) to classify presentations to emergency departments and Urgency Disposition Groups (UDGs) for presentations to emergency services. In </w:t>
      </w:r>
      <w:r>
        <w:rPr>
          <w:spacing w:val="-11"/>
        </w:rPr>
        <w:t xml:space="preserve">2015, </w:t>
      </w:r>
      <w:r>
        <w:rPr>
          <w:spacing w:val="-3"/>
        </w:rPr>
        <w:t xml:space="preserve">IHPA </w:t>
      </w:r>
      <w:r>
        <w:t xml:space="preserve">commenced </w:t>
      </w:r>
      <w:r>
        <w:rPr>
          <w:spacing w:val="-4"/>
        </w:rPr>
        <w:t xml:space="preserve">work </w:t>
      </w:r>
      <w:r>
        <w:t>on the development of the Australian Emergency</w:t>
      </w:r>
      <w:r>
        <w:rPr>
          <w:spacing w:val="-13"/>
        </w:rPr>
        <w:t xml:space="preserve"> </w:t>
      </w:r>
      <w:r>
        <w:t>Care</w:t>
      </w:r>
      <w:r w:rsidR="00382D02">
        <w:t xml:space="preserve"> </w:t>
      </w:r>
      <w:r>
        <w:t xml:space="preserve">Classification (AECC) to provide a new classification </w:t>
      </w:r>
      <w:r>
        <w:rPr>
          <w:spacing w:val="-5"/>
        </w:rPr>
        <w:t xml:space="preserve">with </w:t>
      </w:r>
      <w:r>
        <w:t xml:space="preserve">a stronger emphasis on patient factors, such as </w:t>
      </w:r>
      <w:r>
        <w:rPr>
          <w:spacing w:val="-3"/>
        </w:rPr>
        <w:t xml:space="preserve">diagnosis, </w:t>
      </w:r>
      <w:r>
        <w:t>compared to the current focus on triage category.</w:t>
      </w:r>
    </w:p>
    <w:p w14:paraId="06AC6D63" w14:textId="77777777" w:rsidR="00C415F5" w:rsidRDefault="00603DEC" w:rsidP="003932A6">
      <w:pPr>
        <w:pStyle w:val="BodyText"/>
      </w:pPr>
      <w:r>
        <w:t xml:space="preserve">The application of the diagnosis-based AECC to public hospital emergency services remains under consideration. Emergency services are usually located in small rural and remote hospitals and collect limited patient information. IHPA is working with states and territories to determine whether emergency services could collect a subset of diagnosis data using the </w:t>
      </w:r>
      <w:hyperlink r:id="rId55">
        <w:r w:rsidRPr="00734D00">
          <w:rPr>
            <w:color w:val="008F54"/>
            <w:u w:val="single"/>
          </w:rPr>
          <w:t>Emergency Department Principal</w:t>
        </w:r>
      </w:hyperlink>
      <w:r w:rsidRPr="00734D00">
        <w:rPr>
          <w:color w:val="008F54"/>
          <w:u w:val="single"/>
        </w:rPr>
        <w:t xml:space="preserve"> </w:t>
      </w:r>
      <w:hyperlink r:id="rId56">
        <w:r>
          <w:rPr>
            <w:color w:val="008F54"/>
            <w:u w:val="single" w:color="008F54"/>
          </w:rPr>
          <w:t>Diagnosis Short List</w:t>
        </w:r>
      </w:hyperlink>
      <w:r>
        <w:rPr>
          <w:color w:val="008F54"/>
        </w:rPr>
        <w:t xml:space="preserve"> </w:t>
      </w:r>
      <w:r>
        <w:t>to support implementation of the AECC for these services.</w:t>
      </w:r>
    </w:p>
    <w:p w14:paraId="1FED2451" w14:textId="77777777" w:rsidR="00C415F5" w:rsidRPr="00737171" w:rsidRDefault="00737171" w:rsidP="00737171">
      <w:pPr>
        <w:pStyle w:val="Heading3"/>
      </w:pPr>
      <w:r>
        <w:t xml:space="preserve">4.5.1 </w:t>
      </w:r>
      <w:r w:rsidR="00603DEC" w:rsidRPr="00737171">
        <w:t>Pricing for emergency care</w:t>
      </w:r>
    </w:p>
    <w:p w14:paraId="6796F77D" w14:textId="77777777" w:rsidR="00C415F5" w:rsidRDefault="00603DEC" w:rsidP="003932A6">
      <w:pPr>
        <w:pStyle w:val="BodyText"/>
      </w:pPr>
      <w:r>
        <w:t xml:space="preserve">A quality assurance process was undertaken earlier this year to check and validate the AECC Version </w:t>
      </w:r>
      <w:r>
        <w:rPr>
          <w:w w:val="40"/>
        </w:rPr>
        <w:t>1</w:t>
      </w:r>
      <w:r>
        <w:t>.0, with a view to pricing emergency departments using the AECC for NEP20. Prior to implementation, IHPA will work with stakeholders to identify any barriers to pricing emergency departments using the AECC.</w:t>
      </w:r>
    </w:p>
    <w:p w14:paraId="25A15BDD" w14:textId="77777777" w:rsidR="00C415F5" w:rsidRDefault="00C415F5">
      <w:pPr>
        <w:spacing w:line="256" w:lineRule="auto"/>
        <w:sectPr w:rsidR="00C415F5" w:rsidSect="00734D00">
          <w:headerReference w:type="default" r:id="rId57"/>
          <w:pgSz w:w="11910" w:h="16840"/>
          <w:pgMar w:top="1440" w:right="1440" w:bottom="1440" w:left="1440" w:header="0" w:footer="656" w:gutter="0"/>
          <w:cols w:num="2" w:space="340"/>
        </w:sectPr>
      </w:pPr>
    </w:p>
    <w:p w14:paraId="3A4E04E1" w14:textId="77777777" w:rsidR="00C415F5" w:rsidRPr="00842554" w:rsidRDefault="00842554" w:rsidP="00842554">
      <w:pPr>
        <w:pStyle w:val="Heading2"/>
      </w:pPr>
      <w:r>
        <w:lastRenderedPageBreak/>
        <w:t xml:space="preserve">4.6 </w:t>
      </w:r>
      <w:r w:rsidR="00603DEC" w:rsidRPr="00842554">
        <w:t>Teaching, training and research</w:t>
      </w:r>
    </w:p>
    <w:p w14:paraId="5E1DEC2D" w14:textId="77777777" w:rsidR="00C415F5" w:rsidRDefault="00603DEC" w:rsidP="003932A6">
      <w:pPr>
        <w:pStyle w:val="BodyText"/>
      </w:pPr>
      <w:r>
        <w:t xml:space="preserve">Teaching, training and research activities represent an important role of the public hospital system alongside the provision of care to patients. However, the components required for ABF are not currently available to enable these activities to be priced. As a result, these activities are currently block funded, except where teaching and training is delivered in conjunction with patient care (embedded teaching and training), such as ward </w:t>
      </w:r>
      <w:r>
        <w:rPr>
          <w:spacing w:val="-4"/>
        </w:rPr>
        <w:t xml:space="preserve">rounds. These </w:t>
      </w:r>
      <w:r>
        <w:t>costs are reported as part of routine care and the costs are reflected in the ABF price.</w:t>
      </w:r>
    </w:p>
    <w:p w14:paraId="3CFA5C48" w14:textId="77777777" w:rsidR="00C415F5" w:rsidRDefault="00603DEC" w:rsidP="003932A6">
      <w:pPr>
        <w:pStyle w:val="BodyText"/>
      </w:pPr>
      <w:r>
        <w:rPr>
          <w:spacing w:val="-3"/>
        </w:rPr>
        <w:t xml:space="preserve">IHPA </w:t>
      </w:r>
      <w:r>
        <w:t>has developed a classification for teaching and training, however determining the feasibility of ABF for research has not been straightforward due</w:t>
      </w:r>
      <w:r>
        <w:rPr>
          <w:spacing w:val="-11"/>
        </w:rPr>
        <w:t xml:space="preserve"> </w:t>
      </w:r>
      <w:r>
        <w:rPr>
          <w:spacing w:val="-8"/>
        </w:rPr>
        <w:t>to</w:t>
      </w:r>
      <w:r w:rsidR="00842554">
        <w:rPr>
          <w:spacing w:val="-8"/>
        </w:rPr>
        <w:t xml:space="preserve"> </w:t>
      </w:r>
      <w:r>
        <w:t xml:space="preserve">an absence of available research data. </w:t>
      </w:r>
      <w:r>
        <w:rPr>
          <w:spacing w:val="-6"/>
        </w:rPr>
        <w:t xml:space="preserve">The </w:t>
      </w:r>
      <w:r>
        <w:t>teaching, training</w:t>
      </w:r>
      <w:r>
        <w:rPr>
          <w:spacing w:val="-10"/>
        </w:rPr>
        <w:t xml:space="preserve"> </w:t>
      </w:r>
      <w:r>
        <w:t>and</w:t>
      </w:r>
      <w:r>
        <w:rPr>
          <w:spacing w:val="-9"/>
        </w:rPr>
        <w:t xml:space="preserve"> </w:t>
      </w:r>
      <w:r>
        <w:t>research</w:t>
      </w:r>
      <w:r>
        <w:rPr>
          <w:spacing w:val="-9"/>
        </w:rPr>
        <w:t xml:space="preserve"> </w:t>
      </w:r>
      <w:r>
        <w:t>costing</w:t>
      </w:r>
      <w:r>
        <w:rPr>
          <w:spacing w:val="-9"/>
        </w:rPr>
        <w:t xml:space="preserve"> </w:t>
      </w:r>
      <w:r>
        <w:t>study</w:t>
      </w:r>
      <w:r>
        <w:rPr>
          <w:spacing w:val="-9"/>
        </w:rPr>
        <w:t xml:space="preserve"> </w:t>
      </w:r>
      <w:r>
        <w:t>in</w:t>
      </w:r>
      <w:r>
        <w:rPr>
          <w:spacing w:val="-9"/>
        </w:rPr>
        <w:t xml:space="preserve"> </w:t>
      </w:r>
      <w:r>
        <w:rPr>
          <w:spacing w:val="-7"/>
        </w:rPr>
        <w:t>2015–16</w:t>
      </w:r>
      <w:r>
        <w:rPr>
          <w:spacing w:val="-10"/>
        </w:rPr>
        <w:t xml:space="preserve"> </w:t>
      </w:r>
      <w:r>
        <w:t>did</w:t>
      </w:r>
      <w:r>
        <w:rPr>
          <w:spacing w:val="-9"/>
        </w:rPr>
        <w:t xml:space="preserve"> </w:t>
      </w:r>
      <w:r>
        <w:rPr>
          <w:spacing w:val="-6"/>
        </w:rPr>
        <w:t xml:space="preserve">not </w:t>
      </w:r>
      <w:r>
        <w:t>collect sufficient information on research capability to support classification development.</w:t>
      </w:r>
    </w:p>
    <w:p w14:paraId="6BB2F924" w14:textId="77777777" w:rsidR="00C415F5" w:rsidRDefault="00603DEC">
      <w:pPr>
        <w:pStyle w:val="Heading3"/>
        <w:spacing w:line="228" w:lineRule="auto"/>
        <w:ind w:right="585"/>
      </w:pPr>
      <w:r>
        <w:rPr>
          <w:color w:val="003E2D"/>
        </w:rPr>
        <w:t>4.6.1</w:t>
      </w:r>
      <w:r>
        <w:rPr>
          <w:color w:val="003E2D"/>
          <w:spacing w:val="-42"/>
        </w:rPr>
        <w:t xml:space="preserve"> </w:t>
      </w:r>
      <w:r>
        <w:rPr>
          <w:color w:val="003E2D"/>
        </w:rPr>
        <w:t>Australian</w:t>
      </w:r>
      <w:r>
        <w:rPr>
          <w:color w:val="003E2D"/>
          <w:spacing w:val="-42"/>
        </w:rPr>
        <w:t xml:space="preserve"> </w:t>
      </w:r>
      <w:r>
        <w:rPr>
          <w:color w:val="003E2D"/>
        </w:rPr>
        <w:t>Teaching</w:t>
      </w:r>
      <w:r>
        <w:rPr>
          <w:color w:val="003E2D"/>
          <w:spacing w:val="-42"/>
        </w:rPr>
        <w:t xml:space="preserve"> </w:t>
      </w:r>
      <w:r>
        <w:rPr>
          <w:color w:val="003E2D"/>
        </w:rPr>
        <w:t>and Training</w:t>
      </w:r>
      <w:r>
        <w:rPr>
          <w:color w:val="003E2D"/>
          <w:spacing w:val="-27"/>
        </w:rPr>
        <w:t xml:space="preserve"> </w:t>
      </w:r>
      <w:r>
        <w:rPr>
          <w:color w:val="003E2D"/>
        </w:rPr>
        <w:t>Classification</w:t>
      </w:r>
    </w:p>
    <w:p w14:paraId="4C0CC2C1" w14:textId="77777777" w:rsidR="00C415F5" w:rsidRDefault="00603DEC" w:rsidP="003932A6">
      <w:pPr>
        <w:pStyle w:val="BodyText"/>
      </w:pPr>
      <w:r>
        <w:t xml:space="preserve">Since completing a costing study in </w:t>
      </w:r>
      <w:r>
        <w:rPr>
          <w:spacing w:val="-6"/>
        </w:rPr>
        <w:t xml:space="preserve">2015–16, </w:t>
      </w:r>
      <w:r>
        <w:rPr>
          <w:spacing w:val="-3"/>
        </w:rPr>
        <w:t xml:space="preserve">IHPA </w:t>
      </w:r>
      <w:r>
        <w:rPr>
          <w:spacing w:val="-6"/>
        </w:rPr>
        <w:t xml:space="preserve">has </w:t>
      </w:r>
      <w:r>
        <w:t xml:space="preserve">undertaken work to develop the first version of the Australian Teaching and </w:t>
      </w:r>
      <w:r>
        <w:rPr>
          <w:spacing w:val="-3"/>
        </w:rPr>
        <w:t xml:space="preserve">Training </w:t>
      </w:r>
      <w:r>
        <w:t xml:space="preserve">Classification (ATTC). </w:t>
      </w:r>
      <w:r>
        <w:rPr>
          <w:spacing w:val="-6"/>
        </w:rPr>
        <w:t xml:space="preserve">The </w:t>
      </w:r>
      <w:r>
        <w:rPr>
          <w:spacing w:val="-3"/>
        </w:rPr>
        <w:t xml:space="preserve">ATTC </w:t>
      </w:r>
      <w:r>
        <w:t>will improve reporting of hospital-based teaching and training activity and in the future improve the transparency of funding.</w:t>
      </w:r>
    </w:p>
    <w:p w14:paraId="20983683" w14:textId="77777777" w:rsidR="00C415F5" w:rsidRDefault="00603DEC" w:rsidP="003932A6">
      <w:pPr>
        <w:pStyle w:val="BodyText"/>
      </w:pPr>
      <w:r>
        <w:rPr>
          <w:spacing w:val="-6"/>
        </w:rPr>
        <w:t xml:space="preserve">The </w:t>
      </w:r>
      <w:r>
        <w:t xml:space="preserve">availability of activity and cost data remains a key challenge for implementing the </w:t>
      </w:r>
      <w:r>
        <w:rPr>
          <w:spacing w:val="-3"/>
        </w:rPr>
        <w:t xml:space="preserve">ATTC. </w:t>
      </w:r>
      <w:r>
        <w:t xml:space="preserve">Teaching and training activity </w:t>
      </w:r>
      <w:proofErr w:type="gramStart"/>
      <w:r>
        <w:t>has</w:t>
      </w:r>
      <w:proofErr w:type="gramEnd"/>
      <w:r>
        <w:t xml:space="preserve"> been collected on a best </w:t>
      </w:r>
      <w:proofErr w:type="spellStart"/>
      <w:r>
        <w:rPr>
          <w:spacing w:val="-3"/>
        </w:rPr>
        <w:t>endeavours</w:t>
      </w:r>
      <w:proofErr w:type="spellEnd"/>
      <w:r>
        <w:rPr>
          <w:spacing w:val="-3"/>
        </w:rPr>
        <w:t xml:space="preserve"> </w:t>
      </w:r>
      <w:r>
        <w:t xml:space="preserve">basis since </w:t>
      </w:r>
      <w:r>
        <w:rPr>
          <w:spacing w:val="-7"/>
        </w:rPr>
        <w:t xml:space="preserve">2014–15, </w:t>
      </w:r>
      <w:r>
        <w:t xml:space="preserve">with research data included in the data set from </w:t>
      </w:r>
      <w:r>
        <w:rPr>
          <w:spacing w:val="-8"/>
        </w:rPr>
        <w:t xml:space="preserve">2016–17. </w:t>
      </w:r>
      <w:r>
        <w:rPr>
          <w:spacing w:val="-5"/>
        </w:rPr>
        <w:t xml:space="preserve">There </w:t>
      </w:r>
      <w:r>
        <w:t xml:space="preserve">has been a substantial increase in data reported by states and territories over this time; however, teaching and training activity and cost data are still limited and ABF for teaching and training cannot progress without commitment from states and territories. </w:t>
      </w:r>
      <w:r>
        <w:rPr>
          <w:spacing w:val="-3"/>
        </w:rPr>
        <w:t xml:space="preserve">IHPA </w:t>
      </w:r>
      <w:r>
        <w:t>will continue to work with</w:t>
      </w:r>
      <w:r>
        <w:rPr>
          <w:spacing w:val="4"/>
        </w:rPr>
        <w:t xml:space="preserve"> </w:t>
      </w:r>
      <w:r>
        <w:t>states</w:t>
      </w:r>
      <w:r w:rsidR="00842554">
        <w:t xml:space="preserve"> </w:t>
      </w:r>
      <w:r>
        <w:t>and territories on improving the data collection.</w:t>
      </w:r>
    </w:p>
    <w:p w14:paraId="0A70159C" w14:textId="77777777" w:rsidR="00C415F5" w:rsidRDefault="00603DEC" w:rsidP="003932A6">
      <w:pPr>
        <w:pStyle w:val="BodyText"/>
      </w:pPr>
      <w:r>
        <w:t xml:space="preserve">In 2020–21, </w:t>
      </w:r>
      <w:r>
        <w:rPr>
          <w:spacing w:val="-3"/>
        </w:rPr>
        <w:t xml:space="preserve">IHPA </w:t>
      </w:r>
      <w:r>
        <w:t xml:space="preserve">will determine block funding </w:t>
      </w:r>
      <w:r>
        <w:rPr>
          <w:spacing w:val="-3"/>
        </w:rPr>
        <w:t xml:space="preserve">amounts </w:t>
      </w:r>
      <w:r>
        <w:t>for teaching, training and research activity based on states and territories’ advice.</w:t>
      </w:r>
    </w:p>
    <w:p w14:paraId="08F9C93B" w14:textId="77777777" w:rsidR="00C415F5" w:rsidRPr="00842554" w:rsidRDefault="00603DEC" w:rsidP="00842554">
      <w:pPr>
        <w:pStyle w:val="Heading2"/>
      </w:pPr>
      <w:r>
        <w:rPr>
          <w:spacing w:val="-3"/>
        </w:rPr>
        <w:br w:type="column"/>
      </w:r>
      <w:r w:rsidR="00842554">
        <w:rPr>
          <w:spacing w:val="-3"/>
        </w:rPr>
        <w:t xml:space="preserve">4.7 </w:t>
      </w:r>
      <w:r w:rsidRPr="00842554">
        <w:t>Mental health care</w:t>
      </w:r>
    </w:p>
    <w:p w14:paraId="71A9A1D1" w14:textId="77777777" w:rsidR="00C415F5" w:rsidRDefault="00603DEC" w:rsidP="003932A6">
      <w:pPr>
        <w:pStyle w:val="BodyText"/>
      </w:pPr>
      <w:r>
        <w:t>IHPA has developed the Australian Mental Health Care Classification (AMHCC) to classify and price mental health services across admitted and non-admitted settings. The classification provides a clinically meaningful way of classifying mental health care to better predict the actual cost of delivering mental health services than the previous AR-DRG classification.</w:t>
      </w:r>
    </w:p>
    <w:p w14:paraId="13B1B069" w14:textId="77777777" w:rsidR="00C415F5" w:rsidRDefault="00842554" w:rsidP="00842554">
      <w:pPr>
        <w:pStyle w:val="Heading3"/>
      </w:pPr>
      <w:r>
        <w:rPr>
          <w:color w:val="003E2D"/>
        </w:rPr>
        <w:t xml:space="preserve">4.7.1 </w:t>
      </w:r>
      <w:r w:rsidR="00603DEC">
        <w:rPr>
          <w:color w:val="003E2D"/>
        </w:rPr>
        <w:t>Refining</w:t>
      </w:r>
      <w:r w:rsidR="00603DEC">
        <w:rPr>
          <w:color w:val="003E2D"/>
          <w:spacing w:val="-52"/>
        </w:rPr>
        <w:t xml:space="preserve"> </w:t>
      </w:r>
      <w:r w:rsidR="00603DEC">
        <w:rPr>
          <w:color w:val="003E2D"/>
        </w:rPr>
        <w:t>mental</w:t>
      </w:r>
      <w:r w:rsidR="00603DEC">
        <w:rPr>
          <w:color w:val="003E2D"/>
          <w:spacing w:val="-52"/>
        </w:rPr>
        <w:t xml:space="preserve"> </w:t>
      </w:r>
      <w:r w:rsidR="00603DEC">
        <w:rPr>
          <w:color w:val="003E2D"/>
        </w:rPr>
        <w:t xml:space="preserve">health </w:t>
      </w:r>
      <w:r w:rsidR="00603DEC">
        <w:rPr>
          <w:color w:val="003E2D"/>
          <w:spacing w:val="-3"/>
        </w:rPr>
        <w:t xml:space="preserve">‘phase </w:t>
      </w:r>
      <w:r w:rsidR="00603DEC">
        <w:rPr>
          <w:color w:val="003E2D"/>
        </w:rPr>
        <w:t>of</w:t>
      </w:r>
      <w:r w:rsidR="00603DEC">
        <w:rPr>
          <w:color w:val="003E2D"/>
          <w:spacing w:val="-40"/>
        </w:rPr>
        <w:t xml:space="preserve"> </w:t>
      </w:r>
      <w:r w:rsidR="00603DEC">
        <w:rPr>
          <w:color w:val="003E2D"/>
        </w:rPr>
        <w:t>care’</w:t>
      </w:r>
    </w:p>
    <w:p w14:paraId="22C96BC3" w14:textId="77777777" w:rsidR="00C415F5" w:rsidRDefault="00603DEC" w:rsidP="003932A6">
      <w:pPr>
        <w:pStyle w:val="BodyText"/>
      </w:pPr>
      <w:r>
        <w:t xml:space="preserve">A new clinician-rated measure of mental health ‘phase of care’ was introduced in </w:t>
      </w:r>
      <w:r>
        <w:rPr>
          <w:spacing w:val="-11"/>
        </w:rPr>
        <w:t xml:space="preserve">2016 </w:t>
      </w:r>
      <w:r>
        <w:t>to support the classification. A mental health ‘phase of care’ is</w:t>
      </w:r>
      <w:r>
        <w:rPr>
          <w:spacing w:val="-8"/>
        </w:rPr>
        <w:t xml:space="preserve"> </w:t>
      </w:r>
      <w:r>
        <w:rPr>
          <w:spacing w:val="-17"/>
        </w:rPr>
        <w:t>a</w:t>
      </w:r>
      <w:r w:rsidR="00247ED8">
        <w:rPr>
          <w:spacing w:val="-17"/>
        </w:rPr>
        <w:t xml:space="preserve"> </w:t>
      </w:r>
      <w:r>
        <w:t>prospective description of the primary goal of care for a consumer at a point in time.</w:t>
      </w:r>
    </w:p>
    <w:p w14:paraId="2437D37C" w14:textId="77777777" w:rsidR="00C415F5" w:rsidRDefault="00603DEC" w:rsidP="003932A6">
      <w:pPr>
        <w:pStyle w:val="BodyText"/>
      </w:pPr>
      <w:r>
        <w:t xml:space="preserve">IHPA undertook an </w:t>
      </w:r>
      <w:hyperlink r:id="rId58">
        <w:r>
          <w:rPr>
            <w:color w:val="008F54"/>
            <w:u w:val="single" w:color="008F54"/>
          </w:rPr>
          <w:t>inter-rater reliability study</w:t>
        </w:r>
      </w:hyperlink>
      <w:r>
        <w:rPr>
          <w:color w:val="008F54"/>
        </w:rPr>
        <w:t xml:space="preserve"> </w:t>
      </w:r>
      <w:r>
        <w:t>in 2016 to test the rate of agreement amongst clinicians in assigning the concept of ‘phase of care’ to people with similar mental health care needs. The study’s report recommended a comprehensive review and refinement of the ‘phase of care’ instrument.</w:t>
      </w:r>
    </w:p>
    <w:p w14:paraId="0CB90601" w14:textId="77777777" w:rsidR="00C415F5" w:rsidRDefault="00603DEC" w:rsidP="003932A6">
      <w:pPr>
        <w:pStyle w:val="BodyText"/>
      </w:pPr>
      <w:r>
        <w:t xml:space="preserve">Subsequently, </w:t>
      </w:r>
      <w:r>
        <w:rPr>
          <w:spacing w:val="-3"/>
        </w:rPr>
        <w:t xml:space="preserve">IHPA </w:t>
      </w:r>
      <w:r>
        <w:t xml:space="preserve">engaged a number of mental </w:t>
      </w:r>
      <w:r>
        <w:rPr>
          <w:spacing w:val="-4"/>
        </w:rPr>
        <w:t xml:space="preserve">health </w:t>
      </w:r>
      <w:r>
        <w:t xml:space="preserve">clinicians to undertake a clinical refinement project to review the ‘phase of care’ instrument. </w:t>
      </w:r>
      <w:r>
        <w:rPr>
          <w:spacing w:val="-3"/>
        </w:rPr>
        <w:t xml:space="preserve">IHPA </w:t>
      </w:r>
      <w:r>
        <w:t xml:space="preserve">will not be making significant changes to the ‘phase of care’ model at this stage. Outcomes of the project to review and refine the mental health ‘phase of care’ instrument will be provided to stakeholders in </w:t>
      </w:r>
      <w:r>
        <w:rPr>
          <w:spacing w:val="-12"/>
        </w:rPr>
        <w:t>2019.</w:t>
      </w:r>
    </w:p>
    <w:p w14:paraId="3128128E" w14:textId="77777777" w:rsidR="00C415F5" w:rsidRDefault="00C415F5">
      <w:pPr>
        <w:spacing w:line="256" w:lineRule="auto"/>
        <w:sectPr w:rsidR="00C415F5" w:rsidSect="007C1C22">
          <w:headerReference w:type="default" r:id="rId59"/>
          <w:pgSz w:w="11910" w:h="16840"/>
          <w:pgMar w:top="1440" w:right="1440" w:bottom="1440" w:left="1440" w:header="0" w:footer="656" w:gutter="0"/>
          <w:cols w:num="2" w:space="340"/>
        </w:sectPr>
      </w:pPr>
    </w:p>
    <w:p w14:paraId="695CA248" w14:textId="77777777" w:rsidR="007C1C22" w:rsidRDefault="007C1C22" w:rsidP="00CA0EA6">
      <w:pPr>
        <w:pStyle w:val="Heading3"/>
        <w:sectPr w:rsidR="007C1C22" w:rsidSect="00637B6E">
          <w:headerReference w:type="default" r:id="rId60"/>
          <w:footerReference w:type="default" r:id="rId61"/>
          <w:type w:val="continuous"/>
          <w:pgSz w:w="11910" w:h="16840"/>
          <w:pgMar w:top="1440" w:right="1440" w:bottom="1440" w:left="1440" w:header="0" w:footer="656" w:gutter="0"/>
          <w:cols w:num="2" w:space="720"/>
        </w:sectPr>
      </w:pPr>
      <w:bookmarkStart w:id="13" w:name="_bookmark8"/>
      <w:bookmarkEnd w:id="13"/>
    </w:p>
    <w:p w14:paraId="21CA960D" w14:textId="77777777" w:rsidR="00C415F5" w:rsidRPr="00CA0EA6" w:rsidRDefault="005D0AA1" w:rsidP="00CA0EA6">
      <w:pPr>
        <w:pStyle w:val="Heading3"/>
      </w:pPr>
      <w:r>
        <w:rPr>
          <w:noProof/>
        </w:rPr>
        <w:lastRenderedPageBreak/>
        <w:drawing>
          <wp:anchor distT="0" distB="0" distL="114300" distR="114300" simplePos="0" relativeHeight="251659776" behindDoc="0" locked="0" layoutInCell="1" allowOverlap="1" wp14:anchorId="6983157F" wp14:editId="64DC85AC">
            <wp:simplePos x="0" y="0"/>
            <wp:positionH relativeFrom="column">
              <wp:posOffset>3145629</wp:posOffset>
            </wp:positionH>
            <wp:positionV relativeFrom="page">
              <wp:posOffset>1280795</wp:posOffset>
            </wp:positionV>
            <wp:extent cx="240226" cy="215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226" cy="215900"/>
                    </a:xfrm>
                    <a:prstGeom prst="rect">
                      <a:avLst/>
                    </a:prstGeom>
                  </pic:spPr>
                </pic:pic>
              </a:graphicData>
            </a:graphic>
          </wp:anchor>
        </w:drawing>
      </w:r>
      <w:r w:rsidR="009E23A6">
        <w:rPr>
          <w:noProof/>
          <w:spacing w:val="-3"/>
        </w:rPr>
        <w:pict w14:anchorId="7B00FDD5">
          <v:shape id="_x0000_s1035" type="#_x0000_t202" alt="" style="position:absolute;margin-left:306.15pt;margin-top:16.1pt;width:211.7pt;height:99.55pt;z-index:-251645952;mso-wrap-style:square;mso-wrap-edited:f;mso-width-percent:0;mso-height-percent:0;mso-wrap-distance-left:0;mso-wrap-distance-right:0;mso-wrap-distance-bottom:11.35pt;mso-position-horizontal-relative:page;mso-position-vertical-relative:text;mso-width-percent:0;mso-height-percent:0;v-text-anchor:top" filled="f" strokecolor="#5f2f7e [3208]">
            <v:textbox style="mso-next-textbox:#_x0000_s1035" inset="0,0,0,0">
              <w:txbxContent>
                <w:p w14:paraId="7AE164BD" w14:textId="77777777" w:rsidR="005907C8" w:rsidRPr="00693365" w:rsidRDefault="005907C8" w:rsidP="005D0AA1">
                  <w:pPr>
                    <w:pStyle w:val="Questionheading"/>
                  </w:pPr>
                  <w:bookmarkStart w:id="14" w:name="_Consultation_questions_4"/>
                  <w:bookmarkEnd w:id="14"/>
                  <w:r>
                    <w:t>Consultation questions</w:t>
                  </w:r>
                </w:p>
                <w:p w14:paraId="33E28FB6" w14:textId="77777777" w:rsidR="005907C8" w:rsidRDefault="005907C8" w:rsidP="00CA0EA6">
                  <w:pPr>
                    <w:pStyle w:val="ListParagraph"/>
                    <w:ind w:left="567" w:right="243"/>
                  </w:pPr>
                  <w:r w:rsidRPr="00CA0EA6">
                    <w:t>Are there any impediments to implementing pricing for mental health services using AMHCC Version 1.0 from 1 July 2020?</w:t>
                  </w:r>
                </w:p>
              </w:txbxContent>
            </v:textbox>
            <w10:wrap type="topAndBottom" anchorx="page"/>
          </v:shape>
        </w:pict>
      </w:r>
      <w:r w:rsidR="00CA0EA6">
        <w:t xml:space="preserve">4.7.2 </w:t>
      </w:r>
      <w:r w:rsidR="00603DEC" w:rsidRPr="00CA0EA6">
        <w:t>Pricing of mental health care</w:t>
      </w:r>
    </w:p>
    <w:p w14:paraId="73EB27CB" w14:textId="77777777" w:rsidR="00C415F5" w:rsidRDefault="00603DEC" w:rsidP="00CA0EA6">
      <w:pPr>
        <w:pStyle w:val="BodyText"/>
      </w:pPr>
      <w:r>
        <w:t xml:space="preserve">IHPA is committed to </w:t>
      </w:r>
      <w:proofErr w:type="spellStart"/>
      <w:r>
        <w:t>prioritising</w:t>
      </w:r>
      <w:proofErr w:type="spellEnd"/>
      <w:r>
        <w:t xml:space="preserve"> the pricing of mental health services using AMHCC. IHPA intends to commence pricing mental health services in NEP20. Shadow pricing will be conducted using the existing AMHCC Version </w:t>
      </w:r>
      <w:r w:rsidRPr="007C1C22">
        <w:t>1.0</w:t>
      </w:r>
      <w:r>
        <w:t>.</w:t>
      </w:r>
    </w:p>
    <w:p w14:paraId="1F6283FE" w14:textId="77777777" w:rsidR="00C415F5" w:rsidRDefault="00603DEC" w:rsidP="00CA0EA6">
      <w:pPr>
        <w:pStyle w:val="BodyText"/>
      </w:pPr>
      <w:r>
        <w:rPr>
          <w:spacing w:val="-3"/>
        </w:rPr>
        <w:t xml:space="preserve">IHPA </w:t>
      </w:r>
      <w:r>
        <w:t>will continue working with states and territories to link the Activity Based Funding: Mental Health</w:t>
      </w:r>
      <w:r>
        <w:rPr>
          <w:spacing w:val="3"/>
        </w:rPr>
        <w:t xml:space="preserve"> </w:t>
      </w:r>
      <w:r>
        <w:rPr>
          <w:spacing w:val="-8"/>
        </w:rPr>
        <w:t>Care</w:t>
      </w:r>
      <w:r w:rsidR="00CA0EA6">
        <w:rPr>
          <w:spacing w:val="-8"/>
        </w:rPr>
        <w:t xml:space="preserve"> </w:t>
      </w:r>
      <w:r>
        <w:t xml:space="preserve">National Best </w:t>
      </w:r>
      <w:proofErr w:type="spellStart"/>
      <w:r>
        <w:t>Endeavours</w:t>
      </w:r>
      <w:proofErr w:type="spellEnd"/>
      <w:r>
        <w:t xml:space="preserve"> Data Sets (NBEDS) </w:t>
      </w:r>
      <w:r>
        <w:rPr>
          <w:spacing w:val="-7"/>
        </w:rPr>
        <w:t xml:space="preserve">2018–19 </w:t>
      </w:r>
      <w:r>
        <w:t xml:space="preserve">to enable pricing. </w:t>
      </w:r>
      <w:r>
        <w:rPr>
          <w:spacing w:val="-3"/>
        </w:rPr>
        <w:t xml:space="preserve">IHPA </w:t>
      </w:r>
      <w:r>
        <w:t xml:space="preserve">is consulting stakeholders through its Technical Advisory Committee </w:t>
      </w:r>
      <w:r>
        <w:rPr>
          <w:spacing w:val="-3"/>
        </w:rPr>
        <w:t xml:space="preserve">(TAC) </w:t>
      </w:r>
      <w:r>
        <w:t xml:space="preserve">and National Hospital Cost Data Collection (NHCDC) Advisory Committee regarding the approach and will continue to work with all stakeholders to further </w:t>
      </w:r>
      <w:r>
        <w:rPr>
          <w:spacing w:val="-3"/>
        </w:rPr>
        <w:t xml:space="preserve">develop </w:t>
      </w:r>
      <w:r>
        <w:t>the pricing strategy.</w:t>
      </w:r>
    </w:p>
    <w:p w14:paraId="216E7AD2" w14:textId="77777777" w:rsidR="00C415F5" w:rsidRDefault="00603DEC" w:rsidP="00CA0EA6">
      <w:pPr>
        <w:spacing w:before="164" w:line="256" w:lineRule="auto"/>
        <w:ind w:right="143"/>
        <w:rPr>
          <w:color w:val="58595B"/>
          <w:sz w:val="19"/>
        </w:rPr>
      </w:pPr>
      <w:r>
        <w:rPr>
          <w:color w:val="58595B"/>
          <w:sz w:val="19"/>
        </w:rPr>
        <w:t xml:space="preserve">IHPA will share the results of shadow pricing and any further </w:t>
      </w:r>
      <w:proofErr w:type="gramStart"/>
      <w:r>
        <w:rPr>
          <w:color w:val="58595B"/>
          <w:sz w:val="19"/>
        </w:rPr>
        <w:t>analyses, and</w:t>
      </w:r>
      <w:proofErr w:type="gramEnd"/>
      <w:r>
        <w:rPr>
          <w:color w:val="58595B"/>
          <w:sz w:val="19"/>
        </w:rPr>
        <w:t xml:space="preserve"> seek further stakeholder feedback in next year’s Consultation Paper on the </w:t>
      </w:r>
      <w:r>
        <w:rPr>
          <w:i/>
          <w:color w:val="58595B"/>
          <w:sz w:val="19"/>
        </w:rPr>
        <w:t>Pricing Framework for Australian Public Hospital Services</w:t>
      </w:r>
      <w:r>
        <w:rPr>
          <w:color w:val="58595B"/>
          <w:sz w:val="19"/>
        </w:rPr>
        <w:t>.</w:t>
      </w:r>
    </w:p>
    <w:p w14:paraId="266A9212" w14:textId="77777777" w:rsidR="00CA0EA6" w:rsidRDefault="00CA0EA6" w:rsidP="00CA0EA6">
      <w:pPr>
        <w:spacing w:before="164" w:line="256" w:lineRule="auto"/>
        <w:ind w:right="143"/>
        <w:rPr>
          <w:sz w:val="19"/>
        </w:rPr>
      </w:pPr>
    </w:p>
    <w:p w14:paraId="617296D3" w14:textId="77777777" w:rsidR="00C415F5" w:rsidRDefault="00C415F5">
      <w:pPr>
        <w:spacing w:line="256" w:lineRule="auto"/>
        <w:rPr>
          <w:sz w:val="19"/>
        </w:rPr>
        <w:sectPr w:rsidR="00C415F5" w:rsidSect="007C1C22">
          <w:pgSz w:w="11910" w:h="16840"/>
          <w:pgMar w:top="1440" w:right="1440" w:bottom="1440" w:left="1440" w:header="0" w:footer="656" w:gutter="0"/>
          <w:cols w:num="2" w:space="720"/>
        </w:sectPr>
      </w:pPr>
    </w:p>
    <w:p w14:paraId="04111823" w14:textId="77777777" w:rsidR="00D32313" w:rsidRPr="00F83327" w:rsidRDefault="00D32313" w:rsidP="00D32313">
      <w:pPr>
        <w:pStyle w:val="Heading1"/>
        <w:spacing w:after="3600"/>
        <w:rPr>
          <w:color w:val="FFFFFF" w:themeColor="background1"/>
        </w:rPr>
      </w:pPr>
      <w:bookmarkStart w:id="15" w:name="_5_Setting_the"/>
      <w:bookmarkEnd w:id="15"/>
      <w:r w:rsidRPr="00F83327">
        <w:rPr>
          <w:noProof/>
          <w:color w:val="FFFFFF" w:themeColor="background1"/>
        </w:rPr>
        <w:lastRenderedPageBreak/>
        <w:drawing>
          <wp:anchor distT="0" distB="0" distL="114300" distR="114300" simplePos="0" relativeHeight="251632640" behindDoc="1" locked="0" layoutInCell="1" allowOverlap="1" wp14:anchorId="7016D939" wp14:editId="379861DC">
            <wp:simplePos x="0" y="0"/>
            <wp:positionH relativeFrom="margin">
              <wp:posOffset>-914399</wp:posOffset>
            </wp:positionH>
            <wp:positionV relativeFrom="page">
              <wp:posOffset>954157</wp:posOffset>
            </wp:positionV>
            <wp:extent cx="5462267" cy="3577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Pr>
          <w:color w:val="FFFFFF" w:themeColor="background1"/>
        </w:rPr>
        <w:t>5</w:t>
      </w:r>
    </w:p>
    <w:p w14:paraId="1ED7B761" w14:textId="77777777" w:rsidR="00D32313" w:rsidRDefault="00D32313" w:rsidP="00D32313">
      <w:pPr>
        <w:pStyle w:val="Heading1"/>
        <w:ind w:right="2651"/>
        <w:sectPr w:rsidR="00D32313" w:rsidSect="008613E1">
          <w:headerReference w:type="default" r:id="rId63"/>
          <w:footerReference w:type="default" r:id="rId64"/>
          <w:pgSz w:w="11910" w:h="16840"/>
          <w:pgMar w:top="3970" w:right="1440" w:bottom="1440" w:left="1440" w:header="0" w:footer="656" w:gutter="0"/>
          <w:cols w:space="720"/>
        </w:sectPr>
      </w:pPr>
      <w:r w:rsidRPr="00D32313">
        <w:t>Setting the National Efficient Price for activity based funded public hospitals</w:t>
      </w:r>
    </w:p>
    <w:p w14:paraId="54A2D4B6" w14:textId="77777777" w:rsidR="00C415F5" w:rsidRDefault="00592035" w:rsidP="00592035">
      <w:pPr>
        <w:pStyle w:val="Heading1"/>
        <w:ind w:left="1418" w:hanging="1191"/>
      </w:pPr>
      <w:r w:rsidRPr="00592035">
        <w:rPr>
          <w:noProof/>
          <w:color w:val="FFFFFF" w:themeColor="background1"/>
        </w:rPr>
        <w:lastRenderedPageBreak/>
        <w:drawing>
          <wp:anchor distT="0" distB="0" distL="114300" distR="114300" simplePos="0" relativeHeight="251647488" behindDoc="1" locked="0" layoutInCell="1" allowOverlap="1" wp14:anchorId="6BEEFC07" wp14:editId="4A4780D8">
            <wp:simplePos x="0" y="0"/>
            <wp:positionH relativeFrom="column">
              <wp:posOffset>-914400</wp:posOffset>
            </wp:positionH>
            <wp:positionV relativeFrom="page">
              <wp:posOffset>651179</wp:posOffset>
            </wp:positionV>
            <wp:extent cx="1685422" cy="9461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592035">
        <w:rPr>
          <w:color w:val="FFFFFF" w:themeColor="background1"/>
        </w:rPr>
        <w:t>5</w:t>
      </w:r>
      <w:r w:rsidR="00A75D61">
        <w:tab/>
      </w:r>
      <w:r>
        <w:tab/>
      </w:r>
      <w:r w:rsidR="00603DEC">
        <w:t>Setting the National Efficient Price for activity based funded public hospitals</w:t>
      </w:r>
    </w:p>
    <w:p w14:paraId="05C7271B" w14:textId="77777777" w:rsidR="00C415F5" w:rsidRDefault="00C415F5" w:rsidP="003932A6">
      <w:pPr>
        <w:pStyle w:val="BodyText"/>
      </w:pPr>
    </w:p>
    <w:p w14:paraId="4433FA3E" w14:textId="77777777" w:rsidR="00C415F5" w:rsidRDefault="00C415F5">
      <w:pPr>
        <w:rPr>
          <w:rFonts w:ascii="Futura PT Heavy"/>
          <w:sz w:val="20"/>
        </w:rPr>
        <w:sectPr w:rsidR="00C415F5" w:rsidSect="00A0212B">
          <w:headerReference w:type="default" r:id="rId66"/>
          <w:pgSz w:w="11910" w:h="16840"/>
          <w:pgMar w:top="1440" w:right="1440" w:bottom="1440" w:left="1440" w:header="0" w:footer="656" w:gutter="0"/>
          <w:cols w:space="720"/>
        </w:sectPr>
      </w:pPr>
    </w:p>
    <w:p w14:paraId="191408A6" w14:textId="77777777" w:rsidR="00C415F5" w:rsidRPr="009F24E1" w:rsidRDefault="009F24E1" w:rsidP="009F24E1">
      <w:pPr>
        <w:pStyle w:val="Heading2"/>
      </w:pPr>
      <w:r>
        <w:t xml:space="preserve">5.1 </w:t>
      </w:r>
      <w:r w:rsidR="00603DEC" w:rsidRPr="009F24E1">
        <w:t>Technical improvements</w:t>
      </w:r>
    </w:p>
    <w:p w14:paraId="309C7FE7" w14:textId="77777777" w:rsidR="00C415F5" w:rsidRDefault="00603DEC" w:rsidP="003932A6">
      <w:pPr>
        <w:pStyle w:val="BodyText"/>
      </w:pPr>
      <w:r>
        <w:t xml:space="preserve">IHPA has developed a robust pricing model that underpins the NEP Determination. The model is described in detail in the </w:t>
      </w:r>
      <w:hyperlink r:id="rId67">
        <w:r>
          <w:rPr>
            <w:color w:val="008F54"/>
            <w:u w:val="single" w:color="008F54"/>
          </w:rPr>
          <w:t>National Pricing Mode</w:t>
        </w:r>
        <w:r>
          <w:rPr>
            <w:color w:val="008F54"/>
          </w:rPr>
          <w:t>l</w:t>
        </w:r>
      </w:hyperlink>
      <w:r>
        <w:rPr>
          <w:color w:val="008F54"/>
        </w:rPr>
        <w:t xml:space="preserve"> </w:t>
      </w:r>
      <w:hyperlink r:id="rId68">
        <w:r>
          <w:rPr>
            <w:color w:val="008F54"/>
            <w:u w:val="single" w:color="008F54"/>
          </w:rPr>
          <w:t>Technical Specifications</w:t>
        </w:r>
      </w:hyperlink>
      <w:r>
        <w:rPr>
          <w:color w:val="008F54"/>
        </w:rPr>
        <w:t xml:space="preserve"> </w:t>
      </w:r>
      <w:r>
        <w:t>on IHPA’s website.</w:t>
      </w:r>
    </w:p>
    <w:p w14:paraId="7EE39236" w14:textId="77777777" w:rsidR="00C415F5" w:rsidRDefault="00603DEC" w:rsidP="003932A6">
      <w:pPr>
        <w:pStyle w:val="BodyText"/>
      </w:pPr>
      <w:r>
        <w:t>Some stakeholders have previously recommended that IHPA consider alternative approaches to calculating the NEP, which may better deliver on the objectives in the NHRA.</w:t>
      </w:r>
    </w:p>
    <w:p w14:paraId="7B6D24E3" w14:textId="77777777" w:rsidR="00C415F5" w:rsidRDefault="00603DEC" w:rsidP="003932A6">
      <w:pPr>
        <w:pStyle w:val="BodyText"/>
      </w:pPr>
      <w:r>
        <w:t>Following feedback from stakeholders, IHPA has commenced a first principles independent review of the National Pricing Model (the Fundamental Review).</w:t>
      </w:r>
    </w:p>
    <w:p w14:paraId="252D21A9" w14:textId="77777777" w:rsidR="00C415F5" w:rsidRDefault="00603DEC" w:rsidP="003932A6">
      <w:pPr>
        <w:pStyle w:val="BodyText"/>
      </w:pPr>
      <w:r>
        <w:t>The review began in September 2018 and includes:</w:t>
      </w:r>
    </w:p>
    <w:p w14:paraId="4F711A59" w14:textId="77777777" w:rsidR="00C415F5" w:rsidRDefault="00603DEC" w:rsidP="009F24E1">
      <w:pPr>
        <w:pStyle w:val="ListParagraph"/>
        <w:numPr>
          <w:ilvl w:val="0"/>
          <w:numId w:val="15"/>
        </w:numPr>
        <w:ind w:left="284" w:right="225"/>
      </w:pPr>
      <w:r>
        <w:t>A comprehensive literature review of current data analysis and statistical modelling techniques, focusing on the suitability and applicability for pricing public hospital</w:t>
      </w:r>
      <w:r>
        <w:rPr>
          <w:spacing w:val="3"/>
        </w:rPr>
        <w:t xml:space="preserve"> </w:t>
      </w:r>
      <w:r>
        <w:t>services;</w:t>
      </w:r>
    </w:p>
    <w:p w14:paraId="410CACE3" w14:textId="77777777" w:rsidR="00C415F5" w:rsidRDefault="00603DEC" w:rsidP="009F24E1">
      <w:pPr>
        <w:pStyle w:val="ListParagraph"/>
        <w:numPr>
          <w:ilvl w:val="0"/>
          <w:numId w:val="15"/>
        </w:numPr>
        <w:ind w:left="284" w:right="225"/>
      </w:pPr>
      <w:r>
        <w:t>A review of the processes used in the development of pricing models underpinning the NEP;</w:t>
      </w:r>
      <w:r>
        <w:rPr>
          <w:spacing w:val="17"/>
        </w:rPr>
        <w:t xml:space="preserve"> </w:t>
      </w:r>
      <w:r>
        <w:t>and</w:t>
      </w:r>
    </w:p>
    <w:p w14:paraId="1E51512A" w14:textId="77777777" w:rsidR="00C415F5" w:rsidRDefault="00603DEC" w:rsidP="009F24E1">
      <w:pPr>
        <w:pStyle w:val="ListParagraph"/>
        <w:numPr>
          <w:ilvl w:val="0"/>
          <w:numId w:val="15"/>
        </w:numPr>
        <w:ind w:left="284" w:right="225"/>
      </w:pPr>
      <w:r>
        <w:t>Recommendations to improve the processes and statistical techniques used in the NEP</w:t>
      </w:r>
      <w:r>
        <w:rPr>
          <w:spacing w:val="4"/>
        </w:rPr>
        <w:t xml:space="preserve"> </w:t>
      </w:r>
      <w:r>
        <w:t>development.</w:t>
      </w:r>
    </w:p>
    <w:p w14:paraId="30A383C9" w14:textId="77777777" w:rsidR="00C415F5" w:rsidRDefault="00603DEC" w:rsidP="009F24E1">
      <w:pPr>
        <w:pStyle w:val="BodyText"/>
        <w:ind w:left="142"/>
      </w:pPr>
      <w:r>
        <w:br w:type="column"/>
      </w:r>
      <w:r>
        <w:t>Although the Fundamental Review is not yet complete, preliminary outcomes have highlighted the following areas for further consideration:</w:t>
      </w:r>
    </w:p>
    <w:p w14:paraId="0C039375" w14:textId="77777777" w:rsidR="00C415F5" w:rsidRDefault="00603DEC" w:rsidP="00241E9D">
      <w:pPr>
        <w:pStyle w:val="ListParagraph"/>
        <w:numPr>
          <w:ilvl w:val="0"/>
          <w:numId w:val="14"/>
        </w:numPr>
        <w:ind w:left="426" w:right="92"/>
      </w:pPr>
      <w:r>
        <w:t>A review of how the costs associated with benefits paid through the Commonwealth pharmaceutical programs are removed;</w:t>
      </w:r>
    </w:p>
    <w:p w14:paraId="003CB664" w14:textId="77777777" w:rsidR="00C415F5" w:rsidRDefault="00603DEC" w:rsidP="00241E9D">
      <w:pPr>
        <w:pStyle w:val="ListParagraph"/>
        <w:numPr>
          <w:ilvl w:val="0"/>
          <w:numId w:val="14"/>
        </w:numPr>
        <w:ind w:left="426" w:right="92"/>
      </w:pPr>
      <w:r>
        <w:t>Consideration of the median as a measure of the efficient cost for price weight</w:t>
      </w:r>
      <w:r>
        <w:rPr>
          <w:spacing w:val="5"/>
        </w:rPr>
        <w:t xml:space="preserve"> </w:t>
      </w:r>
      <w:r>
        <w:rPr>
          <w:spacing w:val="2"/>
        </w:rPr>
        <w:t>setting;</w:t>
      </w:r>
    </w:p>
    <w:p w14:paraId="342DC75C" w14:textId="77777777" w:rsidR="00C415F5" w:rsidRDefault="00603DEC" w:rsidP="00241E9D">
      <w:pPr>
        <w:pStyle w:val="ListParagraph"/>
        <w:numPr>
          <w:ilvl w:val="0"/>
          <w:numId w:val="14"/>
        </w:numPr>
        <w:ind w:left="426" w:right="92"/>
      </w:pPr>
      <w:r>
        <w:t xml:space="preserve">A review of how </w:t>
      </w:r>
      <w:r>
        <w:rPr>
          <w:spacing w:val="2"/>
        </w:rPr>
        <w:t xml:space="preserve">admitted </w:t>
      </w:r>
      <w:r>
        <w:t>inlier upper and lower bounds are determined;</w:t>
      </w:r>
    </w:p>
    <w:p w14:paraId="5B45F4A1" w14:textId="77777777" w:rsidR="00C415F5" w:rsidRDefault="00603DEC" w:rsidP="00241E9D">
      <w:pPr>
        <w:pStyle w:val="ListParagraph"/>
        <w:numPr>
          <w:ilvl w:val="0"/>
          <w:numId w:val="14"/>
        </w:numPr>
        <w:ind w:left="426" w:right="92"/>
      </w:pPr>
      <w:r>
        <w:t xml:space="preserve">Work to </w:t>
      </w:r>
      <w:r>
        <w:rPr>
          <w:spacing w:val="2"/>
        </w:rPr>
        <w:t xml:space="preserve">further </w:t>
      </w:r>
      <w:r>
        <w:t>account for association and interaction between adjustment</w:t>
      </w:r>
      <w:r>
        <w:rPr>
          <w:spacing w:val="37"/>
        </w:rPr>
        <w:t xml:space="preserve"> </w:t>
      </w:r>
      <w:r>
        <w:t>categories,</w:t>
      </w:r>
      <w:r w:rsidR="009F24E1">
        <w:t xml:space="preserve"> </w:t>
      </w:r>
      <w:r>
        <w:t>for example the interaction between remoteness and indigenous status; and</w:t>
      </w:r>
    </w:p>
    <w:p w14:paraId="25C6B568" w14:textId="77777777" w:rsidR="00C415F5" w:rsidRDefault="00603DEC" w:rsidP="00241E9D">
      <w:pPr>
        <w:pStyle w:val="ListParagraph"/>
        <w:numPr>
          <w:ilvl w:val="0"/>
          <w:numId w:val="14"/>
        </w:numPr>
        <w:ind w:left="426" w:right="92"/>
      </w:pPr>
      <w:r>
        <w:t>Incorporating adjustments for patient age into each of the pricing</w:t>
      </w:r>
      <w:r>
        <w:rPr>
          <w:spacing w:val="1"/>
        </w:rPr>
        <w:t xml:space="preserve"> </w:t>
      </w:r>
      <w:r>
        <w:t>models.</w:t>
      </w:r>
    </w:p>
    <w:p w14:paraId="532A265B" w14:textId="77777777" w:rsidR="00C415F5" w:rsidRDefault="00603DEC" w:rsidP="009F24E1">
      <w:pPr>
        <w:pStyle w:val="BodyText"/>
        <w:ind w:left="142"/>
      </w:pPr>
      <w:r>
        <w:t>IHPA will consider any new technical improvements suggested by states and territories and other stakeholders in the development of NEP20.</w:t>
      </w:r>
    </w:p>
    <w:p w14:paraId="130E4727" w14:textId="77777777" w:rsidR="00C415F5" w:rsidRDefault="00C415F5">
      <w:pPr>
        <w:spacing w:line="256" w:lineRule="auto"/>
        <w:sectPr w:rsidR="00C415F5" w:rsidSect="00241E9D">
          <w:type w:val="continuous"/>
          <w:pgSz w:w="11910" w:h="16840"/>
          <w:pgMar w:top="1440" w:right="1440" w:bottom="1440" w:left="1440" w:header="720" w:footer="720" w:gutter="0"/>
          <w:cols w:num="2" w:space="340"/>
        </w:sectPr>
      </w:pPr>
    </w:p>
    <w:p w14:paraId="25CC71B2" w14:textId="77777777" w:rsidR="00C415F5" w:rsidRPr="002C1C84" w:rsidRDefault="006062C8" w:rsidP="00F02A36">
      <w:pPr>
        <w:pStyle w:val="Heading2"/>
        <w:spacing w:before="0"/>
      </w:pPr>
      <w:bookmarkStart w:id="16" w:name="_bookmark10"/>
      <w:bookmarkEnd w:id="16"/>
      <w:r>
        <w:rPr>
          <w:noProof/>
        </w:rPr>
        <w:lastRenderedPageBreak/>
        <w:drawing>
          <wp:anchor distT="0" distB="0" distL="114300" distR="114300" simplePos="0" relativeHeight="251661824" behindDoc="0" locked="0" layoutInCell="1" allowOverlap="1" wp14:anchorId="3426B251" wp14:editId="4B938AB7">
            <wp:simplePos x="0" y="0"/>
            <wp:positionH relativeFrom="column">
              <wp:posOffset>3152633</wp:posOffset>
            </wp:positionH>
            <wp:positionV relativeFrom="page">
              <wp:posOffset>1098645</wp:posOffset>
            </wp:positionV>
            <wp:extent cx="240226" cy="21589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0226" cy="215899"/>
                    </a:xfrm>
                    <a:prstGeom prst="rect">
                      <a:avLst/>
                    </a:prstGeom>
                  </pic:spPr>
                </pic:pic>
              </a:graphicData>
            </a:graphic>
          </wp:anchor>
        </w:drawing>
      </w:r>
      <w:r w:rsidR="002C1C84">
        <w:t xml:space="preserve">5.2 </w:t>
      </w:r>
      <w:r w:rsidR="00603DEC" w:rsidRPr="002C1C84">
        <w:t>Adjustments to the National Efficient Price</w:t>
      </w:r>
    </w:p>
    <w:p w14:paraId="2F327AEE" w14:textId="77777777" w:rsidR="00C415F5" w:rsidRPr="002C1C84" w:rsidRDefault="00603DEC" w:rsidP="002C1C84">
      <w:pPr>
        <w:spacing w:before="199"/>
        <w:rPr>
          <w:rStyle w:val="BodyTextChar"/>
        </w:rPr>
      </w:pPr>
      <w:r>
        <w:rPr>
          <w:color w:val="58595B"/>
          <w:sz w:val="19"/>
        </w:rPr>
        <w:t>Section</w:t>
      </w:r>
      <w:r>
        <w:rPr>
          <w:color w:val="58595B"/>
          <w:spacing w:val="-6"/>
          <w:sz w:val="19"/>
        </w:rPr>
        <w:t xml:space="preserve"> </w:t>
      </w:r>
      <w:r>
        <w:rPr>
          <w:color w:val="58595B"/>
          <w:spacing w:val="-7"/>
          <w:sz w:val="19"/>
        </w:rPr>
        <w:t>131(1)(d)</w:t>
      </w:r>
      <w:r>
        <w:rPr>
          <w:color w:val="58595B"/>
          <w:spacing w:val="-6"/>
          <w:sz w:val="19"/>
        </w:rPr>
        <w:t xml:space="preserve"> </w:t>
      </w:r>
      <w:r>
        <w:rPr>
          <w:color w:val="58595B"/>
          <w:sz w:val="19"/>
        </w:rPr>
        <w:t>of</w:t>
      </w:r>
      <w:r>
        <w:rPr>
          <w:color w:val="58595B"/>
          <w:spacing w:val="-6"/>
          <w:sz w:val="19"/>
        </w:rPr>
        <w:t xml:space="preserve"> </w:t>
      </w:r>
      <w:r>
        <w:rPr>
          <w:color w:val="58595B"/>
          <w:sz w:val="19"/>
        </w:rPr>
        <w:t>the</w:t>
      </w:r>
      <w:r>
        <w:rPr>
          <w:color w:val="58595B"/>
          <w:spacing w:val="-6"/>
          <w:sz w:val="19"/>
        </w:rPr>
        <w:t xml:space="preserve"> </w:t>
      </w:r>
      <w:r>
        <w:rPr>
          <w:i/>
          <w:color w:val="58595B"/>
          <w:sz w:val="19"/>
        </w:rPr>
        <w:t>National</w:t>
      </w:r>
      <w:r>
        <w:rPr>
          <w:i/>
          <w:color w:val="58595B"/>
          <w:spacing w:val="-6"/>
          <w:sz w:val="19"/>
        </w:rPr>
        <w:t xml:space="preserve"> </w:t>
      </w:r>
      <w:r>
        <w:rPr>
          <w:i/>
          <w:color w:val="58595B"/>
          <w:sz w:val="19"/>
        </w:rPr>
        <w:t>Health</w:t>
      </w:r>
      <w:r>
        <w:rPr>
          <w:i/>
          <w:color w:val="58595B"/>
          <w:spacing w:val="-6"/>
          <w:sz w:val="19"/>
        </w:rPr>
        <w:t xml:space="preserve"> </w:t>
      </w:r>
      <w:r>
        <w:rPr>
          <w:i/>
          <w:color w:val="58595B"/>
          <w:sz w:val="19"/>
        </w:rPr>
        <w:t>Reform</w:t>
      </w:r>
      <w:r>
        <w:rPr>
          <w:i/>
          <w:color w:val="58595B"/>
          <w:spacing w:val="-6"/>
          <w:sz w:val="19"/>
        </w:rPr>
        <w:t xml:space="preserve"> </w:t>
      </w:r>
      <w:r>
        <w:rPr>
          <w:i/>
          <w:color w:val="58595B"/>
          <w:sz w:val="19"/>
        </w:rPr>
        <w:t>Act</w:t>
      </w:r>
      <w:r>
        <w:rPr>
          <w:i/>
          <w:color w:val="58595B"/>
          <w:spacing w:val="-6"/>
          <w:sz w:val="19"/>
        </w:rPr>
        <w:t xml:space="preserve"> 2011</w:t>
      </w:r>
      <w:r w:rsidR="002C1C84">
        <w:rPr>
          <w:i/>
          <w:color w:val="58595B"/>
          <w:spacing w:val="-6"/>
          <w:sz w:val="19"/>
        </w:rPr>
        <w:t xml:space="preserve"> </w:t>
      </w:r>
      <w:r w:rsidRPr="002C1C84">
        <w:rPr>
          <w:rStyle w:val="BodyTextChar"/>
        </w:rPr>
        <w:t>(</w:t>
      </w:r>
      <w:proofErr w:type="spellStart"/>
      <w:r w:rsidRPr="002C1C84">
        <w:rPr>
          <w:rStyle w:val="BodyTextChar"/>
        </w:rPr>
        <w:t>Cth</w:t>
      </w:r>
      <w:proofErr w:type="spellEnd"/>
      <w:r w:rsidRPr="002C1C84">
        <w:rPr>
          <w:rStyle w:val="BodyTextChar"/>
        </w:rPr>
        <w:t>) requires IHPA to determine “adjustments to the NEP to reflect legitimate and unavoidable variations in the costs of delivering health care services”. Clause B13 of the NHRA additionally states that IHPA “must have regard to legitimate and unavoidable variations in wage costs and other inputs which affect the costs</w:t>
      </w:r>
      <w:r w:rsidR="002C1C84">
        <w:rPr>
          <w:rStyle w:val="BodyTextChar"/>
        </w:rPr>
        <w:t xml:space="preserve"> </w:t>
      </w:r>
      <w:r w:rsidRPr="002C1C84">
        <w:rPr>
          <w:rStyle w:val="BodyTextChar"/>
        </w:rPr>
        <w:t>of service delivery including hospital type and size; hospital location, including regional and remote status; and patient complexity, including Indigenous status”.</w:t>
      </w:r>
    </w:p>
    <w:p w14:paraId="3EA2B7F4" w14:textId="77777777" w:rsidR="00C415F5" w:rsidRDefault="00603DEC" w:rsidP="002C1C84">
      <w:pPr>
        <w:pStyle w:val="BodyText"/>
      </w:pPr>
      <w:r>
        <w:t>In adjusting the NEP, IHPA:</w:t>
      </w:r>
    </w:p>
    <w:p w14:paraId="0377EE07" w14:textId="77777777" w:rsidR="00C415F5" w:rsidRDefault="00603DEC" w:rsidP="00796C77">
      <w:pPr>
        <w:pStyle w:val="ListParagraph"/>
        <w:numPr>
          <w:ilvl w:val="1"/>
          <w:numId w:val="14"/>
        </w:numPr>
        <w:ind w:left="284" w:right="253"/>
      </w:pPr>
      <w:r>
        <w:t xml:space="preserve">Tests any empirical differences in the cost of providing public hospital </w:t>
      </w:r>
      <w:r w:rsidRPr="00796C77">
        <w:rPr>
          <w:spacing w:val="2"/>
        </w:rPr>
        <w:t xml:space="preserve">services </w:t>
      </w:r>
      <w:r>
        <w:t>at the national level in order to determine potential legitimate and unavoidable variations in the costs of</w:t>
      </w:r>
      <w:r w:rsidRPr="00796C77">
        <w:rPr>
          <w:spacing w:val="35"/>
        </w:rPr>
        <w:t xml:space="preserve"> </w:t>
      </w:r>
      <w:r w:rsidRPr="00796C77">
        <w:rPr>
          <w:spacing w:val="2"/>
        </w:rPr>
        <w:t>service</w:t>
      </w:r>
      <w:r w:rsidR="00796C77">
        <w:rPr>
          <w:spacing w:val="2"/>
        </w:rPr>
        <w:t xml:space="preserve"> </w:t>
      </w:r>
      <w:r>
        <w:t>delivery that may warrant an adjustment to the NEP;</w:t>
      </w:r>
    </w:p>
    <w:p w14:paraId="2AF3229D" w14:textId="77777777" w:rsidR="00C415F5" w:rsidRDefault="00603DEC" w:rsidP="00796C77">
      <w:pPr>
        <w:pStyle w:val="ListParagraph"/>
        <w:numPr>
          <w:ilvl w:val="1"/>
          <w:numId w:val="14"/>
        </w:numPr>
        <w:ind w:left="284" w:right="253"/>
      </w:pPr>
      <w:r>
        <w:t xml:space="preserve">Examines patient-based </w:t>
      </w:r>
      <w:proofErr w:type="gramStart"/>
      <w:r>
        <w:t>characteristics  in</w:t>
      </w:r>
      <w:proofErr w:type="gramEnd"/>
      <w:r>
        <w:t xml:space="preserve"> the cost of providing public hospital</w:t>
      </w:r>
      <w:r w:rsidRPr="00796C77">
        <w:rPr>
          <w:spacing w:val="26"/>
        </w:rPr>
        <w:t xml:space="preserve"> </w:t>
      </w:r>
      <w:r w:rsidRPr="00796C77">
        <w:rPr>
          <w:spacing w:val="2"/>
        </w:rPr>
        <w:t>services</w:t>
      </w:r>
      <w:r w:rsidR="00796C77">
        <w:rPr>
          <w:spacing w:val="2"/>
        </w:rPr>
        <w:t xml:space="preserve"> </w:t>
      </w:r>
      <w:r>
        <w:t>before considering hospital or provider-based characteristics. This policy reinforces the principle that funding should follow the patient wherever possible; and</w:t>
      </w:r>
    </w:p>
    <w:p w14:paraId="4C83B0FC" w14:textId="77777777" w:rsidR="00C415F5" w:rsidRDefault="00603DEC" w:rsidP="00796C77">
      <w:pPr>
        <w:pStyle w:val="ListParagraph"/>
        <w:numPr>
          <w:ilvl w:val="1"/>
          <w:numId w:val="14"/>
        </w:numPr>
        <w:ind w:left="284" w:right="253"/>
      </w:pPr>
      <w:r>
        <w:t>Reviews existing adjustments, with the aim of discontinuing adjustments associated with input costs or which are facility-based when it is</w:t>
      </w:r>
      <w:r>
        <w:rPr>
          <w:spacing w:val="11"/>
        </w:rPr>
        <w:t xml:space="preserve"> </w:t>
      </w:r>
      <w:r>
        <w:t>feasible.</w:t>
      </w:r>
    </w:p>
    <w:p w14:paraId="7329861D" w14:textId="77777777" w:rsidR="00C415F5" w:rsidRDefault="00603DEC" w:rsidP="003932A6">
      <w:pPr>
        <w:pStyle w:val="BodyText"/>
      </w:pPr>
      <w:r>
        <w:t xml:space="preserve">IHPA developed the </w:t>
      </w:r>
      <w:r>
        <w:rPr>
          <w:i/>
        </w:rPr>
        <w:t xml:space="preserve">Assessment of Legitimate and Unavoidable Cost Variations Framework </w:t>
      </w:r>
      <w:r>
        <w:t xml:space="preserve">to assist state and territory governments in applying for services that have legitimate and unavoidable cost variations that are not adequately </w:t>
      </w:r>
      <w:proofErr w:type="spellStart"/>
      <w:r>
        <w:t>recognised</w:t>
      </w:r>
      <w:proofErr w:type="spellEnd"/>
      <w:r>
        <w:t xml:space="preserve"> in the National Pricing Model. If agreed, IHPA considers whether an adjustment to the NEP is warranted. States and territories may propose potential unavoidable cost variations on an annual basis.</w:t>
      </w:r>
    </w:p>
    <w:p w14:paraId="1B0B0D2F" w14:textId="77777777" w:rsidR="00C415F5" w:rsidRPr="00307DCD" w:rsidRDefault="00603DEC" w:rsidP="003932A6">
      <w:pPr>
        <w:pStyle w:val="BodyText"/>
        <w:rPr>
          <w:spacing w:val="-4"/>
        </w:rPr>
      </w:pPr>
      <w:r w:rsidRPr="00307DCD">
        <w:rPr>
          <w:spacing w:val="-4"/>
        </w:rPr>
        <w:t xml:space="preserve">For NEP19, IHPA expanded the application of a number of adjustments, in particular for the </w:t>
      </w:r>
      <w:bookmarkStart w:id="17" w:name="_GoBack"/>
      <w:bookmarkEnd w:id="17"/>
      <w:r w:rsidRPr="00307DCD">
        <w:rPr>
          <w:spacing w:val="-4"/>
        </w:rPr>
        <w:t>patient’s remoteness and facility remoteness status, to the emergency and non-admitted settings.</w:t>
      </w:r>
    </w:p>
    <w:p w14:paraId="1205874A" w14:textId="77777777" w:rsidR="00C415F5" w:rsidRDefault="00603DEC" w:rsidP="003932A6">
      <w:pPr>
        <w:pStyle w:val="BodyText"/>
      </w:pPr>
      <w:r>
        <w:rPr>
          <w:spacing w:val="-3"/>
        </w:rPr>
        <w:t xml:space="preserve">For </w:t>
      </w:r>
      <w:r>
        <w:t xml:space="preserve">NEP20, </w:t>
      </w:r>
      <w:r>
        <w:rPr>
          <w:spacing w:val="-3"/>
        </w:rPr>
        <w:t xml:space="preserve">IHPA </w:t>
      </w:r>
      <w:r>
        <w:t xml:space="preserve">intends to use the Australian Bureau of Statistics’ </w:t>
      </w:r>
      <w:hyperlink r:id="rId70">
        <w:r>
          <w:rPr>
            <w:color w:val="008F54"/>
            <w:spacing w:val="-11"/>
            <w:u w:val="single" w:color="008F54"/>
          </w:rPr>
          <w:t>201</w:t>
        </w:r>
      </w:hyperlink>
      <w:r>
        <w:rPr>
          <w:color w:val="008F54"/>
          <w:spacing w:val="-11"/>
          <w:u w:val="single" w:color="008F54"/>
        </w:rPr>
        <w:t xml:space="preserve">6 </w:t>
      </w:r>
      <w:hyperlink r:id="rId71">
        <w:r>
          <w:rPr>
            <w:color w:val="008F54"/>
            <w:u w:val="single" w:color="008F54"/>
          </w:rPr>
          <w:t xml:space="preserve">Australian Statistical Geography </w:t>
        </w:r>
        <w:r>
          <w:rPr>
            <w:color w:val="008F54"/>
            <w:spacing w:val="-4"/>
            <w:u w:val="single" w:color="008F54"/>
          </w:rPr>
          <w:t>Standard</w:t>
        </w:r>
      </w:hyperlink>
      <w:r w:rsidRPr="00E8398A">
        <w:rPr>
          <w:color w:val="008F54"/>
          <w:spacing w:val="-4"/>
          <w:u w:val="single"/>
        </w:rPr>
        <w:t xml:space="preserve"> </w:t>
      </w:r>
      <w:hyperlink r:id="rId72">
        <w:r>
          <w:rPr>
            <w:color w:val="008F54"/>
            <w:u w:val="single" w:color="008F54"/>
          </w:rPr>
          <w:t>Remoteness Area classification.</w:t>
        </w:r>
      </w:hyperlink>
    </w:p>
    <w:p w14:paraId="7923D2BC" w14:textId="77777777" w:rsidR="00C415F5" w:rsidRDefault="00603DEC" w:rsidP="00316737">
      <w:pPr>
        <w:spacing w:before="168" w:line="256" w:lineRule="auto"/>
        <w:ind w:right="31"/>
        <w:rPr>
          <w:sz w:val="19"/>
        </w:rPr>
      </w:pPr>
      <w:r>
        <w:rPr>
          <w:color w:val="58595B"/>
          <w:sz w:val="19"/>
        </w:rPr>
        <w:t xml:space="preserve">IHPA will consider adjustments proposed by stakeholders in this consultation or by states and territories as part of the annual </w:t>
      </w:r>
      <w:r>
        <w:rPr>
          <w:i/>
          <w:color w:val="58595B"/>
          <w:sz w:val="19"/>
        </w:rPr>
        <w:t xml:space="preserve">Assessment of Legitimate and Unavoidable Cost Variations Framework </w:t>
      </w:r>
      <w:r>
        <w:rPr>
          <w:color w:val="58595B"/>
          <w:sz w:val="19"/>
        </w:rPr>
        <w:t>process.</w:t>
      </w:r>
    </w:p>
    <w:p w14:paraId="6E58609E" w14:textId="77777777" w:rsidR="00C415F5" w:rsidRPr="00796C77" w:rsidRDefault="009E23A6" w:rsidP="00316737">
      <w:pPr>
        <w:pStyle w:val="Heading2"/>
      </w:pPr>
      <w:r>
        <w:rPr>
          <w:noProof/>
        </w:rPr>
        <w:pict w14:anchorId="763D7EA5">
          <v:shape id="_x0000_s1034" type="#_x0000_t202" alt="" style="position:absolute;margin-left:306.7pt;margin-top:2.4pt;width:211.7pt;height:86.5pt;z-index:-251644928;mso-wrap-style:square;mso-wrap-edited:f;mso-width-percent:0;mso-height-percent:0;mso-wrap-distance-left:0;mso-wrap-distance-right:0;mso-wrap-distance-bottom:11.35pt;mso-position-horizontal-relative:page;mso-width-percent:0;mso-height-percent:0;v-text-anchor:top" filled="f" strokecolor="#009ab8 [3209]">
            <v:textbox style="mso-next-textbox:#_x0000_s1034" inset="0,0,0,0">
              <w:txbxContent>
                <w:p w14:paraId="1CE5A8EC" w14:textId="77777777" w:rsidR="005907C8" w:rsidRPr="00693365" w:rsidRDefault="005907C8" w:rsidP="006062C8">
                  <w:pPr>
                    <w:pStyle w:val="Questionheading"/>
                  </w:pPr>
                  <w:bookmarkStart w:id="18" w:name="_Consultation_questions_5"/>
                  <w:bookmarkEnd w:id="18"/>
                  <w:r>
                    <w:t>Consultation questions</w:t>
                  </w:r>
                </w:p>
                <w:p w14:paraId="318E2B0B" w14:textId="77777777" w:rsidR="005907C8" w:rsidRDefault="005907C8" w:rsidP="00F75A56">
                  <w:pPr>
                    <w:pStyle w:val="ListParagraph"/>
                    <w:ind w:left="567" w:right="243"/>
                  </w:pPr>
                  <w:r w:rsidRPr="00F75A56">
                    <w:t>Are there adjustments for legitimate and unavoidable cost variations that IHPA should consider for NEP20?</w:t>
                  </w:r>
                </w:p>
              </w:txbxContent>
            </v:textbox>
            <w10:wrap type="topAndBottom" anchorx="page"/>
          </v:shape>
        </w:pict>
      </w:r>
      <w:r w:rsidR="00796C77">
        <w:t xml:space="preserve">5.3 </w:t>
      </w:r>
      <w:proofErr w:type="spellStart"/>
      <w:r w:rsidR="00603DEC" w:rsidRPr="00796C77">
        <w:t>Harmonising</w:t>
      </w:r>
      <w:proofErr w:type="spellEnd"/>
      <w:r w:rsidR="00603DEC" w:rsidRPr="00796C77">
        <w:t xml:space="preserve"> price weights across care settings</w:t>
      </w:r>
    </w:p>
    <w:p w14:paraId="4F7F8402" w14:textId="77777777" w:rsidR="00C415F5" w:rsidRDefault="00603DEC" w:rsidP="00316737">
      <w:pPr>
        <w:pStyle w:val="BodyText"/>
      </w:pPr>
      <w:r>
        <w:t xml:space="preserve">The Pricing Guidelines guide policy decisions underpinning the National Pricing Model and were developed following extensive consultation with key stakeholders and the public. The Pricing Guidelines include System Design Guidelines to inform options for the design of ABF and block funding arrangements, including an objective for price </w:t>
      </w:r>
      <w:proofErr w:type="spellStart"/>
      <w:r>
        <w:t>harmonisation</w:t>
      </w:r>
      <w:proofErr w:type="spellEnd"/>
      <w:r>
        <w:t xml:space="preserve"> whereby pricing should facilitate best-practice provision of appropriate site of care.</w:t>
      </w:r>
    </w:p>
    <w:p w14:paraId="69F82F3E" w14:textId="77777777" w:rsidR="00C415F5" w:rsidRDefault="00603DEC" w:rsidP="00316737">
      <w:pPr>
        <w:pStyle w:val="BodyText"/>
      </w:pPr>
      <w:r>
        <w:t xml:space="preserve">IHPA </w:t>
      </w:r>
      <w:proofErr w:type="spellStart"/>
      <w:r>
        <w:t>harmonises</w:t>
      </w:r>
      <w:proofErr w:type="spellEnd"/>
      <w:r>
        <w:t xml:space="preserve"> (i.e. </w:t>
      </w:r>
      <w:proofErr w:type="spellStart"/>
      <w:r>
        <w:t>equalises</w:t>
      </w:r>
      <w:proofErr w:type="spellEnd"/>
      <w:r>
        <w:t>) a limited number of price weights across the admitted acute and non-admitted settings, for example those for gastrointestinal endoscopes, to ensure that similar services are priced consistently across settings.</w:t>
      </w:r>
      <w:r w:rsidR="00796C77">
        <w:t xml:space="preserve"> </w:t>
      </w:r>
      <w:proofErr w:type="spellStart"/>
      <w:r>
        <w:t>Harmonisation</w:t>
      </w:r>
      <w:proofErr w:type="spellEnd"/>
      <w:r>
        <w:t xml:space="preserve"> ensures there is no financial incentive for hospitals to admit patients previously treated on a non-admitted basis due to a higher price for the same service.</w:t>
      </w:r>
    </w:p>
    <w:p w14:paraId="71395AA7" w14:textId="77777777" w:rsidR="00C415F5" w:rsidRDefault="00603DEC" w:rsidP="00316737">
      <w:pPr>
        <w:pStyle w:val="BodyText"/>
      </w:pPr>
      <w:r>
        <w:t xml:space="preserve">IHPA will continue to investigate price </w:t>
      </w:r>
      <w:proofErr w:type="spellStart"/>
      <w:r>
        <w:t>harmonisation</w:t>
      </w:r>
      <w:proofErr w:type="spellEnd"/>
      <w:r>
        <w:t xml:space="preserve"> for potentially similar same-day services such</w:t>
      </w:r>
      <w:r w:rsidR="00796C77">
        <w:t xml:space="preserve"> </w:t>
      </w:r>
      <w:r>
        <w:t>as non-admitted and admitted same-day chemotherapy services, renal dialysis and sleep disorders on a case-by-case basis.</w:t>
      </w:r>
    </w:p>
    <w:p w14:paraId="40579F8B" w14:textId="77777777" w:rsidR="00C415F5" w:rsidRDefault="00603DEC" w:rsidP="00316737">
      <w:pPr>
        <w:pStyle w:val="BodyText"/>
      </w:pPr>
      <w:r>
        <w:t xml:space="preserve">IHPA will wait for the conclusion of the Fundamental Review before proposing any further price weights for </w:t>
      </w:r>
      <w:proofErr w:type="spellStart"/>
      <w:r>
        <w:t>harmonisation</w:t>
      </w:r>
      <w:proofErr w:type="spellEnd"/>
      <w:r>
        <w:t>.</w:t>
      </w:r>
    </w:p>
    <w:p w14:paraId="7C908078" w14:textId="77777777" w:rsidR="00C415F5" w:rsidRDefault="00C415F5">
      <w:pPr>
        <w:spacing w:line="256" w:lineRule="auto"/>
        <w:sectPr w:rsidR="00C415F5" w:rsidSect="00316737">
          <w:headerReference w:type="default" r:id="rId73"/>
          <w:pgSz w:w="11910" w:h="16840"/>
          <w:pgMar w:top="1440" w:right="1440" w:bottom="993" w:left="1440" w:header="0" w:footer="656" w:gutter="0"/>
          <w:cols w:num="2" w:space="340"/>
        </w:sectPr>
      </w:pPr>
    </w:p>
    <w:p w14:paraId="4E9D67CA" w14:textId="77777777" w:rsidR="00C415F5" w:rsidRPr="00382CDF" w:rsidRDefault="00382CDF" w:rsidP="00382CDF">
      <w:pPr>
        <w:pStyle w:val="Heading2"/>
      </w:pPr>
      <w:bookmarkStart w:id="19" w:name="_bookmark11"/>
      <w:bookmarkEnd w:id="19"/>
      <w:r>
        <w:lastRenderedPageBreak/>
        <w:t xml:space="preserve">5.4 </w:t>
      </w:r>
      <w:r w:rsidR="00603DEC" w:rsidRPr="00382CDF">
        <w:t>Setting the National Efficient Price for private patients in public hospitals</w:t>
      </w:r>
    </w:p>
    <w:p w14:paraId="07A39551" w14:textId="77777777" w:rsidR="00C415F5" w:rsidRDefault="00603DEC" w:rsidP="003932A6">
      <w:pPr>
        <w:pStyle w:val="BodyText"/>
      </w:pPr>
      <w:r>
        <w:t>Public hospitals may receive revenue for delivering care from funding sources other than through the NHRA.</w:t>
      </w:r>
      <w:r w:rsidR="00382CDF">
        <w:t xml:space="preserve"> </w:t>
      </w:r>
      <w:r>
        <w:t>For example, patients admitted to public hospitals may opt to use their private health cover or pay for their own hospital stay.</w:t>
      </w:r>
    </w:p>
    <w:p w14:paraId="29A3EB3E" w14:textId="77777777" w:rsidR="00C415F5" w:rsidRDefault="00603DEC" w:rsidP="003932A6">
      <w:pPr>
        <w:pStyle w:val="BodyText"/>
      </w:pPr>
      <w:r>
        <w:t>The NHRA requires IHPA to set the price for admitted private patients in public hospitals accounting for these payments by other parties, particularly private health insurers (for prostheses and the default bed day rate) and the Medicare Benefits Schedule (MBS).</w:t>
      </w:r>
    </w:p>
    <w:p w14:paraId="10846073" w14:textId="77777777" w:rsidR="00C415F5" w:rsidRDefault="00603DEC" w:rsidP="003932A6">
      <w:pPr>
        <w:pStyle w:val="BodyText"/>
      </w:pPr>
      <w:r>
        <w:t>Under Clauses A6 and A7 of the NHRA, IHPA does not price private non-admitted patient services.</w:t>
      </w:r>
    </w:p>
    <w:p w14:paraId="4174D4B9" w14:textId="77777777" w:rsidR="00C415F5" w:rsidRPr="00382CDF" w:rsidRDefault="00603DEC" w:rsidP="00382CDF">
      <w:pPr>
        <w:pStyle w:val="Heading3"/>
      </w:pPr>
      <w:r w:rsidRPr="00382CDF">
        <w:t>5.4.1 Costing private patients in public hospitals</w:t>
      </w:r>
    </w:p>
    <w:p w14:paraId="3A1198D8" w14:textId="77777777" w:rsidR="00C415F5" w:rsidRDefault="00603DEC" w:rsidP="003932A6">
      <w:pPr>
        <w:pStyle w:val="BodyText"/>
      </w:pPr>
      <w:r>
        <w:rPr>
          <w:spacing w:val="-6"/>
        </w:rPr>
        <w:t xml:space="preserve">The </w:t>
      </w:r>
      <w:r>
        <w:t xml:space="preserve">collection of private patient medical expenses has been problematic in the NHCDC. </w:t>
      </w:r>
      <w:r>
        <w:rPr>
          <w:spacing w:val="-3"/>
        </w:rPr>
        <w:t xml:space="preserve">For </w:t>
      </w:r>
      <w:r>
        <w:t xml:space="preserve">example, there is a common practice in some states and territories of </w:t>
      </w:r>
      <w:r>
        <w:rPr>
          <w:spacing w:val="-4"/>
        </w:rPr>
        <w:t xml:space="preserve">using </w:t>
      </w:r>
      <w:r>
        <w:t>Special Purpose Funds to collect associated revenue (e.g. MBS) and reimburse medical</w:t>
      </w:r>
      <w:r>
        <w:rPr>
          <w:spacing w:val="-5"/>
        </w:rPr>
        <w:t xml:space="preserve"> </w:t>
      </w:r>
      <w:r>
        <w:t>practitioners.</w:t>
      </w:r>
    </w:p>
    <w:p w14:paraId="502175ED" w14:textId="77777777" w:rsidR="00C415F5" w:rsidRDefault="00603DEC" w:rsidP="003932A6">
      <w:pPr>
        <w:pStyle w:val="BodyText"/>
      </w:pPr>
      <w:r>
        <w:rPr>
          <w:spacing w:val="-3"/>
        </w:rPr>
        <w:t xml:space="preserve">For </w:t>
      </w:r>
      <w:r>
        <w:rPr>
          <w:spacing w:val="-6"/>
        </w:rPr>
        <w:t xml:space="preserve">NEP19, </w:t>
      </w:r>
      <w:r>
        <w:rPr>
          <w:spacing w:val="-3"/>
        </w:rPr>
        <w:t xml:space="preserve">IHPA </w:t>
      </w:r>
      <w:r>
        <w:t xml:space="preserve">corrected this issue by inflating the </w:t>
      </w:r>
      <w:r>
        <w:rPr>
          <w:spacing w:val="-4"/>
        </w:rPr>
        <w:t xml:space="preserve">cost </w:t>
      </w:r>
      <w:r>
        <w:t>of some patients (the ‘private patient correction factor’) to account for costs not reported in the</w:t>
      </w:r>
      <w:r>
        <w:rPr>
          <w:spacing w:val="-2"/>
        </w:rPr>
        <w:t xml:space="preserve"> </w:t>
      </w:r>
      <w:r>
        <w:t>NHCDC.</w:t>
      </w:r>
      <w:r w:rsidR="00382CDF">
        <w:rPr>
          <w:spacing w:val="-6"/>
        </w:rPr>
        <w:t xml:space="preserve"> </w:t>
      </w:r>
      <w:r>
        <w:rPr>
          <w:spacing w:val="-6"/>
        </w:rPr>
        <w:t xml:space="preserve">The </w:t>
      </w:r>
      <w:r>
        <w:t xml:space="preserve">Hospital </w:t>
      </w:r>
      <w:proofErr w:type="spellStart"/>
      <w:r>
        <w:t>Casemix</w:t>
      </w:r>
      <w:proofErr w:type="spellEnd"/>
      <w:r>
        <w:t xml:space="preserve"> Protocol data set was used to identify the missing medical costs of private</w:t>
      </w:r>
      <w:r>
        <w:rPr>
          <w:spacing w:val="-17"/>
        </w:rPr>
        <w:t xml:space="preserve"> </w:t>
      </w:r>
      <w:r>
        <w:t>patients.</w:t>
      </w:r>
    </w:p>
    <w:p w14:paraId="2EB5EEAC" w14:textId="77777777" w:rsidR="00C415F5" w:rsidRDefault="00603DEC" w:rsidP="003932A6">
      <w:pPr>
        <w:pStyle w:val="BodyText"/>
      </w:pPr>
      <w:r>
        <w:rPr>
          <w:spacing w:val="-6"/>
        </w:rPr>
        <w:t xml:space="preserve">The </w:t>
      </w:r>
      <w:r>
        <w:t xml:space="preserve">use of the correction factor assumes that all private patient costs are missing and that these costs are </w:t>
      </w:r>
      <w:r>
        <w:rPr>
          <w:spacing w:val="-4"/>
        </w:rPr>
        <w:t xml:space="preserve">spread </w:t>
      </w:r>
      <w:r>
        <w:t xml:space="preserve">across both private and public patients, which is not always the case. </w:t>
      </w:r>
      <w:r>
        <w:rPr>
          <w:spacing w:val="-3"/>
        </w:rPr>
        <w:t xml:space="preserve">For </w:t>
      </w:r>
      <w:r>
        <w:t xml:space="preserve">example, some hospitals appear to report specialist medical costs for private patients, whilst others may have costs missing from both public and private patients. </w:t>
      </w:r>
      <w:r>
        <w:rPr>
          <w:spacing w:val="-4"/>
        </w:rPr>
        <w:t xml:space="preserve">This </w:t>
      </w:r>
      <w:r>
        <w:t>aspect of the pricing model will be reviewed as part of the Fundamental</w:t>
      </w:r>
      <w:r>
        <w:rPr>
          <w:spacing w:val="-12"/>
        </w:rPr>
        <w:t xml:space="preserve"> </w:t>
      </w:r>
      <w:r>
        <w:t>Review.</w:t>
      </w:r>
    </w:p>
    <w:p w14:paraId="149213B4" w14:textId="77777777" w:rsidR="00C415F5" w:rsidRDefault="00603DEC" w:rsidP="00382CDF">
      <w:pPr>
        <w:pStyle w:val="BodyText"/>
        <w:ind w:left="142"/>
      </w:pPr>
      <w:r>
        <w:br w:type="column"/>
      </w:r>
      <w:r>
        <w:t>It is anticipated that the implementation of the Australian Hospital Patient Costing Standards (AHPCS) Version</w:t>
      </w:r>
      <w:r>
        <w:rPr>
          <w:spacing w:val="-23"/>
        </w:rPr>
        <w:t xml:space="preserve"> </w:t>
      </w:r>
      <w:r>
        <w:rPr>
          <w:spacing w:val="-6"/>
        </w:rPr>
        <w:t xml:space="preserve">4.0 </w:t>
      </w:r>
      <w:r>
        <w:t>will address this issue for NEP20. AHPCS</w:t>
      </w:r>
      <w:r>
        <w:rPr>
          <w:spacing w:val="-7"/>
        </w:rPr>
        <w:t xml:space="preserve"> </w:t>
      </w:r>
      <w:r>
        <w:t>Version</w:t>
      </w:r>
      <w:r w:rsidR="00382CDF">
        <w:t xml:space="preserve"> </w:t>
      </w:r>
      <w:r>
        <w:t>4.0 includes a</w:t>
      </w:r>
      <w:r>
        <w:rPr>
          <w:color w:val="008F54"/>
        </w:rPr>
        <w:t xml:space="preserve"> </w:t>
      </w:r>
      <w:hyperlink r:id="rId74">
        <w:r>
          <w:rPr>
            <w:color w:val="008F54"/>
            <w:u w:val="single" w:color="008F54"/>
          </w:rPr>
          <w:t>Business Rule</w:t>
        </w:r>
      </w:hyperlink>
      <w:r>
        <w:rPr>
          <w:color w:val="008F54"/>
        </w:rPr>
        <w:t xml:space="preserve"> </w:t>
      </w:r>
      <w:r>
        <w:t>relating to the treatment of medical and other expenses found in Special</w:t>
      </w:r>
      <w:r w:rsidR="00382CDF">
        <w:t xml:space="preserve"> </w:t>
      </w:r>
      <w:r>
        <w:t>Purpose Funds which manage Rights of Private Practice arrangements. It is intended that the Business Rule</w:t>
      </w:r>
      <w:r w:rsidR="00382CDF">
        <w:t xml:space="preserve"> </w:t>
      </w:r>
      <w:r>
        <w:t xml:space="preserve">will support states and territories in accounting for all expenses contributing toward hospital activities, regardless of their funding source. </w:t>
      </w:r>
      <w:r>
        <w:rPr>
          <w:spacing w:val="-6"/>
        </w:rPr>
        <w:t xml:space="preserve">The </w:t>
      </w:r>
      <w:r>
        <w:t xml:space="preserve">Business </w:t>
      </w:r>
      <w:r>
        <w:rPr>
          <w:spacing w:val="-5"/>
        </w:rPr>
        <w:t>Rule</w:t>
      </w:r>
      <w:r w:rsidR="00382CDF">
        <w:rPr>
          <w:spacing w:val="-5"/>
        </w:rPr>
        <w:t xml:space="preserve"> </w:t>
      </w:r>
      <w:r>
        <w:t>informed the costing process for Round 22 (2017–18) of the NHCDC.</w:t>
      </w:r>
    </w:p>
    <w:p w14:paraId="430AA45A" w14:textId="77777777" w:rsidR="00C415F5" w:rsidRPr="00382CDF" w:rsidRDefault="00603DEC" w:rsidP="00382CDF">
      <w:pPr>
        <w:pStyle w:val="Heading3"/>
        <w:ind w:left="142"/>
      </w:pPr>
      <w:r w:rsidRPr="00382CDF">
        <w:t>5.4.2 Phasing out the private patient correction factor</w:t>
      </w:r>
    </w:p>
    <w:p w14:paraId="0A4FE0DF" w14:textId="77777777" w:rsidR="00C415F5" w:rsidRDefault="00603DEC" w:rsidP="006043DB">
      <w:pPr>
        <w:pStyle w:val="BodyText"/>
        <w:ind w:left="142"/>
      </w:pPr>
      <w:r>
        <w:t>The private patient correction factor was introduced as an interim solution for the issue of missing private</w:t>
      </w:r>
      <w:r w:rsidR="006043DB">
        <w:t xml:space="preserve"> </w:t>
      </w:r>
      <w:r>
        <w:t xml:space="preserve">patient costs in the NHCDC. Submissions in response to previous consultation papers on the </w:t>
      </w:r>
      <w:r>
        <w:rPr>
          <w:i/>
        </w:rPr>
        <w:t xml:space="preserve">Pricing Framework for Australian Public Hospital Services </w:t>
      </w:r>
      <w:r>
        <w:t>have supported phasing out the correction factor when feasible.</w:t>
      </w:r>
    </w:p>
    <w:p w14:paraId="35728C20" w14:textId="77777777" w:rsidR="00C415F5" w:rsidRDefault="00603DEC" w:rsidP="00382CDF">
      <w:pPr>
        <w:pStyle w:val="BodyText"/>
        <w:ind w:left="142"/>
      </w:pPr>
      <w:r>
        <w:rPr>
          <w:spacing w:val="-3"/>
        </w:rPr>
        <w:t xml:space="preserve">IHPA </w:t>
      </w:r>
      <w:r>
        <w:t xml:space="preserve">has worked with its NHCDC Advisory Committee to assess the accuracy and national consistency in the implementation of the AHPCS Version 4.0. </w:t>
      </w:r>
      <w:r>
        <w:rPr>
          <w:spacing w:val="-3"/>
        </w:rPr>
        <w:t xml:space="preserve">For </w:t>
      </w:r>
      <w:r>
        <w:t xml:space="preserve">Round </w:t>
      </w:r>
      <w:r>
        <w:rPr>
          <w:spacing w:val="-16"/>
        </w:rPr>
        <w:t xml:space="preserve">22 </w:t>
      </w:r>
      <w:r>
        <w:t xml:space="preserve">NHCDC, </w:t>
      </w:r>
      <w:r>
        <w:rPr>
          <w:spacing w:val="-3"/>
        </w:rPr>
        <w:t xml:space="preserve">IHPA </w:t>
      </w:r>
      <w:r>
        <w:t>requested hospitals to provide a</w:t>
      </w:r>
      <w:r>
        <w:rPr>
          <w:spacing w:val="-8"/>
        </w:rPr>
        <w:t xml:space="preserve"> </w:t>
      </w:r>
      <w:r>
        <w:t>detailed</w:t>
      </w:r>
      <w:r w:rsidR="00382CDF">
        <w:t xml:space="preserve"> </w:t>
      </w:r>
      <w:r>
        <w:t xml:space="preserve">self-assessment describing their application of the </w:t>
      </w:r>
      <w:r>
        <w:rPr>
          <w:spacing w:val="-4"/>
        </w:rPr>
        <w:t xml:space="preserve">AHPCS </w:t>
      </w:r>
      <w:r>
        <w:t xml:space="preserve">costing standards and business rules. </w:t>
      </w:r>
      <w:r>
        <w:rPr>
          <w:spacing w:val="-4"/>
        </w:rPr>
        <w:t xml:space="preserve">This </w:t>
      </w:r>
      <w:r>
        <w:t xml:space="preserve">was provided at either the state or territory or Local Hospital Network (LHN) level. </w:t>
      </w:r>
      <w:r>
        <w:rPr>
          <w:spacing w:val="-6"/>
        </w:rPr>
        <w:t xml:space="preserve">The </w:t>
      </w:r>
      <w:r>
        <w:t>assessment included information relating to how private patients were costed in public</w:t>
      </w:r>
      <w:r>
        <w:rPr>
          <w:spacing w:val="-7"/>
        </w:rPr>
        <w:t xml:space="preserve"> </w:t>
      </w:r>
      <w:r>
        <w:t>hospitals.</w:t>
      </w:r>
      <w:r w:rsidR="00382CDF">
        <w:t xml:space="preserve"> </w:t>
      </w:r>
      <w:r>
        <w:t>A summary of the results will be included in the Round 22 NHCDC Cost Report and IHPA will work with states</w:t>
      </w:r>
      <w:r w:rsidR="00382CDF">
        <w:t xml:space="preserve"> </w:t>
      </w:r>
      <w:r>
        <w:t>and territories to ascertain whether private patient costs in public hospitals are adequately captured.</w:t>
      </w:r>
    </w:p>
    <w:p w14:paraId="06767B8C" w14:textId="77777777" w:rsidR="00C415F5" w:rsidRDefault="00BE25FA" w:rsidP="00382CDF">
      <w:pPr>
        <w:pStyle w:val="BodyText"/>
        <w:ind w:left="142"/>
      </w:pPr>
      <w:r>
        <w:rPr>
          <w:noProof/>
        </w:rPr>
        <w:drawing>
          <wp:anchor distT="0" distB="0" distL="114300" distR="114300" simplePos="0" relativeHeight="251662848" behindDoc="0" locked="0" layoutInCell="1" allowOverlap="1" wp14:anchorId="30307CEC" wp14:editId="4F3542AC">
            <wp:simplePos x="0" y="0"/>
            <wp:positionH relativeFrom="column">
              <wp:posOffset>266065</wp:posOffset>
            </wp:positionH>
            <wp:positionV relativeFrom="page">
              <wp:posOffset>8337711</wp:posOffset>
            </wp:positionV>
            <wp:extent cx="240226" cy="21589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0226" cy="215899"/>
                    </a:xfrm>
                    <a:prstGeom prst="rect">
                      <a:avLst/>
                    </a:prstGeom>
                  </pic:spPr>
                </pic:pic>
              </a:graphicData>
            </a:graphic>
          </wp:anchor>
        </w:drawing>
      </w:r>
      <w:r w:rsidR="009E23A6">
        <w:rPr>
          <w:noProof/>
        </w:rPr>
        <w:pict w14:anchorId="494BB1A0">
          <v:shape id="_x0000_s1033" type="#_x0000_t202" alt="" style="position:absolute;left:0;text-align:left;margin-left:313.25pt;margin-top:60.15pt;width:211.7pt;height:86.5pt;z-index:-251643904;mso-wrap-style:square;mso-wrap-edited:f;mso-width-percent:0;mso-height-percent:0;mso-wrap-distance-left:0;mso-wrap-distance-right:0;mso-wrap-distance-bottom:11.35pt;mso-position-horizontal-relative:page;mso-position-vertical-relative:text;mso-width-percent:0;mso-height-percent:0;v-text-anchor:top" filled="f" strokecolor="#009ab8 [3209]">
            <v:textbox style="mso-next-textbox:#_x0000_s1033" inset="0,0,0,0">
              <w:txbxContent>
                <w:p w14:paraId="09C3A841" w14:textId="77777777" w:rsidR="005907C8" w:rsidRPr="00693365" w:rsidRDefault="005907C8" w:rsidP="00BE25FA">
                  <w:pPr>
                    <w:pStyle w:val="Questionheading"/>
                  </w:pPr>
                  <w:bookmarkStart w:id="20" w:name="_Consultation_questions_6"/>
                  <w:bookmarkEnd w:id="20"/>
                  <w:r>
                    <w:t>Consultation questions</w:t>
                  </w:r>
                </w:p>
                <w:p w14:paraId="321A79EA" w14:textId="77777777" w:rsidR="005907C8" w:rsidRDefault="005907C8" w:rsidP="00775A65">
                  <w:pPr>
                    <w:pStyle w:val="ListParagraph"/>
                    <w:ind w:left="567" w:right="243"/>
                  </w:pPr>
                  <w:r w:rsidRPr="00775A65">
                    <w:t>Is there any objection to IHPA phasing out the private patient correction factor for NEP20?</w:t>
                  </w:r>
                </w:p>
              </w:txbxContent>
            </v:textbox>
            <w10:wrap type="topAndBottom" anchorx="page"/>
          </v:shape>
        </w:pict>
      </w:r>
      <w:r w:rsidR="00603DEC">
        <w:t>Pending the results of this assessment, IHPA intends to phase out the private patient correction factor for NEP20.</w:t>
      </w:r>
    </w:p>
    <w:p w14:paraId="0A6E6E1F" w14:textId="77777777" w:rsidR="00C415F5" w:rsidRDefault="00C415F5">
      <w:pPr>
        <w:spacing w:line="256" w:lineRule="auto"/>
        <w:sectPr w:rsidR="00C415F5" w:rsidSect="00073029">
          <w:headerReference w:type="default" r:id="rId75"/>
          <w:pgSz w:w="11910" w:h="16840"/>
          <w:pgMar w:top="1440" w:right="1440" w:bottom="1440" w:left="1440" w:header="0" w:footer="656" w:gutter="0"/>
          <w:cols w:num="2" w:space="340"/>
        </w:sectPr>
      </w:pPr>
    </w:p>
    <w:p w14:paraId="498360F2" w14:textId="77777777" w:rsidR="00592035" w:rsidRPr="00F83327" w:rsidRDefault="00592035" w:rsidP="00592035">
      <w:pPr>
        <w:pStyle w:val="Heading1"/>
        <w:spacing w:after="3600"/>
        <w:rPr>
          <w:color w:val="FFFFFF" w:themeColor="background1"/>
        </w:rPr>
      </w:pPr>
      <w:bookmarkStart w:id="21" w:name="_6_Data_collection"/>
      <w:bookmarkEnd w:id="21"/>
      <w:r w:rsidRPr="00F83327">
        <w:rPr>
          <w:noProof/>
          <w:color w:val="FFFFFF" w:themeColor="background1"/>
        </w:rPr>
        <w:lastRenderedPageBreak/>
        <w:drawing>
          <wp:anchor distT="0" distB="0" distL="114300" distR="114300" simplePos="0" relativeHeight="251633664" behindDoc="1" locked="0" layoutInCell="1" allowOverlap="1" wp14:anchorId="77EA2B9A" wp14:editId="6D97A309">
            <wp:simplePos x="0" y="0"/>
            <wp:positionH relativeFrom="margin">
              <wp:posOffset>-914400</wp:posOffset>
            </wp:positionH>
            <wp:positionV relativeFrom="page">
              <wp:posOffset>954157</wp:posOffset>
            </wp:positionV>
            <wp:extent cx="5462267" cy="357746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Pr>
          <w:color w:val="FFFFFF" w:themeColor="background1"/>
        </w:rPr>
        <w:t>6</w:t>
      </w:r>
    </w:p>
    <w:p w14:paraId="502AFAE8" w14:textId="77777777" w:rsidR="00592035" w:rsidRDefault="00592035" w:rsidP="00592035">
      <w:pPr>
        <w:pStyle w:val="Heading1"/>
        <w:ind w:right="2651"/>
        <w:sectPr w:rsidR="00592035" w:rsidSect="008613E1">
          <w:headerReference w:type="default" r:id="rId77"/>
          <w:footerReference w:type="default" r:id="rId78"/>
          <w:pgSz w:w="11910" w:h="16840"/>
          <w:pgMar w:top="3970" w:right="1440" w:bottom="1440" w:left="1440" w:header="0" w:footer="656" w:gutter="0"/>
          <w:cols w:space="720"/>
        </w:sectPr>
      </w:pPr>
      <w:r>
        <w:t>Data collection</w:t>
      </w:r>
    </w:p>
    <w:p w14:paraId="1BE86BB4" w14:textId="77777777" w:rsidR="00C415F5" w:rsidRDefault="001445EA" w:rsidP="001445EA">
      <w:pPr>
        <w:pStyle w:val="Heading1"/>
        <w:ind w:left="227"/>
      </w:pPr>
      <w:r w:rsidRPr="001445EA">
        <w:rPr>
          <w:noProof/>
          <w:color w:val="FFFFFF" w:themeColor="background1"/>
        </w:rPr>
        <w:lastRenderedPageBreak/>
        <w:drawing>
          <wp:anchor distT="0" distB="0" distL="114300" distR="114300" simplePos="0" relativeHeight="251649536" behindDoc="1" locked="0" layoutInCell="1" allowOverlap="1" wp14:anchorId="6D568647" wp14:editId="2B6A554B">
            <wp:simplePos x="0" y="0"/>
            <wp:positionH relativeFrom="column">
              <wp:posOffset>-914400</wp:posOffset>
            </wp:positionH>
            <wp:positionV relativeFrom="page">
              <wp:posOffset>651179</wp:posOffset>
            </wp:positionV>
            <wp:extent cx="1685420" cy="94614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004A0BEE" w:rsidRPr="001445EA">
        <w:rPr>
          <w:color w:val="FFFFFF" w:themeColor="background1"/>
        </w:rPr>
        <w:t>6</w:t>
      </w:r>
      <w:r w:rsidR="004A0BEE">
        <w:tab/>
      </w:r>
      <w:r>
        <w:tab/>
      </w:r>
      <w:r w:rsidR="00603DEC">
        <w:t>Data collection</w:t>
      </w:r>
    </w:p>
    <w:p w14:paraId="3E788E90" w14:textId="77777777" w:rsidR="00C415F5" w:rsidRDefault="00C415F5" w:rsidP="003932A6">
      <w:pPr>
        <w:pStyle w:val="BodyText"/>
      </w:pPr>
    </w:p>
    <w:p w14:paraId="320210AA" w14:textId="77777777" w:rsidR="00C415F5" w:rsidRDefault="00C415F5">
      <w:pPr>
        <w:rPr>
          <w:rFonts w:ascii="Futura PT Heavy"/>
          <w:sz w:val="28"/>
        </w:rPr>
        <w:sectPr w:rsidR="00C415F5" w:rsidSect="002E3887">
          <w:headerReference w:type="default" r:id="rId80"/>
          <w:pgSz w:w="11910" w:h="16840"/>
          <w:pgMar w:top="1440" w:right="1440" w:bottom="1440" w:left="1440" w:header="0" w:footer="656" w:gutter="0"/>
          <w:cols w:space="720"/>
        </w:sectPr>
      </w:pPr>
    </w:p>
    <w:p w14:paraId="1446283F" w14:textId="77777777" w:rsidR="00C415F5" w:rsidRPr="006F4825" w:rsidRDefault="006F4825" w:rsidP="006F4825">
      <w:pPr>
        <w:pStyle w:val="Heading2"/>
      </w:pPr>
      <w:r>
        <w:t xml:space="preserve">6.1 </w:t>
      </w:r>
      <w:r w:rsidR="00603DEC" w:rsidRPr="006F4825">
        <w:t>Overview</w:t>
      </w:r>
    </w:p>
    <w:p w14:paraId="6282AE3C" w14:textId="77777777" w:rsidR="00C415F5" w:rsidRDefault="00603DEC" w:rsidP="003932A6">
      <w:pPr>
        <w:pStyle w:val="BodyText"/>
      </w:pPr>
      <w:r>
        <w:t>IHPA requires accurate activity, cost and expenditure data from states and territories on a timely basis in order to perform its core determinative functions including the NEP and NEC Determinations. To determine the NEP and NEC, IHPA must first specify the classifications, counting rules, data and coding standards, as well as the methods and standards for costing data.</w:t>
      </w:r>
    </w:p>
    <w:p w14:paraId="4A631A39" w14:textId="77777777" w:rsidR="00C415F5" w:rsidRDefault="00603DEC" w:rsidP="003932A6">
      <w:pPr>
        <w:pStyle w:val="BodyText"/>
      </w:pPr>
      <w:r>
        <w:t xml:space="preserve">Guided by the single provision, multiple use concept, IHPA is committed to the principle of data </w:t>
      </w:r>
      <w:proofErr w:type="spellStart"/>
      <w:r>
        <w:t>rationalisation</w:t>
      </w:r>
      <w:proofErr w:type="spellEnd"/>
      <w:r>
        <w:t xml:space="preserve"> as outlined in the NHRA.</w:t>
      </w:r>
    </w:p>
    <w:p w14:paraId="56F1E229" w14:textId="77777777" w:rsidR="00C415F5" w:rsidRPr="006F4825" w:rsidRDefault="006F4825" w:rsidP="00BA1222">
      <w:pPr>
        <w:pStyle w:val="Heading2"/>
        <w:spacing w:before="360"/>
      </w:pPr>
      <w:r>
        <w:t xml:space="preserve">6.2 </w:t>
      </w:r>
      <w:r w:rsidR="00603DEC" w:rsidRPr="006F4825">
        <w:t>Phasing out aggregate non-admitted data reporting</w:t>
      </w:r>
    </w:p>
    <w:p w14:paraId="187E167D" w14:textId="77777777" w:rsidR="00C415F5" w:rsidRDefault="00603DEC" w:rsidP="003932A6">
      <w:pPr>
        <w:pStyle w:val="BodyText"/>
      </w:pPr>
      <w:r>
        <w:t xml:space="preserve">States and territories are required to submit public </w:t>
      </w:r>
      <w:r>
        <w:rPr>
          <w:spacing w:val="-3"/>
        </w:rPr>
        <w:t xml:space="preserve">hospital </w:t>
      </w:r>
      <w:r>
        <w:t xml:space="preserve">activity data at the patient level wherever possible on a quarterly basis. </w:t>
      </w:r>
      <w:r>
        <w:rPr>
          <w:spacing w:val="-6"/>
        </w:rPr>
        <w:t xml:space="preserve">The </w:t>
      </w:r>
      <w:r>
        <w:t xml:space="preserve">patient level data is used by </w:t>
      </w:r>
      <w:r>
        <w:rPr>
          <w:spacing w:val="-3"/>
        </w:rPr>
        <w:t xml:space="preserve">IHPA </w:t>
      </w:r>
      <w:r>
        <w:t>to determine the price weights in the NEP</w:t>
      </w:r>
      <w:r>
        <w:rPr>
          <w:spacing w:val="-2"/>
        </w:rPr>
        <w:t xml:space="preserve"> </w:t>
      </w:r>
      <w:r>
        <w:t>Determination.</w:t>
      </w:r>
    </w:p>
    <w:p w14:paraId="383179D9" w14:textId="77777777" w:rsidR="00C415F5" w:rsidRDefault="00603DEC" w:rsidP="003932A6">
      <w:pPr>
        <w:pStyle w:val="BodyText"/>
      </w:pPr>
      <w:r>
        <w:rPr>
          <w:spacing w:val="-3"/>
        </w:rPr>
        <w:t xml:space="preserve">While </w:t>
      </w:r>
      <w:r>
        <w:t>states and territories have increased the reporting</w:t>
      </w:r>
      <w:r>
        <w:rPr>
          <w:spacing w:val="-19"/>
        </w:rPr>
        <w:t xml:space="preserve"> </w:t>
      </w:r>
      <w:r>
        <w:rPr>
          <w:spacing w:val="-6"/>
        </w:rPr>
        <w:t xml:space="preserve">of </w:t>
      </w:r>
      <w:r>
        <w:t xml:space="preserve">patient level non-admitted service events since </w:t>
      </w:r>
      <w:r>
        <w:rPr>
          <w:spacing w:val="-8"/>
        </w:rPr>
        <w:t xml:space="preserve">2012–13, </w:t>
      </w:r>
      <w:r>
        <w:t xml:space="preserve">this data has not accounted for all services delivered by states and territories. </w:t>
      </w:r>
      <w:r>
        <w:rPr>
          <w:spacing w:val="-3"/>
        </w:rPr>
        <w:t xml:space="preserve">IHPA </w:t>
      </w:r>
      <w:r>
        <w:t>has allowed for</w:t>
      </w:r>
      <w:r>
        <w:rPr>
          <w:spacing w:val="1"/>
        </w:rPr>
        <w:t xml:space="preserve"> </w:t>
      </w:r>
      <w:r>
        <w:t>aggregate</w:t>
      </w:r>
      <w:r w:rsidR="00BA1222">
        <w:t xml:space="preserve"> </w:t>
      </w:r>
      <w:r>
        <w:t>non-admitted data reporting by states and territories to ensure that all activity is captured. The move towards patient level data is a crucial step in improving data reliability and embedding the reporting arrangements required for the new patient-</w:t>
      </w:r>
      <w:proofErr w:type="spellStart"/>
      <w:r>
        <w:t>centred</w:t>
      </w:r>
      <w:proofErr w:type="spellEnd"/>
      <w:r>
        <w:t xml:space="preserve"> ANACC.</w:t>
      </w:r>
    </w:p>
    <w:p w14:paraId="5D1C5BC3" w14:textId="77777777" w:rsidR="00C415F5" w:rsidRDefault="00603DEC" w:rsidP="003932A6">
      <w:pPr>
        <w:pStyle w:val="BodyText"/>
      </w:pPr>
      <w:r>
        <w:t>IHPA will phase out the collection of aggregate</w:t>
      </w:r>
      <w:r w:rsidR="00BA1222">
        <w:t xml:space="preserve"> </w:t>
      </w:r>
      <w:r>
        <w:t xml:space="preserve">non-admitted data from 1 July 2019. This was previously outlined in the </w:t>
      </w:r>
      <w:hyperlink r:id="rId81">
        <w:r>
          <w:rPr>
            <w:color w:val="008F54"/>
            <w:u w:val="single" w:color="008F54"/>
          </w:rPr>
          <w:t>Three Year Data Plan for 2018–</w:t>
        </w:r>
        <w:r>
          <w:rPr>
            <w:color w:val="008F54"/>
            <w:w w:val="40"/>
            <w:u w:val="single" w:color="008F54"/>
          </w:rPr>
          <w:t>1</w:t>
        </w:r>
        <w:r>
          <w:rPr>
            <w:color w:val="008F54"/>
            <w:u w:val="single" w:color="008F54"/>
          </w:rPr>
          <w:t>9</w:t>
        </w:r>
      </w:hyperlink>
      <w:r w:rsidR="00BA1222">
        <w:rPr>
          <w:color w:val="008F54"/>
          <w:u w:val="single" w:color="008F54"/>
        </w:rPr>
        <w:t xml:space="preserve"> </w:t>
      </w:r>
      <w:hyperlink r:id="rId82">
        <w:r>
          <w:rPr>
            <w:color w:val="008F54"/>
            <w:u w:val="single" w:color="008F54"/>
          </w:rPr>
          <w:t xml:space="preserve">to </w:t>
        </w:r>
        <w:r>
          <w:rPr>
            <w:color w:val="008F54"/>
            <w:spacing w:val="-7"/>
            <w:u w:val="single" w:color="008F54"/>
          </w:rPr>
          <w:t>2020–21</w:t>
        </w:r>
      </w:hyperlink>
      <w:r>
        <w:rPr>
          <w:spacing w:val="-7"/>
        </w:rPr>
        <w:t xml:space="preserve">. </w:t>
      </w:r>
      <w:r>
        <w:t xml:space="preserve">During </w:t>
      </w:r>
      <w:r>
        <w:rPr>
          <w:spacing w:val="-12"/>
        </w:rPr>
        <w:t xml:space="preserve">2019, </w:t>
      </w:r>
      <w:r>
        <w:rPr>
          <w:spacing w:val="-3"/>
        </w:rPr>
        <w:t xml:space="preserve">IHPA </w:t>
      </w:r>
      <w:r>
        <w:t xml:space="preserve">will work with states </w:t>
      </w:r>
      <w:r>
        <w:rPr>
          <w:spacing w:val="-5"/>
        </w:rPr>
        <w:t xml:space="preserve">and </w:t>
      </w:r>
      <w:r>
        <w:t>territories to address outstanding issues related to patient level reporting and agree a timeline for a patient level non-admitted national minimum data set.</w:t>
      </w:r>
    </w:p>
    <w:p w14:paraId="23F93131" w14:textId="77777777" w:rsidR="00C415F5" w:rsidRPr="00BA1222" w:rsidRDefault="00603DEC" w:rsidP="00BA1222">
      <w:pPr>
        <w:pStyle w:val="Heading2"/>
        <w:ind w:left="142"/>
      </w:pPr>
      <w:r>
        <w:rPr>
          <w:spacing w:val="-6"/>
        </w:rPr>
        <w:br w:type="column"/>
      </w:r>
      <w:r w:rsidR="00BA1222">
        <w:rPr>
          <w:spacing w:val="-6"/>
        </w:rPr>
        <w:t xml:space="preserve">6.3 </w:t>
      </w:r>
      <w:r w:rsidRPr="00BA1222">
        <w:t>Access to public hospital data</w:t>
      </w:r>
    </w:p>
    <w:p w14:paraId="29E0E71D" w14:textId="77777777" w:rsidR="00C415F5" w:rsidRDefault="00603DEC" w:rsidP="00BA1222">
      <w:pPr>
        <w:pStyle w:val="BodyText"/>
        <w:ind w:left="142"/>
      </w:pPr>
      <w:r>
        <w:t xml:space="preserve">IHPA is committed to ensuring information is open and accessible while </w:t>
      </w:r>
      <w:proofErr w:type="spellStart"/>
      <w:r>
        <w:t>recognising</w:t>
      </w:r>
      <w:proofErr w:type="spellEnd"/>
      <w:r>
        <w:t xml:space="preserve"> the obligation to</w:t>
      </w:r>
      <w:r w:rsidR="00BA1222">
        <w:t xml:space="preserve"> </w:t>
      </w:r>
      <w:r>
        <w:t>protect the privacy of individuals and the confidentiality of information.</w:t>
      </w:r>
    </w:p>
    <w:p w14:paraId="340F13DC" w14:textId="77777777" w:rsidR="00C415F5" w:rsidRDefault="00603DEC" w:rsidP="00BA1222">
      <w:pPr>
        <w:pStyle w:val="BodyText"/>
        <w:ind w:left="142"/>
      </w:pPr>
      <w:r>
        <w:t>A significant amount of public hospital data and related information is already available</w:t>
      </w:r>
      <w:r>
        <w:rPr>
          <w:spacing w:val="-8"/>
        </w:rPr>
        <w:t xml:space="preserve"> </w:t>
      </w:r>
      <w:r>
        <w:rPr>
          <w:spacing w:val="-6"/>
        </w:rPr>
        <w:t>via</w:t>
      </w:r>
      <w:r w:rsidR="00BA1222">
        <w:rPr>
          <w:spacing w:val="-6"/>
        </w:rPr>
        <w:t xml:space="preserve"> </w:t>
      </w:r>
      <w:r>
        <w:t xml:space="preserve">IHPA’s website. This includes the </w:t>
      </w:r>
      <w:hyperlink r:id="rId83">
        <w:r>
          <w:rPr>
            <w:color w:val="008F54"/>
            <w:u w:val="single" w:color="008F54"/>
          </w:rPr>
          <w:t>NHCDC Report</w:t>
        </w:r>
      </w:hyperlink>
      <w:r>
        <w:rPr>
          <w:color w:val="008F54"/>
        </w:rPr>
        <w:t xml:space="preserve"> </w:t>
      </w:r>
      <w:r>
        <w:t xml:space="preserve">and the </w:t>
      </w:r>
      <w:hyperlink r:id="rId84">
        <w:r>
          <w:rPr>
            <w:color w:val="008F54"/>
            <w:u w:val="single" w:color="008F54"/>
          </w:rPr>
          <w:t>NEP</w:t>
        </w:r>
      </w:hyperlink>
      <w:r>
        <w:rPr>
          <w:color w:val="008F54"/>
        </w:rPr>
        <w:t xml:space="preserve"> </w:t>
      </w:r>
      <w:r>
        <w:t xml:space="preserve">and </w:t>
      </w:r>
      <w:hyperlink r:id="rId85">
        <w:r>
          <w:rPr>
            <w:color w:val="008F54"/>
            <w:u w:val="single" w:color="008F54"/>
          </w:rPr>
          <w:t>NEC Determinations</w:t>
        </w:r>
      </w:hyperlink>
      <w:r>
        <w:t xml:space="preserve">. IHPA cost data is also available on the AIHW </w:t>
      </w:r>
      <w:hyperlink r:id="rId86">
        <w:proofErr w:type="spellStart"/>
        <w:r>
          <w:rPr>
            <w:color w:val="008F54"/>
            <w:u w:val="single" w:color="008F54"/>
          </w:rPr>
          <w:t>MyHospitals</w:t>
        </w:r>
        <w:proofErr w:type="spellEnd"/>
      </w:hyperlink>
      <w:r>
        <w:rPr>
          <w:color w:val="008F54"/>
        </w:rPr>
        <w:t xml:space="preserve"> </w:t>
      </w:r>
      <w:r>
        <w:t>website.</w:t>
      </w:r>
    </w:p>
    <w:p w14:paraId="4179ADF9" w14:textId="77777777" w:rsidR="00C415F5" w:rsidRDefault="00603DEC" w:rsidP="00BA1222">
      <w:pPr>
        <w:pStyle w:val="BodyText"/>
        <w:ind w:left="142"/>
      </w:pPr>
      <w:r>
        <w:t xml:space="preserve">This information has informed work and publications by research </w:t>
      </w:r>
      <w:proofErr w:type="spellStart"/>
      <w:r>
        <w:t>organisations</w:t>
      </w:r>
      <w:proofErr w:type="spellEnd"/>
      <w:r>
        <w:t>, peak bodies and governments regarding trends in the average cost of public</w:t>
      </w:r>
      <w:r w:rsidR="00BA1222">
        <w:t xml:space="preserve"> </w:t>
      </w:r>
      <w:r>
        <w:t>hospital care.</w:t>
      </w:r>
    </w:p>
    <w:p w14:paraId="7413F522" w14:textId="77777777" w:rsidR="00C415F5" w:rsidRDefault="00603DEC" w:rsidP="00BA1222">
      <w:pPr>
        <w:pStyle w:val="BodyText"/>
        <w:ind w:left="142"/>
      </w:pPr>
      <w:r>
        <w:t xml:space="preserve">IHPA can also release public hospital data to government agencies and researchers under the </w:t>
      </w:r>
      <w:r>
        <w:rPr>
          <w:i/>
        </w:rPr>
        <w:t xml:space="preserve">National Health Reform Act 2011 </w:t>
      </w:r>
      <w:r>
        <w:t>(</w:t>
      </w:r>
      <w:proofErr w:type="spellStart"/>
      <w:r>
        <w:t>Cth</w:t>
      </w:r>
      <w:proofErr w:type="spellEnd"/>
      <w:r>
        <w:t>). IHPA may release data to specified government agencies to help them perform</w:t>
      </w:r>
      <w:r w:rsidR="00BA1222">
        <w:t xml:space="preserve"> </w:t>
      </w:r>
      <w:r>
        <w:t xml:space="preserve">their functions, as well as to other third parties to benefit research activity. Further information is available on </w:t>
      </w:r>
      <w:hyperlink r:id="rId87">
        <w:r>
          <w:rPr>
            <w:color w:val="008F54"/>
            <w:u w:val="single" w:color="008F54"/>
          </w:rPr>
          <w:t>IHPA’s website</w:t>
        </w:r>
      </w:hyperlink>
      <w:r>
        <w:t>.</w:t>
      </w:r>
    </w:p>
    <w:p w14:paraId="3CB004B9" w14:textId="77777777" w:rsidR="00C415F5" w:rsidRDefault="00603DEC" w:rsidP="00BA1222">
      <w:pPr>
        <w:pStyle w:val="BodyText"/>
        <w:ind w:left="142"/>
      </w:pPr>
      <w:r>
        <w:t>IHPA also operates a National Benchmarking Portal (NBP) which contains activity, cost and hospital acquired complication rate data at a hospital level. Access to the NBP is available to state and territory health departments and all public hospital staff, with access control administered by states and territories.</w:t>
      </w:r>
    </w:p>
    <w:p w14:paraId="47B21249" w14:textId="77777777" w:rsidR="00C415F5" w:rsidRDefault="00603DEC" w:rsidP="00BA1222">
      <w:pPr>
        <w:pStyle w:val="BodyText"/>
        <w:ind w:left="142"/>
      </w:pPr>
      <w:r>
        <w:t>In some states and territories access has been made available widely, allowing hospital staff to benchmark cost and quality information against peer hospitals around the country. In other states and territories, access has been limited to health department staff only.</w:t>
      </w:r>
    </w:p>
    <w:p w14:paraId="157455A3" w14:textId="77777777" w:rsidR="00C415F5" w:rsidRDefault="00C415F5">
      <w:pPr>
        <w:spacing w:line="256" w:lineRule="auto"/>
        <w:sectPr w:rsidR="00C415F5" w:rsidSect="00D06176">
          <w:type w:val="continuous"/>
          <w:pgSz w:w="11910" w:h="16840"/>
          <w:pgMar w:top="1440" w:right="1440" w:bottom="1440" w:left="1440" w:header="720" w:footer="720" w:gutter="0"/>
          <w:cols w:num="2" w:space="340"/>
        </w:sectPr>
      </w:pPr>
    </w:p>
    <w:p w14:paraId="2B05FCE6" w14:textId="77777777" w:rsidR="00C415F5" w:rsidRDefault="00603DEC" w:rsidP="003932A6">
      <w:pPr>
        <w:pStyle w:val="BodyText"/>
      </w:pPr>
      <w:bookmarkStart w:id="22" w:name="_bookmark13"/>
      <w:bookmarkEnd w:id="22"/>
      <w:r>
        <w:lastRenderedPageBreak/>
        <w:t>The Pricing Authority considers that open access to data, alongside appropriate privacy protections can enhance policy decisions, serve the interests of transparency and improve patient outcomes. As such, IHPA intends to make access to the NBP publicly available in future years,</w:t>
      </w:r>
      <w:r w:rsidR="003E629D">
        <w:t xml:space="preserve"> </w:t>
      </w:r>
      <w:r>
        <w:t xml:space="preserve">to allow this important data asset to be used by a wider audience, including clinicians, hospital </w:t>
      </w:r>
      <w:r>
        <w:rPr>
          <w:spacing w:val="-3"/>
        </w:rPr>
        <w:t xml:space="preserve">managers </w:t>
      </w:r>
      <w:r>
        <w:t>and</w:t>
      </w:r>
      <w:r>
        <w:rPr>
          <w:spacing w:val="-1"/>
        </w:rPr>
        <w:t xml:space="preserve"> </w:t>
      </w:r>
      <w:r>
        <w:t>researchers.</w:t>
      </w:r>
    </w:p>
    <w:p w14:paraId="1FC3BD40" w14:textId="77777777" w:rsidR="00C415F5" w:rsidRDefault="008B279A" w:rsidP="003932A6">
      <w:pPr>
        <w:pStyle w:val="BodyText"/>
      </w:pPr>
      <w:r>
        <w:rPr>
          <w:noProof/>
        </w:rPr>
        <w:drawing>
          <wp:anchor distT="0" distB="0" distL="114300" distR="114300" simplePos="0" relativeHeight="251664896" behindDoc="0" locked="0" layoutInCell="1" allowOverlap="1" wp14:anchorId="2956EFB2" wp14:editId="07364427">
            <wp:simplePos x="0" y="0"/>
            <wp:positionH relativeFrom="column">
              <wp:posOffset>177421</wp:posOffset>
            </wp:positionH>
            <wp:positionV relativeFrom="page">
              <wp:posOffset>3991970</wp:posOffset>
            </wp:positionV>
            <wp:extent cx="240225" cy="21589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0225" cy="215899"/>
                    </a:xfrm>
                    <a:prstGeom prst="rect">
                      <a:avLst/>
                    </a:prstGeom>
                  </pic:spPr>
                </pic:pic>
              </a:graphicData>
            </a:graphic>
          </wp:anchor>
        </w:drawing>
      </w:r>
      <w:r w:rsidR="009E23A6">
        <w:rPr>
          <w:noProof/>
        </w:rPr>
        <w:pict w14:anchorId="47E14065">
          <v:shape id="_x0000_s1032" type="#_x0000_t202" alt="" style="position:absolute;margin-left:72.25pt;margin-top:117.2pt;width:204.25pt;height:99.55pt;z-index:-251642880;mso-wrap-style:square;mso-wrap-edited:f;mso-width-percent:0;mso-height-percent:0;mso-wrap-distance-left:0;mso-wrap-distance-right:0;mso-wrap-distance-bottom:11.35pt;mso-position-horizontal-relative:page;mso-position-vertical-relative:text;mso-width-percent:0;mso-height-percent:0;v-text-anchor:top" filled="f" strokecolor="#c31f48 [3206]">
            <v:textbox style="mso-next-textbox:#_x0000_s1032" inset="0,0,0,0">
              <w:txbxContent>
                <w:p w14:paraId="403327BB" w14:textId="77777777" w:rsidR="005907C8" w:rsidRPr="00693365" w:rsidRDefault="005907C8" w:rsidP="008B279A">
                  <w:pPr>
                    <w:pStyle w:val="Questionheading"/>
                  </w:pPr>
                  <w:r>
                    <w:t>Consultation questions</w:t>
                  </w:r>
                </w:p>
                <w:p w14:paraId="05880349" w14:textId="77777777" w:rsidR="005907C8" w:rsidRDefault="005907C8" w:rsidP="00E941CF">
                  <w:pPr>
                    <w:pStyle w:val="ListParagraph"/>
                    <w:ind w:left="567" w:right="243"/>
                  </w:pPr>
                  <w:r w:rsidRPr="00E941CF">
                    <w:t>Do you support IHPA making the NBP publicly available, with appropriate safeguards in place to protect patient privacy?</w:t>
                  </w:r>
                </w:p>
              </w:txbxContent>
            </v:textbox>
            <w10:wrap type="topAndBottom" anchorx="page"/>
          </v:shape>
        </w:pict>
      </w:r>
      <w:r w:rsidR="00603DEC">
        <w:rPr>
          <w:spacing w:val="-3"/>
        </w:rPr>
        <w:t xml:space="preserve">IHPA </w:t>
      </w:r>
      <w:r w:rsidR="00603DEC">
        <w:t xml:space="preserve">also intends to develop public reports on subjects that are relevant to </w:t>
      </w:r>
      <w:r w:rsidR="00603DEC">
        <w:rPr>
          <w:spacing w:val="-3"/>
        </w:rPr>
        <w:t xml:space="preserve">IHPA </w:t>
      </w:r>
      <w:r w:rsidR="00603DEC">
        <w:t xml:space="preserve">functions under the </w:t>
      </w:r>
      <w:r w:rsidR="00603DEC">
        <w:rPr>
          <w:i/>
        </w:rPr>
        <w:t xml:space="preserve">National Health Reform Act </w:t>
      </w:r>
      <w:r w:rsidR="00603DEC">
        <w:rPr>
          <w:i/>
          <w:spacing w:val="-6"/>
        </w:rPr>
        <w:t xml:space="preserve">2011 </w:t>
      </w:r>
      <w:r w:rsidR="00603DEC">
        <w:t>(</w:t>
      </w:r>
      <w:proofErr w:type="spellStart"/>
      <w:r w:rsidR="00603DEC">
        <w:t>Cth</w:t>
      </w:r>
      <w:proofErr w:type="spellEnd"/>
      <w:r w:rsidR="00603DEC">
        <w:t xml:space="preserve">). </w:t>
      </w:r>
      <w:r w:rsidR="00603DEC">
        <w:rPr>
          <w:spacing w:val="-3"/>
        </w:rPr>
        <w:t xml:space="preserve">For </w:t>
      </w:r>
      <w:r w:rsidR="00603DEC">
        <w:t xml:space="preserve">example, this might include hospital cost information, analysis </w:t>
      </w:r>
      <w:r w:rsidR="00603DEC">
        <w:rPr>
          <w:spacing w:val="-9"/>
        </w:rPr>
        <w:t>of</w:t>
      </w:r>
      <w:r w:rsidR="003E629D">
        <w:rPr>
          <w:spacing w:val="-9"/>
        </w:rPr>
        <w:t xml:space="preserve"> </w:t>
      </w:r>
      <w:r w:rsidR="00603DEC">
        <w:t>the growth in activity and the impact of the introduction of funding adjustments for hospital acquired complications into the national pricing model.</w:t>
      </w:r>
    </w:p>
    <w:p w14:paraId="334014D8" w14:textId="77777777" w:rsidR="00C415F5" w:rsidRPr="003E629D" w:rsidRDefault="003E629D" w:rsidP="003E629D">
      <w:pPr>
        <w:pStyle w:val="Heading2"/>
        <w:spacing w:before="360"/>
      </w:pPr>
      <w:r>
        <w:t xml:space="preserve">6.4 </w:t>
      </w:r>
      <w:r w:rsidR="00603DEC" w:rsidRPr="003E629D">
        <w:t>Unique patient identifier</w:t>
      </w:r>
    </w:p>
    <w:p w14:paraId="3C6C7F15" w14:textId="77777777" w:rsidR="00C415F5" w:rsidRDefault="009E23A6" w:rsidP="003932A6">
      <w:pPr>
        <w:pStyle w:val="BodyText"/>
      </w:pPr>
      <w:r>
        <w:rPr>
          <w:noProof/>
        </w:rPr>
        <w:pict w14:anchorId="27702D52">
          <v:shape id="_x0000_s1031" type="#_x0000_t202" alt="" style="position:absolute;margin-left:313.4pt;margin-top:53.65pt;width:222.9pt;height:132.5pt;z-index:-251641856;mso-wrap-style:square;mso-wrap-edited:f;mso-width-percent:0;mso-height-percent:0;mso-wrap-distance-left:0;mso-wrap-distance-right:0;mso-wrap-distance-bottom:11.35pt;mso-position-horizontal-relative:page;mso-width-percent:0;mso-height-percent:0;v-text-anchor:top" filled="f" strokecolor="#c31f48 [3206]">
            <v:textbox style="mso-next-textbox:#_x0000_s1031" inset="0,0,0,0">
              <w:txbxContent>
                <w:p w14:paraId="71D1D344" w14:textId="77777777" w:rsidR="005907C8" w:rsidRPr="00693365" w:rsidRDefault="005907C8" w:rsidP="008B279A">
                  <w:pPr>
                    <w:pStyle w:val="Questionheading"/>
                  </w:pPr>
                  <w:r>
                    <w:t>Consultation questions</w:t>
                  </w:r>
                </w:p>
                <w:p w14:paraId="19A2CD31" w14:textId="77777777" w:rsidR="005907C8" w:rsidRDefault="005907C8" w:rsidP="00A71013">
                  <w:pPr>
                    <w:pStyle w:val="ListParagraph"/>
                    <w:ind w:left="567" w:right="246"/>
                  </w:pPr>
                  <w:r>
                    <w:t xml:space="preserve">What are the estimated costs of collecting the IHI in your state or territory? </w:t>
                  </w:r>
                </w:p>
                <w:p w14:paraId="15A6A373" w14:textId="77777777" w:rsidR="005907C8" w:rsidRDefault="005907C8" w:rsidP="00A71013">
                  <w:pPr>
                    <w:pStyle w:val="ListParagraph"/>
                    <w:ind w:left="567" w:right="246"/>
                  </w:pPr>
                  <w:r>
                    <w:t>Would you support the introduction of an incentive payment or other mechanism to assist in covering these costs for a limited time period?</w:t>
                  </w:r>
                </w:p>
              </w:txbxContent>
            </v:textbox>
            <w10:wrap type="topAndBottom" anchorx="page"/>
          </v:shape>
        </w:pict>
      </w:r>
      <w:r w:rsidR="00603DEC">
        <w:t xml:space="preserve">A unique patient identifier would allow </w:t>
      </w:r>
      <w:r w:rsidR="00603DEC">
        <w:rPr>
          <w:spacing w:val="-3"/>
        </w:rPr>
        <w:t xml:space="preserve">IHPA </w:t>
      </w:r>
      <w:r w:rsidR="00603DEC">
        <w:t xml:space="preserve">to </w:t>
      </w:r>
      <w:r w:rsidR="00603DEC">
        <w:rPr>
          <w:spacing w:val="-3"/>
        </w:rPr>
        <w:t xml:space="preserve">accurately </w:t>
      </w:r>
      <w:r w:rsidR="00603DEC">
        <w:t>identify service delivery to patients across different</w:t>
      </w:r>
      <w:r w:rsidR="003E629D">
        <w:t xml:space="preserve"> </w:t>
      </w:r>
      <w:r w:rsidR="00603DEC">
        <w:t>care settings, financial years and hospitals.</w:t>
      </w:r>
    </w:p>
    <w:p w14:paraId="29540F96" w14:textId="77777777" w:rsidR="00C415F5" w:rsidRDefault="008B279A" w:rsidP="003932A6">
      <w:pPr>
        <w:pStyle w:val="BodyText"/>
      </w:pPr>
      <w:r>
        <w:rPr>
          <w:noProof/>
        </w:rPr>
        <w:drawing>
          <wp:anchor distT="0" distB="0" distL="114300" distR="114300" simplePos="0" relativeHeight="251666944" behindDoc="0" locked="0" layoutInCell="1" allowOverlap="1" wp14:anchorId="15877956" wp14:editId="094683DB">
            <wp:simplePos x="0" y="0"/>
            <wp:positionH relativeFrom="column">
              <wp:posOffset>3234529</wp:posOffset>
            </wp:positionH>
            <wp:positionV relativeFrom="page">
              <wp:posOffset>6859905</wp:posOffset>
            </wp:positionV>
            <wp:extent cx="240225" cy="21589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0225" cy="215899"/>
                    </a:xfrm>
                    <a:prstGeom prst="rect">
                      <a:avLst/>
                    </a:prstGeom>
                  </pic:spPr>
                </pic:pic>
              </a:graphicData>
            </a:graphic>
          </wp:anchor>
        </w:drawing>
      </w:r>
      <w:r w:rsidR="00603DEC">
        <w:t>Linked patient data would provide broad benefits to</w:t>
      </w:r>
      <w:r w:rsidR="003E629D">
        <w:t xml:space="preserve"> </w:t>
      </w:r>
      <w:r w:rsidR="00603DEC">
        <w:t xml:space="preserve">the health system and would support </w:t>
      </w:r>
      <w:r w:rsidR="00603DEC">
        <w:rPr>
          <w:spacing w:val="-5"/>
        </w:rPr>
        <w:t xml:space="preserve">IHPA’s </w:t>
      </w:r>
      <w:r w:rsidR="00603DEC">
        <w:t xml:space="preserve">existing </w:t>
      </w:r>
      <w:r w:rsidR="00603DEC">
        <w:rPr>
          <w:spacing w:val="-3"/>
        </w:rPr>
        <w:t xml:space="preserve">work, </w:t>
      </w:r>
      <w:r w:rsidR="00603DEC">
        <w:t>including:</w:t>
      </w:r>
    </w:p>
    <w:p w14:paraId="18E6C7DC" w14:textId="77777777" w:rsidR="00C415F5" w:rsidRPr="006C03EC" w:rsidRDefault="00603DEC" w:rsidP="001C5F9D">
      <w:pPr>
        <w:pStyle w:val="ListParagraph"/>
        <w:ind w:right="92"/>
      </w:pPr>
      <w:r w:rsidRPr="006C03EC">
        <w:t>Analysis to support a pricing or funding approach for avoidable hospital readmissions as discussed in Chapter 10;</w:t>
      </w:r>
    </w:p>
    <w:p w14:paraId="688DF8A5" w14:textId="77777777" w:rsidR="00C415F5" w:rsidRPr="006C03EC" w:rsidRDefault="00603DEC" w:rsidP="001C5F9D">
      <w:pPr>
        <w:pStyle w:val="ListParagraph"/>
        <w:ind w:right="92"/>
      </w:pPr>
      <w:r w:rsidRPr="006C03EC">
        <w:t>Development of the ANACC, by allowing consideration of a unit of count which is broader than one patient attendance;</w:t>
      </w:r>
    </w:p>
    <w:p w14:paraId="2988B4D9" w14:textId="77777777" w:rsidR="00C415F5" w:rsidRPr="006C03EC" w:rsidRDefault="00603DEC" w:rsidP="001C5F9D">
      <w:pPr>
        <w:pStyle w:val="ListParagraph"/>
        <w:ind w:right="92"/>
      </w:pPr>
      <w:r w:rsidRPr="006C03EC">
        <w:t>Further development of the AMHCC, by providing a more robust identifier for service delivery to mental health consumers within a phase of care;</w:t>
      </w:r>
    </w:p>
    <w:p w14:paraId="7C8EB9AD" w14:textId="77777777" w:rsidR="00C415F5" w:rsidRPr="006C03EC" w:rsidRDefault="00E941CF" w:rsidP="001C5F9D">
      <w:pPr>
        <w:pStyle w:val="ListParagraph"/>
        <w:ind w:right="-50"/>
      </w:pPr>
      <w:r>
        <w:br w:type="column"/>
      </w:r>
      <w:r w:rsidR="00603DEC" w:rsidRPr="006C03EC">
        <w:t>Consideration of innovative funding models, such as bundled payments (IHPA’s work to develop</w:t>
      </w:r>
      <w:r w:rsidR="003E629D" w:rsidRPr="006C03EC">
        <w:t xml:space="preserve"> </w:t>
      </w:r>
      <w:r w:rsidR="00603DEC" w:rsidRPr="006C03EC">
        <w:t>a bundled pricing approach for maternity care concluded that a single person identifier was a precondition to implementation); and</w:t>
      </w:r>
    </w:p>
    <w:p w14:paraId="0A7621AE" w14:textId="77777777" w:rsidR="00C415F5" w:rsidRPr="006C03EC" w:rsidRDefault="00603DEC" w:rsidP="001C5F9D">
      <w:pPr>
        <w:pStyle w:val="ListParagraph"/>
        <w:ind w:right="-50"/>
      </w:pPr>
      <w:r w:rsidRPr="006C03EC">
        <w:t>Reporting of patient reported outcome measures (PROMs) to support value-based care funding models as discussed in Chapter 9.</w:t>
      </w:r>
    </w:p>
    <w:p w14:paraId="70F6BF30" w14:textId="77777777" w:rsidR="00C415F5" w:rsidRDefault="00603DEC" w:rsidP="00E941CF">
      <w:pPr>
        <w:pStyle w:val="BodyText"/>
        <w:ind w:left="142"/>
      </w:pPr>
      <w:r>
        <w:t>The Individual Healthcare Identifier (IHI) is an existing personal identifier that was introduced to support</w:t>
      </w:r>
      <w:r w:rsidR="00E941CF">
        <w:t xml:space="preserve"> </w:t>
      </w:r>
      <w:r>
        <w:t xml:space="preserve">the My Health Record system. IHPA has previously </w:t>
      </w:r>
      <w:proofErr w:type="spellStart"/>
      <w:r>
        <w:t>signalled</w:t>
      </w:r>
      <w:proofErr w:type="spellEnd"/>
      <w:r>
        <w:t xml:space="preserve"> the intention to introduce the IHI into national data collections, to support the funding innovations outlined earlier.</w:t>
      </w:r>
    </w:p>
    <w:p w14:paraId="4511905E" w14:textId="77777777" w:rsidR="00C415F5" w:rsidRDefault="00603DEC" w:rsidP="00E941CF">
      <w:pPr>
        <w:pStyle w:val="BodyText"/>
        <w:ind w:left="142"/>
      </w:pPr>
      <w:r>
        <w:t>While states and territories have been supportive of providing the IHI in national data sets in principle, some states and territories have raised concerns regarding the implementation of this collection that relate to local data systems.</w:t>
      </w:r>
    </w:p>
    <w:p w14:paraId="4DDC50C5" w14:textId="77777777" w:rsidR="00C415F5" w:rsidRDefault="00603DEC" w:rsidP="00E941CF">
      <w:pPr>
        <w:pStyle w:val="BodyText"/>
        <w:ind w:left="142"/>
      </w:pPr>
      <w:r>
        <w:t xml:space="preserve">Given the importance that the IHI will play in developing future pricing and funding models, </w:t>
      </w:r>
      <w:r>
        <w:rPr>
          <w:spacing w:val="-3"/>
        </w:rPr>
        <w:t xml:space="preserve">IHPA </w:t>
      </w:r>
      <w:r>
        <w:t xml:space="preserve">will work with states and territories to quantify the costs of collecting the IHI. Once the costs are known, </w:t>
      </w:r>
      <w:r>
        <w:rPr>
          <w:spacing w:val="-3"/>
        </w:rPr>
        <w:t xml:space="preserve">IHPA </w:t>
      </w:r>
      <w:r>
        <w:t>may</w:t>
      </w:r>
      <w:r>
        <w:rPr>
          <w:spacing w:val="-2"/>
        </w:rPr>
        <w:t xml:space="preserve"> </w:t>
      </w:r>
      <w:r>
        <w:t>consider</w:t>
      </w:r>
      <w:r w:rsidR="00E941CF">
        <w:t xml:space="preserve"> </w:t>
      </w:r>
      <w:r>
        <w:t>options for an ‘incentive’ payment for states and territories paid for patient episode records that have a valid</w:t>
      </w:r>
      <w:r>
        <w:rPr>
          <w:spacing w:val="-6"/>
        </w:rPr>
        <w:t xml:space="preserve"> </w:t>
      </w:r>
      <w:r>
        <w:t>IHI.</w:t>
      </w:r>
      <w:r w:rsidR="00E941CF">
        <w:t xml:space="preserve"> </w:t>
      </w:r>
      <w:r>
        <w:t>This method could occur on a cost neutral basis through an adjustment whereby funding is reduced for episode records without a valid IHI and increased for episode records reported to IHPA with a valid IHI.</w:t>
      </w:r>
    </w:p>
    <w:p w14:paraId="1813819E" w14:textId="77777777" w:rsidR="00C415F5" w:rsidRDefault="00C415F5">
      <w:pPr>
        <w:spacing w:line="256" w:lineRule="auto"/>
        <w:sectPr w:rsidR="00C415F5" w:rsidSect="001C5F9D">
          <w:headerReference w:type="default" r:id="rId89"/>
          <w:pgSz w:w="11910" w:h="16840"/>
          <w:pgMar w:top="1440" w:right="1440" w:bottom="1440" w:left="1440" w:header="0" w:footer="656" w:gutter="0"/>
          <w:cols w:num="2" w:space="340"/>
        </w:sectPr>
      </w:pPr>
    </w:p>
    <w:p w14:paraId="3F603B07" w14:textId="77777777" w:rsidR="00C415F5" w:rsidRPr="00B55E0C" w:rsidRDefault="00B55E0C" w:rsidP="00554858">
      <w:pPr>
        <w:pStyle w:val="Heading2"/>
        <w:spacing w:before="0"/>
      </w:pPr>
      <w:bookmarkStart w:id="23" w:name="_bookmark14"/>
      <w:bookmarkEnd w:id="23"/>
      <w:r>
        <w:lastRenderedPageBreak/>
        <w:t xml:space="preserve">6.5 </w:t>
      </w:r>
      <w:r w:rsidR="00603DEC" w:rsidRPr="00B55E0C">
        <w:t>Patient reported outcome measures</w:t>
      </w:r>
    </w:p>
    <w:p w14:paraId="69C550F6" w14:textId="77777777" w:rsidR="00C415F5" w:rsidRDefault="00603DEC" w:rsidP="00DD4F60">
      <w:pPr>
        <w:pStyle w:val="BodyText"/>
        <w:ind w:right="45"/>
      </w:pPr>
      <w:r>
        <w:t xml:space="preserve">Patient Reported Outcome Measures (PROMs) are questionnaires by which patients assess the outcomes of health interventions and their interactions with health services. </w:t>
      </w:r>
      <w:r>
        <w:rPr>
          <w:spacing w:val="-4"/>
        </w:rPr>
        <w:t xml:space="preserve">This </w:t>
      </w:r>
      <w:r>
        <w:t>assessment can measure outcomes over varying time periods, and include indicators such</w:t>
      </w:r>
      <w:r w:rsidR="00B55E0C">
        <w:t xml:space="preserve"> </w:t>
      </w:r>
      <w:r>
        <w:t>as daily functions, symptom severity and overall quality of life.</w:t>
      </w:r>
    </w:p>
    <w:p w14:paraId="51BFC9E7" w14:textId="77777777" w:rsidR="00C415F5" w:rsidRDefault="00603DEC" w:rsidP="00DD4F60">
      <w:pPr>
        <w:pStyle w:val="BodyText"/>
        <w:ind w:right="45"/>
      </w:pPr>
      <w:r>
        <w:t xml:space="preserve">In Australia, PROMs are not yet embedded in </w:t>
      </w:r>
      <w:r>
        <w:rPr>
          <w:spacing w:val="-4"/>
        </w:rPr>
        <w:t xml:space="preserve">routine </w:t>
      </w:r>
      <w:r>
        <w:t>measurement at a national, state or territory level.</w:t>
      </w:r>
      <w:r w:rsidR="000A51F9">
        <w:t xml:space="preserve"> </w:t>
      </w:r>
      <w:r>
        <w:t xml:space="preserve">Internationally there is significant use of PROMs in some </w:t>
      </w:r>
      <w:proofErr w:type="spellStart"/>
      <w:r>
        <w:t>Organisation</w:t>
      </w:r>
      <w:proofErr w:type="spellEnd"/>
      <w:r>
        <w:t xml:space="preserve"> for Economic Co-operation </w:t>
      </w:r>
      <w:r>
        <w:rPr>
          <w:spacing w:val="-6"/>
        </w:rPr>
        <w:t xml:space="preserve">and </w:t>
      </w:r>
      <w:r>
        <w:t>Development (OECD) nations including</w:t>
      </w:r>
      <w:r>
        <w:rPr>
          <w:spacing w:val="-1"/>
        </w:rPr>
        <w:t xml:space="preserve"> </w:t>
      </w:r>
      <w:r>
        <w:t>England,</w:t>
      </w:r>
      <w:r w:rsidR="000A51F9">
        <w:t xml:space="preserve"> </w:t>
      </w:r>
      <w:r>
        <w:t>Sweden and the United States of America. Each of these nations is adopting slightly different models of PROMs. Broadly PROMs can be separated in to three</w:t>
      </w:r>
      <w:r>
        <w:rPr>
          <w:spacing w:val="-31"/>
        </w:rPr>
        <w:t xml:space="preserve"> </w:t>
      </w:r>
      <w:r>
        <w:t>categories:</w:t>
      </w:r>
    </w:p>
    <w:p w14:paraId="45B18945" w14:textId="77777777" w:rsidR="00C415F5" w:rsidRPr="006C03EC" w:rsidRDefault="00603DEC" w:rsidP="006C03EC">
      <w:pPr>
        <w:pStyle w:val="ListParagraph"/>
        <w:ind w:right="45"/>
      </w:pPr>
      <w:r w:rsidRPr="006C03EC">
        <w:t>Clinician-patient interactions;</w:t>
      </w:r>
    </w:p>
    <w:p w14:paraId="46EBFA8D" w14:textId="77777777" w:rsidR="00C415F5" w:rsidRPr="006C03EC" w:rsidRDefault="00603DEC" w:rsidP="006C03EC">
      <w:pPr>
        <w:pStyle w:val="ListParagraph"/>
        <w:ind w:right="45"/>
      </w:pPr>
      <w:r w:rsidRPr="006C03EC">
        <w:t>Descriptive and analytical studies (e.g. comparison of treatment effectiveness); and</w:t>
      </w:r>
    </w:p>
    <w:p w14:paraId="65F7CEEF" w14:textId="77777777" w:rsidR="00C415F5" w:rsidRPr="006C03EC" w:rsidRDefault="00603DEC" w:rsidP="006C03EC">
      <w:pPr>
        <w:pStyle w:val="ListParagraph"/>
        <w:ind w:right="45"/>
      </w:pPr>
      <w:r w:rsidRPr="006C03EC">
        <w:t>Population surveillance and policy.</w:t>
      </w:r>
    </w:p>
    <w:p w14:paraId="6ECA8D40" w14:textId="77777777" w:rsidR="00C415F5" w:rsidRDefault="00603DEC" w:rsidP="00DD4F60">
      <w:pPr>
        <w:pStyle w:val="BodyText"/>
        <w:ind w:right="45"/>
      </w:pPr>
      <w:r>
        <w:rPr>
          <w:spacing w:val="-5"/>
        </w:rPr>
        <w:t xml:space="preserve">There </w:t>
      </w:r>
      <w:r>
        <w:t>are multiple consortiums that have developed or a</w:t>
      </w:r>
      <w:r>
        <w:rPr>
          <w:spacing w:val="-5"/>
        </w:rPr>
        <w:t>r</w:t>
      </w:r>
      <w:r>
        <w:t>e developing suites of tools to captu</w:t>
      </w:r>
      <w:r>
        <w:rPr>
          <w:spacing w:val="-5"/>
        </w:rPr>
        <w:t>r</w:t>
      </w:r>
      <w:r>
        <w:t>e PROM</w:t>
      </w:r>
      <w:r>
        <w:rPr>
          <w:spacing w:val="-1"/>
        </w:rPr>
        <w:t>s</w:t>
      </w:r>
      <w:r w:rsidR="00554858">
        <w:rPr>
          <w:rStyle w:val="FootnoteReference"/>
        </w:rPr>
        <w:footnoteReference w:id="1"/>
      </w:r>
      <w:r>
        <w:t xml:space="preserve">. </w:t>
      </w:r>
      <w:r>
        <w:rPr>
          <w:spacing w:val="-3"/>
        </w:rPr>
        <w:t xml:space="preserve">For </w:t>
      </w:r>
      <w:r>
        <w:t xml:space="preserve">example, the International Consortium for </w:t>
      </w:r>
      <w:r>
        <w:rPr>
          <w:spacing w:val="-3"/>
        </w:rPr>
        <w:t>Health</w:t>
      </w:r>
      <w:r w:rsidR="000A51F9">
        <w:rPr>
          <w:spacing w:val="-3"/>
        </w:rPr>
        <w:t xml:space="preserve"> </w:t>
      </w:r>
      <w:r>
        <w:t xml:space="preserve">Outcomes Management (ICHOM) is working to develop health outcome standard measurements for specific disease and population groups and the Europe-based EQ-5D is a </w:t>
      </w:r>
      <w:proofErr w:type="spellStart"/>
      <w:r>
        <w:t>standardised</w:t>
      </w:r>
      <w:proofErr w:type="spellEnd"/>
      <w:r>
        <w:t xml:space="preserve"> instrument for use as a measure of health-related quality of life and is used widely in Europe and North America.</w:t>
      </w:r>
    </w:p>
    <w:p w14:paraId="6B99B5B3" w14:textId="77777777" w:rsidR="00C415F5" w:rsidRDefault="00603DEC" w:rsidP="00DD4F60">
      <w:pPr>
        <w:pStyle w:val="BodyText"/>
        <w:ind w:right="45"/>
      </w:pPr>
      <w:r>
        <w:t xml:space="preserve">In Australia, the Australian Commission on Safety and Quality in Health Care (the Commission) is undertaking a program of work on PROMs. </w:t>
      </w:r>
      <w:r>
        <w:rPr>
          <w:spacing w:val="-4"/>
        </w:rPr>
        <w:t xml:space="preserve">This </w:t>
      </w:r>
      <w:r>
        <w:t xml:space="preserve">work aims to </w:t>
      </w:r>
      <w:r>
        <w:rPr>
          <w:spacing w:val="-3"/>
        </w:rPr>
        <w:t xml:space="preserve">support </w:t>
      </w:r>
      <w:r>
        <w:t>the use of PROMs to drive quality improvement in</w:t>
      </w:r>
      <w:r>
        <w:rPr>
          <w:spacing w:val="-1"/>
        </w:rPr>
        <w:t xml:space="preserve"> </w:t>
      </w:r>
      <w:r>
        <w:t>a</w:t>
      </w:r>
      <w:r w:rsidR="000A51F9">
        <w:t xml:space="preserve"> </w:t>
      </w:r>
      <w:r>
        <w:t xml:space="preserve">way that brings patients’ voices and outcomes to the fore. </w:t>
      </w:r>
      <w:r>
        <w:rPr>
          <w:spacing w:val="-6"/>
        </w:rPr>
        <w:t xml:space="preserve">The </w:t>
      </w:r>
      <w:r>
        <w:t xml:space="preserve">Commission has published a </w:t>
      </w:r>
      <w:hyperlink r:id="rId90">
        <w:r w:rsidRPr="00216997">
          <w:rPr>
            <w:color w:val="008F54"/>
            <w:u w:val="single"/>
          </w:rPr>
          <w:t>series of reports</w:t>
        </w:r>
      </w:hyperlink>
      <w:r w:rsidR="00216997" w:rsidRPr="00216997">
        <w:rPr>
          <w:color w:val="008F54"/>
          <w:u w:val="single"/>
        </w:rPr>
        <w:t xml:space="preserve"> </w:t>
      </w:r>
      <w:hyperlink r:id="rId91">
        <w:r w:rsidRPr="00216997">
          <w:rPr>
            <w:color w:val="008F54"/>
            <w:u w:val="single"/>
          </w:rPr>
          <w:t>investigating the use of PROMs</w:t>
        </w:r>
      </w:hyperlink>
      <w:r>
        <w:rPr>
          <w:color w:val="008F54"/>
        </w:rPr>
        <w:t xml:space="preserve"> </w:t>
      </w:r>
      <w:r>
        <w:t xml:space="preserve">in Australia and in </w:t>
      </w:r>
      <w:r>
        <w:rPr>
          <w:spacing w:val="-3"/>
        </w:rPr>
        <w:t xml:space="preserve">similar </w:t>
      </w:r>
      <w:r>
        <w:t>health systems internationally. Further work will focus on supporting the uptake of PROMs in Australia through the compilation and dissemination of information on PROMs and by supporting the exchange of information between the early adopters of PROMs.</w:t>
      </w:r>
    </w:p>
    <w:p w14:paraId="02DC9223" w14:textId="77777777" w:rsidR="00C415F5" w:rsidRDefault="00603DEC" w:rsidP="00554858">
      <w:pPr>
        <w:pStyle w:val="BodyText"/>
        <w:ind w:right="0"/>
      </w:pPr>
      <w:r>
        <w:t xml:space="preserve">The Commission is actively involved in international work on PROMs being undertaken by the OECD </w:t>
      </w:r>
      <w:r>
        <w:t>and ICHOM. Through its Patient-Reported Indicators Survey initiative, the OECD is developing instruments, definitions and data</w:t>
      </w:r>
      <w:r w:rsidR="00554858">
        <w:t xml:space="preserve"> </w:t>
      </w:r>
      <w:r>
        <w:t xml:space="preserve">collection strategies focused on hip and knee </w:t>
      </w:r>
      <w:r>
        <w:rPr>
          <w:spacing w:val="-3"/>
        </w:rPr>
        <w:t xml:space="preserve">replacements, </w:t>
      </w:r>
      <w:r>
        <w:t>breast cancer care, and mental health care. New measures are in development for patients with one or more chronic conditions, who are living in the community, and who are principally treated in primary care or other ambulatory care</w:t>
      </w:r>
      <w:r>
        <w:rPr>
          <w:spacing w:val="-1"/>
        </w:rPr>
        <w:t xml:space="preserve"> </w:t>
      </w:r>
      <w:r>
        <w:t>settings.</w:t>
      </w:r>
    </w:p>
    <w:p w14:paraId="62DEF0CD" w14:textId="77777777" w:rsidR="00C415F5" w:rsidRDefault="00603DEC" w:rsidP="00554858">
      <w:pPr>
        <w:pStyle w:val="BodyText"/>
        <w:ind w:right="0"/>
      </w:pPr>
      <w:r>
        <w:rPr>
          <w:spacing w:val="-6"/>
        </w:rPr>
        <w:t xml:space="preserve">The </w:t>
      </w:r>
      <w:r>
        <w:t xml:space="preserve">Commission has also worked extensively to develop national clinical quality registries (CQRs). CQRs monitor quality of health care within a specific clinical domain, such as hip fractures. Detailed data is recorded by clinicians with the aim to provide benchmarking reports on highlighting areas such as clinical variation back to the clinician to </w:t>
      </w:r>
      <w:r>
        <w:rPr>
          <w:spacing w:val="-3"/>
        </w:rPr>
        <w:t xml:space="preserve">better </w:t>
      </w:r>
      <w:r>
        <w:t xml:space="preserve">inform clinical practice and decision making. In </w:t>
      </w:r>
      <w:r>
        <w:rPr>
          <w:spacing w:val="-8"/>
        </w:rPr>
        <w:t xml:space="preserve">2010, </w:t>
      </w:r>
      <w:r>
        <w:t>health ministers endorsed the Commission’s tested and validated Operating Principles and Technical</w:t>
      </w:r>
      <w:r>
        <w:rPr>
          <w:spacing w:val="-11"/>
        </w:rPr>
        <w:t xml:space="preserve"> </w:t>
      </w:r>
      <w:r>
        <w:t>Standards</w:t>
      </w:r>
      <w:r w:rsidR="00554858">
        <w:t xml:space="preserve"> </w:t>
      </w:r>
      <w:r>
        <w:t xml:space="preserve">for CQRs and in 2014 the Commission developed the Framework for Australian CQRs which incorporated the endorsed Operating Principles and Technical Standards (the Framework). In 2016, the Commission developed a </w:t>
      </w:r>
      <w:proofErr w:type="spellStart"/>
      <w:r>
        <w:t>prioritised</w:t>
      </w:r>
      <w:proofErr w:type="spellEnd"/>
      <w:r>
        <w:t xml:space="preserve"> list of clinical domains for CQR development and completed an economic evaluation of CQRs.</w:t>
      </w:r>
      <w:r w:rsidR="00554858">
        <w:t xml:space="preserve"> </w:t>
      </w:r>
      <w:r>
        <w:t>The Commission is currently undertaking a review of CQR governance arrangements provided by the Framework.</w:t>
      </w:r>
    </w:p>
    <w:p w14:paraId="1DC8C923" w14:textId="77777777" w:rsidR="00C415F5" w:rsidRDefault="00603DEC" w:rsidP="00554858">
      <w:pPr>
        <w:pStyle w:val="BodyText"/>
        <w:ind w:right="0"/>
      </w:pPr>
      <w:r>
        <w:t xml:space="preserve">Additionally, the Australian Government Department of Health is undertaking consultation on the </w:t>
      </w:r>
      <w:proofErr w:type="gramStart"/>
      <w:r>
        <w:t>10 year</w:t>
      </w:r>
      <w:proofErr w:type="gramEnd"/>
      <w:r>
        <w:t xml:space="preserve"> National Strategy which sets out the Australian</w:t>
      </w:r>
      <w:r w:rsidR="00554858">
        <w:t xml:space="preserve"> </w:t>
      </w:r>
      <w:r>
        <w:t>Government’s Commitment to broaden the benefits of CQRs for equitable improvements in patient care. The National Strategy will build on the Framework and ‘consider ways to provide a nationally consistent approach to the selection, funding, implementation, management and performance</w:t>
      </w:r>
      <w:r w:rsidR="00554858">
        <w:t xml:space="preserve"> </w:t>
      </w:r>
      <w:r>
        <w:t xml:space="preserve">of CQRs to improve health </w:t>
      </w:r>
      <w:proofErr w:type="gramStart"/>
      <w:r>
        <w:t>outcomes’</w:t>
      </w:r>
      <w:proofErr w:type="gramEnd"/>
      <w:r>
        <w:t>.</w:t>
      </w:r>
    </w:p>
    <w:p w14:paraId="3AD8F3F8" w14:textId="77777777" w:rsidR="00C415F5" w:rsidRDefault="008B279A" w:rsidP="00554858">
      <w:pPr>
        <w:pStyle w:val="BodyText"/>
        <w:ind w:right="0"/>
      </w:pPr>
      <w:r>
        <w:rPr>
          <w:noProof/>
        </w:rPr>
        <w:drawing>
          <wp:anchor distT="0" distB="0" distL="114300" distR="114300" simplePos="0" relativeHeight="251668992" behindDoc="0" locked="0" layoutInCell="1" allowOverlap="1" wp14:anchorId="713D1118" wp14:editId="4EC5A9D3">
            <wp:simplePos x="0" y="0"/>
            <wp:positionH relativeFrom="column">
              <wp:posOffset>177165</wp:posOffset>
            </wp:positionH>
            <wp:positionV relativeFrom="page">
              <wp:posOffset>8637109</wp:posOffset>
            </wp:positionV>
            <wp:extent cx="240225" cy="21589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0225" cy="215899"/>
                    </a:xfrm>
                    <a:prstGeom prst="rect">
                      <a:avLst/>
                    </a:prstGeom>
                  </pic:spPr>
                </pic:pic>
              </a:graphicData>
            </a:graphic>
          </wp:anchor>
        </w:drawing>
      </w:r>
      <w:r w:rsidR="009E23A6">
        <w:rPr>
          <w:noProof/>
        </w:rPr>
        <w:pict w14:anchorId="1010D0E8">
          <v:shape id="_x0000_s1030" type="#_x0000_t202" alt="" style="position:absolute;margin-left:306.75pt;margin-top:124.6pt;width:222.9pt;height:120pt;z-index:-251640832;mso-wrap-style:square;mso-wrap-edited:f;mso-width-percent:0;mso-height-percent:0;mso-wrap-distance-left:0;mso-wrap-distance-right:0;mso-wrap-distance-bottom:11.35pt;mso-position-horizontal-relative:page;mso-position-vertical-relative:text;mso-width-percent:0;mso-height-percent:0;v-text-anchor:top" filled="f" strokecolor="#c31f48 [3206]">
            <v:textbox style="mso-next-textbox:#_x0000_s1030" inset="0,0,0,0">
              <w:txbxContent>
                <w:p w14:paraId="0B9FE624" w14:textId="77777777" w:rsidR="005907C8" w:rsidRPr="00693365" w:rsidRDefault="005907C8" w:rsidP="008B279A">
                  <w:pPr>
                    <w:pStyle w:val="Questionheading"/>
                  </w:pPr>
                  <w:r>
                    <w:t>Consultation questions</w:t>
                  </w:r>
                </w:p>
                <w:p w14:paraId="104C9D57" w14:textId="77777777" w:rsidR="005907C8" w:rsidRDefault="005907C8" w:rsidP="006D742D">
                  <w:pPr>
                    <w:pStyle w:val="ListParagraph"/>
                    <w:ind w:left="567" w:right="329"/>
                  </w:pPr>
                  <w:r>
                    <w:t>What initiatives are currently underway to collect PROMs and how are they being collated?</w:t>
                  </w:r>
                </w:p>
                <w:p w14:paraId="663CD72A" w14:textId="77777777" w:rsidR="005907C8" w:rsidRDefault="005907C8" w:rsidP="006D742D">
                  <w:pPr>
                    <w:pStyle w:val="ListParagraph"/>
                    <w:ind w:left="567" w:right="329"/>
                  </w:pPr>
                  <w:r>
                    <w:t>Should a national PROMs collection be considered as part of national data sets?</w:t>
                  </w:r>
                </w:p>
              </w:txbxContent>
            </v:textbox>
            <w10:wrap type="topAndBottom" anchorx="page"/>
          </v:shape>
        </w:pict>
      </w:r>
      <w:r w:rsidR="00603DEC">
        <w:t>IHPA is aware that some health services in Australia have begun collecting PROMs at a local level. This includes initiatives such as the NSW Patient Reported Measures Framework which maintains a virtual registry that joins information across the patient journey. IHPA is interested in how state-wide or local initiatives could be incorporated into national data sets for future analysis.</w:t>
      </w:r>
    </w:p>
    <w:p w14:paraId="30144A09" w14:textId="77777777" w:rsidR="00C415F5" w:rsidRDefault="00C415F5">
      <w:pPr>
        <w:spacing w:line="256" w:lineRule="auto"/>
        <w:sectPr w:rsidR="00C415F5" w:rsidSect="00216997">
          <w:headerReference w:type="default" r:id="rId92"/>
          <w:pgSz w:w="11910" w:h="16840"/>
          <w:pgMar w:top="1440" w:right="1440" w:bottom="1440" w:left="1440" w:header="0" w:footer="656" w:gutter="0"/>
          <w:cols w:num="2" w:space="340"/>
        </w:sectPr>
      </w:pPr>
    </w:p>
    <w:p w14:paraId="1569060D" w14:textId="77777777" w:rsidR="00592035" w:rsidRPr="00F83327" w:rsidRDefault="00592035" w:rsidP="00592035">
      <w:pPr>
        <w:pStyle w:val="Heading1"/>
        <w:spacing w:after="3600"/>
        <w:rPr>
          <w:color w:val="FFFFFF" w:themeColor="background1"/>
        </w:rPr>
      </w:pPr>
      <w:bookmarkStart w:id="24" w:name="_7_Treatment_of"/>
      <w:bookmarkEnd w:id="24"/>
      <w:r w:rsidRPr="00F83327">
        <w:rPr>
          <w:noProof/>
          <w:color w:val="FFFFFF" w:themeColor="background1"/>
        </w:rPr>
        <w:lastRenderedPageBreak/>
        <w:drawing>
          <wp:anchor distT="0" distB="0" distL="114300" distR="114300" simplePos="0" relativeHeight="251634688" behindDoc="1" locked="0" layoutInCell="1" allowOverlap="1" wp14:anchorId="702B122B" wp14:editId="3F64FD2C">
            <wp:simplePos x="0" y="0"/>
            <wp:positionH relativeFrom="margin">
              <wp:posOffset>-914400</wp:posOffset>
            </wp:positionH>
            <wp:positionV relativeFrom="page">
              <wp:posOffset>954157</wp:posOffset>
            </wp:positionV>
            <wp:extent cx="5462267" cy="357746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Pr>
          <w:color w:val="FFFFFF" w:themeColor="background1"/>
        </w:rPr>
        <w:t>7</w:t>
      </w:r>
    </w:p>
    <w:p w14:paraId="7919DED6" w14:textId="77777777" w:rsidR="00592035" w:rsidRDefault="00592035" w:rsidP="00592035">
      <w:pPr>
        <w:pStyle w:val="Heading1"/>
        <w:ind w:right="2651"/>
        <w:sectPr w:rsidR="00592035" w:rsidSect="008613E1">
          <w:headerReference w:type="default" r:id="rId94"/>
          <w:footerReference w:type="default" r:id="rId95"/>
          <w:pgSz w:w="11910" w:h="16840"/>
          <w:pgMar w:top="3970" w:right="1440" w:bottom="1440" w:left="1440" w:header="0" w:footer="656" w:gutter="0"/>
          <w:cols w:space="720"/>
        </w:sectPr>
      </w:pPr>
      <w:r>
        <w:t>Treatment of other commonwealth programs</w:t>
      </w:r>
    </w:p>
    <w:p w14:paraId="7086A7D5" w14:textId="77777777" w:rsidR="00C415F5" w:rsidRDefault="001445EA" w:rsidP="001445EA">
      <w:pPr>
        <w:pStyle w:val="Heading1"/>
        <w:ind w:left="1418" w:hanging="1191"/>
        <w:rPr>
          <w:b w:val="0"/>
        </w:rPr>
      </w:pPr>
      <w:r w:rsidRPr="001445EA">
        <w:rPr>
          <w:noProof/>
          <w:color w:val="FFFFFF" w:themeColor="background1"/>
        </w:rPr>
        <w:lastRenderedPageBreak/>
        <w:drawing>
          <wp:anchor distT="0" distB="0" distL="114300" distR="114300" simplePos="0" relativeHeight="251650560" behindDoc="1" locked="0" layoutInCell="1" allowOverlap="1" wp14:anchorId="20515D13" wp14:editId="6C6C5E71">
            <wp:simplePos x="0" y="0"/>
            <wp:positionH relativeFrom="column">
              <wp:posOffset>-914400</wp:posOffset>
            </wp:positionH>
            <wp:positionV relativeFrom="page">
              <wp:posOffset>659958</wp:posOffset>
            </wp:positionV>
            <wp:extent cx="1685420" cy="94614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685420" cy="946147"/>
                    </a:xfrm>
                    <a:prstGeom prst="rect">
                      <a:avLst/>
                    </a:prstGeom>
                    <a:noFill/>
                    <a:ln>
                      <a:noFill/>
                    </a:ln>
                  </pic:spPr>
                </pic:pic>
              </a:graphicData>
            </a:graphic>
          </wp:anchor>
        </w:drawing>
      </w:r>
      <w:r w:rsidR="00092EEE" w:rsidRPr="001445EA">
        <w:rPr>
          <w:color w:val="FFFFFF" w:themeColor="background1"/>
        </w:rPr>
        <w:t>7</w:t>
      </w:r>
      <w:r w:rsidR="00092EEE">
        <w:tab/>
      </w:r>
      <w:r>
        <w:tab/>
      </w:r>
      <w:r w:rsidR="00603DEC" w:rsidRPr="00092EEE">
        <w:t>Treatment of other Commonwealth programs</w:t>
      </w:r>
    </w:p>
    <w:p w14:paraId="78E18C63" w14:textId="77777777" w:rsidR="00092EEE" w:rsidRDefault="00092EEE" w:rsidP="00092EEE">
      <w:pPr>
        <w:pStyle w:val="BodyText"/>
      </w:pPr>
    </w:p>
    <w:p w14:paraId="7FD3B576" w14:textId="77777777" w:rsidR="00092EEE" w:rsidRDefault="00092EEE">
      <w:pPr>
        <w:pStyle w:val="Heading2"/>
        <w:spacing w:before="0"/>
        <w:rPr>
          <w:color w:val="003E2D"/>
        </w:rPr>
        <w:sectPr w:rsidR="00092EEE" w:rsidSect="006673D9">
          <w:headerReference w:type="default" r:id="rId97"/>
          <w:pgSz w:w="11910" w:h="16840"/>
          <w:pgMar w:top="1440" w:right="1440" w:bottom="1440" w:left="1440" w:header="0" w:footer="656" w:gutter="0"/>
          <w:cols w:space="720"/>
        </w:sectPr>
      </w:pPr>
    </w:p>
    <w:p w14:paraId="77E567AD" w14:textId="77777777" w:rsidR="00C415F5" w:rsidRDefault="00603DEC">
      <w:pPr>
        <w:pStyle w:val="Heading2"/>
        <w:spacing w:before="0"/>
      </w:pPr>
      <w:r>
        <w:rPr>
          <w:color w:val="003E2D"/>
        </w:rPr>
        <w:t>7.1 Overview</w:t>
      </w:r>
    </w:p>
    <w:p w14:paraId="36C742C5" w14:textId="77777777" w:rsidR="00C415F5" w:rsidRDefault="00603DEC" w:rsidP="006C03EC">
      <w:pPr>
        <w:pStyle w:val="BodyText"/>
        <w:ind w:right="44"/>
      </w:pPr>
      <w:r>
        <w:t>To prevent a public hospital service being funded twice, Clause A6 of the NHRA requires IHPA to discount Commonwealth funding provided to public hospitals through programs other than the NHRA. The two major programs are blood products (through the National Blood Agreement) and Commonwealth pharmaceutical programs including:</w:t>
      </w:r>
    </w:p>
    <w:p w14:paraId="15596133" w14:textId="77777777" w:rsidR="006C03EC" w:rsidRPr="006C03EC" w:rsidRDefault="00603DEC" w:rsidP="006C03EC">
      <w:pPr>
        <w:pStyle w:val="ListParagraph"/>
      </w:pPr>
      <w:r w:rsidRPr="006C03EC">
        <w:t xml:space="preserve">Highly </w:t>
      </w:r>
      <w:proofErr w:type="spellStart"/>
      <w:r w:rsidRPr="006C03EC">
        <w:t>Specialised</w:t>
      </w:r>
      <w:proofErr w:type="spellEnd"/>
      <w:r w:rsidRPr="006C03EC">
        <w:t xml:space="preserve"> Drugs (Section 100 funding); </w:t>
      </w:r>
    </w:p>
    <w:p w14:paraId="20F2AF01" w14:textId="77777777" w:rsidR="00C415F5" w:rsidRPr="006C03EC" w:rsidRDefault="00603DEC" w:rsidP="006C03EC">
      <w:pPr>
        <w:pStyle w:val="ListParagraph"/>
      </w:pPr>
      <w:r w:rsidRPr="006C03EC">
        <w:t>Pharmaceutical Reform Agreements</w:t>
      </w:r>
      <w:r w:rsidR="006C03EC">
        <w:t xml:space="preserve"> – </w:t>
      </w:r>
      <w:r w:rsidRPr="006C03EC">
        <w:t>Pharmaceutical Benefits Scheme Access Program; and</w:t>
      </w:r>
    </w:p>
    <w:p w14:paraId="19308C29" w14:textId="77777777" w:rsidR="00C415F5" w:rsidRPr="006C03EC" w:rsidRDefault="00603DEC" w:rsidP="006C03EC">
      <w:pPr>
        <w:pStyle w:val="ListParagraph"/>
      </w:pPr>
      <w:r w:rsidRPr="006C03EC">
        <w:t>Pharmaceutical Reform Agreements</w:t>
      </w:r>
      <w:r w:rsidR="006C03EC">
        <w:t xml:space="preserve"> – </w:t>
      </w:r>
      <w:r w:rsidRPr="006C03EC">
        <w:t>Efficient Funding of Chemotherapy (Section 100 funding).</w:t>
      </w:r>
    </w:p>
    <w:p w14:paraId="767DCFB7" w14:textId="77777777" w:rsidR="00C415F5" w:rsidRDefault="00603DEC" w:rsidP="006C03EC">
      <w:pPr>
        <w:pStyle w:val="BodyText"/>
        <w:ind w:right="44"/>
      </w:pPr>
      <w:r>
        <w:t>The AHPCS Version 4.0 includes a costing guideline related to the consumption of blood products.</w:t>
      </w:r>
      <w:r w:rsidR="006C03EC">
        <w:rPr>
          <w:spacing w:val="-6"/>
        </w:rPr>
        <w:t xml:space="preserve"> </w:t>
      </w:r>
      <w:r>
        <w:rPr>
          <w:spacing w:val="-6"/>
        </w:rPr>
        <w:t xml:space="preserve">The </w:t>
      </w:r>
      <w:r>
        <w:t xml:space="preserve">objective of </w:t>
      </w:r>
      <w:r>
        <w:rPr>
          <w:i/>
        </w:rPr>
        <w:t xml:space="preserve">Costing guideline 6 Blood Products </w:t>
      </w:r>
      <w:r>
        <w:t>is to guide costing practitioners through the steps required</w:t>
      </w:r>
      <w:r>
        <w:rPr>
          <w:spacing w:val="-5"/>
        </w:rPr>
        <w:t xml:space="preserve"> </w:t>
      </w:r>
      <w:r>
        <w:t>to</w:t>
      </w:r>
      <w:r>
        <w:rPr>
          <w:spacing w:val="-5"/>
        </w:rPr>
        <w:t xml:space="preserve"> </w:t>
      </w:r>
      <w:r>
        <w:t>ensure</w:t>
      </w:r>
      <w:r>
        <w:rPr>
          <w:spacing w:val="-5"/>
        </w:rPr>
        <w:t xml:space="preserve"> </w:t>
      </w:r>
      <w:r>
        <w:t>that</w:t>
      </w:r>
      <w:r>
        <w:rPr>
          <w:spacing w:val="-4"/>
        </w:rPr>
        <w:t xml:space="preserve"> </w:t>
      </w:r>
      <w:r>
        <w:t>all</w:t>
      </w:r>
      <w:r>
        <w:rPr>
          <w:spacing w:val="-5"/>
        </w:rPr>
        <w:t xml:space="preserve"> </w:t>
      </w:r>
      <w:r>
        <w:t>blood</w:t>
      </w:r>
      <w:r>
        <w:rPr>
          <w:spacing w:val="-5"/>
        </w:rPr>
        <w:t xml:space="preserve"> </w:t>
      </w:r>
      <w:r>
        <w:t>product</w:t>
      </w:r>
      <w:r>
        <w:rPr>
          <w:spacing w:val="-4"/>
        </w:rPr>
        <w:t xml:space="preserve"> </w:t>
      </w:r>
      <w:r>
        <w:t>consumption and expenses which contribute to the</w:t>
      </w:r>
      <w:r>
        <w:rPr>
          <w:spacing w:val="-3"/>
        </w:rPr>
        <w:t xml:space="preserve"> </w:t>
      </w:r>
      <w:r>
        <w:t>production</w:t>
      </w:r>
      <w:r w:rsidR="006C03EC">
        <w:t xml:space="preserve"> </w:t>
      </w:r>
      <w:r>
        <w:t>of final blood products are included in the patient costing process.</w:t>
      </w:r>
    </w:p>
    <w:p w14:paraId="5396A2FB" w14:textId="77777777" w:rsidR="00C415F5" w:rsidRDefault="00603DEC" w:rsidP="006C03EC">
      <w:pPr>
        <w:pStyle w:val="BodyText"/>
        <w:ind w:right="44"/>
      </w:pPr>
      <w:r>
        <w:t>For 2020–21, IHPA proposes no changes be made to the treatment of other Commonwealth programs.</w:t>
      </w:r>
    </w:p>
    <w:p w14:paraId="54F748A1" w14:textId="77777777" w:rsidR="00C415F5" w:rsidRDefault="00C415F5">
      <w:pPr>
        <w:spacing w:line="256" w:lineRule="auto"/>
        <w:sectPr w:rsidR="00C415F5" w:rsidSect="00291377">
          <w:type w:val="continuous"/>
          <w:pgSz w:w="11910" w:h="16840"/>
          <w:pgMar w:top="1440" w:right="1440" w:bottom="1440" w:left="1440" w:header="0" w:footer="656" w:gutter="0"/>
          <w:pgNumType w:start="26"/>
          <w:cols w:num="2" w:space="340"/>
        </w:sectPr>
      </w:pPr>
    </w:p>
    <w:p w14:paraId="2DAA3356" w14:textId="77777777" w:rsidR="00592035" w:rsidRPr="00F83327" w:rsidRDefault="00592035" w:rsidP="00592035">
      <w:pPr>
        <w:pStyle w:val="Heading1"/>
        <w:spacing w:after="3600"/>
        <w:rPr>
          <w:color w:val="FFFFFF" w:themeColor="background1"/>
        </w:rPr>
      </w:pPr>
      <w:bookmarkStart w:id="25" w:name="_bookmark17"/>
      <w:bookmarkStart w:id="26" w:name="_8_Setting_the"/>
      <w:bookmarkEnd w:id="25"/>
      <w:bookmarkEnd w:id="26"/>
      <w:r w:rsidRPr="00F83327">
        <w:rPr>
          <w:noProof/>
          <w:color w:val="FFFFFF" w:themeColor="background1"/>
        </w:rPr>
        <w:lastRenderedPageBreak/>
        <w:drawing>
          <wp:anchor distT="0" distB="0" distL="114300" distR="114300" simplePos="0" relativeHeight="251635712" behindDoc="1" locked="0" layoutInCell="1" allowOverlap="1" wp14:anchorId="14700C44" wp14:editId="29933FE1">
            <wp:simplePos x="0" y="0"/>
            <wp:positionH relativeFrom="margin">
              <wp:posOffset>-914400</wp:posOffset>
            </wp:positionH>
            <wp:positionV relativeFrom="page">
              <wp:posOffset>954157</wp:posOffset>
            </wp:positionV>
            <wp:extent cx="5462267" cy="357746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Pr>
          <w:color w:val="FFFFFF" w:themeColor="background1"/>
        </w:rPr>
        <w:t>8</w:t>
      </w:r>
    </w:p>
    <w:p w14:paraId="758044D4" w14:textId="77777777" w:rsidR="00592035" w:rsidRDefault="00592035" w:rsidP="00592035">
      <w:pPr>
        <w:pStyle w:val="Heading1"/>
        <w:ind w:right="2651"/>
        <w:sectPr w:rsidR="00592035" w:rsidSect="008613E1">
          <w:headerReference w:type="default" r:id="rId98"/>
          <w:footerReference w:type="default" r:id="rId99"/>
          <w:pgSz w:w="11910" w:h="16840"/>
          <w:pgMar w:top="3970" w:right="1440" w:bottom="1440" w:left="1440" w:header="0" w:footer="656" w:gutter="0"/>
          <w:cols w:space="720"/>
        </w:sectPr>
      </w:pPr>
      <w:r w:rsidRPr="00D32313">
        <w:t xml:space="preserve">Setting the National Efficient </w:t>
      </w:r>
      <w:r>
        <w:t>Cost</w:t>
      </w:r>
    </w:p>
    <w:p w14:paraId="54DD6A02" w14:textId="77777777" w:rsidR="00C415F5" w:rsidRDefault="001445EA" w:rsidP="001445EA">
      <w:pPr>
        <w:pStyle w:val="Heading1"/>
        <w:ind w:left="1418" w:hanging="1191"/>
      </w:pPr>
      <w:r w:rsidRPr="001445EA">
        <w:rPr>
          <w:noProof/>
          <w:color w:val="FFFFFF" w:themeColor="background1"/>
        </w:rPr>
        <w:lastRenderedPageBreak/>
        <w:drawing>
          <wp:anchor distT="0" distB="0" distL="114300" distR="114300" simplePos="0" relativeHeight="251651584" behindDoc="1" locked="0" layoutInCell="1" allowOverlap="1" wp14:anchorId="110676E7" wp14:editId="400C3F6E">
            <wp:simplePos x="0" y="0"/>
            <wp:positionH relativeFrom="column">
              <wp:posOffset>-914399</wp:posOffset>
            </wp:positionH>
            <wp:positionV relativeFrom="page">
              <wp:posOffset>667910</wp:posOffset>
            </wp:positionV>
            <wp:extent cx="1685418" cy="9461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685418" cy="946147"/>
                    </a:xfrm>
                    <a:prstGeom prst="rect">
                      <a:avLst/>
                    </a:prstGeom>
                    <a:noFill/>
                    <a:ln>
                      <a:noFill/>
                    </a:ln>
                  </pic:spPr>
                </pic:pic>
              </a:graphicData>
            </a:graphic>
          </wp:anchor>
        </w:drawing>
      </w:r>
      <w:r w:rsidR="00E916D8" w:rsidRPr="001445EA">
        <w:rPr>
          <w:color w:val="FFFFFF" w:themeColor="background1"/>
        </w:rPr>
        <w:t>8</w:t>
      </w:r>
      <w:r w:rsidR="00E916D8">
        <w:tab/>
      </w:r>
      <w:r>
        <w:tab/>
      </w:r>
      <w:r w:rsidR="00603DEC">
        <w:t>Setting the National Efficient Cost</w:t>
      </w:r>
    </w:p>
    <w:p w14:paraId="4D38A545" w14:textId="77777777" w:rsidR="00C415F5" w:rsidRDefault="00C415F5" w:rsidP="003932A6">
      <w:pPr>
        <w:pStyle w:val="BodyText"/>
      </w:pPr>
    </w:p>
    <w:p w14:paraId="11291A0B" w14:textId="77777777" w:rsidR="00C415F5" w:rsidRDefault="00C415F5">
      <w:pPr>
        <w:rPr>
          <w:rFonts w:ascii="Futura PT Heavy"/>
          <w:sz w:val="29"/>
        </w:rPr>
        <w:sectPr w:rsidR="00C415F5" w:rsidSect="008854BF">
          <w:headerReference w:type="default" r:id="rId101"/>
          <w:pgSz w:w="11910" w:h="16840"/>
          <w:pgMar w:top="1440" w:right="1440" w:bottom="1440" w:left="1440" w:header="0" w:footer="656" w:gutter="0"/>
          <w:cols w:space="720"/>
        </w:sectPr>
      </w:pPr>
    </w:p>
    <w:p w14:paraId="70D8C088" w14:textId="77777777" w:rsidR="00C415F5" w:rsidRPr="00DC3AB3" w:rsidRDefault="00DC3AB3" w:rsidP="00DC3AB3">
      <w:pPr>
        <w:pStyle w:val="Heading2"/>
      </w:pPr>
      <w:r>
        <w:t xml:space="preserve">8.1 </w:t>
      </w:r>
      <w:r w:rsidR="00603DEC" w:rsidRPr="00DC3AB3">
        <w:t>Overview</w:t>
      </w:r>
    </w:p>
    <w:p w14:paraId="465F0583" w14:textId="77777777" w:rsidR="00C415F5" w:rsidRDefault="00603DEC" w:rsidP="003932A6">
      <w:pPr>
        <w:pStyle w:val="BodyText"/>
      </w:pPr>
      <w:r>
        <w:rPr>
          <w:spacing w:val="-3"/>
        </w:rPr>
        <w:t xml:space="preserve">IHPA </w:t>
      </w:r>
      <w:r>
        <w:t xml:space="preserve">developed the NEC for hospitals with activity levels which are too low to be to be funded on an activity basis, such as small rural hospitals. </w:t>
      </w:r>
      <w:r>
        <w:rPr>
          <w:spacing w:val="-4"/>
        </w:rPr>
        <w:t xml:space="preserve">These </w:t>
      </w:r>
      <w:r>
        <w:t xml:space="preserve">hospitals are funded by a block allocation based on their size, location and </w:t>
      </w:r>
      <w:r>
        <w:rPr>
          <w:spacing w:val="-10"/>
        </w:rPr>
        <w:t xml:space="preserve">the </w:t>
      </w:r>
      <w:r>
        <w:t>type of services provided.</w:t>
      </w:r>
    </w:p>
    <w:p w14:paraId="46633FD7" w14:textId="77777777" w:rsidR="00C415F5" w:rsidRDefault="00603DEC" w:rsidP="003932A6">
      <w:pPr>
        <w:pStyle w:val="BodyText"/>
      </w:pPr>
      <w:r>
        <w:t>A low volume threshold is used to determine whether a public hospital is eligible to receive block funding. All hospital activity is included in assessing it against the low volume threshold, rather than just admitted acute activity.</w:t>
      </w:r>
    </w:p>
    <w:p w14:paraId="6894FF5B" w14:textId="77777777" w:rsidR="00C415F5" w:rsidRDefault="00603DEC" w:rsidP="003932A6">
      <w:pPr>
        <w:pStyle w:val="BodyText"/>
      </w:pPr>
      <w:r>
        <w:t>IHPA uses public hospital expenditure as reported in the National Public Hospital Establishments Database to determine the NEC for block funded hospitals.</w:t>
      </w:r>
      <w:r w:rsidR="00DC3AB3">
        <w:t xml:space="preserve"> </w:t>
      </w:r>
      <w:r>
        <w:t>IHPA expects that continued improvements to the data collection will lead to greater accuracy in reflecting the services and activities undertaken by block funded hospitals. In addition, work to price classifications for mental health and teaching and</w:t>
      </w:r>
      <w:r w:rsidR="00DC3AB3">
        <w:t xml:space="preserve"> </w:t>
      </w:r>
      <w:r>
        <w:t xml:space="preserve">training should eventually result in more services being funded through ABF rather than block funded </w:t>
      </w:r>
      <w:r>
        <w:rPr>
          <w:spacing w:val="-3"/>
        </w:rPr>
        <w:t xml:space="preserve">amounts, </w:t>
      </w:r>
      <w:r>
        <w:t>increasing transparency of costs.</w:t>
      </w:r>
    </w:p>
    <w:p w14:paraId="3715479C" w14:textId="77777777" w:rsidR="00C415F5" w:rsidRPr="00DC3AB3" w:rsidRDefault="00603DEC" w:rsidP="008D7E01">
      <w:pPr>
        <w:pStyle w:val="Heading2"/>
      </w:pPr>
      <w:r>
        <w:rPr>
          <w:spacing w:val="-1"/>
        </w:rPr>
        <w:br w:type="column"/>
      </w:r>
      <w:r w:rsidR="00DC3AB3">
        <w:rPr>
          <w:spacing w:val="-1"/>
        </w:rPr>
        <w:t xml:space="preserve">8.2 </w:t>
      </w:r>
      <w:r w:rsidRPr="00DC3AB3">
        <w:t>Consideration of alternative NEC methodologies</w:t>
      </w:r>
    </w:p>
    <w:p w14:paraId="466907AF" w14:textId="77777777" w:rsidR="00C415F5" w:rsidRDefault="00603DEC" w:rsidP="008D7E01">
      <w:pPr>
        <w:pStyle w:val="BodyText"/>
        <w:ind w:right="0"/>
      </w:pPr>
      <w:r>
        <w:t>Both ABF and block funding approaches cover services that are within the scope of the NHRA. The key difference is that the ABF model calculates an efficient price per episode of care, while the block funded model calculates an efficient cost for the hospital.</w:t>
      </w:r>
    </w:p>
    <w:p w14:paraId="4658A083" w14:textId="77777777" w:rsidR="00C415F5" w:rsidRDefault="00603DEC" w:rsidP="008D7E01">
      <w:pPr>
        <w:pStyle w:val="BodyText"/>
        <w:ind w:right="0"/>
      </w:pPr>
      <w:r>
        <w:rPr>
          <w:spacing w:val="-3"/>
        </w:rPr>
        <w:t xml:space="preserve">While </w:t>
      </w:r>
      <w:r>
        <w:t xml:space="preserve">activity reported for ABF hospitals is directly </w:t>
      </w:r>
      <w:r>
        <w:rPr>
          <w:spacing w:val="-3"/>
        </w:rPr>
        <w:t xml:space="preserve">priced </w:t>
      </w:r>
      <w:r>
        <w:t xml:space="preserve">through the </w:t>
      </w:r>
      <w:r>
        <w:rPr>
          <w:spacing w:val="-5"/>
        </w:rPr>
        <w:t xml:space="preserve">NEP, </w:t>
      </w:r>
      <w:r>
        <w:t>block funded hospitals are clustered into volume groups based on set thresholds of</w:t>
      </w:r>
      <w:r>
        <w:rPr>
          <w:spacing w:val="-10"/>
        </w:rPr>
        <w:t xml:space="preserve"> </w:t>
      </w:r>
      <w:r>
        <w:t>activity.</w:t>
      </w:r>
    </w:p>
    <w:p w14:paraId="5112968F" w14:textId="77777777" w:rsidR="00C415F5" w:rsidRDefault="00603DEC" w:rsidP="008D7E01">
      <w:pPr>
        <w:pStyle w:val="BodyText"/>
        <w:ind w:right="0"/>
      </w:pPr>
      <w:r>
        <w:t>The efficient cost of a small rural hospital is determined based on these volume groups and other factors including remoteness and whether the hospital provides surgical or obstetric services.</w:t>
      </w:r>
    </w:p>
    <w:p w14:paraId="5126C50A" w14:textId="77777777" w:rsidR="00C415F5" w:rsidRDefault="00603DEC" w:rsidP="008D7E01">
      <w:pPr>
        <w:pStyle w:val="BodyText"/>
        <w:ind w:right="0"/>
      </w:pPr>
      <w:r>
        <w:t xml:space="preserve">However, the block funded model does not </w:t>
      </w:r>
      <w:r>
        <w:rPr>
          <w:spacing w:val="-3"/>
        </w:rPr>
        <w:t xml:space="preserve">increase </w:t>
      </w:r>
      <w:r>
        <w:t xml:space="preserve">funding to a hospital commensurate to an increase in activity if it does not lead to a change in the volume grouping. </w:t>
      </w:r>
      <w:r>
        <w:rPr>
          <w:spacing w:val="-4"/>
        </w:rPr>
        <w:t xml:space="preserve">This </w:t>
      </w:r>
      <w:r>
        <w:t>can occur where services</w:t>
      </w:r>
      <w:r>
        <w:rPr>
          <w:spacing w:val="-6"/>
        </w:rPr>
        <w:t xml:space="preserve"> </w:t>
      </w:r>
      <w:r>
        <w:t>are</w:t>
      </w:r>
      <w:r w:rsidR="00DC3AB3">
        <w:t xml:space="preserve"> </w:t>
      </w:r>
      <w:r>
        <w:t>relocated from metropolitan to regional and remote areas.</w:t>
      </w:r>
    </w:p>
    <w:p w14:paraId="5761E959" w14:textId="77777777" w:rsidR="00C415F5" w:rsidRDefault="00603DEC" w:rsidP="008D7E01">
      <w:pPr>
        <w:pStyle w:val="BodyText"/>
        <w:ind w:right="0"/>
      </w:pPr>
      <w:r>
        <w:rPr>
          <w:spacing w:val="-6"/>
        </w:rPr>
        <w:t xml:space="preserve">The </w:t>
      </w:r>
      <w:r>
        <w:t xml:space="preserve">existing block funding model was used for </w:t>
      </w:r>
      <w:r>
        <w:rPr>
          <w:spacing w:val="-7"/>
        </w:rPr>
        <w:t xml:space="preserve">NEC19; </w:t>
      </w:r>
      <w:r>
        <w:t>however, work continues through the Small Rural Hospital Working Group to develop a ‘fixed plus variable’ model where the total modelled cost of each hospital will be based on a fixed component as well as a variable ABF style amount. Under this approach, the fixed component decreases while the</w:t>
      </w:r>
      <w:r>
        <w:rPr>
          <w:spacing w:val="-4"/>
        </w:rPr>
        <w:t xml:space="preserve"> </w:t>
      </w:r>
      <w:r>
        <w:t>variable</w:t>
      </w:r>
      <w:r w:rsidR="00DC3AB3">
        <w:t xml:space="preserve"> </w:t>
      </w:r>
      <w:r>
        <w:t>component increases with hospital size. IHPA intends to implement this for NEC20 subject to stakeholder support, including shadow pricing the ‘fixed plus variable’ model.</w:t>
      </w:r>
      <w:r w:rsidR="008B279A" w:rsidRPr="008B279A">
        <w:rPr>
          <w:noProof/>
        </w:rPr>
        <w:t xml:space="preserve"> </w:t>
      </w:r>
    </w:p>
    <w:p w14:paraId="6241D791" w14:textId="77777777" w:rsidR="00C415F5" w:rsidRDefault="00C415F5">
      <w:pPr>
        <w:spacing w:line="256" w:lineRule="auto"/>
        <w:sectPr w:rsidR="00C415F5" w:rsidSect="007004F3">
          <w:type w:val="continuous"/>
          <w:pgSz w:w="11910" w:h="16840"/>
          <w:pgMar w:top="1440" w:right="1440" w:bottom="1440" w:left="1440" w:header="720" w:footer="720" w:gutter="0"/>
          <w:cols w:num="2" w:space="346"/>
        </w:sectPr>
      </w:pPr>
    </w:p>
    <w:p w14:paraId="12F7C685" w14:textId="77777777" w:rsidR="00C415F5" w:rsidRDefault="008B279A">
      <w:pPr>
        <w:spacing w:line="256" w:lineRule="auto"/>
        <w:sectPr w:rsidR="00C415F5" w:rsidSect="00603DEC">
          <w:type w:val="continuous"/>
          <w:pgSz w:w="11910" w:h="16840"/>
          <w:pgMar w:top="1440" w:right="1440" w:bottom="1440" w:left="1440" w:header="720" w:footer="720" w:gutter="0"/>
          <w:cols w:space="720"/>
        </w:sectPr>
      </w:pPr>
      <w:r>
        <w:rPr>
          <w:noProof/>
        </w:rPr>
        <w:drawing>
          <wp:anchor distT="0" distB="0" distL="114300" distR="114300" simplePos="0" relativeHeight="251671040" behindDoc="0" locked="0" layoutInCell="1" allowOverlap="1" wp14:anchorId="30EA2BB0" wp14:editId="229AD8C7">
            <wp:simplePos x="0" y="0"/>
            <wp:positionH relativeFrom="column">
              <wp:posOffset>3159457</wp:posOffset>
            </wp:positionH>
            <wp:positionV relativeFrom="page">
              <wp:posOffset>8666328</wp:posOffset>
            </wp:positionV>
            <wp:extent cx="240225" cy="21589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0225" cy="215898"/>
                    </a:xfrm>
                    <a:prstGeom prst="rect">
                      <a:avLst/>
                    </a:prstGeom>
                  </pic:spPr>
                </pic:pic>
              </a:graphicData>
            </a:graphic>
          </wp:anchor>
        </w:drawing>
      </w:r>
      <w:r w:rsidR="009E23A6">
        <w:rPr>
          <w:noProof/>
          <w:spacing w:val="-6"/>
        </w:rPr>
        <w:pict w14:anchorId="297B1BF7">
          <v:shape id="_x0000_s1029" type="#_x0000_t202" alt="" style="position:absolute;margin-left:306.1pt;margin-top:10.75pt;width:222.9pt;height:88.5pt;z-index:-251639808;mso-wrap-style:square;mso-wrap-edited:f;mso-width-percent:0;mso-height-percent:0;mso-wrap-distance-left:0;mso-wrap-distance-right:0;mso-wrap-distance-bottom:11.35pt;mso-position-horizontal-relative:page;mso-position-vertical-relative:text;mso-width-percent:0;mso-height-percent:0;v-text-anchor:top" filled="f" strokecolor="#008f54 [3205]">
            <v:textbox style="mso-next-textbox:#_x0000_s1029" inset="0,0,0,0">
              <w:txbxContent>
                <w:p w14:paraId="632AE36E" w14:textId="77777777" w:rsidR="005907C8" w:rsidRPr="00693365" w:rsidRDefault="005907C8" w:rsidP="008B279A">
                  <w:pPr>
                    <w:pStyle w:val="Questionheading"/>
                  </w:pPr>
                  <w:r>
                    <w:t>Consultation questions</w:t>
                  </w:r>
                </w:p>
                <w:p w14:paraId="7F63F03D" w14:textId="77777777" w:rsidR="005907C8" w:rsidRDefault="005907C8" w:rsidP="007004F3">
                  <w:pPr>
                    <w:pStyle w:val="ListParagraph"/>
                    <w:ind w:left="567" w:right="329"/>
                  </w:pPr>
                  <w:r w:rsidRPr="007004F3">
                    <w:t>Are there any impediments to shadow pricing the ‘fixed plus variable’ model for NEC20?</w:t>
                  </w:r>
                </w:p>
              </w:txbxContent>
            </v:textbox>
            <w10:wrap type="topAndBottom" anchorx="page"/>
          </v:shape>
        </w:pict>
      </w:r>
    </w:p>
    <w:p w14:paraId="4687A4EC" w14:textId="77777777" w:rsidR="00592035" w:rsidRPr="00592035" w:rsidRDefault="00592035" w:rsidP="00592035">
      <w:pPr>
        <w:pStyle w:val="Heading1"/>
        <w:spacing w:after="3600"/>
        <w:rPr>
          <w:color w:val="003E2D" w:themeColor="text2"/>
        </w:rPr>
      </w:pPr>
      <w:bookmarkStart w:id="27" w:name="_9_Alternate_funding"/>
      <w:bookmarkEnd w:id="27"/>
      <w:r w:rsidRPr="00592035">
        <w:rPr>
          <w:noProof/>
          <w:color w:val="003E2D" w:themeColor="text2"/>
        </w:rPr>
        <w:lastRenderedPageBreak/>
        <w:drawing>
          <wp:anchor distT="0" distB="0" distL="114300" distR="114300" simplePos="0" relativeHeight="251648512" behindDoc="1" locked="0" layoutInCell="1" allowOverlap="1" wp14:anchorId="72ECAC1E" wp14:editId="7C93EF7C">
            <wp:simplePos x="0" y="0"/>
            <wp:positionH relativeFrom="margin">
              <wp:posOffset>-914400</wp:posOffset>
            </wp:positionH>
            <wp:positionV relativeFrom="page">
              <wp:posOffset>954157</wp:posOffset>
            </wp:positionV>
            <wp:extent cx="5462267" cy="357746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92035">
        <w:rPr>
          <w:color w:val="003E2D" w:themeColor="text2"/>
        </w:rPr>
        <w:t>9</w:t>
      </w:r>
    </w:p>
    <w:p w14:paraId="5CCECBF2" w14:textId="77777777" w:rsidR="00592035" w:rsidRDefault="00592035" w:rsidP="00592035">
      <w:pPr>
        <w:pStyle w:val="Heading1"/>
        <w:ind w:right="2651"/>
        <w:sectPr w:rsidR="00592035" w:rsidSect="008613E1">
          <w:headerReference w:type="default" r:id="rId103"/>
          <w:footerReference w:type="default" r:id="rId104"/>
          <w:pgSz w:w="11910" w:h="16840"/>
          <w:pgMar w:top="3970" w:right="1440" w:bottom="1440" w:left="1440" w:header="0" w:footer="656" w:gutter="0"/>
          <w:cols w:space="720"/>
        </w:sectPr>
      </w:pPr>
      <w:r>
        <w:t>Alternate funding models</w:t>
      </w:r>
    </w:p>
    <w:p w14:paraId="0472F76E" w14:textId="77777777" w:rsidR="00C415F5" w:rsidRDefault="001445EA" w:rsidP="001445EA">
      <w:pPr>
        <w:pStyle w:val="Heading1"/>
        <w:ind w:left="227"/>
      </w:pPr>
      <w:r w:rsidRPr="001445EA">
        <w:rPr>
          <w:noProof/>
          <w:color w:val="FFFFFF" w:themeColor="background1"/>
        </w:rPr>
        <w:lastRenderedPageBreak/>
        <w:drawing>
          <wp:anchor distT="0" distB="0" distL="114300" distR="114300" simplePos="0" relativeHeight="251641856" behindDoc="1" locked="0" layoutInCell="1" allowOverlap="1" wp14:anchorId="52575A29" wp14:editId="7C2AC94F">
            <wp:simplePos x="0" y="0"/>
            <wp:positionH relativeFrom="column">
              <wp:posOffset>-914400</wp:posOffset>
            </wp:positionH>
            <wp:positionV relativeFrom="page">
              <wp:posOffset>652007</wp:posOffset>
            </wp:positionV>
            <wp:extent cx="1685418" cy="94614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7004F3">
        <w:t>9</w:t>
      </w:r>
      <w:r w:rsidR="007004F3">
        <w:tab/>
      </w:r>
      <w:r>
        <w:tab/>
      </w:r>
      <w:r w:rsidR="00603DEC">
        <w:t>Alternate funding models</w:t>
      </w:r>
    </w:p>
    <w:p w14:paraId="498AFBBF" w14:textId="77777777" w:rsidR="00C415F5" w:rsidRDefault="00C415F5" w:rsidP="003932A6">
      <w:pPr>
        <w:pStyle w:val="BodyText"/>
      </w:pPr>
    </w:p>
    <w:p w14:paraId="73E89E7B" w14:textId="77777777" w:rsidR="00C415F5" w:rsidRDefault="00C415F5">
      <w:pPr>
        <w:rPr>
          <w:rFonts w:ascii="Futura PT Heavy"/>
          <w:sz w:val="29"/>
        </w:rPr>
        <w:sectPr w:rsidR="00C415F5" w:rsidSect="00A2241A">
          <w:headerReference w:type="default" r:id="rId105"/>
          <w:pgSz w:w="11910" w:h="16840"/>
          <w:pgMar w:top="1440" w:right="1440" w:bottom="1440" w:left="1440" w:header="0" w:footer="656" w:gutter="0"/>
          <w:cols w:space="720"/>
        </w:sectPr>
      </w:pPr>
    </w:p>
    <w:p w14:paraId="3E14DB8E" w14:textId="77777777" w:rsidR="00C415F5" w:rsidRPr="007004F3" w:rsidRDefault="007004F3" w:rsidP="007004F3">
      <w:pPr>
        <w:pStyle w:val="Heading2"/>
      </w:pPr>
      <w:r>
        <w:t xml:space="preserve">9.1 </w:t>
      </w:r>
      <w:r w:rsidR="00603DEC" w:rsidRPr="007004F3">
        <w:t>Overview</w:t>
      </w:r>
    </w:p>
    <w:p w14:paraId="4137AEA0" w14:textId="77777777" w:rsidR="00C415F5" w:rsidRDefault="00603DEC" w:rsidP="003932A6">
      <w:pPr>
        <w:pStyle w:val="BodyText"/>
      </w:pPr>
      <w:r>
        <w:t xml:space="preserve">Whilst Activity Based Funding models have been effective in driving technical efficiency in the delivery of public hospital services, the current pricing models designed by IHPA do not necessarily provide incentives to </w:t>
      </w:r>
      <w:proofErr w:type="spellStart"/>
      <w:r>
        <w:t>maximise</w:t>
      </w:r>
      <w:proofErr w:type="spellEnd"/>
      <w:r>
        <w:t xml:space="preserve"> allocative and dynamic efficiency. It is important that pricing models support the delivery of services that prevent </w:t>
      </w:r>
      <w:proofErr w:type="gramStart"/>
      <w:r>
        <w:t>admissions, or</w:t>
      </w:r>
      <w:proofErr w:type="gramEnd"/>
      <w:r>
        <w:t xml:space="preserve"> allow for treatment in lower cost settings than the admitted setting.</w:t>
      </w:r>
    </w:p>
    <w:p w14:paraId="10331A60" w14:textId="77777777" w:rsidR="00C415F5" w:rsidRDefault="00603DEC" w:rsidP="003932A6">
      <w:pPr>
        <w:pStyle w:val="BodyText"/>
      </w:pPr>
      <w:r>
        <w:t xml:space="preserve">Some stakeholders have previously advocated for </w:t>
      </w:r>
      <w:r>
        <w:rPr>
          <w:spacing w:val="-8"/>
        </w:rPr>
        <w:t xml:space="preserve">IHPA </w:t>
      </w:r>
      <w:r>
        <w:t>to increase focus on chronic disease models of care and other hospital admission avoidance</w:t>
      </w:r>
      <w:r>
        <w:rPr>
          <w:spacing w:val="-6"/>
        </w:rPr>
        <w:t xml:space="preserve"> </w:t>
      </w:r>
      <w:r>
        <w:t>programs.</w:t>
      </w:r>
      <w:r w:rsidR="002D0AB6">
        <w:t xml:space="preserve"> </w:t>
      </w:r>
      <w:r>
        <w:t>For 2018–19, the total funding reported against the Hospital Avoidance non-admitted clinic is expected to be around $200 million, compared to total public hospital expenditure in the order of $50 billion,</w:t>
      </w:r>
      <w:r w:rsidR="002D0AB6">
        <w:t xml:space="preserve"> </w:t>
      </w:r>
      <w:r>
        <w:t xml:space="preserve">suggesting that more could be done to </w:t>
      </w:r>
      <w:proofErr w:type="spellStart"/>
      <w:r>
        <w:t>incentivise</w:t>
      </w:r>
      <w:proofErr w:type="spellEnd"/>
      <w:r>
        <w:t xml:space="preserve"> </w:t>
      </w:r>
      <w:r>
        <w:rPr>
          <w:spacing w:val="-4"/>
        </w:rPr>
        <w:t xml:space="preserve">hospital </w:t>
      </w:r>
      <w:r>
        <w:t>avoidance programs.</w:t>
      </w:r>
    </w:p>
    <w:p w14:paraId="13879E15" w14:textId="77777777" w:rsidR="00C415F5" w:rsidRDefault="00603DEC" w:rsidP="003932A6">
      <w:pPr>
        <w:pStyle w:val="BodyText"/>
      </w:pPr>
      <w:r>
        <w:t xml:space="preserve">Furthermore, the current non-admitted service event episodic pricing model does not align well with </w:t>
      </w:r>
      <w:r>
        <w:rPr>
          <w:spacing w:val="-7"/>
        </w:rPr>
        <w:t xml:space="preserve">how </w:t>
      </w:r>
      <w:r>
        <w:t>hospital avoidance programs are delivered.</w:t>
      </w:r>
    </w:p>
    <w:p w14:paraId="54C850DD" w14:textId="77777777" w:rsidR="00C415F5" w:rsidRDefault="00603DEC" w:rsidP="003932A6">
      <w:pPr>
        <w:pStyle w:val="BodyText"/>
      </w:pPr>
      <w:r>
        <w:t>There is a growing discussion in Australia,</w:t>
      </w:r>
      <w:r w:rsidR="002D0AB6">
        <w:t xml:space="preserve"> </w:t>
      </w:r>
      <w:r>
        <w:t>and internationally, about the need to increase the focus on delivering high value healthcare to patients.</w:t>
      </w:r>
    </w:p>
    <w:p w14:paraId="23D301D5" w14:textId="77777777" w:rsidR="00C415F5" w:rsidRDefault="00603DEC" w:rsidP="003932A6">
      <w:pPr>
        <w:pStyle w:val="BodyText"/>
      </w:pPr>
      <w:r>
        <w:t>The challenge is not to expand hospital avoidance activity but to set incentives that encourage better health outcomes and patient experiences while maintaining technical efficiency.</w:t>
      </w:r>
    </w:p>
    <w:p w14:paraId="70FA1028" w14:textId="77777777" w:rsidR="00C415F5" w:rsidRDefault="00603DEC" w:rsidP="003932A6">
      <w:pPr>
        <w:pStyle w:val="BodyText"/>
      </w:pPr>
      <w:r>
        <w:t>In this context, IHPA has undertaken a review of hospital funding models in operation in Australia and</w:t>
      </w:r>
      <w:r w:rsidR="002D0AB6">
        <w:t xml:space="preserve"> </w:t>
      </w:r>
      <w:r>
        <w:t>internationally to understand what may help improve the incentives in the national pricing model to enhance the allocative and dynamic efficiency in the Australian public hospital system.</w:t>
      </w:r>
    </w:p>
    <w:p w14:paraId="444ACF2F" w14:textId="77777777" w:rsidR="00C415F5" w:rsidRPr="007004F3" w:rsidRDefault="00603DEC" w:rsidP="007004F3">
      <w:pPr>
        <w:pStyle w:val="Heading2"/>
      </w:pPr>
      <w:r>
        <w:rPr>
          <w:spacing w:val="-1"/>
        </w:rPr>
        <w:br w:type="column"/>
      </w:r>
      <w:r w:rsidR="007004F3">
        <w:rPr>
          <w:spacing w:val="-1"/>
        </w:rPr>
        <w:t xml:space="preserve">9.2 </w:t>
      </w:r>
      <w:r w:rsidRPr="007004F3">
        <w:t>Global horizon scan</w:t>
      </w:r>
    </w:p>
    <w:p w14:paraId="04FB1346" w14:textId="77777777" w:rsidR="00C415F5" w:rsidRDefault="00603DEC" w:rsidP="008D7E01">
      <w:pPr>
        <w:pStyle w:val="BodyText"/>
        <w:ind w:right="92"/>
      </w:pPr>
      <w:r>
        <w:rPr>
          <w:spacing w:val="-3"/>
        </w:rPr>
        <w:t xml:space="preserve">IHPA </w:t>
      </w:r>
      <w:r>
        <w:t>undertook a global horizon scan in</w:t>
      </w:r>
      <w:r>
        <w:rPr>
          <w:spacing w:val="-7"/>
        </w:rPr>
        <w:t xml:space="preserve"> 2018ɣ19 </w:t>
      </w:r>
      <w:r>
        <w:rPr>
          <w:spacing w:val="-20"/>
        </w:rPr>
        <w:t xml:space="preserve">to </w:t>
      </w:r>
      <w:r>
        <w:t xml:space="preserve">investigate health care funding initiatives in the </w:t>
      </w:r>
      <w:r>
        <w:rPr>
          <w:spacing w:val="-3"/>
        </w:rPr>
        <w:t xml:space="preserve">United </w:t>
      </w:r>
      <w:r>
        <w:t>States of America and Europe that could possibly be incorporated into the Australian context.</w:t>
      </w:r>
    </w:p>
    <w:p w14:paraId="2F1F05B3" w14:textId="77777777" w:rsidR="00C415F5" w:rsidRDefault="00603DEC" w:rsidP="008D7E01">
      <w:pPr>
        <w:pStyle w:val="BodyText"/>
        <w:ind w:right="92"/>
      </w:pPr>
      <w:r>
        <w:t>The review focused on value-based payment models including:</w:t>
      </w:r>
    </w:p>
    <w:p w14:paraId="542A7061" w14:textId="77777777" w:rsidR="00C415F5" w:rsidRDefault="00603DEC" w:rsidP="008D7E01">
      <w:pPr>
        <w:pStyle w:val="ListParagraph"/>
        <w:numPr>
          <w:ilvl w:val="0"/>
          <w:numId w:val="24"/>
        </w:numPr>
        <w:ind w:left="284" w:right="92"/>
      </w:pPr>
      <w:r w:rsidRPr="008D7E01">
        <w:rPr>
          <w:rFonts w:cs="Arial"/>
          <w:b/>
        </w:rPr>
        <w:t>Value-based purchasing:</w:t>
      </w:r>
      <w:r>
        <w:rPr>
          <w:rFonts w:ascii="Futura PT Heavy" w:hAnsi="Futura PT Heavy"/>
          <w:b/>
        </w:rPr>
        <w:t xml:space="preserve"> </w:t>
      </w:r>
      <w:r>
        <w:t>A broad set of performance-based payment strategies that link financial incentives to providers’</w:t>
      </w:r>
      <w:r>
        <w:rPr>
          <w:spacing w:val="19"/>
        </w:rPr>
        <w:t xml:space="preserve"> </w:t>
      </w:r>
      <w:r>
        <w:t>performance;</w:t>
      </w:r>
    </w:p>
    <w:p w14:paraId="7B261698" w14:textId="77777777" w:rsidR="00C415F5" w:rsidRDefault="00603DEC" w:rsidP="008D7E01">
      <w:pPr>
        <w:pStyle w:val="ListParagraph"/>
        <w:numPr>
          <w:ilvl w:val="0"/>
          <w:numId w:val="24"/>
        </w:numPr>
        <w:ind w:left="284" w:right="92"/>
      </w:pPr>
      <w:r w:rsidRPr="008D7E01">
        <w:rPr>
          <w:rFonts w:cs="Arial"/>
          <w:b/>
        </w:rPr>
        <w:t>Pay-for-performance:</w:t>
      </w:r>
      <w:r w:rsidRPr="008D7E01">
        <w:rPr>
          <w:rFonts w:ascii="Futura PT Heavy" w:hAnsi="Futura PT Heavy"/>
          <w:b/>
        </w:rPr>
        <w:t xml:space="preserve"> </w:t>
      </w:r>
      <w:r>
        <w:t xml:space="preserve">Providers are rewarded or </w:t>
      </w:r>
      <w:proofErr w:type="spellStart"/>
      <w:r>
        <w:t>penalised</w:t>
      </w:r>
      <w:proofErr w:type="spellEnd"/>
      <w:r>
        <w:t xml:space="preserve"> based on pre-established</w:t>
      </w:r>
      <w:r w:rsidRPr="008D7E01">
        <w:rPr>
          <w:spacing w:val="22"/>
        </w:rPr>
        <w:t xml:space="preserve"> </w:t>
      </w:r>
      <w:r>
        <w:t>targets</w:t>
      </w:r>
      <w:r w:rsidR="008D7E01">
        <w:t xml:space="preserve"> </w:t>
      </w:r>
      <w:r>
        <w:t>or benchmarks;</w:t>
      </w:r>
    </w:p>
    <w:p w14:paraId="7F3DD1DB" w14:textId="77777777" w:rsidR="00C415F5" w:rsidRDefault="00603DEC" w:rsidP="008D7E01">
      <w:pPr>
        <w:pStyle w:val="ListParagraph"/>
        <w:numPr>
          <w:ilvl w:val="0"/>
          <w:numId w:val="24"/>
        </w:numPr>
        <w:ind w:left="284" w:right="92"/>
      </w:pPr>
      <w:r w:rsidRPr="008D7E01">
        <w:rPr>
          <w:rFonts w:cs="Arial"/>
          <w:b/>
        </w:rPr>
        <w:t>Bundled payments:</w:t>
      </w:r>
      <w:r w:rsidRPr="008D7E01">
        <w:rPr>
          <w:rFonts w:ascii="Futura PT Heavy" w:hAnsi="Futura PT Heavy"/>
          <w:b/>
        </w:rPr>
        <w:t xml:space="preserve"> </w:t>
      </w:r>
      <w:r>
        <w:t>Payments are made to health providers based on the expected costs for a</w:t>
      </w:r>
      <w:r w:rsidR="008D7E01">
        <w:t xml:space="preserve"> </w:t>
      </w:r>
      <w:r>
        <w:t>clinically defined episode or bundle of related health care services; and</w:t>
      </w:r>
    </w:p>
    <w:p w14:paraId="01A8BC84" w14:textId="77777777" w:rsidR="00C415F5" w:rsidRDefault="00603DEC" w:rsidP="008D7E01">
      <w:pPr>
        <w:pStyle w:val="ListParagraph"/>
        <w:numPr>
          <w:ilvl w:val="0"/>
          <w:numId w:val="24"/>
        </w:numPr>
        <w:ind w:left="284" w:right="92"/>
      </w:pPr>
      <w:r w:rsidRPr="008D7E01">
        <w:rPr>
          <w:rFonts w:cs="Arial"/>
          <w:b/>
        </w:rPr>
        <w:t>Capitation payments:</w:t>
      </w:r>
      <w:r>
        <w:rPr>
          <w:rFonts w:ascii="Futura PT Heavy" w:hAnsi="Futura PT Heavy"/>
          <w:b/>
        </w:rPr>
        <w:t xml:space="preserve"> </w:t>
      </w:r>
      <w:r>
        <w:t xml:space="preserve">A provider or group of providers are paid to cover the care provided to a specified population across different care </w:t>
      </w:r>
      <w:r>
        <w:rPr>
          <w:spacing w:val="2"/>
        </w:rPr>
        <w:t xml:space="preserve">settings </w:t>
      </w:r>
      <w:r>
        <w:t>and time periods.</w:t>
      </w:r>
    </w:p>
    <w:p w14:paraId="4154D477" w14:textId="77777777" w:rsidR="00C415F5" w:rsidRDefault="00603DEC" w:rsidP="008D7E01">
      <w:pPr>
        <w:pStyle w:val="BodyText"/>
        <w:ind w:right="92"/>
      </w:pPr>
      <w:r>
        <w:t>In Australia there is currently work underway in some states and territories to explore alternative funding models.</w:t>
      </w:r>
    </w:p>
    <w:p w14:paraId="6E67C221" w14:textId="77777777" w:rsidR="00C415F5" w:rsidRDefault="00C415F5">
      <w:pPr>
        <w:spacing w:line="256" w:lineRule="auto"/>
        <w:sectPr w:rsidR="00C415F5" w:rsidSect="007004F3">
          <w:type w:val="continuous"/>
          <w:pgSz w:w="11910" w:h="16840"/>
          <w:pgMar w:top="1440" w:right="1440" w:bottom="1440" w:left="1440" w:header="720" w:footer="720" w:gutter="0"/>
          <w:cols w:num="2" w:space="340"/>
        </w:sectPr>
      </w:pPr>
    </w:p>
    <w:p w14:paraId="1D8F5CAF" w14:textId="77777777" w:rsidR="00C415F5" w:rsidRDefault="00603DEC" w:rsidP="0091055E">
      <w:pPr>
        <w:pStyle w:val="Heading4"/>
      </w:pPr>
      <w:r>
        <w:lastRenderedPageBreak/>
        <w:t>Capitation</w:t>
      </w:r>
    </w:p>
    <w:p w14:paraId="1FE3603F" w14:textId="77777777" w:rsidR="00C415F5" w:rsidRDefault="00603DEC" w:rsidP="003932A6">
      <w:pPr>
        <w:pStyle w:val="BodyText"/>
      </w:pPr>
      <w:r>
        <w:t xml:space="preserve">Victoria is currently </w:t>
      </w:r>
      <w:proofErr w:type="spellStart"/>
      <w:r>
        <w:t>trialling</w:t>
      </w:r>
      <w:proofErr w:type="spellEnd"/>
      <w:r>
        <w:t xml:space="preserve"> a capitation funding model called </w:t>
      </w:r>
      <w:proofErr w:type="spellStart"/>
      <w:r>
        <w:t>Healthlinks</w:t>
      </w:r>
      <w:proofErr w:type="spellEnd"/>
      <w:r>
        <w:t xml:space="preserve">. </w:t>
      </w:r>
      <w:proofErr w:type="spellStart"/>
      <w:r>
        <w:t>Healthlinks</w:t>
      </w:r>
      <w:proofErr w:type="spellEnd"/>
      <w:r>
        <w:t xml:space="preserve"> aims to reduce</w:t>
      </w:r>
      <w:r w:rsidR="008A42EE">
        <w:t xml:space="preserve"> </w:t>
      </w:r>
      <w:proofErr w:type="spellStart"/>
      <w:r>
        <w:t>hospitalisations</w:t>
      </w:r>
      <w:proofErr w:type="spellEnd"/>
      <w:r>
        <w:t xml:space="preserve"> by 20% for a group of patients</w:t>
      </w:r>
      <w:r>
        <w:rPr>
          <w:spacing w:val="-27"/>
        </w:rPr>
        <w:t xml:space="preserve"> </w:t>
      </w:r>
      <w:r>
        <w:t xml:space="preserve">identified as having a very high probability of hospital admissions in the next </w:t>
      </w:r>
      <w:r>
        <w:rPr>
          <w:spacing w:val="-15"/>
        </w:rPr>
        <w:t xml:space="preserve">12 </w:t>
      </w:r>
      <w:r>
        <w:t xml:space="preserve">months based on their previous hospital </w:t>
      </w:r>
      <w:proofErr w:type="spellStart"/>
      <w:r>
        <w:t>utilisation</w:t>
      </w:r>
      <w:proofErr w:type="spellEnd"/>
      <w:r>
        <w:t xml:space="preserve"> and diagnosis. </w:t>
      </w:r>
      <w:r>
        <w:rPr>
          <w:spacing w:val="-3"/>
        </w:rPr>
        <w:t xml:space="preserve">IHPA </w:t>
      </w:r>
      <w:r>
        <w:t xml:space="preserve">has agreed to block fund this program in </w:t>
      </w:r>
      <w:r>
        <w:rPr>
          <w:spacing w:val="-8"/>
        </w:rPr>
        <w:t xml:space="preserve">2019–20 </w:t>
      </w:r>
      <w:r>
        <w:t>and is working with Victoria to understand the effectiveness of the</w:t>
      </w:r>
      <w:r>
        <w:rPr>
          <w:spacing w:val="-3"/>
        </w:rPr>
        <w:t xml:space="preserve"> </w:t>
      </w:r>
      <w:r>
        <w:t>program.</w:t>
      </w:r>
    </w:p>
    <w:p w14:paraId="70F00CFA" w14:textId="77777777" w:rsidR="00C415F5" w:rsidRDefault="00603DEC" w:rsidP="003932A6">
      <w:pPr>
        <w:pStyle w:val="BodyText"/>
      </w:pPr>
      <w:r>
        <w:t xml:space="preserve">If this approach is found to be effective, </w:t>
      </w:r>
      <w:r>
        <w:rPr>
          <w:spacing w:val="-3"/>
        </w:rPr>
        <w:t xml:space="preserve">IHPA </w:t>
      </w:r>
      <w:r>
        <w:t>intends to work with states and territories to design capitation</w:t>
      </w:r>
      <w:r>
        <w:rPr>
          <w:spacing w:val="-21"/>
        </w:rPr>
        <w:t xml:space="preserve"> </w:t>
      </w:r>
      <w:r>
        <w:t>pricing models that could be more broadly</w:t>
      </w:r>
      <w:r>
        <w:rPr>
          <w:spacing w:val="-3"/>
        </w:rPr>
        <w:t xml:space="preserve"> </w:t>
      </w:r>
      <w:r>
        <w:t>applied.</w:t>
      </w:r>
    </w:p>
    <w:p w14:paraId="442EC696" w14:textId="77777777" w:rsidR="00C415F5" w:rsidRDefault="00603DEC" w:rsidP="003932A6">
      <w:pPr>
        <w:pStyle w:val="BodyText"/>
      </w:pPr>
      <w:r>
        <w:t>The design principles for effective capitation models share many of the principles of current ABF approaches, including:</w:t>
      </w:r>
    </w:p>
    <w:p w14:paraId="51853465" w14:textId="77777777" w:rsidR="00C415F5" w:rsidRDefault="00603DEC" w:rsidP="00066FBA">
      <w:pPr>
        <w:pStyle w:val="ListParagraph"/>
      </w:pPr>
      <w:r>
        <w:rPr>
          <w:spacing w:val="2"/>
        </w:rPr>
        <w:t xml:space="preserve">Identifying </w:t>
      </w:r>
      <w:r>
        <w:t>groups of patients who are clinically similar, and consume similar levels of resources over a given</w:t>
      </w:r>
      <w:r>
        <w:rPr>
          <w:spacing w:val="2"/>
        </w:rPr>
        <w:t xml:space="preserve"> </w:t>
      </w:r>
      <w:r>
        <w:t>period;</w:t>
      </w:r>
    </w:p>
    <w:p w14:paraId="7E37E09A" w14:textId="77777777" w:rsidR="00C415F5" w:rsidRDefault="00603DEC" w:rsidP="00066FBA">
      <w:pPr>
        <w:pStyle w:val="ListParagraph"/>
      </w:pPr>
      <w:r>
        <w:t>Ensuring adequate risk adjustment is incorporated in the pricing so that incentives to avoid enrolling higher risk patients are addressed;</w:t>
      </w:r>
      <w:r>
        <w:rPr>
          <w:spacing w:val="3"/>
        </w:rPr>
        <w:t xml:space="preserve"> </w:t>
      </w:r>
      <w:r>
        <w:t>and</w:t>
      </w:r>
    </w:p>
    <w:p w14:paraId="40B072F3" w14:textId="77777777" w:rsidR="00C415F5" w:rsidRDefault="00603DEC" w:rsidP="00066FBA">
      <w:pPr>
        <w:pStyle w:val="ListParagraph"/>
      </w:pPr>
      <w:r>
        <w:t xml:space="preserve">Providing adequate incentives to ensure that patients receive appropriate </w:t>
      </w:r>
      <w:r>
        <w:rPr>
          <w:spacing w:val="2"/>
        </w:rPr>
        <w:t>services</w:t>
      </w:r>
    </w:p>
    <w:p w14:paraId="4C36A99F" w14:textId="77777777" w:rsidR="00C415F5" w:rsidRDefault="00603DEC" w:rsidP="0091055E">
      <w:pPr>
        <w:pStyle w:val="Heading4"/>
      </w:pPr>
      <w:r>
        <w:br w:type="column"/>
      </w:r>
      <w:r>
        <w:t>Value based healthcare</w:t>
      </w:r>
    </w:p>
    <w:p w14:paraId="68160E54" w14:textId="77777777" w:rsidR="00C415F5" w:rsidRDefault="00603DEC" w:rsidP="003932A6">
      <w:pPr>
        <w:pStyle w:val="BodyText"/>
      </w:pPr>
      <w:r>
        <w:t xml:space="preserve">NSW has launched a </w:t>
      </w:r>
      <w:proofErr w:type="gramStart"/>
      <w:r>
        <w:t>large scale</w:t>
      </w:r>
      <w:proofErr w:type="gramEnd"/>
      <w:r>
        <w:t xml:space="preserve"> Value Based </w:t>
      </w:r>
      <w:r>
        <w:rPr>
          <w:spacing w:val="-3"/>
        </w:rPr>
        <w:t xml:space="preserve">Healthcare </w:t>
      </w:r>
      <w:r>
        <w:t xml:space="preserve">(VBHC) program. </w:t>
      </w:r>
      <w:r>
        <w:rPr>
          <w:spacing w:val="-6"/>
        </w:rPr>
        <w:t xml:space="preserve">The </w:t>
      </w:r>
      <w:r>
        <w:t xml:space="preserve">Leading Better Value Care (LBVC) program aims to change how care is delivered by focusing on the patient’s experience through the health system and working collaboratively with the state’s health care services. </w:t>
      </w:r>
      <w:r>
        <w:rPr>
          <w:spacing w:val="-6"/>
        </w:rPr>
        <w:t xml:space="preserve">The </w:t>
      </w:r>
      <w:r>
        <w:t>LBVC program currently has eight clinical initiatives ranging from osteoarthritis and diabetes to chronic heart failure and renal supportive care.</w:t>
      </w:r>
      <w:r w:rsidR="00CE0C57">
        <w:t xml:space="preserve"> </w:t>
      </w:r>
      <w:r>
        <w:t xml:space="preserve">Initial evaluation of the program is positive with </w:t>
      </w:r>
      <w:r>
        <w:rPr>
          <w:w w:val="40"/>
        </w:rPr>
        <w:t>1</w:t>
      </w:r>
      <w:r>
        <w:t xml:space="preserve">,200 fewer patients needing </w:t>
      </w:r>
      <w:proofErr w:type="spellStart"/>
      <w:r>
        <w:t>hospitalisation</w:t>
      </w:r>
      <w:proofErr w:type="spellEnd"/>
      <w:r>
        <w:t xml:space="preserve"> for re-fracture, 3,200 fewer patients with diabetes needing </w:t>
      </w:r>
      <w:proofErr w:type="spellStart"/>
      <w:r>
        <w:t>hospitalisation</w:t>
      </w:r>
      <w:proofErr w:type="spellEnd"/>
      <w:r>
        <w:t xml:space="preserve"> for high risk foot services and 390 fewer patients needing joint replacement operations</w:t>
      </w:r>
      <w:r w:rsidR="00CE0C57">
        <w:rPr>
          <w:rStyle w:val="FootnoteReference"/>
        </w:rPr>
        <w:footnoteReference w:id="2"/>
      </w:r>
      <w:r>
        <w:t>. NSW has also been working on integrated care models across</w:t>
      </w:r>
      <w:r w:rsidR="00CE0C57">
        <w:t xml:space="preserve"> </w:t>
      </w:r>
      <w:r>
        <w:t xml:space="preserve">the state. This initiative </w:t>
      </w:r>
      <w:proofErr w:type="spellStart"/>
      <w:r>
        <w:t>trialled</w:t>
      </w:r>
      <w:proofErr w:type="spellEnd"/>
      <w:r>
        <w:t xml:space="preserve"> models involving health care providers in a local health district (e.g. hospital and primary care networks) working together to better understand people’s health, allowing them to provide care that is tailored to individual needs. It </w:t>
      </w:r>
      <w:r w:rsidR="00CE0C57">
        <w:t xml:space="preserve">focused </w:t>
      </w:r>
      <w:r>
        <w:t>on patients with chronic health conditions and mental health issues.</w:t>
      </w:r>
    </w:p>
    <w:p w14:paraId="313096FD" w14:textId="77777777" w:rsidR="00C415F5" w:rsidRDefault="00603DEC" w:rsidP="003932A6">
      <w:pPr>
        <w:pStyle w:val="BodyText"/>
      </w:pPr>
      <w:r>
        <w:t xml:space="preserve">Victoria is also investigating options for VBHC for stroke patients across different care settings — acute, rehabilitation and community. </w:t>
      </w:r>
      <w:r>
        <w:rPr>
          <w:spacing w:val="-6"/>
        </w:rPr>
        <w:t xml:space="preserve">The </w:t>
      </w:r>
      <w:r>
        <w:t xml:space="preserve">‘improving value in stroke care’ project is in its initial stages, consulting </w:t>
      </w:r>
      <w:r>
        <w:rPr>
          <w:spacing w:val="-5"/>
        </w:rPr>
        <w:t xml:space="preserve">with </w:t>
      </w:r>
      <w:r>
        <w:t>clinicians and other key stakeholders on options for</w:t>
      </w:r>
      <w:r w:rsidR="00CE0C57">
        <w:t xml:space="preserve"> </w:t>
      </w:r>
      <w:r>
        <w:t>obtaining feedback on patient outcomes and experience and identifying opportunities to make a difference.</w:t>
      </w:r>
      <w:r w:rsidR="00CE0C57">
        <w:t xml:space="preserve"> </w:t>
      </w:r>
      <w:r>
        <w:t>The project identifies a number of key enablers including patient engagement, clinical leadership, benchmarking of outcomes, process and costs and bundled payments.</w:t>
      </w:r>
    </w:p>
    <w:p w14:paraId="301D4605" w14:textId="77777777" w:rsidR="00C415F5" w:rsidRDefault="00C415F5">
      <w:pPr>
        <w:spacing w:line="256" w:lineRule="auto"/>
        <w:sectPr w:rsidR="00C415F5" w:rsidSect="00625158">
          <w:headerReference w:type="default" r:id="rId106"/>
          <w:pgSz w:w="11910" w:h="16840"/>
          <w:pgMar w:top="1440" w:right="1440" w:bottom="1440" w:left="1440" w:header="0" w:footer="656" w:gutter="0"/>
          <w:cols w:num="2" w:space="340"/>
        </w:sectPr>
      </w:pPr>
    </w:p>
    <w:p w14:paraId="6E140D0C" w14:textId="77777777" w:rsidR="00C415F5" w:rsidRDefault="00C415F5">
      <w:pPr>
        <w:spacing w:line="256" w:lineRule="auto"/>
        <w:rPr>
          <w:sz w:val="16"/>
        </w:rPr>
        <w:sectPr w:rsidR="00C415F5" w:rsidSect="00603DEC">
          <w:type w:val="continuous"/>
          <w:pgSz w:w="11910" w:h="16840"/>
          <w:pgMar w:top="1440" w:right="1440" w:bottom="1440" w:left="1440" w:header="720" w:footer="720" w:gutter="0"/>
          <w:cols w:space="720"/>
        </w:sectPr>
      </w:pPr>
    </w:p>
    <w:p w14:paraId="12458065" w14:textId="77777777" w:rsidR="00C415F5" w:rsidRDefault="008B279A" w:rsidP="006A63C7">
      <w:pPr>
        <w:pStyle w:val="Heading4"/>
      </w:pPr>
      <w:bookmarkStart w:id="28" w:name="_bookmark19"/>
      <w:bookmarkEnd w:id="28"/>
      <w:r>
        <w:rPr>
          <w:noProof/>
        </w:rPr>
        <w:lastRenderedPageBreak/>
        <w:drawing>
          <wp:anchor distT="0" distB="0" distL="114300" distR="114300" simplePos="0" relativeHeight="251673088" behindDoc="0" locked="0" layoutInCell="1" allowOverlap="1" wp14:anchorId="1079C38E" wp14:editId="2A4FC8C6">
            <wp:simplePos x="0" y="0"/>
            <wp:positionH relativeFrom="column">
              <wp:posOffset>3138985</wp:posOffset>
            </wp:positionH>
            <wp:positionV relativeFrom="page">
              <wp:posOffset>1173707</wp:posOffset>
            </wp:positionV>
            <wp:extent cx="240224" cy="21589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224" cy="215898"/>
                    </a:xfrm>
                    <a:prstGeom prst="rect">
                      <a:avLst/>
                    </a:prstGeom>
                  </pic:spPr>
                </pic:pic>
              </a:graphicData>
            </a:graphic>
          </wp:anchor>
        </w:drawing>
      </w:r>
      <w:r w:rsidR="009E23A6">
        <w:rPr>
          <w:noProof/>
        </w:rPr>
        <w:pict w14:anchorId="51D61185">
          <v:shape id="_x0000_s1028" type="#_x0000_t202" alt="" style="position:absolute;margin-left:305pt;margin-top:8.4pt;width:222.9pt;height:172.05pt;z-index:-251638784;mso-wrap-style:square;mso-wrap-edited:f;mso-width-percent:0;mso-height-percent:0;mso-wrap-distance-left:0;mso-wrap-distance-right:0;mso-wrap-distance-bottom:11.35pt;mso-position-horizontal-relative:page;mso-position-vertical-relative:text;mso-width-percent:0;mso-height-percent:0;v-text-anchor:top" filled="f" strokecolor="#7ec352 [3204]">
            <v:textbox style="mso-next-textbox:#_x0000_s1028" inset="0,0,0,0">
              <w:txbxContent>
                <w:p w14:paraId="17705931" w14:textId="77777777" w:rsidR="005907C8" w:rsidRPr="00693365" w:rsidRDefault="005907C8" w:rsidP="008B279A">
                  <w:pPr>
                    <w:pStyle w:val="Questionheading"/>
                  </w:pPr>
                  <w:r>
                    <w:t>Consultation questions</w:t>
                  </w:r>
                </w:p>
                <w:p w14:paraId="4C1A7362" w14:textId="77777777" w:rsidR="005907C8" w:rsidRDefault="005907C8" w:rsidP="00931E8F">
                  <w:pPr>
                    <w:pStyle w:val="ListParagraph"/>
                    <w:ind w:left="567"/>
                  </w:pPr>
                  <w:r>
                    <w:t>Are there any additional alternative funding models IHPA should explore in the context of Australia’s existing NHRA and ABF framework?</w:t>
                  </w:r>
                </w:p>
                <w:p w14:paraId="2DC9547D" w14:textId="77777777" w:rsidR="005907C8" w:rsidRDefault="005907C8" w:rsidP="00931E8F">
                  <w:pPr>
                    <w:pStyle w:val="ListParagraph"/>
                    <w:ind w:left="567"/>
                  </w:pPr>
                  <w:r>
                    <w:t>IHPA proposes investigating bundled payments for stroke and joint pain, in particular knee and hip replacements. Should any other conditions be considered?</w:t>
                  </w:r>
                </w:p>
              </w:txbxContent>
            </v:textbox>
            <w10:wrap type="topAndBottom" anchorx="page"/>
          </v:shape>
        </w:pict>
      </w:r>
      <w:r w:rsidR="00603DEC">
        <w:t>Bundled payments</w:t>
      </w:r>
    </w:p>
    <w:p w14:paraId="0F5B6010" w14:textId="77777777" w:rsidR="00C415F5" w:rsidRDefault="00603DEC" w:rsidP="003932A6">
      <w:pPr>
        <w:pStyle w:val="BodyText"/>
      </w:pPr>
      <w:r>
        <w:t>Bundled payments differ from traditional ABF payments in that they combine payments across a number of settings and generally over a longer period of time, to allow healthcare providers more flexibility in how they provide services to patients, without facing financial disadvantages.</w:t>
      </w:r>
    </w:p>
    <w:p w14:paraId="3F80F039" w14:textId="77777777" w:rsidR="00C415F5" w:rsidRDefault="00603DEC" w:rsidP="003932A6">
      <w:pPr>
        <w:pStyle w:val="BodyText"/>
      </w:pPr>
      <w:r>
        <w:t>IHPA has previously investigated the feasibility of a bundled payment for maternity care, concluding that whilst it was technically feasible, the lack of a stable individual patient identifier presented a significant barrier to implementation.</w:t>
      </w:r>
    </w:p>
    <w:p w14:paraId="508C8D34" w14:textId="77777777" w:rsidR="00C415F5" w:rsidRDefault="00603DEC" w:rsidP="003932A6">
      <w:pPr>
        <w:pStyle w:val="BodyText"/>
      </w:pPr>
      <w:r>
        <w:t>Queensland is currently developing a renal services funding model that would introduce a bundled payment for patients with chronic kidney disease. The intention would be to isolate current state-wide renal funding and ‘quarantine’ the allocation with the aim of better aligning funding to outcomes for patients and service effectiveness. The multidisciplinary approach to caring for these patients has a focus on Indigenous, rural and remote patient needs and will be linked to individual patients on different care pathways. The initial work has focused on developing standard patient pathways, including measures that describe the level of care that an adult kidney patient should reasonably expect. Proposed benefits include best practice care, for example encouraging home-based care, identification of service gaps, opportunities for</w:t>
      </w:r>
      <w:r w:rsidR="006A63C7">
        <w:t xml:space="preserve"> </w:t>
      </w:r>
      <w:r>
        <w:t>state-wide collaboration and more predictability of future budget allocations.</w:t>
      </w:r>
    </w:p>
    <w:p w14:paraId="3B11DD35" w14:textId="77777777" w:rsidR="00C415F5" w:rsidRDefault="00603DEC" w:rsidP="003932A6">
      <w:pPr>
        <w:pStyle w:val="BodyText"/>
      </w:pPr>
      <w:r>
        <w:t>Similarly, the Victorian ‘improving value in stroke care’ project noted before identifies bundled payments as</w:t>
      </w:r>
      <w:r w:rsidR="006A63C7">
        <w:t xml:space="preserve"> </w:t>
      </w:r>
      <w:r>
        <w:t>a preferred option. This would include combining all payments across a pathway of care into one, providing more flexibility to integrate and tailor care. This would enable relocation of care across settings such as outpatients or home.</w:t>
      </w:r>
    </w:p>
    <w:p w14:paraId="37600183" w14:textId="77777777" w:rsidR="00C415F5" w:rsidRDefault="00C415F5">
      <w:pPr>
        <w:spacing w:line="256" w:lineRule="auto"/>
        <w:sectPr w:rsidR="00C415F5" w:rsidSect="003821A2">
          <w:headerReference w:type="default" r:id="rId107"/>
          <w:type w:val="continuous"/>
          <w:pgSz w:w="11910" w:h="16840"/>
          <w:pgMar w:top="1440" w:right="1440" w:bottom="1440" w:left="1440" w:header="0" w:footer="656" w:gutter="0"/>
          <w:cols w:num="2" w:space="340"/>
        </w:sectPr>
      </w:pPr>
    </w:p>
    <w:p w14:paraId="7926CE76" w14:textId="77777777" w:rsidR="00592035" w:rsidRPr="00F83327" w:rsidRDefault="00592035" w:rsidP="00592035">
      <w:pPr>
        <w:pStyle w:val="Heading1"/>
        <w:spacing w:after="3600"/>
        <w:rPr>
          <w:color w:val="FFFFFF" w:themeColor="background1"/>
        </w:rPr>
      </w:pPr>
      <w:bookmarkStart w:id="29" w:name="_10_Pricing_and"/>
      <w:bookmarkEnd w:id="29"/>
      <w:r w:rsidRPr="00F83327">
        <w:rPr>
          <w:noProof/>
          <w:color w:val="FFFFFF" w:themeColor="background1"/>
        </w:rPr>
        <w:lastRenderedPageBreak/>
        <w:drawing>
          <wp:anchor distT="0" distB="0" distL="114300" distR="114300" simplePos="0" relativeHeight="251637760" behindDoc="1" locked="0" layoutInCell="1" allowOverlap="1" wp14:anchorId="1C6B00FF" wp14:editId="5011FCC5">
            <wp:simplePos x="0" y="0"/>
            <wp:positionH relativeFrom="margin">
              <wp:posOffset>-914400</wp:posOffset>
            </wp:positionH>
            <wp:positionV relativeFrom="page">
              <wp:posOffset>954157</wp:posOffset>
            </wp:positionV>
            <wp:extent cx="5462267" cy="35774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Pr>
          <w:color w:val="FFFFFF" w:themeColor="background1"/>
        </w:rPr>
        <w:t>10</w:t>
      </w:r>
    </w:p>
    <w:p w14:paraId="60CB76D5" w14:textId="77777777" w:rsidR="00592035" w:rsidRDefault="00592035" w:rsidP="00592035">
      <w:pPr>
        <w:pStyle w:val="Heading1"/>
        <w:ind w:right="2651"/>
        <w:sectPr w:rsidR="00592035" w:rsidSect="008613E1">
          <w:headerReference w:type="default" r:id="rId108"/>
          <w:footerReference w:type="default" r:id="rId109"/>
          <w:pgSz w:w="11910" w:h="16840"/>
          <w:pgMar w:top="3970" w:right="1440" w:bottom="1440" w:left="1440" w:header="0" w:footer="656" w:gutter="0"/>
          <w:cols w:space="720"/>
        </w:sectPr>
      </w:pPr>
      <w:r>
        <w:t>Pricing and funding for safety and quality</w:t>
      </w:r>
    </w:p>
    <w:p w14:paraId="789AADDB" w14:textId="77777777" w:rsidR="00C415F5" w:rsidRPr="005C05C7" w:rsidRDefault="007D7009" w:rsidP="007D7009">
      <w:pPr>
        <w:pStyle w:val="Heading1"/>
        <w:ind w:left="1418" w:hanging="1361"/>
      </w:pPr>
      <w:r w:rsidRPr="007D7009">
        <w:rPr>
          <w:noProof/>
          <w:color w:val="FFFFFF" w:themeColor="background1"/>
        </w:rPr>
        <w:lastRenderedPageBreak/>
        <w:drawing>
          <wp:anchor distT="0" distB="0" distL="114300" distR="114300" simplePos="0" relativeHeight="251652608" behindDoc="1" locked="0" layoutInCell="1" allowOverlap="1" wp14:anchorId="5D1AEC01" wp14:editId="6CDCC56B">
            <wp:simplePos x="0" y="0"/>
            <wp:positionH relativeFrom="column">
              <wp:posOffset>-914400</wp:posOffset>
            </wp:positionH>
            <wp:positionV relativeFrom="page">
              <wp:posOffset>667054</wp:posOffset>
            </wp:positionV>
            <wp:extent cx="1685417" cy="9461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5C05C7" w:rsidRPr="007D7009">
        <w:rPr>
          <w:color w:val="FFFFFF" w:themeColor="background1"/>
        </w:rPr>
        <w:t>10</w:t>
      </w:r>
      <w:r w:rsidR="005C05C7" w:rsidRPr="005C05C7">
        <w:tab/>
      </w:r>
      <w:r>
        <w:tab/>
      </w:r>
      <w:r w:rsidR="00603DEC" w:rsidRPr="005C05C7">
        <w:t>Pricing and funding for safety and quality</w:t>
      </w:r>
    </w:p>
    <w:p w14:paraId="610C9AA6" w14:textId="77777777" w:rsidR="00C415F5" w:rsidRDefault="00C415F5" w:rsidP="003932A6">
      <w:pPr>
        <w:pStyle w:val="BodyText"/>
      </w:pPr>
    </w:p>
    <w:p w14:paraId="3B95C851" w14:textId="77777777" w:rsidR="00C415F5" w:rsidRDefault="00C415F5">
      <w:pPr>
        <w:rPr>
          <w:rFonts w:ascii="Futura PT Heavy"/>
          <w:sz w:val="29"/>
        </w:rPr>
        <w:sectPr w:rsidR="00C415F5" w:rsidSect="00483549">
          <w:headerReference w:type="default" r:id="rId110"/>
          <w:pgSz w:w="11910" w:h="16840"/>
          <w:pgMar w:top="1440" w:right="1440" w:bottom="1440" w:left="1440" w:header="0" w:footer="656" w:gutter="0"/>
          <w:cols w:space="720"/>
        </w:sectPr>
      </w:pPr>
    </w:p>
    <w:p w14:paraId="7C32A87C" w14:textId="77777777" w:rsidR="00C415F5" w:rsidRPr="00466DF0" w:rsidRDefault="00466DF0" w:rsidP="00466DF0">
      <w:pPr>
        <w:pStyle w:val="Heading2"/>
      </w:pPr>
      <w:r>
        <w:t xml:space="preserve">10.1 </w:t>
      </w:r>
      <w:r w:rsidR="00603DEC" w:rsidRPr="00466DF0">
        <w:t>Overview</w:t>
      </w:r>
    </w:p>
    <w:p w14:paraId="3E768DD0" w14:textId="77777777" w:rsidR="00C415F5" w:rsidRDefault="00603DEC" w:rsidP="003932A6">
      <w:pPr>
        <w:pStyle w:val="BodyText"/>
      </w:pPr>
      <w:r>
        <w:t xml:space="preserve">In </w:t>
      </w:r>
      <w:r>
        <w:rPr>
          <w:spacing w:val="-15"/>
        </w:rPr>
        <w:t xml:space="preserve">2017, </w:t>
      </w:r>
      <w:r>
        <w:t xml:space="preserve">all Australian governments signed the Addendum. </w:t>
      </w:r>
      <w:r>
        <w:rPr>
          <w:spacing w:val="-3"/>
        </w:rPr>
        <w:t xml:space="preserve">Through </w:t>
      </w:r>
      <w:r>
        <w:t xml:space="preserve">this, parties committed to improve Australians’ health outcomes and decrease avoidable demand for public hospital services through reforms including the development and implementation of funding and pricing approaches for safety and quality. </w:t>
      </w:r>
      <w:r>
        <w:rPr>
          <w:spacing w:val="-4"/>
        </w:rPr>
        <w:t xml:space="preserve">These </w:t>
      </w:r>
      <w:r>
        <w:t>reforms are designed to improve patient outcomes in the public</w:t>
      </w:r>
      <w:r w:rsidR="001D24BF">
        <w:t xml:space="preserve"> </w:t>
      </w:r>
      <w:r>
        <w:t>health system.</w:t>
      </w:r>
    </w:p>
    <w:p w14:paraId="652B4CA3" w14:textId="77777777" w:rsidR="00C415F5" w:rsidRDefault="00603DEC" w:rsidP="003932A6">
      <w:pPr>
        <w:pStyle w:val="BodyText"/>
      </w:pPr>
      <w:r>
        <w:t>The commitment by Australian governments to safety and quality follows a four-year program of collaborative work between IHPA and the Australian Commission on Safety and Quality in Health Care (the Commission) to consider the incorporation of safety and quality measures into the determination of the NEP.</w:t>
      </w:r>
    </w:p>
    <w:p w14:paraId="4927EE85" w14:textId="77777777" w:rsidR="00C415F5" w:rsidRDefault="00603DEC" w:rsidP="003932A6">
      <w:pPr>
        <w:pStyle w:val="BodyText"/>
      </w:pPr>
      <w:r>
        <w:t>Under the Addendum, IHPA is required to advise on an option or options for a comprehensive and risk adjusted model to determine how funding and pricing could be used to improve patient outcomes across three key areas: sentinel events, hospital acquired complications (HACs) and avoidable hospital readmissions.</w:t>
      </w:r>
    </w:p>
    <w:p w14:paraId="1BF62DF9" w14:textId="77777777" w:rsidR="00C415F5" w:rsidRDefault="00603DEC" w:rsidP="003932A6">
      <w:pPr>
        <w:pStyle w:val="BodyText"/>
      </w:pPr>
      <w:r>
        <w:t>The implementation of pricing and funding for safety and quality is being rolled out on a staged basis.</w:t>
      </w:r>
      <w:r w:rsidR="001D24BF">
        <w:t xml:space="preserve"> </w:t>
      </w:r>
      <w:r>
        <w:t>Funding adjustments related to sentinel events were introduced in July 2017, followed in July 2018 by funding adjustments for HACs.</w:t>
      </w:r>
    </w:p>
    <w:p w14:paraId="4E4E7223" w14:textId="77777777" w:rsidR="00C415F5" w:rsidRDefault="00603DEC" w:rsidP="003932A6">
      <w:pPr>
        <w:pStyle w:val="BodyText"/>
      </w:pPr>
      <w:r>
        <w:t>IHPA is now investigating the viability of funding adjustments to reduce avoidable hospital readmissions.</w:t>
      </w:r>
    </w:p>
    <w:p w14:paraId="327D89E6" w14:textId="77777777" w:rsidR="00C415F5" w:rsidRPr="00466DF0" w:rsidRDefault="00603DEC" w:rsidP="00466DF0">
      <w:pPr>
        <w:pStyle w:val="Heading2"/>
      </w:pPr>
      <w:r>
        <w:rPr>
          <w:spacing w:val="-2"/>
        </w:rPr>
        <w:br w:type="column"/>
      </w:r>
      <w:r w:rsidR="00466DF0">
        <w:rPr>
          <w:spacing w:val="-2"/>
        </w:rPr>
        <w:t xml:space="preserve">10.2 </w:t>
      </w:r>
      <w:r w:rsidRPr="00466DF0">
        <w:t>Sentinel events</w:t>
      </w:r>
    </w:p>
    <w:p w14:paraId="15200696" w14:textId="77777777" w:rsidR="00C415F5" w:rsidRDefault="00603DEC" w:rsidP="003932A6">
      <w:pPr>
        <w:pStyle w:val="BodyText"/>
      </w:pPr>
      <w:r>
        <w:t>In 2002, Australian Health Ministers agreed on the Australian Sentinel Events List, a national set of</w:t>
      </w:r>
      <w:r w:rsidR="001D24BF">
        <w:t xml:space="preserve"> </w:t>
      </w:r>
      <w:r>
        <w:t>sentinel events. Sentinel events are adverse events that result in death or serious harm to patients.</w:t>
      </w:r>
    </w:p>
    <w:p w14:paraId="08A96DA8" w14:textId="77777777" w:rsidR="00C415F5" w:rsidRDefault="00603DEC" w:rsidP="003932A6">
      <w:pPr>
        <w:pStyle w:val="BodyText"/>
      </w:pPr>
      <w:r>
        <w:t xml:space="preserve">Since 1 July 2017, the </w:t>
      </w:r>
      <w:r>
        <w:rPr>
          <w:i/>
        </w:rPr>
        <w:t xml:space="preserve">Pricing Framework for Australian Public Hospital Services </w:t>
      </w:r>
      <w:r>
        <w:t>has specified that an episode of care including a sentinel event is not funded. As sentinel events are not currently reported in national data sets, states and territories submit an additional data file identifying episodes where a sentinel event occurred.</w:t>
      </w:r>
      <w:r w:rsidR="00FC0098">
        <w:t xml:space="preserve"> </w:t>
      </w:r>
      <w:r>
        <w:t>A zero National Weighted Activity Unit (NWAU) is then assigned to episodes with a sentinel event. This approach is applied to all hospitals, whether funded on an activity basis or a block funded basis.</w:t>
      </w:r>
    </w:p>
    <w:p w14:paraId="66E06C3E" w14:textId="77777777" w:rsidR="00C415F5" w:rsidRDefault="00603DEC" w:rsidP="003932A6">
      <w:pPr>
        <w:pStyle w:val="BodyText"/>
      </w:pPr>
      <w:r>
        <w:t>IHPA will continue to assign zero NWAU to episodes with a sentinel event for NEP20 using Version 2.0</w:t>
      </w:r>
      <w:r w:rsidR="00FC0098">
        <w:t xml:space="preserve"> </w:t>
      </w:r>
      <w:r>
        <w:t xml:space="preserve">of the Australian Sentinel Events list published on the Commission’s </w:t>
      </w:r>
      <w:hyperlink r:id="rId111">
        <w:r>
          <w:rPr>
            <w:color w:val="008F54"/>
            <w:u w:val="single" w:color="008F54"/>
          </w:rPr>
          <w:t>website</w:t>
        </w:r>
      </w:hyperlink>
      <w:r>
        <w:t>.</w:t>
      </w:r>
    </w:p>
    <w:p w14:paraId="4AA578CA" w14:textId="77777777" w:rsidR="00C415F5" w:rsidRDefault="00C415F5">
      <w:pPr>
        <w:spacing w:line="256" w:lineRule="auto"/>
        <w:sectPr w:rsidR="00C415F5" w:rsidSect="00466DF0">
          <w:type w:val="continuous"/>
          <w:pgSz w:w="11910" w:h="16840"/>
          <w:pgMar w:top="1440" w:right="1440" w:bottom="1440" w:left="1440" w:header="720" w:footer="720" w:gutter="0"/>
          <w:cols w:num="2" w:space="340"/>
        </w:sectPr>
      </w:pPr>
    </w:p>
    <w:p w14:paraId="4917B74C" w14:textId="77777777" w:rsidR="009D2DEC" w:rsidRDefault="009D2DEC" w:rsidP="009D2DEC">
      <w:pPr>
        <w:pStyle w:val="Heading2"/>
      </w:pPr>
      <w:bookmarkStart w:id="30" w:name="_bookmark21"/>
      <w:bookmarkEnd w:id="30"/>
      <w:r>
        <w:lastRenderedPageBreak/>
        <w:t>10.3 Hospital acquired complications</w:t>
      </w:r>
    </w:p>
    <w:p w14:paraId="2DDFB740" w14:textId="77777777" w:rsidR="009D2DEC" w:rsidRDefault="009D2DEC" w:rsidP="009D2DEC">
      <w:pPr>
        <w:pStyle w:val="BodyText"/>
      </w:pPr>
      <w:r>
        <w:t xml:space="preserve">HACs are complications which occur during a hospital stay and for which clinical risk mitigation strategies may reduce (but not necessarily eliminate) the risk of that complication occurring. </w:t>
      </w:r>
    </w:p>
    <w:p w14:paraId="7A85E784" w14:textId="77777777" w:rsidR="009D2DEC" w:rsidRDefault="009D2DEC" w:rsidP="009D2DEC">
      <w:pPr>
        <w:pStyle w:val="BodyText"/>
      </w:pPr>
      <w:r>
        <w:t xml:space="preserve">A list of HACs was developed by a Joint Working Party of the Commission and IHPA. </w:t>
      </w:r>
    </w:p>
    <w:p w14:paraId="7E0FA7EA" w14:textId="77777777" w:rsidR="009D2DEC" w:rsidRDefault="009D2DEC" w:rsidP="009D2DEC">
      <w:pPr>
        <w:pStyle w:val="BodyText"/>
      </w:pPr>
      <w:r>
        <w:t xml:space="preserve">The Commission is responsible for the ongoing curation of the HACs list to ensure it remains clinically relevant. It has also developed a range of tools to support local monitoring of HACs and quality improvement strategies. The Commission’s </w:t>
      </w:r>
      <w:hyperlink r:id="rId112" w:history="1">
        <w:r w:rsidRPr="009D2DEC">
          <w:rPr>
            <w:rStyle w:val="Hyperlink"/>
            <w:color w:val="008F54" w:themeColor="accent2"/>
          </w:rPr>
          <w:t>HACs Information Kit</w:t>
        </w:r>
      </w:hyperlink>
      <w:r>
        <w:t xml:space="preserve"> outlines activities that health services can implement in order to </w:t>
      </w:r>
      <w:proofErr w:type="spellStart"/>
      <w:r>
        <w:t>minimise</w:t>
      </w:r>
      <w:proofErr w:type="spellEnd"/>
      <w:r>
        <w:t xml:space="preserve"> the occurrence of HACs. There are also specifications and groupers that health services can download to monitor HACs using their administrative data.</w:t>
      </w:r>
    </w:p>
    <w:p w14:paraId="39A9AAAD" w14:textId="77777777" w:rsidR="009D2DEC" w:rsidRDefault="009D2DEC" w:rsidP="009D2DEC">
      <w:pPr>
        <w:pStyle w:val="BodyText"/>
      </w:pPr>
      <w:r>
        <w:t>The HACs list is reviewed regularly by the Commission’s HACs Curation Clinical Advisory Group (HACs CCAG). In early 2019, the Commission convened condition</w:t>
      </w:r>
      <w:r>
        <w:rPr>
          <w:rFonts w:ascii="Cambria Math" w:hAnsi="Cambria Math" w:cs="Cambria Math"/>
        </w:rPr>
        <w:t>‑</w:t>
      </w:r>
      <w:r>
        <w:t>specific panels for delirium, pressure injuries, renal failure, cardiac complications, respiratory</w:t>
      </w:r>
      <w:r>
        <w:rPr>
          <w:rFonts w:cs="Arial"/>
        </w:rPr>
        <w:t> </w:t>
      </w:r>
      <w:r>
        <w:t xml:space="preserve">complications, </w:t>
      </w:r>
      <w:proofErr w:type="gramStart"/>
      <w:r>
        <w:t>third and fourth degree</w:t>
      </w:r>
      <w:proofErr w:type="gramEnd"/>
      <w:r>
        <w:t xml:space="preserve"> perineal tears and neonatal birth trauma under the direction of the HACs CCAG to review and refine the complications and codes included in the list. The HACs CCAG also endorsed additions to the medication safety HAC, following advice from a mental health</w:t>
      </w:r>
      <w:r>
        <w:rPr>
          <w:rFonts w:ascii="Cambria Math" w:hAnsi="Cambria Math" w:cs="Cambria Math"/>
        </w:rPr>
        <w:t>‑</w:t>
      </w:r>
      <w:r>
        <w:t>specific panel that considered adverse events resulting from mental health medications.</w:t>
      </w:r>
    </w:p>
    <w:p w14:paraId="3D0593A0" w14:textId="77777777" w:rsidR="009D2DEC" w:rsidRDefault="009D2DEC" w:rsidP="009D2DEC">
      <w:pPr>
        <w:pStyle w:val="BodyText"/>
      </w:pPr>
      <w:r>
        <w:t xml:space="preserve">Following approval from the HACs CCAG, the Commission has amended the diagnoses to the existing HACs outlined in </w:t>
      </w:r>
      <w:r w:rsidRPr="009D2DEC">
        <w:rPr>
          <w:b/>
          <w:bCs/>
        </w:rPr>
        <w:t>Figure 4</w:t>
      </w:r>
      <w:r>
        <w:t xml:space="preserve">. These changes have been included in Version 2.0 of the HACs list to be published on the Commission’s </w:t>
      </w:r>
      <w:hyperlink r:id="rId113" w:history="1">
        <w:r w:rsidRPr="009D2DEC">
          <w:rPr>
            <w:rStyle w:val="Hyperlink"/>
            <w:color w:val="008F54" w:themeColor="accent2"/>
          </w:rPr>
          <w:t>website</w:t>
        </w:r>
      </w:hyperlink>
      <w:r>
        <w:t>. IHPA intends to use Version 2.0 of the HACs list for NEP20.</w:t>
      </w:r>
      <w:r w:rsidR="00AC22C8">
        <w:br w:type="column"/>
      </w:r>
    </w:p>
    <w:tbl>
      <w:tblPr>
        <w:tblStyle w:val="TableGrid"/>
        <w:tblW w:w="5000" w:type="pct"/>
        <w:tblLook w:val="04A0" w:firstRow="1" w:lastRow="0" w:firstColumn="1" w:lastColumn="0" w:noHBand="0" w:noVBand="1"/>
      </w:tblPr>
      <w:tblGrid>
        <w:gridCol w:w="1384"/>
        <w:gridCol w:w="3177"/>
      </w:tblGrid>
      <w:tr w:rsidR="00AC22C8" w14:paraId="24A824A5" w14:textId="77777777" w:rsidTr="004D5FB9">
        <w:trPr>
          <w:trHeight w:val="471"/>
        </w:trPr>
        <w:tc>
          <w:tcPr>
            <w:tcW w:w="1517" w:type="pct"/>
            <w:tcBorders>
              <w:top w:val="nil"/>
              <w:left w:val="nil"/>
              <w:bottom w:val="nil"/>
              <w:right w:val="nil"/>
            </w:tcBorders>
            <w:shd w:val="clear" w:color="auto" w:fill="003E2D" w:themeFill="text2"/>
            <w:vAlign w:val="center"/>
          </w:tcPr>
          <w:p w14:paraId="19FD46BB" w14:textId="77777777" w:rsidR="00AC22C8" w:rsidRPr="007A655F" w:rsidRDefault="009D2DEC" w:rsidP="007A655F">
            <w:pPr>
              <w:pStyle w:val="TableParagraph"/>
              <w:rPr>
                <w:color w:val="FFFFFF" w:themeColor="background1"/>
              </w:rPr>
            </w:pPr>
            <w:r w:rsidRPr="007A655F">
              <w:rPr>
                <w:color w:val="FFFFFF" w:themeColor="background1"/>
              </w:rPr>
              <w:br w:type="column"/>
            </w:r>
            <w:r w:rsidR="00AC22C8" w:rsidRPr="007A655F">
              <w:rPr>
                <w:color w:val="FFFFFF" w:themeColor="background1"/>
              </w:rPr>
              <w:t>Complication</w:t>
            </w:r>
          </w:p>
        </w:tc>
        <w:tc>
          <w:tcPr>
            <w:tcW w:w="3483" w:type="pct"/>
            <w:tcBorders>
              <w:top w:val="nil"/>
              <w:left w:val="nil"/>
              <w:bottom w:val="nil"/>
              <w:right w:val="nil"/>
            </w:tcBorders>
            <w:shd w:val="clear" w:color="auto" w:fill="003E2D" w:themeFill="text2"/>
            <w:vAlign w:val="center"/>
          </w:tcPr>
          <w:p w14:paraId="248F331A" w14:textId="77777777" w:rsidR="00AC22C8" w:rsidRPr="007A655F" w:rsidRDefault="00AC22C8" w:rsidP="007A655F">
            <w:pPr>
              <w:pStyle w:val="TableParagraph"/>
              <w:rPr>
                <w:color w:val="FFFFFF" w:themeColor="background1"/>
              </w:rPr>
            </w:pPr>
            <w:r w:rsidRPr="007A655F">
              <w:rPr>
                <w:color w:val="FFFFFF" w:themeColor="background1"/>
              </w:rPr>
              <w:t>Inclusion</w:t>
            </w:r>
          </w:p>
        </w:tc>
      </w:tr>
      <w:tr w:rsidR="007A655F" w14:paraId="15B1F7FD" w14:textId="77777777" w:rsidTr="004D5FB9">
        <w:trPr>
          <w:trHeight w:val="294"/>
        </w:trPr>
        <w:tc>
          <w:tcPr>
            <w:tcW w:w="1517" w:type="pct"/>
            <w:vMerge w:val="restart"/>
            <w:tcBorders>
              <w:top w:val="nil"/>
              <w:left w:val="nil"/>
              <w:right w:val="nil"/>
            </w:tcBorders>
          </w:tcPr>
          <w:p w14:paraId="61928A42" w14:textId="77777777" w:rsidR="007A655F" w:rsidRPr="007A655F" w:rsidRDefault="007A655F" w:rsidP="007A655F">
            <w:pPr>
              <w:pStyle w:val="TableParagraph"/>
            </w:pPr>
            <w:bookmarkStart w:id="31" w:name="_Hlk11855981"/>
            <w:r w:rsidRPr="007A655F">
              <w:t>1. Pressure injuries</w:t>
            </w:r>
          </w:p>
        </w:tc>
        <w:tc>
          <w:tcPr>
            <w:tcW w:w="3483" w:type="pct"/>
            <w:tcBorders>
              <w:top w:val="nil"/>
              <w:left w:val="nil"/>
              <w:bottom w:val="single" w:sz="4" w:space="0" w:color="58595A"/>
              <w:right w:val="nil"/>
            </w:tcBorders>
          </w:tcPr>
          <w:p w14:paraId="4DCEE848" w14:textId="77777777" w:rsidR="007A655F" w:rsidRDefault="007A655F" w:rsidP="007A655F">
            <w:pPr>
              <w:pStyle w:val="TableParagraph"/>
            </w:pPr>
            <w:r w:rsidRPr="007A655F">
              <w:t>1.4 Unstageable pressure injury</w:t>
            </w:r>
          </w:p>
        </w:tc>
      </w:tr>
      <w:bookmarkEnd w:id="31"/>
      <w:tr w:rsidR="007A655F" w14:paraId="49E53006" w14:textId="77777777" w:rsidTr="004D5FB9">
        <w:trPr>
          <w:trHeight w:val="787"/>
        </w:trPr>
        <w:tc>
          <w:tcPr>
            <w:tcW w:w="1517" w:type="pct"/>
            <w:vMerge/>
            <w:tcBorders>
              <w:left w:val="nil"/>
              <w:right w:val="nil"/>
            </w:tcBorders>
          </w:tcPr>
          <w:p w14:paraId="6783529D" w14:textId="77777777" w:rsidR="007A655F" w:rsidRDefault="007A655F" w:rsidP="007A655F">
            <w:pPr>
              <w:pStyle w:val="TableParagraph"/>
            </w:pPr>
          </w:p>
        </w:tc>
        <w:tc>
          <w:tcPr>
            <w:tcW w:w="3483" w:type="pct"/>
            <w:tcBorders>
              <w:top w:val="single" w:sz="4" w:space="0" w:color="58595A"/>
              <w:left w:val="nil"/>
              <w:bottom w:val="single" w:sz="4" w:space="0" w:color="58595A"/>
              <w:right w:val="nil"/>
            </w:tcBorders>
          </w:tcPr>
          <w:p w14:paraId="34054999" w14:textId="77777777" w:rsidR="007A655F" w:rsidRDefault="007A655F" w:rsidP="007A655F">
            <w:pPr>
              <w:pStyle w:val="TableParagraph"/>
            </w:pPr>
            <w:r w:rsidRPr="007A655F">
              <w:t>1.5 Suspected deep tissue injury (recommendation not to include in pricing)</w:t>
            </w:r>
          </w:p>
        </w:tc>
      </w:tr>
      <w:tr w:rsidR="007A655F" w14:paraId="49AE0DC4" w14:textId="77777777" w:rsidTr="004D5FB9">
        <w:trPr>
          <w:trHeight w:val="577"/>
        </w:trPr>
        <w:tc>
          <w:tcPr>
            <w:tcW w:w="1517" w:type="pct"/>
            <w:vMerge w:val="restart"/>
            <w:tcBorders>
              <w:top w:val="nil"/>
              <w:left w:val="nil"/>
              <w:right w:val="nil"/>
            </w:tcBorders>
          </w:tcPr>
          <w:p w14:paraId="78702DEB" w14:textId="77777777" w:rsidR="007A655F" w:rsidRPr="007A655F" w:rsidRDefault="007A655F" w:rsidP="007A655F">
            <w:pPr>
              <w:pStyle w:val="TableParagraph"/>
            </w:pPr>
            <w:r w:rsidRPr="007A655F">
              <w:t>6. Respiratory complications</w:t>
            </w:r>
          </w:p>
        </w:tc>
        <w:tc>
          <w:tcPr>
            <w:tcW w:w="3483" w:type="pct"/>
            <w:tcBorders>
              <w:top w:val="nil"/>
              <w:left w:val="nil"/>
              <w:bottom w:val="single" w:sz="4" w:space="0" w:color="58595A"/>
              <w:right w:val="nil"/>
            </w:tcBorders>
          </w:tcPr>
          <w:p w14:paraId="029E851D" w14:textId="77777777" w:rsidR="007A655F" w:rsidRDefault="007A655F" w:rsidP="007A655F">
            <w:pPr>
              <w:pStyle w:val="TableParagraph"/>
            </w:pPr>
            <w:r>
              <w:t>6.2 Aspiration pneumonia</w:t>
            </w:r>
          </w:p>
          <w:p w14:paraId="16655D04" w14:textId="77777777" w:rsidR="007A655F" w:rsidRPr="007A655F" w:rsidRDefault="007A655F" w:rsidP="007A655F">
            <w:pPr>
              <w:pStyle w:val="TableList"/>
            </w:pPr>
            <w:r w:rsidRPr="007A655F">
              <w:t>Included: ventilation associated pneumonia</w:t>
            </w:r>
          </w:p>
        </w:tc>
      </w:tr>
      <w:tr w:rsidR="007A655F" w14:paraId="59D26F94" w14:textId="77777777" w:rsidTr="004D5FB9">
        <w:trPr>
          <w:trHeight w:val="620"/>
        </w:trPr>
        <w:tc>
          <w:tcPr>
            <w:tcW w:w="1517" w:type="pct"/>
            <w:vMerge/>
            <w:tcBorders>
              <w:left w:val="nil"/>
              <w:bottom w:val="single" w:sz="4" w:space="0" w:color="58595A"/>
              <w:right w:val="nil"/>
            </w:tcBorders>
          </w:tcPr>
          <w:p w14:paraId="3552E23C" w14:textId="77777777" w:rsidR="007A655F" w:rsidRDefault="007A655F" w:rsidP="007A655F">
            <w:pPr>
              <w:pStyle w:val="TableParagraph"/>
            </w:pPr>
          </w:p>
        </w:tc>
        <w:tc>
          <w:tcPr>
            <w:tcW w:w="3483" w:type="pct"/>
            <w:tcBorders>
              <w:top w:val="single" w:sz="4" w:space="0" w:color="58595A"/>
              <w:left w:val="nil"/>
              <w:bottom w:val="single" w:sz="4" w:space="0" w:color="58595A"/>
              <w:right w:val="nil"/>
            </w:tcBorders>
          </w:tcPr>
          <w:p w14:paraId="47BDDCF5" w14:textId="77777777" w:rsidR="007A655F" w:rsidRDefault="007A655F" w:rsidP="007A655F">
            <w:pPr>
              <w:pStyle w:val="TableParagraph"/>
            </w:pPr>
            <w:r w:rsidRPr="007A655F">
              <w:t xml:space="preserve">6.3 Pulmonary </w:t>
            </w:r>
            <w:proofErr w:type="spellStart"/>
            <w:r w:rsidRPr="007A655F">
              <w:t>oedema</w:t>
            </w:r>
            <w:proofErr w:type="spellEnd"/>
            <w:r w:rsidRPr="007A655F">
              <w:t xml:space="preserve"> (previously included in cardiac complications)</w:t>
            </w:r>
          </w:p>
        </w:tc>
      </w:tr>
      <w:tr w:rsidR="007A655F" w14:paraId="57323ABA" w14:textId="77777777" w:rsidTr="004D5FB9">
        <w:trPr>
          <w:trHeight w:val="983"/>
        </w:trPr>
        <w:tc>
          <w:tcPr>
            <w:tcW w:w="1517" w:type="pct"/>
            <w:tcBorders>
              <w:top w:val="nil"/>
              <w:left w:val="nil"/>
              <w:right w:val="nil"/>
            </w:tcBorders>
          </w:tcPr>
          <w:p w14:paraId="790F7307" w14:textId="77777777" w:rsidR="007A655F" w:rsidRPr="007A655F" w:rsidRDefault="007A655F" w:rsidP="007A655F">
            <w:pPr>
              <w:pStyle w:val="TableParagraph"/>
            </w:pPr>
            <w:r w:rsidRPr="007A655F">
              <w:t>8. Renal failure</w:t>
            </w:r>
          </w:p>
        </w:tc>
        <w:tc>
          <w:tcPr>
            <w:tcW w:w="3483" w:type="pct"/>
            <w:tcBorders>
              <w:top w:val="nil"/>
              <w:left w:val="nil"/>
              <w:bottom w:val="single" w:sz="4" w:space="0" w:color="58595A"/>
              <w:right w:val="nil"/>
            </w:tcBorders>
          </w:tcPr>
          <w:p w14:paraId="60BCD3D2" w14:textId="77777777" w:rsidR="007A655F" w:rsidRDefault="007A655F" w:rsidP="007A655F">
            <w:pPr>
              <w:pStyle w:val="TableParagraph"/>
            </w:pPr>
            <w:r>
              <w:t>Other associated codes:</w:t>
            </w:r>
          </w:p>
          <w:p w14:paraId="4716F7EE" w14:textId="77777777" w:rsidR="007A655F" w:rsidRDefault="007A655F" w:rsidP="007A655F">
            <w:pPr>
              <w:pStyle w:val="TableList"/>
            </w:pPr>
            <w:r>
              <w:t xml:space="preserve">Included: procedure codes for intermittent </w:t>
            </w:r>
            <w:proofErr w:type="spellStart"/>
            <w:r>
              <w:t>haemofiltration</w:t>
            </w:r>
            <w:proofErr w:type="spellEnd"/>
            <w:r>
              <w:t xml:space="preserve"> and intermittent </w:t>
            </w:r>
            <w:proofErr w:type="spellStart"/>
            <w:r>
              <w:t>haemodiafiltration</w:t>
            </w:r>
            <w:proofErr w:type="spellEnd"/>
          </w:p>
        </w:tc>
      </w:tr>
      <w:tr w:rsidR="004D5FB9" w:rsidRPr="007A655F" w14:paraId="4AE483BC" w14:textId="77777777" w:rsidTr="004D5FB9">
        <w:trPr>
          <w:trHeight w:val="577"/>
        </w:trPr>
        <w:tc>
          <w:tcPr>
            <w:tcW w:w="1517" w:type="pct"/>
            <w:vMerge w:val="restart"/>
            <w:tcBorders>
              <w:top w:val="nil"/>
              <w:left w:val="nil"/>
              <w:right w:val="nil"/>
            </w:tcBorders>
          </w:tcPr>
          <w:p w14:paraId="3D03E689" w14:textId="77777777" w:rsidR="004D5FB9" w:rsidRPr="007A655F" w:rsidRDefault="004D5FB9" w:rsidP="005907C8">
            <w:pPr>
              <w:pStyle w:val="TableParagraph"/>
            </w:pPr>
            <w:bookmarkStart w:id="32" w:name="_Hlk11856221"/>
            <w:r w:rsidRPr="004D5FB9">
              <w:t>10. Medication complications</w:t>
            </w:r>
          </w:p>
        </w:tc>
        <w:tc>
          <w:tcPr>
            <w:tcW w:w="3483" w:type="pct"/>
            <w:tcBorders>
              <w:top w:val="nil"/>
              <w:left w:val="nil"/>
              <w:bottom w:val="single" w:sz="4" w:space="0" w:color="58595A"/>
              <w:right w:val="nil"/>
            </w:tcBorders>
          </w:tcPr>
          <w:p w14:paraId="59AFDE00" w14:textId="77777777" w:rsidR="004D5FB9" w:rsidRPr="007A655F" w:rsidRDefault="004D5FB9" w:rsidP="004D5FB9">
            <w:pPr>
              <w:pStyle w:val="TableParagraph"/>
            </w:pPr>
            <w:r w:rsidRPr="004D5FB9">
              <w:t>10.4 Movement disorders due to psychotropic medication</w:t>
            </w:r>
          </w:p>
        </w:tc>
      </w:tr>
      <w:tr w:rsidR="004D5FB9" w14:paraId="6E38FD57" w14:textId="77777777" w:rsidTr="004D5FB9">
        <w:trPr>
          <w:trHeight w:val="787"/>
        </w:trPr>
        <w:tc>
          <w:tcPr>
            <w:tcW w:w="1517" w:type="pct"/>
            <w:vMerge/>
            <w:tcBorders>
              <w:left w:val="nil"/>
              <w:bottom w:val="single" w:sz="4" w:space="0" w:color="58595A"/>
              <w:right w:val="nil"/>
            </w:tcBorders>
          </w:tcPr>
          <w:p w14:paraId="3B9EA60E" w14:textId="77777777" w:rsidR="004D5FB9" w:rsidRDefault="004D5FB9" w:rsidP="005907C8">
            <w:pPr>
              <w:pStyle w:val="TableParagraph"/>
            </w:pPr>
          </w:p>
        </w:tc>
        <w:tc>
          <w:tcPr>
            <w:tcW w:w="3483" w:type="pct"/>
            <w:tcBorders>
              <w:top w:val="single" w:sz="4" w:space="0" w:color="58595A"/>
              <w:left w:val="nil"/>
              <w:bottom w:val="single" w:sz="4" w:space="0" w:color="58595A"/>
              <w:right w:val="nil"/>
            </w:tcBorders>
          </w:tcPr>
          <w:p w14:paraId="505529FF" w14:textId="77777777" w:rsidR="004D5FB9" w:rsidRDefault="004D5FB9" w:rsidP="005907C8">
            <w:pPr>
              <w:pStyle w:val="TableParagraph"/>
            </w:pPr>
            <w:r w:rsidRPr="004D5FB9">
              <w:t>10.5 Serious alteration to conscious state due to psychotropic medication</w:t>
            </w:r>
          </w:p>
        </w:tc>
      </w:tr>
      <w:bookmarkEnd w:id="32"/>
      <w:tr w:rsidR="004D5FB9" w:rsidRPr="007A655F" w14:paraId="44869054" w14:textId="77777777" w:rsidTr="004D5FB9">
        <w:trPr>
          <w:trHeight w:val="2280"/>
        </w:trPr>
        <w:tc>
          <w:tcPr>
            <w:tcW w:w="1517" w:type="pct"/>
            <w:vMerge w:val="restart"/>
            <w:tcBorders>
              <w:top w:val="nil"/>
              <w:left w:val="nil"/>
              <w:right w:val="nil"/>
            </w:tcBorders>
          </w:tcPr>
          <w:p w14:paraId="1B5BED6A" w14:textId="77777777" w:rsidR="004D5FB9" w:rsidRPr="007A655F" w:rsidRDefault="004D5FB9" w:rsidP="005907C8">
            <w:pPr>
              <w:pStyle w:val="TableParagraph"/>
            </w:pPr>
            <w:r w:rsidRPr="004D5FB9">
              <w:t>14. Cardiac complications</w:t>
            </w:r>
          </w:p>
        </w:tc>
        <w:tc>
          <w:tcPr>
            <w:tcW w:w="3483" w:type="pct"/>
            <w:tcBorders>
              <w:top w:val="nil"/>
              <w:left w:val="nil"/>
              <w:bottom w:val="single" w:sz="4" w:space="0" w:color="58595A"/>
              <w:right w:val="nil"/>
            </w:tcBorders>
          </w:tcPr>
          <w:p w14:paraId="30AFCA42" w14:textId="77777777" w:rsidR="004D5FB9" w:rsidRDefault="004D5FB9" w:rsidP="004D5FB9">
            <w:pPr>
              <w:pStyle w:val="TableParagraph"/>
            </w:pPr>
            <w:r>
              <w:t xml:space="preserve">14.2 Arrhythmias </w:t>
            </w:r>
          </w:p>
          <w:p w14:paraId="62EF1C24" w14:textId="77777777" w:rsidR="004D5FB9" w:rsidRDefault="004D5FB9" w:rsidP="004D5FB9">
            <w:pPr>
              <w:pStyle w:val="ListParagraph"/>
              <w:spacing w:before="120"/>
              <w:ind w:right="97"/>
            </w:pPr>
            <w:r>
              <w:t xml:space="preserve">Included: bradycardia with intervention codes relating to insertion of pacing wires or pacemaker/defibrillator leads </w:t>
            </w:r>
          </w:p>
          <w:p w14:paraId="0A178CF0" w14:textId="77777777" w:rsidR="004D5FB9" w:rsidRPr="007A655F" w:rsidRDefault="004D5FB9" w:rsidP="004D5FB9">
            <w:pPr>
              <w:pStyle w:val="ListParagraph"/>
              <w:spacing w:before="120"/>
              <w:ind w:right="97"/>
            </w:pPr>
            <w:r>
              <w:t>Removed: codes related to a predisposition or chronic condition</w:t>
            </w:r>
          </w:p>
        </w:tc>
      </w:tr>
      <w:tr w:rsidR="004D5FB9" w14:paraId="6595173A" w14:textId="77777777" w:rsidTr="004D5FB9">
        <w:trPr>
          <w:trHeight w:val="363"/>
        </w:trPr>
        <w:tc>
          <w:tcPr>
            <w:tcW w:w="1517" w:type="pct"/>
            <w:vMerge/>
            <w:tcBorders>
              <w:left w:val="nil"/>
              <w:bottom w:val="single" w:sz="4" w:space="0" w:color="58595A"/>
              <w:right w:val="nil"/>
            </w:tcBorders>
          </w:tcPr>
          <w:p w14:paraId="795BC8BE" w14:textId="77777777" w:rsidR="004D5FB9" w:rsidRDefault="004D5FB9" w:rsidP="005907C8">
            <w:pPr>
              <w:pStyle w:val="TableParagraph"/>
            </w:pPr>
          </w:p>
        </w:tc>
        <w:tc>
          <w:tcPr>
            <w:tcW w:w="3483" w:type="pct"/>
            <w:tcBorders>
              <w:top w:val="single" w:sz="4" w:space="0" w:color="58595A"/>
              <w:left w:val="nil"/>
              <w:bottom w:val="single" w:sz="4" w:space="0" w:color="58595A"/>
              <w:right w:val="nil"/>
            </w:tcBorders>
          </w:tcPr>
          <w:p w14:paraId="5131263F" w14:textId="77777777" w:rsidR="004D5FB9" w:rsidRDefault="004D5FB9" w:rsidP="005907C8">
            <w:pPr>
              <w:pStyle w:val="TableParagraph"/>
            </w:pPr>
            <w:r w:rsidRPr="004D5FB9">
              <w:t>14.5 Infective endocarditis</w:t>
            </w:r>
          </w:p>
        </w:tc>
      </w:tr>
      <w:tr w:rsidR="004D5FB9" w14:paraId="24BFC32E" w14:textId="77777777" w:rsidTr="004D5FB9">
        <w:trPr>
          <w:trHeight w:val="1467"/>
        </w:trPr>
        <w:tc>
          <w:tcPr>
            <w:tcW w:w="1517" w:type="pct"/>
            <w:tcBorders>
              <w:top w:val="nil"/>
              <w:left w:val="nil"/>
              <w:right w:val="nil"/>
            </w:tcBorders>
          </w:tcPr>
          <w:p w14:paraId="23A8EBD5" w14:textId="77777777" w:rsidR="004D5FB9" w:rsidRPr="007A655F" w:rsidRDefault="004D5FB9" w:rsidP="005907C8">
            <w:pPr>
              <w:pStyle w:val="TableParagraph"/>
            </w:pPr>
            <w:r w:rsidRPr="004D5FB9">
              <w:t>15. Perineal Tears</w:t>
            </w:r>
          </w:p>
        </w:tc>
        <w:tc>
          <w:tcPr>
            <w:tcW w:w="3483" w:type="pct"/>
            <w:tcBorders>
              <w:top w:val="nil"/>
              <w:left w:val="nil"/>
              <w:bottom w:val="single" w:sz="4" w:space="0" w:color="58595A"/>
              <w:right w:val="nil"/>
            </w:tcBorders>
          </w:tcPr>
          <w:p w14:paraId="226C031A" w14:textId="77777777" w:rsidR="004D5FB9" w:rsidRDefault="004D5FB9" w:rsidP="004D5FB9">
            <w:pPr>
              <w:pStyle w:val="TableParagraph"/>
            </w:pPr>
            <w:r w:rsidRPr="004D5FB9">
              <w:t xml:space="preserve">Recommendation to include fourth degree perineal tears in the model for pricing and funding. The key factors identified for risk adjustment are: </w:t>
            </w:r>
            <w:proofErr w:type="spellStart"/>
            <w:r w:rsidRPr="004D5FB9">
              <w:t>foetal</w:t>
            </w:r>
            <w:proofErr w:type="spellEnd"/>
            <w:r w:rsidRPr="004D5FB9">
              <w:t xml:space="preserve"> distress, use of instruments, and primiparity.</w:t>
            </w:r>
          </w:p>
        </w:tc>
      </w:tr>
      <w:tr w:rsidR="004D5FB9" w:rsidRPr="007A655F" w14:paraId="7B98D7F1" w14:textId="77777777" w:rsidTr="004D5FB9">
        <w:trPr>
          <w:trHeight w:val="1255"/>
        </w:trPr>
        <w:tc>
          <w:tcPr>
            <w:tcW w:w="1517" w:type="pct"/>
            <w:vMerge w:val="restart"/>
            <w:tcBorders>
              <w:top w:val="nil"/>
              <w:left w:val="nil"/>
              <w:right w:val="nil"/>
            </w:tcBorders>
          </w:tcPr>
          <w:p w14:paraId="6BAF812B" w14:textId="77777777" w:rsidR="004D5FB9" w:rsidRPr="007A655F" w:rsidRDefault="004D5FB9" w:rsidP="005907C8">
            <w:pPr>
              <w:pStyle w:val="TableParagraph"/>
            </w:pPr>
            <w:r w:rsidRPr="004D5FB9">
              <w:t>16. Neonatal birth trauma</w:t>
            </w:r>
          </w:p>
        </w:tc>
        <w:tc>
          <w:tcPr>
            <w:tcW w:w="3483" w:type="pct"/>
            <w:tcBorders>
              <w:top w:val="nil"/>
              <w:left w:val="nil"/>
              <w:bottom w:val="single" w:sz="4" w:space="0" w:color="58595A"/>
              <w:right w:val="nil"/>
            </w:tcBorders>
          </w:tcPr>
          <w:p w14:paraId="46FB3712" w14:textId="77777777" w:rsidR="004D5FB9" w:rsidRDefault="004D5FB9" w:rsidP="004D5FB9">
            <w:pPr>
              <w:pStyle w:val="TableParagraph"/>
            </w:pPr>
            <w:r>
              <w:t>16.1 Neonatal birth trauma</w:t>
            </w:r>
          </w:p>
          <w:p w14:paraId="2E7C8F79" w14:textId="77777777" w:rsidR="004D5FB9" w:rsidRPr="007A655F" w:rsidRDefault="004D5FB9" w:rsidP="004D5FB9">
            <w:pPr>
              <w:pStyle w:val="ListParagraph"/>
              <w:ind w:right="97"/>
            </w:pPr>
            <w:r>
              <w:t>Included: other specified birth trauma and birth trauma, unspecified</w:t>
            </w:r>
          </w:p>
        </w:tc>
      </w:tr>
      <w:tr w:rsidR="004D5FB9" w14:paraId="2EF4979D" w14:textId="77777777" w:rsidTr="004D5FB9">
        <w:trPr>
          <w:trHeight w:val="564"/>
        </w:trPr>
        <w:tc>
          <w:tcPr>
            <w:tcW w:w="1517" w:type="pct"/>
            <w:vMerge/>
            <w:tcBorders>
              <w:left w:val="nil"/>
              <w:right w:val="nil"/>
            </w:tcBorders>
          </w:tcPr>
          <w:p w14:paraId="31A1213A" w14:textId="77777777" w:rsidR="004D5FB9" w:rsidRDefault="004D5FB9" w:rsidP="005907C8">
            <w:pPr>
              <w:pStyle w:val="TableParagraph"/>
            </w:pPr>
          </w:p>
        </w:tc>
        <w:tc>
          <w:tcPr>
            <w:tcW w:w="3483" w:type="pct"/>
            <w:tcBorders>
              <w:top w:val="single" w:sz="4" w:space="0" w:color="58595A"/>
              <w:left w:val="nil"/>
              <w:bottom w:val="single" w:sz="4" w:space="0" w:color="58595A"/>
              <w:right w:val="nil"/>
            </w:tcBorders>
          </w:tcPr>
          <w:p w14:paraId="0D847E79" w14:textId="77777777" w:rsidR="004D5FB9" w:rsidRDefault="004D5FB9" w:rsidP="005907C8">
            <w:pPr>
              <w:pStyle w:val="TableParagraph"/>
            </w:pPr>
            <w:r w:rsidRPr="004D5FB9">
              <w:t xml:space="preserve">16.2 Hypoxic </w:t>
            </w:r>
            <w:proofErr w:type="spellStart"/>
            <w:r w:rsidRPr="004D5FB9">
              <w:t>ischaemic</w:t>
            </w:r>
            <w:proofErr w:type="spellEnd"/>
            <w:r w:rsidRPr="004D5FB9">
              <w:t xml:space="preserve"> encephalopathy</w:t>
            </w:r>
          </w:p>
        </w:tc>
      </w:tr>
      <w:tr w:rsidR="004D5FB9" w14:paraId="02AC0295" w14:textId="77777777" w:rsidTr="004D5FB9">
        <w:trPr>
          <w:trHeight w:val="706"/>
        </w:trPr>
        <w:tc>
          <w:tcPr>
            <w:tcW w:w="1517" w:type="pct"/>
            <w:vMerge/>
            <w:tcBorders>
              <w:left w:val="nil"/>
              <w:right w:val="nil"/>
            </w:tcBorders>
          </w:tcPr>
          <w:p w14:paraId="78692997" w14:textId="77777777" w:rsidR="004D5FB9" w:rsidRDefault="004D5FB9" w:rsidP="005907C8">
            <w:pPr>
              <w:pStyle w:val="TableParagraph"/>
            </w:pPr>
          </w:p>
        </w:tc>
        <w:tc>
          <w:tcPr>
            <w:tcW w:w="3483" w:type="pct"/>
            <w:tcBorders>
              <w:top w:val="single" w:sz="4" w:space="0" w:color="58595A"/>
              <w:left w:val="nil"/>
              <w:bottom w:val="single" w:sz="4" w:space="0" w:color="58595A"/>
              <w:right w:val="nil"/>
            </w:tcBorders>
          </w:tcPr>
          <w:p w14:paraId="756D7199" w14:textId="77777777" w:rsidR="004D5FB9" w:rsidRPr="004D5FB9" w:rsidRDefault="004D5FB9" w:rsidP="005907C8">
            <w:pPr>
              <w:pStyle w:val="TableParagraph"/>
            </w:pPr>
            <w:r w:rsidRPr="004D5FB9">
              <w:t>Removed: the codes relating to newborn weight from the exclusion codes</w:t>
            </w:r>
          </w:p>
        </w:tc>
      </w:tr>
      <w:tr w:rsidR="004D5FB9" w14:paraId="24683F82" w14:textId="77777777" w:rsidTr="004D5FB9">
        <w:trPr>
          <w:trHeight w:val="858"/>
        </w:trPr>
        <w:tc>
          <w:tcPr>
            <w:tcW w:w="1517" w:type="pct"/>
            <w:vMerge/>
            <w:tcBorders>
              <w:left w:val="nil"/>
              <w:bottom w:val="single" w:sz="4" w:space="0" w:color="58595A"/>
              <w:right w:val="nil"/>
            </w:tcBorders>
          </w:tcPr>
          <w:p w14:paraId="1BEBB552" w14:textId="77777777" w:rsidR="004D5FB9" w:rsidRDefault="004D5FB9" w:rsidP="005907C8">
            <w:pPr>
              <w:pStyle w:val="TableParagraph"/>
            </w:pPr>
          </w:p>
        </w:tc>
        <w:tc>
          <w:tcPr>
            <w:tcW w:w="3483" w:type="pct"/>
            <w:tcBorders>
              <w:top w:val="single" w:sz="4" w:space="0" w:color="58595A"/>
              <w:left w:val="nil"/>
              <w:bottom w:val="single" w:sz="4" w:space="0" w:color="58595A"/>
              <w:right w:val="nil"/>
            </w:tcBorders>
          </w:tcPr>
          <w:p w14:paraId="3C97BE31" w14:textId="77777777" w:rsidR="004D5FB9" w:rsidRPr="004D5FB9" w:rsidRDefault="004D5FB9" w:rsidP="005907C8">
            <w:pPr>
              <w:pStyle w:val="TableParagraph"/>
            </w:pPr>
            <w:r w:rsidRPr="004D5FB9">
              <w:t>Included: unqualified, qualified and semi-qualified newborns in the denominator for this HAC.</w:t>
            </w:r>
          </w:p>
        </w:tc>
      </w:tr>
    </w:tbl>
    <w:p w14:paraId="4E5932AC" w14:textId="77777777" w:rsidR="007A655F" w:rsidRDefault="007A655F" w:rsidP="003932A6">
      <w:pPr>
        <w:pStyle w:val="BodyText"/>
        <w:sectPr w:rsidR="007A655F" w:rsidSect="00E4260D">
          <w:headerReference w:type="default" r:id="rId114"/>
          <w:pgSz w:w="11910" w:h="16840"/>
          <w:pgMar w:top="1440" w:right="1440" w:bottom="1440" w:left="1440" w:header="0" w:footer="656" w:gutter="0"/>
          <w:cols w:num="2" w:space="340"/>
        </w:sectPr>
      </w:pPr>
    </w:p>
    <w:p w14:paraId="4EF9BF29" w14:textId="77777777" w:rsidR="00C415F5" w:rsidRDefault="008B279A" w:rsidP="003932A6">
      <w:pPr>
        <w:pStyle w:val="BodyText"/>
      </w:pPr>
      <w:r>
        <w:rPr>
          <w:noProof/>
        </w:rPr>
        <w:lastRenderedPageBreak/>
        <w:drawing>
          <wp:anchor distT="0" distB="0" distL="114300" distR="114300" simplePos="0" relativeHeight="251675136" behindDoc="0" locked="0" layoutInCell="1" allowOverlap="1" wp14:anchorId="6C8E78A7" wp14:editId="30B79654">
            <wp:simplePos x="0" y="0"/>
            <wp:positionH relativeFrom="column">
              <wp:posOffset>3207224</wp:posOffset>
            </wp:positionH>
            <wp:positionV relativeFrom="page">
              <wp:posOffset>1235122</wp:posOffset>
            </wp:positionV>
            <wp:extent cx="240224" cy="21589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0224" cy="215897"/>
                    </a:xfrm>
                    <a:prstGeom prst="rect">
                      <a:avLst/>
                    </a:prstGeom>
                  </pic:spPr>
                </pic:pic>
              </a:graphicData>
            </a:graphic>
          </wp:anchor>
        </w:drawing>
      </w:r>
      <w:r w:rsidR="009E23A6">
        <w:rPr>
          <w:noProof/>
        </w:rPr>
        <w:pict w14:anchorId="0E0EF181">
          <v:shape id="_x0000_s1027" type="#_x0000_t202" alt="" style="position:absolute;margin-left:311pt;margin-top:12.75pt;width:222.9pt;height:111pt;z-index:-251637760;mso-wrap-style:square;mso-wrap-edited:f;mso-width-percent:0;mso-height-percent:0;mso-wrap-distance-left:0;mso-wrap-distance-right:0;mso-wrap-distance-bottom:11.35pt;mso-position-horizontal-relative:page;mso-position-vertical-relative:text;mso-width-percent:0;mso-height-percent:0;v-text-anchor:top" filled="f" strokecolor="#003e2d [3215]">
            <v:textbox style="mso-next-textbox:#_x0000_s1027" inset="0,0,0,0">
              <w:txbxContent>
                <w:p w14:paraId="657178B1" w14:textId="77777777" w:rsidR="005907C8" w:rsidRPr="00693365" w:rsidRDefault="005907C8" w:rsidP="008B279A">
                  <w:pPr>
                    <w:pStyle w:val="Questionheading"/>
                  </w:pPr>
                  <w:bookmarkStart w:id="33" w:name="_Consultation_questions"/>
                  <w:bookmarkStart w:id="34" w:name="__Consultation_questions_1"/>
                  <w:bookmarkEnd w:id="33"/>
                  <w:bookmarkEnd w:id="34"/>
                  <w:r>
                    <w:t>Consultation questions</w:t>
                  </w:r>
                </w:p>
                <w:p w14:paraId="4D3000C2" w14:textId="77777777" w:rsidR="005907C8" w:rsidRDefault="005907C8" w:rsidP="001C2185">
                  <w:pPr>
                    <w:pStyle w:val="ListParagraph"/>
                    <w:ind w:left="567"/>
                  </w:pPr>
                  <w:r w:rsidRPr="001C2185">
                    <w:t>Is IHPA’s funding approach to HACs improving safety and quality, for</w:t>
                  </w:r>
                  <w:r>
                    <w:t xml:space="preserve"> </w:t>
                  </w:r>
                  <w:r w:rsidRPr="001C2185">
                    <w:t xml:space="preserve">example through changing clinician </w:t>
                  </w:r>
                  <w:proofErr w:type="spellStart"/>
                  <w:r w:rsidRPr="001C2185">
                    <w:t>behaviour</w:t>
                  </w:r>
                  <w:proofErr w:type="spellEnd"/>
                  <w:r w:rsidRPr="001C2185">
                    <w:t xml:space="preserve"> and providing opportunities for effective benchmarking?</w:t>
                  </w:r>
                </w:p>
              </w:txbxContent>
            </v:textbox>
            <w10:wrap type="topAndBottom" anchorx="page"/>
          </v:shape>
        </w:pict>
      </w:r>
      <w:r w:rsidR="00603DEC">
        <w:t xml:space="preserve">In late </w:t>
      </w:r>
      <w:r w:rsidR="00603DEC">
        <w:rPr>
          <w:spacing w:val="-12"/>
        </w:rPr>
        <w:t xml:space="preserve">2019, </w:t>
      </w:r>
      <w:r w:rsidR="00603DEC">
        <w:t xml:space="preserve">the Commission will convene panels to review the remaining HACs (falls resulting in fracture or intracranial injury, surgical </w:t>
      </w:r>
      <w:r w:rsidR="00603DEC">
        <w:rPr>
          <w:spacing w:val="-2"/>
        </w:rPr>
        <w:t xml:space="preserve">complications </w:t>
      </w:r>
      <w:r w:rsidR="00603DEC">
        <w:t xml:space="preserve">requiring unplanned return to theatre, venous thromboembolism, gastrointestinal bleeding, medication complications, persistent incontinence, malnutrition, and healthcare-associated infection). </w:t>
      </w:r>
      <w:r w:rsidR="00603DEC">
        <w:rPr>
          <w:spacing w:val="-6"/>
        </w:rPr>
        <w:t xml:space="preserve">The </w:t>
      </w:r>
      <w:r w:rsidR="00603DEC">
        <w:t>Commission will also continue to consider the inclusion of mental health specific conditions on the HACs</w:t>
      </w:r>
      <w:r w:rsidR="00603DEC">
        <w:rPr>
          <w:spacing w:val="-1"/>
        </w:rPr>
        <w:t xml:space="preserve"> </w:t>
      </w:r>
      <w:r w:rsidR="00603DEC">
        <w:t>list.</w:t>
      </w:r>
    </w:p>
    <w:p w14:paraId="5E275718" w14:textId="77777777" w:rsidR="00C415F5" w:rsidRDefault="00603DEC" w:rsidP="00847364">
      <w:pPr>
        <w:pStyle w:val="TOC3"/>
        <w:spacing w:before="360"/>
      </w:pPr>
      <w:r>
        <w:rPr>
          <w:spacing w:val="-5"/>
        </w:rPr>
        <w:t xml:space="preserve">10.3.1 </w:t>
      </w:r>
      <w:r>
        <w:t>Approach to</w:t>
      </w:r>
      <w:r>
        <w:rPr>
          <w:spacing w:val="-60"/>
        </w:rPr>
        <w:t xml:space="preserve"> </w:t>
      </w:r>
      <w:r>
        <w:t>funding of HACs</w:t>
      </w:r>
    </w:p>
    <w:p w14:paraId="26450D56" w14:textId="77777777" w:rsidR="00C415F5" w:rsidRDefault="00603DEC" w:rsidP="003932A6">
      <w:pPr>
        <w:pStyle w:val="BodyText"/>
      </w:pPr>
      <w:r>
        <w:t>Funding is reduced for any episode of admitted acute care where a HAC occurs. The reduction in funding reflects the incremental cost of the HAC, which is</w:t>
      </w:r>
      <w:r w:rsidR="000213D0">
        <w:t xml:space="preserve"> </w:t>
      </w:r>
      <w:r>
        <w:t xml:space="preserve">the additional cost of providing hospital care that is attributable to the HAC. This approach </w:t>
      </w:r>
      <w:proofErr w:type="spellStart"/>
      <w:r>
        <w:t>recognises</w:t>
      </w:r>
      <w:proofErr w:type="spellEnd"/>
      <w:r>
        <w:t xml:space="preserve"> that the presence of a HAC increases the complexity of an episode of care or the length of stay, driving an increase in the cost of care.</w:t>
      </w:r>
    </w:p>
    <w:p w14:paraId="421D5902" w14:textId="77777777" w:rsidR="00C415F5" w:rsidRDefault="00603DEC" w:rsidP="003932A6">
      <w:pPr>
        <w:pStyle w:val="BodyText"/>
      </w:pPr>
      <w:r>
        <w:rPr>
          <w:spacing w:val="-6"/>
        </w:rPr>
        <w:t xml:space="preserve">The </w:t>
      </w:r>
      <w:r>
        <w:t>HAC funding approach incorporates a risk</w:t>
      </w:r>
      <w:r>
        <w:rPr>
          <w:spacing w:val="-22"/>
        </w:rPr>
        <w:t xml:space="preserve"> </w:t>
      </w:r>
      <w:r>
        <w:t>adjustment model that assigns individual patient episodes</w:t>
      </w:r>
      <w:r>
        <w:rPr>
          <w:spacing w:val="-1"/>
        </w:rPr>
        <w:t xml:space="preserve"> </w:t>
      </w:r>
      <w:r>
        <w:t>with</w:t>
      </w:r>
      <w:r w:rsidR="00E37FD6">
        <w:t xml:space="preserve"> </w:t>
      </w:r>
      <w:r>
        <w:t>a HAC to a low, medium or high complexity</w:t>
      </w:r>
      <w:r>
        <w:rPr>
          <w:spacing w:val="-10"/>
        </w:rPr>
        <w:t xml:space="preserve"> </w:t>
      </w:r>
      <w:r>
        <w:t>score.</w:t>
      </w:r>
      <w:r w:rsidR="00E37FD6">
        <w:t xml:space="preserve"> </w:t>
      </w:r>
      <w:r>
        <w:t>This complexity score is used to adjust the funding reduction for an episode containing a HAC on the basis of the risk of that patient acquiring a HAC. Each HAC</w:t>
      </w:r>
      <w:r w:rsidR="00E37FD6">
        <w:t xml:space="preserve"> </w:t>
      </w:r>
      <w:r>
        <w:t xml:space="preserve">is separately risk-adjusted based on risk factors including patient age, sex, diagnosis-related group type (medical, surgical, other), major diagnostic category, </w:t>
      </w:r>
      <w:proofErr w:type="spellStart"/>
      <w:r>
        <w:t>Charlson</w:t>
      </w:r>
      <w:proofErr w:type="spellEnd"/>
      <w:r>
        <w:t xml:space="preserve"> score, intensive care unit status,</w:t>
      </w:r>
      <w:r w:rsidR="00E37FD6">
        <w:t xml:space="preserve"> </w:t>
      </w:r>
      <w:r>
        <w:t>admission status and transfer status.</w:t>
      </w:r>
    </w:p>
    <w:p w14:paraId="7AEC877A" w14:textId="77777777" w:rsidR="00C415F5" w:rsidRDefault="00603DEC" w:rsidP="003932A6">
      <w:pPr>
        <w:pStyle w:val="BodyText"/>
      </w:pPr>
      <w:r>
        <w:t>The risk adjusted HAC rates were added to IHPA’s NBP to enable hospitals to benchmark and assist in driving improvements to patient outcomes.</w:t>
      </w:r>
    </w:p>
    <w:p w14:paraId="5F1646C9" w14:textId="77777777" w:rsidR="00C415F5" w:rsidRDefault="00C415F5">
      <w:pPr>
        <w:spacing w:line="256" w:lineRule="auto"/>
        <w:sectPr w:rsidR="00C415F5" w:rsidSect="00085021">
          <w:pgSz w:w="11910" w:h="16840"/>
          <w:pgMar w:top="1440" w:right="1440" w:bottom="1440" w:left="1440" w:header="0" w:footer="656" w:gutter="0"/>
          <w:cols w:num="2" w:space="340"/>
        </w:sectPr>
      </w:pPr>
    </w:p>
    <w:p w14:paraId="74A66369" w14:textId="77777777" w:rsidR="00C415F5" w:rsidRPr="006851D8" w:rsidRDefault="006851D8" w:rsidP="006851D8">
      <w:pPr>
        <w:pStyle w:val="Heading2"/>
      </w:pPr>
      <w:r>
        <w:lastRenderedPageBreak/>
        <w:t xml:space="preserve">10.4 </w:t>
      </w:r>
      <w:r w:rsidR="00603DEC" w:rsidRPr="006851D8">
        <w:t>Avoidable hospital readmissions</w:t>
      </w:r>
    </w:p>
    <w:p w14:paraId="2E409D8B" w14:textId="77777777" w:rsidR="00C415F5" w:rsidRDefault="00603DEC" w:rsidP="003932A6">
      <w:pPr>
        <w:pStyle w:val="BodyText"/>
      </w:pPr>
      <w:r>
        <w:t>Unplanned hospital readmissions are a measure of potential issues with the quality, continuity and integration of care provided to patients during or subsequent to their original hospital admission (the index admission).</w:t>
      </w:r>
    </w:p>
    <w:p w14:paraId="7FE8B4A2" w14:textId="77777777" w:rsidR="00C415F5" w:rsidRDefault="00603DEC" w:rsidP="003932A6">
      <w:pPr>
        <w:pStyle w:val="BodyText"/>
      </w:pPr>
      <w:r>
        <w:t>In June 2017, the Australian Health Ministers</w:t>
      </w:r>
      <w:r w:rsidR="006851D8">
        <w:t xml:space="preserve"> </w:t>
      </w:r>
      <w:r>
        <w:t xml:space="preserve">Advisory Council approved the list of avoidable hospital readmissions developed by the Commission. An up to date list can be found on the Commission’s </w:t>
      </w:r>
      <w:hyperlink r:id="rId116">
        <w:r>
          <w:rPr>
            <w:color w:val="008F54"/>
            <w:u w:val="single" w:color="008F54"/>
          </w:rPr>
          <w:t>website</w:t>
        </w:r>
      </w:hyperlink>
      <w:r>
        <w:t>.</w:t>
      </w:r>
    </w:p>
    <w:p w14:paraId="1D66B492" w14:textId="77777777" w:rsidR="00C415F5" w:rsidRPr="006851D8" w:rsidRDefault="006851D8" w:rsidP="006851D8">
      <w:pPr>
        <w:pStyle w:val="Heading3"/>
      </w:pPr>
      <w:r>
        <w:t xml:space="preserve">10.4.1 </w:t>
      </w:r>
      <w:r w:rsidR="00603DEC" w:rsidRPr="006851D8">
        <w:t>Funding Options</w:t>
      </w:r>
    </w:p>
    <w:p w14:paraId="082A197D" w14:textId="77777777" w:rsidR="00C415F5" w:rsidRDefault="00603DEC" w:rsidP="003932A6">
      <w:pPr>
        <w:pStyle w:val="BodyText"/>
      </w:pPr>
      <w:r>
        <w:t>To avoid perverse or unintended consequences, IHPA maintains a cautious approach to implementing funding options to reduce avoidable hospital readmissions.</w:t>
      </w:r>
    </w:p>
    <w:p w14:paraId="522078B9" w14:textId="77777777" w:rsidR="00C415F5" w:rsidRDefault="00603DEC" w:rsidP="006851D8">
      <w:pPr>
        <w:spacing w:before="168" w:line="256" w:lineRule="auto"/>
        <w:ind w:right="98"/>
        <w:rPr>
          <w:sz w:val="19"/>
        </w:rPr>
      </w:pPr>
      <w:r>
        <w:rPr>
          <w:color w:val="58595B"/>
          <w:sz w:val="19"/>
        </w:rPr>
        <w:t xml:space="preserve">As outlined in the </w:t>
      </w:r>
      <w:r>
        <w:rPr>
          <w:i/>
          <w:color w:val="58595B"/>
          <w:sz w:val="19"/>
        </w:rPr>
        <w:t xml:space="preserve">Pricing Framework for Australian Public Hospital Services </w:t>
      </w:r>
      <w:r>
        <w:rPr>
          <w:i/>
          <w:color w:val="58595B"/>
          <w:spacing w:val="-6"/>
          <w:sz w:val="19"/>
        </w:rPr>
        <w:t>2019–20</w:t>
      </w:r>
      <w:r>
        <w:rPr>
          <w:color w:val="58595B"/>
          <w:spacing w:val="-6"/>
          <w:sz w:val="19"/>
        </w:rPr>
        <w:t xml:space="preserve">, </w:t>
      </w:r>
      <w:r>
        <w:rPr>
          <w:color w:val="58595B"/>
          <w:spacing w:val="-3"/>
          <w:sz w:val="19"/>
        </w:rPr>
        <w:t xml:space="preserve">IHPA </w:t>
      </w:r>
      <w:r>
        <w:rPr>
          <w:color w:val="58595B"/>
          <w:sz w:val="19"/>
        </w:rPr>
        <w:t xml:space="preserve">will commence analysis of three funding options from 1 July </w:t>
      </w:r>
      <w:r>
        <w:rPr>
          <w:color w:val="58595B"/>
          <w:spacing w:val="-12"/>
          <w:sz w:val="19"/>
        </w:rPr>
        <w:t xml:space="preserve">2019 </w:t>
      </w:r>
      <w:r>
        <w:rPr>
          <w:color w:val="58595B"/>
          <w:sz w:val="19"/>
        </w:rPr>
        <w:t>for a 24-month period.</w:t>
      </w:r>
    </w:p>
    <w:p w14:paraId="42C42068" w14:textId="77777777" w:rsidR="00C415F5" w:rsidRDefault="00603DEC" w:rsidP="003932A6">
      <w:pPr>
        <w:pStyle w:val="BodyText"/>
      </w:pPr>
      <w:r>
        <w:rPr>
          <w:spacing w:val="-3"/>
        </w:rPr>
        <w:t xml:space="preserve">Throughout </w:t>
      </w:r>
      <w:r>
        <w:t xml:space="preserve">the shadow period </w:t>
      </w:r>
      <w:r>
        <w:rPr>
          <w:spacing w:val="-3"/>
        </w:rPr>
        <w:t xml:space="preserve">IHPA </w:t>
      </w:r>
      <w:r>
        <w:t xml:space="preserve">will provide </w:t>
      </w:r>
      <w:r>
        <w:rPr>
          <w:spacing w:val="-3"/>
        </w:rPr>
        <w:t xml:space="preserve">analysis </w:t>
      </w:r>
      <w:r>
        <w:t>through quarterly reports to its advisory committees.</w:t>
      </w:r>
      <w:r w:rsidR="00575A98">
        <w:t xml:space="preserve"> </w:t>
      </w:r>
      <w:r>
        <w:t xml:space="preserve">The shadow period will allow IHPA to test options for funding avoidable hospital readmissions to understand the activity and funding impacts of the proposed options. To support the monitoring of avoidable hospital readmissions rates, IHPA will also include avoidable hospital readmission rates in the NBP in mid-2019, pending </w:t>
      </w:r>
      <w:proofErr w:type="spellStart"/>
      <w:r>
        <w:t>finalisation</w:t>
      </w:r>
      <w:proofErr w:type="spellEnd"/>
      <w:r>
        <w:t xml:space="preserve"> of a risk adjustment model.</w:t>
      </w:r>
    </w:p>
    <w:p w14:paraId="791C0F64" w14:textId="77777777" w:rsidR="00C415F5" w:rsidRDefault="00603DEC" w:rsidP="003932A6">
      <w:pPr>
        <w:pStyle w:val="BodyText"/>
      </w:pPr>
      <w:r>
        <w:br w:type="column"/>
      </w:r>
      <w:r>
        <w:t>The options are:</w:t>
      </w:r>
    </w:p>
    <w:p w14:paraId="448778D2" w14:textId="77777777" w:rsidR="00C415F5" w:rsidRDefault="00603DEC" w:rsidP="003932A6">
      <w:pPr>
        <w:pStyle w:val="BodyText"/>
      </w:pPr>
      <w:r w:rsidRPr="00575A98">
        <w:rPr>
          <w:rFonts w:cs="Arial"/>
          <w:b/>
        </w:rPr>
        <w:t>Option 1:</w:t>
      </w:r>
      <w:r>
        <w:rPr>
          <w:rFonts w:ascii="Futura PT Heavy"/>
          <w:b/>
        </w:rPr>
        <w:t xml:space="preserve"> </w:t>
      </w:r>
      <w:r>
        <w:t>Under this episode-level approach,</w:t>
      </w:r>
      <w:r w:rsidR="00575A98">
        <w:t xml:space="preserve"> </w:t>
      </w:r>
      <w:r>
        <w:t xml:space="preserve">an episode with an avoidable hospital readmission would not be funded, instead, these episodes would be assigned zero NWAU. However, this funding adjustment would always be applied to impact on </w:t>
      </w:r>
      <w:r>
        <w:rPr>
          <w:u w:val="single" w:color="58595B"/>
        </w:rPr>
        <w:t>where the index</w:t>
      </w:r>
      <w:r w:rsidRPr="000961D7">
        <w:rPr>
          <w:u w:val="single"/>
        </w:rPr>
        <w:t xml:space="preserve"> </w:t>
      </w:r>
      <w:r>
        <w:rPr>
          <w:u w:val="single" w:color="58595B"/>
        </w:rPr>
        <w:t>admission occurred</w:t>
      </w:r>
      <w:r>
        <w:t xml:space="preserve"> (even when the readmission </w:t>
      </w:r>
      <w:r>
        <w:rPr>
          <w:spacing w:val="-3"/>
        </w:rPr>
        <w:t xml:space="preserve">occurred </w:t>
      </w:r>
      <w:r>
        <w:t>in a different hospital or LHN to the index</w:t>
      </w:r>
      <w:r>
        <w:rPr>
          <w:spacing w:val="-5"/>
        </w:rPr>
        <w:t xml:space="preserve"> </w:t>
      </w:r>
      <w:r>
        <w:t>admission).</w:t>
      </w:r>
    </w:p>
    <w:p w14:paraId="1C32F61E" w14:textId="77777777" w:rsidR="00C415F5" w:rsidRDefault="00603DEC" w:rsidP="003932A6">
      <w:pPr>
        <w:pStyle w:val="BodyText"/>
      </w:pPr>
      <w:r w:rsidRPr="00575A98">
        <w:rPr>
          <w:rFonts w:cs="Arial"/>
          <w:b/>
        </w:rPr>
        <w:t>Option 2:</w:t>
      </w:r>
      <w:r>
        <w:rPr>
          <w:rFonts w:ascii="Futura PT Heavy"/>
          <w:b/>
        </w:rPr>
        <w:t xml:space="preserve"> </w:t>
      </w:r>
      <w:r>
        <w:t>Under this episode-level approach, the index admission and the readmission would be combined</w:t>
      </w:r>
      <w:r w:rsidR="00575A98">
        <w:t xml:space="preserve"> </w:t>
      </w:r>
      <w:r>
        <w:t xml:space="preserve">for funding purposes. This means that the two merged episodes would retain the DRG of the initial admission but also include the additional length of stay days that occur during the readmission. The funding adjustment would always be applied to </w:t>
      </w:r>
      <w:r>
        <w:rPr>
          <w:u w:val="single" w:color="58595B"/>
        </w:rPr>
        <w:t>where the index admission occurred</w:t>
      </w:r>
      <w:r>
        <w:t xml:space="preserve"> (even when the readmission occurred in a different hospital or LHN to the index admission).</w:t>
      </w:r>
    </w:p>
    <w:p w14:paraId="6A18B0F7" w14:textId="77777777" w:rsidR="00C415F5" w:rsidRDefault="00603DEC" w:rsidP="003932A6">
      <w:pPr>
        <w:pStyle w:val="BodyText"/>
      </w:pPr>
      <w:r w:rsidRPr="00575A98">
        <w:rPr>
          <w:rFonts w:cs="Arial"/>
          <w:b/>
        </w:rPr>
        <w:t>Option 3:</w:t>
      </w:r>
      <w:r>
        <w:rPr>
          <w:rFonts w:ascii="Futura PT Heavy"/>
          <w:b/>
        </w:rPr>
        <w:t xml:space="preserve"> </w:t>
      </w:r>
      <w:r>
        <w:t>Under this hospital-level approach, funding would be adjusted on the basis of differences in rates of avoidable hospital readmissions compared either at the level of hospitals or at the level of LHNs.</w:t>
      </w:r>
      <w:r w:rsidR="00575A98">
        <w:t xml:space="preserve"> </w:t>
      </w:r>
      <w:r>
        <w:t>This would involve setting benchmark rates of avoidable hospital readmissions.</w:t>
      </w:r>
    </w:p>
    <w:p w14:paraId="5049EC4A" w14:textId="77777777" w:rsidR="00C415F5" w:rsidRDefault="00603DEC" w:rsidP="003932A6">
      <w:pPr>
        <w:pStyle w:val="BodyText"/>
      </w:pPr>
      <w:r>
        <w:rPr>
          <w:spacing w:val="-3"/>
        </w:rPr>
        <w:t xml:space="preserve">Throughout </w:t>
      </w:r>
      <w:r>
        <w:t xml:space="preserve">the trial period, </w:t>
      </w:r>
      <w:r>
        <w:rPr>
          <w:spacing w:val="-3"/>
        </w:rPr>
        <w:t xml:space="preserve">IHPA </w:t>
      </w:r>
      <w:r>
        <w:t xml:space="preserve">is undertaking further technical work on issues involved in the setting, administration and outcomes monitoring of the three funding options. </w:t>
      </w:r>
      <w:r>
        <w:rPr>
          <w:spacing w:val="-4"/>
        </w:rPr>
        <w:t xml:space="preserve">This </w:t>
      </w:r>
      <w:r>
        <w:t>will include consideration and analysis</w:t>
      </w:r>
      <w:r>
        <w:rPr>
          <w:spacing w:val="-1"/>
        </w:rPr>
        <w:t xml:space="preserve"> </w:t>
      </w:r>
      <w:r>
        <w:t>of:</w:t>
      </w:r>
    </w:p>
    <w:p w14:paraId="3EFAB6B0" w14:textId="77777777" w:rsidR="00C415F5" w:rsidRDefault="00603DEC" w:rsidP="00575A98">
      <w:pPr>
        <w:pStyle w:val="ListParagraph"/>
        <w:numPr>
          <w:ilvl w:val="0"/>
          <w:numId w:val="1"/>
        </w:numPr>
        <w:ind w:left="284" w:right="92"/>
      </w:pPr>
      <w:r>
        <w:t xml:space="preserve">The impact of </w:t>
      </w:r>
      <w:r>
        <w:rPr>
          <w:spacing w:val="2"/>
        </w:rPr>
        <w:t xml:space="preserve">setting </w:t>
      </w:r>
      <w:r>
        <w:t>adjustments at a hospital, LHN, jurisdiction and national level;</w:t>
      </w:r>
      <w:r>
        <w:rPr>
          <w:spacing w:val="3"/>
        </w:rPr>
        <w:t xml:space="preserve"> </w:t>
      </w:r>
      <w:r>
        <w:t>and</w:t>
      </w:r>
    </w:p>
    <w:p w14:paraId="333F55AE" w14:textId="77777777" w:rsidR="00C415F5" w:rsidRDefault="00603DEC" w:rsidP="00575A98">
      <w:pPr>
        <w:pStyle w:val="ListParagraph"/>
        <w:numPr>
          <w:ilvl w:val="0"/>
          <w:numId w:val="1"/>
        </w:numPr>
        <w:ind w:left="284" w:right="92"/>
      </w:pPr>
      <w:r>
        <w:t xml:space="preserve">The impact of </w:t>
      </w:r>
      <w:r>
        <w:rPr>
          <w:spacing w:val="2"/>
        </w:rPr>
        <w:t xml:space="preserve">setting </w:t>
      </w:r>
      <w:r>
        <w:t>readmissions within or across financial years.</w:t>
      </w:r>
    </w:p>
    <w:p w14:paraId="1FC6C297" w14:textId="77777777" w:rsidR="00C415F5" w:rsidRDefault="00603DEC" w:rsidP="003932A6">
      <w:pPr>
        <w:pStyle w:val="BodyText"/>
      </w:pPr>
      <w:r>
        <w:t xml:space="preserve">Detailed information on the three options including proposed measurements is provided in the current </w:t>
      </w:r>
      <w:hyperlink r:id="rId117">
        <w:r>
          <w:rPr>
            <w:color w:val="008F54"/>
            <w:u w:val="single" w:color="008F54"/>
          </w:rPr>
          <w:t>Pricing Framework 2019–20</w:t>
        </w:r>
      </w:hyperlink>
      <w:r>
        <w:t xml:space="preserve">. IHPA will share the results and seek further stakeholder feedback in next year’s Consultation Paper on the </w:t>
      </w:r>
      <w:r>
        <w:rPr>
          <w:i/>
        </w:rPr>
        <w:t>Pricing Framework for Australian Public Hospital Services</w:t>
      </w:r>
      <w:r>
        <w:t>.</w:t>
      </w:r>
    </w:p>
    <w:p w14:paraId="2723CE2F" w14:textId="77777777" w:rsidR="00C415F5" w:rsidRDefault="00C415F5">
      <w:pPr>
        <w:spacing w:line="256" w:lineRule="auto"/>
        <w:sectPr w:rsidR="00C415F5" w:rsidSect="00085021">
          <w:headerReference w:type="default" r:id="rId118"/>
          <w:pgSz w:w="11910" w:h="16840"/>
          <w:pgMar w:top="1440" w:right="1440" w:bottom="1440" w:left="1440" w:header="0" w:footer="656" w:gutter="0"/>
          <w:cols w:num="2" w:space="340"/>
        </w:sectPr>
      </w:pPr>
    </w:p>
    <w:p w14:paraId="23A9A4D0" w14:textId="77777777" w:rsidR="00C415F5" w:rsidRPr="00575A98" w:rsidRDefault="008B279A" w:rsidP="00575A98">
      <w:pPr>
        <w:pStyle w:val="Heading3"/>
      </w:pPr>
      <w:bookmarkStart w:id="35" w:name="_bookmark22"/>
      <w:bookmarkEnd w:id="35"/>
      <w:r>
        <w:rPr>
          <w:noProof/>
        </w:rPr>
        <w:lastRenderedPageBreak/>
        <w:drawing>
          <wp:anchor distT="0" distB="0" distL="114300" distR="114300" simplePos="0" relativeHeight="251677184" behindDoc="0" locked="0" layoutInCell="1" allowOverlap="1" wp14:anchorId="6E53A54C" wp14:editId="19F940BC">
            <wp:simplePos x="0" y="0"/>
            <wp:positionH relativeFrom="column">
              <wp:posOffset>3193576</wp:posOffset>
            </wp:positionH>
            <wp:positionV relativeFrom="page">
              <wp:posOffset>1238676</wp:posOffset>
            </wp:positionV>
            <wp:extent cx="240224" cy="21589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ht green question.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0224" cy="215897"/>
                    </a:xfrm>
                    <a:prstGeom prst="rect">
                      <a:avLst/>
                    </a:prstGeom>
                  </pic:spPr>
                </pic:pic>
              </a:graphicData>
            </a:graphic>
          </wp:anchor>
        </w:drawing>
      </w:r>
      <w:r w:rsidR="009E23A6">
        <w:rPr>
          <w:noProof/>
          <w:spacing w:val="-3"/>
        </w:rPr>
        <w:pict w14:anchorId="0A3523F9">
          <v:shape id="_x0000_s1026" type="#_x0000_t202" alt="" style="position:absolute;margin-left:309.5pt;margin-top:12.75pt;width:222.9pt;height:102pt;z-index:-251636736;mso-wrap-style:square;mso-wrap-edited:f;mso-width-percent:0;mso-height-percent:0;mso-wrap-distance-left:0;mso-wrap-distance-right:0;mso-wrap-distance-bottom:11.35pt;mso-position-horizontal-relative:page;mso-position-vertical-relative:text;mso-width-percent:0;mso-height-percent:0;v-text-anchor:top" filled="f" strokecolor="#003e2d [3215]">
            <v:textbox style="mso-next-textbox:#_x0000_s1026" inset="0,0,0,0">
              <w:txbxContent>
                <w:p w14:paraId="3B2E8691" w14:textId="77777777" w:rsidR="005907C8" w:rsidRPr="00693365" w:rsidRDefault="005907C8" w:rsidP="008B279A">
                  <w:pPr>
                    <w:pStyle w:val="Questionheading"/>
                  </w:pPr>
                  <w:bookmarkStart w:id="36" w:name="_Consultation_questions_7"/>
                  <w:bookmarkEnd w:id="36"/>
                  <w:r>
                    <w:t>Consultation questions</w:t>
                  </w:r>
                </w:p>
                <w:p w14:paraId="02ED3BA0" w14:textId="77777777" w:rsidR="005907C8" w:rsidRDefault="005907C8" w:rsidP="00E4260D">
                  <w:pPr>
                    <w:pStyle w:val="ListParagraph"/>
                    <w:ind w:left="567"/>
                  </w:pPr>
                  <w:r w:rsidRPr="00E4260D">
                    <w:t xml:space="preserve">What should IHPA consider </w:t>
                  </w:r>
                  <w:proofErr w:type="gramStart"/>
                  <w:r w:rsidRPr="00E4260D">
                    <w:t>to configure</w:t>
                  </w:r>
                  <w:proofErr w:type="gramEnd"/>
                  <w:r w:rsidRPr="00E4260D">
                    <w:t xml:space="preserve"> software for the Australian context that can identify potentially avoidable </w:t>
                  </w:r>
                  <w:r>
                    <w:t xml:space="preserve">hospital </w:t>
                  </w:r>
                  <w:r w:rsidRPr="00E4260D">
                    <w:t>readmissions?</w:t>
                  </w:r>
                </w:p>
              </w:txbxContent>
            </v:textbox>
            <w10:wrap type="topAndBottom" anchorx="page"/>
          </v:shape>
        </w:pict>
      </w:r>
      <w:r w:rsidR="00575A98">
        <w:t xml:space="preserve">10.4.2 </w:t>
      </w:r>
      <w:r w:rsidR="00603DEC" w:rsidRPr="00575A98">
        <w:t>Approach to risk adjustment</w:t>
      </w:r>
    </w:p>
    <w:p w14:paraId="3E247AD5" w14:textId="77777777" w:rsidR="00C415F5" w:rsidRDefault="00603DEC" w:rsidP="003932A6">
      <w:pPr>
        <w:pStyle w:val="BodyText"/>
      </w:pPr>
      <w:r>
        <w:t>In early 2019, IHPA commenced work to develop a risk adjustment model for avoidable hospital readmissions with the University of Melbourne. The risk adjustment model aims to use patient characteristics to predict</w:t>
      </w:r>
      <w:r w:rsidR="00575A98">
        <w:t xml:space="preserve"> </w:t>
      </w:r>
      <w:r>
        <w:t xml:space="preserve">the risk of an avoidable hospital readmission by initially using the same methodology as the </w:t>
      </w:r>
      <w:r>
        <w:rPr>
          <w:spacing w:val="-10"/>
        </w:rPr>
        <w:t xml:space="preserve">HAC </w:t>
      </w:r>
      <w:r>
        <w:t>risk adjustment model.</w:t>
      </w:r>
      <w:r w:rsidR="008B279A" w:rsidRPr="008B279A">
        <w:rPr>
          <w:noProof/>
        </w:rPr>
        <w:t xml:space="preserve"> </w:t>
      </w:r>
    </w:p>
    <w:p w14:paraId="18890ADC" w14:textId="77777777" w:rsidR="00C415F5" w:rsidRDefault="00603DEC" w:rsidP="003932A6">
      <w:pPr>
        <w:pStyle w:val="BodyText"/>
      </w:pPr>
      <w:r>
        <w:rPr>
          <w:spacing w:val="-3"/>
        </w:rPr>
        <w:t xml:space="preserve">IHPA </w:t>
      </w:r>
      <w:r>
        <w:t xml:space="preserve">is also undertaking analysis of existing data to examine potential risk factors for avoidable </w:t>
      </w:r>
      <w:r>
        <w:rPr>
          <w:spacing w:val="-4"/>
        </w:rPr>
        <w:t xml:space="preserve">hospital </w:t>
      </w:r>
      <w:r>
        <w:t xml:space="preserve">readmissions. </w:t>
      </w:r>
      <w:r>
        <w:rPr>
          <w:spacing w:val="-3"/>
        </w:rPr>
        <w:t xml:space="preserve">IHPA </w:t>
      </w:r>
      <w:r>
        <w:t xml:space="preserve">has examined age, DRG type, major diagnostic category, sex, hospital </w:t>
      </w:r>
      <w:r>
        <w:rPr>
          <w:spacing w:val="-3"/>
        </w:rPr>
        <w:t xml:space="preserve">remoteness </w:t>
      </w:r>
      <w:r>
        <w:t>and Indigenous</w:t>
      </w:r>
      <w:r>
        <w:rPr>
          <w:spacing w:val="-1"/>
        </w:rPr>
        <w:t xml:space="preserve"> </w:t>
      </w:r>
      <w:r>
        <w:t>status.</w:t>
      </w:r>
    </w:p>
    <w:p w14:paraId="5C72465A" w14:textId="77777777" w:rsidR="00C415F5" w:rsidRPr="00575A98" w:rsidRDefault="00575A98" w:rsidP="00575A98">
      <w:pPr>
        <w:pStyle w:val="Heading3"/>
      </w:pPr>
      <w:r>
        <w:t xml:space="preserve">10.4.3 </w:t>
      </w:r>
      <w:r w:rsidR="00603DEC" w:rsidRPr="00575A98">
        <w:t>Commercial readmissions software</w:t>
      </w:r>
    </w:p>
    <w:p w14:paraId="2701DFE3" w14:textId="77777777" w:rsidR="00C415F5" w:rsidRDefault="00603DEC" w:rsidP="003932A6">
      <w:pPr>
        <w:pStyle w:val="BodyText"/>
      </w:pPr>
      <w:r>
        <w:rPr>
          <w:spacing w:val="-3"/>
        </w:rPr>
        <w:t xml:space="preserve">IHPA </w:t>
      </w:r>
      <w:r>
        <w:t xml:space="preserve">continues to explore the potential use of </w:t>
      </w:r>
      <w:r>
        <w:rPr>
          <w:spacing w:val="-3"/>
        </w:rPr>
        <w:t xml:space="preserve">commercial </w:t>
      </w:r>
      <w:r>
        <w:t>software that determines whether a readmission is clinically related to a prior admission based on the patient’s</w:t>
      </w:r>
      <w:r>
        <w:rPr>
          <w:spacing w:val="-6"/>
        </w:rPr>
        <w:t xml:space="preserve"> </w:t>
      </w:r>
      <w:r>
        <w:t>diagnosis</w:t>
      </w:r>
      <w:r>
        <w:rPr>
          <w:spacing w:val="-6"/>
        </w:rPr>
        <w:t xml:space="preserve"> </w:t>
      </w:r>
      <w:r>
        <w:t>and</w:t>
      </w:r>
      <w:r>
        <w:rPr>
          <w:spacing w:val="-6"/>
        </w:rPr>
        <w:t xml:space="preserve"> </w:t>
      </w:r>
      <w:r>
        <w:t>procedures</w:t>
      </w:r>
      <w:r>
        <w:rPr>
          <w:spacing w:val="-6"/>
        </w:rPr>
        <w:t xml:space="preserve"> </w:t>
      </w:r>
      <w:r>
        <w:t>in</w:t>
      </w:r>
      <w:r>
        <w:rPr>
          <w:spacing w:val="-6"/>
        </w:rPr>
        <w:t xml:space="preserve"> </w:t>
      </w:r>
      <w:r>
        <w:t>the</w:t>
      </w:r>
      <w:r>
        <w:rPr>
          <w:spacing w:val="-5"/>
        </w:rPr>
        <w:t xml:space="preserve"> </w:t>
      </w:r>
      <w:r>
        <w:t>index</w:t>
      </w:r>
      <w:r>
        <w:rPr>
          <w:spacing w:val="-6"/>
        </w:rPr>
        <w:t xml:space="preserve"> </w:t>
      </w:r>
      <w:r>
        <w:t xml:space="preserve">admission and the reason for readmission. </w:t>
      </w:r>
      <w:r>
        <w:rPr>
          <w:spacing w:val="-4"/>
        </w:rPr>
        <w:t xml:space="preserve">This </w:t>
      </w:r>
      <w:r>
        <w:t>software would allow investigation of a broader scope of avoidable readmission conditions than the current list of avoidable hospital</w:t>
      </w:r>
      <w:r>
        <w:rPr>
          <w:spacing w:val="-1"/>
        </w:rPr>
        <w:t xml:space="preserve"> </w:t>
      </w:r>
      <w:r>
        <w:t>readmissions.</w:t>
      </w:r>
      <w:r w:rsidR="00FC3E95">
        <w:t xml:space="preserve"> </w:t>
      </w:r>
    </w:p>
    <w:p w14:paraId="0DF6BE3E" w14:textId="77777777" w:rsidR="00C415F5" w:rsidRDefault="00C415F5">
      <w:pPr>
        <w:spacing w:line="256" w:lineRule="auto"/>
        <w:sectPr w:rsidR="00C415F5" w:rsidSect="00EA1F97">
          <w:headerReference w:type="default" r:id="rId119"/>
          <w:pgSz w:w="11910" w:h="16840"/>
          <w:pgMar w:top="1440" w:right="1440" w:bottom="1440" w:left="1440" w:header="0" w:footer="656" w:gutter="0"/>
          <w:cols w:num="2" w:space="340"/>
        </w:sectPr>
      </w:pPr>
    </w:p>
    <w:p w14:paraId="4DECFB88" w14:textId="77777777" w:rsidR="00C415F5" w:rsidRPr="00F601BD" w:rsidRDefault="00603DEC" w:rsidP="006E364C">
      <w:pPr>
        <w:pStyle w:val="Heading1"/>
        <w:spacing w:after="480"/>
      </w:pPr>
      <w:bookmarkStart w:id="37" w:name="Appendix_A_—_List_of_consultation_questi"/>
      <w:bookmarkStart w:id="38" w:name="_bookmark23"/>
      <w:bookmarkEnd w:id="37"/>
      <w:bookmarkEnd w:id="38"/>
      <w:r w:rsidRPr="00F601BD">
        <w:lastRenderedPageBreak/>
        <w:t>Appendix A — List of consultation questions</w:t>
      </w:r>
    </w:p>
    <w:p w14:paraId="177A744A" w14:textId="77777777" w:rsidR="00C415F5" w:rsidRDefault="00603DEC" w:rsidP="006E364C">
      <w:pPr>
        <w:pStyle w:val="BodyText"/>
        <w:spacing w:after="240"/>
      </w:pPr>
      <w:r>
        <w:t>Below is a list of all consultation questions raised throughout this consultation paper, along with page references. Please note, submissions are not required to respond to the consultation questions.</w:t>
      </w:r>
    </w:p>
    <w:tbl>
      <w:tblPr>
        <w:tblW w:w="0" w:type="auto"/>
        <w:tblCellMar>
          <w:left w:w="0" w:type="dxa"/>
          <w:right w:w="0" w:type="dxa"/>
        </w:tblCellMar>
        <w:tblLook w:val="01E0" w:firstRow="1" w:lastRow="1" w:firstColumn="1" w:lastColumn="1" w:noHBand="0" w:noVBand="0"/>
      </w:tblPr>
      <w:tblGrid>
        <w:gridCol w:w="8123"/>
        <w:gridCol w:w="907"/>
      </w:tblGrid>
      <w:tr w:rsidR="00C415F5" w14:paraId="2E718201" w14:textId="77777777" w:rsidTr="00944DA4">
        <w:trPr>
          <w:trHeight w:val="531"/>
        </w:trPr>
        <w:tc>
          <w:tcPr>
            <w:tcW w:w="0" w:type="auto"/>
            <w:tcBorders>
              <w:bottom w:val="single" w:sz="2" w:space="0" w:color="636466"/>
            </w:tcBorders>
            <w:shd w:val="clear" w:color="auto" w:fill="003E2C"/>
            <w:vAlign w:val="center"/>
          </w:tcPr>
          <w:p w14:paraId="4FCBF33A" w14:textId="77777777" w:rsidR="00C415F5" w:rsidRPr="00F601BD" w:rsidRDefault="00603DEC" w:rsidP="006C7DE8">
            <w:pPr>
              <w:pStyle w:val="TableParagraph"/>
              <w:ind w:right="339"/>
              <w:rPr>
                <w:color w:val="FFFFFF" w:themeColor="background1"/>
              </w:rPr>
            </w:pPr>
            <w:r w:rsidRPr="00F601BD">
              <w:rPr>
                <w:color w:val="FFFFFF" w:themeColor="background1"/>
              </w:rPr>
              <w:t>Questions</w:t>
            </w:r>
          </w:p>
        </w:tc>
        <w:tc>
          <w:tcPr>
            <w:tcW w:w="0" w:type="auto"/>
            <w:tcBorders>
              <w:bottom w:val="single" w:sz="2" w:space="0" w:color="636466"/>
            </w:tcBorders>
            <w:shd w:val="clear" w:color="auto" w:fill="003E2C"/>
            <w:vAlign w:val="center"/>
          </w:tcPr>
          <w:p w14:paraId="5E3EE8B0" w14:textId="77777777" w:rsidR="00C415F5" w:rsidRPr="00F601BD" w:rsidRDefault="00603DEC" w:rsidP="00F601BD">
            <w:pPr>
              <w:pStyle w:val="TableParagraph"/>
              <w:rPr>
                <w:color w:val="FFFFFF" w:themeColor="background1"/>
              </w:rPr>
            </w:pPr>
            <w:r w:rsidRPr="00F601BD">
              <w:rPr>
                <w:color w:val="FFFFFF" w:themeColor="background1"/>
              </w:rPr>
              <w:t>Page number</w:t>
            </w:r>
          </w:p>
        </w:tc>
      </w:tr>
      <w:tr w:rsidR="00C415F5" w14:paraId="40B22D18" w14:textId="77777777" w:rsidTr="00944DA4">
        <w:trPr>
          <w:trHeight w:val="657"/>
        </w:trPr>
        <w:tc>
          <w:tcPr>
            <w:tcW w:w="0" w:type="auto"/>
            <w:tcBorders>
              <w:top w:val="single" w:sz="2" w:space="0" w:color="636466"/>
              <w:bottom w:val="single" w:sz="2" w:space="0" w:color="636466"/>
            </w:tcBorders>
          </w:tcPr>
          <w:p w14:paraId="53952093" w14:textId="77777777" w:rsidR="00C415F5" w:rsidRPr="00944DA4" w:rsidRDefault="009E23A6" w:rsidP="00944DA4">
            <w:pPr>
              <w:pStyle w:val="TableParagraph"/>
              <w:spacing w:before="60" w:after="60"/>
              <w:ind w:right="339"/>
              <w:rPr>
                <w:color w:val="008F54" w:themeColor="accent2"/>
                <w:u w:val="single"/>
              </w:rPr>
            </w:pPr>
            <w:hyperlink w:anchor="_Consultation_questions_1" w:history="1">
              <w:r w:rsidR="00603DEC" w:rsidRPr="00944DA4">
                <w:rPr>
                  <w:rStyle w:val="Hyperlink"/>
                  <w:color w:val="008F54" w:themeColor="accent2"/>
                </w:rPr>
                <w:t>Are the Pricing Guidelines still relevant in providing guidance on IHPA’s role in pricing Australian public hospital services?</w:t>
              </w:r>
            </w:hyperlink>
          </w:p>
        </w:tc>
        <w:tc>
          <w:tcPr>
            <w:tcW w:w="0" w:type="auto"/>
            <w:tcBorders>
              <w:top w:val="single" w:sz="2" w:space="0" w:color="636466"/>
              <w:bottom w:val="single" w:sz="2" w:space="0" w:color="636466"/>
            </w:tcBorders>
          </w:tcPr>
          <w:p w14:paraId="1B0F9ACB" w14:textId="77777777" w:rsidR="00C415F5" w:rsidRPr="00F42929" w:rsidRDefault="009E23A6" w:rsidP="00944DA4">
            <w:pPr>
              <w:pStyle w:val="TableParagraph"/>
              <w:spacing w:before="60" w:after="60"/>
              <w:rPr>
                <w:rFonts w:cs="Arial"/>
                <w:b/>
                <w:bCs/>
                <w:color w:val="008F54" w:themeColor="accent2"/>
                <w:sz w:val="16"/>
              </w:rPr>
            </w:pPr>
            <w:hyperlink w:anchor="_Consultation_questions_1" w:history="1">
              <w:r w:rsidR="00E01EDD">
                <w:rPr>
                  <w:rStyle w:val="Hyperlink"/>
                  <w:rFonts w:cs="Arial"/>
                  <w:b/>
                  <w:bCs/>
                  <w:color w:val="008F54" w:themeColor="accent2"/>
                  <w:sz w:val="16"/>
                </w:rPr>
                <w:t>5</w:t>
              </w:r>
            </w:hyperlink>
          </w:p>
        </w:tc>
      </w:tr>
      <w:tr w:rsidR="00C415F5" w14:paraId="5FFBA524" w14:textId="77777777" w:rsidTr="00944DA4">
        <w:trPr>
          <w:trHeight w:val="657"/>
        </w:trPr>
        <w:tc>
          <w:tcPr>
            <w:tcW w:w="0" w:type="auto"/>
            <w:tcBorders>
              <w:top w:val="single" w:sz="2" w:space="0" w:color="636466"/>
              <w:bottom w:val="single" w:sz="2" w:space="0" w:color="636466"/>
            </w:tcBorders>
          </w:tcPr>
          <w:p w14:paraId="0E78D946" w14:textId="77777777" w:rsidR="00C415F5" w:rsidRPr="00944DA4" w:rsidRDefault="009E23A6" w:rsidP="00944DA4">
            <w:pPr>
              <w:pStyle w:val="TableParagraph"/>
              <w:spacing w:before="60" w:after="60"/>
              <w:ind w:right="339"/>
              <w:rPr>
                <w:color w:val="008F54" w:themeColor="accent2"/>
                <w:u w:val="single"/>
              </w:rPr>
            </w:pPr>
            <w:hyperlink w:anchor="_Consultation_questions_1" w:history="1">
              <w:r w:rsidR="00603DEC" w:rsidRPr="00944DA4">
                <w:rPr>
                  <w:color w:val="008F54" w:themeColor="accent2"/>
                  <w:u w:val="single"/>
                </w:rPr>
                <w:t>Does the proposed addition to the Pricing Guidelines appropriately capture the need for pricing models to support</w:t>
              </w:r>
            </w:hyperlink>
            <w:r w:rsidR="00603DEC" w:rsidRPr="00944DA4">
              <w:rPr>
                <w:color w:val="008F54" w:themeColor="accent2"/>
                <w:u w:val="single"/>
              </w:rPr>
              <w:t xml:space="preserve"> </w:t>
            </w:r>
            <w:hyperlink w:anchor="_bookmark3" w:history="1">
              <w:r w:rsidR="00603DEC" w:rsidRPr="00944DA4">
                <w:rPr>
                  <w:color w:val="008F54" w:themeColor="accent2"/>
                  <w:u w:val="single"/>
                </w:rPr>
                <w:t>‘value’ in hospital and health services?</w:t>
              </w:r>
            </w:hyperlink>
          </w:p>
        </w:tc>
        <w:tc>
          <w:tcPr>
            <w:tcW w:w="0" w:type="auto"/>
            <w:tcBorders>
              <w:top w:val="single" w:sz="2" w:space="0" w:color="636466"/>
              <w:bottom w:val="single" w:sz="2" w:space="0" w:color="636466"/>
            </w:tcBorders>
          </w:tcPr>
          <w:p w14:paraId="4D3406F4" w14:textId="77777777" w:rsidR="00C415F5" w:rsidRPr="00F42929" w:rsidRDefault="009E23A6" w:rsidP="00944DA4">
            <w:pPr>
              <w:pStyle w:val="TableParagraph"/>
              <w:spacing w:before="60" w:after="60"/>
              <w:rPr>
                <w:rFonts w:cs="Arial"/>
                <w:b/>
                <w:bCs/>
                <w:color w:val="008F54" w:themeColor="accent2"/>
                <w:sz w:val="16"/>
              </w:rPr>
            </w:pPr>
            <w:hyperlink w:anchor="__Consultation_questions_1" w:history="1">
              <w:r w:rsidR="00E01EDD">
                <w:rPr>
                  <w:rStyle w:val="Hyperlink"/>
                  <w:rFonts w:cs="Arial"/>
                  <w:b/>
                  <w:bCs/>
                  <w:color w:val="008F54" w:themeColor="accent2"/>
                  <w:sz w:val="16"/>
                </w:rPr>
                <w:t>5</w:t>
              </w:r>
            </w:hyperlink>
          </w:p>
        </w:tc>
      </w:tr>
      <w:tr w:rsidR="00C415F5" w14:paraId="63F94045" w14:textId="77777777" w:rsidTr="00944DA4">
        <w:trPr>
          <w:trHeight w:val="457"/>
        </w:trPr>
        <w:tc>
          <w:tcPr>
            <w:tcW w:w="0" w:type="auto"/>
            <w:tcBorders>
              <w:top w:val="single" w:sz="2" w:space="0" w:color="636466"/>
              <w:bottom w:val="single" w:sz="2" w:space="0" w:color="636466"/>
            </w:tcBorders>
          </w:tcPr>
          <w:p w14:paraId="53FB4280" w14:textId="77777777" w:rsidR="00C415F5" w:rsidRPr="00944DA4" w:rsidRDefault="009E23A6" w:rsidP="00944DA4">
            <w:pPr>
              <w:pStyle w:val="TableParagraph"/>
              <w:spacing w:before="60" w:after="60"/>
              <w:ind w:right="339"/>
              <w:rPr>
                <w:color w:val="008F54" w:themeColor="accent2"/>
                <w:u w:val="single"/>
              </w:rPr>
            </w:pPr>
            <w:hyperlink w:anchor="_bookmark6" w:history="1">
              <w:r w:rsidR="00603DEC" w:rsidRPr="00944DA4">
                <w:rPr>
                  <w:color w:val="008F54" w:themeColor="accent2"/>
                  <w:u w:val="single"/>
                </w:rPr>
                <w:t xml:space="preserve">What should IHPA </w:t>
              </w:r>
              <w:proofErr w:type="spellStart"/>
              <w:r w:rsidR="00603DEC" w:rsidRPr="00944DA4">
                <w:rPr>
                  <w:color w:val="008F54" w:themeColor="accent2"/>
                  <w:u w:val="single"/>
                </w:rPr>
                <w:t>prioritise</w:t>
              </w:r>
              <w:proofErr w:type="spellEnd"/>
              <w:r w:rsidR="00603DEC" w:rsidRPr="00944DA4">
                <w:rPr>
                  <w:color w:val="008F54" w:themeColor="accent2"/>
                  <w:u w:val="single"/>
                </w:rPr>
                <w:t xml:space="preserve"> when developing AR-DRG Version 11.0 and ICD-10-AM/ACHI/ACS Twelfth Edition?</w:t>
              </w:r>
            </w:hyperlink>
          </w:p>
        </w:tc>
        <w:tc>
          <w:tcPr>
            <w:tcW w:w="0" w:type="auto"/>
            <w:tcBorders>
              <w:top w:val="single" w:sz="2" w:space="0" w:color="636466"/>
              <w:bottom w:val="single" w:sz="2" w:space="0" w:color="636466"/>
            </w:tcBorders>
          </w:tcPr>
          <w:p w14:paraId="6932FBF8" w14:textId="77777777" w:rsidR="00C415F5" w:rsidRPr="00FC3E95" w:rsidRDefault="009E23A6" w:rsidP="00944DA4">
            <w:pPr>
              <w:pStyle w:val="TableParagraph"/>
              <w:spacing w:before="60" w:after="60"/>
              <w:rPr>
                <w:rFonts w:cs="Arial"/>
                <w:b/>
                <w:bCs/>
                <w:sz w:val="16"/>
              </w:rPr>
            </w:pPr>
            <w:hyperlink w:anchor="_Consultation_questions_2" w:history="1">
              <w:r w:rsidR="00E01EDD">
                <w:rPr>
                  <w:rFonts w:cs="Arial"/>
                  <w:b/>
                  <w:bCs/>
                  <w:color w:val="008F54"/>
                  <w:sz w:val="16"/>
                  <w:u w:val="single" w:color="008F54"/>
                </w:rPr>
                <w:t>12</w:t>
              </w:r>
            </w:hyperlink>
          </w:p>
        </w:tc>
      </w:tr>
      <w:tr w:rsidR="00C415F5" w14:paraId="73E2B66F" w14:textId="77777777" w:rsidTr="00944DA4">
        <w:trPr>
          <w:trHeight w:val="657"/>
        </w:trPr>
        <w:tc>
          <w:tcPr>
            <w:tcW w:w="0" w:type="auto"/>
            <w:tcBorders>
              <w:top w:val="single" w:sz="2" w:space="0" w:color="636466"/>
              <w:bottom w:val="single" w:sz="2" w:space="0" w:color="636466"/>
            </w:tcBorders>
          </w:tcPr>
          <w:p w14:paraId="6C237579" w14:textId="77777777" w:rsidR="00C415F5" w:rsidRPr="00944DA4" w:rsidRDefault="009E23A6" w:rsidP="00944DA4">
            <w:pPr>
              <w:pStyle w:val="TableParagraph"/>
              <w:spacing w:before="60" w:after="60"/>
              <w:ind w:right="339"/>
              <w:rPr>
                <w:color w:val="008F54" w:themeColor="accent2"/>
                <w:u w:val="single"/>
              </w:rPr>
            </w:pPr>
            <w:hyperlink w:anchor="_bookmark6" w:history="1">
              <w:r w:rsidR="00603DEC" w:rsidRPr="00944DA4">
                <w:rPr>
                  <w:color w:val="008F54" w:themeColor="accent2"/>
                  <w:u w:val="single"/>
                </w:rPr>
                <w:t>Are there other priorities that should be included as part of the comprehensive review of the admitted acute care</w:t>
              </w:r>
            </w:hyperlink>
            <w:r w:rsidR="00603DEC" w:rsidRPr="00944DA4">
              <w:rPr>
                <w:color w:val="008F54" w:themeColor="accent2"/>
                <w:u w:val="single"/>
              </w:rPr>
              <w:t xml:space="preserve"> </w:t>
            </w:r>
            <w:hyperlink w:anchor="_bookmark6" w:history="1">
              <w:r w:rsidR="00603DEC" w:rsidRPr="00944DA4">
                <w:rPr>
                  <w:color w:val="008F54" w:themeColor="accent2"/>
                  <w:u w:val="single"/>
                </w:rPr>
                <w:t>classification development process?</w:t>
              </w:r>
            </w:hyperlink>
          </w:p>
        </w:tc>
        <w:tc>
          <w:tcPr>
            <w:tcW w:w="0" w:type="auto"/>
            <w:tcBorders>
              <w:top w:val="single" w:sz="2" w:space="0" w:color="636466"/>
              <w:bottom w:val="single" w:sz="2" w:space="0" w:color="636466"/>
            </w:tcBorders>
          </w:tcPr>
          <w:p w14:paraId="275E9E11" w14:textId="77777777" w:rsidR="00C415F5" w:rsidRPr="00FC3E95" w:rsidRDefault="009E23A6" w:rsidP="00944DA4">
            <w:pPr>
              <w:pStyle w:val="TableParagraph"/>
              <w:spacing w:before="60" w:after="60"/>
              <w:rPr>
                <w:rFonts w:cs="Arial"/>
                <w:b/>
                <w:bCs/>
                <w:sz w:val="16"/>
              </w:rPr>
            </w:pPr>
            <w:hyperlink w:anchor="_Consultation_questions_2" w:history="1">
              <w:r w:rsidR="00E01EDD">
                <w:rPr>
                  <w:rFonts w:cs="Arial"/>
                  <w:b/>
                  <w:bCs/>
                  <w:color w:val="008F54"/>
                  <w:sz w:val="16"/>
                  <w:u w:val="single" w:color="008F54"/>
                </w:rPr>
                <w:t>12</w:t>
              </w:r>
            </w:hyperlink>
          </w:p>
        </w:tc>
      </w:tr>
      <w:tr w:rsidR="00C415F5" w14:paraId="6A75DD05" w14:textId="77777777" w:rsidTr="00944DA4">
        <w:trPr>
          <w:trHeight w:val="505"/>
        </w:trPr>
        <w:tc>
          <w:tcPr>
            <w:tcW w:w="0" w:type="auto"/>
            <w:tcBorders>
              <w:top w:val="single" w:sz="2" w:space="0" w:color="636466"/>
            </w:tcBorders>
          </w:tcPr>
          <w:p w14:paraId="5B7DAC5F" w14:textId="77777777" w:rsidR="00C415F5" w:rsidRPr="00944DA4" w:rsidRDefault="009E23A6" w:rsidP="00944DA4">
            <w:pPr>
              <w:pStyle w:val="TableParagraph"/>
              <w:spacing w:before="60" w:after="60"/>
              <w:ind w:right="339"/>
              <w:rPr>
                <w:color w:val="008F54" w:themeColor="accent2"/>
                <w:u w:val="single"/>
              </w:rPr>
            </w:pPr>
            <w:hyperlink w:anchor="_bookmark7" w:history="1">
              <w:r w:rsidR="00603DEC" w:rsidRPr="00944DA4">
                <w:rPr>
                  <w:color w:val="008F54" w:themeColor="accent2"/>
                  <w:u w:val="single"/>
                </w:rPr>
                <w:t>Are there any impediments to implementing pricing using the AECC Version 1.0 for emergency departments from</w:t>
              </w:r>
            </w:hyperlink>
            <w:r w:rsidR="00603DEC" w:rsidRPr="00944DA4">
              <w:rPr>
                <w:color w:val="008F54" w:themeColor="accent2"/>
                <w:u w:val="single"/>
              </w:rPr>
              <w:t xml:space="preserve"> </w:t>
            </w:r>
            <w:hyperlink w:anchor="_bookmark7" w:history="1">
              <w:r w:rsidR="00603DEC" w:rsidRPr="00944DA4">
                <w:rPr>
                  <w:color w:val="008F54" w:themeColor="accent2"/>
                  <w:u w:val="single"/>
                </w:rPr>
                <w:t>1 July 2020?</w:t>
              </w:r>
            </w:hyperlink>
          </w:p>
        </w:tc>
        <w:tc>
          <w:tcPr>
            <w:tcW w:w="0" w:type="auto"/>
            <w:tcBorders>
              <w:top w:val="single" w:sz="2" w:space="0" w:color="636466"/>
            </w:tcBorders>
          </w:tcPr>
          <w:p w14:paraId="7F4A8FA6" w14:textId="77777777" w:rsidR="00C415F5" w:rsidRPr="00FC3E95" w:rsidRDefault="009E23A6" w:rsidP="00944DA4">
            <w:pPr>
              <w:pStyle w:val="TableParagraph"/>
              <w:spacing w:before="60" w:after="60"/>
              <w:rPr>
                <w:rFonts w:cs="Arial"/>
                <w:b/>
                <w:bCs/>
                <w:sz w:val="16"/>
              </w:rPr>
            </w:pPr>
            <w:hyperlink w:anchor="_Consultation_questions_3" w:history="1">
              <w:r w:rsidR="003E3A07">
                <w:rPr>
                  <w:rFonts w:cs="Arial"/>
                  <w:b/>
                  <w:bCs/>
                  <w:color w:val="008F54"/>
                  <w:sz w:val="16"/>
                  <w:u w:val="single" w:color="008F54"/>
                </w:rPr>
                <w:t>1</w:t>
              </w:r>
              <w:r w:rsidR="00E01EDD">
                <w:rPr>
                  <w:rFonts w:cs="Arial"/>
                  <w:b/>
                  <w:bCs/>
                  <w:color w:val="008F54"/>
                  <w:sz w:val="16"/>
                  <w:u w:val="single" w:color="008F54"/>
                </w:rPr>
                <w:t>4</w:t>
              </w:r>
            </w:hyperlink>
          </w:p>
        </w:tc>
      </w:tr>
      <w:tr w:rsidR="00C415F5" w14:paraId="63468AAC" w14:textId="77777777" w:rsidTr="00944DA4">
        <w:trPr>
          <w:trHeight w:val="505"/>
        </w:trPr>
        <w:tc>
          <w:tcPr>
            <w:tcW w:w="0" w:type="auto"/>
            <w:tcBorders>
              <w:top w:val="single" w:sz="2" w:space="0" w:color="636466"/>
            </w:tcBorders>
          </w:tcPr>
          <w:p w14:paraId="46AD03A0" w14:textId="77777777" w:rsidR="00C415F5" w:rsidRPr="00944DA4" w:rsidRDefault="009E23A6" w:rsidP="00944DA4">
            <w:pPr>
              <w:pStyle w:val="TableParagraph"/>
              <w:spacing w:before="60" w:after="60"/>
              <w:ind w:right="339"/>
              <w:rPr>
                <w:color w:val="008F54" w:themeColor="accent2"/>
                <w:u w:val="single"/>
              </w:rPr>
            </w:pPr>
            <w:hyperlink w:anchor="_bookmark8" w:history="1">
              <w:r w:rsidR="00603DEC" w:rsidRPr="00944DA4">
                <w:rPr>
                  <w:color w:val="008F54" w:themeColor="accent2"/>
                  <w:u w:val="single"/>
                </w:rPr>
                <w:t>Are there any impediments to implementing pricing for mental health services using AMHCC Version 1.0 from</w:t>
              </w:r>
            </w:hyperlink>
            <w:r w:rsidR="00603DEC" w:rsidRPr="00944DA4">
              <w:rPr>
                <w:color w:val="008F54" w:themeColor="accent2"/>
                <w:u w:val="single"/>
              </w:rPr>
              <w:t xml:space="preserve"> </w:t>
            </w:r>
            <w:hyperlink w:anchor="_bookmark8" w:history="1">
              <w:r w:rsidR="00603DEC" w:rsidRPr="00944DA4">
                <w:rPr>
                  <w:color w:val="008F54" w:themeColor="accent2"/>
                  <w:u w:val="single"/>
                </w:rPr>
                <w:t>1 July 2020?</w:t>
              </w:r>
            </w:hyperlink>
          </w:p>
        </w:tc>
        <w:tc>
          <w:tcPr>
            <w:tcW w:w="0" w:type="auto"/>
            <w:tcBorders>
              <w:top w:val="single" w:sz="2" w:space="0" w:color="636466"/>
            </w:tcBorders>
          </w:tcPr>
          <w:p w14:paraId="7670DFCC" w14:textId="77777777" w:rsidR="00C415F5" w:rsidRPr="00FC3E95" w:rsidRDefault="009E23A6" w:rsidP="00944DA4">
            <w:pPr>
              <w:pStyle w:val="TableParagraph"/>
              <w:spacing w:before="60" w:after="60"/>
              <w:rPr>
                <w:rFonts w:cs="Arial"/>
                <w:b/>
                <w:bCs/>
                <w:sz w:val="16"/>
              </w:rPr>
            </w:pPr>
            <w:hyperlink w:anchor="_Consultation_questions_4" w:history="1">
              <w:r w:rsidR="003E3A07">
                <w:rPr>
                  <w:rFonts w:cs="Arial"/>
                  <w:b/>
                  <w:bCs/>
                  <w:color w:val="008F54"/>
                  <w:sz w:val="16"/>
                  <w:u w:val="single" w:color="008F54"/>
                </w:rPr>
                <w:t>1</w:t>
              </w:r>
              <w:r w:rsidR="00E01EDD">
                <w:rPr>
                  <w:rFonts w:cs="Arial"/>
                  <w:b/>
                  <w:bCs/>
                  <w:color w:val="008F54"/>
                  <w:sz w:val="16"/>
                  <w:u w:val="single" w:color="008F54"/>
                </w:rPr>
                <w:t>6</w:t>
              </w:r>
            </w:hyperlink>
          </w:p>
        </w:tc>
      </w:tr>
      <w:tr w:rsidR="00C415F5" w14:paraId="56169342" w14:textId="77777777" w:rsidTr="00944DA4">
        <w:trPr>
          <w:trHeight w:val="457"/>
        </w:trPr>
        <w:tc>
          <w:tcPr>
            <w:tcW w:w="0" w:type="auto"/>
            <w:tcBorders>
              <w:top w:val="single" w:sz="2" w:space="0" w:color="636466"/>
              <w:bottom w:val="single" w:sz="2" w:space="0" w:color="636466"/>
            </w:tcBorders>
          </w:tcPr>
          <w:p w14:paraId="2442C22D" w14:textId="77777777" w:rsidR="00C415F5" w:rsidRPr="00944DA4" w:rsidRDefault="009E23A6" w:rsidP="00944DA4">
            <w:pPr>
              <w:pStyle w:val="TableParagraph"/>
              <w:spacing w:before="60" w:after="60"/>
              <w:ind w:right="339"/>
              <w:rPr>
                <w:color w:val="008F54" w:themeColor="accent2"/>
                <w:u w:val="single"/>
              </w:rPr>
            </w:pPr>
            <w:hyperlink w:anchor="_bookmark10" w:history="1">
              <w:r w:rsidR="00603DEC" w:rsidRPr="00944DA4">
                <w:rPr>
                  <w:color w:val="008F54" w:themeColor="accent2"/>
                  <w:u w:val="single"/>
                </w:rPr>
                <w:t>Are there adjustments for legitimate and unavoidable cost variations that IHPA should consider for NEP20?</w:t>
              </w:r>
            </w:hyperlink>
          </w:p>
        </w:tc>
        <w:tc>
          <w:tcPr>
            <w:tcW w:w="0" w:type="auto"/>
            <w:tcBorders>
              <w:top w:val="single" w:sz="2" w:space="0" w:color="636466"/>
              <w:bottom w:val="single" w:sz="2" w:space="0" w:color="636466"/>
            </w:tcBorders>
          </w:tcPr>
          <w:p w14:paraId="301FFC16" w14:textId="77777777" w:rsidR="00C415F5" w:rsidRPr="00FC3E95" w:rsidRDefault="009E23A6" w:rsidP="00944DA4">
            <w:pPr>
              <w:pStyle w:val="TableParagraph"/>
              <w:spacing w:before="60" w:after="60"/>
              <w:rPr>
                <w:rFonts w:cs="Arial"/>
                <w:b/>
                <w:bCs/>
                <w:sz w:val="16"/>
              </w:rPr>
            </w:pPr>
            <w:hyperlink w:anchor="_Consultation_questions_5" w:history="1">
              <w:r w:rsidR="00F42929">
                <w:rPr>
                  <w:rFonts w:cs="Arial"/>
                  <w:b/>
                  <w:bCs/>
                  <w:color w:val="008F54"/>
                  <w:sz w:val="16"/>
                  <w:u w:val="single" w:color="008F54"/>
                </w:rPr>
                <w:t>1</w:t>
              </w:r>
              <w:r w:rsidR="00E01EDD">
                <w:rPr>
                  <w:rFonts w:cs="Arial"/>
                  <w:b/>
                  <w:bCs/>
                  <w:color w:val="008F54"/>
                  <w:sz w:val="16"/>
                  <w:u w:val="single" w:color="008F54"/>
                </w:rPr>
                <w:t>9</w:t>
              </w:r>
            </w:hyperlink>
          </w:p>
        </w:tc>
      </w:tr>
      <w:tr w:rsidR="00C415F5" w14:paraId="0C7C4A09" w14:textId="77777777" w:rsidTr="00944DA4">
        <w:trPr>
          <w:trHeight w:val="300"/>
        </w:trPr>
        <w:tc>
          <w:tcPr>
            <w:tcW w:w="0" w:type="auto"/>
            <w:tcBorders>
              <w:top w:val="single" w:sz="2" w:space="0" w:color="636466"/>
              <w:bottom w:val="single" w:sz="4" w:space="0" w:color="58595A"/>
            </w:tcBorders>
          </w:tcPr>
          <w:p w14:paraId="3B1C3ED1" w14:textId="77777777" w:rsidR="00C415F5" w:rsidRPr="00944DA4" w:rsidRDefault="009E23A6" w:rsidP="00944DA4">
            <w:pPr>
              <w:pStyle w:val="TableParagraph"/>
              <w:spacing w:before="60" w:after="60"/>
              <w:ind w:right="339"/>
              <w:rPr>
                <w:color w:val="008F54" w:themeColor="accent2"/>
                <w:u w:val="single"/>
              </w:rPr>
            </w:pPr>
            <w:hyperlink w:anchor="_bookmark11" w:history="1">
              <w:r w:rsidR="00603DEC" w:rsidRPr="00944DA4">
                <w:rPr>
                  <w:color w:val="008F54" w:themeColor="accent2"/>
                  <w:u w:val="single"/>
                </w:rPr>
                <w:t>Is there any objection to IHPA phasing out the private patient correction factor for NEP20?</w:t>
              </w:r>
            </w:hyperlink>
          </w:p>
        </w:tc>
        <w:tc>
          <w:tcPr>
            <w:tcW w:w="0" w:type="auto"/>
            <w:tcBorders>
              <w:top w:val="single" w:sz="2" w:space="0" w:color="636466"/>
            </w:tcBorders>
          </w:tcPr>
          <w:p w14:paraId="45A2AAB9" w14:textId="77777777" w:rsidR="00C415F5" w:rsidRPr="00FC3E95" w:rsidRDefault="009E23A6" w:rsidP="00944DA4">
            <w:pPr>
              <w:pStyle w:val="TableParagraph"/>
              <w:spacing w:before="60" w:after="60"/>
              <w:rPr>
                <w:rFonts w:cs="Arial"/>
                <w:b/>
                <w:bCs/>
                <w:sz w:val="16"/>
              </w:rPr>
            </w:pPr>
            <w:hyperlink w:anchor="_Consultation_questions_6" w:history="1">
              <w:r w:rsidR="00E01EDD">
                <w:rPr>
                  <w:rFonts w:cs="Arial"/>
                  <w:b/>
                  <w:bCs/>
                  <w:color w:val="008F54"/>
                  <w:sz w:val="16"/>
                  <w:u w:val="single" w:color="008F54"/>
                </w:rPr>
                <w:t>20</w:t>
              </w:r>
            </w:hyperlink>
          </w:p>
        </w:tc>
      </w:tr>
      <w:tr w:rsidR="00C415F5" w14:paraId="7B1E3706" w14:textId="77777777" w:rsidTr="00944DA4">
        <w:trPr>
          <w:trHeight w:val="657"/>
        </w:trPr>
        <w:tc>
          <w:tcPr>
            <w:tcW w:w="0" w:type="auto"/>
            <w:tcBorders>
              <w:top w:val="single" w:sz="4" w:space="0" w:color="58595A"/>
              <w:bottom w:val="single" w:sz="2" w:space="0" w:color="636466"/>
            </w:tcBorders>
          </w:tcPr>
          <w:p w14:paraId="1730F20C" w14:textId="64375408" w:rsidR="00C415F5" w:rsidRPr="00944DA4" w:rsidRDefault="009E23A6" w:rsidP="00944DA4">
            <w:pPr>
              <w:pStyle w:val="TableParagraph"/>
              <w:spacing w:before="60" w:after="60"/>
              <w:ind w:right="339"/>
              <w:rPr>
                <w:color w:val="008F54" w:themeColor="accent2"/>
                <w:u w:val="single"/>
              </w:rPr>
            </w:pPr>
            <w:hyperlink w:anchor="_bookmark13" w:history="1">
              <w:r w:rsidR="00603DEC" w:rsidRPr="00944DA4">
                <w:rPr>
                  <w:color w:val="008F54" w:themeColor="accent2"/>
                  <w:u w:val="single"/>
                </w:rPr>
                <w:t xml:space="preserve">Do you support IHPA making the NBP </w:t>
              </w:r>
              <w:r w:rsidR="0003549A" w:rsidRPr="00944DA4">
                <w:rPr>
                  <w:color w:val="008F54" w:themeColor="accent2"/>
                  <w:u w:val="single"/>
                </w:rPr>
                <w:t>publicly</w:t>
              </w:r>
              <w:r w:rsidR="00603DEC" w:rsidRPr="00944DA4">
                <w:rPr>
                  <w:color w:val="008F54" w:themeColor="accent2"/>
                  <w:u w:val="single"/>
                </w:rPr>
                <w:t xml:space="preserve"> available, with appropriate safeguards in place to protect</w:t>
              </w:r>
            </w:hyperlink>
            <w:r w:rsidR="00603DEC" w:rsidRPr="00944DA4">
              <w:rPr>
                <w:color w:val="008F54" w:themeColor="accent2"/>
                <w:u w:val="single"/>
              </w:rPr>
              <w:t xml:space="preserve"> </w:t>
            </w:r>
            <w:hyperlink w:anchor="_bookmark13" w:history="1">
              <w:r w:rsidR="00603DEC" w:rsidRPr="00944DA4">
                <w:rPr>
                  <w:color w:val="008F54" w:themeColor="accent2"/>
                  <w:u w:val="single"/>
                </w:rPr>
                <w:t>patient privacy?</w:t>
              </w:r>
            </w:hyperlink>
          </w:p>
        </w:tc>
        <w:tc>
          <w:tcPr>
            <w:tcW w:w="0" w:type="auto"/>
            <w:tcBorders>
              <w:top w:val="single" w:sz="2" w:space="0" w:color="636466"/>
              <w:bottom w:val="single" w:sz="2" w:space="0" w:color="636466"/>
            </w:tcBorders>
          </w:tcPr>
          <w:p w14:paraId="4BC2615E" w14:textId="77777777" w:rsidR="00C415F5" w:rsidRPr="00FC3E95" w:rsidRDefault="009E23A6" w:rsidP="00944DA4">
            <w:pPr>
              <w:pStyle w:val="TableParagraph"/>
              <w:spacing w:before="60" w:after="60"/>
              <w:rPr>
                <w:rFonts w:cs="Arial"/>
                <w:b/>
                <w:bCs/>
                <w:sz w:val="16"/>
              </w:rPr>
            </w:pPr>
            <w:hyperlink w:anchor="_Consultation_questions_7" w:history="1">
              <w:r w:rsidR="00E01EDD">
                <w:rPr>
                  <w:rFonts w:cs="Arial"/>
                  <w:b/>
                  <w:bCs/>
                  <w:color w:val="008F54"/>
                  <w:sz w:val="16"/>
                  <w:u w:val="single" w:color="008F54"/>
                </w:rPr>
                <w:t>23</w:t>
              </w:r>
            </w:hyperlink>
          </w:p>
        </w:tc>
      </w:tr>
      <w:tr w:rsidR="00C415F5" w14:paraId="7B62BFB5" w14:textId="77777777" w:rsidTr="00944DA4">
        <w:trPr>
          <w:trHeight w:val="457"/>
        </w:trPr>
        <w:tc>
          <w:tcPr>
            <w:tcW w:w="0" w:type="auto"/>
            <w:tcBorders>
              <w:top w:val="single" w:sz="2" w:space="0" w:color="636466"/>
              <w:bottom w:val="single" w:sz="2" w:space="0" w:color="636466"/>
            </w:tcBorders>
          </w:tcPr>
          <w:p w14:paraId="5131E640" w14:textId="77777777" w:rsidR="00C415F5" w:rsidRPr="00944DA4" w:rsidRDefault="009E23A6" w:rsidP="00944DA4">
            <w:pPr>
              <w:pStyle w:val="TableParagraph"/>
              <w:spacing w:before="60" w:after="60"/>
              <w:ind w:right="339"/>
              <w:rPr>
                <w:color w:val="008F54" w:themeColor="accent2"/>
                <w:u w:val="single"/>
              </w:rPr>
            </w:pPr>
            <w:hyperlink w:anchor="_bookmark13" w:history="1">
              <w:r w:rsidR="00603DEC" w:rsidRPr="00944DA4">
                <w:rPr>
                  <w:color w:val="008F54" w:themeColor="accent2"/>
                  <w:u w:val="single"/>
                </w:rPr>
                <w:t>What are the estimated costs of collecting the IHI in your state or territory?</w:t>
              </w:r>
            </w:hyperlink>
          </w:p>
        </w:tc>
        <w:tc>
          <w:tcPr>
            <w:tcW w:w="0" w:type="auto"/>
            <w:tcBorders>
              <w:top w:val="single" w:sz="2" w:space="0" w:color="636466"/>
              <w:bottom w:val="single" w:sz="2" w:space="0" w:color="636466"/>
            </w:tcBorders>
          </w:tcPr>
          <w:p w14:paraId="025B15DF" w14:textId="77777777" w:rsidR="00C415F5" w:rsidRPr="00FC3E95" w:rsidRDefault="009E23A6" w:rsidP="00944DA4">
            <w:pPr>
              <w:pStyle w:val="TableParagraph"/>
              <w:spacing w:before="60" w:after="60"/>
              <w:rPr>
                <w:rFonts w:cs="Arial"/>
                <w:b/>
                <w:bCs/>
                <w:sz w:val="16"/>
              </w:rPr>
            </w:pPr>
            <w:hyperlink w:anchor="_Consultation_questions_8" w:history="1">
              <w:r w:rsidR="00E01EDD">
                <w:rPr>
                  <w:rFonts w:cs="Arial"/>
                  <w:b/>
                  <w:bCs/>
                  <w:color w:val="008F54"/>
                  <w:sz w:val="16"/>
                  <w:u w:val="single" w:color="008F54"/>
                </w:rPr>
                <w:t>23</w:t>
              </w:r>
            </w:hyperlink>
          </w:p>
        </w:tc>
      </w:tr>
      <w:tr w:rsidR="00C415F5" w14:paraId="221309F3" w14:textId="77777777" w:rsidTr="00944DA4">
        <w:trPr>
          <w:trHeight w:val="657"/>
        </w:trPr>
        <w:tc>
          <w:tcPr>
            <w:tcW w:w="0" w:type="auto"/>
            <w:tcBorders>
              <w:top w:val="single" w:sz="2" w:space="0" w:color="636466"/>
              <w:bottom w:val="single" w:sz="2" w:space="0" w:color="636466"/>
            </w:tcBorders>
          </w:tcPr>
          <w:p w14:paraId="16618FB3" w14:textId="77777777" w:rsidR="00C415F5" w:rsidRPr="00944DA4" w:rsidRDefault="009E23A6" w:rsidP="00944DA4">
            <w:pPr>
              <w:pStyle w:val="TableParagraph"/>
              <w:spacing w:before="60" w:after="60"/>
              <w:ind w:right="339"/>
              <w:rPr>
                <w:color w:val="008F54" w:themeColor="accent2"/>
                <w:u w:val="single"/>
              </w:rPr>
            </w:pPr>
            <w:hyperlink w:anchor="_bookmark13" w:history="1">
              <w:r w:rsidR="00603DEC" w:rsidRPr="00944DA4">
                <w:rPr>
                  <w:color w:val="008F54" w:themeColor="accent2"/>
                  <w:u w:val="single"/>
                </w:rPr>
                <w:t>Would you support the introduction of an incentive payment or other mechanism to assist in covering these costs for a</w:t>
              </w:r>
            </w:hyperlink>
            <w:r w:rsidR="00603DEC" w:rsidRPr="00944DA4">
              <w:rPr>
                <w:color w:val="008F54" w:themeColor="accent2"/>
                <w:u w:val="single"/>
              </w:rPr>
              <w:t xml:space="preserve"> </w:t>
            </w:r>
            <w:hyperlink w:anchor="_bookmark13" w:history="1">
              <w:r w:rsidR="00603DEC" w:rsidRPr="00944DA4">
                <w:rPr>
                  <w:color w:val="008F54" w:themeColor="accent2"/>
                  <w:u w:val="single"/>
                </w:rPr>
                <w:t>limited time period?</w:t>
              </w:r>
            </w:hyperlink>
          </w:p>
        </w:tc>
        <w:tc>
          <w:tcPr>
            <w:tcW w:w="0" w:type="auto"/>
            <w:tcBorders>
              <w:top w:val="single" w:sz="2" w:space="0" w:color="636466"/>
              <w:bottom w:val="single" w:sz="2" w:space="0" w:color="636466"/>
            </w:tcBorders>
          </w:tcPr>
          <w:p w14:paraId="37D283B2" w14:textId="77777777" w:rsidR="00C415F5" w:rsidRPr="00FC3E95" w:rsidRDefault="009E23A6" w:rsidP="00944DA4">
            <w:pPr>
              <w:pStyle w:val="TableParagraph"/>
              <w:spacing w:before="60" w:after="60"/>
              <w:rPr>
                <w:rFonts w:cs="Arial"/>
                <w:b/>
                <w:bCs/>
                <w:sz w:val="16"/>
              </w:rPr>
            </w:pPr>
            <w:hyperlink w:anchor="_Consultation_questions_8" w:history="1">
              <w:r w:rsidR="00E01EDD">
                <w:rPr>
                  <w:rFonts w:cs="Arial"/>
                  <w:b/>
                  <w:bCs/>
                  <w:color w:val="008F54"/>
                  <w:sz w:val="16"/>
                  <w:u w:val="single" w:color="008F54"/>
                </w:rPr>
                <w:t>23</w:t>
              </w:r>
            </w:hyperlink>
          </w:p>
        </w:tc>
      </w:tr>
      <w:tr w:rsidR="00C415F5" w14:paraId="701ED232" w14:textId="77777777" w:rsidTr="00944DA4">
        <w:trPr>
          <w:trHeight w:val="457"/>
        </w:trPr>
        <w:tc>
          <w:tcPr>
            <w:tcW w:w="0" w:type="auto"/>
            <w:tcBorders>
              <w:top w:val="single" w:sz="2" w:space="0" w:color="636466"/>
              <w:bottom w:val="single" w:sz="2" w:space="0" w:color="636466"/>
            </w:tcBorders>
          </w:tcPr>
          <w:p w14:paraId="4F71714A" w14:textId="77777777" w:rsidR="00C415F5" w:rsidRPr="00944DA4" w:rsidRDefault="009E23A6" w:rsidP="00944DA4">
            <w:pPr>
              <w:pStyle w:val="TableParagraph"/>
              <w:spacing w:before="60" w:after="60"/>
              <w:ind w:right="339"/>
              <w:rPr>
                <w:color w:val="008F54" w:themeColor="accent2"/>
                <w:u w:val="single"/>
              </w:rPr>
            </w:pPr>
            <w:hyperlink w:anchor="_bookmark14" w:history="1">
              <w:r w:rsidR="00603DEC" w:rsidRPr="00944DA4">
                <w:rPr>
                  <w:color w:val="008F54" w:themeColor="accent2"/>
                  <w:u w:val="single"/>
                </w:rPr>
                <w:t>What initiatives are currently underway to collect PROMs and how are they being collated?</w:t>
              </w:r>
            </w:hyperlink>
          </w:p>
        </w:tc>
        <w:tc>
          <w:tcPr>
            <w:tcW w:w="0" w:type="auto"/>
            <w:tcBorders>
              <w:top w:val="single" w:sz="2" w:space="0" w:color="636466"/>
              <w:bottom w:val="single" w:sz="2" w:space="0" w:color="636466"/>
            </w:tcBorders>
          </w:tcPr>
          <w:p w14:paraId="4E13FEB2" w14:textId="77777777" w:rsidR="00C415F5" w:rsidRPr="003B32FC" w:rsidRDefault="009E23A6" w:rsidP="00944DA4">
            <w:pPr>
              <w:pStyle w:val="TableParagraph"/>
              <w:spacing w:before="60" w:after="60"/>
              <w:rPr>
                <w:rFonts w:cs="Arial"/>
                <w:b/>
                <w:bCs/>
                <w:color w:val="008F54" w:themeColor="accent2"/>
                <w:sz w:val="16"/>
              </w:rPr>
            </w:pPr>
            <w:hyperlink w:anchor="_Consultation_questions_9" w:history="1">
              <w:r w:rsidR="00E01EDD">
                <w:rPr>
                  <w:rStyle w:val="Hyperlink"/>
                  <w:rFonts w:cs="Arial"/>
                  <w:b/>
                  <w:bCs/>
                  <w:color w:val="008F54" w:themeColor="accent2"/>
                </w:rPr>
                <w:t>24</w:t>
              </w:r>
            </w:hyperlink>
          </w:p>
        </w:tc>
      </w:tr>
      <w:tr w:rsidR="00C415F5" w14:paraId="2B8C9146" w14:textId="77777777" w:rsidTr="00944DA4">
        <w:trPr>
          <w:trHeight w:val="457"/>
        </w:trPr>
        <w:tc>
          <w:tcPr>
            <w:tcW w:w="0" w:type="auto"/>
            <w:tcBorders>
              <w:top w:val="single" w:sz="2" w:space="0" w:color="636466"/>
              <w:bottom w:val="single" w:sz="2" w:space="0" w:color="636466"/>
            </w:tcBorders>
          </w:tcPr>
          <w:p w14:paraId="6972B8B4" w14:textId="77777777" w:rsidR="00C415F5" w:rsidRPr="00944DA4" w:rsidRDefault="009E23A6" w:rsidP="00944DA4">
            <w:pPr>
              <w:pStyle w:val="TableParagraph"/>
              <w:spacing w:before="60" w:after="60"/>
              <w:ind w:right="339"/>
              <w:rPr>
                <w:color w:val="008F54" w:themeColor="accent2"/>
                <w:u w:val="single"/>
              </w:rPr>
            </w:pPr>
            <w:hyperlink w:anchor="_bookmark14" w:history="1">
              <w:r w:rsidR="00603DEC" w:rsidRPr="00944DA4">
                <w:rPr>
                  <w:color w:val="008F54" w:themeColor="accent2"/>
                  <w:u w:val="single"/>
                </w:rPr>
                <w:t>Should a national PROMs collection be considered as part of national data sets?</w:t>
              </w:r>
            </w:hyperlink>
          </w:p>
        </w:tc>
        <w:tc>
          <w:tcPr>
            <w:tcW w:w="0" w:type="auto"/>
            <w:tcBorders>
              <w:top w:val="single" w:sz="2" w:space="0" w:color="636466"/>
              <w:bottom w:val="single" w:sz="2" w:space="0" w:color="636466"/>
            </w:tcBorders>
          </w:tcPr>
          <w:p w14:paraId="7124CAFF" w14:textId="77777777" w:rsidR="00C415F5" w:rsidRPr="003B32FC" w:rsidRDefault="009E23A6" w:rsidP="00944DA4">
            <w:pPr>
              <w:pStyle w:val="TableParagraph"/>
              <w:spacing w:before="60" w:after="60"/>
              <w:rPr>
                <w:rFonts w:cs="Arial"/>
                <w:b/>
                <w:bCs/>
                <w:color w:val="008F54" w:themeColor="accent2"/>
                <w:sz w:val="16"/>
              </w:rPr>
            </w:pPr>
            <w:hyperlink w:anchor="_Consultation_questions_9" w:history="1">
              <w:r w:rsidR="00E01EDD">
                <w:rPr>
                  <w:rFonts w:cs="Arial"/>
                  <w:b/>
                  <w:bCs/>
                  <w:color w:val="008F54" w:themeColor="accent2"/>
                  <w:sz w:val="16"/>
                  <w:u w:val="single" w:color="008F54"/>
                </w:rPr>
                <w:t>24</w:t>
              </w:r>
            </w:hyperlink>
          </w:p>
        </w:tc>
      </w:tr>
      <w:tr w:rsidR="00C415F5" w14:paraId="23FA5F1A" w14:textId="77777777" w:rsidTr="00944DA4">
        <w:trPr>
          <w:trHeight w:val="457"/>
        </w:trPr>
        <w:tc>
          <w:tcPr>
            <w:tcW w:w="0" w:type="auto"/>
            <w:tcBorders>
              <w:top w:val="single" w:sz="2" w:space="0" w:color="636466"/>
              <w:bottom w:val="single" w:sz="2" w:space="0" w:color="636466"/>
            </w:tcBorders>
          </w:tcPr>
          <w:p w14:paraId="4AADEEFD" w14:textId="77777777" w:rsidR="00C415F5" w:rsidRPr="00944DA4" w:rsidRDefault="009E23A6" w:rsidP="00944DA4">
            <w:pPr>
              <w:pStyle w:val="TableParagraph"/>
              <w:spacing w:before="60" w:after="60"/>
              <w:ind w:right="339"/>
              <w:rPr>
                <w:color w:val="008F54" w:themeColor="accent2"/>
                <w:u w:val="single"/>
              </w:rPr>
            </w:pPr>
            <w:hyperlink w:anchor="_bookmark17" w:history="1">
              <w:r w:rsidR="00603DEC" w:rsidRPr="00944DA4">
                <w:rPr>
                  <w:color w:val="008F54" w:themeColor="accent2"/>
                  <w:u w:val="single"/>
                </w:rPr>
                <w:t>Are there any impediments to shadow pricing the ‘fixed plus variable’ model for NEC20?</w:t>
              </w:r>
            </w:hyperlink>
          </w:p>
        </w:tc>
        <w:tc>
          <w:tcPr>
            <w:tcW w:w="0" w:type="auto"/>
            <w:tcBorders>
              <w:top w:val="single" w:sz="2" w:space="0" w:color="636466"/>
              <w:bottom w:val="single" w:sz="2" w:space="0" w:color="636466"/>
            </w:tcBorders>
          </w:tcPr>
          <w:p w14:paraId="0DB64178" w14:textId="77777777" w:rsidR="00C415F5" w:rsidRPr="003B32FC" w:rsidRDefault="009E23A6" w:rsidP="00944DA4">
            <w:pPr>
              <w:pStyle w:val="TableParagraph"/>
              <w:spacing w:before="60" w:after="60"/>
              <w:rPr>
                <w:rFonts w:cs="Arial"/>
                <w:b/>
                <w:bCs/>
                <w:color w:val="008F54" w:themeColor="accent2"/>
                <w:sz w:val="16"/>
              </w:rPr>
            </w:pPr>
            <w:hyperlink w:anchor="_Consultation_questions_10" w:history="1">
              <w:r w:rsidR="00E01EDD">
                <w:rPr>
                  <w:rStyle w:val="Hyperlink"/>
                  <w:rFonts w:cs="Arial"/>
                  <w:b/>
                  <w:bCs/>
                  <w:color w:val="008F54" w:themeColor="accent2"/>
                </w:rPr>
                <w:t>28</w:t>
              </w:r>
            </w:hyperlink>
          </w:p>
        </w:tc>
      </w:tr>
      <w:tr w:rsidR="00C415F5" w14:paraId="660C5B74" w14:textId="77777777" w:rsidTr="00944DA4">
        <w:trPr>
          <w:trHeight w:val="657"/>
        </w:trPr>
        <w:tc>
          <w:tcPr>
            <w:tcW w:w="0" w:type="auto"/>
            <w:tcBorders>
              <w:top w:val="single" w:sz="2" w:space="0" w:color="636466"/>
              <w:bottom w:val="single" w:sz="2" w:space="0" w:color="636466"/>
            </w:tcBorders>
          </w:tcPr>
          <w:p w14:paraId="571F3F5C" w14:textId="77777777" w:rsidR="00C415F5" w:rsidRPr="00944DA4" w:rsidRDefault="009E23A6" w:rsidP="00944DA4">
            <w:pPr>
              <w:pStyle w:val="TableParagraph"/>
              <w:spacing w:before="60" w:after="60"/>
              <w:ind w:right="339"/>
              <w:rPr>
                <w:color w:val="008F54" w:themeColor="accent2"/>
                <w:u w:val="single"/>
              </w:rPr>
            </w:pPr>
            <w:hyperlink w:anchor="_bookmark19" w:history="1">
              <w:r w:rsidR="00603DEC" w:rsidRPr="00944DA4">
                <w:rPr>
                  <w:color w:val="008F54" w:themeColor="accent2"/>
                  <w:u w:val="single"/>
                </w:rPr>
                <w:t>Are there any additional alternative funding models IHPA should explore in the context of Australia’s existing NHRA</w:t>
              </w:r>
            </w:hyperlink>
            <w:r w:rsidR="00603DEC" w:rsidRPr="00944DA4">
              <w:rPr>
                <w:color w:val="008F54" w:themeColor="accent2"/>
                <w:u w:val="single"/>
              </w:rPr>
              <w:t xml:space="preserve"> </w:t>
            </w:r>
            <w:hyperlink w:anchor="_bookmark19" w:history="1">
              <w:r w:rsidR="00603DEC" w:rsidRPr="00944DA4">
                <w:rPr>
                  <w:color w:val="008F54" w:themeColor="accent2"/>
                  <w:u w:val="single"/>
                </w:rPr>
                <w:t>and ABF framework?</w:t>
              </w:r>
            </w:hyperlink>
          </w:p>
        </w:tc>
        <w:tc>
          <w:tcPr>
            <w:tcW w:w="0" w:type="auto"/>
            <w:tcBorders>
              <w:top w:val="single" w:sz="2" w:space="0" w:color="636466"/>
              <w:bottom w:val="single" w:sz="2" w:space="0" w:color="636466"/>
            </w:tcBorders>
          </w:tcPr>
          <w:p w14:paraId="64CEA13C" w14:textId="77777777" w:rsidR="00C415F5" w:rsidRPr="003B32FC" w:rsidRDefault="009E23A6" w:rsidP="00944DA4">
            <w:pPr>
              <w:pStyle w:val="TableParagraph"/>
              <w:spacing w:before="60" w:after="60"/>
              <w:rPr>
                <w:rFonts w:cs="Arial"/>
                <w:b/>
                <w:bCs/>
                <w:color w:val="008F54" w:themeColor="accent2"/>
                <w:sz w:val="16"/>
              </w:rPr>
            </w:pPr>
            <w:hyperlink w:anchor="_Consultation_questions_11" w:history="1">
              <w:r w:rsidR="00E01EDD">
                <w:rPr>
                  <w:rFonts w:cs="Arial"/>
                  <w:b/>
                  <w:bCs/>
                  <w:color w:val="008F54" w:themeColor="accent2"/>
                  <w:sz w:val="16"/>
                  <w:u w:val="single" w:color="008F54"/>
                </w:rPr>
                <w:t>32</w:t>
              </w:r>
            </w:hyperlink>
          </w:p>
        </w:tc>
      </w:tr>
      <w:tr w:rsidR="00C415F5" w14:paraId="0903BD3E" w14:textId="77777777" w:rsidTr="00944DA4">
        <w:trPr>
          <w:trHeight w:val="657"/>
        </w:trPr>
        <w:tc>
          <w:tcPr>
            <w:tcW w:w="0" w:type="auto"/>
            <w:tcBorders>
              <w:top w:val="single" w:sz="2" w:space="0" w:color="636466"/>
              <w:bottom w:val="single" w:sz="2" w:space="0" w:color="636466"/>
            </w:tcBorders>
          </w:tcPr>
          <w:p w14:paraId="031D571F" w14:textId="77777777" w:rsidR="00C415F5" w:rsidRPr="00944DA4" w:rsidRDefault="009E23A6" w:rsidP="00944DA4">
            <w:pPr>
              <w:pStyle w:val="TableParagraph"/>
              <w:spacing w:before="60" w:after="60"/>
              <w:ind w:right="339"/>
              <w:rPr>
                <w:color w:val="008F54" w:themeColor="accent2"/>
                <w:u w:val="single"/>
              </w:rPr>
            </w:pPr>
            <w:hyperlink w:anchor="_bookmark19" w:history="1">
              <w:r w:rsidR="00603DEC" w:rsidRPr="00944DA4">
                <w:rPr>
                  <w:color w:val="008F54" w:themeColor="accent2"/>
                  <w:u w:val="single"/>
                </w:rPr>
                <w:t>IHPA proposes investigating bundled payments for stroke and joint pain, in particular knee and hip replacements.</w:t>
              </w:r>
            </w:hyperlink>
            <w:r w:rsidR="00603DEC" w:rsidRPr="00944DA4">
              <w:rPr>
                <w:color w:val="008F54" w:themeColor="accent2"/>
                <w:u w:val="single"/>
              </w:rPr>
              <w:t xml:space="preserve"> </w:t>
            </w:r>
            <w:hyperlink w:anchor="_bookmark19" w:history="1">
              <w:r w:rsidR="00603DEC" w:rsidRPr="00944DA4">
                <w:rPr>
                  <w:color w:val="008F54" w:themeColor="accent2"/>
                  <w:u w:val="single"/>
                </w:rPr>
                <w:t>Should any other conditions be considered?</w:t>
              </w:r>
            </w:hyperlink>
          </w:p>
        </w:tc>
        <w:tc>
          <w:tcPr>
            <w:tcW w:w="0" w:type="auto"/>
            <w:tcBorders>
              <w:top w:val="single" w:sz="2" w:space="0" w:color="636466"/>
              <w:bottom w:val="single" w:sz="2" w:space="0" w:color="636466"/>
            </w:tcBorders>
          </w:tcPr>
          <w:p w14:paraId="17A3FBE8" w14:textId="77777777" w:rsidR="00C415F5" w:rsidRPr="003B32FC" w:rsidRDefault="009E23A6" w:rsidP="00944DA4">
            <w:pPr>
              <w:pStyle w:val="TableParagraph"/>
              <w:spacing w:before="60" w:after="60"/>
              <w:rPr>
                <w:rFonts w:cs="Arial"/>
                <w:b/>
                <w:bCs/>
                <w:color w:val="008F54" w:themeColor="accent2"/>
                <w:sz w:val="16"/>
              </w:rPr>
            </w:pPr>
            <w:hyperlink w:anchor="_Consultation_questions_11" w:history="1">
              <w:r w:rsidR="00E01EDD">
                <w:rPr>
                  <w:rFonts w:cs="Arial"/>
                  <w:b/>
                  <w:bCs/>
                  <w:color w:val="008F54" w:themeColor="accent2"/>
                  <w:sz w:val="16"/>
                  <w:u w:val="single" w:color="008F54"/>
                </w:rPr>
                <w:t>32</w:t>
              </w:r>
            </w:hyperlink>
          </w:p>
        </w:tc>
      </w:tr>
      <w:tr w:rsidR="00C415F5" w14:paraId="034C06A8" w14:textId="77777777" w:rsidTr="00944DA4">
        <w:trPr>
          <w:trHeight w:val="657"/>
        </w:trPr>
        <w:tc>
          <w:tcPr>
            <w:tcW w:w="0" w:type="auto"/>
            <w:tcBorders>
              <w:top w:val="single" w:sz="2" w:space="0" w:color="636466"/>
              <w:bottom w:val="single" w:sz="2" w:space="0" w:color="636466"/>
            </w:tcBorders>
          </w:tcPr>
          <w:p w14:paraId="6F7FA25A" w14:textId="77777777" w:rsidR="00A54416" w:rsidRPr="00944DA4" w:rsidRDefault="009E23A6" w:rsidP="00944DA4">
            <w:pPr>
              <w:pStyle w:val="TableParagraph"/>
              <w:spacing w:before="60" w:after="60"/>
              <w:ind w:right="339"/>
              <w:rPr>
                <w:color w:val="008F54" w:themeColor="accent2"/>
                <w:u w:val="single"/>
              </w:rPr>
            </w:pPr>
            <w:hyperlink w:anchor="_bookmark21" w:history="1">
              <w:r w:rsidR="00603DEC" w:rsidRPr="00944DA4">
                <w:rPr>
                  <w:color w:val="008F54" w:themeColor="accent2"/>
                  <w:u w:val="single"/>
                </w:rPr>
                <w:t xml:space="preserve">Is IHPA’s funding approach to HACs improving safety and quality, for example through changing clinician </w:t>
              </w:r>
              <w:proofErr w:type="spellStart"/>
              <w:r w:rsidR="00603DEC" w:rsidRPr="00944DA4">
                <w:rPr>
                  <w:color w:val="008F54" w:themeColor="accent2"/>
                  <w:u w:val="single"/>
                </w:rPr>
                <w:t>behaviour</w:t>
              </w:r>
              <w:proofErr w:type="spellEnd"/>
            </w:hyperlink>
            <w:r w:rsidR="00603DEC" w:rsidRPr="00944DA4">
              <w:rPr>
                <w:color w:val="008F54" w:themeColor="accent2"/>
                <w:u w:val="single"/>
              </w:rPr>
              <w:t xml:space="preserve"> </w:t>
            </w:r>
            <w:hyperlink w:anchor="_bookmark21" w:history="1">
              <w:r w:rsidR="00603DEC" w:rsidRPr="00944DA4">
                <w:rPr>
                  <w:color w:val="008F54" w:themeColor="accent2"/>
                  <w:u w:val="single"/>
                </w:rPr>
                <w:t>and providing opportunities for effective benchmarking?</w:t>
              </w:r>
            </w:hyperlink>
          </w:p>
        </w:tc>
        <w:tc>
          <w:tcPr>
            <w:tcW w:w="0" w:type="auto"/>
            <w:tcBorders>
              <w:top w:val="single" w:sz="2" w:space="0" w:color="636466"/>
              <w:bottom w:val="single" w:sz="2" w:space="0" w:color="636466"/>
            </w:tcBorders>
          </w:tcPr>
          <w:p w14:paraId="0E8444B2" w14:textId="77777777" w:rsidR="00C415F5" w:rsidRPr="003B32FC" w:rsidRDefault="009E23A6" w:rsidP="00944DA4">
            <w:pPr>
              <w:pStyle w:val="TableParagraph"/>
              <w:spacing w:before="60" w:after="60"/>
              <w:rPr>
                <w:rFonts w:cs="Arial"/>
                <w:b/>
                <w:bCs/>
                <w:color w:val="008F54" w:themeColor="accent2"/>
                <w:sz w:val="16"/>
              </w:rPr>
            </w:pPr>
            <w:hyperlink w:anchor="_Consultation_questions_12" w:history="1">
              <w:r w:rsidR="00E01EDD">
                <w:rPr>
                  <w:rStyle w:val="Hyperlink"/>
                  <w:rFonts w:cs="Arial"/>
                  <w:b/>
                  <w:bCs/>
                  <w:color w:val="008F54" w:themeColor="accent2"/>
                </w:rPr>
                <w:t>36</w:t>
              </w:r>
            </w:hyperlink>
          </w:p>
        </w:tc>
      </w:tr>
      <w:tr w:rsidR="00C415F5" w14:paraId="4E6972CF" w14:textId="77777777" w:rsidTr="00944DA4">
        <w:trPr>
          <w:trHeight w:val="657"/>
        </w:trPr>
        <w:tc>
          <w:tcPr>
            <w:tcW w:w="0" w:type="auto"/>
            <w:tcBorders>
              <w:top w:val="single" w:sz="2" w:space="0" w:color="636466"/>
              <w:bottom w:val="single" w:sz="2" w:space="0" w:color="636466"/>
            </w:tcBorders>
          </w:tcPr>
          <w:p w14:paraId="16A81208" w14:textId="77777777" w:rsidR="00C415F5" w:rsidRPr="00944DA4" w:rsidRDefault="009E23A6" w:rsidP="00944DA4">
            <w:pPr>
              <w:pStyle w:val="TableParagraph"/>
              <w:spacing w:before="60" w:after="60"/>
              <w:ind w:right="339"/>
              <w:rPr>
                <w:color w:val="008F54" w:themeColor="accent2"/>
                <w:u w:val="single"/>
              </w:rPr>
            </w:pPr>
            <w:hyperlink w:anchor="_bookmark22" w:history="1">
              <w:r w:rsidR="00603DEC" w:rsidRPr="00944DA4">
                <w:rPr>
                  <w:color w:val="008F54" w:themeColor="accent2"/>
                  <w:u w:val="single"/>
                </w:rPr>
                <w:t xml:space="preserve">What should IHPA consider </w:t>
              </w:r>
              <w:proofErr w:type="gramStart"/>
              <w:r w:rsidR="00603DEC" w:rsidRPr="00944DA4">
                <w:rPr>
                  <w:color w:val="008F54" w:themeColor="accent2"/>
                  <w:u w:val="single"/>
                </w:rPr>
                <w:t>to configure</w:t>
              </w:r>
              <w:proofErr w:type="gramEnd"/>
              <w:r w:rsidR="00603DEC" w:rsidRPr="00944DA4">
                <w:rPr>
                  <w:color w:val="008F54" w:themeColor="accent2"/>
                  <w:u w:val="single"/>
                </w:rPr>
                <w:t xml:space="preserve"> software for the Australian context that can identify potentially avoidable</w:t>
              </w:r>
            </w:hyperlink>
            <w:r w:rsidR="00603DEC" w:rsidRPr="00944DA4">
              <w:rPr>
                <w:color w:val="008F54" w:themeColor="accent2"/>
                <w:u w:val="single"/>
              </w:rPr>
              <w:t xml:space="preserve"> </w:t>
            </w:r>
            <w:hyperlink w:anchor="_bookmark22" w:history="1">
              <w:r w:rsidR="00603DEC" w:rsidRPr="00944DA4">
                <w:rPr>
                  <w:color w:val="008F54" w:themeColor="accent2"/>
                  <w:u w:val="single"/>
                </w:rPr>
                <w:t>hospital readmissions?</w:t>
              </w:r>
            </w:hyperlink>
          </w:p>
        </w:tc>
        <w:tc>
          <w:tcPr>
            <w:tcW w:w="0" w:type="auto"/>
            <w:tcBorders>
              <w:top w:val="single" w:sz="2" w:space="0" w:color="636466"/>
              <w:bottom w:val="single" w:sz="2" w:space="0" w:color="636466"/>
            </w:tcBorders>
          </w:tcPr>
          <w:p w14:paraId="48C87CD2" w14:textId="77777777" w:rsidR="00C415F5" w:rsidRPr="003B32FC" w:rsidRDefault="009E23A6" w:rsidP="00944DA4">
            <w:pPr>
              <w:pStyle w:val="TableParagraph"/>
              <w:spacing w:before="60" w:after="60"/>
              <w:rPr>
                <w:rFonts w:cs="Arial"/>
                <w:b/>
                <w:bCs/>
                <w:color w:val="008F54" w:themeColor="accent2"/>
                <w:sz w:val="16"/>
              </w:rPr>
            </w:pPr>
            <w:hyperlink w:anchor="_Consultation_questions_13" w:history="1">
              <w:r w:rsidR="00E01EDD">
                <w:rPr>
                  <w:rStyle w:val="Hyperlink"/>
                  <w:rFonts w:cs="Arial"/>
                  <w:b/>
                  <w:bCs/>
                  <w:color w:val="008F54" w:themeColor="accent2"/>
                </w:rPr>
                <w:t>38</w:t>
              </w:r>
            </w:hyperlink>
          </w:p>
        </w:tc>
      </w:tr>
    </w:tbl>
    <w:p w14:paraId="3E6645F7" w14:textId="77777777" w:rsidR="00C415F5" w:rsidRDefault="00C415F5">
      <w:pPr>
        <w:jc w:val="center"/>
        <w:rPr>
          <w:rFonts w:ascii="Futura PT Bold"/>
          <w:sz w:val="16"/>
        </w:rPr>
        <w:sectPr w:rsidR="00C415F5" w:rsidSect="00A54416">
          <w:headerReference w:type="default" r:id="rId120"/>
          <w:pgSz w:w="11910" w:h="16840"/>
          <w:pgMar w:top="1440" w:right="1440" w:bottom="1440" w:left="1440" w:header="0" w:footer="656" w:gutter="0"/>
          <w:cols w:space="720"/>
        </w:sectPr>
      </w:pPr>
    </w:p>
    <w:p w14:paraId="7496FB9B" w14:textId="77777777" w:rsidR="00C415F5" w:rsidRPr="00A617A7" w:rsidRDefault="00A617A7" w:rsidP="00A617A7">
      <w:pPr>
        <w:pStyle w:val="BodyText"/>
        <w:rPr>
          <w:color w:val="FFFFFF" w:themeColor="background1"/>
        </w:rPr>
      </w:pPr>
      <w:r w:rsidRPr="00A617A7">
        <w:rPr>
          <w:noProof/>
          <w:color w:val="FFFFFF" w:themeColor="background1"/>
          <w:sz w:val="20"/>
        </w:rPr>
        <w:lastRenderedPageBreak/>
        <w:drawing>
          <wp:anchor distT="0" distB="0" distL="114300" distR="114300" simplePos="0" relativeHeight="251629568" behindDoc="1" locked="0" layoutInCell="1" allowOverlap="1" wp14:anchorId="33B1B95C" wp14:editId="4420D736">
            <wp:simplePos x="0" y="0"/>
            <wp:positionH relativeFrom="column">
              <wp:posOffset>-915035</wp:posOffset>
            </wp:positionH>
            <wp:positionV relativeFrom="page">
              <wp:posOffset>-4445</wp:posOffset>
            </wp:positionV>
            <wp:extent cx="7564120" cy="1069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PA0568_PricingFramework_ACCESSIBLE_181204_Page_76.jpg"/>
                    <pic:cNvPicPr/>
                  </pic:nvPicPr>
                  <pic:blipFill>
                    <a:blip r:embed="rId121">
                      <a:extLst>
                        <a:ext uri="{28A0092B-C50C-407E-A947-70E740481C1C}">
                          <a14:useLocalDpi xmlns:a14="http://schemas.microsoft.com/office/drawing/2010/main" val="0"/>
                        </a:ext>
                      </a:extLst>
                    </a:blip>
                    <a:stretch>
                      <a:fillRect/>
                    </a:stretch>
                  </pic:blipFill>
                  <pic:spPr>
                    <a:xfrm>
                      <a:off x="0" y="0"/>
                      <a:ext cx="7564120" cy="10697845"/>
                    </a:xfrm>
                    <a:prstGeom prst="rect">
                      <a:avLst/>
                    </a:prstGeom>
                  </pic:spPr>
                </pic:pic>
              </a:graphicData>
            </a:graphic>
            <wp14:sizeRelH relativeFrom="margin">
              <wp14:pctWidth>0</wp14:pctWidth>
            </wp14:sizeRelH>
            <wp14:sizeRelV relativeFrom="margin">
              <wp14:pctHeight>0</wp14:pctHeight>
            </wp14:sizeRelV>
          </wp:anchor>
        </w:drawing>
      </w:r>
      <w:r w:rsidR="00603DEC" w:rsidRPr="00A617A7">
        <w:rPr>
          <w:color w:val="FFFFFF" w:themeColor="background1"/>
        </w:rPr>
        <w:t>Independent Hospital Pricing Authority</w:t>
      </w:r>
    </w:p>
    <w:p w14:paraId="5F3F5235" w14:textId="77777777" w:rsidR="00C415F5" w:rsidRPr="00A617A7" w:rsidRDefault="00603DEC" w:rsidP="00A617A7">
      <w:pPr>
        <w:pStyle w:val="BodyText"/>
        <w:rPr>
          <w:color w:val="FFFFFF" w:themeColor="background1"/>
        </w:rPr>
      </w:pPr>
      <w:r w:rsidRPr="00A617A7">
        <w:rPr>
          <w:color w:val="FFFFFF" w:themeColor="background1"/>
        </w:rPr>
        <w:t>Level 6, 1 Oxford Street</w:t>
      </w:r>
    </w:p>
    <w:p w14:paraId="1B41A07C" w14:textId="77777777" w:rsidR="00C415F5" w:rsidRPr="00A617A7" w:rsidRDefault="00603DEC" w:rsidP="00A617A7">
      <w:pPr>
        <w:pStyle w:val="BodyText"/>
        <w:rPr>
          <w:color w:val="FFFFFF" w:themeColor="background1"/>
        </w:rPr>
      </w:pPr>
      <w:r w:rsidRPr="00A617A7">
        <w:rPr>
          <w:color w:val="FFFFFF" w:themeColor="background1"/>
        </w:rPr>
        <w:t>Sydney NSW 2000</w:t>
      </w:r>
    </w:p>
    <w:p w14:paraId="3FB677BC" w14:textId="77777777" w:rsidR="00C415F5" w:rsidRPr="00A617A7" w:rsidRDefault="00603DEC" w:rsidP="00A617A7">
      <w:pPr>
        <w:pStyle w:val="BodyText"/>
        <w:rPr>
          <w:color w:val="FFFFFF" w:themeColor="background1"/>
        </w:rPr>
      </w:pPr>
      <w:r w:rsidRPr="00A617A7">
        <w:rPr>
          <w:rFonts w:cs="Arial"/>
          <w:b/>
          <w:color w:val="FFFFFF" w:themeColor="background1"/>
        </w:rPr>
        <w:t>Phone</w:t>
      </w:r>
      <w:r w:rsidR="00A617A7">
        <w:rPr>
          <w:rFonts w:ascii="Futura PT Bold"/>
          <w:b/>
          <w:color w:val="FFFFFF" w:themeColor="background1"/>
        </w:rPr>
        <w:tab/>
      </w:r>
      <w:r w:rsidRPr="00A617A7">
        <w:rPr>
          <w:color w:val="FFFFFF" w:themeColor="background1"/>
        </w:rPr>
        <w:t>02 8215 1100</w:t>
      </w:r>
    </w:p>
    <w:p w14:paraId="561C3419" w14:textId="77777777" w:rsidR="00C415F5" w:rsidRPr="00A617A7" w:rsidRDefault="00603DEC" w:rsidP="00A617A7">
      <w:pPr>
        <w:pStyle w:val="BodyText"/>
        <w:rPr>
          <w:color w:val="FFFFFF" w:themeColor="background1"/>
        </w:rPr>
      </w:pPr>
      <w:r w:rsidRPr="00A617A7">
        <w:rPr>
          <w:rFonts w:cs="Arial"/>
          <w:b/>
          <w:color w:val="FFFFFF" w:themeColor="background1"/>
        </w:rPr>
        <w:t>Email</w:t>
      </w:r>
      <w:r w:rsidRPr="00A617A7">
        <w:rPr>
          <w:rFonts w:ascii="Futura PT Bold"/>
          <w:b/>
          <w:color w:val="FFFFFF" w:themeColor="background1"/>
        </w:rPr>
        <w:tab/>
      </w:r>
      <w:hyperlink r:id="rId122">
        <w:r w:rsidRPr="00A617A7">
          <w:rPr>
            <w:color w:val="FFFFFF" w:themeColor="background1"/>
          </w:rPr>
          <w:t>enquiries.ihpa@ihpa.gov.au</w:t>
        </w:r>
      </w:hyperlink>
    </w:p>
    <w:p w14:paraId="130783E4" w14:textId="77777777" w:rsidR="00A617A7" w:rsidRPr="00A617A7" w:rsidRDefault="00603DEC" w:rsidP="00A617A7">
      <w:pPr>
        <w:pStyle w:val="BodyText"/>
        <w:rPr>
          <w:color w:val="FFFFFF" w:themeColor="background1"/>
        </w:rPr>
      </w:pPr>
      <w:r w:rsidRPr="00A617A7">
        <w:rPr>
          <w:rFonts w:cs="Arial"/>
          <w:b/>
          <w:color w:val="FFFFFF" w:themeColor="background1"/>
        </w:rPr>
        <w:t>Twitter</w:t>
      </w:r>
      <w:r w:rsidR="00A617A7">
        <w:rPr>
          <w:rFonts w:cs="Arial"/>
          <w:b/>
          <w:color w:val="FFFFFF" w:themeColor="background1"/>
        </w:rPr>
        <w:tab/>
      </w:r>
      <w:hyperlink r:id="rId123">
        <w:r w:rsidRPr="00A617A7">
          <w:rPr>
            <w:color w:val="FFFFFF" w:themeColor="background1"/>
          </w:rPr>
          <w:t>@</w:t>
        </w:r>
        <w:proofErr w:type="spellStart"/>
        <w:r w:rsidRPr="00A617A7">
          <w:rPr>
            <w:color w:val="FFFFFF" w:themeColor="background1"/>
          </w:rPr>
          <w:t>IHPAnews</w:t>
        </w:r>
        <w:proofErr w:type="spellEnd"/>
      </w:hyperlink>
      <w:r w:rsidRPr="00A617A7">
        <w:rPr>
          <w:color w:val="FFFFFF" w:themeColor="background1"/>
        </w:rPr>
        <w:t xml:space="preserve"> </w:t>
      </w:r>
    </w:p>
    <w:p w14:paraId="225B8F62" w14:textId="77777777" w:rsidR="00C415F5" w:rsidRPr="00A617A7" w:rsidRDefault="009E23A6" w:rsidP="00A617A7">
      <w:pPr>
        <w:pStyle w:val="BodyText"/>
        <w:rPr>
          <w:color w:val="FFFFFF" w:themeColor="background1"/>
        </w:rPr>
      </w:pPr>
      <w:hyperlink r:id="rId124" w:history="1">
        <w:r w:rsidR="00A617A7" w:rsidRPr="00B5224D">
          <w:rPr>
            <w:rStyle w:val="Hyperlink"/>
          </w:rPr>
          <w:t>www.ihpa.gov.au</w:t>
        </w:r>
      </w:hyperlink>
    </w:p>
    <w:sectPr w:rsidR="00C415F5" w:rsidRPr="00A617A7" w:rsidSect="00A617A7">
      <w:headerReference w:type="default" r:id="rId125"/>
      <w:footerReference w:type="default" r:id="rId126"/>
      <w:pgSz w:w="11910" w:h="16840"/>
      <w:pgMar w:top="12474"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16A75" w14:textId="77777777" w:rsidR="009E23A6" w:rsidRDefault="009E23A6">
      <w:r>
        <w:separator/>
      </w:r>
    </w:p>
  </w:endnote>
  <w:endnote w:type="continuationSeparator" w:id="0">
    <w:p w14:paraId="7966F7C8" w14:textId="77777777" w:rsidR="009E23A6" w:rsidRDefault="009E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 PT Book">
    <w:panose1 w:val="020B0502020204020303"/>
    <w:charset w:val="4D"/>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Gotham Book">
    <w:panose1 w:val="02000504050000020004"/>
    <w:charset w:val="00"/>
    <w:family w:val="auto"/>
    <w:pitch w:val="variable"/>
    <w:sig w:usb0="A10002FF" w:usb1="400000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utura PT Bold">
    <w:panose1 w:val="020B0902020204020203"/>
    <w:charset w:val="4D"/>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Heavy">
    <w:panose1 w:val="020B0802020204020303"/>
    <w:charset w:val="4D"/>
    <w:family w:val="swiss"/>
    <w:notTrueType/>
    <w:pitch w:val="variable"/>
    <w:sig w:usb0="A00002FF" w:usb1="5000204A"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F9CF" w14:textId="77777777" w:rsidR="005907C8" w:rsidRDefault="005907C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Pr="00460625">
      <w:rPr>
        <w:noProof/>
        <w:color w:val="003E2D" w:themeColor="text1"/>
        <w:sz w:val="18"/>
        <w:szCs w:val="18"/>
      </w:rPr>
      <w:t>1</w:t>
    </w:r>
    <w:r w:rsidRPr="00460625">
      <w:rPr>
        <w:noProof/>
        <w:color w:val="003E2D" w:themeColor="text1"/>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2B0F" w14:textId="77777777" w:rsidR="00592035" w:rsidRDefault="00592035"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A412" w14:textId="77777777" w:rsidR="00592035" w:rsidRDefault="00592035"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BB66A" w14:textId="77777777" w:rsidR="00592035" w:rsidRDefault="00592035"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539A" w14:textId="77777777" w:rsidR="005907C8" w:rsidRDefault="005907C8" w:rsidP="003932A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8E20B" w14:textId="77777777" w:rsidR="005907C8" w:rsidRDefault="005907C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F34E" w14:textId="77777777" w:rsidR="005907C8" w:rsidRDefault="005907C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9B552" w14:textId="77777777" w:rsidR="005907C8" w:rsidRDefault="005907C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FDA6" w14:textId="77777777" w:rsidR="00D32313" w:rsidRDefault="00D32313"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A63D3" w14:textId="77777777" w:rsidR="005907C8" w:rsidRDefault="005907C8" w:rsidP="00637B6E">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color w:val="003E2D"/>
        <w:spacing w:val="-6"/>
        <w:sz w:val="18"/>
      </w:rPr>
      <w:t>11</w:t>
    </w:r>
    <w:r w:rsidRPr="001142D0">
      <w:rPr>
        <w:rFonts w:cs="Arial"/>
        <w:noProof/>
        <w:color w:val="003E2D"/>
        <w:spacing w:val="-6"/>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066" w14:textId="77777777" w:rsidR="00D32313" w:rsidRDefault="00D32313"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8DD3" w14:textId="77777777" w:rsidR="00592035" w:rsidRDefault="00592035"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446D" w14:textId="77777777" w:rsidR="00592035" w:rsidRDefault="00592035"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2020–21</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Pr="001142D0">
      <w:rPr>
        <w:rFonts w:cs="Arial"/>
        <w:noProof/>
        <w:color w:val="003E2D"/>
        <w:spacing w:val="-6"/>
        <w:sz w:val="18"/>
      </w:rPr>
      <w:t>1</w:t>
    </w:r>
    <w:r w:rsidRPr="001142D0">
      <w:rPr>
        <w:rFonts w:cs="Arial"/>
        <w:noProof/>
        <w:color w:val="003E2D"/>
        <w:spacing w:val="-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3E706" w14:textId="77777777" w:rsidR="009E23A6" w:rsidRDefault="009E23A6">
      <w:r>
        <w:separator/>
      </w:r>
    </w:p>
  </w:footnote>
  <w:footnote w:type="continuationSeparator" w:id="0">
    <w:p w14:paraId="5E88DC15" w14:textId="77777777" w:rsidR="009E23A6" w:rsidRDefault="009E23A6">
      <w:r>
        <w:continuationSeparator/>
      </w:r>
    </w:p>
  </w:footnote>
  <w:footnote w:id="1">
    <w:p w14:paraId="7B883E38" w14:textId="77777777" w:rsidR="005907C8" w:rsidRDefault="005907C8" w:rsidP="00554858">
      <w:pPr>
        <w:pStyle w:val="FootnoteText"/>
      </w:pPr>
      <w:r>
        <w:rPr>
          <w:rStyle w:val="FootnoteReference"/>
        </w:rPr>
        <w:footnoteRef/>
      </w:r>
      <w:r>
        <w:t xml:space="preserve"> </w:t>
      </w:r>
      <w:r w:rsidRPr="00554858">
        <w:rPr>
          <w:rStyle w:val="FootnoteChar"/>
        </w:rPr>
        <w:t>Williams K, Sansoni J, Morris D, Grootemaat P and Thompson C, Patient-reported outcome measures: Literature review. Sydney: ACSQHC; 2016</w:t>
      </w:r>
    </w:p>
  </w:footnote>
  <w:footnote w:id="2">
    <w:p w14:paraId="34C7F20A" w14:textId="77777777" w:rsidR="005907C8" w:rsidRDefault="005907C8">
      <w:pPr>
        <w:pStyle w:val="FootnoteText"/>
      </w:pPr>
      <w:r>
        <w:rPr>
          <w:rStyle w:val="FootnoteReference"/>
        </w:rPr>
        <w:footnoteRef/>
      </w:r>
      <w:r>
        <w:t xml:space="preserve"> </w:t>
      </w:r>
      <w:r w:rsidRPr="00CE0C57">
        <w:rPr>
          <w:rStyle w:val="FootnoteChar"/>
        </w:rPr>
        <w:t>Liz Hay, Mahendra Sharan, Ansari Jainullabudeen, Economics is your friend, the use of economics to support Value Based Healthcare, IHPA Activity Based Funding Conference,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86BC" w14:textId="77777777" w:rsidR="005907C8" w:rsidRDefault="009E23A6" w:rsidP="003932A6">
    <w:pPr>
      <w:pStyle w:val="BodyText"/>
      <w:rPr>
        <w:sz w:val="2"/>
      </w:rPr>
    </w:pPr>
    <w:r>
      <w:pict w14:anchorId="5E3D3A60">
        <v:rect id="_x0000_s2050" alt="" style="position:absolute;margin-left:0;margin-top:0;width:595.3pt;height:841.9pt;z-index:-56656;mso-wrap-edited:f;mso-width-percent:0;mso-height-percent:0;mso-position-horizontal-relative:page;mso-position-vertical-relative:page;mso-width-percent:0;mso-height-percent:0" fillcolor="#023e2d"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99DE4" w14:textId="77777777" w:rsidR="005907C8" w:rsidRDefault="005907C8" w:rsidP="003932A6">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A3E5" w14:textId="77777777" w:rsidR="005907C8" w:rsidRDefault="005907C8"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3C3C" w14:textId="77777777" w:rsidR="00D32313" w:rsidRDefault="00D32313"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BF99E" w14:textId="77777777" w:rsidR="005907C8" w:rsidRDefault="005907C8" w:rsidP="003932A6">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7885" w14:textId="77777777" w:rsidR="005907C8" w:rsidRDefault="005907C8"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5F65" w14:textId="77777777" w:rsidR="005907C8" w:rsidRDefault="005907C8"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16BE" w14:textId="77777777" w:rsidR="005907C8" w:rsidRDefault="005907C8" w:rsidP="003932A6">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139D" w14:textId="77777777" w:rsidR="005907C8" w:rsidRDefault="005907C8"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DD919" w14:textId="77777777" w:rsidR="005907C8" w:rsidRDefault="005907C8"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5638" w14:textId="77777777" w:rsidR="00D32313" w:rsidRDefault="00D32313" w:rsidP="003932A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EB98" w14:textId="77777777" w:rsidR="005907C8" w:rsidRDefault="005907C8" w:rsidP="003932A6">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63BF6" w14:textId="77777777" w:rsidR="005907C8" w:rsidRDefault="005907C8"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A37F" w14:textId="77777777" w:rsidR="005907C8" w:rsidRDefault="005907C8"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E35B" w14:textId="77777777" w:rsidR="005907C8" w:rsidRDefault="005907C8" w:rsidP="003932A6">
    <w:pPr>
      <w:pStyle w:val="BodyTex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0FA7" w14:textId="77777777" w:rsidR="00592035" w:rsidRDefault="00592035"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D26AC" w14:textId="77777777" w:rsidR="005907C8" w:rsidRDefault="005907C8"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90EB" w14:textId="77777777" w:rsidR="005907C8" w:rsidRDefault="005907C8" w:rsidP="003932A6">
    <w:pPr>
      <w:pStyle w:val="BodyTex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73E3" w14:textId="77777777" w:rsidR="005907C8" w:rsidRDefault="005907C8" w:rsidP="003932A6">
    <w:pPr>
      <w:pStyle w:val="BodyTex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57FF" w14:textId="77777777" w:rsidR="00592035" w:rsidRDefault="00592035" w:rsidP="003932A6">
    <w:pPr>
      <w:pStyle w:val="BodyTex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B53A" w14:textId="77777777" w:rsidR="005907C8" w:rsidRDefault="005907C8" w:rsidP="003932A6">
    <w:pPr>
      <w:pStyle w:val="BodyTex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DB13" w14:textId="77777777" w:rsidR="00592035" w:rsidRDefault="00592035" w:rsidP="003932A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6612" w14:textId="77777777" w:rsidR="005907C8" w:rsidRDefault="005907C8" w:rsidP="003932A6">
    <w:pPr>
      <w:pStyle w:val="BodyTex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3CF0A" w14:textId="77777777" w:rsidR="005907C8" w:rsidRDefault="005907C8" w:rsidP="003932A6">
    <w:pPr>
      <w:pStyle w:val="BodyTex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8E55" w14:textId="77777777" w:rsidR="00592035" w:rsidRDefault="00592035" w:rsidP="003932A6">
    <w:pPr>
      <w:pStyle w:val="BodyTex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E3FA" w14:textId="77777777" w:rsidR="005907C8" w:rsidRDefault="005907C8" w:rsidP="003932A6">
    <w:pPr>
      <w:pStyle w:val="BodyTex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4A2EF" w14:textId="77777777" w:rsidR="005907C8" w:rsidRDefault="005907C8" w:rsidP="003932A6">
    <w:pPr>
      <w:pStyle w:val="BodyTex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D6089" w14:textId="77777777" w:rsidR="005907C8" w:rsidRDefault="005907C8" w:rsidP="003932A6">
    <w:pPr>
      <w:pStyle w:val="BodyTex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6F02" w14:textId="77777777" w:rsidR="00592035" w:rsidRDefault="00592035" w:rsidP="003932A6">
    <w:pPr>
      <w:pStyle w:val="BodyTex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EE2CC" w14:textId="77777777" w:rsidR="005907C8" w:rsidRDefault="005907C8" w:rsidP="003932A6">
    <w:pPr>
      <w:pStyle w:val="BodyTex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B98C" w14:textId="77777777" w:rsidR="005907C8" w:rsidRDefault="005907C8" w:rsidP="003932A6">
    <w:pPr>
      <w:pStyle w:val="BodyTex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0AFC2" w14:textId="77777777" w:rsidR="005907C8" w:rsidRDefault="005907C8" w:rsidP="003932A6">
    <w:pPr>
      <w:pStyle w:val="BodyTex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45EC1" w14:textId="77777777" w:rsidR="005907C8" w:rsidRDefault="005907C8" w:rsidP="003932A6">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C331F" w14:textId="77777777" w:rsidR="005907C8" w:rsidRDefault="005907C8" w:rsidP="003932A6">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841B" w14:textId="77777777" w:rsidR="005907C8" w:rsidRDefault="005907C8" w:rsidP="003932A6">
    <w:pPr>
      <w:pStyle w:val="BodyTex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330D2" w14:textId="77777777" w:rsidR="005907C8" w:rsidRDefault="009E23A6" w:rsidP="003932A6">
    <w:pPr>
      <w:pStyle w:val="BodyText"/>
      <w:rPr>
        <w:sz w:val="2"/>
      </w:rPr>
    </w:pPr>
    <w:r>
      <w:pict w14:anchorId="6DF56DF5">
        <v:rect id="_x0000_s2049" alt="" style="position:absolute;margin-left:0;margin-top:0;width:595.3pt;height:841.9pt;z-index:-54736;mso-wrap-edited:f;mso-width-percent:0;mso-height-percent:0;mso-position-horizontal-relative:page;mso-position-vertical-relative:page;mso-width-percent:0;mso-height-percent:0" fillcolor="#023e2d"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789AB" w14:textId="77777777" w:rsidR="005907C8" w:rsidRDefault="005907C8"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9FD7" w14:textId="77777777" w:rsidR="005907C8" w:rsidRDefault="005907C8"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3059" w14:textId="77777777" w:rsidR="005907C8" w:rsidRDefault="005907C8" w:rsidP="003932A6">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C2D59" w14:textId="77777777" w:rsidR="005907C8" w:rsidRDefault="005907C8"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84493" w14:textId="77777777" w:rsidR="005907C8" w:rsidRDefault="005907C8"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picture containing animal&#13;&#10;&#13;&#10;Description automatically generated" style="width:18.35pt;height:16.9pt;visibility:visible;mso-wrap-style:square" o:bullet="t">
        <v:imagedata r:id="rId1" o:title="A picture containing animal&#13;&#10;&#13;&#10;Description automatically generated"/>
      </v:shape>
    </w:pict>
  </w:numPicBullet>
  <w:numPicBullet w:numPicBulletId="1">
    <w:pict>
      <v:shape id="_x0000_i1029" type="#_x0000_t75" style="width:18.35pt;height:16.9pt;visibility:visible;mso-wrap-style:square" o:bullet="t">
        <v:imagedata r:id="rId2" o:title=""/>
      </v:shape>
    </w:pict>
  </w:numPicBullet>
  <w:abstractNum w:abstractNumId="0" w15:restartNumberingAfterBreak="0">
    <w:nsid w:val="00C94E62"/>
    <w:multiLevelType w:val="hybridMultilevel"/>
    <w:tmpl w:val="80D4A21A"/>
    <w:lvl w:ilvl="0" w:tplc="35D0CED0">
      <w:numFmt w:val="bullet"/>
      <w:lvlText w:val="–"/>
      <w:lvlJc w:val="left"/>
      <w:pPr>
        <w:ind w:left="915" w:hanging="284"/>
      </w:pPr>
      <w:rPr>
        <w:rFonts w:ascii="Futura PT Book" w:eastAsia="Futura PT Book" w:hAnsi="Futura PT Book" w:cs="Futura PT Book" w:hint="default"/>
        <w:color w:val="58595B"/>
        <w:spacing w:val="-12"/>
        <w:w w:val="100"/>
        <w:sz w:val="19"/>
        <w:szCs w:val="19"/>
        <w:lang w:val="en-US" w:eastAsia="en-US" w:bidi="en-US"/>
      </w:rPr>
    </w:lvl>
    <w:lvl w:ilvl="1" w:tplc="77800F02">
      <w:numFmt w:val="bullet"/>
      <w:lvlText w:val="–"/>
      <w:lvlJc w:val="left"/>
      <w:pPr>
        <w:ind w:left="1694" w:hanging="284"/>
      </w:pPr>
      <w:rPr>
        <w:rFonts w:ascii="Futura PT Book" w:eastAsia="Futura PT Book" w:hAnsi="Futura PT Book" w:cs="Futura PT Book" w:hint="default"/>
        <w:color w:val="58595B"/>
        <w:spacing w:val="-4"/>
        <w:w w:val="100"/>
        <w:sz w:val="19"/>
        <w:szCs w:val="19"/>
        <w:lang w:val="en-US" w:eastAsia="en-US" w:bidi="en-US"/>
      </w:rPr>
    </w:lvl>
    <w:lvl w:ilvl="2" w:tplc="42761DEE">
      <w:numFmt w:val="bullet"/>
      <w:lvlText w:val="•"/>
      <w:lvlJc w:val="left"/>
      <w:pPr>
        <w:ind w:left="1514" w:hanging="284"/>
      </w:pPr>
      <w:rPr>
        <w:rFonts w:hint="default"/>
        <w:lang w:val="en-US" w:eastAsia="en-US" w:bidi="en-US"/>
      </w:rPr>
    </w:lvl>
    <w:lvl w:ilvl="3" w:tplc="9C12E598">
      <w:numFmt w:val="bullet"/>
      <w:lvlText w:val="•"/>
      <w:lvlJc w:val="left"/>
      <w:pPr>
        <w:ind w:left="1328" w:hanging="284"/>
      </w:pPr>
      <w:rPr>
        <w:rFonts w:hint="default"/>
        <w:lang w:val="en-US" w:eastAsia="en-US" w:bidi="en-US"/>
      </w:rPr>
    </w:lvl>
    <w:lvl w:ilvl="4" w:tplc="B330BA22">
      <w:numFmt w:val="bullet"/>
      <w:lvlText w:val="•"/>
      <w:lvlJc w:val="left"/>
      <w:pPr>
        <w:ind w:left="1142" w:hanging="284"/>
      </w:pPr>
      <w:rPr>
        <w:rFonts w:hint="default"/>
        <w:lang w:val="en-US" w:eastAsia="en-US" w:bidi="en-US"/>
      </w:rPr>
    </w:lvl>
    <w:lvl w:ilvl="5" w:tplc="3976CA48">
      <w:numFmt w:val="bullet"/>
      <w:lvlText w:val="•"/>
      <w:lvlJc w:val="left"/>
      <w:pPr>
        <w:ind w:left="956" w:hanging="284"/>
      </w:pPr>
      <w:rPr>
        <w:rFonts w:hint="default"/>
        <w:lang w:val="en-US" w:eastAsia="en-US" w:bidi="en-US"/>
      </w:rPr>
    </w:lvl>
    <w:lvl w:ilvl="6" w:tplc="DFC8B6C8">
      <w:numFmt w:val="bullet"/>
      <w:lvlText w:val="•"/>
      <w:lvlJc w:val="left"/>
      <w:pPr>
        <w:ind w:left="771" w:hanging="284"/>
      </w:pPr>
      <w:rPr>
        <w:rFonts w:hint="default"/>
        <w:lang w:val="en-US" w:eastAsia="en-US" w:bidi="en-US"/>
      </w:rPr>
    </w:lvl>
    <w:lvl w:ilvl="7" w:tplc="A72CDD58">
      <w:numFmt w:val="bullet"/>
      <w:lvlText w:val="•"/>
      <w:lvlJc w:val="left"/>
      <w:pPr>
        <w:ind w:left="585" w:hanging="284"/>
      </w:pPr>
      <w:rPr>
        <w:rFonts w:hint="default"/>
        <w:lang w:val="en-US" w:eastAsia="en-US" w:bidi="en-US"/>
      </w:rPr>
    </w:lvl>
    <w:lvl w:ilvl="8" w:tplc="085863AE">
      <w:numFmt w:val="bullet"/>
      <w:lvlText w:val="•"/>
      <w:lvlJc w:val="left"/>
      <w:pPr>
        <w:ind w:left="399" w:hanging="284"/>
      </w:pPr>
      <w:rPr>
        <w:rFonts w:hint="default"/>
        <w:lang w:val="en-US" w:eastAsia="en-US" w:bidi="en-US"/>
      </w:rPr>
    </w:lvl>
  </w:abstractNum>
  <w:abstractNum w:abstractNumId="1"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2" w15:restartNumberingAfterBreak="0">
    <w:nsid w:val="0DB80A1F"/>
    <w:multiLevelType w:val="hybridMultilevel"/>
    <w:tmpl w:val="F2FC33C0"/>
    <w:lvl w:ilvl="0" w:tplc="C6543E32">
      <w:numFmt w:val="bullet"/>
      <w:lvlText w:val="–"/>
      <w:lvlJc w:val="left"/>
      <w:pPr>
        <w:ind w:left="1708" w:hanging="284"/>
      </w:pPr>
      <w:rPr>
        <w:rFonts w:ascii="Futura PT Book" w:eastAsia="Futura PT Book" w:hAnsi="Futura PT Book" w:cs="Futura PT Book" w:hint="default"/>
        <w:color w:val="58595B"/>
        <w:spacing w:val="-4"/>
        <w:w w:val="40"/>
        <w:sz w:val="19"/>
        <w:szCs w:val="19"/>
        <w:lang w:val="en-US" w:eastAsia="en-US" w:bidi="en-US"/>
      </w:rPr>
    </w:lvl>
    <w:lvl w:ilvl="1" w:tplc="858CD4E6">
      <w:numFmt w:val="bullet"/>
      <w:lvlText w:val="—"/>
      <w:lvlJc w:val="left"/>
      <w:pPr>
        <w:ind w:left="1700" w:hanging="197"/>
      </w:pPr>
      <w:rPr>
        <w:rFonts w:ascii="Futura PT Book" w:eastAsia="Futura PT Book" w:hAnsi="Futura PT Book" w:cs="Futura PT Book" w:hint="default"/>
        <w:color w:val="58595B"/>
        <w:spacing w:val="-1"/>
        <w:w w:val="100"/>
        <w:sz w:val="19"/>
        <w:szCs w:val="19"/>
        <w:lang w:val="en-US" w:eastAsia="en-US" w:bidi="en-US"/>
      </w:rPr>
    </w:lvl>
    <w:lvl w:ilvl="2" w:tplc="290ADEB2">
      <w:numFmt w:val="bullet"/>
      <w:lvlText w:val="•"/>
      <w:lvlJc w:val="left"/>
      <w:pPr>
        <w:ind w:left="2493" w:hanging="197"/>
      </w:pPr>
      <w:rPr>
        <w:rFonts w:hint="default"/>
        <w:lang w:val="en-US" w:eastAsia="en-US" w:bidi="en-US"/>
      </w:rPr>
    </w:lvl>
    <w:lvl w:ilvl="3" w:tplc="F4202380">
      <w:numFmt w:val="bullet"/>
      <w:lvlText w:val="•"/>
      <w:lvlJc w:val="left"/>
      <w:pPr>
        <w:ind w:left="2890" w:hanging="197"/>
      </w:pPr>
      <w:rPr>
        <w:rFonts w:hint="default"/>
        <w:lang w:val="en-US" w:eastAsia="en-US" w:bidi="en-US"/>
      </w:rPr>
    </w:lvl>
    <w:lvl w:ilvl="4" w:tplc="2794DF08">
      <w:numFmt w:val="bullet"/>
      <w:lvlText w:val="•"/>
      <w:lvlJc w:val="left"/>
      <w:pPr>
        <w:ind w:left="3287" w:hanging="197"/>
      </w:pPr>
      <w:rPr>
        <w:rFonts w:hint="default"/>
        <w:lang w:val="en-US" w:eastAsia="en-US" w:bidi="en-US"/>
      </w:rPr>
    </w:lvl>
    <w:lvl w:ilvl="5" w:tplc="FA96FCC2">
      <w:numFmt w:val="bullet"/>
      <w:lvlText w:val="•"/>
      <w:lvlJc w:val="left"/>
      <w:pPr>
        <w:ind w:left="3683" w:hanging="197"/>
      </w:pPr>
      <w:rPr>
        <w:rFonts w:hint="default"/>
        <w:lang w:val="en-US" w:eastAsia="en-US" w:bidi="en-US"/>
      </w:rPr>
    </w:lvl>
    <w:lvl w:ilvl="6" w:tplc="30AC8B7A">
      <w:numFmt w:val="bullet"/>
      <w:lvlText w:val="•"/>
      <w:lvlJc w:val="left"/>
      <w:pPr>
        <w:ind w:left="4080" w:hanging="197"/>
      </w:pPr>
      <w:rPr>
        <w:rFonts w:hint="default"/>
        <w:lang w:val="en-US" w:eastAsia="en-US" w:bidi="en-US"/>
      </w:rPr>
    </w:lvl>
    <w:lvl w:ilvl="7" w:tplc="2E2C91F2">
      <w:numFmt w:val="bullet"/>
      <w:lvlText w:val="•"/>
      <w:lvlJc w:val="left"/>
      <w:pPr>
        <w:ind w:left="4477" w:hanging="197"/>
      </w:pPr>
      <w:rPr>
        <w:rFonts w:hint="default"/>
        <w:lang w:val="en-US" w:eastAsia="en-US" w:bidi="en-US"/>
      </w:rPr>
    </w:lvl>
    <w:lvl w:ilvl="8" w:tplc="7110F808">
      <w:numFmt w:val="bullet"/>
      <w:lvlText w:val="•"/>
      <w:lvlJc w:val="left"/>
      <w:pPr>
        <w:ind w:left="4874" w:hanging="197"/>
      </w:pPr>
      <w:rPr>
        <w:rFonts w:hint="default"/>
        <w:lang w:val="en-US" w:eastAsia="en-US" w:bidi="en-US"/>
      </w:rPr>
    </w:lvl>
  </w:abstractNum>
  <w:abstractNum w:abstractNumId="3" w15:restartNumberingAfterBreak="0">
    <w:nsid w:val="16A16632"/>
    <w:multiLevelType w:val="multilevel"/>
    <w:tmpl w:val="679C4370"/>
    <w:lvl w:ilvl="0">
      <w:start w:val="5"/>
      <w:numFmt w:val="decimal"/>
      <w:lvlText w:val="%1"/>
      <w:lvlJc w:val="left"/>
      <w:pPr>
        <w:ind w:left="1417" w:hanging="585"/>
      </w:pPr>
      <w:rPr>
        <w:rFonts w:hint="default"/>
        <w:lang w:val="en-US" w:eastAsia="en-US" w:bidi="en-US"/>
      </w:rPr>
    </w:lvl>
    <w:lvl w:ilvl="1">
      <w:start w:val="1"/>
      <w:numFmt w:val="decimal"/>
      <w:lvlText w:val="%1.%2"/>
      <w:lvlJc w:val="left"/>
      <w:pPr>
        <w:ind w:left="1417" w:hanging="585"/>
        <w:jc w:val="right"/>
      </w:pPr>
      <w:rPr>
        <w:rFonts w:ascii="Futura PT Bold" w:eastAsia="Futura PT Bold" w:hAnsi="Futura PT Bold" w:cs="Futura PT Bold" w:hint="default"/>
        <w:b/>
        <w:bCs/>
        <w:color w:val="003E2D"/>
        <w:spacing w:val="-29"/>
        <w:w w:val="100"/>
        <w:sz w:val="36"/>
        <w:szCs w:val="36"/>
        <w:lang w:val="en-US" w:eastAsia="en-US" w:bidi="en-US"/>
      </w:rPr>
    </w:lvl>
    <w:lvl w:ilvl="2">
      <w:numFmt w:val="bullet"/>
      <w:lvlText w:val="•"/>
      <w:lvlJc w:val="left"/>
      <w:pPr>
        <w:ind w:left="2234" w:hanging="585"/>
      </w:pPr>
      <w:rPr>
        <w:rFonts w:hint="default"/>
        <w:lang w:val="en-US" w:eastAsia="en-US" w:bidi="en-US"/>
      </w:rPr>
    </w:lvl>
    <w:lvl w:ilvl="3">
      <w:numFmt w:val="bullet"/>
      <w:lvlText w:val="•"/>
      <w:lvlJc w:val="left"/>
      <w:pPr>
        <w:ind w:left="2641" w:hanging="585"/>
      </w:pPr>
      <w:rPr>
        <w:rFonts w:hint="default"/>
        <w:lang w:val="en-US" w:eastAsia="en-US" w:bidi="en-US"/>
      </w:rPr>
    </w:lvl>
    <w:lvl w:ilvl="4">
      <w:numFmt w:val="bullet"/>
      <w:lvlText w:val="•"/>
      <w:lvlJc w:val="left"/>
      <w:pPr>
        <w:ind w:left="3049" w:hanging="585"/>
      </w:pPr>
      <w:rPr>
        <w:rFonts w:hint="default"/>
        <w:lang w:val="en-US" w:eastAsia="en-US" w:bidi="en-US"/>
      </w:rPr>
    </w:lvl>
    <w:lvl w:ilvl="5">
      <w:numFmt w:val="bullet"/>
      <w:lvlText w:val="•"/>
      <w:lvlJc w:val="left"/>
      <w:pPr>
        <w:ind w:left="3456" w:hanging="585"/>
      </w:pPr>
      <w:rPr>
        <w:rFonts w:hint="default"/>
        <w:lang w:val="en-US" w:eastAsia="en-US" w:bidi="en-US"/>
      </w:rPr>
    </w:lvl>
    <w:lvl w:ilvl="6">
      <w:numFmt w:val="bullet"/>
      <w:lvlText w:val="•"/>
      <w:lvlJc w:val="left"/>
      <w:pPr>
        <w:ind w:left="3863" w:hanging="585"/>
      </w:pPr>
      <w:rPr>
        <w:rFonts w:hint="default"/>
        <w:lang w:val="en-US" w:eastAsia="en-US" w:bidi="en-US"/>
      </w:rPr>
    </w:lvl>
    <w:lvl w:ilvl="7">
      <w:numFmt w:val="bullet"/>
      <w:lvlText w:val="•"/>
      <w:lvlJc w:val="left"/>
      <w:pPr>
        <w:ind w:left="4271" w:hanging="585"/>
      </w:pPr>
      <w:rPr>
        <w:rFonts w:hint="default"/>
        <w:lang w:val="en-US" w:eastAsia="en-US" w:bidi="en-US"/>
      </w:rPr>
    </w:lvl>
    <w:lvl w:ilvl="8">
      <w:numFmt w:val="bullet"/>
      <w:lvlText w:val="•"/>
      <w:lvlJc w:val="left"/>
      <w:pPr>
        <w:ind w:left="4678" w:hanging="585"/>
      </w:pPr>
      <w:rPr>
        <w:rFonts w:hint="default"/>
        <w:lang w:val="en-US" w:eastAsia="en-US" w:bidi="en-US"/>
      </w:rPr>
    </w:lvl>
  </w:abstractNum>
  <w:abstractNum w:abstractNumId="4" w15:restartNumberingAfterBreak="0">
    <w:nsid w:val="19810ED5"/>
    <w:multiLevelType w:val="multilevel"/>
    <w:tmpl w:val="84F055F4"/>
    <w:lvl w:ilvl="0">
      <w:start w:val="1"/>
      <w:numFmt w:val="decimal"/>
      <w:lvlText w:val="%1"/>
      <w:lvlJc w:val="left"/>
      <w:pPr>
        <w:ind w:left="684" w:hanging="254"/>
      </w:pPr>
      <w:rPr>
        <w:rFonts w:hint="default"/>
        <w:lang w:val="en-US" w:eastAsia="en-US" w:bidi="en-US"/>
      </w:rPr>
    </w:lvl>
    <w:lvl w:ilvl="1">
      <w:start w:val="4"/>
      <w:numFmt w:val="decimal"/>
      <w:lvlText w:val="%1.%2"/>
      <w:lvlJc w:val="left"/>
      <w:pPr>
        <w:ind w:left="684" w:hanging="254"/>
      </w:pPr>
      <w:rPr>
        <w:rFonts w:ascii="Futura PT Book" w:eastAsia="Futura PT Book" w:hAnsi="Futura PT Book" w:cs="Futura PT Book" w:hint="default"/>
        <w:color w:val="58595B"/>
        <w:spacing w:val="-7"/>
        <w:w w:val="100"/>
        <w:sz w:val="16"/>
        <w:szCs w:val="16"/>
        <w:lang w:val="en-US" w:eastAsia="en-US" w:bidi="en-US"/>
      </w:rPr>
    </w:lvl>
    <w:lvl w:ilvl="2">
      <w:numFmt w:val="bullet"/>
      <w:lvlText w:val="•"/>
      <w:lvlJc w:val="left"/>
      <w:pPr>
        <w:ind w:left="1235" w:hanging="254"/>
      </w:pPr>
      <w:rPr>
        <w:rFonts w:hint="default"/>
        <w:lang w:val="en-US" w:eastAsia="en-US" w:bidi="en-US"/>
      </w:rPr>
    </w:lvl>
    <w:lvl w:ilvl="3">
      <w:numFmt w:val="bullet"/>
      <w:lvlText w:val="•"/>
      <w:lvlJc w:val="left"/>
      <w:pPr>
        <w:ind w:left="1513" w:hanging="254"/>
      </w:pPr>
      <w:rPr>
        <w:rFonts w:hint="default"/>
        <w:lang w:val="en-US" w:eastAsia="en-US" w:bidi="en-US"/>
      </w:rPr>
    </w:lvl>
    <w:lvl w:ilvl="4">
      <w:numFmt w:val="bullet"/>
      <w:lvlText w:val="•"/>
      <w:lvlJc w:val="left"/>
      <w:pPr>
        <w:ind w:left="1791" w:hanging="254"/>
      </w:pPr>
      <w:rPr>
        <w:rFonts w:hint="default"/>
        <w:lang w:val="en-US" w:eastAsia="en-US" w:bidi="en-US"/>
      </w:rPr>
    </w:lvl>
    <w:lvl w:ilvl="5">
      <w:numFmt w:val="bullet"/>
      <w:lvlText w:val="•"/>
      <w:lvlJc w:val="left"/>
      <w:pPr>
        <w:ind w:left="2069" w:hanging="254"/>
      </w:pPr>
      <w:rPr>
        <w:rFonts w:hint="default"/>
        <w:lang w:val="en-US" w:eastAsia="en-US" w:bidi="en-US"/>
      </w:rPr>
    </w:lvl>
    <w:lvl w:ilvl="6">
      <w:numFmt w:val="bullet"/>
      <w:lvlText w:val="•"/>
      <w:lvlJc w:val="left"/>
      <w:pPr>
        <w:ind w:left="2346" w:hanging="254"/>
      </w:pPr>
      <w:rPr>
        <w:rFonts w:hint="default"/>
        <w:lang w:val="en-US" w:eastAsia="en-US" w:bidi="en-US"/>
      </w:rPr>
    </w:lvl>
    <w:lvl w:ilvl="7">
      <w:numFmt w:val="bullet"/>
      <w:lvlText w:val="•"/>
      <w:lvlJc w:val="left"/>
      <w:pPr>
        <w:ind w:left="2624" w:hanging="254"/>
      </w:pPr>
      <w:rPr>
        <w:rFonts w:hint="default"/>
        <w:lang w:val="en-US" w:eastAsia="en-US" w:bidi="en-US"/>
      </w:rPr>
    </w:lvl>
    <w:lvl w:ilvl="8">
      <w:numFmt w:val="bullet"/>
      <w:lvlText w:val="•"/>
      <w:lvlJc w:val="left"/>
      <w:pPr>
        <w:ind w:left="2902" w:hanging="254"/>
      </w:pPr>
      <w:rPr>
        <w:rFonts w:hint="default"/>
        <w:lang w:val="en-US" w:eastAsia="en-US" w:bidi="en-US"/>
      </w:rPr>
    </w:lvl>
  </w:abstractNum>
  <w:abstractNum w:abstractNumId="5" w15:restartNumberingAfterBreak="0">
    <w:nsid w:val="1D225759"/>
    <w:multiLevelType w:val="multilevel"/>
    <w:tmpl w:val="0B32CB84"/>
    <w:lvl w:ilvl="0">
      <w:start w:val="16"/>
      <w:numFmt w:val="decimal"/>
      <w:lvlText w:val="%1"/>
      <w:lvlJc w:val="left"/>
      <w:pPr>
        <w:ind w:left="795" w:hanging="330"/>
      </w:pPr>
      <w:rPr>
        <w:rFonts w:hint="default"/>
        <w:lang w:val="en-US" w:eastAsia="en-US" w:bidi="en-US"/>
      </w:rPr>
    </w:lvl>
    <w:lvl w:ilvl="1">
      <w:start w:val="1"/>
      <w:numFmt w:val="decimal"/>
      <w:lvlText w:val="%1.%2"/>
      <w:lvlJc w:val="left"/>
      <w:pPr>
        <w:ind w:left="795" w:hanging="330"/>
      </w:pPr>
      <w:rPr>
        <w:rFonts w:ascii="Futura PT Book" w:eastAsia="Futura PT Book" w:hAnsi="Futura PT Book" w:cs="Futura PT Book" w:hint="default"/>
        <w:color w:val="58595B"/>
        <w:spacing w:val="-10"/>
        <w:w w:val="100"/>
        <w:sz w:val="16"/>
        <w:szCs w:val="16"/>
        <w:lang w:val="en-US" w:eastAsia="en-US" w:bidi="en-US"/>
      </w:rPr>
    </w:lvl>
    <w:lvl w:ilvl="2">
      <w:numFmt w:val="bullet"/>
      <w:lvlText w:val="•"/>
      <w:lvlJc w:val="left"/>
      <w:pPr>
        <w:ind w:left="1338" w:hanging="330"/>
      </w:pPr>
      <w:rPr>
        <w:rFonts w:hint="default"/>
        <w:lang w:val="en-US" w:eastAsia="en-US" w:bidi="en-US"/>
      </w:rPr>
    </w:lvl>
    <w:lvl w:ilvl="3">
      <w:numFmt w:val="bullet"/>
      <w:lvlText w:val="•"/>
      <w:lvlJc w:val="left"/>
      <w:pPr>
        <w:ind w:left="1607" w:hanging="330"/>
      </w:pPr>
      <w:rPr>
        <w:rFonts w:hint="default"/>
        <w:lang w:val="en-US" w:eastAsia="en-US" w:bidi="en-US"/>
      </w:rPr>
    </w:lvl>
    <w:lvl w:ilvl="4">
      <w:numFmt w:val="bullet"/>
      <w:lvlText w:val="•"/>
      <w:lvlJc w:val="left"/>
      <w:pPr>
        <w:ind w:left="1877" w:hanging="330"/>
      </w:pPr>
      <w:rPr>
        <w:rFonts w:hint="default"/>
        <w:lang w:val="en-US" w:eastAsia="en-US" w:bidi="en-US"/>
      </w:rPr>
    </w:lvl>
    <w:lvl w:ilvl="5">
      <w:numFmt w:val="bullet"/>
      <w:lvlText w:val="•"/>
      <w:lvlJc w:val="left"/>
      <w:pPr>
        <w:ind w:left="2146" w:hanging="330"/>
      </w:pPr>
      <w:rPr>
        <w:rFonts w:hint="default"/>
        <w:lang w:val="en-US" w:eastAsia="en-US" w:bidi="en-US"/>
      </w:rPr>
    </w:lvl>
    <w:lvl w:ilvl="6">
      <w:numFmt w:val="bullet"/>
      <w:lvlText w:val="•"/>
      <w:lvlJc w:val="left"/>
      <w:pPr>
        <w:ind w:left="2415" w:hanging="330"/>
      </w:pPr>
      <w:rPr>
        <w:rFonts w:hint="default"/>
        <w:lang w:val="en-US" w:eastAsia="en-US" w:bidi="en-US"/>
      </w:rPr>
    </w:lvl>
    <w:lvl w:ilvl="7">
      <w:numFmt w:val="bullet"/>
      <w:lvlText w:val="•"/>
      <w:lvlJc w:val="left"/>
      <w:pPr>
        <w:ind w:left="2685" w:hanging="330"/>
      </w:pPr>
      <w:rPr>
        <w:rFonts w:hint="default"/>
        <w:lang w:val="en-US" w:eastAsia="en-US" w:bidi="en-US"/>
      </w:rPr>
    </w:lvl>
    <w:lvl w:ilvl="8">
      <w:numFmt w:val="bullet"/>
      <w:lvlText w:val="•"/>
      <w:lvlJc w:val="left"/>
      <w:pPr>
        <w:ind w:left="2954" w:hanging="330"/>
      </w:pPr>
      <w:rPr>
        <w:rFonts w:hint="default"/>
        <w:lang w:val="en-US" w:eastAsia="en-US" w:bidi="en-US"/>
      </w:rPr>
    </w:lvl>
  </w:abstractNum>
  <w:abstractNum w:abstractNumId="6" w15:restartNumberingAfterBreak="0">
    <w:nsid w:val="1D6D0B94"/>
    <w:multiLevelType w:val="multilevel"/>
    <w:tmpl w:val="150A91BC"/>
    <w:lvl w:ilvl="0">
      <w:start w:val="10"/>
      <w:numFmt w:val="decimal"/>
      <w:lvlText w:val="%1"/>
      <w:lvlJc w:val="left"/>
      <w:pPr>
        <w:ind w:left="1417" w:hanging="818"/>
      </w:pPr>
      <w:rPr>
        <w:rFonts w:hint="default"/>
        <w:lang w:val="en-US" w:eastAsia="en-US" w:bidi="en-US"/>
      </w:rPr>
    </w:lvl>
    <w:lvl w:ilvl="1">
      <w:start w:val="4"/>
      <w:numFmt w:val="decimal"/>
      <w:lvlText w:val="%1.%2"/>
      <w:lvlJc w:val="left"/>
      <w:pPr>
        <w:ind w:left="1417" w:hanging="818"/>
      </w:pPr>
      <w:rPr>
        <w:rFonts w:ascii="Futura PT Bold" w:eastAsia="Futura PT Bold" w:hAnsi="Futura PT Bold" w:cs="Futura PT Bold" w:hint="default"/>
        <w:b/>
        <w:bCs/>
        <w:color w:val="003E2D"/>
        <w:spacing w:val="-19"/>
        <w:w w:val="100"/>
        <w:sz w:val="36"/>
        <w:szCs w:val="36"/>
        <w:lang w:val="en-US" w:eastAsia="en-US" w:bidi="en-US"/>
      </w:rPr>
    </w:lvl>
    <w:lvl w:ilvl="2">
      <w:start w:val="1"/>
      <w:numFmt w:val="decimal"/>
      <w:lvlText w:val="%1.%2.%3"/>
      <w:lvlJc w:val="left"/>
      <w:pPr>
        <w:ind w:left="2238" w:hanging="821"/>
      </w:pPr>
      <w:rPr>
        <w:rFonts w:ascii="Tahoma" w:eastAsia="Tahoma" w:hAnsi="Tahoma" w:cs="Tahoma" w:hint="default"/>
        <w:color w:val="003E2D"/>
        <w:spacing w:val="-18"/>
        <w:w w:val="83"/>
        <w:sz w:val="28"/>
        <w:szCs w:val="28"/>
        <w:lang w:val="en-US" w:eastAsia="en-US" w:bidi="en-US"/>
      </w:rPr>
    </w:lvl>
    <w:lvl w:ilvl="3">
      <w:numFmt w:val="bullet"/>
      <w:lvlText w:val="•"/>
      <w:lvlJc w:val="left"/>
      <w:pPr>
        <w:ind w:left="2991" w:hanging="821"/>
      </w:pPr>
      <w:rPr>
        <w:rFonts w:hint="default"/>
        <w:lang w:val="en-US" w:eastAsia="en-US" w:bidi="en-US"/>
      </w:rPr>
    </w:lvl>
    <w:lvl w:ilvl="4">
      <w:numFmt w:val="bullet"/>
      <w:lvlText w:val="•"/>
      <w:lvlJc w:val="left"/>
      <w:pPr>
        <w:ind w:left="3367" w:hanging="821"/>
      </w:pPr>
      <w:rPr>
        <w:rFonts w:hint="default"/>
        <w:lang w:val="en-US" w:eastAsia="en-US" w:bidi="en-US"/>
      </w:rPr>
    </w:lvl>
    <w:lvl w:ilvl="5">
      <w:numFmt w:val="bullet"/>
      <w:lvlText w:val="•"/>
      <w:lvlJc w:val="left"/>
      <w:pPr>
        <w:ind w:left="3742" w:hanging="821"/>
      </w:pPr>
      <w:rPr>
        <w:rFonts w:hint="default"/>
        <w:lang w:val="en-US" w:eastAsia="en-US" w:bidi="en-US"/>
      </w:rPr>
    </w:lvl>
    <w:lvl w:ilvl="6">
      <w:numFmt w:val="bullet"/>
      <w:lvlText w:val="•"/>
      <w:lvlJc w:val="left"/>
      <w:pPr>
        <w:ind w:left="4118" w:hanging="821"/>
      </w:pPr>
      <w:rPr>
        <w:rFonts w:hint="default"/>
        <w:lang w:val="en-US" w:eastAsia="en-US" w:bidi="en-US"/>
      </w:rPr>
    </w:lvl>
    <w:lvl w:ilvl="7">
      <w:numFmt w:val="bullet"/>
      <w:lvlText w:val="•"/>
      <w:lvlJc w:val="left"/>
      <w:pPr>
        <w:ind w:left="4494" w:hanging="821"/>
      </w:pPr>
      <w:rPr>
        <w:rFonts w:hint="default"/>
        <w:lang w:val="en-US" w:eastAsia="en-US" w:bidi="en-US"/>
      </w:rPr>
    </w:lvl>
    <w:lvl w:ilvl="8">
      <w:numFmt w:val="bullet"/>
      <w:lvlText w:val="•"/>
      <w:lvlJc w:val="left"/>
      <w:pPr>
        <w:ind w:left="4870" w:hanging="821"/>
      </w:pPr>
      <w:rPr>
        <w:rFonts w:hint="default"/>
        <w:lang w:val="en-US" w:eastAsia="en-US" w:bidi="en-US"/>
      </w:rPr>
    </w:lvl>
  </w:abstractNum>
  <w:abstractNum w:abstractNumId="7" w15:restartNumberingAfterBreak="0">
    <w:nsid w:val="224035FF"/>
    <w:multiLevelType w:val="hybridMultilevel"/>
    <w:tmpl w:val="7FA2FABC"/>
    <w:lvl w:ilvl="0" w:tplc="8C5E83CC">
      <w:start w:val="14"/>
      <w:numFmt w:val="decimal"/>
      <w:lvlText w:val="%1."/>
      <w:lvlJc w:val="left"/>
      <w:pPr>
        <w:ind w:left="670" w:hanging="251"/>
        <w:jc w:val="right"/>
      </w:pPr>
      <w:rPr>
        <w:rFonts w:ascii="Futura PT Book" w:eastAsia="Futura PT Book" w:hAnsi="Futura PT Book" w:cs="Futura PT Book" w:hint="default"/>
        <w:color w:val="58595B"/>
        <w:spacing w:val="-9"/>
        <w:w w:val="100"/>
        <w:sz w:val="16"/>
        <w:szCs w:val="16"/>
        <w:lang w:val="en-US" w:eastAsia="en-US" w:bidi="en-US"/>
      </w:rPr>
    </w:lvl>
    <w:lvl w:ilvl="1" w:tplc="8CF86BC8">
      <w:numFmt w:val="bullet"/>
      <w:lvlText w:val="•"/>
      <w:lvlJc w:val="left"/>
      <w:pPr>
        <w:ind w:left="777" w:hanging="251"/>
      </w:pPr>
      <w:rPr>
        <w:rFonts w:hint="default"/>
        <w:lang w:val="en-US" w:eastAsia="en-US" w:bidi="en-US"/>
      </w:rPr>
    </w:lvl>
    <w:lvl w:ilvl="2" w:tplc="6EA09156">
      <w:numFmt w:val="bullet"/>
      <w:lvlText w:val="•"/>
      <w:lvlJc w:val="left"/>
      <w:pPr>
        <w:ind w:left="875" w:hanging="251"/>
      </w:pPr>
      <w:rPr>
        <w:rFonts w:hint="default"/>
        <w:lang w:val="en-US" w:eastAsia="en-US" w:bidi="en-US"/>
      </w:rPr>
    </w:lvl>
    <w:lvl w:ilvl="3" w:tplc="235AACE6">
      <w:numFmt w:val="bullet"/>
      <w:lvlText w:val="•"/>
      <w:lvlJc w:val="left"/>
      <w:pPr>
        <w:ind w:left="973" w:hanging="251"/>
      </w:pPr>
      <w:rPr>
        <w:rFonts w:hint="default"/>
        <w:lang w:val="en-US" w:eastAsia="en-US" w:bidi="en-US"/>
      </w:rPr>
    </w:lvl>
    <w:lvl w:ilvl="4" w:tplc="9D0A071C">
      <w:numFmt w:val="bullet"/>
      <w:lvlText w:val="•"/>
      <w:lvlJc w:val="left"/>
      <w:pPr>
        <w:ind w:left="1071" w:hanging="251"/>
      </w:pPr>
      <w:rPr>
        <w:rFonts w:hint="default"/>
        <w:lang w:val="en-US" w:eastAsia="en-US" w:bidi="en-US"/>
      </w:rPr>
    </w:lvl>
    <w:lvl w:ilvl="5" w:tplc="3728667E">
      <w:numFmt w:val="bullet"/>
      <w:lvlText w:val="•"/>
      <w:lvlJc w:val="left"/>
      <w:pPr>
        <w:ind w:left="1168" w:hanging="251"/>
      </w:pPr>
      <w:rPr>
        <w:rFonts w:hint="default"/>
        <w:lang w:val="en-US" w:eastAsia="en-US" w:bidi="en-US"/>
      </w:rPr>
    </w:lvl>
    <w:lvl w:ilvl="6" w:tplc="78C21EA8">
      <w:numFmt w:val="bullet"/>
      <w:lvlText w:val="•"/>
      <w:lvlJc w:val="left"/>
      <w:pPr>
        <w:ind w:left="1266" w:hanging="251"/>
      </w:pPr>
      <w:rPr>
        <w:rFonts w:hint="default"/>
        <w:lang w:val="en-US" w:eastAsia="en-US" w:bidi="en-US"/>
      </w:rPr>
    </w:lvl>
    <w:lvl w:ilvl="7" w:tplc="8334FB8A">
      <w:numFmt w:val="bullet"/>
      <w:lvlText w:val="•"/>
      <w:lvlJc w:val="left"/>
      <w:pPr>
        <w:ind w:left="1364" w:hanging="251"/>
      </w:pPr>
      <w:rPr>
        <w:rFonts w:hint="default"/>
        <w:lang w:val="en-US" w:eastAsia="en-US" w:bidi="en-US"/>
      </w:rPr>
    </w:lvl>
    <w:lvl w:ilvl="8" w:tplc="8092E574">
      <w:numFmt w:val="bullet"/>
      <w:lvlText w:val="•"/>
      <w:lvlJc w:val="left"/>
      <w:pPr>
        <w:ind w:left="1462" w:hanging="251"/>
      </w:pPr>
      <w:rPr>
        <w:rFonts w:hint="default"/>
        <w:lang w:val="en-US" w:eastAsia="en-US" w:bidi="en-US"/>
      </w:rPr>
    </w:lvl>
  </w:abstractNum>
  <w:abstractNum w:abstractNumId="8" w15:restartNumberingAfterBreak="0">
    <w:nsid w:val="24C41BAC"/>
    <w:multiLevelType w:val="multilevel"/>
    <w:tmpl w:val="52A03472"/>
    <w:lvl w:ilvl="0">
      <w:start w:val="6"/>
      <w:numFmt w:val="decimal"/>
      <w:lvlText w:val="%1"/>
      <w:lvlJc w:val="left"/>
      <w:pPr>
        <w:ind w:left="691" w:hanging="261"/>
      </w:pPr>
      <w:rPr>
        <w:rFonts w:hint="default"/>
        <w:lang w:val="en-US" w:eastAsia="en-US" w:bidi="en-US"/>
      </w:rPr>
    </w:lvl>
    <w:lvl w:ilvl="1">
      <w:start w:val="2"/>
      <w:numFmt w:val="decimal"/>
      <w:lvlText w:val="%1.%2"/>
      <w:lvlJc w:val="left"/>
      <w:pPr>
        <w:ind w:left="691" w:hanging="261"/>
      </w:pPr>
      <w:rPr>
        <w:rFonts w:ascii="Futura PT Book" w:eastAsia="Futura PT Book" w:hAnsi="Futura PT Book" w:cs="Futura PT Book" w:hint="default"/>
        <w:color w:val="58595B"/>
        <w:spacing w:val="0"/>
        <w:w w:val="100"/>
        <w:sz w:val="16"/>
        <w:szCs w:val="16"/>
        <w:lang w:val="en-US" w:eastAsia="en-US" w:bidi="en-US"/>
      </w:rPr>
    </w:lvl>
    <w:lvl w:ilvl="2">
      <w:numFmt w:val="bullet"/>
      <w:lvlText w:val="•"/>
      <w:lvlJc w:val="left"/>
      <w:pPr>
        <w:ind w:left="1251" w:hanging="261"/>
      </w:pPr>
      <w:rPr>
        <w:rFonts w:hint="default"/>
        <w:lang w:val="en-US" w:eastAsia="en-US" w:bidi="en-US"/>
      </w:rPr>
    </w:lvl>
    <w:lvl w:ilvl="3">
      <w:numFmt w:val="bullet"/>
      <w:lvlText w:val="•"/>
      <w:lvlJc w:val="left"/>
      <w:pPr>
        <w:ind w:left="1527" w:hanging="261"/>
      </w:pPr>
      <w:rPr>
        <w:rFonts w:hint="default"/>
        <w:lang w:val="en-US" w:eastAsia="en-US" w:bidi="en-US"/>
      </w:rPr>
    </w:lvl>
    <w:lvl w:ilvl="4">
      <w:numFmt w:val="bullet"/>
      <w:lvlText w:val="•"/>
      <w:lvlJc w:val="left"/>
      <w:pPr>
        <w:ind w:left="1803" w:hanging="261"/>
      </w:pPr>
      <w:rPr>
        <w:rFonts w:hint="default"/>
        <w:lang w:val="en-US" w:eastAsia="en-US" w:bidi="en-US"/>
      </w:rPr>
    </w:lvl>
    <w:lvl w:ilvl="5">
      <w:numFmt w:val="bullet"/>
      <w:lvlText w:val="•"/>
      <w:lvlJc w:val="left"/>
      <w:pPr>
        <w:ind w:left="2079" w:hanging="261"/>
      </w:pPr>
      <w:rPr>
        <w:rFonts w:hint="default"/>
        <w:lang w:val="en-US" w:eastAsia="en-US" w:bidi="en-US"/>
      </w:rPr>
    </w:lvl>
    <w:lvl w:ilvl="6">
      <w:numFmt w:val="bullet"/>
      <w:lvlText w:val="•"/>
      <w:lvlJc w:val="left"/>
      <w:pPr>
        <w:ind w:left="2354" w:hanging="261"/>
      </w:pPr>
      <w:rPr>
        <w:rFonts w:hint="default"/>
        <w:lang w:val="en-US" w:eastAsia="en-US" w:bidi="en-US"/>
      </w:rPr>
    </w:lvl>
    <w:lvl w:ilvl="7">
      <w:numFmt w:val="bullet"/>
      <w:lvlText w:val="•"/>
      <w:lvlJc w:val="left"/>
      <w:pPr>
        <w:ind w:left="2630" w:hanging="261"/>
      </w:pPr>
      <w:rPr>
        <w:rFonts w:hint="default"/>
        <w:lang w:val="en-US" w:eastAsia="en-US" w:bidi="en-US"/>
      </w:rPr>
    </w:lvl>
    <w:lvl w:ilvl="8">
      <w:numFmt w:val="bullet"/>
      <w:lvlText w:val="•"/>
      <w:lvlJc w:val="left"/>
      <w:pPr>
        <w:ind w:left="2906" w:hanging="261"/>
      </w:pPr>
      <w:rPr>
        <w:rFonts w:hint="default"/>
        <w:lang w:val="en-US" w:eastAsia="en-US" w:bidi="en-US"/>
      </w:rPr>
    </w:lvl>
  </w:abstractNum>
  <w:abstractNum w:abstractNumId="9" w15:restartNumberingAfterBreak="0">
    <w:nsid w:val="2E676001"/>
    <w:multiLevelType w:val="hybridMultilevel"/>
    <w:tmpl w:val="BB483798"/>
    <w:lvl w:ilvl="0" w:tplc="5582F434">
      <w:start w:val="1"/>
      <w:numFmt w:val="decimal"/>
      <w:lvlText w:val="%1"/>
      <w:lvlJc w:val="left"/>
      <w:pPr>
        <w:ind w:left="1870" w:hanging="454"/>
      </w:pPr>
      <w:rPr>
        <w:rFonts w:ascii="Tahoma" w:eastAsia="Tahoma" w:hAnsi="Tahoma" w:cs="Tahoma" w:hint="default"/>
        <w:color w:val="003E2D"/>
        <w:w w:val="104"/>
        <w:sz w:val="28"/>
        <w:szCs w:val="28"/>
        <w:lang w:val="en-US" w:eastAsia="en-US" w:bidi="en-US"/>
      </w:rPr>
    </w:lvl>
    <w:lvl w:ilvl="1" w:tplc="FA70642E">
      <w:numFmt w:val="bullet"/>
      <w:lvlText w:val="•"/>
      <w:lvlJc w:val="left"/>
      <w:pPr>
        <w:ind w:left="3260" w:hanging="454"/>
      </w:pPr>
      <w:rPr>
        <w:rFonts w:hint="default"/>
        <w:lang w:val="en-US" w:eastAsia="en-US" w:bidi="en-US"/>
      </w:rPr>
    </w:lvl>
    <w:lvl w:ilvl="2" w:tplc="CBCA7F10">
      <w:numFmt w:val="bullet"/>
      <w:lvlText w:val="•"/>
      <w:lvlJc w:val="left"/>
      <w:pPr>
        <w:ind w:left="4091" w:hanging="454"/>
      </w:pPr>
      <w:rPr>
        <w:rFonts w:hint="default"/>
        <w:lang w:val="en-US" w:eastAsia="en-US" w:bidi="en-US"/>
      </w:rPr>
    </w:lvl>
    <w:lvl w:ilvl="3" w:tplc="E5429E92">
      <w:numFmt w:val="bullet"/>
      <w:lvlText w:val="•"/>
      <w:lvlJc w:val="left"/>
      <w:pPr>
        <w:ind w:left="4923" w:hanging="454"/>
      </w:pPr>
      <w:rPr>
        <w:rFonts w:hint="default"/>
        <w:lang w:val="en-US" w:eastAsia="en-US" w:bidi="en-US"/>
      </w:rPr>
    </w:lvl>
    <w:lvl w:ilvl="4" w:tplc="BA7A7B84">
      <w:numFmt w:val="bullet"/>
      <w:lvlText w:val="•"/>
      <w:lvlJc w:val="left"/>
      <w:pPr>
        <w:ind w:left="5755" w:hanging="454"/>
      </w:pPr>
      <w:rPr>
        <w:rFonts w:hint="default"/>
        <w:lang w:val="en-US" w:eastAsia="en-US" w:bidi="en-US"/>
      </w:rPr>
    </w:lvl>
    <w:lvl w:ilvl="5" w:tplc="199020DC">
      <w:numFmt w:val="bullet"/>
      <w:lvlText w:val="•"/>
      <w:lvlJc w:val="left"/>
      <w:pPr>
        <w:ind w:left="6586" w:hanging="454"/>
      </w:pPr>
      <w:rPr>
        <w:rFonts w:hint="default"/>
        <w:lang w:val="en-US" w:eastAsia="en-US" w:bidi="en-US"/>
      </w:rPr>
    </w:lvl>
    <w:lvl w:ilvl="6" w:tplc="F7923CCE">
      <w:numFmt w:val="bullet"/>
      <w:lvlText w:val="•"/>
      <w:lvlJc w:val="left"/>
      <w:pPr>
        <w:ind w:left="7418" w:hanging="454"/>
      </w:pPr>
      <w:rPr>
        <w:rFonts w:hint="default"/>
        <w:lang w:val="en-US" w:eastAsia="en-US" w:bidi="en-US"/>
      </w:rPr>
    </w:lvl>
    <w:lvl w:ilvl="7" w:tplc="23B4F78C">
      <w:numFmt w:val="bullet"/>
      <w:lvlText w:val="•"/>
      <w:lvlJc w:val="left"/>
      <w:pPr>
        <w:ind w:left="8250" w:hanging="454"/>
      </w:pPr>
      <w:rPr>
        <w:rFonts w:hint="default"/>
        <w:lang w:val="en-US" w:eastAsia="en-US" w:bidi="en-US"/>
      </w:rPr>
    </w:lvl>
    <w:lvl w:ilvl="8" w:tplc="7BA86AEE">
      <w:numFmt w:val="bullet"/>
      <w:lvlText w:val="•"/>
      <w:lvlJc w:val="left"/>
      <w:pPr>
        <w:ind w:left="9082" w:hanging="454"/>
      </w:pPr>
      <w:rPr>
        <w:rFonts w:hint="default"/>
        <w:lang w:val="en-US" w:eastAsia="en-US" w:bidi="en-US"/>
      </w:rPr>
    </w:lvl>
  </w:abstractNum>
  <w:abstractNum w:abstractNumId="10" w15:restartNumberingAfterBreak="0">
    <w:nsid w:val="33254EFE"/>
    <w:multiLevelType w:val="hybridMultilevel"/>
    <w:tmpl w:val="4E6AA9E0"/>
    <w:lvl w:ilvl="0" w:tplc="88B0422A">
      <w:numFmt w:val="bullet"/>
      <w:lvlText w:val="–"/>
      <w:lvlJc w:val="left"/>
      <w:pPr>
        <w:ind w:left="986" w:hanging="284"/>
      </w:pPr>
      <w:rPr>
        <w:rFonts w:ascii="Futura PT Book" w:eastAsia="Futura PT Book" w:hAnsi="Futura PT Book" w:cs="Futura PT Book" w:hint="default"/>
        <w:color w:val="58595B"/>
        <w:spacing w:val="-4"/>
        <w:w w:val="100"/>
        <w:sz w:val="19"/>
        <w:szCs w:val="19"/>
        <w:lang w:val="en-US" w:eastAsia="en-US" w:bidi="en-US"/>
      </w:rPr>
    </w:lvl>
    <w:lvl w:ilvl="1" w:tplc="A43655EA">
      <w:numFmt w:val="bullet"/>
      <w:lvlText w:val="–"/>
      <w:lvlJc w:val="left"/>
      <w:pPr>
        <w:ind w:left="1700" w:hanging="284"/>
      </w:pPr>
      <w:rPr>
        <w:rFonts w:ascii="Futura PT Book" w:eastAsia="Futura PT Book" w:hAnsi="Futura PT Book" w:cs="Futura PT Book" w:hint="default"/>
        <w:color w:val="58595B"/>
        <w:spacing w:val="-6"/>
        <w:w w:val="100"/>
        <w:sz w:val="19"/>
        <w:szCs w:val="19"/>
        <w:lang w:val="en-US" w:eastAsia="en-US" w:bidi="en-US"/>
      </w:rPr>
    </w:lvl>
    <w:lvl w:ilvl="2" w:tplc="6CBA7F00">
      <w:numFmt w:val="bullet"/>
      <w:lvlText w:val="•"/>
      <w:lvlJc w:val="left"/>
      <w:pPr>
        <w:ind w:left="1525" w:hanging="284"/>
      </w:pPr>
      <w:rPr>
        <w:rFonts w:hint="default"/>
        <w:lang w:val="en-US" w:eastAsia="en-US" w:bidi="en-US"/>
      </w:rPr>
    </w:lvl>
    <w:lvl w:ilvl="3" w:tplc="A9BE8CDE">
      <w:numFmt w:val="bullet"/>
      <w:lvlText w:val="•"/>
      <w:lvlJc w:val="left"/>
      <w:pPr>
        <w:ind w:left="1350" w:hanging="284"/>
      </w:pPr>
      <w:rPr>
        <w:rFonts w:hint="default"/>
        <w:lang w:val="en-US" w:eastAsia="en-US" w:bidi="en-US"/>
      </w:rPr>
    </w:lvl>
    <w:lvl w:ilvl="4" w:tplc="93F8FF0A">
      <w:numFmt w:val="bullet"/>
      <w:lvlText w:val="•"/>
      <w:lvlJc w:val="left"/>
      <w:pPr>
        <w:ind w:left="1176" w:hanging="284"/>
      </w:pPr>
      <w:rPr>
        <w:rFonts w:hint="default"/>
        <w:lang w:val="en-US" w:eastAsia="en-US" w:bidi="en-US"/>
      </w:rPr>
    </w:lvl>
    <w:lvl w:ilvl="5" w:tplc="E54AF3D8">
      <w:numFmt w:val="bullet"/>
      <w:lvlText w:val="•"/>
      <w:lvlJc w:val="left"/>
      <w:pPr>
        <w:ind w:left="1001" w:hanging="284"/>
      </w:pPr>
      <w:rPr>
        <w:rFonts w:hint="default"/>
        <w:lang w:val="en-US" w:eastAsia="en-US" w:bidi="en-US"/>
      </w:rPr>
    </w:lvl>
    <w:lvl w:ilvl="6" w:tplc="5E64BC88">
      <w:numFmt w:val="bullet"/>
      <w:lvlText w:val="•"/>
      <w:lvlJc w:val="left"/>
      <w:pPr>
        <w:ind w:left="826" w:hanging="284"/>
      </w:pPr>
      <w:rPr>
        <w:rFonts w:hint="default"/>
        <w:lang w:val="en-US" w:eastAsia="en-US" w:bidi="en-US"/>
      </w:rPr>
    </w:lvl>
    <w:lvl w:ilvl="7" w:tplc="3592854E">
      <w:numFmt w:val="bullet"/>
      <w:lvlText w:val="•"/>
      <w:lvlJc w:val="left"/>
      <w:pPr>
        <w:ind w:left="652" w:hanging="284"/>
      </w:pPr>
      <w:rPr>
        <w:rFonts w:hint="default"/>
        <w:lang w:val="en-US" w:eastAsia="en-US" w:bidi="en-US"/>
      </w:rPr>
    </w:lvl>
    <w:lvl w:ilvl="8" w:tplc="A04E550E">
      <w:numFmt w:val="bullet"/>
      <w:lvlText w:val="•"/>
      <w:lvlJc w:val="left"/>
      <w:pPr>
        <w:ind w:left="477" w:hanging="284"/>
      </w:pPr>
      <w:rPr>
        <w:rFonts w:hint="default"/>
        <w:lang w:val="en-US" w:eastAsia="en-US" w:bidi="en-US"/>
      </w:rPr>
    </w:lvl>
  </w:abstractNum>
  <w:abstractNum w:abstractNumId="11" w15:restartNumberingAfterBreak="0">
    <w:nsid w:val="3A2E451E"/>
    <w:multiLevelType w:val="multilevel"/>
    <w:tmpl w:val="5E94B4FA"/>
    <w:lvl w:ilvl="0">
      <w:start w:val="4"/>
      <w:numFmt w:val="decimal"/>
      <w:lvlText w:val="%1"/>
      <w:lvlJc w:val="left"/>
      <w:pPr>
        <w:ind w:left="2010" w:hanging="593"/>
      </w:pPr>
      <w:rPr>
        <w:rFonts w:hint="default"/>
        <w:lang w:val="en-US" w:eastAsia="en-US" w:bidi="en-US"/>
      </w:rPr>
    </w:lvl>
    <w:lvl w:ilvl="1">
      <w:start w:val="1"/>
      <w:numFmt w:val="decimal"/>
      <w:lvlText w:val="%1.%2"/>
      <w:lvlJc w:val="left"/>
      <w:pPr>
        <w:ind w:left="2010" w:hanging="593"/>
        <w:jc w:val="right"/>
      </w:pPr>
      <w:rPr>
        <w:rFonts w:ascii="Futura PT Bold" w:eastAsia="Futura PT Bold" w:hAnsi="Futura PT Bold" w:cs="Futura PT Bold" w:hint="default"/>
        <w:b/>
        <w:bCs/>
        <w:color w:val="003E2D"/>
        <w:spacing w:val="-29"/>
        <w:w w:val="100"/>
        <w:sz w:val="36"/>
        <w:szCs w:val="36"/>
        <w:lang w:val="en-US" w:eastAsia="en-US" w:bidi="en-US"/>
      </w:rPr>
    </w:lvl>
    <w:lvl w:ilvl="2">
      <w:start w:val="1"/>
      <w:numFmt w:val="decimal"/>
      <w:lvlText w:val="%1.%2.%3"/>
      <w:lvlJc w:val="left"/>
      <w:pPr>
        <w:ind w:left="563" w:hanging="682"/>
      </w:pPr>
      <w:rPr>
        <w:rFonts w:ascii="Tahoma" w:eastAsia="Tahoma" w:hAnsi="Tahoma" w:cs="Tahoma" w:hint="default"/>
        <w:color w:val="003E2D"/>
        <w:spacing w:val="-18"/>
        <w:w w:val="83"/>
        <w:sz w:val="28"/>
        <w:szCs w:val="28"/>
        <w:lang w:val="en-US" w:eastAsia="en-US" w:bidi="en-US"/>
      </w:rPr>
    </w:lvl>
    <w:lvl w:ilvl="3">
      <w:numFmt w:val="bullet"/>
      <w:lvlText w:val="•"/>
      <w:lvlJc w:val="left"/>
      <w:pPr>
        <w:ind w:left="1547" w:hanging="682"/>
      </w:pPr>
      <w:rPr>
        <w:rFonts w:hint="default"/>
        <w:lang w:val="en-US" w:eastAsia="en-US" w:bidi="en-US"/>
      </w:rPr>
    </w:lvl>
    <w:lvl w:ilvl="4">
      <w:numFmt w:val="bullet"/>
      <w:lvlText w:val="•"/>
      <w:lvlJc w:val="left"/>
      <w:pPr>
        <w:ind w:left="1310" w:hanging="682"/>
      </w:pPr>
      <w:rPr>
        <w:rFonts w:hint="default"/>
        <w:lang w:val="en-US" w:eastAsia="en-US" w:bidi="en-US"/>
      </w:rPr>
    </w:lvl>
    <w:lvl w:ilvl="5">
      <w:numFmt w:val="bullet"/>
      <w:lvlText w:val="•"/>
      <w:lvlJc w:val="left"/>
      <w:pPr>
        <w:ind w:left="1074" w:hanging="682"/>
      </w:pPr>
      <w:rPr>
        <w:rFonts w:hint="default"/>
        <w:lang w:val="en-US" w:eastAsia="en-US" w:bidi="en-US"/>
      </w:rPr>
    </w:lvl>
    <w:lvl w:ilvl="6">
      <w:numFmt w:val="bullet"/>
      <w:lvlText w:val="•"/>
      <w:lvlJc w:val="left"/>
      <w:pPr>
        <w:ind w:left="837" w:hanging="682"/>
      </w:pPr>
      <w:rPr>
        <w:rFonts w:hint="default"/>
        <w:lang w:val="en-US" w:eastAsia="en-US" w:bidi="en-US"/>
      </w:rPr>
    </w:lvl>
    <w:lvl w:ilvl="7">
      <w:numFmt w:val="bullet"/>
      <w:lvlText w:val="•"/>
      <w:lvlJc w:val="left"/>
      <w:pPr>
        <w:ind w:left="601" w:hanging="682"/>
      </w:pPr>
      <w:rPr>
        <w:rFonts w:hint="default"/>
        <w:lang w:val="en-US" w:eastAsia="en-US" w:bidi="en-US"/>
      </w:rPr>
    </w:lvl>
    <w:lvl w:ilvl="8">
      <w:numFmt w:val="bullet"/>
      <w:lvlText w:val="•"/>
      <w:lvlJc w:val="left"/>
      <w:pPr>
        <w:ind w:left="364" w:hanging="682"/>
      </w:pPr>
      <w:rPr>
        <w:rFonts w:hint="default"/>
        <w:lang w:val="en-US" w:eastAsia="en-US" w:bidi="en-US"/>
      </w:rPr>
    </w:lvl>
  </w:abstractNum>
  <w:abstractNum w:abstractNumId="12" w15:restartNumberingAfterBreak="0">
    <w:nsid w:val="42283793"/>
    <w:multiLevelType w:val="hybridMultilevel"/>
    <w:tmpl w:val="A86006F6"/>
    <w:lvl w:ilvl="0" w:tplc="7EA05D58">
      <w:numFmt w:val="bullet"/>
      <w:lvlText w:val="–"/>
      <w:lvlJc w:val="left"/>
      <w:pPr>
        <w:ind w:left="625" w:hanging="284"/>
      </w:pPr>
      <w:rPr>
        <w:rFonts w:ascii="Futura PT Book" w:eastAsia="Futura PT Book" w:hAnsi="Futura PT Book" w:cs="Futura PT Book" w:hint="default"/>
        <w:color w:val="58595B"/>
        <w:spacing w:val="-14"/>
        <w:w w:val="100"/>
        <w:sz w:val="16"/>
        <w:szCs w:val="16"/>
        <w:lang w:val="en-US" w:eastAsia="en-US" w:bidi="en-US"/>
      </w:rPr>
    </w:lvl>
    <w:lvl w:ilvl="1" w:tplc="81AC4092">
      <w:numFmt w:val="bullet"/>
      <w:lvlText w:val="•"/>
      <w:lvlJc w:val="left"/>
      <w:pPr>
        <w:ind w:left="894" w:hanging="284"/>
      </w:pPr>
      <w:rPr>
        <w:rFonts w:hint="default"/>
        <w:lang w:val="en-US" w:eastAsia="en-US" w:bidi="en-US"/>
      </w:rPr>
    </w:lvl>
    <w:lvl w:ilvl="2" w:tplc="A1C0F4AC">
      <w:numFmt w:val="bullet"/>
      <w:lvlText w:val="•"/>
      <w:lvlJc w:val="left"/>
      <w:pPr>
        <w:ind w:left="1169" w:hanging="284"/>
      </w:pPr>
      <w:rPr>
        <w:rFonts w:hint="default"/>
        <w:lang w:val="en-US" w:eastAsia="en-US" w:bidi="en-US"/>
      </w:rPr>
    </w:lvl>
    <w:lvl w:ilvl="3" w:tplc="35F67734">
      <w:numFmt w:val="bullet"/>
      <w:lvlText w:val="•"/>
      <w:lvlJc w:val="left"/>
      <w:pPr>
        <w:ind w:left="1444" w:hanging="284"/>
      </w:pPr>
      <w:rPr>
        <w:rFonts w:hint="default"/>
        <w:lang w:val="en-US" w:eastAsia="en-US" w:bidi="en-US"/>
      </w:rPr>
    </w:lvl>
    <w:lvl w:ilvl="4" w:tplc="8312DEAA">
      <w:numFmt w:val="bullet"/>
      <w:lvlText w:val="•"/>
      <w:lvlJc w:val="left"/>
      <w:pPr>
        <w:ind w:left="1719" w:hanging="284"/>
      </w:pPr>
      <w:rPr>
        <w:rFonts w:hint="default"/>
        <w:lang w:val="en-US" w:eastAsia="en-US" w:bidi="en-US"/>
      </w:rPr>
    </w:lvl>
    <w:lvl w:ilvl="5" w:tplc="A22C10D0">
      <w:numFmt w:val="bullet"/>
      <w:lvlText w:val="•"/>
      <w:lvlJc w:val="left"/>
      <w:pPr>
        <w:ind w:left="1994" w:hanging="284"/>
      </w:pPr>
      <w:rPr>
        <w:rFonts w:hint="default"/>
        <w:lang w:val="en-US" w:eastAsia="en-US" w:bidi="en-US"/>
      </w:rPr>
    </w:lvl>
    <w:lvl w:ilvl="6" w:tplc="3A1490BA">
      <w:numFmt w:val="bullet"/>
      <w:lvlText w:val="•"/>
      <w:lvlJc w:val="left"/>
      <w:pPr>
        <w:ind w:left="2269" w:hanging="284"/>
      </w:pPr>
      <w:rPr>
        <w:rFonts w:hint="default"/>
        <w:lang w:val="en-US" w:eastAsia="en-US" w:bidi="en-US"/>
      </w:rPr>
    </w:lvl>
    <w:lvl w:ilvl="7" w:tplc="C100D674">
      <w:numFmt w:val="bullet"/>
      <w:lvlText w:val="•"/>
      <w:lvlJc w:val="left"/>
      <w:pPr>
        <w:ind w:left="2544" w:hanging="284"/>
      </w:pPr>
      <w:rPr>
        <w:rFonts w:hint="default"/>
        <w:lang w:val="en-US" w:eastAsia="en-US" w:bidi="en-US"/>
      </w:rPr>
    </w:lvl>
    <w:lvl w:ilvl="8" w:tplc="D4A44934">
      <w:numFmt w:val="bullet"/>
      <w:lvlText w:val="•"/>
      <w:lvlJc w:val="left"/>
      <w:pPr>
        <w:ind w:left="2819" w:hanging="284"/>
      </w:pPr>
      <w:rPr>
        <w:rFonts w:hint="default"/>
        <w:lang w:val="en-US" w:eastAsia="en-US" w:bidi="en-US"/>
      </w:rPr>
    </w:lvl>
  </w:abstractNum>
  <w:abstractNum w:abstractNumId="13" w15:restartNumberingAfterBreak="0">
    <w:nsid w:val="45830285"/>
    <w:multiLevelType w:val="hybridMultilevel"/>
    <w:tmpl w:val="96F0E0F6"/>
    <w:lvl w:ilvl="0" w:tplc="EB9C621C">
      <w:numFmt w:val="bullet"/>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1" w:tplc="545CDAF0">
      <w:numFmt w:val="bullet"/>
      <w:lvlText w:val="•"/>
      <w:lvlJc w:val="left"/>
      <w:pPr>
        <w:ind w:left="2079" w:hanging="284"/>
      </w:pPr>
      <w:rPr>
        <w:rFonts w:hint="default"/>
        <w:lang w:val="en-US" w:eastAsia="en-US" w:bidi="en-US"/>
      </w:rPr>
    </w:lvl>
    <w:lvl w:ilvl="2" w:tplc="A18AA15C">
      <w:numFmt w:val="bullet"/>
      <w:lvlText w:val="•"/>
      <w:lvlJc w:val="left"/>
      <w:pPr>
        <w:ind w:left="2458" w:hanging="284"/>
      </w:pPr>
      <w:rPr>
        <w:rFonts w:hint="default"/>
        <w:lang w:val="en-US" w:eastAsia="en-US" w:bidi="en-US"/>
      </w:rPr>
    </w:lvl>
    <w:lvl w:ilvl="3" w:tplc="B48CD8B2">
      <w:numFmt w:val="bullet"/>
      <w:lvlText w:val="•"/>
      <w:lvlJc w:val="left"/>
      <w:pPr>
        <w:ind w:left="2837" w:hanging="284"/>
      </w:pPr>
      <w:rPr>
        <w:rFonts w:hint="default"/>
        <w:lang w:val="en-US" w:eastAsia="en-US" w:bidi="en-US"/>
      </w:rPr>
    </w:lvl>
    <w:lvl w:ilvl="4" w:tplc="AF46BFEA">
      <w:numFmt w:val="bullet"/>
      <w:lvlText w:val="•"/>
      <w:lvlJc w:val="left"/>
      <w:pPr>
        <w:ind w:left="3217" w:hanging="284"/>
      </w:pPr>
      <w:rPr>
        <w:rFonts w:hint="default"/>
        <w:lang w:val="en-US" w:eastAsia="en-US" w:bidi="en-US"/>
      </w:rPr>
    </w:lvl>
    <w:lvl w:ilvl="5" w:tplc="29E8282A">
      <w:numFmt w:val="bullet"/>
      <w:lvlText w:val="•"/>
      <w:lvlJc w:val="left"/>
      <w:pPr>
        <w:ind w:left="3596" w:hanging="284"/>
      </w:pPr>
      <w:rPr>
        <w:rFonts w:hint="default"/>
        <w:lang w:val="en-US" w:eastAsia="en-US" w:bidi="en-US"/>
      </w:rPr>
    </w:lvl>
    <w:lvl w:ilvl="6" w:tplc="445E331E">
      <w:numFmt w:val="bullet"/>
      <w:lvlText w:val="•"/>
      <w:lvlJc w:val="left"/>
      <w:pPr>
        <w:ind w:left="3975" w:hanging="284"/>
      </w:pPr>
      <w:rPr>
        <w:rFonts w:hint="default"/>
        <w:lang w:val="en-US" w:eastAsia="en-US" w:bidi="en-US"/>
      </w:rPr>
    </w:lvl>
    <w:lvl w:ilvl="7" w:tplc="5AC21E48">
      <w:numFmt w:val="bullet"/>
      <w:lvlText w:val="•"/>
      <w:lvlJc w:val="left"/>
      <w:pPr>
        <w:ind w:left="4355" w:hanging="284"/>
      </w:pPr>
      <w:rPr>
        <w:rFonts w:hint="default"/>
        <w:lang w:val="en-US" w:eastAsia="en-US" w:bidi="en-US"/>
      </w:rPr>
    </w:lvl>
    <w:lvl w:ilvl="8" w:tplc="1B46C564">
      <w:numFmt w:val="bullet"/>
      <w:lvlText w:val="•"/>
      <w:lvlJc w:val="left"/>
      <w:pPr>
        <w:ind w:left="4734" w:hanging="284"/>
      </w:pPr>
      <w:rPr>
        <w:rFonts w:hint="default"/>
        <w:lang w:val="en-US" w:eastAsia="en-US" w:bidi="en-US"/>
      </w:rPr>
    </w:lvl>
  </w:abstractNum>
  <w:abstractNum w:abstractNumId="14"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15" w15:restartNumberingAfterBreak="0">
    <w:nsid w:val="4E6A70FF"/>
    <w:multiLevelType w:val="multilevel"/>
    <w:tmpl w:val="83C807E0"/>
    <w:lvl w:ilvl="0">
      <w:start w:val="4"/>
      <w:numFmt w:val="decimal"/>
      <w:lvlText w:val="%1"/>
      <w:lvlJc w:val="left"/>
      <w:pPr>
        <w:ind w:left="1417" w:hanging="621"/>
      </w:pPr>
      <w:rPr>
        <w:rFonts w:hint="default"/>
        <w:lang w:val="en-US" w:eastAsia="en-US" w:bidi="en-US"/>
      </w:rPr>
    </w:lvl>
    <w:lvl w:ilvl="1">
      <w:start w:val="3"/>
      <w:numFmt w:val="decimal"/>
      <w:lvlText w:val="%1.%2"/>
      <w:lvlJc w:val="left"/>
      <w:pPr>
        <w:ind w:left="1417" w:hanging="621"/>
        <w:jc w:val="right"/>
      </w:pPr>
      <w:rPr>
        <w:rFonts w:ascii="Futura PT Bold" w:eastAsia="Futura PT Bold" w:hAnsi="Futura PT Bold" w:cs="Futura PT Bold" w:hint="default"/>
        <w:b/>
        <w:bCs/>
        <w:color w:val="003E2D"/>
        <w:spacing w:val="-2"/>
        <w:w w:val="100"/>
        <w:sz w:val="36"/>
        <w:szCs w:val="36"/>
        <w:lang w:val="en-US" w:eastAsia="en-US" w:bidi="en-US"/>
      </w:rPr>
    </w:lvl>
    <w:lvl w:ilvl="2">
      <w:start w:val="1"/>
      <w:numFmt w:val="decimal"/>
      <w:lvlText w:val="%1.%2.%3"/>
      <w:lvlJc w:val="left"/>
      <w:pPr>
        <w:ind w:left="539" w:hanging="682"/>
        <w:jc w:val="right"/>
      </w:pPr>
      <w:rPr>
        <w:rFonts w:ascii="Tahoma" w:eastAsia="Tahoma" w:hAnsi="Tahoma" w:cs="Tahoma" w:hint="default"/>
        <w:color w:val="003E2D"/>
        <w:spacing w:val="-18"/>
        <w:w w:val="83"/>
        <w:sz w:val="28"/>
        <w:szCs w:val="28"/>
        <w:lang w:val="en-US" w:eastAsia="en-US" w:bidi="en-US"/>
      </w:rPr>
    </w:lvl>
    <w:lvl w:ilvl="3">
      <w:numFmt w:val="bullet"/>
      <w:lvlText w:val="•"/>
      <w:lvlJc w:val="left"/>
      <w:pPr>
        <w:ind w:left="1235" w:hanging="682"/>
      </w:pPr>
      <w:rPr>
        <w:rFonts w:hint="default"/>
        <w:lang w:val="en-US" w:eastAsia="en-US" w:bidi="en-US"/>
      </w:rPr>
    </w:lvl>
    <w:lvl w:ilvl="4">
      <w:numFmt w:val="bullet"/>
      <w:lvlText w:val="•"/>
      <w:lvlJc w:val="left"/>
      <w:pPr>
        <w:ind w:left="1051" w:hanging="682"/>
      </w:pPr>
      <w:rPr>
        <w:rFonts w:hint="default"/>
        <w:lang w:val="en-US" w:eastAsia="en-US" w:bidi="en-US"/>
      </w:rPr>
    </w:lvl>
    <w:lvl w:ilvl="5">
      <w:numFmt w:val="bullet"/>
      <w:lvlText w:val="•"/>
      <w:lvlJc w:val="left"/>
      <w:pPr>
        <w:ind w:left="866" w:hanging="682"/>
      </w:pPr>
      <w:rPr>
        <w:rFonts w:hint="default"/>
        <w:lang w:val="en-US" w:eastAsia="en-US" w:bidi="en-US"/>
      </w:rPr>
    </w:lvl>
    <w:lvl w:ilvl="6">
      <w:numFmt w:val="bullet"/>
      <w:lvlText w:val="•"/>
      <w:lvlJc w:val="left"/>
      <w:pPr>
        <w:ind w:left="682" w:hanging="682"/>
      </w:pPr>
      <w:rPr>
        <w:rFonts w:hint="default"/>
        <w:lang w:val="en-US" w:eastAsia="en-US" w:bidi="en-US"/>
      </w:rPr>
    </w:lvl>
    <w:lvl w:ilvl="7">
      <w:numFmt w:val="bullet"/>
      <w:lvlText w:val="•"/>
      <w:lvlJc w:val="left"/>
      <w:pPr>
        <w:ind w:left="498" w:hanging="682"/>
      </w:pPr>
      <w:rPr>
        <w:rFonts w:hint="default"/>
        <w:lang w:val="en-US" w:eastAsia="en-US" w:bidi="en-US"/>
      </w:rPr>
    </w:lvl>
    <w:lvl w:ilvl="8">
      <w:numFmt w:val="bullet"/>
      <w:lvlText w:val="•"/>
      <w:lvlJc w:val="left"/>
      <w:pPr>
        <w:ind w:left="313" w:hanging="682"/>
      </w:pPr>
      <w:rPr>
        <w:rFonts w:hint="default"/>
        <w:lang w:val="en-US" w:eastAsia="en-US" w:bidi="en-US"/>
      </w:rPr>
    </w:lvl>
  </w:abstractNum>
  <w:abstractNum w:abstractNumId="16" w15:restartNumberingAfterBreak="0">
    <w:nsid w:val="4FB52882"/>
    <w:multiLevelType w:val="multilevel"/>
    <w:tmpl w:val="7C149DB2"/>
    <w:lvl w:ilvl="0">
      <w:start w:val="8"/>
      <w:numFmt w:val="decimal"/>
      <w:lvlText w:val="%1"/>
      <w:lvlJc w:val="left"/>
      <w:pPr>
        <w:ind w:left="1999" w:hanging="590"/>
      </w:pPr>
      <w:rPr>
        <w:rFonts w:hint="default"/>
        <w:lang w:val="en-US" w:eastAsia="en-US" w:bidi="en-US"/>
      </w:rPr>
    </w:lvl>
    <w:lvl w:ilvl="1">
      <w:start w:val="1"/>
      <w:numFmt w:val="decimal"/>
      <w:lvlText w:val="%1.%2"/>
      <w:lvlJc w:val="left"/>
      <w:pPr>
        <w:ind w:left="1999" w:hanging="590"/>
        <w:jc w:val="right"/>
      </w:pPr>
      <w:rPr>
        <w:rFonts w:ascii="Futura PT Bold" w:eastAsia="Futura PT Bold" w:hAnsi="Futura PT Bold" w:cs="Futura PT Bold" w:hint="default"/>
        <w:b/>
        <w:bCs/>
        <w:color w:val="003E2D"/>
        <w:spacing w:val="-29"/>
        <w:w w:val="100"/>
        <w:sz w:val="36"/>
        <w:szCs w:val="36"/>
        <w:lang w:val="en-US" w:eastAsia="en-US" w:bidi="en-US"/>
      </w:rPr>
    </w:lvl>
    <w:lvl w:ilvl="2">
      <w:numFmt w:val="bullet"/>
      <w:lvlText w:val="•"/>
      <w:lvlJc w:val="left"/>
      <w:pPr>
        <w:ind w:left="2732" w:hanging="590"/>
      </w:pPr>
      <w:rPr>
        <w:rFonts w:hint="default"/>
        <w:lang w:val="en-US" w:eastAsia="en-US" w:bidi="en-US"/>
      </w:rPr>
    </w:lvl>
    <w:lvl w:ilvl="3">
      <w:numFmt w:val="bullet"/>
      <w:lvlText w:val="•"/>
      <w:lvlJc w:val="left"/>
      <w:pPr>
        <w:ind w:left="3098" w:hanging="590"/>
      </w:pPr>
      <w:rPr>
        <w:rFonts w:hint="default"/>
        <w:lang w:val="en-US" w:eastAsia="en-US" w:bidi="en-US"/>
      </w:rPr>
    </w:lvl>
    <w:lvl w:ilvl="4">
      <w:numFmt w:val="bullet"/>
      <w:lvlText w:val="•"/>
      <w:lvlJc w:val="left"/>
      <w:pPr>
        <w:ind w:left="3465" w:hanging="590"/>
      </w:pPr>
      <w:rPr>
        <w:rFonts w:hint="default"/>
        <w:lang w:val="en-US" w:eastAsia="en-US" w:bidi="en-US"/>
      </w:rPr>
    </w:lvl>
    <w:lvl w:ilvl="5">
      <w:numFmt w:val="bullet"/>
      <w:lvlText w:val="•"/>
      <w:lvlJc w:val="left"/>
      <w:pPr>
        <w:ind w:left="3831" w:hanging="590"/>
      </w:pPr>
      <w:rPr>
        <w:rFonts w:hint="default"/>
        <w:lang w:val="en-US" w:eastAsia="en-US" w:bidi="en-US"/>
      </w:rPr>
    </w:lvl>
    <w:lvl w:ilvl="6">
      <w:numFmt w:val="bullet"/>
      <w:lvlText w:val="•"/>
      <w:lvlJc w:val="left"/>
      <w:pPr>
        <w:ind w:left="4197" w:hanging="590"/>
      </w:pPr>
      <w:rPr>
        <w:rFonts w:hint="default"/>
        <w:lang w:val="en-US" w:eastAsia="en-US" w:bidi="en-US"/>
      </w:rPr>
    </w:lvl>
    <w:lvl w:ilvl="7">
      <w:numFmt w:val="bullet"/>
      <w:lvlText w:val="•"/>
      <w:lvlJc w:val="left"/>
      <w:pPr>
        <w:ind w:left="4563" w:hanging="590"/>
      </w:pPr>
      <w:rPr>
        <w:rFonts w:hint="default"/>
        <w:lang w:val="en-US" w:eastAsia="en-US" w:bidi="en-US"/>
      </w:rPr>
    </w:lvl>
    <w:lvl w:ilvl="8">
      <w:numFmt w:val="bullet"/>
      <w:lvlText w:val="•"/>
      <w:lvlJc w:val="left"/>
      <w:pPr>
        <w:ind w:left="4930" w:hanging="590"/>
      </w:pPr>
      <w:rPr>
        <w:rFonts w:hint="default"/>
        <w:lang w:val="en-US" w:eastAsia="en-US" w:bidi="en-US"/>
      </w:rPr>
    </w:lvl>
  </w:abstractNum>
  <w:abstractNum w:abstractNumId="17" w15:restartNumberingAfterBreak="0">
    <w:nsid w:val="54CC6549"/>
    <w:multiLevelType w:val="hybridMultilevel"/>
    <w:tmpl w:val="B9B01FC2"/>
    <w:lvl w:ilvl="0" w:tplc="A15820D2">
      <w:numFmt w:val="bullet"/>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1" w:tplc="A2D44DAA">
      <w:numFmt w:val="bullet"/>
      <w:lvlText w:val="•"/>
      <w:lvlJc w:val="left"/>
      <w:pPr>
        <w:ind w:left="2097" w:hanging="284"/>
      </w:pPr>
      <w:rPr>
        <w:rFonts w:hint="default"/>
        <w:lang w:val="en-US" w:eastAsia="en-US" w:bidi="en-US"/>
      </w:rPr>
    </w:lvl>
    <w:lvl w:ilvl="2" w:tplc="D666A526">
      <w:numFmt w:val="bullet"/>
      <w:lvlText w:val="•"/>
      <w:lvlJc w:val="left"/>
      <w:pPr>
        <w:ind w:left="2494" w:hanging="284"/>
      </w:pPr>
      <w:rPr>
        <w:rFonts w:hint="default"/>
        <w:lang w:val="en-US" w:eastAsia="en-US" w:bidi="en-US"/>
      </w:rPr>
    </w:lvl>
    <w:lvl w:ilvl="3" w:tplc="47E47A08">
      <w:numFmt w:val="bullet"/>
      <w:lvlText w:val="•"/>
      <w:lvlJc w:val="left"/>
      <w:pPr>
        <w:ind w:left="2891" w:hanging="284"/>
      </w:pPr>
      <w:rPr>
        <w:rFonts w:hint="default"/>
        <w:lang w:val="en-US" w:eastAsia="en-US" w:bidi="en-US"/>
      </w:rPr>
    </w:lvl>
    <w:lvl w:ilvl="4" w:tplc="FD788B46">
      <w:numFmt w:val="bullet"/>
      <w:lvlText w:val="•"/>
      <w:lvlJc w:val="left"/>
      <w:pPr>
        <w:ind w:left="3288" w:hanging="284"/>
      </w:pPr>
      <w:rPr>
        <w:rFonts w:hint="default"/>
        <w:lang w:val="en-US" w:eastAsia="en-US" w:bidi="en-US"/>
      </w:rPr>
    </w:lvl>
    <w:lvl w:ilvl="5" w:tplc="955A0760">
      <w:numFmt w:val="bullet"/>
      <w:lvlText w:val="•"/>
      <w:lvlJc w:val="left"/>
      <w:pPr>
        <w:ind w:left="3685" w:hanging="284"/>
      </w:pPr>
      <w:rPr>
        <w:rFonts w:hint="default"/>
        <w:lang w:val="en-US" w:eastAsia="en-US" w:bidi="en-US"/>
      </w:rPr>
    </w:lvl>
    <w:lvl w:ilvl="6" w:tplc="3DE4BA8C">
      <w:numFmt w:val="bullet"/>
      <w:lvlText w:val="•"/>
      <w:lvlJc w:val="left"/>
      <w:pPr>
        <w:ind w:left="4082" w:hanging="284"/>
      </w:pPr>
      <w:rPr>
        <w:rFonts w:hint="default"/>
        <w:lang w:val="en-US" w:eastAsia="en-US" w:bidi="en-US"/>
      </w:rPr>
    </w:lvl>
    <w:lvl w:ilvl="7" w:tplc="1AA0AD7E">
      <w:numFmt w:val="bullet"/>
      <w:lvlText w:val="•"/>
      <w:lvlJc w:val="left"/>
      <w:pPr>
        <w:ind w:left="4480" w:hanging="284"/>
      </w:pPr>
      <w:rPr>
        <w:rFonts w:hint="default"/>
        <w:lang w:val="en-US" w:eastAsia="en-US" w:bidi="en-US"/>
      </w:rPr>
    </w:lvl>
    <w:lvl w:ilvl="8" w:tplc="61546F1A">
      <w:numFmt w:val="bullet"/>
      <w:lvlText w:val="•"/>
      <w:lvlJc w:val="left"/>
      <w:pPr>
        <w:ind w:left="4877" w:hanging="284"/>
      </w:pPr>
      <w:rPr>
        <w:rFonts w:hint="default"/>
        <w:lang w:val="en-US" w:eastAsia="en-US" w:bidi="en-US"/>
      </w:rPr>
    </w:lvl>
  </w:abstractNum>
  <w:abstractNum w:abstractNumId="18" w15:restartNumberingAfterBreak="0">
    <w:nsid w:val="594C0944"/>
    <w:multiLevelType w:val="multilevel"/>
    <w:tmpl w:val="5428F80E"/>
    <w:lvl w:ilvl="0">
      <w:start w:val="10"/>
      <w:numFmt w:val="decimal"/>
      <w:lvlText w:val="%1"/>
      <w:lvlJc w:val="left"/>
      <w:pPr>
        <w:ind w:left="341" w:hanging="346"/>
      </w:pPr>
      <w:rPr>
        <w:rFonts w:hint="default"/>
        <w:lang w:val="en-US" w:eastAsia="en-US" w:bidi="en-US"/>
      </w:rPr>
    </w:lvl>
    <w:lvl w:ilvl="1">
      <w:start w:val="4"/>
      <w:numFmt w:val="decimal"/>
      <w:lvlText w:val="%1.%2"/>
      <w:lvlJc w:val="left"/>
      <w:pPr>
        <w:ind w:left="341" w:hanging="346"/>
      </w:pPr>
      <w:rPr>
        <w:rFonts w:ascii="Futura PT Book" w:eastAsia="Futura PT Book" w:hAnsi="Futura PT Book" w:cs="Futura PT Book" w:hint="default"/>
        <w:color w:val="58595B"/>
        <w:spacing w:val="-7"/>
        <w:w w:val="100"/>
        <w:sz w:val="16"/>
        <w:szCs w:val="16"/>
        <w:lang w:val="en-US" w:eastAsia="en-US" w:bidi="en-US"/>
      </w:rPr>
    </w:lvl>
    <w:lvl w:ilvl="2">
      <w:numFmt w:val="bullet"/>
      <w:lvlText w:val="•"/>
      <w:lvlJc w:val="left"/>
      <w:pPr>
        <w:ind w:left="945" w:hanging="346"/>
      </w:pPr>
      <w:rPr>
        <w:rFonts w:hint="default"/>
        <w:lang w:val="en-US" w:eastAsia="en-US" w:bidi="en-US"/>
      </w:rPr>
    </w:lvl>
    <w:lvl w:ilvl="3">
      <w:numFmt w:val="bullet"/>
      <w:lvlText w:val="•"/>
      <w:lvlJc w:val="left"/>
      <w:pPr>
        <w:ind w:left="1248" w:hanging="346"/>
      </w:pPr>
      <w:rPr>
        <w:rFonts w:hint="default"/>
        <w:lang w:val="en-US" w:eastAsia="en-US" w:bidi="en-US"/>
      </w:rPr>
    </w:lvl>
    <w:lvl w:ilvl="4">
      <w:numFmt w:val="bullet"/>
      <w:lvlText w:val="•"/>
      <w:lvlJc w:val="left"/>
      <w:pPr>
        <w:ind w:left="1551" w:hanging="346"/>
      </w:pPr>
      <w:rPr>
        <w:rFonts w:hint="default"/>
        <w:lang w:val="en-US" w:eastAsia="en-US" w:bidi="en-US"/>
      </w:rPr>
    </w:lvl>
    <w:lvl w:ilvl="5">
      <w:numFmt w:val="bullet"/>
      <w:lvlText w:val="•"/>
      <w:lvlJc w:val="left"/>
      <w:pPr>
        <w:ind w:left="1854" w:hanging="346"/>
      </w:pPr>
      <w:rPr>
        <w:rFonts w:hint="default"/>
        <w:lang w:val="en-US" w:eastAsia="en-US" w:bidi="en-US"/>
      </w:rPr>
    </w:lvl>
    <w:lvl w:ilvl="6">
      <w:numFmt w:val="bullet"/>
      <w:lvlText w:val="•"/>
      <w:lvlJc w:val="left"/>
      <w:pPr>
        <w:ind w:left="2157" w:hanging="346"/>
      </w:pPr>
      <w:rPr>
        <w:rFonts w:hint="default"/>
        <w:lang w:val="en-US" w:eastAsia="en-US" w:bidi="en-US"/>
      </w:rPr>
    </w:lvl>
    <w:lvl w:ilvl="7">
      <w:numFmt w:val="bullet"/>
      <w:lvlText w:val="•"/>
      <w:lvlJc w:val="left"/>
      <w:pPr>
        <w:ind w:left="2460" w:hanging="346"/>
      </w:pPr>
      <w:rPr>
        <w:rFonts w:hint="default"/>
        <w:lang w:val="en-US" w:eastAsia="en-US" w:bidi="en-US"/>
      </w:rPr>
    </w:lvl>
    <w:lvl w:ilvl="8">
      <w:numFmt w:val="bullet"/>
      <w:lvlText w:val="•"/>
      <w:lvlJc w:val="left"/>
      <w:pPr>
        <w:ind w:left="2763" w:hanging="346"/>
      </w:pPr>
      <w:rPr>
        <w:rFonts w:hint="default"/>
        <w:lang w:val="en-US" w:eastAsia="en-US" w:bidi="en-US"/>
      </w:rPr>
    </w:lvl>
  </w:abstractNum>
  <w:abstractNum w:abstractNumId="19" w15:restartNumberingAfterBreak="0">
    <w:nsid w:val="623377FE"/>
    <w:multiLevelType w:val="multilevel"/>
    <w:tmpl w:val="FBC0B250"/>
    <w:lvl w:ilvl="0">
      <w:start w:val="4"/>
      <w:numFmt w:val="decimal"/>
      <w:lvlText w:val="%1"/>
      <w:lvlJc w:val="left"/>
      <w:pPr>
        <w:ind w:left="1417" w:hanging="625"/>
      </w:pPr>
      <w:rPr>
        <w:rFonts w:hint="default"/>
        <w:lang w:val="en-US" w:eastAsia="en-US" w:bidi="en-US"/>
      </w:rPr>
    </w:lvl>
    <w:lvl w:ilvl="1">
      <w:start w:val="6"/>
      <w:numFmt w:val="decimal"/>
      <w:lvlText w:val="%1.%2"/>
      <w:lvlJc w:val="left"/>
      <w:pPr>
        <w:ind w:left="1417" w:hanging="625"/>
        <w:jc w:val="right"/>
      </w:pPr>
      <w:rPr>
        <w:rFonts w:ascii="Futura PT Bold" w:eastAsia="Futura PT Bold" w:hAnsi="Futura PT Bold" w:cs="Futura PT Bold" w:hint="default"/>
        <w:b/>
        <w:bCs/>
        <w:color w:val="003E2D"/>
        <w:spacing w:val="0"/>
        <w:w w:val="100"/>
        <w:sz w:val="36"/>
        <w:szCs w:val="36"/>
        <w:lang w:val="en-US" w:eastAsia="en-US" w:bidi="en-US"/>
      </w:rPr>
    </w:lvl>
    <w:lvl w:ilvl="2">
      <w:start w:val="1"/>
      <w:numFmt w:val="decimal"/>
      <w:lvlText w:val="%1.%2.%3"/>
      <w:lvlJc w:val="left"/>
      <w:pPr>
        <w:ind w:left="611" w:hanging="641"/>
        <w:jc w:val="right"/>
      </w:pPr>
      <w:rPr>
        <w:rFonts w:ascii="Tahoma" w:eastAsia="Tahoma" w:hAnsi="Tahoma" w:cs="Tahoma" w:hint="default"/>
        <w:color w:val="003E2D"/>
        <w:spacing w:val="-36"/>
        <w:w w:val="83"/>
        <w:sz w:val="28"/>
        <w:szCs w:val="28"/>
        <w:lang w:val="en-US" w:eastAsia="en-US" w:bidi="en-US"/>
      </w:rPr>
    </w:lvl>
    <w:lvl w:ilvl="3">
      <w:numFmt w:val="bullet"/>
      <w:lvlText w:val="•"/>
      <w:lvlJc w:val="left"/>
      <w:pPr>
        <w:ind w:left="1095" w:hanging="641"/>
      </w:pPr>
      <w:rPr>
        <w:rFonts w:hint="default"/>
        <w:lang w:val="en-US" w:eastAsia="en-US" w:bidi="en-US"/>
      </w:rPr>
    </w:lvl>
    <w:lvl w:ilvl="4">
      <w:numFmt w:val="bullet"/>
      <w:lvlText w:val="•"/>
      <w:lvlJc w:val="left"/>
      <w:pPr>
        <w:ind w:left="933" w:hanging="641"/>
      </w:pPr>
      <w:rPr>
        <w:rFonts w:hint="default"/>
        <w:lang w:val="en-US" w:eastAsia="en-US" w:bidi="en-US"/>
      </w:rPr>
    </w:lvl>
    <w:lvl w:ilvl="5">
      <w:numFmt w:val="bullet"/>
      <w:lvlText w:val="•"/>
      <w:lvlJc w:val="left"/>
      <w:pPr>
        <w:ind w:left="771" w:hanging="641"/>
      </w:pPr>
      <w:rPr>
        <w:rFonts w:hint="default"/>
        <w:lang w:val="en-US" w:eastAsia="en-US" w:bidi="en-US"/>
      </w:rPr>
    </w:lvl>
    <w:lvl w:ilvl="6">
      <w:numFmt w:val="bullet"/>
      <w:lvlText w:val="•"/>
      <w:lvlJc w:val="left"/>
      <w:pPr>
        <w:ind w:left="608" w:hanging="641"/>
      </w:pPr>
      <w:rPr>
        <w:rFonts w:hint="default"/>
        <w:lang w:val="en-US" w:eastAsia="en-US" w:bidi="en-US"/>
      </w:rPr>
    </w:lvl>
    <w:lvl w:ilvl="7">
      <w:numFmt w:val="bullet"/>
      <w:lvlText w:val="•"/>
      <w:lvlJc w:val="left"/>
      <w:pPr>
        <w:ind w:left="446" w:hanging="641"/>
      </w:pPr>
      <w:rPr>
        <w:rFonts w:hint="default"/>
        <w:lang w:val="en-US" w:eastAsia="en-US" w:bidi="en-US"/>
      </w:rPr>
    </w:lvl>
    <w:lvl w:ilvl="8">
      <w:numFmt w:val="bullet"/>
      <w:lvlText w:val="•"/>
      <w:lvlJc w:val="left"/>
      <w:pPr>
        <w:ind w:left="284" w:hanging="641"/>
      </w:pPr>
      <w:rPr>
        <w:rFonts w:hint="default"/>
        <w:lang w:val="en-US" w:eastAsia="en-US" w:bidi="en-US"/>
      </w:rPr>
    </w:lvl>
  </w:abstractNum>
  <w:abstractNum w:abstractNumId="20" w15:restartNumberingAfterBreak="0">
    <w:nsid w:val="62482423"/>
    <w:multiLevelType w:val="multilevel"/>
    <w:tmpl w:val="400A4A96"/>
    <w:lvl w:ilvl="0">
      <w:start w:val="3"/>
      <w:numFmt w:val="decimal"/>
      <w:lvlText w:val="%1"/>
      <w:lvlJc w:val="left"/>
      <w:pPr>
        <w:ind w:left="2006" w:hanging="590"/>
      </w:pPr>
      <w:rPr>
        <w:rFonts w:hint="default"/>
        <w:lang w:val="en-US" w:eastAsia="en-US" w:bidi="en-US"/>
      </w:rPr>
    </w:lvl>
    <w:lvl w:ilvl="1">
      <w:start w:val="1"/>
      <w:numFmt w:val="decimal"/>
      <w:lvlText w:val="%1.%2"/>
      <w:lvlJc w:val="left"/>
      <w:pPr>
        <w:ind w:left="2006" w:hanging="590"/>
        <w:jc w:val="right"/>
      </w:pPr>
      <w:rPr>
        <w:rFonts w:ascii="Futura PT Bold" w:eastAsia="Futura PT Bold" w:hAnsi="Futura PT Bold" w:cs="Futura PT Bold" w:hint="default"/>
        <w:b/>
        <w:bCs/>
        <w:color w:val="003E2D"/>
        <w:spacing w:val="-29"/>
        <w:w w:val="100"/>
        <w:sz w:val="36"/>
        <w:szCs w:val="36"/>
        <w:lang w:val="en-US" w:eastAsia="en-US" w:bidi="en-US"/>
      </w:rPr>
    </w:lvl>
    <w:lvl w:ilvl="2">
      <w:numFmt w:val="bullet"/>
      <w:lvlText w:val="•"/>
      <w:lvlJc w:val="left"/>
      <w:pPr>
        <w:ind w:left="2733" w:hanging="590"/>
      </w:pPr>
      <w:rPr>
        <w:rFonts w:hint="default"/>
        <w:lang w:val="en-US" w:eastAsia="en-US" w:bidi="en-US"/>
      </w:rPr>
    </w:lvl>
    <w:lvl w:ilvl="3">
      <w:numFmt w:val="bullet"/>
      <w:lvlText w:val="•"/>
      <w:lvlJc w:val="left"/>
      <w:pPr>
        <w:ind w:left="3099" w:hanging="590"/>
      </w:pPr>
      <w:rPr>
        <w:rFonts w:hint="default"/>
        <w:lang w:val="en-US" w:eastAsia="en-US" w:bidi="en-US"/>
      </w:rPr>
    </w:lvl>
    <w:lvl w:ilvl="4">
      <w:numFmt w:val="bullet"/>
      <w:lvlText w:val="•"/>
      <w:lvlJc w:val="left"/>
      <w:pPr>
        <w:ind w:left="3466" w:hanging="590"/>
      </w:pPr>
      <w:rPr>
        <w:rFonts w:hint="default"/>
        <w:lang w:val="en-US" w:eastAsia="en-US" w:bidi="en-US"/>
      </w:rPr>
    </w:lvl>
    <w:lvl w:ilvl="5">
      <w:numFmt w:val="bullet"/>
      <w:lvlText w:val="•"/>
      <w:lvlJc w:val="left"/>
      <w:pPr>
        <w:ind w:left="3833" w:hanging="590"/>
      </w:pPr>
      <w:rPr>
        <w:rFonts w:hint="default"/>
        <w:lang w:val="en-US" w:eastAsia="en-US" w:bidi="en-US"/>
      </w:rPr>
    </w:lvl>
    <w:lvl w:ilvl="6">
      <w:numFmt w:val="bullet"/>
      <w:lvlText w:val="•"/>
      <w:lvlJc w:val="left"/>
      <w:pPr>
        <w:ind w:left="4199" w:hanging="590"/>
      </w:pPr>
      <w:rPr>
        <w:rFonts w:hint="default"/>
        <w:lang w:val="en-US" w:eastAsia="en-US" w:bidi="en-US"/>
      </w:rPr>
    </w:lvl>
    <w:lvl w:ilvl="7">
      <w:numFmt w:val="bullet"/>
      <w:lvlText w:val="•"/>
      <w:lvlJc w:val="left"/>
      <w:pPr>
        <w:ind w:left="4566" w:hanging="590"/>
      </w:pPr>
      <w:rPr>
        <w:rFonts w:hint="default"/>
        <w:lang w:val="en-US" w:eastAsia="en-US" w:bidi="en-US"/>
      </w:rPr>
    </w:lvl>
    <w:lvl w:ilvl="8">
      <w:numFmt w:val="bullet"/>
      <w:lvlText w:val="•"/>
      <w:lvlJc w:val="left"/>
      <w:pPr>
        <w:ind w:left="4933" w:hanging="590"/>
      </w:pPr>
      <w:rPr>
        <w:rFonts w:hint="default"/>
        <w:lang w:val="en-US" w:eastAsia="en-US" w:bidi="en-US"/>
      </w:rPr>
    </w:lvl>
  </w:abstractNum>
  <w:abstractNum w:abstractNumId="21" w15:restartNumberingAfterBreak="0">
    <w:nsid w:val="63FA3A38"/>
    <w:multiLevelType w:val="hybridMultilevel"/>
    <w:tmpl w:val="B812083C"/>
    <w:lvl w:ilvl="0" w:tplc="EC7E4C0C">
      <w:numFmt w:val="bullet"/>
      <w:lvlText w:val="–"/>
      <w:lvlJc w:val="left"/>
      <w:pPr>
        <w:ind w:left="825" w:hanging="284"/>
      </w:pPr>
      <w:rPr>
        <w:rFonts w:hint="default"/>
        <w:spacing w:val="-13"/>
        <w:w w:val="100"/>
        <w:lang w:val="en-US" w:eastAsia="en-US" w:bidi="en-US"/>
      </w:rPr>
    </w:lvl>
    <w:lvl w:ilvl="1" w:tplc="344E0740">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9F96B8E8">
      <w:numFmt w:val="bullet"/>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22" w15:restartNumberingAfterBreak="0">
    <w:nsid w:val="65ED7AD5"/>
    <w:multiLevelType w:val="multilevel"/>
    <w:tmpl w:val="CCB009F2"/>
    <w:lvl w:ilvl="0">
      <w:start w:val="9"/>
      <w:numFmt w:val="decimal"/>
      <w:lvlText w:val="%1"/>
      <w:lvlJc w:val="left"/>
      <w:pPr>
        <w:ind w:left="1979" w:hanging="569"/>
      </w:pPr>
      <w:rPr>
        <w:rFonts w:hint="default"/>
        <w:lang w:val="en-US" w:eastAsia="en-US" w:bidi="en-US"/>
      </w:rPr>
    </w:lvl>
    <w:lvl w:ilvl="1">
      <w:start w:val="1"/>
      <w:numFmt w:val="decimal"/>
      <w:lvlText w:val="%1.%2"/>
      <w:lvlJc w:val="left"/>
      <w:pPr>
        <w:ind w:left="1979" w:hanging="569"/>
        <w:jc w:val="right"/>
      </w:pPr>
      <w:rPr>
        <w:rFonts w:ascii="Futura PT Bold" w:eastAsia="Futura PT Bold" w:hAnsi="Futura PT Bold" w:cs="Futura PT Bold" w:hint="default"/>
        <w:b/>
        <w:bCs/>
        <w:color w:val="003E2D"/>
        <w:spacing w:val="-29"/>
        <w:w w:val="100"/>
        <w:sz w:val="36"/>
        <w:szCs w:val="36"/>
        <w:lang w:val="en-US" w:eastAsia="en-US" w:bidi="en-US"/>
      </w:rPr>
    </w:lvl>
    <w:lvl w:ilvl="2">
      <w:start w:val="1"/>
      <w:numFmt w:val="decimal"/>
      <w:lvlText w:val="%3."/>
      <w:lvlJc w:val="left"/>
      <w:pPr>
        <w:ind w:left="839" w:hanging="159"/>
      </w:pPr>
      <w:rPr>
        <w:rFonts w:ascii="Futura PT Book" w:eastAsia="Futura PT Book" w:hAnsi="Futura PT Book" w:cs="Futura PT Book" w:hint="default"/>
        <w:color w:val="58595B"/>
        <w:spacing w:val="-7"/>
        <w:w w:val="100"/>
        <w:sz w:val="16"/>
        <w:szCs w:val="16"/>
        <w:lang w:val="en-US" w:eastAsia="en-US" w:bidi="en-US"/>
      </w:rPr>
    </w:lvl>
    <w:lvl w:ilvl="3">
      <w:numFmt w:val="bullet"/>
      <w:lvlText w:val="•"/>
      <w:lvlJc w:val="left"/>
      <w:pPr>
        <w:ind w:left="1568" w:hanging="159"/>
      </w:pPr>
      <w:rPr>
        <w:rFonts w:hint="default"/>
        <w:lang w:val="en-US" w:eastAsia="en-US" w:bidi="en-US"/>
      </w:rPr>
    </w:lvl>
    <w:lvl w:ilvl="4">
      <w:numFmt w:val="bullet"/>
      <w:lvlText w:val="•"/>
      <w:lvlJc w:val="left"/>
      <w:pPr>
        <w:ind w:left="1362" w:hanging="159"/>
      </w:pPr>
      <w:rPr>
        <w:rFonts w:hint="default"/>
        <w:lang w:val="en-US" w:eastAsia="en-US" w:bidi="en-US"/>
      </w:rPr>
    </w:lvl>
    <w:lvl w:ilvl="5">
      <w:numFmt w:val="bullet"/>
      <w:lvlText w:val="•"/>
      <w:lvlJc w:val="left"/>
      <w:pPr>
        <w:ind w:left="1156" w:hanging="159"/>
      </w:pPr>
      <w:rPr>
        <w:rFonts w:hint="default"/>
        <w:lang w:val="en-US" w:eastAsia="en-US" w:bidi="en-US"/>
      </w:rPr>
    </w:lvl>
    <w:lvl w:ilvl="6">
      <w:numFmt w:val="bullet"/>
      <w:lvlText w:val="•"/>
      <w:lvlJc w:val="left"/>
      <w:pPr>
        <w:ind w:left="950" w:hanging="159"/>
      </w:pPr>
      <w:rPr>
        <w:rFonts w:hint="default"/>
        <w:lang w:val="en-US" w:eastAsia="en-US" w:bidi="en-US"/>
      </w:rPr>
    </w:lvl>
    <w:lvl w:ilvl="7">
      <w:numFmt w:val="bullet"/>
      <w:lvlText w:val="•"/>
      <w:lvlJc w:val="left"/>
      <w:pPr>
        <w:ind w:left="744" w:hanging="159"/>
      </w:pPr>
      <w:rPr>
        <w:rFonts w:hint="default"/>
        <w:lang w:val="en-US" w:eastAsia="en-US" w:bidi="en-US"/>
      </w:rPr>
    </w:lvl>
    <w:lvl w:ilvl="8">
      <w:numFmt w:val="bullet"/>
      <w:lvlText w:val="•"/>
      <w:lvlJc w:val="left"/>
      <w:pPr>
        <w:ind w:left="539" w:hanging="159"/>
      </w:pPr>
      <w:rPr>
        <w:rFonts w:hint="default"/>
        <w:lang w:val="en-US" w:eastAsia="en-US" w:bidi="en-US"/>
      </w:rPr>
    </w:lvl>
  </w:abstractNum>
  <w:abstractNum w:abstractNumId="23" w15:restartNumberingAfterBreak="0">
    <w:nsid w:val="67573A29"/>
    <w:multiLevelType w:val="multilevel"/>
    <w:tmpl w:val="C94E405E"/>
    <w:lvl w:ilvl="0">
      <w:start w:val="10"/>
      <w:numFmt w:val="decimal"/>
      <w:lvlText w:val="%1"/>
      <w:lvlJc w:val="left"/>
      <w:pPr>
        <w:ind w:left="2194" w:hanging="784"/>
      </w:pPr>
      <w:rPr>
        <w:rFonts w:hint="default"/>
        <w:lang w:val="en-US" w:eastAsia="en-US" w:bidi="en-US"/>
      </w:rPr>
    </w:lvl>
    <w:lvl w:ilvl="1">
      <w:start w:val="1"/>
      <w:numFmt w:val="decimal"/>
      <w:lvlText w:val="%1.%2"/>
      <w:lvlJc w:val="left"/>
      <w:pPr>
        <w:ind w:left="2194" w:hanging="784"/>
        <w:jc w:val="right"/>
      </w:pPr>
      <w:rPr>
        <w:rFonts w:ascii="Futura PT Bold" w:eastAsia="Futura PT Bold" w:hAnsi="Futura PT Bold" w:cs="Futura PT Bold" w:hint="default"/>
        <w:b/>
        <w:bCs/>
        <w:color w:val="003E2D"/>
        <w:spacing w:val="-29"/>
        <w:w w:val="100"/>
        <w:sz w:val="36"/>
        <w:szCs w:val="36"/>
        <w:lang w:val="en-US" w:eastAsia="en-US" w:bidi="en-US"/>
      </w:rPr>
    </w:lvl>
    <w:lvl w:ilvl="2">
      <w:numFmt w:val="bullet"/>
      <w:lvlText w:val="•"/>
      <w:lvlJc w:val="left"/>
      <w:pPr>
        <w:ind w:left="2893" w:hanging="784"/>
      </w:pPr>
      <w:rPr>
        <w:rFonts w:hint="default"/>
        <w:lang w:val="en-US" w:eastAsia="en-US" w:bidi="en-US"/>
      </w:rPr>
    </w:lvl>
    <w:lvl w:ilvl="3">
      <w:numFmt w:val="bullet"/>
      <w:lvlText w:val="•"/>
      <w:lvlJc w:val="left"/>
      <w:pPr>
        <w:ind w:left="3240" w:hanging="784"/>
      </w:pPr>
      <w:rPr>
        <w:rFonts w:hint="default"/>
        <w:lang w:val="en-US" w:eastAsia="en-US" w:bidi="en-US"/>
      </w:rPr>
    </w:lvl>
    <w:lvl w:ilvl="4">
      <w:numFmt w:val="bullet"/>
      <w:lvlText w:val="•"/>
      <w:lvlJc w:val="left"/>
      <w:pPr>
        <w:ind w:left="3587" w:hanging="784"/>
      </w:pPr>
      <w:rPr>
        <w:rFonts w:hint="default"/>
        <w:lang w:val="en-US" w:eastAsia="en-US" w:bidi="en-US"/>
      </w:rPr>
    </w:lvl>
    <w:lvl w:ilvl="5">
      <w:numFmt w:val="bullet"/>
      <w:lvlText w:val="•"/>
      <w:lvlJc w:val="left"/>
      <w:pPr>
        <w:ind w:left="3934" w:hanging="784"/>
      </w:pPr>
      <w:rPr>
        <w:rFonts w:hint="default"/>
        <w:lang w:val="en-US" w:eastAsia="en-US" w:bidi="en-US"/>
      </w:rPr>
    </w:lvl>
    <w:lvl w:ilvl="6">
      <w:numFmt w:val="bullet"/>
      <w:lvlText w:val="•"/>
      <w:lvlJc w:val="left"/>
      <w:pPr>
        <w:ind w:left="4281" w:hanging="784"/>
      </w:pPr>
      <w:rPr>
        <w:rFonts w:hint="default"/>
        <w:lang w:val="en-US" w:eastAsia="en-US" w:bidi="en-US"/>
      </w:rPr>
    </w:lvl>
    <w:lvl w:ilvl="7">
      <w:numFmt w:val="bullet"/>
      <w:lvlText w:val="•"/>
      <w:lvlJc w:val="left"/>
      <w:pPr>
        <w:ind w:left="4628" w:hanging="784"/>
      </w:pPr>
      <w:rPr>
        <w:rFonts w:hint="default"/>
        <w:lang w:val="en-US" w:eastAsia="en-US" w:bidi="en-US"/>
      </w:rPr>
    </w:lvl>
    <w:lvl w:ilvl="8">
      <w:numFmt w:val="bullet"/>
      <w:lvlText w:val="•"/>
      <w:lvlJc w:val="left"/>
      <w:pPr>
        <w:ind w:left="4975" w:hanging="784"/>
      </w:pPr>
      <w:rPr>
        <w:rFonts w:hint="default"/>
        <w:lang w:val="en-US" w:eastAsia="en-US" w:bidi="en-US"/>
      </w:rPr>
    </w:lvl>
  </w:abstractNum>
  <w:abstractNum w:abstractNumId="24" w15:restartNumberingAfterBreak="0">
    <w:nsid w:val="686773BE"/>
    <w:multiLevelType w:val="hybridMultilevel"/>
    <w:tmpl w:val="1C9258AC"/>
    <w:lvl w:ilvl="0" w:tplc="14125622">
      <w:start w:val="1"/>
      <w:numFmt w:val="bullet"/>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25" w15:restartNumberingAfterBreak="0">
    <w:nsid w:val="68B12C32"/>
    <w:multiLevelType w:val="hybridMultilevel"/>
    <w:tmpl w:val="4CF4911A"/>
    <w:lvl w:ilvl="0" w:tplc="34090001">
      <w:start w:val="1"/>
      <w:numFmt w:val="bullet"/>
      <w:lvlText w:val=""/>
      <w:lvlJc w:val="left"/>
      <w:pPr>
        <w:ind w:left="770" w:hanging="360"/>
      </w:pPr>
      <w:rPr>
        <w:rFonts w:ascii="Symbol" w:hAnsi="Symbol"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26" w15:restartNumberingAfterBreak="0">
    <w:nsid w:val="780241FD"/>
    <w:multiLevelType w:val="hybridMultilevel"/>
    <w:tmpl w:val="A3044804"/>
    <w:lvl w:ilvl="0" w:tplc="36DC2800">
      <w:numFmt w:val="bullet"/>
      <w:lvlText w:val="–"/>
      <w:lvlJc w:val="left"/>
      <w:pPr>
        <w:ind w:left="858" w:hanging="284"/>
      </w:pPr>
      <w:rPr>
        <w:rFonts w:ascii="Futura PT Book" w:eastAsia="Futura PT Book" w:hAnsi="Futura PT Book" w:cs="Futura PT Book" w:hint="default"/>
        <w:color w:val="58595B"/>
        <w:spacing w:val="-4"/>
        <w:w w:val="100"/>
        <w:sz w:val="19"/>
        <w:szCs w:val="19"/>
        <w:lang w:val="en-US" w:eastAsia="en-US" w:bidi="en-US"/>
      </w:rPr>
    </w:lvl>
    <w:lvl w:ilvl="1" w:tplc="0EF06BAE">
      <w:numFmt w:val="bullet"/>
      <w:lvlText w:val="•"/>
      <w:lvlJc w:val="left"/>
      <w:pPr>
        <w:ind w:left="1282" w:hanging="284"/>
      </w:pPr>
      <w:rPr>
        <w:rFonts w:hint="default"/>
        <w:lang w:val="en-US" w:eastAsia="en-US" w:bidi="en-US"/>
      </w:rPr>
    </w:lvl>
    <w:lvl w:ilvl="2" w:tplc="680A9D12">
      <w:numFmt w:val="bullet"/>
      <w:lvlText w:val="•"/>
      <w:lvlJc w:val="left"/>
      <w:pPr>
        <w:ind w:left="1704" w:hanging="284"/>
      </w:pPr>
      <w:rPr>
        <w:rFonts w:hint="default"/>
        <w:lang w:val="en-US" w:eastAsia="en-US" w:bidi="en-US"/>
      </w:rPr>
    </w:lvl>
    <w:lvl w:ilvl="3" w:tplc="286C29CE">
      <w:numFmt w:val="bullet"/>
      <w:lvlText w:val="•"/>
      <w:lvlJc w:val="left"/>
      <w:pPr>
        <w:ind w:left="2127" w:hanging="284"/>
      </w:pPr>
      <w:rPr>
        <w:rFonts w:hint="default"/>
        <w:lang w:val="en-US" w:eastAsia="en-US" w:bidi="en-US"/>
      </w:rPr>
    </w:lvl>
    <w:lvl w:ilvl="4" w:tplc="4C48D08C">
      <w:numFmt w:val="bullet"/>
      <w:lvlText w:val="•"/>
      <w:lvlJc w:val="left"/>
      <w:pPr>
        <w:ind w:left="2549" w:hanging="284"/>
      </w:pPr>
      <w:rPr>
        <w:rFonts w:hint="default"/>
        <w:lang w:val="en-US" w:eastAsia="en-US" w:bidi="en-US"/>
      </w:rPr>
    </w:lvl>
    <w:lvl w:ilvl="5" w:tplc="43101750">
      <w:numFmt w:val="bullet"/>
      <w:lvlText w:val="•"/>
      <w:lvlJc w:val="left"/>
      <w:pPr>
        <w:ind w:left="2972" w:hanging="284"/>
      </w:pPr>
      <w:rPr>
        <w:rFonts w:hint="default"/>
        <w:lang w:val="en-US" w:eastAsia="en-US" w:bidi="en-US"/>
      </w:rPr>
    </w:lvl>
    <w:lvl w:ilvl="6" w:tplc="CB12174C">
      <w:numFmt w:val="bullet"/>
      <w:lvlText w:val="•"/>
      <w:lvlJc w:val="left"/>
      <w:pPr>
        <w:ind w:left="3394" w:hanging="284"/>
      </w:pPr>
      <w:rPr>
        <w:rFonts w:hint="default"/>
        <w:lang w:val="en-US" w:eastAsia="en-US" w:bidi="en-US"/>
      </w:rPr>
    </w:lvl>
    <w:lvl w:ilvl="7" w:tplc="40C889B8">
      <w:numFmt w:val="bullet"/>
      <w:lvlText w:val="•"/>
      <w:lvlJc w:val="left"/>
      <w:pPr>
        <w:ind w:left="3816" w:hanging="284"/>
      </w:pPr>
      <w:rPr>
        <w:rFonts w:hint="default"/>
        <w:lang w:val="en-US" w:eastAsia="en-US" w:bidi="en-US"/>
      </w:rPr>
    </w:lvl>
    <w:lvl w:ilvl="8" w:tplc="003EBAAE">
      <w:numFmt w:val="bullet"/>
      <w:lvlText w:val="•"/>
      <w:lvlJc w:val="left"/>
      <w:pPr>
        <w:ind w:left="4239" w:hanging="284"/>
      </w:pPr>
      <w:rPr>
        <w:rFonts w:hint="default"/>
        <w:lang w:val="en-US" w:eastAsia="en-US" w:bidi="en-US"/>
      </w:rPr>
    </w:lvl>
  </w:abstractNum>
  <w:abstractNum w:abstractNumId="27" w15:restartNumberingAfterBreak="0">
    <w:nsid w:val="790E68F6"/>
    <w:multiLevelType w:val="multilevel"/>
    <w:tmpl w:val="A48636C0"/>
    <w:lvl w:ilvl="0">
      <w:start w:val="6"/>
      <w:numFmt w:val="decimal"/>
      <w:lvlText w:val="%1"/>
      <w:lvlJc w:val="left"/>
      <w:pPr>
        <w:ind w:left="2001" w:hanging="591"/>
      </w:pPr>
      <w:rPr>
        <w:rFonts w:hint="default"/>
        <w:lang w:val="en-US" w:eastAsia="en-US" w:bidi="en-US"/>
      </w:rPr>
    </w:lvl>
    <w:lvl w:ilvl="1">
      <w:start w:val="1"/>
      <w:numFmt w:val="decimal"/>
      <w:lvlText w:val="%1.%2"/>
      <w:lvlJc w:val="left"/>
      <w:pPr>
        <w:ind w:left="2001" w:hanging="591"/>
        <w:jc w:val="right"/>
      </w:pPr>
      <w:rPr>
        <w:rFonts w:ascii="Futura PT Bold" w:eastAsia="Futura PT Bold" w:hAnsi="Futura PT Bold" w:cs="Futura PT Bold" w:hint="default"/>
        <w:b/>
        <w:bCs/>
        <w:color w:val="003E2D"/>
        <w:spacing w:val="-29"/>
        <w:w w:val="100"/>
        <w:sz w:val="36"/>
        <w:szCs w:val="36"/>
        <w:lang w:val="en-US" w:eastAsia="en-US" w:bidi="en-US"/>
      </w:rPr>
    </w:lvl>
    <w:lvl w:ilvl="2">
      <w:numFmt w:val="bullet"/>
      <w:lvlText w:val="•"/>
      <w:lvlJc w:val="left"/>
      <w:pPr>
        <w:ind w:left="2733" w:hanging="591"/>
      </w:pPr>
      <w:rPr>
        <w:rFonts w:hint="default"/>
        <w:lang w:val="en-US" w:eastAsia="en-US" w:bidi="en-US"/>
      </w:rPr>
    </w:lvl>
    <w:lvl w:ilvl="3">
      <w:numFmt w:val="bullet"/>
      <w:lvlText w:val="•"/>
      <w:lvlJc w:val="left"/>
      <w:pPr>
        <w:ind w:left="3100" w:hanging="591"/>
      </w:pPr>
      <w:rPr>
        <w:rFonts w:hint="default"/>
        <w:lang w:val="en-US" w:eastAsia="en-US" w:bidi="en-US"/>
      </w:rPr>
    </w:lvl>
    <w:lvl w:ilvl="4">
      <w:numFmt w:val="bullet"/>
      <w:lvlText w:val="•"/>
      <w:lvlJc w:val="left"/>
      <w:pPr>
        <w:ind w:left="3467" w:hanging="591"/>
      </w:pPr>
      <w:rPr>
        <w:rFonts w:hint="default"/>
        <w:lang w:val="en-US" w:eastAsia="en-US" w:bidi="en-US"/>
      </w:rPr>
    </w:lvl>
    <w:lvl w:ilvl="5">
      <w:numFmt w:val="bullet"/>
      <w:lvlText w:val="•"/>
      <w:lvlJc w:val="left"/>
      <w:pPr>
        <w:ind w:left="3834" w:hanging="591"/>
      </w:pPr>
      <w:rPr>
        <w:rFonts w:hint="default"/>
        <w:lang w:val="en-US" w:eastAsia="en-US" w:bidi="en-US"/>
      </w:rPr>
    </w:lvl>
    <w:lvl w:ilvl="6">
      <w:numFmt w:val="bullet"/>
      <w:lvlText w:val="•"/>
      <w:lvlJc w:val="left"/>
      <w:pPr>
        <w:ind w:left="4201" w:hanging="591"/>
      </w:pPr>
      <w:rPr>
        <w:rFonts w:hint="default"/>
        <w:lang w:val="en-US" w:eastAsia="en-US" w:bidi="en-US"/>
      </w:rPr>
    </w:lvl>
    <w:lvl w:ilvl="7">
      <w:numFmt w:val="bullet"/>
      <w:lvlText w:val="•"/>
      <w:lvlJc w:val="left"/>
      <w:pPr>
        <w:ind w:left="4568" w:hanging="591"/>
      </w:pPr>
      <w:rPr>
        <w:rFonts w:hint="default"/>
        <w:lang w:val="en-US" w:eastAsia="en-US" w:bidi="en-US"/>
      </w:rPr>
    </w:lvl>
    <w:lvl w:ilvl="8">
      <w:numFmt w:val="bullet"/>
      <w:lvlText w:val="•"/>
      <w:lvlJc w:val="left"/>
      <w:pPr>
        <w:ind w:left="4935" w:hanging="591"/>
      </w:pPr>
      <w:rPr>
        <w:rFonts w:hint="default"/>
        <w:lang w:val="en-US" w:eastAsia="en-US" w:bidi="en-US"/>
      </w:rPr>
    </w:lvl>
  </w:abstractNum>
  <w:num w:numId="1">
    <w:abstractNumId w:val="26"/>
  </w:num>
  <w:num w:numId="2">
    <w:abstractNumId w:val="6"/>
  </w:num>
  <w:num w:numId="3">
    <w:abstractNumId w:val="5"/>
  </w:num>
  <w:num w:numId="4">
    <w:abstractNumId w:val="12"/>
  </w:num>
  <w:num w:numId="5">
    <w:abstractNumId w:val="18"/>
  </w:num>
  <w:num w:numId="6">
    <w:abstractNumId w:val="7"/>
  </w:num>
  <w:num w:numId="7">
    <w:abstractNumId w:val="8"/>
  </w:num>
  <w:num w:numId="8">
    <w:abstractNumId w:val="4"/>
  </w:num>
  <w:num w:numId="9">
    <w:abstractNumId w:val="23"/>
  </w:num>
  <w:num w:numId="10">
    <w:abstractNumId w:val="22"/>
  </w:num>
  <w:num w:numId="11">
    <w:abstractNumId w:val="16"/>
  </w:num>
  <w:num w:numId="12">
    <w:abstractNumId w:val="2"/>
  </w:num>
  <w:num w:numId="13">
    <w:abstractNumId w:val="27"/>
  </w:num>
  <w:num w:numId="14">
    <w:abstractNumId w:val="10"/>
  </w:num>
  <w:num w:numId="15">
    <w:abstractNumId w:val="13"/>
  </w:num>
  <w:num w:numId="16">
    <w:abstractNumId w:val="3"/>
  </w:num>
  <w:num w:numId="17">
    <w:abstractNumId w:val="19"/>
  </w:num>
  <w:num w:numId="18">
    <w:abstractNumId w:val="17"/>
  </w:num>
  <w:num w:numId="19">
    <w:abstractNumId w:val="15"/>
  </w:num>
  <w:num w:numId="20">
    <w:abstractNumId w:val="0"/>
  </w:num>
  <w:num w:numId="21">
    <w:abstractNumId w:val="11"/>
  </w:num>
  <w:num w:numId="22">
    <w:abstractNumId w:val="20"/>
  </w:num>
  <w:num w:numId="23">
    <w:abstractNumId w:val="14"/>
  </w:num>
  <w:num w:numId="24">
    <w:abstractNumId w:val="21"/>
  </w:num>
  <w:num w:numId="25">
    <w:abstractNumId w:val="9"/>
  </w:num>
  <w:num w:numId="26">
    <w:abstractNumId w:val="25"/>
  </w:num>
  <w:num w:numId="27">
    <w:abstractNumId w:val="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415F5"/>
    <w:rsid w:val="000000D5"/>
    <w:rsid w:val="00004438"/>
    <w:rsid w:val="000213D0"/>
    <w:rsid w:val="00032268"/>
    <w:rsid w:val="0003549A"/>
    <w:rsid w:val="00066FBA"/>
    <w:rsid w:val="00073029"/>
    <w:rsid w:val="0007598B"/>
    <w:rsid w:val="00085021"/>
    <w:rsid w:val="00092EEE"/>
    <w:rsid w:val="000961D7"/>
    <w:rsid w:val="000A51F9"/>
    <w:rsid w:val="00104482"/>
    <w:rsid w:val="001142D0"/>
    <w:rsid w:val="001311FF"/>
    <w:rsid w:val="001445EA"/>
    <w:rsid w:val="001A38F5"/>
    <w:rsid w:val="001A4606"/>
    <w:rsid w:val="001C2185"/>
    <w:rsid w:val="001C5F9D"/>
    <w:rsid w:val="001D24BF"/>
    <w:rsid w:val="001F0A91"/>
    <w:rsid w:val="00210AB3"/>
    <w:rsid w:val="00216997"/>
    <w:rsid w:val="00241E9D"/>
    <w:rsid w:val="00247ED8"/>
    <w:rsid w:val="00261F23"/>
    <w:rsid w:val="00271FD4"/>
    <w:rsid w:val="00277AD9"/>
    <w:rsid w:val="00290C67"/>
    <w:rsid w:val="00291377"/>
    <w:rsid w:val="002A636F"/>
    <w:rsid w:val="002C14FB"/>
    <w:rsid w:val="002C1C84"/>
    <w:rsid w:val="002D0AB6"/>
    <w:rsid w:val="002D5002"/>
    <w:rsid w:val="002E3887"/>
    <w:rsid w:val="002E5500"/>
    <w:rsid w:val="002F0C2D"/>
    <w:rsid w:val="00307DCD"/>
    <w:rsid w:val="00316737"/>
    <w:rsid w:val="00336A11"/>
    <w:rsid w:val="00342612"/>
    <w:rsid w:val="00350641"/>
    <w:rsid w:val="0036671B"/>
    <w:rsid w:val="00372311"/>
    <w:rsid w:val="003821A2"/>
    <w:rsid w:val="00382CDF"/>
    <w:rsid w:val="00382D02"/>
    <w:rsid w:val="00392586"/>
    <w:rsid w:val="003932A6"/>
    <w:rsid w:val="003B32FC"/>
    <w:rsid w:val="003D2632"/>
    <w:rsid w:val="003E0305"/>
    <w:rsid w:val="003E3A07"/>
    <w:rsid w:val="003E629D"/>
    <w:rsid w:val="00460625"/>
    <w:rsid w:val="00466DF0"/>
    <w:rsid w:val="00466FDD"/>
    <w:rsid w:val="00471C14"/>
    <w:rsid w:val="00483549"/>
    <w:rsid w:val="00485759"/>
    <w:rsid w:val="004A0BEE"/>
    <w:rsid w:val="004C16C2"/>
    <w:rsid w:val="004D5FB9"/>
    <w:rsid w:val="005470B1"/>
    <w:rsid w:val="005504A5"/>
    <w:rsid w:val="00554858"/>
    <w:rsid w:val="00575A98"/>
    <w:rsid w:val="005907C8"/>
    <w:rsid w:val="00592035"/>
    <w:rsid w:val="005A02E6"/>
    <w:rsid w:val="005A02F4"/>
    <w:rsid w:val="005C05C7"/>
    <w:rsid w:val="005D0AA1"/>
    <w:rsid w:val="006007E6"/>
    <w:rsid w:val="00603DEC"/>
    <w:rsid w:val="006043DB"/>
    <w:rsid w:val="006062C8"/>
    <w:rsid w:val="0061606F"/>
    <w:rsid w:val="00622C52"/>
    <w:rsid w:val="00625158"/>
    <w:rsid w:val="00637B6E"/>
    <w:rsid w:val="006500A1"/>
    <w:rsid w:val="006673D9"/>
    <w:rsid w:val="006851D8"/>
    <w:rsid w:val="00693365"/>
    <w:rsid w:val="006A63C7"/>
    <w:rsid w:val="006C03EC"/>
    <w:rsid w:val="006C181D"/>
    <w:rsid w:val="006C7DE8"/>
    <w:rsid w:val="006D53C3"/>
    <w:rsid w:val="006D742D"/>
    <w:rsid w:val="006E364C"/>
    <w:rsid w:val="006F4825"/>
    <w:rsid w:val="007004F3"/>
    <w:rsid w:val="007053EF"/>
    <w:rsid w:val="00734D00"/>
    <w:rsid w:val="00737171"/>
    <w:rsid w:val="00775A65"/>
    <w:rsid w:val="00796C77"/>
    <w:rsid w:val="007A655F"/>
    <w:rsid w:val="007C1C22"/>
    <w:rsid w:val="007D7009"/>
    <w:rsid w:val="0081421D"/>
    <w:rsid w:val="00842554"/>
    <w:rsid w:val="00847364"/>
    <w:rsid w:val="008613E1"/>
    <w:rsid w:val="00866A44"/>
    <w:rsid w:val="00872387"/>
    <w:rsid w:val="00876F74"/>
    <w:rsid w:val="008854BF"/>
    <w:rsid w:val="008920DA"/>
    <w:rsid w:val="00896433"/>
    <w:rsid w:val="008A42EE"/>
    <w:rsid w:val="008B279A"/>
    <w:rsid w:val="008D7E01"/>
    <w:rsid w:val="009015DE"/>
    <w:rsid w:val="0091055E"/>
    <w:rsid w:val="00913201"/>
    <w:rsid w:val="00931E8F"/>
    <w:rsid w:val="00940B98"/>
    <w:rsid w:val="00944DA4"/>
    <w:rsid w:val="00971899"/>
    <w:rsid w:val="0099204A"/>
    <w:rsid w:val="009D2CA5"/>
    <w:rsid w:val="009D2DEC"/>
    <w:rsid w:val="009E12C3"/>
    <w:rsid w:val="009E18BA"/>
    <w:rsid w:val="009E23A6"/>
    <w:rsid w:val="009F24E1"/>
    <w:rsid w:val="009F4D5D"/>
    <w:rsid w:val="00A0212B"/>
    <w:rsid w:val="00A07AEB"/>
    <w:rsid w:val="00A13963"/>
    <w:rsid w:val="00A2241A"/>
    <w:rsid w:val="00A44F64"/>
    <w:rsid w:val="00A54416"/>
    <w:rsid w:val="00A54DBB"/>
    <w:rsid w:val="00A617A7"/>
    <w:rsid w:val="00A71013"/>
    <w:rsid w:val="00A75D61"/>
    <w:rsid w:val="00A938F7"/>
    <w:rsid w:val="00AC22C8"/>
    <w:rsid w:val="00AE0084"/>
    <w:rsid w:val="00B10F05"/>
    <w:rsid w:val="00B23364"/>
    <w:rsid w:val="00B55E0C"/>
    <w:rsid w:val="00BA1222"/>
    <w:rsid w:val="00BA4D19"/>
    <w:rsid w:val="00BE0CB4"/>
    <w:rsid w:val="00BE25FA"/>
    <w:rsid w:val="00BF18D0"/>
    <w:rsid w:val="00C415F5"/>
    <w:rsid w:val="00C6270B"/>
    <w:rsid w:val="00C658F7"/>
    <w:rsid w:val="00CA0EA6"/>
    <w:rsid w:val="00CE0C57"/>
    <w:rsid w:val="00CE3160"/>
    <w:rsid w:val="00D06176"/>
    <w:rsid w:val="00D141FD"/>
    <w:rsid w:val="00D32313"/>
    <w:rsid w:val="00D442EF"/>
    <w:rsid w:val="00D61D8E"/>
    <w:rsid w:val="00D66EDB"/>
    <w:rsid w:val="00DC3AB3"/>
    <w:rsid w:val="00DD4F60"/>
    <w:rsid w:val="00DD5CA2"/>
    <w:rsid w:val="00DE22E8"/>
    <w:rsid w:val="00DE578F"/>
    <w:rsid w:val="00E01EDD"/>
    <w:rsid w:val="00E15F92"/>
    <w:rsid w:val="00E32FB4"/>
    <w:rsid w:val="00E37FD6"/>
    <w:rsid w:val="00E4260D"/>
    <w:rsid w:val="00E51C81"/>
    <w:rsid w:val="00E564DC"/>
    <w:rsid w:val="00E74C51"/>
    <w:rsid w:val="00E8398A"/>
    <w:rsid w:val="00E916D8"/>
    <w:rsid w:val="00E941CF"/>
    <w:rsid w:val="00EA1F97"/>
    <w:rsid w:val="00EB4CDF"/>
    <w:rsid w:val="00ED4F4C"/>
    <w:rsid w:val="00EE1BDC"/>
    <w:rsid w:val="00F02A36"/>
    <w:rsid w:val="00F42929"/>
    <w:rsid w:val="00F57333"/>
    <w:rsid w:val="00F601BD"/>
    <w:rsid w:val="00F62597"/>
    <w:rsid w:val="00F67277"/>
    <w:rsid w:val="00F75A56"/>
    <w:rsid w:val="00F83327"/>
    <w:rsid w:val="00FC0098"/>
    <w:rsid w:val="00FC3E9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EFCAD1"/>
  <w15:docId w15:val="{3E0E7D50-605E-4FCB-A0FD-A5F83C3B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D8E"/>
    <w:rPr>
      <w:rFonts w:ascii="Arial" w:eastAsia="Futura PT Book" w:hAnsi="Arial" w:cs="Futura PT Book"/>
      <w:lang w:bidi="en-US"/>
    </w:rPr>
  </w:style>
  <w:style w:type="paragraph" w:styleId="Heading1">
    <w:name w:val="heading 1"/>
    <w:basedOn w:val="Normal"/>
    <w:uiPriority w:val="9"/>
    <w:qFormat/>
    <w:rsid w:val="00F57333"/>
    <w:pPr>
      <w:spacing w:before="58" w:after="840"/>
      <w:outlineLvl w:val="0"/>
    </w:pPr>
    <w:rPr>
      <w:rFonts w:eastAsia="Futura PT Heavy" w:cs="Futura PT Heavy"/>
      <w:b/>
      <w:color w:val="003E2D"/>
      <w:sz w:val="56"/>
      <w:szCs w:val="70"/>
    </w:rPr>
  </w:style>
  <w:style w:type="paragraph" w:styleId="Heading2">
    <w:name w:val="heading 2"/>
    <w:basedOn w:val="Normal"/>
    <w:uiPriority w:val="9"/>
    <w:unhideWhenUsed/>
    <w:qFormat/>
    <w:rsid w:val="00693365"/>
    <w:pPr>
      <w:spacing w:before="99"/>
      <w:outlineLvl w:val="1"/>
    </w:pPr>
    <w:rPr>
      <w:rFonts w:eastAsia="Futura PT Bold" w:cs="Futura PT Bold"/>
      <w:b/>
      <w:bCs/>
      <w:color w:val="003E2D" w:themeColor="text1"/>
      <w:sz w:val="36"/>
      <w:szCs w:val="36"/>
    </w:rPr>
  </w:style>
  <w:style w:type="paragraph" w:styleId="Heading3">
    <w:name w:val="heading 3"/>
    <w:basedOn w:val="Normal"/>
    <w:link w:val="Heading3Char"/>
    <w:uiPriority w:val="9"/>
    <w:unhideWhenUsed/>
    <w:qFormat/>
    <w:rsid w:val="00E74C51"/>
    <w:pPr>
      <w:spacing w:before="240"/>
      <w:outlineLvl w:val="2"/>
    </w:pPr>
    <w:rPr>
      <w:rFonts w:eastAsia="Tahoma" w:cs="Tahoma"/>
      <w:b/>
      <w:color w:val="003E2D" w:themeColor="text1"/>
      <w:sz w:val="28"/>
      <w:szCs w:val="28"/>
    </w:rPr>
  </w:style>
  <w:style w:type="paragraph" w:styleId="Heading4">
    <w:name w:val="heading 4"/>
    <w:basedOn w:val="Normal"/>
    <w:link w:val="Heading4Char"/>
    <w:uiPriority w:val="9"/>
    <w:unhideWhenUsed/>
    <w:qFormat/>
    <w:rsid w:val="00866A44"/>
    <w:pPr>
      <w:spacing w:before="240" w:after="240"/>
      <w:outlineLvl w:val="3"/>
    </w:pPr>
    <w:rPr>
      <w:rFonts w:eastAsia="Futura PT Bold" w:cs="Futura PT Bold"/>
      <w:b/>
      <w:bCs/>
      <w:color w:val="003E2D" w:themeColor="text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03DEC"/>
    <w:pPr>
      <w:spacing w:before="419"/>
      <w:ind w:left="454" w:hanging="454"/>
    </w:pPr>
    <w:rPr>
      <w:rFonts w:eastAsia="Tahoma" w:cs="Tahoma"/>
      <w:sz w:val="28"/>
      <w:szCs w:val="28"/>
    </w:rPr>
  </w:style>
  <w:style w:type="paragraph" w:styleId="TOC2">
    <w:name w:val="toc 2"/>
    <w:basedOn w:val="Normal"/>
    <w:uiPriority w:val="1"/>
    <w:qFormat/>
    <w:rsid w:val="00603DEC"/>
    <w:pPr>
      <w:spacing w:before="419"/>
      <w:ind w:left="420" w:hanging="420"/>
    </w:pPr>
    <w:rPr>
      <w:rFonts w:eastAsia="Tahoma" w:cs="Tahoma"/>
      <w:sz w:val="2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basedOn w:val="Normal"/>
    <w:uiPriority w:val="1"/>
    <w:qFormat/>
    <w:rsid w:val="00066FBA"/>
    <w:pPr>
      <w:numPr>
        <w:ilvl w:val="1"/>
        <w:numId w:val="24"/>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E74C51"/>
    <w:rPr>
      <w:rFonts w:ascii="Arial" w:eastAsia="Tahoma" w:hAnsi="Arial" w:cs="Tahoma"/>
      <w:b/>
      <w:color w:val="003E2D" w:themeColor="text1"/>
      <w:sz w:val="28"/>
      <w:szCs w:val="28"/>
      <w:lang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9D2DEC"/>
    <w:rPr>
      <w:color w:val="7EC352" w:themeColor="hyperlink"/>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styleId="UnresolvedMention">
    <w:name w:val="Unresolved Mention"/>
    <w:basedOn w:val="DefaultParagraphFont"/>
    <w:uiPriority w:val="99"/>
    <w:semiHidden/>
    <w:unhideWhenUsed/>
    <w:rsid w:val="009D2DEC"/>
    <w:rPr>
      <w:color w:val="605E5C"/>
      <w:shd w:val="clear" w:color="auto" w:fill="E1DFDD"/>
    </w:rPr>
  </w:style>
  <w:style w:type="table" w:styleId="TableGrid">
    <w:name w:val="Table Grid"/>
    <w:basedOn w:val="TableNormal"/>
    <w:uiPriority w:val="3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27"/>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bidi="en-US"/>
    </w:rPr>
  </w:style>
  <w:style w:type="character" w:customStyle="1" w:styleId="Heading4Char">
    <w:name w:val="Heading 4 Char"/>
    <w:basedOn w:val="DefaultParagraphFont"/>
    <w:link w:val="Heading4"/>
    <w:uiPriority w:val="9"/>
    <w:rsid w:val="009E12C3"/>
    <w:rPr>
      <w:rFonts w:ascii="Arial" w:eastAsia="Futura PT Bold" w:hAnsi="Arial" w:cs="Futura PT Bold"/>
      <w:b/>
      <w:bCs/>
      <w:color w:val="003E2D" w:themeColor="text1"/>
      <w:szCs w:val="19"/>
      <w:lang w:bidi="en-US"/>
    </w:rPr>
  </w:style>
  <w:style w:type="paragraph" w:customStyle="1" w:styleId="Questionheading">
    <w:name w:val="Question heading"/>
    <w:basedOn w:val="Heading3"/>
    <w:link w:val="QuestionheadingChar"/>
    <w:qFormat/>
    <w:rsid w:val="005470B1"/>
    <w:pPr>
      <w:spacing w:before="280"/>
      <w:ind w:left="737" w:right="246"/>
    </w:pPr>
    <w:rPr>
      <w:sz w:val="24"/>
      <w:szCs w:val="24"/>
    </w:rPr>
  </w:style>
  <w:style w:type="character" w:customStyle="1" w:styleId="QuestionheadingChar">
    <w:name w:val="Question heading Char"/>
    <w:basedOn w:val="Heading3Char"/>
    <w:link w:val="Questionheading"/>
    <w:rsid w:val="005470B1"/>
    <w:rPr>
      <w:rFonts w:ascii="Arial" w:eastAsia="Tahoma" w:hAnsi="Arial" w:cs="Tahoma"/>
      <w:b/>
      <w:color w:val="003E2D" w:themeColor="text1"/>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www.ihpa.gov.au/publications/pricing-framework-australian-public-hospital-services-2019-20" TargetMode="External"/><Relationship Id="rId21" Type="http://schemas.openxmlformats.org/officeDocument/2006/relationships/hyperlink" Target="https://www.ihpa.gov.au/what-we-do/national-efficient-price-determination" TargetMode="External"/><Relationship Id="rId42" Type="http://schemas.openxmlformats.org/officeDocument/2006/relationships/image" Target="media/image12.png"/><Relationship Id="rId47" Type="http://schemas.openxmlformats.org/officeDocument/2006/relationships/footer" Target="footer5.xml"/><Relationship Id="rId63" Type="http://schemas.openxmlformats.org/officeDocument/2006/relationships/header" Target="header19.xml"/><Relationship Id="rId68" Type="http://schemas.openxmlformats.org/officeDocument/2006/relationships/hyperlink" Target="https://www.ihpa.gov.au/publications/national-pricing-model-technical-specifications-2018-19" TargetMode="External"/><Relationship Id="rId84" Type="http://schemas.openxmlformats.org/officeDocument/2006/relationships/hyperlink" Target="https://www.ihpa.gov.au/what-we-do/national-efficient-price-determination" TargetMode="External"/><Relationship Id="rId89" Type="http://schemas.openxmlformats.org/officeDocument/2006/relationships/header" Target="header25.xml"/><Relationship Id="rId112" Type="http://schemas.openxmlformats.org/officeDocument/2006/relationships/hyperlink" Target="https://www.safetyandquality.gov.au/our-work/indicators/hospital-acquired-complications/hacs-information-kit/" TargetMode="External"/><Relationship Id="rId16" Type="http://schemas.openxmlformats.org/officeDocument/2006/relationships/header" Target="header5.xml"/><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hyperlink" Target="https://www.legislation.gov.au/Series/C2011A00009" TargetMode="External"/><Relationship Id="rId53" Type="http://schemas.openxmlformats.org/officeDocument/2006/relationships/hyperlink" Target="https://www.ihpa.gov.au/what-we-do/tier-2-non-admitted-care-services-classification" TargetMode="External"/><Relationship Id="rId58" Type="http://schemas.openxmlformats.org/officeDocument/2006/relationships/hyperlink" Target="https://www.ihpa.gov.au/publications/mental-health-phase-care-inter-rater-reliability-irr-study-final-report" TargetMode="External"/><Relationship Id="rId74" Type="http://schemas.openxmlformats.org/officeDocument/2006/relationships/hyperlink" Target="https://www.ihpa.gov.au/sites/g/files/net4186/f/publications/australian_hospital_patient_costing_standards_-_version_4.0_-_part_2_-_business_rules.pdf" TargetMode="External"/><Relationship Id="rId79" Type="http://schemas.openxmlformats.org/officeDocument/2006/relationships/image" Target="media/image21.png"/><Relationship Id="rId102" Type="http://schemas.openxmlformats.org/officeDocument/2006/relationships/image" Target="media/image26.png"/><Relationship Id="rId123" Type="http://schemas.openxmlformats.org/officeDocument/2006/relationships/hyperlink" Target="https://twitter.com/ihpanews?lang=en"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afetyandquality.gov.au/our-work/indicators/patient-reported-outcome-measures/" TargetMode="External"/><Relationship Id="rId95" Type="http://schemas.openxmlformats.org/officeDocument/2006/relationships/footer" Target="footer9.xml"/><Relationship Id="rId22" Type="http://schemas.openxmlformats.org/officeDocument/2006/relationships/hyperlink" Target="https://www.ihpa.gov.au/what-we-do/national-efficient-cost-determination" TargetMode="External"/><Relationship Id="rId27" Type="http://schemas.openxmlformats.org/officeDocument/2006/relationships/footer" Target="footer3.xml"/><Relationship Id="rId43" Type="http://schemas.openxmlformats.org/officeDocument/2006/relationships/image" Target="media/image13.svg"/><Relationship Id="rId48" Type="http://schemas.openxmlformats.org/officeDocument/2006/relationships/image" Target="media/image15.png"/><Relationship Id="rId64" Type="http://schemas.openxmlformats.org/officeDocument/2006/relationships/footer" Target="footer7.xml"/><Relationship Id="rId69" Type="http://schemas.openxmlformats.org/officeDocument/2006/relationships/image" Target="media/image19.png"/><Relationship Id="rId113" Type="http://schemas.openxmlformats.org/officeDocument/2006/relationships/hyperlink" Target="https://www.safetyandquality.gov.au/our-work/indicators/hospital-acquired-complications/hacs-information-kit/" TargetMode="External"/><Relationship Id="rId118" Type="http://schemas.openxmlformats.org/officeDocument/2006/relationships/header" Target="header38.xml"/><Relationship Id="rId80" Type="http://schemas.openxmlformats.org/officeDocument/2006/relationships/header" Target="header24.xml"/><Relationship Id="rId85" Type="http://schemas.openxmlformats.org/officeDocument/2006/relationships/hyperlink" Target="https://www.ihpa.gov.au/what-we-do/national-efficient-cost-determination" TargetMode="Externa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header" Target="header9.xml"/><Relationship Id="rId38" Type="http://schemas.openxmlformats.org/officeDocument/2006/relationships/hyperlink" Target="https://www.legislation.gov.au/Series/C2011A00009" TargetMode="External"/><Relationship Id="rId59" Type="http://schemas.openxmlformats.org/officeDocument/2006/relationships/header" Target="header17.xml"/><Relationship Id="rId103" Type="http://schemas.openxmlformats.org/officeDocument/2006/relationships/header" Target="header31.xml"/><Relationship Id="rId108" Type="http://schemas.openxmlformats.org/officeDocument/2006/relationships/header" Target="header35.xml"/><Relationship Id="rId124" Type="http://schemas.openxmlformats.org/officeDocument/2006/relationships/hyperlink" Target="http://www.ihpa.gov.au" TargetMode="External"/><Relationship Id="rId54" Type="http://schemas.openxmlformats.org/officeDocument/2006/relationships/header" Target="header15.xml"/><Relationship Id="rId70" Type="http://schemas.openxmlformats.org/officeDocument/2006/relationships/hyperlink" Target="http://www.abs.gov.au/websitedbs/D3310114.nsf/home/Australian%2BStatistical%2BGeography%2BStandard%2B(ASGS)" TargetMode="External"/><Relationship Id="rId75" Type="http://schemas.openxmlformats.org/officeDocument/2006/relationships/header" Target="header22.xml"/><Relationship Id="rId91" Type="http://schemas.openxmlformats.org/officeDocument/2006/relationships/hyperlink" Target="https://www.safetyandquality.gov.au/our-work/indicators/patient-reported-outcome-measures/"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ubmissions.ihpa@ihpa.gov.au" TargetMode="External"/><Relationship Id="rId28" Type="http://schemas.openxmlformats.org/officeDocument/2006/relationships/image" Target="media/image8.png"/><Relationship Id="rId49" Type="http://schemas.openxmlformats.org/officeDocument/2006/relationships/header" Target="header13.xml"/><Relationship Id="rId114" Type="http://schemas.openxmlformats.org/officeDocument/2006/relationships/header" Target="header37.xml"/><Relationship Id="rId119" Type="http://schemas.openxmlformats.org/officeDocument/2006/relationships/header" Target="header39.xml"/><Relationship Id="rId44" Type="http://schemas.openxmlformats.org/officeDocument/2006/relationships/header" Target="header11.xml"/><Relationship Id="rId60" Type="http://schemas.openxmlformats.org/officeDocument/2006/relationships/header" Target="header18.xml"/><Relationship Id="rId65" Type="http://schemas.openxmlformats.org/officeDocument/2006/relationships/image" Target="media/image18.png"/><Relationship Id="rId81" Type="http://schemas.openxmlformats.org/officeDocument/2006/relationships/hyperlink" Target="https://www.ihpa.gov.au/sites/g/files/net4186/f/publications/pdf_-_ihpa_three_year_data_plan_2018-19_to_2020-21.pdf" TargetMode="External"/><Relationship Id="rId86" Type="http://schemas.openxmlformats.org/officeDocument/2006/relationships/hyperlink" Target="https://www.myhospitals.gov.au/" TargetMode="External"/><Relationship Id="rId13" Type="http://schemas.openxmlformats.org/officeDocument/2006/relationships/header" Target="header4.xml"/><Relationship Id="rId18" Type="http://schemas.openxmlformats.org/officeDocument/2006/relationships/image" Target="media/image6.png"/><Relationship Id="rId39" Type="http://schemas.openxmlformats.org/officeDocument/2006/relationships/hyperlink" Target="https://www.ihpa.gov.au/publications/annual-review-general-list-scope-public-hospital-services-1" TargetMode="External"/><Relationship Id="rId109" Type="http://schemas.openxmlformats.org/officeDocument/2006/relationships/footer" Target="footer12.xml"/><Relationship Id="rId34" Type="http://schemas.openxmlformats.org/officeDocument/2006/relationships/footer" Target="footer4.xml"/><Relationship Id="rId50" Type="http://schemas.openxmlformats.org/officeDocument/2006/relationships/hyperlink" Target="https://www.ihpa.gov.au/what-we-do/admitted-acute-care" TargetMode="External"/><Relationship Id="rId55" Type="http://schemas.openxmlformats.org/officeDocument/2006/relationships/hyperlink" Target="https://www.ihpa.gov.au/what-we-do/classifications/emergency-care/emergency-department-icd-10-am-tenth-edition-principal-diagnosis-short-list" TargetMode="External"/><Relationship Id="rId76" Type="http://schemas.openxmlformats.org/officeDocument/2006/relationships/image" Target="media/image20.png"/><Relationship Id="rId97" Type="http://schemas.openxmlformats.org/officeDocument/2006/relationships/header" Target="header28.xml"/><Relationship Id="rId104" Type="http://schemas.openxmlformats.org/officeDocument/2006/relationships/footer" Target="footer11.xml"/><Relationship Id="rId120" Type="http://schemas.openxmlformats.org/officeDocument/2006/relationships/header" Target="header40.xml"/><Relationship Id="rId125"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yperlink" Target="http://www.abs.gov.au/websitedbs/D3310114.nsf/home/Australian%2BStatistical%2BGeography%2BStandard%2B(ASGS)" TargetMode="Externa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ihpa.gov.au/" TargetMode="External"/><Relationship Id="rId40" Type="http://schemas.openxmlformats.org/officeDocument/2006/relationships/hyperlink" Target="https://www.ihpa.gov.au/publications/annual-review-general-list-scope-public-hospital-services-1" TargetMode="External"/><Relationship Id="rId45" Type="http://schemas.openxmlformats.org/officeDocument/2006/relationships/image" Target="media/image14.png"/><Relationship Id="rId66" Type="http://schemas.openxmlformats.org/officeDocument/2006/relationships/header" Target="header20.xml"/><Relationship Id="rId87" Type="http://schemas.openxmlformats.org/officeDocument/2006/relationships/hyperlink" Target="https://www.ihpa.gov.au/" TargetMode="External"/><Relationship Id="rId110" Type="http://schemas.openxmlformats.org/officeDocument/2006/relationships/header" Target="header36.xml"/><Relationship Id="rId115" Type="http://schemas.openxmlformats.org/officeDocument/2006/relationships/image" Target="media/image27.png"/><Relationship Id="rId61" Type="http://schemas.openxmlformats.org/officeDocument/2006/relationships/footer" Target="footer6.xml"/><Relationship Id="rId82" Type="http://schemas.openxmlformats.org/officeDocument/2006/relationships/hyperlink" Target="https://www.ihpa.gov.au/sites/g/files/net4186/f/publications/pdf_-_ihpa_three_year_data_plan_2018-19_to_2020-21.pdf" TargetMode="External"/><Relationship Id="rId19" Type="http://schemas.openxmlformats.org/officeDocument/2006/relationships/hyperlink" Target="https://www.ihpa.gov.au/publications/pricing-framework-australian-public-hospital-services-2019-20" TargetMode="Externa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image" Target="media/image11.png"/><Relationship Id="rId56" Type="http://schemas.openxmlformats.org/officeDocument/2006/relationships/hyperlink" Target="https://www.ihpa.gov.au/what-we-do/classifications/emergency-care/emergency-department-icd-10-am-tenth-edition-principal-diagnosis-short-list" TargetMode="External"/><Relationship Id="rId77" Type="http://schemas.openxmlformats.org/officeDocument/2006/relationships/header" Target="header23.xml"/><Relationship Id="rId100" Type="http://schemas.openxmlformats.org/officeDocument/2006/relationships/image" Target="media/image25.png"/><Relationship Id="rId105" Type="http://schemas.openxmlformats.org/officeDocument/2006/relationships/header" Target="header32.xml"/><Relationship Id="rId126" Type="http://schemas.openxmlformats.org/officeDocument/2006/relationships/footer" Target="footer13.xml"/><Relationship Id="rId8" Type="http://schemas.openxmlformats.org/officeDocument/2006/relationships/image" Target="media/image3.jpg"/><Relationship Id="rId51" Type="http://schemas.openxmlformats.org/officeDocument/2006/relationships/image" Target="media/image16.png"/><Relationship Id="rId72" Type="http://schemas.openxmlformats.org/officeDocument/2006/relationships/hyperlink" Target="http://www.abs.gov.au/websitedbs/D3310114.nsf/home/Australian%2BStatistical%2BGeography%2BStandard%2B(ASGS)" TargetMode="External"/><Relationship Id="rId93" Type="http://schemas.openxmlformats.org/officeDocument/2006/relationships/image" Target="media/image23.png"/><Relationship Id="rId98" Type="http://schemas.openxmlformats.org/officeDocument/2006/relationships/header" Target="header29.xml"/><Relationship Id="rId121" Type="http://schemas.openxmlformats.org/officeDocument/2006/relationships/image" Target="media/image28.jp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eader" Target="header12.xml"/><Relationship Id="rId67" Type="http://schemas.openxmlformats.org/officeDocument/2006/relationships/hyperlink" Target="https://www.ihpa.gov.au/publications/national-pricing-model-technical-specifications-2018-19" TargetMode="External"/><Relationship Id="rId116" Type="http://schemas.openxmlformats.org/officeDocument/2006/relationships/hyperlink" Target="https://www.safetyandquality.gov.au/our-work/indicators/avoidable-hospital-readmissions/" TargetMode="External"/><Relationship Id="rId20" Type="http://schemas.openxmlformats.org/officeDocument/2006/relationships/hyperlink" Target="https://www.ihpa.gov.au/publications/pricing-framework-australian-public-hospital-services-2019-20" TargetMode="External"/><Relationship Id="rId41" Type="http://schemas.openxmlformats.org/officeDocument/2006/relationships/hyperlink" Target="https://www.ihpa.gov.au/publications/annual-review-general-list-scope-public-hospital-services" TargetMode="External"/><Relationship Id="rId62" Type="http://schemas.openxmlformats.org/officeDocument/2006/relationships/image" Target="media/image17.png"/><Relationship Id="rId83" Type="http://schemas.openxmlformats.org/officeDocument/2006/relationships/hyperlink" Target="https://www.ihpa.gov.au/publications/national-hospital-cost-data-collection-report-public-sector-round-21-financial-year" TargetMode="External"/><Relationship Id="rId88" Type="http://schemas.openxmlformats.org/officeDocument/2006/relationships/image" Target="media/image22.png"/><Relationship Id="rId111" Type="http://schemas.openxmlformats.org/officeDocument/2006/relationships/hyperlink" Target="https://www.safetyandquality.gov.au/our-work/indicators/australian-sentinel-events-list/" TargetMode="External"/><Relationship Id="rId15" Type="http://schemas.openxmlformats.org/officeDocument/2006/relationships/image" Target="media/image5.png"/><Relationship Id="rId36" Type="http://schemas.openxmlformats.org/officeDocument/2006/relationships/header" Target="header10.xml"/><Relationship Id="rId57" Type="http://schemas.openxmlformats.org/officeDocument/2006/relationships/header" Target="header16.xml"/><Relationship Id="rId106" Type="http://schemas.openxmlformats.org/officeDocument/2006/relationships/header" Target="header33.xml"/><Relationship Id="rId12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header" Target="header8.xml"/><Relationship Id="rId52" Type="http://schemas.openxmlformats.org/officeDocument/2006/relationships/header" Target="header14.xml"/><Relationship Id="rId73" Type="http://schemas.openxmlformats.org/officeDocument/2006/relationships/header" Target="header21.xml"/><Relationship Id="rId78" Type="http://schemas.openxmlformats.org/officeDocument/2006/relationships/footer" Target="footer8.xml"/><Relationship Id="rId94" Type="http://schemas.openxmlformats.org/officeDocument/2006/relationships/header" Target="header27.xml"/><Relationship Id="rId99" Type="http://schemas.openxmlformats.org/officeDocument/2006/relationships/footer" Target="footer10.xml"/><Relationship Id="rId101" Type="http://schemas.openxmlformats.org/officeDocument/2006/relationships/header" Target="header30.xml"/><Relationship Id="rId122" Type="http://schemas.openxmlformats.org/officeDocument/2006/relationships/hyperlink" Target="mailto:enquiries.ihpa@ihpa.gov.au" TargetMode="Externa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AAFBB-6167-BF44-83E0-C3460F44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43</Pages>
  <Words>11558</Words>
  <Characters>65882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Consultation Paper on the Pricing Framework for Australian Public Hospital Services 2020-21</vt:lpstr>
    </vt:vector>
  </TitlesOfParts>
  <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the Pricing Framework for Australian Public Hospital Services 2020-21</dc:title>
  <dc:subject/>
  <dc:creator>IHPA - Independent Hospital Pricing Authority</dc:creator>
  <cp:keywords/>
  <dc:description/>
  <cp:lastModifiedBy>Chris Gray</cp:lastModifiedBy>
  <cp:revision>152</cp:revision>
  <dcterms:created xsi:type="dcterms:W3CDTF">2019-06-19T03:20:00Z</dcterms:created>
  <dcterms:modified xsi:type="dcterms:W3CDTF">2019-06-23T23:53:00Z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