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E333F5" w14:textId="77777777" w:rsidR="00C415F5" w:rsidRPr="0065414C" w:rsidRDefault="00D141FD" w:rsidP="008659C2">
      <w:pPr>
        <w:pStyle w:val="CoverTitle"/>
      </w:pPr>
      <w:bookmarkStart w:id="0" w:name="_top"/>
      <w:bookmarkStart w:id="1" w:name="_Toc45809571"/>
      <w:bookmarkStart w:id="2" w:name="_Toc49953728"/>
      <w:bookmarkStart w:id="3" w:name="_Toc49954238"/>
      <w:bookmarkStart w:id="4" w:name="_Toc50446166"/>
      <w:bookmarkEnd w:id="0"/>
      <w:r w:rsidRPr="0065414C">
        <w:rPr>
          <w:noProof/>
          <w:sz w:val="20"/>
          <w:lang w:eastAsia="en-AU" w:bidi="ar-SA"/>
        </w:rPr>
        <w:drawing>
          <wp:anchor distT="0" distB="0" distL="114300" distR="114300" simplePos="0" relativeHeight="251628544" behindDoc="1" locked="0" layoutInCell="1" allowOverlap="1" wp14:anchorId="571A6831" wp14:editId="1C1E2B1E">
            <wp:simplePos x="0" y="0"/>
            <wp:positionH relativeFrom="column">
              <wp:posOffset>-904875</wp:posOffset>
            </wp:positionH>
            <wp:positionV relativeFrom="page">
              <wp:posOffset>9525</wp:posOffset>
            </wp:positionV>
            <wp:extent cx="7629525" cy="10687050"/>
            <wp:effectExtent l="0" t="0" r="952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29525" cy="10687050"/>
                    </a:xfrm>
                    <a:prstGeom prst="rect">
                      <a:avLst/>
                    </a:prstGeom>
                    <a:ln>
                      <a:noFill/>
                    </a:ln>
                  </pic:spPr>
                </pic:pic>
              </a:graphicData>
            </a:graphic>
            <wp14:sizeRelH relativeFrom="margin">
              <wp14:pctWidth>0</wp14:pctWidth>
            </wp14:sizeRelH>
            <wp14:sizeRelV relativeFrom="margin">
              <wp14:pctHeight>0</wp14:pctHeight>
            </wp14:sizeRelV>
          </wp:anchor>
        </w:drawing>
      </w:r>
      <w:bookmarkStart w:id="5" w:name="Cover"/>
      <w:bookmarkEnd w:id="5"/>
      <w:r w:rsidR="00603DEC" w:rsidRPr="0065414C">
        <w:t>Consultation Paper on the Pricing Framework for Australian Public Hospital Services</w:t>
      </w:r>
      <w:bookmarkEnd w:id="1"/>
      <w:bookmarkEnd w:id="2"/>
      <w:bookmarkEnd w:id="3"/>
      <w:bookmarkEnd w:id="4"/>
    </w:p>
    <w:p w14:paraId="134D3003" w14:textId="77777777" w:rsidR="00C415F5" w:rsidRPr="0065414C" w:rsidRDefault="00603DEC" w:rsidP="008659C2">
      <w:pPr>
        <w:pStyle w:val="CoverYear"/>
        <w:rPr>
          <w:b/>
        </w:rPr>
      </w:pPr>
      <w:bookmarkStart w:id="6" w:name="_Toc45809572"/>
      <w:bookmarkStart w:id="7" w:name="_Toc49953729"/>
      <w:bookmarkStart w:id="8" w:name="_Toc49954239"/>
      <w:bookmarkStart w:id="9" w:name="_Toc50446167"/>
      <w:r w:rsidRPr="0065414C">
        <w:t>202</w:t>
      </w:r>
      <w:r w:rsidR="008A071B" w:rsidRPr="0065414C">
        <w:t>1</w:t>
      </w:r>
      <w:r w:rsidRPr="0065414C">
        <w:t>–2</w:t>
      </w:r>
      <w:r w:rsidR="008A071B" w:rsidRPr="0065414C">
        <w:t>2</w:t>
      </w:r>
      <w:bookmarkEnd w:id="6"/>
      <w:bookmarkEnd w:id="7"/>
      <w:bookmarkEnd w:id="8"/>
      <w:bookmarkEnd w:id="9"/>
    </w:p>
    <w:p w14:paraId="13379166" w14:textId="384CD8A4" w:rsidR="00C415F5" w:rsidRPr="0065414C" w:rsidRDefault="008A071B" w:rsidP="00D141FD">
      <w:pPr>
        <w:spacing w:before="85"/>
        <w:ind w:left="1417" w:hanging="1418"/>
        <w:rPr>
          <w:rFonts w:cs="Arial"/>
          <w:sz w:val="36"/>
        </w:rPr>
      </w:pPr>
      <w:r w:rsidRPr="0065414C">
        <w:rPr>
          <w:rFonts w:cs="Arial"/>
          <w:color w:val="7EC352"/>
          <w:sz w:val="36"/>
        </w:rPr>
        <w:t>September</w:t>
      </w:r>
      <w:r w:rsidR="00603DEC" w:rsidRPr="0065414C">
        <w:rPr>
          <w:rFonts w:cs="Arial"/>
          <w:color w:val="7EC352"/>
          <w:sz w:val="36"/>
        </w:rPr>
        <w:t xml:space="preserve"> 20</w:t>
      </w:r>
      <w:r w:rsidRPr="0065414C">
        <w:rPr>
          <w:rFonts w:cs="Arial"/>
          <w:color w:val="7EC352"/>
          <w:sz w:val="36"/>
        </w:rPr>
        <w:t>20</w:t>
      </w:r>
    </w:p>
    <w:p w14:paraId="55D1B345" w14:textId="6A266AFF" w:rsidR="00C415F5" w:rsidRPr="0065414C" w:rsidRDefault="00603DEC" w:rsidP="001C5C18">
      <w:pPr>
        <w:spacing w:before="480"/>
        <w:ind w:left="1424" w:hanging="1418"/>
        <w:rPr>
          <w:rFonts w:cs="Arial"/>
          <w:sz w:val="20"/>
        </w:rPr>
      </w:pPr>
      <w:r w:rsidRPr="0065414C">
        <w:rPr>
          <w:rFonts w:cs="Arial"/>
          <w:color w:val="FFFFFF"/>
          <w:sz w:val="20"/>
        </w:rPr>
        <w:t>Independent Hospital Pricing Authority</w:t>
      </w:r>
      <w:r w:rsidR="001C5C18">
        <w:rPr>
          <w:rFonts w:cs="Arial"/>
          <w:noProof/>
          <w:sz w:val="36"/>
        </w:rPr>
        <w:tab/>
      </w:r>
      <w:r w:rsidR="001C5C18">
        <w:rPr>
          <w:rFonts w:cs="Arial"/>
          <w:noProof/>
          <w:sz w:val="36"/>
        </w:rPr>
        <w:tab/>
      </w:r>
      <w:r w:rsidR="001C5C18">
        <w:rPr>
          <w:rFonts w:cs="Arial"/>
          <w:noProof/>
          <w:sz w:val="36"/>
        </w:rPr>
        <w:tab/>
      </w:r>
      <w:r w:rsidR="001C5C18">
        <w:rPr>
          <w:rFonts w:cs="Arial"/>
          <w:noProof/>
          <w:sz w:val="36"/>
        </w:rPr>
        <w:tab/>
      </w:r>
      <w:r w:rsidR="001C5C18">
        <w:rPr>
          <w:rFonts w:cs="Arial"/>
          <w:noProof/>
          <w:sz w:val="36"/>
        </w:rPr>
        <w:tab/>
      </w:r>
      <w:r w:rsidR="001C5C18">
        <w:rPr>
          <w:rFonts w:cs="Arial"/>
          <w:noProof/>
          <w:sz w:val="36"/>
        </w:rPr>
        <w:tab/>
      </w:r>
      <w:r w:rsidR="001C5C18">
        <w:rPr>
          <w:rFonts w:cs="Arial"/>
          <w:noProof/>
          <w:sz w:val="36"/>
        </w:rPr>
        <w:tab/>
      </w:r>
      <w:r w:rsidR="001C5C18">
        <w:rPr>
          <w:rFonts w:cs="Arial"/>
          <w:noProof/>
          <w:sz w:val="36"/>
        </w:rPr>
        <w:drawing>
          <wp:inline distT="0" distB="0" distL="0" distR="0" wp14:anchorId="4FE0ABA3" wp14:editId="79256EAB">
            <wp:extent cx="667385" cy="1011555"/>
            <wp:effectExtent l="0" t="0" r="0" b="0"/>
            <wp:docPr id="26" name="Picture 26" descr="IH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HPA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7385" cy="1011555"/>
                    </a:xfrm>
                    <a:prstGeom prst="rect">
                      <a:avLst/>
                    </a:prstGeom>
                  </pic:spPr>
                </pic:pic>
              </a:graphicData>
            </a:graphic>
          </wp:inline>
        </w:drawing>
      </w:r>
    </w:p>
    <w:p w14:paraId="68D74743" w14:textId="77777777" w:rsidR="00C415F5" w:rsidRPr="0065414C" w:rsidRDefault="00C415F5">
      <w:pPr>
        <w:rPr>
          <w:rFonts w:cs="Arial"/>
          <w:sz w:val="20"/>
        </w:rPr>
        <w:sectPr w:rsidR="00C415F5" w:rsidRPr="0065414C" w:rsidSect="001A4606">
          <w:headerReference w:type="default" r:id="rId10"/>
          <w:type w:val="continuous"/>
          <w:pgSz w:w="11910" w:h="16840"/>
          <w:pgMar w:top="9498" w:right="1440" w:bottom="1440" w:left="1440" w:header="0" w:footer="720" w:gutter="0"/>
          <w:cols w:space="720"/>
          <w:docGrid w:linePitch="299"/>
        </w:sectPr>
      </w:pPr>
    </w:p>
    <w:p w14:paraId="25D5D671" w14:textId="77777777" w:rsidR="00AB028F" w:rsidRPr="0065414C" w:rsidRDefault="00AB028F" w:rsidP="00AB028F">
      <w:pPr>
        <w:pStyle w:val="BodyText"/>
        <w:ind w:right="4210"/>
        <w:rPr>
          <w:rFonts w:eastAsia="Futura PT Bold" w:cs="Arial"/>
          <w:b/>
          <w:bCs/>
          <w:color w:val="003E2D"/>
          <w:sz w:val="22"/>
        </w:rPr>
      </w:pPr>
      <w:r w:rsidRPr="0065414C">
        <w:rPr>
          <w:rFonts w:eastAsia="Futura PT Bold" w:cs="Arial"/>
          <w:b/>
          <w:bCs/>
          <w:color w:val="003E2D"/>
          <w:sz w:val="22"/>
        </w:rPr>
        <w:lastRenderedPageBreak/>
        <w:t>Consultation Paper on the Pricing Framework for Australian Public Hospital Services</w:t>
      </w:r>
      <w:r w:rsidRPr="0065414C">
        <w:rPr>
          <w:rFonts w:eastAsia="Futura PT Bold" w:cs="Arial"/>
          <w:b/>
          <w:bCs/>
          <w:color w:val="003E2D"/>
          <w:sz w:val="22"/>
        </w:rPr>
        <w:br/>
        <w:t>2021–22 — September 2020</w:t>
      </w:r>
    </w:p>
    <w:p w14:paraId="1790859E" w14:textId="77777777" w:rsidR="00603DEC" w:rsidRPr="0065414C" w:rsidRDefault="00603DEC" w:rsidP="00AB028F">
      <w:pPr>
        <w:pStyle w:val="BodyText"/>
        <w:rPr>
          <w:rFonts w:cs="Arial"/>
        </w:rPr>
      </w:pPr>
      <w:r w:rsidRPr="0065414C">
        <w:rPr>
          <w:rFonts w:cs="Arial"/>
        </w:rPr>
        <w:t>© Independent Hospital Pricing Authority 20</w:t>
      </w:r>
      <w:r w:rsidR="00AB028F" w:rsidRPr="0065414C">
        <w:rPr>
          <w:rFonts w:cs="Arial"/>
        </w:rPr>
        <w:t>20</w:t>
      </w:r>
    </w:p>
    <w:p w14:paraId="7A40693C" w14:textId="77777777" w:rsidR="001C5C18" w:rsidRDefault="00AB028F" w:rsidP="00392586">
      <w:pPr>
        <w:pStyle w:val="BodyText"/>
        <w:ind w:right="4210"/>
        <w:rPr>
          <w:rFonts w:cs="Arial"/>
          <w:noProof/>
          <w:sz w:val="22"/>
          <w:lang w:eastAsia="en-AU" w:bidi="ar-SA"/>
        </w:rPr>
      </w:pPr>
      <w:r w:rsidRPr="0065414C">
        <w:rPr>
          <w:rFonts w:cs="Arial"/>
        </w:rPr>
        <w:t xml:space="preserve">This publication is available for your use under a Creative Commons BY Attribution 3.0 Australia licence, </w:t>
      </w:r>
      <w:proofErr w:type="gramStart"/>
      <w:r w:rsidRPr="0065414C">
        <w:rPr>
          <w:rFonts w:cs="Arial"/>
        </w:rPr>
        <w:t>with the exception of</w:t>
      </w:r>
      <w:proofErr w:type="gramEnd"/>
      <w:r w:rsidRPr="0065414C">
        <w:rPr>
          <w:rFonts w:cs="Arial"/>
        </w:rPr>
        <w:t xml:space="preserve"> the Independent Hospital Pricing Authority logo, photographs, images, signatures and where otherwise stated. The full licence terms are available from the Creative Commons website.</w:t>
      </w:r>
      <w:r w:rsidR="001C5C18" w:rsidRPr="001C5C18">
        <w:rPr>
          <w:rFonts w:cs="Arial"/>
          <w:noProof/>
          <w:sz w:val="22"/>
          <w:lang w:eastAsia="en-AU" w:bidi="ar-SA"/>
        </w:rPr>
        <w:t xml:space="preserve"> </w:t>
      </w:r>
    </w:p>
    <w:p w14:paraId="1E62CCB3" w14:textId="39B1EF91" w:rsidR="00C415F5" w:rsidRPr="0065414C" w:rsidRDefault="001C5C18" w:rsidP="00392586">
      <w:pPr>
        <w:pStyle w:val="BodyText"/>
        <w:ind w:right="4210"/>
        <w:rPr>
          <w:rFonts w:cs="Arial"/>
        </w:rPr>
      </w:pPr>
      <w:r w:rsidRPr="0065414C">
        <w:rPr>
          <w:rFonts w:cs="Arial"/>
          <w:noProof/>
          <w:sz w:val="22"/>
          <w:lang w:eastAsia="en-AU" w:bidi="ar-SA"/>
        </w:rPr>
        <w:drawing>
          <wp:inline distT="0" distB="0" distL="0" distR="0" wp14:anchorId="0C095366" wp14:editId="5CD12DDE">
            <wp:extent cx="1175004" cy="411480"/>
            <wp:effectExtent l="0" t="0" r="6350" b="7620"/>
            <wp:docPr id="4" name="Picture 4" descr="Creative Commons Attribution 3.0 Australi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reative Commons Attribution 3.0 Australia licence"/>
                    <pic:cNvPicPr/>
                  </pic:nvPicPr>
                  <pic:blipFill>
                    <a:blip r:embed="rId11">
                      <a:extLst>
                        <a:ext uri="{28A0092B-C50C-407E-A947-70E740481C1C}">
                          <a14:useLocalDpi xmlns:a14="http://schemas.microsoft.com/office/drawing/2010/main" val="0"/>
                        </a:ext>
                      </a:extLst>
                    </a:blip>
                    <a:stretch>
                      <a:fillRect/>
                    </a:stretch>
                  </pic:blipFill>
                  <pic:spPr>
                    <a:xfrm>
                      <a:off x="0" y="0"/>
                      <a:ext cx="1175004" cy="411480"/>
                    </a:xfrm>
                    <a:prstGeom prst="rect">
                      <a:avLst/>
                    </a:prstGeom>
                  </pic:spPr>
                </pic:pic>
              </a:graphicData>
            </a:graphic>
          </wp:inline>
        </w:drawing>
      </w:r>
    </w:p>
    <w:p w14:paraId="4F53C1BF" w14:textId="77777777" w:rsidR="00C415F5" w:rsidRPr="0065414C" w:rsidRDefault="00AB028F" w:rsidP="00392586">
      <w:pPr>
        <w:pStyle w:val="BodyText"/>
        <w:ind w:right="4210"/>
        <w:rPr>
          <w:rFonts w:cs="Arial"/>
        </w:rPr>
      </w:pPr>
      <w:r w:rsidRPr="0065414C">
        <w:rPr>
          <w:rFonts w:cs="Arial"/>
        </w:rPr>
        <w:t>Use of Independent Hospital Pricing Authority material under a Creative Commons BY Attribution 3.0 Australia licence requires you to attribute the work (but not in any way that suggests that the Independent Hospital Pricing Authority endorses you or your use of the work).</w:t>
      </w:r>
    </w:p>
    <w:p w14:paraId="5B3CAA9B" w14:textId="77777777" w:rsidR="00C415F5" w:rsidRPr="0065414C" w:rsidRDefault="00AB028F" w:rsidP="00392586">
      <w:pPr>
        <w:spacing w:before="166" w:line="256" w:lineRule="auto"/>
        <w:ind w:right="4210"/>
        <w:rPr>
          <w:rFonts w:cs="Arial"/>
          <w:i/>
          <w:sz w:val="19"/>
        </w:rPr>
      </w:pPr>
      <w:r w:rsidRPr="0065414C">
        <w:rPr>
          <w:rFonts w:cs="Arial"/>
          <w:i/>
          <w:color w:val="58595B"/>
          <w:sz w:val="19"/>
        </w:rPr>
        <w:t>Independent Hospital Pricing Authority material used 'as supplied'.</w:t>
      </w:r>
    </w:p>
    <w:p w14:paraId="4169DD91" w14:textId="77777777" w:rsidR="00AB028F" w:rsidRPr="0065414C" w:rsidRDefault="00AB028F" w:rsidP="00392586">
      <w:pPr>
        <w:spacing w:before="167"/>
        <w:ind w:right="4210"/>
        <w:rPr>
          <w:rFonts w:cs="Arial"/>
          <w:color w:val="58595B"/>
          <w:sz w:val="19"/>
          <w:szCs w:val="19"/>
        </w:rPr>
      </w:pPr>
      <w:r w:rsidRPr="0065414C">
        <w:rPr>
          <w:rFonts w:cs="Arial"/>
          <w:color w:val="58595B"/>
          <w:sz w:val="19"/>
          <w:szCs w:val="19"/>
        </w:rPr>
        <w:t>Provided you have not modified or transformed Independent Hospital Pricing Authority material in any way including, for example, by changing Independent Hospital Pricing Authority text – then the Independent Hospital Pricing Authority prefers the following attribution:</w:t>
      </w:r>
    </w:p>
    <w:p w14:paraId="1565D4AD" w14:textId="77777777" w:rsidR="00C415F5" w:rsidRPr="0065414C" w:rsidRDefault="00603DEC" w:rsidP="00392586">
      <w:pPr>
        <w:spacing w:before="167"/>
        <w:ind w:right="4210"/>
        <w:rPr>
          <w:rFonts w:cs="Arial"/>
          <w:i/>
          <w:sz w:val="19"/>
        </w:rPr>
      </w:pPr>
      <w:r w:rsidRPr="0065414C">
        <w:rPr>
          <w:rFonts w:cs="Arial"/>
          <w:i/>
          <w:color w:val="58595B"/>
          <w:sz w:val="19"/>
        </w:rPr>
        <w:t>Source: The Independent Hospital Pricing Authority</w:t>
      </w:r>
    </w:p>
    <w:p w14:paraId="7E9CB1E2" w14:textId="77777777" w:rsidR="00C415F5" w:rsidRPr="0065414C" w:rsidRDefault="00C415F5">
      <w:pPr>
        <w:rPr>
          <w:rFonts w:cs="Arial"/>
          <w:sz w:val="19"/>
        </w:rPr>
        <w:sectPr w:rsidR="00C415F5" w:rsidRPr="0065414C" w:rsidSect="00392586">
          <w:headerReference w:type="default" r:id="rId12"/>
          <w:pgSz w:w="11910" w:h="16840"/>
          <w:pgMar w:top="7797" w:right="1440" w:bottom="1440" w:left="1440" w:header="0" w:footer="0" w:gutter="0"/>
          <w:cols w:space="720"/>
          <w:docGrid w:linePitch="299"/>
        </w:sectPr>
      </w:pPr>
    </w:p>
    <w:p w14:paraId="5C611E6A" w14:textId="77777777" w:rsidR="00C415F5" w:rsidRPr="0065414C" w:rsidRDefault="00603DEC" w:rsidP="0051182E">
      <w:pPr>
        <w:pStyle w:val="Heading1"/>
        <w:spacing w:before="0"/>
        <w:rPr>
          <w:rFonts w:cs="Arial"/>
        </w:rPr>
      </w:pPr>
      <w:bookmarkStart w:id="10" w:name="Table_of_contents"/>
      <w:bookmarkStart w:id="11" w:name="_Toc45809573"/>
      <w:bookmarkStart w:id="12" w:name="_Toc49953730"/>
      <w:bookmarkStart w:id="13" w:name="_Toc49954240"/>
      <w:bookmarkStart w:id="14" w:name="_Toc50446168"/>
      <w:bookmarkEnd w:id="10"/>
      <w:r w:rsidRPr="0065414C">
        <w:rPr>
          <w:rFonts w:cs="Arial"/>
        </w:rPr>
        <w:lastRenderedPageBreak/>
        <w:t>Table of contents</w:t>
      </w:r>
      <w:bookmarkEnd w:id="11"/>
      <w:bookmarkEnd w:id="12"/>
      <w:bookmarkEnd w:id="13"/>
      <w:bookmarkEnd w:id="14"/>
    </w:p>
    <w:p w14:paraId="500F2C19" w14:textId="3DEA0E7A" w:rsidR="0002557D" w:rsidRDefault="006765B9" w:rsidP="0002557D">
      <w:pPr>
        <w:pStyle w:val="TOC1"/>
        <w:numPr>
          <w:ilvl w:val="0"/>
          <w:numId w:val="0"/>
        </w:numPr>
        <w:tabs>
          <w:tab w:val="right" w:leader="dot" w:pos="9020"/>
        </w:tabs>
        <w:ind w:left="717" w:hanging="360"/>
        <w:rPr>
          <w:rFonts w:asciiTheme="minorHAnsi" w:eastAsiaTheme="minorEastAsia" w:hAnsiTheme="minorHAnsi" w:cstheme="minorBidi"/>
          <w:b w:val="0"/>
          <w:noProof/>
          <w:color w:val="auto"/>
          <w:sz w:val="22"/>
          <w:szCs w:val="22"/>
          <w:lang w:val="en-PH" w:eastAsia="en-PH" w:bidi="ar-SA"/>
        </w:rPr>
      </w:pPr>
      <w:r w:rsidRPr="007A1BB9">
        <w:rPr>
          <w:rFonts w:cs="Arial"/>
        </w:rPr>
        <w:fldChar w:fldCharType="begin"/>
      </w:r>
      <w:r>
        <w:rPr>
          <w:rFonts w:cs="Arial"/>
        </w:rPr>
        <w:instrText xml:space="preserve"> TOC \o "2-2" \h \z \t "Section header,1" </w:instrText>
      </w:r>
      <w:r w:rsidRPr="007A1BB9">
        <w:rPr>
          <w:rFonts w:cs="Arial"/>
        </w:rPr>
        <w:fldChar w:fldCharType="separate"/>
      </w:r>
      <w:hyperlink w:anchor="_Toc50532293" w:history="1">
        <w:r w:rsidR="0002557D" w:rsidRPr="00F77C6D">
          <w:rPr>
            <w:rStyle w:val="Hyperlink"/>
            <w:noProof/>
          </w:rPr>
          <w:t>Glossary</w:t>
        </w:r>
        <w:r w:rsidR="0002557D">
          <w:rPr>
            <w:noProof/>
            <w:webHidden/>
          </w:rPr>
          <w:tab/>
        </w:r>
        <w:r w:rsidR="0002557D">
          <w:rPr>
            <w:noProof/>
            <w:webHidden/>
          </w:rPr>
          <w:fldChar w:fldCharType="begin"/>
        </w:r>
        <w:r w:rsidR="0002557D">
          <w:rPr>
            <w:noProof/>
            <w:webHidden/>
          </w:rPr>
          <w:instrText xml:space="preserve"> PAGEREF _Toc50532293 \h </w:instrText>
        </w:r>
        <w:r w:rsidR="0002557D">
          <w:rPr>
            <w:noProof/>
            <w:webHidden/>
          </w:rPr>
        </w:r>
        <w:r w:rsidR="0002557D">
          <w:rPr>
            <w:noProof/>
            <w:webHidden/>
          </w:rPr>
          <w:fldChar w:fldCharType="separate"/>
        </w:r>
        <w:r w:rsidR="0002557D">
          <w:rPr>
            <w:noProof/>
            <w:webHidden/>
          </w:rPr>
          <w:t>1</w:t>
        </w:r>
        <w:r w:rsidR="0002557D">
          <w:rPr>
            <w:noProof/>
            <w:webHidden/>
          </w:rPr>
          <w:fldChar w:fldCharType="end"/>
        </w:r>
      </w:hyperlink>
    </w:p>
    <w:p w14:paraId="711B9FB5" w14:textId="4B7ADC8A" w:rsidR="0002557D" w:rsidRDefault="0002557D">
      <w:pPr>
        <w:pStyle w:val="TOC1"/>
        <w:tabs>
          <w:tab w:val="right" w:leader="dot" w:pos="9020"/>
        </w:tabs>
        <w:rPr>
          <w:rFonts w:asciiTheme="minorHAnsi" w:eastAsiaTheme="minorEastAsia" w:hAnsiTheme="minorHAnsi" w:cstheme="minorBidi"/>
          <w:b w:val="0"/>
          <w:noProof/>
          <w:color w:val="auto"/>
          <w:sz w:val="22"/>
          <w:szCs w:val="22"/>
          <w:lang w:val="en-PH" w:eastAsia="en-PH" w:bidi="ar-SA"/>
        </w:rPr>
      </w:pPr>
      <w:hyperlink w:anchor="_Toc50532294" w:history="1">
        <w:r w:rsidRPr="00F77C6D">
          <w:rPr>
            <w:rStyle w:val="Hyperlink"/>
            <w:noProof/>
          </w:rPr>
          <w:t>Introduction</w:t>
        </w:r>
        <w:r>
          <w:rPr>
            <w:noProof/>
            <w:webHidden/>
          </w:rPr>
          <w:tab/>
        </w:r>
        <w:r>
          <w:rPr>
            <w:noProof/>
            <w:webHidden/>
          </w:rPr>
          <w:fldChar w:fldCharType="begin"/>
        </w:r>
        <w:r>
          <w:rPr>
            <w:noProof/>
            <w:webHidden/>
          </w:rPr>
          <w:instrText xml:space="preserve"> PAGEREF _Toc50532294 \h </w:instrText>
        </w:r>
        <w:r>
          <w:rPr>
            <w:noProof/>
            <w:webHidden/>
          </w:rPr>
        </w:r>
        <w:r>
          <w:rPr>
            <w:noProof/>
            <w:webHidden/>
          </w:rPr>
          <w:fldChar w:fldCharType="separate"/>
        </w:r>
        <w:r>
          <w:rPr>
            <w:noProof/>
            <w:webHidden/>
          </w:rPr>
          <w:t>2</w:t>
        </w:r>
        <w:r>
          <w:rPr>
            <w:noProof/>
            <w:webHidden/>
          </w:rPr>
          <w:fldChar w:fldCharType="end"/>
        </w:r>
      </w:hyperlink>
    </w:p>
    <w:p w14:paraId="4BCAE0C8" w14:textId="5D8B64F7" w:rsidR="0002557D" w:rsidRDefault="0002557D">
      <w:pPr>
        <w:pStyle w:val="TOC1"/>
        <w:tabs>
          <w:tab w:val="right" w:leader="dot" w:pos="9020"/>
        </w:tabs>
        <w:rPr>
          <w:rFonts w:asciiTheme="minorHAnsi" w:eastAsiaTheme="minorEastAsia" w:hAnsiTheme="minorHAnsi" w:cstheme="minorBidi"/>
          <w:b w:val="0"/>
          <w:noProof/>
          <w:color w:val="auto"/>
          <w:sz w:val="22"/>
          <w:szCs w:val="22"/>
          <w:lang w:val="en-PH" w:eastAsia="en-PH" w:bidi="ar-SA"/>
        </w:rPr>
      </w:pPr>
      <w:hyperlink w:anchor="_Toc50532295" w:history="1">
        <w:r w:rsidRPr="00F77C6D">
          <w:rPr>
            <w:rStyle w:val="Hyperlink"/>
            <w:noProof/>
          </w:rPr>
          <w:t>Addendum to the National Health Reform Agreement 2020–2025</w:t>
        </w:r>
        <w:r>
          <w:rPr>
            <w:noProof/>
            <w:webHidden/>
          </w:rPr>
          <w:tab/>
        </w:r>
        <w:r>
          <w:rPr>
            <w:noProof/>
            <w:webHidden/>
          </w:rPr>
          <w:fldChar w:fldCharType="begin"/>
        </w:r>
        <w:r>
          <w:rPr>
            <w:noProof/>
            <w:webHidden/>
          </w:rPr>
          <w:instrText xml:space="preserve"> PAGEREF _Toc50532295 \h </w:instrText>
        </w:r>
        <w:r>
          <w:rPr>
            <w:noProof/>
            <w:webHidden/>
          </w:rPr>
        </w:r>
        <w:r>
          <w:rPr>
            <w:noProof/>
            <w:webHidden/>
          </w:rPr>
          <w:fldChar w:fldCharType="separate"/>
        </w:r>
        <w:r>
          <w:rPr>
            <w:noProof/>
            <w:webHidden/>
          </w:rPr>
          <w:t>5</w:t>
        </w:r>
        <w:r>
          <w:rPr>
            <w:noProof/>
            <w:webHidden/>
          </w:rPr>
          <w:fldChar w:fldCharType="end"/>
        </w:r>
      </w:hyperlink>
    </w:p>
    <w:p w14:paraId="411E4694" w14:textId="68AC246A" w:rsidR="0002557D" w:rsidRDefault="0002557D">
      <w:pPr>
        <w:pStyle w:val="TOC2"/>
        <w:rPr>
          <w:rFonts w:asciiTheme="minorHAnsi" w:eastAsiaTheme="minorEastAsia" w:hAnsiTheme="minorHAnsi" w:cstheme="minorBidi"/>
          <w:color w:val="auto"/>
          <w:sz w:val="22"/>
          <w:szCs w:val="22"/>
          <w:lang w:val="en-PH" w:eastAsia="en-PH" w:bidi="ar-SA"/>
        </w:rPr>
      </w:pPr>
      <w:hyperlink w:anchor="_Toc50532296" w:history="1">
        <w:r w:rsidRPr="00F77C6D">
          <w:rPr>
            <w:rStyle w:val="Hyperlink"/>
            <w:rFonts w:cs="Arial"/>
          </w:rPr>
          <w:t>2.1. Working with Australian governments, AHMAC and the CHC</w:t>
        </w:r>
        <w:r>
          <w:rPr>
            <w:webHidden/>
          </w:rPr>
          <w:tab/>
        </w:r>
        <w:r>
          <w:rPr>
            <w:webHidden/>
          </w:rPr>
          <w:fldChar w:fldCharType="begin"/>
        </w:r>
        <w:r>
          <w:rPr>
            <w:webHidden/>
          </w:rPr>
          <w:instrText xml:space="preserve"> PAGEREF _Toc50532296 \h </w:instrText>
        </w:r>
        <w:r>
          <w:rPr>
            <w:webHidden/>
          </w:rPr>
        </w:r>
        <w:r>
          <w:rPr>
            <w:webHidden/>
          </w:rPr>
          <w:fldChar w:fldCharType="separate"/>
        </w:r>
        <w:r>
          <w:rPr>
            <w:webHidden/>
          </w:rPr>
          <w:t>6</w:t>
        </w:r>
        <w:r>
          <w:rPr>
            <w:webHidden/>
          </w:rPr>
          <w:fldChar w:fldCharType="end"/>
        </w:r>
      </w:hyperlink>
    </w:p>
    <w:p w14:paraId="41866126" w14:textId="3A227BE6" w:rsidR="0002557D" w:rsidRDefault="0002557D">
      <w:pPr>
        <w:pStyle w:val="TOC2"/>
        <w:rPr>
          <w:rFonts w:asciiTheme="minorHAnsi" w:eastAsiaTheme="minorEastAsia" w:hAnsiTheme="minorHAnsi" w:cstheme="minorBidi"/>
          <w:color w:val="auto"/>
          <w:sz w:val="22"/>
          <w:szCs w:val="22"/>
          <w:lang w:val="en-PH" w:eastAsia="en-PH" w:bidi="ar-SA"/>
        </w:rPr>
      </w:pPr>
      <w:hyperlink w:anchor="_Toc50532297" w:history="1">
        <w:r w:rsidRPr="00F77C6D">
          <w:rPr>
            <w:rStyle w:val="Hyperlink"/>
            <w:rFonts w:cs="Arial"/>
          </w:rPr>
          <w:t>2.2. Shadow pricing periods</w:t>
        </w:r>
        <w:r>
          <w:rPr>
            <w:webHidden/>
          </w:rPr>
          <w:tab/>
        </w:r>
        <w:r>
          <w:rPr>
            <w:webHidden/>
          </w:rPr>
          <w:fldChar w:fldCharType="begin"/>
        </w:r>
        <w:r>
          <w:rPr>
            <w:webHidden/>
          </w:rPr>
          <w:instrText xml:space="preserve"> PAGEREF _Toc50532297 \h </w:instrText>
        </w:r>
        <w:r>
          <w:rPr>
            <w:webHidden/>
          </w:rPr>
        </w:r>
        <w:r>
          <w:rPr>
            <w:webHidden/>
          </w:rPr>
          <w:fldChar w:fldCharType="separate"/>
        </w:r>
        <w:r>
          <w:rPr>
            <w:webHidden/>
          </w:rPr>
          <w:t>7</w:t>
        </w:r>
        <w:r>
          <w:rPr>
            <w:webHidden/>
          </w:rPr>
          <w:fldChar w:fldCharType="end"/>
        </w:r>
      </w:hyperlink>
    </w:p>
    <w:p w14:paraId="5B49D049" w14:textId="6945FFBF" w:rsidR="0002557D" w:rsidRDefault="0002557D">
      <w:pPr>
        <w:pStyle w:val="TOC2"/>
        <w:rPr>
          <w:rFonts w:asciiTheme="minorHAnsi" w:eastAsiaTheme="minorEastAsia" w:hAnsiTheme="minorHAnsi" w:cstheme="minorBidi"/>
          <w:color w:val="auto"/>
          <w:sz w:val="22"/>
          <w:szCs w:val="22"/>
          <w:lang w:val="en-PH" w:eastAsia="en-PH" w:bidi="ar-SA"/>
        </w:rPr>
      </w:pPr>
      <w:hyperlink w:anchor="_Toc50532298" w:history="1">
        <w:r w:rsidRPr="00F77C6D">
          <w:rPr>
            <w:rStyle w:val="Hyperlink"/>
            <w:rFonts w:cs="Arial"/>
          </w:rPr>
          <w:t>2.3. New high cost, highly specialised therapies</w:t>
        </w:r>
        <w:r>
          <w:rPr>
            <w:webHidden/>
          </w:rPr>
          <w:tab/>
        </w:r>
        <w:r>
          <w:rPr>
            <w:webHidden/>
          </w:rPr>
          <w:fldChar w:fldCharType="begin"/>
        </w:r>
        <w:r>
          <w:rPr>
            <w:webHidden/>
          </w:rPr>
          <w:instrText xml:space="preserve"> PAGEREF _Toc50532298 \h </w:instrText>
        </w:r>
        <w:r>
          <w:rPr>
            <w:webHidden/>
          </w:rPr>
        </w:r>
        <w:r>
          <w:rPr>
            <w:webHidden/>
          </w:rPr>
          <w:fldChar w:fldCharType="separate"/>
        </w:r>
        <w:r>
          <w:rPr>
            <w:webHidden/>
          </w:rPr>
          <w:t>7</w:t>
        </w:r>
        <w:r>
          <w:rPr>
            <w:webHidden/>
          </w:rPr>
          <w:fldChar w:fldCharType="end"/>
        </w:r>
      </w:hyperlink>
    </w:p>
    <w:p w14:paraId="39C8666C" w14:textId="05630B84" w:rsidR="0002557D" w:rsidRDefault="0002557D">
      <w:pPr>
        <w:pStyle w:val="TOC2"/>
        <w:rPr>
          <w:rFonts w:asciiTheme="minorHAnsi" w:eastAsiaTheme="minorEastAsia" w:hAnsiTheme="minorHAnsi" w:cstheme="minorBidi"/>
          <w:color w:val="auto"/>
          <w:sz w:val="22"/>
          <w:szCs w:val="22"/>
          <w:lang w:val="en-PH" w:eastAsia="en-PH" w:bidi="ar-SA"/>
        </w:rPr>
      </w:pPr>
      <w:hyperlink w:anchor="_Toc50532299" w:history="1">
        <w:r w:rsidRPr="00F77C6D">
          <w:rPr>
            <w:rStyle w:val="Hyperlink"/>
            <w:rFonts w:cs="Arial"/>
          </w:rPr>
          <w:t>2.4. Other issues arising from the Addendum</w:t>
        </w:r>
        <w:r>
          <w:rPr>
            <w:webHidden/>
          </w:rPr>
          <w:tab/>
        </w:r>
        <w:r>
          <w:rPr>
            <w:webHidden/>
          </w:rPr>
          <w:fldChar w:fldCharType="begin"/>
        </w:r>
        <w:r>
          <w:rPr>
            <w:webHidden/>
          </w:rPr>
          <w:instrText xml:space="preserve"> PAGEREF _Toc50532299 \h </w:instrText>
        </w:r>
        <w:r>
          <w:rPr>
            <w:webHidden/>
          </w:rPr>
        </w:r>
        <w:r>
          <w:rPr>
            <w:webHidden/>
          </w:rPr>
          <w:fldChar w:fldCharType="separate"/>
        </w:r>
        <w:r>
          <w:rPr>
            <w:webHidden/>
          </w:rPr>
          <w:t>7</w:t>
        </w:r>
        <w:r>
          <w:rPr>
            <w:webHidden/>
          </w:rPr>
          <w:fldChar w:fldCharType="end"/>
        </w:r>
      </w:hyperlink>
    </w:p>
    <w:p w14:paraId="580E1845" w14:textId="74937B89" w:rsidR="0002557D" w:rsidRDefault="0002557D">
      <w:pPr>
        <w:pStyle w:val="TOC1"/>
        <w:tabs>
          <w:tab w:val="right" w:leader="dot" w:pos="9020"/>
        </w:tabs>
        <w:rPr>
          <w:rFonts w:asciiTheme="minorHAnsi" w:eastAsiaTheme="minorEastAsia" w:hAnsiTheme="minorHAnsi" w:cstheme="minorBidi"/>
          <w:b w:val="0"/>
          <w:noProof/>
          <w:color w:val="auto"/>
          <w:sz w:val="22"/>
          <w:szCs w:val="22"/>
          <w:lang w:val="en-PH" w:eastAsia="en-PH" w:bidi="ar-SA"/>
        </w:rPr>
      </w:pPr>
      <w:hyperlink w:anchor="_Toc50532300" w:history="1">
        <w:r w:rsidRPr="00F77C6D">
          <w:rPr>
            <w:rStyle w:val="Hyperlink"/>
            <w:noProof/>
          </w:rPr>
          <w:t>Impact of COVID-19</w:t>
        </w:r>
        <w:r>
          <w:rPr>
            <w:noProof/>
            <w:webHidden/>
          </w:rPr>
          <w:tab/>
        </w:r>
        <w:r>
          <w:rPr>
            <w:noProof/>
            <w:webHidden/>
          </w:rPr>
          <w:fldChar w:fldCharType="begin"/>
        </w:r>
        <w:r>
          <w:rPr>
            <w:noProof/>
            <w:webHidden/>
          </w:rPr>
          <w:instrText xml:space="preserve"> PAGEREF _Toc50532300 \h </w:instrText>
        </w:r>
        <w:r>
          <w:rPr>
            <w:noProof/>
            <w:webHidden/>
          </w:rPr>
        </w:r>
        <w:r>
          <w:rPr>
            <w:noProof/>
            <w:webHidden/>
          </w:rPr>
          <w:fldChar w:fldCharType="separate"/>
        </w:r>
        <w:r>
          <w:rPr>
            <w:noProof/>
            <w:webHidden/>
          </w:rPr>
          <w:t>8</w:t>
        </w:r>
        <w:r>
          <w:rPr>
            <w:noProof/>
            <w:webHidden/>
          </w:rPr>
          <w:fldChar w:fldCharType="end"/>
        </w:r>
      </w:hyperlink>
    </w:p>
    <w:p w14:paraId="2FC60382" w14:textId="65BEA638" w:rsidR="0002557D" w:rsidRDefault="0002557D">
      <w:pPr>
        <w:pStyle w:val="TOC2"/>
        <w:rPr>
          <w:rFonts w:asciiTheme="minorHAnsi" w:eastAsiaTheme="minorEastAsia" w:hAnsiTheme="minorHAnsi" w:cstheme="minorBidi"/>
          <w:color w:val="auto"/>
          <w:sz w:val="22"/>
          <w:szCs w:val="22"/>
          <w:lang w:val="en-PH" w:eastAsia="en-PH" w:bidi="ar-SA"/>
        </w:rPr>
      </w:pPr>
      <w:hyperlink w:anchor="_Toc50532301" w:history="1">
        <w:r w:rsidRPr="00F77C6D">
          <w:rPr>
            <w:rStyle w:val="Hyperlink"/>
            <w:rFonts w:cs="Arial"/>
          </w:rPr>
          <w:t xml:space="preserve">3.1. </w:t>
        </w:r>
        <w:r w:rsidRPr="00F77C6D">
          <w:rPr>
            <w:rStyle w:val="Hyperlink"/>
            <w:rFonts w:eastAsia="Times New Roman" w:cs="Arial"/>
            <w:iCs/>
          </w:rPr>
          <w:t>Implications of COVID-19 on the pricing of public hospital service</w:t>
        </w:r>
        <w:r w:rsidRPr="00F77C6D">
          <w:rPr>
            <w:rStyle w:val="Hyperlink"/>
            <w:rFonts w:cs="Arial"/>
          </w:rPr>
          <w:t>s</w:t>
        </w:r>
        <w:r>
          <w:rPr>
            <w:webHidden/>
          </w:rPr>
          <w:tab/>
        </w:r>
        <w:r>
          <w:rPr>
            <w:webHidden/>
          </w:rPr>
          <w:fldChar w:fldCharType="begin"/>
        </w:r>
        <w:r>
          <w:rPr>
            <w:webHidden/>
          </w:rPr>
          <w:instrText xml:space="preserve"> PAGEREF _Toc50532301 \h </w:instrText>
        </w:r>
        <w:r>
          <w:rPr>
            <w:webHidden/>
          </w:rPr>
        </w:r>
        <w:r>
          <w:rPr>
            <w:webHidden/>
          </w:rPr>
          <w:fldChar w:fldCharType="separate"/>
        </w:r>
        <w:r>
          <w:rPr>
            <w:webHidden/>
          </w:rPr>
          <w:t>9</w:t>
        </w:r>
        <w:r>
          <w:rPr>
            <w:webHidden/>
          </w:rPr>
          <w:fldChar w:fldCharType="end"/>
        </w:r>
      </w:hyperlink>
    </w:p>
    <w:p w14:paraId="5A81500B" w14:textId="0E8AFC52" w:rsidR="0002557D" w:rsidRDefault="0002557D">
      <w:pPr>
        <w:pStyle w:val="TOC1"/>
        <w:tabs>
          <w:tab w:val="right" w:leader="dot" w:pos="9020"/>
        </w:tabs>
        <w:rPr>
          <w:rFonts w:asciiTheme="minorHAnsi" w:eastAsiaTheme="minorEastAsia" w:hAnsiTheme="minorHAnsi" w:cstheme="minorBidi"/>
          <w:b w:val="0"/>
          <w:noProof/>
          <w:color w:val="auto"/>
          <w:sz w:val="22"/>
          <w:szCs w:val="22"/>
          <w:lang w:val="en-PH" w:eastAsia="en-PH" w:bidi="ar-SA"/>
        </w:rPr>
      </w:pPr>
      <w:hyperlink w:anchor="_Toc50532302" w:history="1">
        <w:r w:rsidRPr="00F77C6D">
          <w:rPr>
            <w:rStyle w:val="Hyperlink"/>
            <w:noProof/>
          </w:rPr>
          <w:t>The Pricing Guidelines</w:t>
        </w:r>
        <w:r>
          <w:rPr>
            <w:noProof/>
            <w:webHidden/>
          </w:rPr>
          <w:tab/>
        </w:r>
        <w:r>
          <w:rPr>
            <w:noProof/>
            <w:webHidden/>
          </w:rPr>
          <w:fldChar w:fldCharType="begin"/>
        </w:r>
        <w:r>
          <w:rPr>
            <w:noProof/>
            <w:webHidden/>
          </w:rPr>
          <w:instrText xml:space="preserve"> PAGEREF _Toc50532302 \h </w:instrText>
        </w:r>
        <w:r>
          <w:rPr>
            <w:noProof/>
            <w:webHidden/>
          </w:rPr>
        </w:r>
        <w:r>
          <w:rPr>
            <w:noProof/>
            <w:webHidden/>
          </w:rPr>
          <w:fldChar w:fldCharType="separate"/>
        </w:r>
        <w:r>
          <w:rPr>
            <w:noProof/>
            <w:webHidden/>
          </w:rPr>
          <w:t>10</w:t>
        </w:r>
        <w:r>
          <w:rPr>
            <w:noProof/>
            <w:webHidden/>
          </w:rPr>
          <w:fldChar w:fldCharType="end"/>
        </w:r>
      </w:hyperlink>
    </w:p>
    <w:p w14:paraId="2DE88A38" w14:textId="12185E7B" w:rsidR="0002557D" w:rsidRDefault="0002557D">
      <w:pPr>
        <w:pStyle w:val="TOC2"/>
        <w:rPr>
          <w:rFonts w:asciiTheme="minorHAnsi" w:eastAsiaTheme="minorEastAsia" w:hAnsiTheme="minorHAnsi" w:cstheme="minorBidi"/>
          <w:color w:val="auto"/>
          <w:sz w:val="22"/>
          <w:szCs w:val="22"/>
          <w:lang w:val="en-PH" w:eastAsia="en-PH" w:bidi="ar-SA"/>
        </w:rPr>
      </w:pPr>
      <w:hyperlink w:anchor="_Toc50532303" w:history="1">
        <w:r w:rsidRPr="00F77C6D">
          <w:rPr>
            <w:rStyle w:val="Hyperlink"/>
            <w:rFonts w:cs="Arial"/>
          </w:rPr>
          <w:t>4.1. The Pricing Guidelines</w:t>
        </w:r>
        <w:r>
          <w:rPr>
            <w:webHidden/>
          </w:rPr>
          <w:tab/>
        </w:r>
        <w:r>
          <w:rPr>
            <w:webHidden/>
          </w:rPr>
          <w:fldChar w:fldCharType="begin"/>
        </w:r>
        <w:r>
          <w:rPr>
            <w:webHidden/>
          </w:rPr>
          <w:instrText xml:space="preserve"> PAGEREF _Toc50532303 \h </w:instrText>
        </w:r>
        <w:r>
          <w:rPr>
            <w:webHidden/>
          </w:rPr>
        </w:r>
        <w:r>
          <w:rPr>
            <w:webHidden/>
          </w:rPr>
          <w:fldChar w:fldCharType="separate"/>
        </w:r>
        <w:r>
          <w:rPr>
            <w:webHidden/>
          </w:rPr>
          <w:t>11</w:t>
        </w:r>
        <w:r>
          <w:rPr>
            <w:webHidden/>
          </w:rPr>
          <w:fldChar w:fldCharType="end"/>
        </w:r>
      </w:hyperlink>
    </w:p>
    <w:p w14:paraId="4D0B401D" w14:textId="26AA7ED5" w:rsidR="0002557D" w:rsidRDefault="0002557D">
      <w:pPr>
        <w:pStyle w:val="TOC1"/>
        <w:tabs>
          <w:tab w:val="right" w:leader="dot" w:pos="9020"/>
        </w:tabs>
        <w:rPr>
          <w:rFonts w:asciiTheme="minorHAnsi" w:eastAsiaTheme="minorEastAsia" w:hAnsiTheme="minorHAnsi" w:cstheme="minorBidi"/>
          <w:b w:val="0"/>
          <w:noProof/>
          <w:color w:val="auto"/>
          <w:sz w:val="22"/>
          <w:szCs w:val="22"/>
          <w:lang w:val="en-PH" w:eastAsia="en-PH" w:bidi="ar-SA"/>
        </w:rPr>
      </w:pPr>
      <w:hyperlink w:anchor="_Toc50532304" w:history="1">
        <w:r w:rsidRPr="00F77C6D">
          <w:rPr>
            <w:rStyle w:val="Hyperlink"/>
            <w:noProof/>
          </w:rPr>
          <w:t>Scope of public hospital services</w:t>
        </w:r>
        <w:r>
          <w:rPr>
            <w:noProof/>
            <w:webHidden/>
          </w:rPr>
          <w:tab/>
        </w:r>
        <w:r>
          <w:rPr>
            <w:noProof/>
            <w:webHidden/>
          </w:rPr>
          <w:fldChar w:fldCharType="begin"/>
        </w:r>
        <w:r>
          <w:rPr>
            <w:noProof/>
            <w:webHidden/>
          </w:rPr>
          <w:instrText xml:space="preserve"> PAGEREF _Toc50532304 \h </w:instrText>
        </w:r>
        <w:r>
          <w:rPr>
            <w:noProof/>
            <w:webHidden/>
          </w:rPr>
        </w:r>
        <w:r>
          <w:rPr>
            <w:noProof/>
            <w:webHidden/>
          </w:rPr>
          <w:fldChar w:fldCharType="separate"/>
        </w:r>
        <w:r>
          <w:rPr>
            <w:noProof/>
            <w:webHidden/>
          </w:rPr>
          <w:t>13</w:t>
        </w:r>
        <w:r>
          <w:rPr>
            <w:noProof/>
            <w:webHidden/>
          </w:rPr>
          <w:fldChar w:fldCharType="end"/>
        </w:r>
      </w:hyperlink>
    </w:p>
    <w:p w14:paraId="43A77419" w14:textId="07D02526" w:rsidR="0002557D" w:rsidRDefault="0002557D">
      <w:pPr>
        <w:pStyle w:val="TOC1"/>
        <w:tabs>
          <w:tab w:val="right" w:leader="dot" w:pos="9020"/>
        </w:tabs>
        <w:rPr>
          <w:rFonts w:asciiTheme="minorHAnsi" w:eastAsiaTheme="minorEastAsia" w:hAnsiTheme="minorHAnsi" w:cstheme="minorBidi"/>
          <w:b w:val="0"/>
          <w:noProof/>
          <w:color w:val="auto"/>
          <w:sz w:val="22"/>
          <w:szCs w:val="22"/>
          <w:lang w:val="en-PH" w:eastAsia="en-PH" w:bidi="ar-SA"/>
        </w:rPr>
      </w:pPr>
      <w:hyperlink w:anchor="_Toc50532305" w:history="1">
        <w:r w:rsidRPr="00F77C6D">
          <w:rPr>
            <w:rStyle w:val="Hyperlink"/>
            <w:noProof/>
          </w:rPr>
          <w:t>Classifications used to describe and price public hospital services</w:t>
        </w:r>
        <w:r>
          <w:rPr>
            <w:noProof/>
            <w:webHidden/>
          </w:rPr>
          <w:tab/>
        </w:r>
        <w:r>
          <w:rPr>
            <w:noProof/>
            <w:webHidden/>
          </w:rPr>
          <w:fldChar w:fldCharType="begin"/>
        </w:r>
        <w:r>
          <w:rPr>
            <w:noProof/>
            <w:webHidden/>
          </w:rPr>
          <w:instrText xml:space="preserve"> PAGEREF _Toc50532305 \h </w:instrText>
        </w:r>
        <w:r>
          <w:rPr>
            <w:noProof/>
            <w:webHidden/>
          </w:rPr>
        </w:r>
        <w:r>
          <w:rPr>
            <w:noProof/>
            <w:webHidden/>
          </w:rPr>
          <w:fldChar w:fldCharType="separate"/>
        </w:r>
        <w:r>
          <w:rPr>
            <w:noProof/>
            <w:webHidden/>
          </w:rPr>
          <w:t>15</w:t>
        </w:r>
        <w:r>
          <w:rPr>
            <w:noProof/>
            <w:webHidden/>
          </w:rPr>
          <w:fldChar w:fldCharType="end"/>
        </w:r>
      </w:hyperlink>
    </w:p>
    <w:p w14:paraId="0A1DBB93" w14:textId="44609873" w:rsidR="0002557D" w:rsidRDefault="0002557D">
      <w:pPr>
        <w:pStyle w:val="TOC2"/>
        <w:rPr>
          <w:rFonts w:asciiTheme="minorHAnsi" w:eastAsiaTheme="minorEastAsia" w:hAnsiTheme="minorHAnsi" w:cstheme="minorBidi"/>
          <w:color w:val="auto"/>
          <w:sz w:val="22"/>
          <w:szCs w:val="22"/>
          <w:lang w:val="en-PH" w:eastAsia="en-PH" w:bidi="ar-SA"/>
        </w:rPr>
      </w:pPr>
      <w:hyperlink w:anchor="_Toc50532306" w:history="1">
        <w:r w:rsidRPr="00F77C6D">
          <w:rPr>
            <w:rStyle w:val="Hyperlink"/>
            <w:rFonts w:cs="Arial"/>
          </w:rPr>
          <w:t>6.1. Admitted acute care</w:t>
        </w:r>
        <w:r>
          <w:rPr>
            <w:webHidden/>
          </w:rPr>
          <w:tab/>
        </w:r>
        <w:r>
          <w:rPr>
            <w:webHidden/>
          </w:rPr>
          <w:fldChar w:fldCharType="begin"/>
        </w:r>
        <w:r>
          <w:rPr>
            <w:webHidden/>
          </w:rPr>
          <w:instrText xml:space="preserve"> PAGEREF _Toc50532306 \h </w:instrText>
        </w:r>
        <w:r>
          <w:rPr>
            <w:webHidden/>
          </w:rPr>
        </w:r>
        <w:r>
          <w:rPr>
            <w:webHidden/>
          </w:rPr>
          <w:fldChar w:fldCharType="separate"/>
        </w:r>
        <w:r>
          <w:rPr>
            <w:webHidden/>
          </w:rPr>
          <w:t>16</w:t>
        </w:r>
        <w:r>
          <w:rPr>
            <w:webHidden/>
          </w:rPr>
          <w:fldChar w:fldCharType="end"/>
        </w:r>
      </w:hyperlink>
    </w:p>
    <w:p w14:paraId="31B1BDBC" w14:textId="29C316F3" w:rsidR="0002557D" w:rsidRDefault="0002557D">
      <w:pPr>
        <w:pStyle w:val="TOC2"/>
        <w:rPr>
          <w:rFonts w:asciiTheme="minorHAnsi" w:eastAsiaTheme="minorEastAsia" w:hAnsiTheme="minorHAnsi" w:cstheme="minorBidi"/>
          <w:color w:val="auto"/>
          <w:sz w:val="22"/>
          <w:szCs w:val="22"/>
          <w:lang w:val="en-PH" w:eastAsia="en-PH" w:bidi="ar-SA"/>
        </w:rPr>
      </w:pPr>
      <w:hyperlink w:anchor="_Toc50532307" w:history="1">
        <w:r w:rsidRPr="00F77C6D">
          <w:rPr>
            <w:rStyle w:val="Hyperlink"/>
            <w:rFonts w:cs="Arial"/>
          </w:rPr>
          <w:t>6.2. Subacute and non</w:t>
        </w:r>
        <w:r w:rsidRPr="00F77C6D">
          <w:rPr>
            <w:rStyle w:val="Hyperlink"/>
            <w:rFonts w:cs="Arial"/>
          </w:rPr>
          <w:noBreakHyphen/>
          <w:t>acute care</w:t>
        </w:r>
        <w:r>
          <w:rPr>
            <w:webHidden/>
          </w:rPr>
          <w:tab/>
        </w:r>
        <w:r>
          <w:rPr>
            <w:webHidden/>
          </w:rPr>
          <w:fldChar w:fldCharType="begin"/>
        </w:r>
        <w:r>
          <w:rPr>
            <w:webHidden/>
          </w:rPr>
          <w:instrText xml:space="preserve"> PAGEREF _Toc50532307 \h </w:instrText>
        </w:r>
        <w:r>
          <w:rPr>
            <w:webHidden/>
          </w:rPr>
        </w:r>
        <w:r>
          <w:rPr>
            <w:webHidden/>
          </w:rPr>
          <w:fldChar w:fldCharType="separate"/>
        </w:r>
        <w:r>
          <w:rPr>
            <w:webHidden/>
          </w:rPr>
          <w:t>19</w:t>
        </w:r>
        <w:r>
          <w:rPr>
            <w:webHidden/>
          </w:rPr>
          <w:fldChar w:fldCharType="end"/>
        </w:r>
      </w:hyperlink>
    </w:p>
    <w:p w14:paraId="0AC8AC24" w14:textId="44C352F7" w:rsidR="0002557D" w:rsidRDefault="0002557D">
      <w:pPr>
        <w:pStyle w:val="TOC2"/>
        <w:rPr>
          <w:rFonts w:asciiTheme="minorHAnsi" w:eastAsiaTheme="minorEastAsia" w:hAnsiTheme="minorHAnsi" w:cstheme="minorBidi"/>
          <w:color w:val="auto"/>
          <w:sz w:val="22"/>
          <w:szCs w:val="22"/>
          <w:lang w:val="en-PH" w:eastAsia="en-PH" w:bidi="ar-SA"/>
        </w:rPr>
      </w:pPr>
      <w:hyperlink w:anchor="_Toc50532308" w:history="1">
        <w:r w:rsidRPr="00F77C6D">
          <w:rPr>
            <w:rStyle w:val="Hyperlink"/>
            <w:rFonts w:cs="Arial"/>
          </w:rPr>
          <w:t>6.3. Non-admitted care</w:t>
        </w:r>
        <w:r>
          <w:rPr>
            <w:webHidden/>
          </w:rPr>
          <w:tab/>
        </w:r>
        <w:r>
          <w:rPr>
            <w:webHidden/>
          </w:rPr>
          <w:fldChar w:fldCharType="begin"/>
        </w:r>
        <w:r>
          <w:rPr>
            <w:webHidden/>
          </w:rPr>
          <w:instrText xml:space="preserve"> PAGEREF _Toc50532308 \h </w:instrText>
        </w:r>
        <w:r>
          <w:rPr>
            <w:webHidden/>
          </w:rPr>
        </w:r>
        <w:r>
          <w:rPr>
            <w:webHidden/>
          </w:rPr>
          <w:fldChar w:fldCharType="separate"/>
        </w:r>
        <w:r>
          <w:rPr>
            <w:webHidden/>
          </w:rPr>
          <w:t>19</w:t>
        </w:r>
        <w:r>
          <w:rPr>
            <w:webHidden/>
          </w:rPr>
          <w:fldChar w:fldCharType="end"/>
        </w:r>
      </w:hyperlink>
    </w:p>
    <w:p w14:paraId="4F80A88F" w14:textId="5319242D" w:rsidR="0002557D" w:rsidRDefault="0002557D">
      <w:pPr>
        <w:pStyle w:val="TOC2"/>
        <w:rPr>
          <w:rFonts w:asciiTheme="minorHAnsi" w:eastAsiaTheme="minorEastAsia" w:hAnsiTheme="minorHAnsi" w:cstheme="minorBidi"/>
          <w:color w:val="auto"/>
          <w:sz w:val="22"/>
          <w:szCs w:val="22"/>
          <w:lang w:val="en-PH" w:eastAsia="en-PH" w:bidi="ar-SA"/>
        </w:rPr>
      </w:pPr>
      <w:hyperlink w:anchor="_Toc50532309" w:history="1">
        <w:r w:rsidRPr="00F77C6D">
          <w:rPr>
            <w:rStyle w:val="Hyperlink"/>
            <w:rFonts w:cs="Arial"/>
          </w:rPr>
          <w:t>6.4. Emergency Care</w:t>
        </w:r>
        <w:r>
          <w:rPr>
            <w:webHidden/>
          </w:rPr>
          <w:tab/>
        </w:r>
        <w:r>
          <w:rPr>
            <w:webHidden/>
          </w:rPr>
          <w:fldChar w:fldCharType="begin"/>
        </w:r>
        <w:r>
          <w:rPr>
            <w:webHidden/>
          </w:rPr>
          <w:instrText xml:space="preserve"> PAGEREF _Toc50532309 \h </w:instrText>
        </w:r>
        <w:r>
          <w:rPr>
            <w:webHidden/>
          </w:rPr>
        </w:r>
        <w:r>
          <w:rPr>
            <w:webHidden/>
          </w:rPr>
          <w:fldChar w:fldCharType="separate"/>
        </w:r>
        <w:r>
          <w:rPr>
            <w:webHidden/>
          </w:rPr>
          <w:t>20</w:t>
        </w:r>
        <w:r>
          <w:rPr>
            <w:webHidden/>
          </w:rPr>
          <w:fldChar w:fldCharType="end"/>
        </w:r>
      </w:hyperlink>
    </w:p>
    <w:p w14:paraId="15CF5ABB" w14:textId="1BA79815" w:rsidR="0002557D" w:rsidRDefault="0002557D">
      <w:pPr>
        <w:pStyle w:val="TOC2"/>
        <w:rPr>
          <w:rFonts w:asciiTheme="minorHAnsi" w:eastAsiaTheme="minorEastAsia" w:hAnsiTheme="minorHAnsi" w:cstheme="minorBidi"/>
          <w:color w:val="auto"/>
          <w:sz w:val="22"/>
          <w:szCs w:val="22"/>
          <w:lang w:val="en-PH" w:eastAsia="en-PH" w:bidi="ar-SA"/>
        </w:rPr>
      </w:pPr>
      <w:hyperlink w:anchor="_Toc50532310" w:history="1">
        <w:r w:rsidRPr="00F77C6D">
          <w:rPr>
            <w:rStyle w:val="Hyperlink"/>
            <w:rFonts w:cs="Arial"/>
          </w:rPr>
          <w:t>6.5. Mental health care</w:t>
        </w:r>
        <w:r>
          <w:rPr>
            <w:webHidden/>
          </w:rPr>
          <w:tab/>
        </w:r>
        <w:r>
          <w:rPr>
            <w:webHidden/>
          </w:rPr>
          <w:fldChar w:fldCharType="begin"/>
        </w:r>
        <w:r>
          <w:rPr>
            <w:webHidden/>
          </w:rPr>
          <w:instrText xml:space="preserve"> PAGEREF _Toc50532310 \h </w:instrText>
        </w:r>
        <w:r>
          <w:rPr>
            <w:webHidden/>
          </w:rPr>
        </w:r>
        <w:r>
          <w:rPr>
            <w:webHidden/>
          </w:rPr>
          <w:fldChar w:fldCharType="separate"/>
        </w:r>
        <w:r>
          <w:rPr>
            <w:webHidden/>
          </w:rPr>
          <w:t>20</w:t>
        </w:r>
        <w:r>
          <w:rPr>
            <w:webHidden/>
          </w:rPr>
          <w:fldChar w:fldCharType="end"/>
        </w:r>
      </w:hyperlink>
    </w:p>
    <w:p w14:paraId="4ED8772C" w14:textId="6FACB5CD" w:rsidR="0002557D" w:rsidRDefault="0002557D">
      <w:pPr>
        <w:pStyle w:val="TOC2"/>
        <w:rPr>
          <w:rFonts w:asciiTheme="minorHAnsi" w:eastAsiaTheme="minorEastAsia" w:hAnsiTheme="minorHAnsi" w:cstheme="minorBidi"/>
          <w:color w:val="auto"/>
          <w:sz w:val="22"/>
          <w:szCs w:val="22"/>
          <w:lang w:val="en-PH" w:eastAsia="en-PH" w:bidi="ar-SA"/>
        </w:rPr>
      </w:pPr>
      <w:hyperlink w:anchor="_Toc50532311" w:history="1">
        <w:r w:rsidRPr="00F77C6D">
          <w:rPr>
            <w:rStyle w:val="Hyperlink"/>
            <w:rFonts w:cs="Arial"/>
          </w:rPr>
          <w:t>6.6. Teaching and training</w:t>
        </w:r>
        <w:r>
          <w:rPr>
            <w:webHidden/>
          </w:rPr>
          <w:tab/>
        </w:r>
        <w:r>
          <w:rPr>
            <w:webHidden/>
          </w:rPr>
          <w:fldChar w:fldCharType="begin"/>
        </w:r>
        <w:r>
          <w:rPr>
            <w:webHidden/>
          </w:rPr>
          <w:instrText xml:space="preserve"> PAGEREF _Toc50532311 \h </w:instrText>
        </w:r>
        <w:r>
          <w:rPr>
            <w:webHidden/>
          </w:rPr>
        </w:r>
        <w:r>
          <w:rPr>
            <w:webHidden/>
          </w:rPr>
          <w:fldChar w:fldCharType="separate"/>
        </w:r>
        <w:r>
          <w:rPr>
            <w:webHidden/>
          </w:rPr>
          <w:t>22</w:t>
        </w:r>
        <w:r>
          <w:rPr>
            <w:webHidden/>
          </w:rPr>
          <w:fldChar w:fldCharType="end"/>
        </w:r>
      </w:hyperlink>
    </w:p>
    <w:p w14:paraId="6160B883" w14:textId="6231DCFD" w:rsidR="0002557D" w:rsidRDefault="0002557D">
      <w:pPr>
        <w:pStyle w:val="TOC1"/>
        <w:tabs>
          <w:tab w:val="right" w:leader="dot" w:pos="9020"/>
        </w:tabs>
        <w:rPr>
          <w:rFonts w:asciiTheme="minorHAnsi" w:eastAsiaTheme="minorEastAsia" w:hAnsiTheme="minorHAnsi" w:cstheme="minorBidi"/>
          <w:b w:val="0"/>
          <w:noProof/>
          <w:color w:val="auto"/>
          <w:sz w:val="22"/>
          <w:szCs w:val="22"/>
          <w:lang w:val="en-PH" w:eastAsia="en-PH" w:bidi="ar-SA"/>
        </w:rPr>
      </w:pPr>
      <w:hyperlink w:anchor="_Toc50532312" w:history="1">
        <w:r w:rsidRPr="00F77C6D">
          <w:rPr>
            <w:rStyle w:val="Hyperlink"/>
            <w:noProof/>
          </w:rPr>
          <w:t>Setting the national efficient price for activity based funded public hospitals</w:t>
        </w:r>
        <w:r>
          <w:rPr>
            <w:noProof/>
            <w:webHidden/>
          </w:rPr>
          <w:tab/>
        </w:r>
        <w:r>
          <w:rPr>
            <w:noProof/>
            <w:webHidden/>
          </w:rPr>
          <w:fldChar w:fldCharType="begin"/>
        </w:r>
        <w:r>
          <w:rPr>
            <w:noProof/>
            <w:webHidden/>
          </w:rPr>
          <w:instrText xml:space="preserve"> PAGEREF _Toc50532312 \h </w:instrText>
        </w:r>
        <w:r>
          <w:rPr>
            <w:noProof/>
            <w:webHidden/>
          </w:rPr>
        </w:r>
        <w:r>
          <w:rPr>
            <w:noProof/>
            <w:webHidden/>
          </w:rPr>
          <w:fldChar w:fldCharType="separate"/>
        </w:r>
        <w:r>
          <w:rPr>
            <w:noProof/>
            <w:webHidden/>
          </w:rPr>
          <w:t>23</w:t>
        </w:r>
        <w:r>
          <w:rPr>
            <w:noProof/>
            <w:webHidden/>
          </w:rPr>
          <w:fldChar w:fldCharType="end"/>
        </w:r>
      </w:hyperlink>
    </w:p>
    <w:p w14:paraId="56935826" w14:textId="3B478593" w:rsidR="0002557D" w:rsidRDefault="0002557D">
      <w:pPr>
        <w:pStyle w:val="TOC2"/>
        <w:rPr>
          <w:rFonts w:asciiTheme="minorHAnsi" w:eastAsiaTheme="minorEastAsia" w:hAnsiTheme="minorHAnsi" w:cstheme="minorBidi"/>
          <w:color w:val="auto"/>
          <w:sz w:val="22"/>
          <w:szCs w:val="22"/>
          <w:lang w:val="en-PH" w:eastAsia="en-PH" w:bidi="ar-SA"/>
        </w:rPr>
      </w:pPr>
      <w:hyperlink w:anchor="_Toc50532313" w:history="1">
        <w:r w:rsidRPr="00F77C6D">
          <w:rPr>
            <w:rStyle w:val="Hyperlink"/>
            <w:rFonts w:cs="Arial"/>
          </w:rPr>
          <w:t>7.1. Technical improvements</w:t>
        </w:r>
        <w:r>
          <w:rPr>
            <w:webHidden/>
          </w:rPr>
          <w:tab/>
        </w:r>
        <w:r>
          <w:rPr>
            <w:webHidden/>
          </w:rPr>
          <w:fldChar w:fldCharType="begin"/>
        </w:r>
        <w:r>
          <w:rPr>
            <w:webHidden/>
          </w:rPr>
          <w:instrText xml:space="preserve"> PAGEREF _Toc50532313 \h </w:instrText>
        </w:r>
        <w:r>
          <w:rPr>
            <w:webHidden/>
          </w:rPr>
        </w:r>
        <w:r>
          <w:rPr>
            <w:webHidden/>
          </w:rPr>
          <w:fldChar w:fldCharType="separate"/>
        </w:r>
        <w:r>
          <w:rPr>
            <w:webHidden/>
          </w:rPr>
          <w:t>24</w:t>
        </w:r>
        <w:r>
          <w:rPr>
            <w:webHidden/>
          </w:rPr>
          <w:fldChar w:fldCharType="end"/>
        </w:r>
      </w:hyperlink>
    </w:p>
    <w:p w14:paraId="6DA98C7C" w14:textId="018A59C2" w:rsidR="0002557D" w:rsidRDefault="0002557D">
      <w:pPr>
        <w:pStyle w:val="TOC2"/>
        <w:rPr>
          <w:rFonts w:asciiTheme="minorHAnsi" w:eastAsiaTheme="minorEastAsia" w:hAnsiTheme="minorHAnsi" w:cstheme="minorBidi"/>
          <w:color w:val="auto"/>
          <w:sz w:val="22"/>
          <w:szCs w:val="22"/>
          <w:lang w:val="en-PH" w:eastAsia="en-PH" w:bidi="ar-SA"/>
        </w:rPr>
      </w:pPr>
      <w:hyperlink w:anchor="_Toc50532314" w:history="1">
        <w:r w:rsidRPr="00F77C6D">
          <w:rPr>
            <w:rStyle w:val="Hyperlink"/>
            <w:rFonts w:cs="Arial"/>
          </w:rPr>
          <w:t>7.2. Adjustments to the national efficient price</w:t>
        </w:r>
        <w:r>
          <w:rPr>
            <w:webHidden/>
          </w:rPr>
          <w:tab/>
        </w:r>
        <w:r>
          <w:rPr>
            <w:webHidden/>
          </w:rPr>
          <w:fldChar w:fldCharType="begin"/>
        </w:r>
        <w:r>
          <w:rPr>
            <w:webHidden/>
          </w:rPr>
          <w:instrText xml:space="preserve"> PAGEREF _Toc50532314 \h </w:instrText>
        </w:r>
        <w:r>
          <w:rPr>
            <w:webHidden/>
          </w:rPr>
        </w:r>
        <w:r>
          <w:rPr>
            <w:webHidden/>
          </w:rPr>
          <w:fldChar w:fldCharType="separate"/>
        </w:r>
        <w:r>
          <w:rPr>
            <w:webHidden/>
          </w:rPr>
          <w:t>24</w:t>
        </w:r>
        <w:r>
          <w:rPr>
            <w:webHidden/>
          </w:rPr>
          <w:fldChar w:fldCharType="end"/>
        </w:r>
      </w:hyperlink>
    </w:p>
    <w:p w14:paraId="1C7F535B" w14:textId="307C3DB6" w:rsidR="0002557D" w:rsidRDefault="0002557D">
      <w:pPr>
        <w:pStyle w:val="TOC2"/>
        <w:rPr>
          <w:rFonts w:asciiTheme="minorHAnsi" w:eastAsiaTheme="minorEastAsia" w:hAnsiTheme="minorHAnsi" w:cstheme="minorBidi"/>
          <w:color w:val="auto"/>
          <w:sz w:val="22"/>
          <w:szCs w:val="22"/>
          <w:lang w:val="en-PH" w:eastAsia="en-PH" w:bidi="ar-SA"/>
        </w:rPr>
      </w:pPr>
      <w:hyperlink w:anchor="_Toc50532315" w:history="1">
        <w:r w:rsidRPr="00F77C6D">
          <w:rPr>
            <w:rStyle w:val="Hyperlink"/>
            <w:rFonts w:cs="Arial"/>
          </w:rPr>
          <w:t>7.3. Harmonising price weights across care settings</w:t>
        </w:r>
        <w:r>
          <w:rPr>
            <w:webHidden/>
          </w:rPr>
          <w:tab/>
        </w:r>
        <w:r>
          <w:rPr>
            <w:webHidden/>
          </w:rPr>
          <w:fldChar w:fldCharType="begin"/>
        </w:r>
        <w:r>
          <w:rPr>
            <w:webHidden/>
          </w:rPr>
          <w:instrText xml:space="preserve"> PAGEREF _Toc50532315 \h </w:instrText>
        </w:r>
        <w:r>
          <w:rPr>
            <w:webHidden/>
          </w:rPr>
        </w:r>
        <w:r>
          <w:rPr>
            <w:webHidden/>
          </w:rPr>
          <w:fldChar w:fldCharType="separate"/>
        </w:r>
        <w:r>
          <w:rPr>
            <w:webHidden/>
          </w:rPr>
          <w:t>24</w:t>
        </w:r>
        <w:r>
          <w:rPr>
            <w:webHidden/>
          </w:rPr>
          <w:fldChar w:fldCharType="end"/>
        </w:r>
      </w:hyperlink>
    </w:p>
    <w:p w14:paraId="5BAD8986" w14:textId="7B20E2E4" w:rsidR="0002557D" w:rsidRDefault="0002557D">
      <w:pPr>
        <w:pStyle w:val="TOC2"/>
        <w:rPr>
          <w:rFonts w:asciiTheme="minorHAnsi" w:eastAsiaTheme="minorEastAsia" w:hAnsiTheme="minorHAnsi" w:cstheme="minorBidi"/>
          <w:color w:val="auto"/>
          <w:sz w:val="22"/>
          <w:szCs w:val="22"/>
          <w:lang w:val="en-PH" w:eastAsia="en-PH" w:bidi="ar-SA"/>
        </w:rPr>
      </w:pPr>
      <w:hyperlink w:anchor="_Toc50532316" w:history="1">
        <w:r w:rsidRPr="00F77C6D">
          <w:rPr>
            <w:rStyle w:val="Hyperlink"/>
            <w:rFonts w:cs="Arial"/>
          </w:rPr>
          <w:t>7.4. Setting the national efficient price for private patients in public hospitals</w:t>
        </w:r>
        <w:r>
          <w:rPr>
            <w:webHidden/>
          </w:rPr>
          <w:tab/>
        </w:r>
        <w:r>
          <w:rPr>
            <w:webHidden/>
          </w:rPr>
          <w:fldChar w:fldCharType="begin"/>
        </w:r>
        <w:r>
          <w:rPr>
            <w:webHidden/>
          </w:rPr>
          <w:instrText xml:space="preserve"> PAGEREF _Toc50532316 \h </w:instrText>
        </w:r>
        <w:r>
          <w:rPr>
            <w:webHidden/>
          </w:rPr>
        </w:r>
        <w:r>
          <w:rPr>
            <w:webHidden/>
          </w:rPr>
          <w:fldChar w:fldCharType="separate"/>
        </w:r>
        <w:r>
          <w:rPr>
            <w:webHidden/>
          </w:rPr>
          <w:t>25</w:t>
        </w:r>
        <w:r>
          <w:rPr>
            <w:webHidden/>
          </w:rPr>
          <w:fldChar w:fldCharType="end"/>
        </w:r>
      </w:hyperlink>
    </w:p>
    <w:p w14:paraId="2B81ADC0" w14:textId="1E996B18" w:rsidR="0002557D" w:rsidRDefault="0002557D">
      <w:pPr>
        <w:pStyle w:val="TOC2"/>
        <w:rPr>
          <w:rFonts w:asciiTheme="minorHAnsi" w:eastAsiaTheme="minorEastAsia" w:hAnsiTheme="minorHAnsi" w:cstheme="minorBidi"/>
          <w:color w:val="auto"/>
          <w:sz w:val="22"/>
          <w:szCs w:val="22"/>
          <w:lang w:val="en-PH" w:eastAsia="en-PH" w:bidi="ar-SA"/>
        </w:rPr>
      </w:pPr>
      <w:hyperlink w:anchor="_Toc50532317" w:history="1">
        <w:r w:rsidRPr="00F77C6D">
          <w:rPr>
            <w:rStyle w:val="Hyperlink"/>
            <w:rFonts w:cs="Arial"/>
          </w:rPr>
          <w:t>7.5. A pricing approach for hospital and academic-led clinical trials</w:t>
        </w:r>
        <w:r>
          <w:rPr>
            <w:webHidden/>
          </w:rPr>
          <w:tab/>
        </w:r>
        <w:r>
          <w:rPr>
            <w:webHidden/>
          </w:rPr>
          <w:fldChar w:fldCharType="begin"/>
        </w:r>
        <w:r>
          <w:rPr>
            <w:webHidden/>
          </w:rPr>
          <w:instrText xml:space="preserve"> PAGEREF _Toc50532317 \h </w:instrText>
        </w:r>
        <w:r>
          <w:rPr>
            <w:webHidden/>
          </w:rPr>
        </w:r>
        <w:r>
          <w:rPr>
            <w:webHidden/>
          </w:rPr>
          <w:fldChar w:fldCharType="separate"/>
        </w:r>
        <w:r>
          <w:rPr>
            <w:webHidden/>
          </w:rPr>
          <w:t>27</w:t>
        </w:r>
        <w:r>
          <w:rPr>
            <w:webHidden/>
          </w:rPr>
          <w:fldChar w:fldCharType="end"/>
        </w:r>
      </w:hyperlink>
    </w:p>
    <w:p w14:paraId="28F370F3" w14:textId="436C1BE0" w:rsidR="0002557D" w:rsidRDefault="0002557D">
      <w:pPr>
        <w:pStyle w:val="TOC1"/>
        <w:tabs>
          <w:tab w:val="right" w:leader="dot" w:pos="9020"/>
        </w:tabs>
        <w:rPr>
          <w:rFonts w:asciiTheme="minorHAnsi" w:eastAsiaTheme="minorEastAsia" w:hAnsiTheme="minorHAnsi" w:cstheme="minorBidi"/>
          <w:b w:val="0"/>
          <w:noProof/>
          <w:color w:val="auto"/>
          <w:sz w:val="22"/>
          <w:szCs w:val="22"/>
          <w:lang w:val="en-PH" w:eastAsia="en-PH" w:bidi="ar-SA"/>
        </w:rPr>
      </w:pPr>
      <w:hyperlink w:anchor="_Toc50532318" w:history="1">
        <w:r w:rsidRPr="00F77C6D">
          <w:rPr>
            <w:rStyle w:val="Hyperlink"/>
            <w:noProof/>
          </w:rPr>
          <w:t>Data collection</w:t>
        </w:r>
        <w:r>
          <w:rPr>
            <w:noProof/>
            <w:webHidden/>
          </w:rPr>
          <w:tab/>
        </w:r>
        <w:r>
          <w:rPr>
            <w:noProof/>
            <w:webHidden/>
          </w:rPr>
          <w:fldChar w:fldCharType="begin"/>
        </w:r>
        <w:r>
          <w:rPr>
            <w:noProof/>
            <w:webHidden/>
          </w:rPr>
          <w:instrText xml:space="preserve"> PAGEREF _Toc50532318 \h </w:instrText>
        </w:r>
        <w:r>
          <w:rPr>
            <w:noProof/>
            <w:webHidden/>
          </w:rPr>
        </w:r>
        <w:r>
          <w:rPr>
            <w:noProof/>
            <w:webHidden/>
          </w:rPr>
          <w:fldChar w:fldCharType="separate"/>
        </w:r>
        <w:r>
          <w:rPr>
            <w:noProof/>
            <w:webHidden/>
          </w:rPr>
          <w:t>28</w:t>
        </w:r>
        <w:r>
          <w:rPr>
            <w:noProof/>
            <w:webHidden/>
          </w:rPr>
          <w:fldChar w:fldCharType="end"/>
        </w:r>
      </w:hyperlink>
    </w:p>
    <w:p w14:paraId="1E40D7B9" w14:textId="281DBCC8" w:rsidR="0002557D" w:rsidRDefault="0002557D">
      <w:pPr>
        <w:pStyle w:val="TOC2"/>
        <w:rPr>
          <w:rFonts w:asciiTheme="minorHAnsi" w:eastAsiaTheme="minorEastAsia" w:hAnsiTheme="minorHAnsi" w:cstheme="minorBidi"/>
          <w:color w:val="auto"/>
          <w:sz w:val="22"/>
          <w:szCs w:val="22"/>
          <w:lang w:val="en-PH" w:eastAsia="en-PH" w:bidi="ar-SA"/>
        </w:rPr>
      </w:pPr>
      <w:hyperlink w:anchor="_Toc50532319" w:history="1">
        <w:r w:rsidRPr="00F77C6D">
          <w:rPr>
            <w:rStyle w:val="Hyperlink"/>
            <w:rFonts w:cs="Arial"/>
          </w:rPr>
          <w:t>8.1. Overview</w:t>
        </w:r>
        <w:r>
          <w:rPr>
            <w:webHidden/>
          </w:rPr>
          <w:tab/>
        </w:r>
        <w:r>
          <w:rPr>
            <w:webHidden/>
          </w:rPr>
          <w:fldChar w:fldCharType="begin"/>
        </w:r>
        <w:r>
          <w:rPr>
            <w:webHidden/>
          </w:rPr>
          <w:instrText xml:space="preserve"> PAGEREF _Toc50532319 \h </w:instrText>
        </w:r>
        <w:r>
          <w:rPr>
            <w:webHidden/>
          </w:rPr>
        </w:r>
        <w:r>
          <w:rPr>
            <w:webHidden/>
          </w:rPr>
          <w:fldChar w:fldCharType="separate"/>
        </w:r>
        <w:r>
          <w:rPr>
            <w:webHidden/>
          </w:rPr>
          <w:t>29</w:t>
        </w:r>
        <w:r>
          <w:rPr>
            <w:webHidden/>
          </w:rPr>
          <w:fldChar w:fldCharType="end"/>
        </w:r>
      </w:hyperlink>
    </w:p>
    <w:p w14:paraId="38A08596" w14:textId="444F27E7" w:rsidR="0002557D" w:rsidRDefault="0002557D">
      <w:pPr>
        <w:pStyle w:val="TOC2"/>
        <w:rPr>
          <w:rFonts w:asciiTheme="minorHAnsi" w:eastAsiaTheme="minorEastAsia" w:hAnsiTheme="minorHAnsi" w:cstheme="minorBidi"/>
          <w:color w:val="auto"/>
          <w:sz w:val="22"/>
          <w:szCs w:val="22"/>
          <w:lang w:val="en-PH" w:eastAsia="en-PH" w:bidi="ar-SA"/>
        </w:rPr>
      </w:pPr>
      <w:hyperlink w:anchor="_Toc50532320" w:history="1">
        <w:r w:rsidRPr="00F77C6D">
          <w:rPr>
            <w:rStyle w:val="Hyperlink"/>
            <w:rFonts w:cs="Arial"/>
            <w:spacing w:val="-1"/>
          </w:rPr>
          <w:t xml:space="preserve">8.2. </w:t>
        </w:r>
        <w:r w:rsidRPr="00F77C6D">
          <w:rPr>
            <w:rStyle w:val="Hyperlink"/>
            <w:rFonts w:cs="Arial"/>
          </w:rPr>
          <w:t>Phasing out aggregate non-admitted data reporting</w:t>
        </w:r>
        <w:r>
          <w:rPr>
            <w:webHidden/>
          </w:rPr>
          <w:tab/>
        </w:r>
        <w:r>
          <w:rPr>
            <w:webHidden/>
          </w:rPr>
          <w:fldChar w:fldCharType="begin"/>
        </w:r>
        <w:r>
          <w:rPr>
            <w:webHidden/>
          </w:rPr>
          <w:instrText xml:space="preserve"> PAGEREF _Toc50532320 \h </w:instrText>
        </w:r>
        <w:r>
          <w:rPr>
            <w:webHidden/>
          </w:rPr>
        </w:r>
        <w:r>
          <w:rPr>
            <w:webHidden/>
          </w:rPr>
          <w:fldChar w:fldCharType="separate"/>
        </w:r>
        <w:r>
          <w:rPr>
            <w:webHidden/>
          </w:rPr>
          <w:t>29</w:t>
        </w:r>
        <w:r>
          <w:rPr>
            <w:webHidden/>
          </w:rPr>
          <w:fldChar w:fldCharType="end"/>
        </w:r>
      </w:hyperlink>
    </w:p>
    <w:p w14:paraId="013199DF" w14:textId="15F46D2A" w:rsidR="0002557D" w:rsidRDefault="0002557D">
      <w:pPr>
        <w:pStyle w:val="TOC1"/>
        <w:tabs>
          <w:tab w:val="right" w:leader="dot" w:pos="9020"/>
        </w:tabs>
        <w:rPr>
          <w:rFonts w:asciiTheme="minorHAnsi" w:eastAsiaTheme="minorEastAsia" w:hAnsiTheme="minorHAnsi" w:cstheme="minorBidi"/>
          <w:b w:val="0"/>
          <w:noProof/>
          <w:color w:val="auto"/>
          <w:sz w:val="22"/>
          <w:szCs w:val="22"/>
          <w:lang w:val="en-PH" w:eastAsia="en-PH" w:bidi="ar-SA"/>
        </w:rPr>
      </w:pPr>
      <w:hyperlink w:anchor="_Toc50532321" w:history="1">
        <w:r w:rsidRPr="00F77C6D">
          <w:rPr>
            <w:rStyle w:val="Hyperlink"/>
            <w:noProof/>
          </w:rPr>
          <w:t>Treatment of other Commonwealth programs</w:t>
        </w:r>
        <w:r>
          <w:rPr>
            <w:noProof/>
            <w:webHidden/>
          </w:rPr>
          <w:tab/>
        </w:r>
        <w:r>
          <w:rPr>
            <w:noProof/>
            <w:webHidden/>
          </w:rPr>
          <w:fldChar w:fldCharType="begin"/>
        </w:r>
        <w:r>
          <w:rPr>
            <w:noProof/>
            <w:webHidden/>
          </w:rPr>
          <w:instrText xml:space="preserve"> PAGEREF _Toc50532321 \h </w:instrText>
        </w:r>
        <w:r>
          <w:rPr>
            <w:noProof/>
            <w:webHidden/>
          </w:rPr>
        </w:r>
        <w:r>
          <w:rPr>
            <w:noProof/>
            <w:webHidden/>
          </w:rPr>
          <w:fldChar w:fldCharType="separate"/>
        </w:r>
        <w:r>
          <w:rPr>
            <w:noProof/>
            <w:webHidden/>
          </w:rPr>
          <w:t>30</w:t>
        </w:r>
        <w:r>
          <w:rPr>
            <w:noProof/>
            <w:webHidden/>
          </w:rPr>
          <w:fldChar w:fldCharType="end"/>
        </w:r>
      </w:hyperlink>
    </w:p>
    <w:p w14:paraId="66E8B356" w14:textId="34B01DB3" w:rsidR="0002557D" w:rsidRDefault="0002557D">
      <w:pPr>
        <w:pStyle w:val="TOC2"/>
        <w:rPr>
          <w:rFonts w:asciiTheme="minorHAnsi" w:eastAsiaTheme="minorEastAsia" w:hAnsiTheme="minorHAnsi" w:cstheme="minorBidi"/>
          <w:color w:val="auto"/>
          <w:sz w:val="22"/>
          <w:szCs w:val="22"/>
          <w:lang w:val="en-PH" w:eastAsia="en-PH" w:bidi="ar-SA"/>
        </w:rPr>
      </w:pPr>
      <w:hyperlink w:anchor="_Toc50532322" w:history="1">
        <w:r w:rsidRPr="00F77C6D">
          <w:rPr>
            <w:rStyle w:val="Hyperlink"/>
            <w:rFonts w:cs="Arial"/>
          </w:rPr>
          <w:t>9.1. Overview</w:t>
        </w:r>
        <w:r>
          <w:rPr>
            <w:webHidden/>
          </w:rPr>
          <w:tab/>
        </w:r>
        <w:r>
          <w:rPr>
            <w:webHidden/>
          </w:rPr>
          <w:fldChar w:fldCharType="begin"/>
        </w:r>
        <w:r>
          <w:rPr>
            <w:webHidden/>
          </w:rPr>
          <w:instrText xml:space="preserve"> PAGEREF _Toc50532322 \h </w:instrText>
        </w:r>
        <w:r>
          <w:rPr>
            <w:webHidden/>
          </w:rPr>
        </w:r>
        <w:r>
          <w:rPr>
            <w:webHidden/>
          </w:rPr>
          <w:fldChar w:fldCharType="separate"/>
        </w:r>
        <w:r>
          <w:rPr>
            <w:webHidden/>
          </w:rPr>
          <w:t>31</w:t>
        </w:r>
        <w:r>
          <w:rPr>
            <w:webHidden/>
          </w:rPr>
          <w:fldChar w:fldCharType="end"/>
        </w:r>
      </w:hyperlink>
    </w:p>
    <w:p w14:paraId="0834D458" w14:textId="6FCD6657" w:rsidR="0002557D" w:rsidRDefault="0002557D">
      <w:pPr>
        <w:pStyle w:val="TOC1"/>
        <w:tabs>
          <w:tab w:val="right" w:leader="dot" w:pos="9020"/>
        </w:tabs>
        <w:rPr>
          <w:rFonts w:asciiTheme="minorHAnsi" w:eastAsiaTheme="minorEastAsia" w:hAnsiTheme="minorHAnsi" w:cstheme="minorBidi"/>
          <w:b w:val="0"/>
          <w:noProof/>
          <w:color w:val="auto"/>
          <w:sz w:val="22"/>
          <w:szCs w:val="22"/>
          <w:lang w:val="en-PH" w:eastAsia="en-PH" w:bidi="ar-SA"/>
        </w:rPr>
      </w:pPr>
      <w:hyperlink w:anchor="_Toc50532323" w:history="1">
        <w:r w:rsidRPr="00F77C6D">
          <w:rPr>
            <w:rStyle w:val="Hyperlink"/>
            <w:noProof/>
          </w:rPr>
          <w:t>Setting the national efficient cost</w:t>
        </w:r>
        <w:r>
          <w:rPr>
            <w:noProof/>
            <w:webHidden/>
          </w:rPr>
          <w:tab/>
        </w:r>
        <w:r>
          <w:rPr>
            <w:noProof/>
            <w:webHidden/>
          </w:rPr>
          <w:fldChar w:fldCharType="begin"/>
        </w:r>
        <w:r>
          <w:rPr>
            <w:noProof/>
            <w:webHidden/>
          </w:rPr>
          <w:instrText xml:space="preserve"> PAGEREF _Toc50532323 \h </w:instrText>
        </w:r>
        <w:r>
          <w:rPr>
            <w:noProof/>
            <w:webHidden/>
          </w:rPr>
        </w:r>
        <w:r>
          <w:rPr>
            <w:noProof/>
            <w:webHidden/>
          </w:rPr>
          <w:fldChar w:fldCharType="separate"/>
        </w:r>
        <w:r>
          <w:rPr>
            <w:noProof/>
            <w:webHidden/>
          </w:rPr>
          <w:t>32</w:t>
        </w:r>
        <w:r>
          <w:rPr>
            <w:noProof/>
            <w:webHidden/>
          </w:rPr>
          <w:fldChar w:fldCharType="end"/>
        </w:r>
      </w:hyperlink>
    </w:p>
    <w:p w14:paraId="6DC2FAB3" w14:textId="2AA7ED39" w:rsidR="0002557D" w:rsidRDefault="0002557D">
      <w:pPr>
        <w:pStyle w:val="TOC2"/>
        <w:rPr>
          <w:rFonts w:asciiTheme="minorHAnsi" w:eastAsiaTheme="minorEastAsia" w:hAnsiTheme="minorHAnsi" w:cstheme="minorBidi"/>
          <w:color w:val="auto"/>
          <w:sz w:val="22"/>
          <w:szCs w:val="22"/>
          <w:lang w:val="en-PH" w:eastAsia="en-PH" w:bidi="ar-SA"/>
        </w:rPr>
      </w:pPr>
      <w:hyperlink w:anchor="_Toc50532324" w:history="1">
        <w:r w:rsidRPr="00F77C6D">
          <w:rPr>
            <w:rStyle w:val="Hyperlink"/>
            <w:rFonts w:cs="Arial"/>
          </w:rPr>
          <w:t>10.1. Overview</w:t>
        </w:r>
        <w:r>
          <w:rPr>
            <w:webHidden/>
          </w:rPr>
          <w:tab/>
        </w:r>
        <w:r>
          <w:rPr>
            <w:webHidden/>
          </w:rPr>
          <w:fldChar w:fldCharType="begin"/>
        </w:r>
        <w:r>
          <w:rPr>
            <w:webHidden/>
          </w:rPr>
          <w:instrText xml:space="preserve"> PAGEREF _Toc50532324 \h </w:instrText>
        </w:r>
        <w:r>
          <w:rPr>
            <w:webHidden/>
          </w:rPr>
        </w:r>
        <w:r>
          <w:rPr>
            <w:webHidden/>
          </w:rPr>
          <w:fldChar w:fldCharType="separate"/>
        </w:r>
        <w:r>
          <w:rPr>
            <w:webHidden/>
          </w:rPr>
          <w:t>33</w:t>
        </w:r>
        <w:r>
          <w:rPr>
            <w:webHidden/>
          </w:rPr>
          <w:fldChar w:fldCharType="end"/>
        </w:r>
      </w:hyperlink>
    </w:p>
    <w:p w14:paraId="6C1890D9" w14:textId="06477DFF" w:rsidR="0002557D" w:rsidRDefault="0002557D">
      <w:pPr>
        <w:pStyle w:val="TOC2"/>
        <w:rPr>
          <w:rFonts w:asciiTheme="minorHAnsi" w:eastAsiaTheme="minorEastAsia" w:hAnsiTheme="minorHAnsi" w:cstheme="minorBidi"/>
          <w:color w:val="auto"/>
          <w:sz w:val="22"/>
          <w:szCs w:val="22"/>
          <w:lang w:val="en-PH" w:eastAsia="en-PH" w:bidi="ar-SA"/>
        </w:rPr>
      </w:pPr>
      <w:hyperlink w:anchor="_Toc50532325" w:history="1">
        <w:r w:rsidRPr="00F77C6D">
          <w:rPr>
            <w:rStyle w:val="Hyperlink"/>
            <w:rFonts w:cs="Arial"/>
            <w:spacing w:val="-2"/>
          </w:rPr>
          <w:t xml:space="preserve">10.2. </w:t>
        </w:r>
        <w:r w:rsidRPr="00F77C6D">
          <w:rPr>
            <w:rStyle w:val="Hyperlink"/>
            <w:rFonts w:cs="Arial"/>
          </w:rPr>
          <w:t>The ‘fixed-plus-variable’ model</w:t>
        </w:r>
        <w:r>
          <w:rPr>
            <w:webHidden/>
          </w:rPr>
          <w:tab/>
        </w:r>
        <w:r>
          <w:rPr>
            <w:webHidden/>
          </w:rPr>
          <w:fldChar w:fldCharType="begin"/>
        </w:r>
        <w:r>
          <w:rPr>
            <w:webHidden/>
          </w:rPr>
          <w:instrText xml:space="preserve"> PAGEREF _Toc50532325 \h </w:instrText>
        </w:r>
        <w:r>
          <w:rPr>
            <w:webHidden/>
          </w:rPr>
        </w:r>
        <w:r>
          <w:rPr>
            <w:webHidden/>
          </w:rPr>
          <w:fldChar w:fldCharType="separate"/>
        </w:r>
        <w:r>
          <w:rPr>
            <w:webHidden/>
          </w:rPr>
          <w:t>33</w:t>
        </w:r>
        <w:r>
          <w:rPr>
            <w:webHidden/>
          </w:rPr>
          <w:fldChar w:fldCharType="end"/>
        </w:r>
      </w:hyperlink>
    </w:p>
    <w:p w14:paraId="0579BD5C" w14:textId="637384C5" w:rsidR="0002557D" w:rsidRDefault="0002557D">
      <w:pPr>
        <w:pStyle w:val="TOC1"/>
        <w:tabs>
          <w:tab w:val="right" w:leader="dot" w:pos="9020"/>
        </w:tabs>
        <w:rPr>
          <w:rFonts w:asciiTheme="minorHAnsi" w:eastAsiaTheme="minorEastAsia" w:hAnsiTheme="minorHAnsi" w:cstheme="minorBidi"/>
          <w:b w:val="0"/>
          <w:noProof/>
          <w:color w:val="auto"/>
          <w:sz w:val="22"/>
          <w:szCs w:val="22"/>
          <w:lang w:val="en-PH" w:eastAsia="en-PH" w:bidi="ar-SA"/>
        </w:rPr>
      </w:pPr>
      <w:r>
        <w:rPr>
          <w:rStyle w:val="Hyperlink"/>
          <w:noProof/>
        </w:rPr>
        <w:br w:type="column"/>
      </w:r>
      <w:hyperlink w:anchor="_Toc50532326" w:history="1">
        <w:r w:rsidRPr="00F77C6D">
          <w:rPr>
            <w:rStyle w:val="Hyperlink"/>
            <w:noProof/>
          </w:rPr>
          <w:t>Alternate funding models</w:t>
        </w:r>
        <w:r>
          <w:rPr>
            <w:noProof/>
            <w:webHidden/>
          </w:rPr>
          <w:tab/>
        </w:r>
        <w:r>
          <w:rPr>
            <w:noProof/>
            <w:webHidden/>
          </w:rPr>
          <w:fldChar w:fldCharType="begin"/>
        </w:r>
        <w:r>
          <w:rPr>
            <w:noProof/>
            <w:webHidden/>
          </w:rPr>
          <w:instrText xml:space="preserve"> PAGEREF _Toc50532326 \h </w:instrText>
        </w:r>
        <w:r>
          <w:rPr>
            <w:noProof/>
            <w:webHidden/>
          </w:rPr>
        </w:r>
        <w:r>
          <w:rPr>
            <w:noProof/>
            <w:webHidden/>
          </w:rPr>
          <w:fldChar w:fldCharType="separate"/>
        </w:r>
        <w:r>
          <w:rPr>
            <w:noProof/>
            <w:webHidden/>
          </w:rPr>
          <w:t>34</w:t>
        </w:r>
        <w:r>
          <w:rPr>
            <w:noProof/>
            <w:webHidden/>
          </w:rPr>
          <w:fldChar w:fldCharType="end"/>
        </w:r>
      </w:hyperlink>
    </w:p>
    <w:p w14:paraId="2A6234E3" w14:textId="10930F29" w:rsidR="0002557D" w:rsidRDefault="0002557D">
      <w:pPr>
        <w:pStyle w:val="TOC2"/>
        <w:rPr>
          <w:rFonts w:asciiTheme="minorHAnsi" w:eastAsiaTheme="minorEastAsia" w:hAnsiTheme="minorHAnsi" w:cstheme="minorBidi"/>
          <w:color w:val="auto"/>
          <w:sz w:val="22"/>
          <w:szCs w:val="22"/>
          <w:lang w:val="en-PH" w:eastAsia="en-PH" w:bidi="ar-SA"/>
        </w:rPr>
      </w:pPr>
      <w:hyperlink w:anchor="_Toc50532327" w:history="1">
        <w:r w:rsidRPr="00F77C6D">
          <w:rPr>
            <w:rStyle w:val="Hyperlink"/>
            <w:rFonts w:cs="Arial"/>
          </w:rPr>
          <w:t>11.1. Overview</w:t>
        </w:r>
        <w:r>
          <w:rPr>
            <w:webHidden/>
          </w:rPr>
          <w:tab/>
        </w:r>
        <w:r>
          <w:rPr>
            <w:webHidden/>
          </w:rPr>
          <w:fldChar w:fldCharType="begin"/>
        </w:r>
        <w:r>
          <w:rPr>
            <w:webHidden/>
          </w:rPr>
          <w:instrText xml:space="preserve"> PAGEREF _Toc50532327 \h </w:instrText>
        </w:r>
        <w:r>
          <w:rPr>
            <w:webHidden/>
          </w:rPr>
        </w:r>
        <w:r>
          <w:rPr>
            <w:webHidden/>
          </w:rPr>
          <w:fldChar w:fldCharType="separate"/>
        </w:r>
        <w:r>
          <w:rPr>
            <w:webHidden/>
          </w:rPr>
          <w:t>35</w:t>
        </w:r>
        <w:r>
          <w:rPr>
            <w:webHidden/>
          </w:rPr>
          <w:fldChar w:fldCharType="end"/>
        </w:r>
      </w:hyperlink>
    </w:p>
    <w:p w14:paraId="1493A05D" w14:textId="65ABDE60" w:rsidR="0002557D" w:rsidRDefault="0002557D">
      <w:pPr>
        <w:pStyle w:val="TOC2"/>
        <w:rPr>
          <w:rFonts w:asciiTheme="minorHAnsi" w:eastAsiaTheme="minorEastAsia" w:hAnsiTheme="minorHAnsi" w:cstheme="minorBidi"/>
          <w:color w:val="auto"/>
          <w:sz w:val="22"/>
          <w:szCs w:val="22"/>
          <w:lang w:val="en-PH" w:eastAsia="en-PH" w:bidi="ar-SA"/>
        </w:rPr>
      </w:pPr>
      <w:hyperlink w:anchor="_Toc50532328" w:history="1">
        <w:r w:rsidRPr="00F77C6D">
          <w:rPr>
            <w:rStyle w:val="Hyperlink"/>
            <w:rFonts w:cs="Arial"/>
          </w:rPr>
          <w:t>11.2. Requirements under the Addendum</w:t>
        </w:r>
        <w:r>
          <w:rPr>
            <w:webHidden/>
          </w:rPr>
          <w:tab/>
        </w:r>
        <w:r>
          <w:rPr>
            <w:webHidden/>
          </w:rPr>
          <w:fldChar w:fldCharType="begin"/>
        </w:r>
        <w:r>
          <w:rPr>
            <w:webHidden/>
          </w:rPr>
          <w:instrText xml:space="preserve"> PAGEREF _Toc50532328 \h </w:instrText>
        </w:r>
        <w:r>
          <w:rPr>
            <w:webHidden/>
          </w:rPr>
        </w:r>
        <w:r>
          <w:rPr>
            <w:webHidden/>
          </w:rPr>
          <w:fldChar w:fldCharType="separate"/>
        </w:r>
        <w:r>
          <w:rPr>
            <w:webHidden/>
          </w:rPr>
          <w:t>35</w:t>
        </w:r>
        <w:r>
          <w:rPr>
            <w:webHidden/>
          </w:rPr>
          <w:fldChar w:fldCharType="end"/>
        </w:r>
      </w:hyperlink>
    </w:p>
    <w:p w14:paraId="7E7BD697" w14:textId="2D5A6591" w:rsidR="0002557D" w:rsidRDefault="0002557D">
      <w:pPr>
        <w:pStyle w:val="TOC2"/>
        <w:rPr>
          <w:rFonts w:asciiTheme="minorHAnsi" w:eastAsiaTheme="minorEastAsia" w:hAnsiTheme="minorHAnsi" w:cstheme="minorBidi"/>
          <w:color w:val="auto"/>
          <w:sz w:val="22"/>
          <w:szCs w:val="22"/>
          <w:lang w:val="en-PH" w:eastAsia="en-PH" w:bidi="ar-SA"/>
        </w:rPr>
      </w:pPr>
      <w:hyperlink w:anchor="_Toc50532329" w:history="1">
        <w:r w:rsidRPr="00F77C6D">
          <w:rPr>
            <w:rStyle w:val="Hyperlink"/>
            <w:rFonts w:cs="Arial"/>
          </w:rPr>
          <w:t>11.3. Innovative funding models being explored by IHPA</w:t>
        </w:r>
        <w:r>
          <w:rPr>
            <w:webHidden/>
          </w:rPr>
          <w:tab/>
        </w:r>
        <w:r>
          <w:rPr>
            <w:webHidden/>
          </w:rPr>
          <w:fldChar w:fldCharType="begin"/>
        </w:r>
        <w:r>
          <w:rPr>
            <w:webHidden/>
          </w:rPr>
          <w:instrText xml:space="preserve"> PAGEREF _Toc50532329 \h </w:instrText>
        </w:r>
        <w:r>
          <w:rPr>
            <w:webHidden/>
          </w:rPr>
        </w:r>
        <w:r>
          <w:rPr>
            <w:webHidden/>
          </w:rPr>
          <w:fldChar w:fldCharType="separate"/>
        </w:r>
        <w:r>
          <w:rPr>
            <w:webHidden/>
          </w:rPr>
          <w:t>36</w:t>
        </w:r>
        <w:r>
          <w:rPr>
            <w:webHidden/>
          </w:rPr>
          <w:fldChar w:fldCharType="end"/>
        </w:r>
      </w:hyperlink>
    </w:p>
    <w:p w14:paraId="6FE451A5" w14:textId="60C6D4E3" w:rsidR="0002557D" w:rsidRDefault="0002557D">
      <w:pPr>
        <w:pStyle w:val="TOC2"/>
        <w:rPr>
          <w:rFonts w:asciiTheme="minorHAnsi" w:eastAsiaTheme="minorEastAsia" w:hAnsiTheme="minorHAnsi" w:cstheme="minorBidi"/>
          <w:color w:val="auto"/>
          <w:sz w:val="22"/>
          <w:szCs w:val="22"/>
          <w:lang w:val="en-PH" w:eastAsia="en-PH" w:bidi="ar-SA"/>
        </w:rPr>
      </w:pPr>
      <w:hyperlink w:anchor="_Toc50532330" w:history="1">
        <w:r w:rsidRPr="00F77C6D">
          <w:rPr>
            <w:rStyle w:val="Hyperlink"/>
            <w:rFonts w:cs="Arial"/>
          </w:rPr>
          <w:t>11.4. Development of a framework for future funding models</w:t>
        </w:r>
        <w:r>
          <w:rPr>
            <w:webHidden/>
          </w:rPr>
          <w:tab/>
        </w:r>
        <w:r>
          <w:rPr>
            <w:webHidden/>
          </w:rPr>
          <w:fldChar w:fldCharType="begin"/>
        </w:r>
        <w:r>
          <w:rPr>
            <w:webHidden/>
          </w:rPr>
          <w:instrText xml:space="preserve"> PAGEREF _Toc50532330 \h </w:instrText>
        </w:r>
        <w:r>
          <w:rPr>
            <w:webHidden/>
          </w:rPr>
        </w:r>
        <w:r>
          <w:rPr>
            <w:webHidden/>
          </w:rPr>
          <w:fldChar w:fldCharType="separate"/>
        </w:r>
        <w:r>
          <w:rPr>
            <w:webHidden/>
          </w:rPr>
          <w:t>37</w:t>
        </w:r>
        <w:r>
          <w:rPr>
            <w:webHidden/>
          </w:rPr>
          <w:fldChar w:fldCharType="end"/>
        </w:r>
      </w:hyperlink>
    </w:p>
    <w:p w14:paraId="251D0B46" w14:textId="73258ECB" w:rsidR="0002557D" w:rsidRDefault="0002557D">
      <w:pPr>
        <w:pStyle w:val="TOC2"/>
        <w:rPr>
          <w:rFonts w:asciiTheme="minorHAnsi" w:eastAsiaTheme="minorEastAsia" w:hAnsiTheme="minorHAnsi" w:cstheme="minorBidi"/>
          <w:color w:val="auto"/>
          <w:sz w:val="22"/>
          <w:szCs w:val="22"/>
          <w:lang w:val="en-PH" w:eastAsia="en-PH" w:bidi="ar-SA"/>
        </w:rPr>
      </w:pPr>
      <w:hyperlink w:anchor="_Toc50532331" w:history="1">
        <w:r w:rsidRPr="00F77C6D">
          <w:rPr>
            <w:rStyle w:val="Hyperlink"/>
            <w:rFonts w:cs="Arial"/>
          </w:rPr>
          <w:t>11.5. Individual Healthcare Identifier</w:t>
        </w:r>
        <w:r>
          <w:rPr>
            <w:webHidden/>
          </w:rPr>
          <w:tab/>
        </w:r>
        <w:r>
          <w:rPr>
            <w:webHidden/>
          </w:rPr>
          <w:fldChar w:fldCharType="begin"/>
        </w:r>
        <w:r>
          <w:rPr>
            <w:webHidden/>
          </w:rPr>
          <w:instrText xml:space="preserve"> PAGEREF _Toc50532331 \h </w:instrText>
        </w:r>
        <w:r>
          <w:rPr>
            <w:webHidden/>
          </w:rPr>
        </w:r>
        <w:r>
          <w:rPr>
            <w:webHidden/>
          </w:rPr>
          <w:fldChar w:fldCharType="separate"/>
        </w:r>
        <w:r>
          <w:rPr>
            <w:webHidden/>
          </w:rPr>
          <w:t>38</w:t>
        </w:r>
        <w:r>
          <w:rPr>
            <w:webHidden/>
          </w:rPr>
          <w:fldChar w:fldCharType="end"/>
        </w:r>
      </w:hyperlink>
    </w:p>
    <w:p w14:paraId="6646384C" w14:textId="466135E1" w:rsidR="0002557D" w:rsidRDefault="0002557D">
      <w:pPr>
        <w:pStyle w:val="TOC1"/>
        <w:tabs>
          <w:tab w:val="right" w:leader="dot" w:pos="9020"/>
        </w:tabs>
        <w:rPr>
          <w:rFonts w:asciiTheme="minorHAnsi" w:eastAsiaTheme="minorEastAsia" w:hAnsiTheme="minorHAnsi" w:cstheme="minorBidi"/>
          <w:b w:val="0"/>
          <w:noProof/>
          <w:color w:val="auto"/>
          <w:sz w:val="22"/>
          <w:szCs w:val="22"/>
          <w:lang w:val="en-PH" w:eastAsia="en-PH" w:bidi="ar-SA"/>
        </w:rPr>
      </w:pPr>
      <w:hyperlink w:anchor="_Toc50532332" w:history="1">
        <w:r w:rsidRPr="00F77C6D">
          <w:rPr>
            <w:rStyle w:val="Hyperlink"/>
            <w:noProof/>
          </w:rPr>
          <w:t>Pricing and funding for safety and quality</w:t>
        </w:r>
        <w:r>
          <w:rPr>
            <w:noProof/>
            <w:webHidden/>
          </w:rPr>
          <w:tab/>
        </w:r>
        <w:r>
          <w:rPr>
            <w:noProof/>
            <w:webHidden/>
          </w:rPr>
          <w:fldChar w:fldCharType="begin"/>
        </w:r>
        <w:r>
          <w:rPr>
            <w:noProof/>
            <w:webHidden/>
          </w:rPr>
          <w:instrText xml:space="preserve"> PAGEREF _Toc50532332 \h </w:instrText>
        </w:r>
        <w:r>
          <w:rPr>
            <w:noProof/>
            <w:webHidden/>
          </w:rPr>
        </w:r>
        <w:r>
          <w:rPr>
            <w:noProof/>
            <w:webHidden/>
          </w:rPr>
          <w:fldChar w:fldCharType="separate"/>
        </w:r>
        <w:r>
          <w:rPr>
            <w:noProof/>
            <w:webHidden/>
          </w:rPr>
          <w:t>39</w:t>
        </w:r>
        <w:r>
          <w:rPr>
            <w:noProof/>
            <w:webHidden/>
          </w:rPr>
          <w:fldChar w:fldCharType="end"/>
        </w:r>
      </w:hyperlink>
    </w:p>
    <w:p w14:paraId="2EEA9A78" w14:textId="77389D7E" w:rsidR="0002557D" w:rsidRDefault="0002557D">
      <w:pPr>
        <w:pStyle w:val="TOC2"/>
        <w:rPr>
          <w:rFonts w:asciiTheme="minorHAnsi" w:eastAsiaTheme="minorEastAsia" w:hAnsiTheme="minorHAnsi" w:cstheme="minorBidi"/>
          <w:color w:val="auto"/>
          <w:sz w:val="22"/>
          <w:szCs w:val="22"/>
          <w:lang w:val="en-PH" w:eastAsia="en-PH" w:bidi="ar-SA"/>
        </w:rPr>
      </w:pPr>
      <w:hyperlink w:anchor="_Toc50532333" w:history="1">
        <w:r w:rsidRPr="00F77C6D">
          <w:rPr>
            <w:rStyle w:val="Hyperlink"/>
            <w:rFonts w:cs="Arial"/>
          </w:rPr>
          <w:t>12.1. Overview</w:t>
        </w:r>
        <w:r>
          <w:rPr>
            <w:webHidden/>
          </w:rPr>
          <w:tab/>
        </w:r>
        <w:r>
          <w:rPr>
            <w:webHidden/>
          </w:rPr>
          <w:fldChar w:fldCharType="begin"/>
        </w:r>
        <w:r>
          <w:rPr>
            <w:webHidden/>
          </w:rPr>
          <w:instrText xml:space="preserve"> PAGEREF _Toc50532333 \h </w:instrText>
        </w:r>
        <w:r>
          <w:rPr>
            <w:webHidden/>
          </w:rPr>
        </w:r>
        <w:r>
          <w:rPr>
            <w:webHidden/>
          </w:rPr>
          <w:fldChar w:fldCharType="separate"/>
        </w:r>
        <w:r>
          <w:rPr>
            <w:webHidden/>
          </w:rPr>
          <w:t>40</w:t>
        </w:r>
        <w:r>
          <w:rPr>
            <w:webHidden/>
          </w:rPr>
          <w:fldChar w:fldCharType="end"/>
        </w:r>
      </w:hyperlink>
    </w:p>
    <w:p w14:paraId="7934C5C8" w14:textId="36890479" w:rsidR="0002557D" w:rsidRDefault="0002557D">
      <w:pPr>
        <w:pStyle w:val="TOC2"/>
        <w:rPr>
          <w:rFonts w:asciiTheme="minorHAnsi" w:eastAsiaTheme="minorEastAsia" w:hAnsiTheme="minorHAnsi" w:cstheme="minorBidi"/>
          <w:color w:val="auto"/>
          <w:sz w:val="22"/>
          <w:szCs w:val="22"/>
          <w:lang w:val="en-PH" w:eastAsia="en-PH" w:bidi="ar-SA"/>
        </w:rPr>
      </w:pPr>
      <w:hyperlink w:anchor="_Toc50532334" w:history="1">
        <w:r w:rsidRPr="00F77C6D">
          <w:rPr>
            <w:rStyle w:val="Hyperlink"/>
            <w:rFonts w:cs="Arial"/>
          </w:rPr>
          <w:t>12.2. Sentinel events</w:t>
        </w:r>
        <w:r>
          <w:rPr>
            <w:webHidden/>
          </w:rPr>
          <w:tab/>
        </w:r>
        <w:r>
          <w:rPr>
            <w:webHidden/>
          </w:rPr>
          <w:fldChar w:fldCharType="begin"/>
        </w:r>
        <w:r>
          <w:rPr>
            <w:webHidden/>
          </w:rPr>
          <w:instrText xml:space="preserve"> PAGEREF _Toc50532334 \h </w:instrText>
        </w:r>
        <w:r>
          <w:rPr>
            <w:webHidden/>
          </w:rPr>
        </w:r>
        <w:r>
          <w:rPr>
            <w:webHidden/>
          </w:rPr>
          <w:fldChar w:fldCharType="separate"/>
        </w:r>
        <w:r>
          <w:rPr>
            <w:webHidden/>
          </w:rPr>
          <w:t>40</w:t>
        </w:r>
        <w:r>
          <w:rPr>
            <w:webHidden/>
          </w:rPr>
          <w:fldChar w:fldCharType="end"/>
        </w:r>
      </w:hyperlink>
    </w:p>
    <w:p w14:paraId="789481D7" w14:textId="408F269F" w:rsidR="0002557D" w:rsidRDefault="0002557D">
      <w:pPr>
        <w:pStyle w:val="TOC2"/>
        <w:rPr>
          <w:rFonts w:asciiTheme="minorHAnsi" w:eastAsiaTheme="minorEastAsia" w:hAnsiTheme="minorHAnsi" w:cstheme="minorBidi"/>
          <w:color w:val="auto"/>
          <w:sz w:val="22"/>
          <w:szCs w:val="22"/>
          <w:lang w:val="en-PH" w:eastAsia="en-PH" w:bidi="ar-SA"/>
        </w:rPr>
      </w:pPr>
      <w:hyperlink w:anchor="_Toc50532335" w:history="1">
        <w:r w:rsidRPr="00F77C6D">
          <w:rPr>
            <w:rStyle w:val="Hyperlink"/>
            <w:rFonts w:cs="Arial"/>
          </w:rPr>
          <w:t>12.3. Hospital acquired complications</w:t>
        </w:r>
        <w:r>
          <w:rPr>
            <w:webHidden/>
          </w:rPr>
          <w:tab/>
        </w:r>
        <w:r>
          <w:rPr>
            <w:webHidden/>
          </w:rPr>
          <w:fldChar w:fldCharType="begin"/>
        </w:r>
        <w:r>
          <w:rPr>
            <w:webHidden/>
          </w:rPr>
          <w:instrText xml:space="preserve"> PAGEREF _Toc50532335 \h </w:instrText>
        </w:r>
        <w:r>
          <w:rPr>
            <w:webHidden/>
          </w:rPr>
        </w:r>
        <w:r>
          <w:rPr>
            <w:webHidden/>
          </w:rPr>
          <w:fldChar w:fldCharType="separate"/>
        </w:r>
        <w:r>
          <w:rPr>
            <w:webHidden/>
          </w:rPr>
          <w:t>41</w:t>
        </w:r>
        <w:r>
          <w:rPr>
            <w:webHidden/>
          </w:rPr>
          <w:fldChar w:fldCharType="end"/>
        </w:r>
      </w:hyperlink>
    </w:p>
    <w:p w14:paraId="7445FC6E" w14:textId="46CE1CCD" w:rsidR="0002557D" w:rsidRDefault="0002557D">
      <w:pPr>
        <w:pStyle w:val="TOC2"/>
        <w:rPr>
          <w:rFonts w:asciiTheme="minorHAnsi" w:eastAsiaTheme="minorEastAsia" w:hAnsiTheme="minorHAnsi" w:cstheme="minorBidi"/>
          <w:color w:val="auto"/>
          <w:sz w:val="22"/>
          <w:szCs w:val="22"/>
          <w:lang w:val="en-PH" w:eastAsia="en-PH" w:bidi="ar-SA"/>
        </w:rPr>
      </w:pPr>
      <w:hyperlink w:anchor="_Toc50532336" w:history="1">
        <w:r w:rsidRPr="00F77C6D">
          <w:rPr>
            <w:rStyle w:val="Hyperlink"/>
            <w:rFonts w:cs="Arial"/>
          </w:rPr>
          <w:t>12.4. Avoidable hospital readmissions</w:t>
        </w:r>
        <w:r>
          <w:rPr>
            <w:webHidden/>
          </w:rPr>
          <w:tab/>
        </w:r>
        <w:r>
          <w:rPr>
            <w:webHidden/>
          </w:rPr>
          <w:fldChar w:fldCharType="begin"/>
        </w:r>
        <w:r>
          <w:rPr>
            <w:webHidden/>
          </w:rPr>
          <w:instrText xml:space="preserve"> PAGEREF _Toc50532336 \h </w:instrText>
        </w:r>
        <w:r>
          <w:rPr>
            <w:webHidden/>
          </w:rPr>
        </w:r>
        <w:r>
          <w:rPr>
            <w:webHidden/>
          </w:rPr>
          <w:fldChar w:fldCharType="separate"/>
        </w:r>
        <w:r>
          <w:rPr>
            <w:webHidden/>
          </w:rPr>
          <w:t>41</w:t>
        </w:r>
        <w:r>
          <w:rPr>
            <w:webHidden/>
          </w:rPr>
          <w:fldChar w:fldCharType="end"/>
        </w:r>
      </w:hyperlink>
    </w:p>
    <w:p w14:paraId="3BF1F462" w14:textId="6C8FCB34" w:rsidR="0002557D" w:rsidRDefault="0002557D" w:rsidP="0002557D">
      <w:pPr>
        <w:pStyle w:val="TOC1"/>
        <w:numPr>
          <w:ilvl w:val="0"/>
          <w:numId w:val="0"/>
        </w:numPr>
        <w:tabs>
          <w:tab w:val="right" w:leader="dot" w:pos="9020"/>
        </w:tabs>
        <w:ind w:left="717" w:hanging="360"/>
        <w:rPr>
          <w:rFonts w:asciiTheme="minorHAnsi" w:eastAsiaTheme="minorEastAsia" w:hAnsiTheme="minorHAnsi" w:cstheme="minorBidi"/>
          <w:b w:val="0"/>
          <w:noProof/>
          <w:color w:val="auto"/>
          <w:sz w:val="22"/>
          <w:szCs w:val="22"/>
          <w:lang w:val="en-PH" w:eastAsia="en-PH" w:bidi="ar-SA"/>
        </w:rPr>
      </w:pPr>
      <w:hyperlink w:anchor="_Toc50532337" w:history="1">
        <w:r w:rsidRPr="00F77C6D">
          <w:rPr>
            <w:rStyle w:val="Hyperlink"/>
            <w:noProof/>
          </w:rPr>
          <w:t>Appendix 1 — List of consultation questions</w:t>
        </w:r>
        <w:r>
          <w:rPr>
            <w:noProof/>
            <w:webHidden/>
          </w:rPr>
          <w:tab/>
        </w:r>
        <w:r>
          <w:rPr>
            <w:noProof/>
            <w:webHidden/>
          </w:rPr>
          <w:fldChar w:fldCharType="begin"/>
        </w:r>
        <w:r>
          <w:rPr>
            <w:noProof/>
            <w:webHidden/>
          </w:rPr>
          <w:instrText xml:space="preserve"> PAGEREF _Toc50532337 \h </w:instrText>
        </w:r>
        <w:r>
          <w:rPr>
            <w:noProof/>
            <w:webHidden/>
          </w:rPr>
        </w:r>
        <w:r>
          <w:rPr>
            <w:noProof/>
            <w:webHidden/>
          </w:rPr>
          <w:fldChar w:fldCharType="separate"/>
        </w:r>
        <w:r>
          <w:rPr>
            <w:noProof/>
            <w:webHidden/>
          </w:rPr>
          <w:t>48</w:t>
        </w:r>
        <w:r>
          <w:rPr>
            <w:noProof/>
            <w:webHidden/>
          </w:rPr>
          <w:fldChar w:fldCharType="end"/>
        </w:r>
      </w:hyperlink>
    </w:p>
    <w:p w14:paraId="29C4BDAF" w14:textId="4C392725" w:rsidR="00580880" w:rsidRPr="00580880" w:rsidRDefault="006765B9" w:rsidP="001C5C18">
      <w:pPr>
        <w:pStyle w:val="TOC1"/>
        <w:numPr>
          <w:ilvl w:val="0"/>
          <w:numId w:val="0"/>
        </w:numPr>
        <w:tabs>
          <w:tab w:val="right" w:pos="9030"/>
        </w:tabs>
        <w:spacing w:before="100" w:beforeAutospacing="1" w:after="100" w:afterAutospacing="1" w:line="360" w:lineRule="auto"/>
        <w:ind w:left="717"/>
        <w:sectPr w:rsidR="00580880" w:rsidRPr="00580880" w:rsidSect="00603DEC">
          <w:headerReference w:type="default" r:id="rId13"/>
          <w:pgSz w:w="11910" w:h="16840"/>
          <w:pgMar w:top="1440" w:right="1440" w:bottom="1440" w:left="1440" w:header="0" w:footer="0" w:gutter="0"/>
          <w:cols w:space="720"/>
        </w:sectPr>
      </w:pPr>
      <w:r w:rsidRPr="007A1BB9">
        <w:rPr>
          <w:rFonts w:cs="Arial"/>
        </w:rPr>
        <w:fldChar w:fldCharType="end"/>
      </w:r>
    </w:p>
    <w:p w14:paraId="7BAD9AD8" w14:textId="77777777" w:rsidR="00C415F5" w:rsidRPr="0065414C" w:rsidRDefault="00603DEC" w:rsidP="006765B9">
      <w:pPr>
        <w:pStyle w:val="Sectionheader"/>
        <w:spacing w:after="600"/>
      </w:pPr>
      <w:bookmarkStart w:id="15" w:name="Glossary"/>
      <w:bookmarkStart w:id="16" w:name="_bookmark0"/>
      <w:bookmarkStart w:id="17" w:name="_Toc49953731"/>
      <w:bookmarkStart w:id="18" w:name="_Toc50532293"/>
      <w:bookmarkEnd w:id="15"/>
      <w:bookmarkEnd w:id="16"/>
      <w:r w:rsidRPr="0065414C">
        <w:lastRenderedPageBreak/>
        <w:t>Glossary</w:t>
      </w:r>
      <w:bookmarkEnd w:id="17"/>
      <w:bookmarkEnd w:id="18"/>
    </w:p>
    <w:tbl>
      <w:tblPr>
        <w:tblStyle w:val="TableGridLight"/>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1"/>
        <w:gridCol w:w="7241"/>
      </w:tblGrid>
      <w:tr w:rsidR="00391CF0" w:rsidRPr="0065414C" w14:paraId="799C1E92" w14:textId="77777777" w:rsidTr="00395A1D">
        <w:trPr>
          <w:trHeight w:val="298"/>
        </w:trPr>
        <w:tc>
          <w:tcPr>
            <w:tcW w:w="1831" w:type="dxa"/>
          </w:tcPr>
          <w:p w14:paraId="4E1A3A1E" w14:textId="77777777" w:rsidR="00391CF0" w:rsidRPr="0065414C" w:rsidRDefault="00391CF0" w:rsidP="00391CF0">
            <w:pPr>
              <w:pStyle w:val="TableParagraph"/>
              <w:rPr>
                <w:rFonts w:cs="Arial"/>
                <w:b/>
                <w:bCs/>
              </w:rPr>
            </w:pPr>
            <w:r w:rsidRPr="0065414C">
              <w:rPr>
                <w:rFonts w:cs="Arial"/>
                <w:b/>
                <w:bCs/>
              </w:rPr>
              <w:t>ABF</w:t>
            </w:r>
          </w:p>
        </w:tc>
        <w:tc>
          <w:tcPr>
            <w:tcW w:w="7241" w:type="dxa"/>
          </w:tcPr>
          <w:p w14:paraId="5F346F3B" w14:textId="77777777" w:rsidR="00391CF0" w:rsidRPr="0065414C" w:rsidRDefault="00391CF0" w:rsidP="00391CF0">
            <w:pPr>
              <w:pStyle w:val="TableParagraph"/>
              <w:rPr>
                <w:rFonts w:cs="Arial"/>
              </w:rPr>
            </w:pPr>
            <w:r w:rsidRPr="0065414C">
              <w:rPr>
                <w:rFonts w:cs="Arial"/>
              </w:rPr>
              <w:t>Activity Based Funding</w:t>
            </w:r>
          </w:p>
        </w:tc>
      </w:tr>
      <w:tr w:rsidR="00391CF0" w:rsidRPr="0065414C" w14:paraId="6CE6D815" w14:textId="77777777" w:rsidTr="00395A1D">
        <w:trPr>
          <w:trHeight w:val="362"/>
        </w:trPr>
        <w:tc>
          <w:tcPr>
            <w:tcW w:w="1831" w:type="dxa"/>
          </w:tcPr>
          <w:p w14:paraId="754DB5B5" w14:textId="77777777" w:rsidR="00391CF0" w:rsidRPr="0065414C" w:rsidRDefault="00391CF0" w:rsidP="00391CF0">
            <w:pPr>
              <w:pStyle w:val="TableParagraph"/>
              <w:rPr>
                <w:rFonts w:cs="Arial"/>
                <w:b/>
                <w:bCs/>
              </w:rPr>
            </w:pPr>
            <w:r w:rsidRPr="0065414C">
              <w:rPr>
                <w:rFonts w:cs="Arial"/>
                <w:b/>
                <w:bCs/>
              </w:rPr>
              <w:t>ACHI</w:t>
            </w:r>
          </w:p>
        </w:tc>
        <w:tc>
          <w:tcPr>
            <w:tcW w:w="7241" w:type="dxa"/>
          </w:tcPr>
          <w:p w14:paraId="4140C588" w14:textId="77777777" w:rsidR="00391CF0" w:rsidRPr="0065414C" w:rsidRDefault="00391CF0" w:rsidP="00391CF0">
            <w:pPr>
              <w:pStyle w:val="TableParagraph"/>
              <w:rPr>
                <w:rFonts w:cs="Arial"/>
              </w:rPr>
            </w:pPr>
            <w:r w:rsidRPr="0065414C">
              <w:rPr>
                <w:rFonts w:cs="Arial"/>
              </w:rPr>
              <w:t>Australian Classification of Health Interventions</w:t>
            </w:r>
          </w:p>
        </w:tc>
      </w:tr>
      <w:tr w:rsidR="00391CF0" w:rsidRPr="0065414C" w14:paraId="1B46F0F2" w14:textId="77777777" w:rsidTr="00395A1D">
        <w:trPr>
          <w:trHeight w:val="362"/>
        </w:trPr>
        <w:tc>
          <w:tcPr>
            <w:tcW w:w="1831" w:type="dxa"/>
          </w:tcPr>
          <w:p w14:paraId="6EFC8A1F" w14:textId="77777777" w:rsidR="00391CF0" w:rsidRPr="0065414C" w:rsidRDefault="00391CF0" w:rsidP="00391CF0">
            <w:pPr>
              <w:pStyle w:val="TableParagraph"/>
              <w:rPr>
                <w:rFonts w:cs="Arial"/>
                <w:b/>
                <w:bCs/>
              </w:rPr>
            </w:pPr>
            <w:r w:rsidRPr="0065414C">
              <w:rPr>
                <w:rFonts w:cs="Arial"/>
                <w:b/>
                <w:bCs/>
              </w:rPr>
              <w:t>ACS</w:t>
            </w:r>
          </w:p>
        </w:tc>
        <w:tc>
          <w:tcPr>
            <w:tcW w:w="7241" w:type="dxa"/>
          </w:tcPr>
          <w:p w14:paraId="694BC810" w14:textId="77777777" w:rsidR="00391CF0" w:rsidRPr="0065414C" w:rsidRDefault="00391CF0" w:rsidP="00391CF0">
            <w:pPr>
              <w:pStyle w:val="TableParagraph"/>
              <w:rPr>
                <w:rFonts w:cs="Arial"/>
              </w:rPr>
            </w:pPr>
            <w:r w:rsidRPr="0065414C">
              <w:rPr>
                <w:rFonts w:cs="Arial"/>
              </w:rPr>
              <w:t>Australian Coding Standards</w:t>
            </w:r>
          </w:p>
        </w:tc>
      </w:tr>
      <w:tr w:rsidR="00391CF0" w:rsidRPr="0065414C" w14:paraId="1F261302" w14:textId="77777777" w:rsidTr="00395A1D">
        <w:trPr>
          <w:trHeight w:val="362"/>
        </w:trPr>
        <w:tc>
          <w:tcPr>
            <w:tcW w:w="1831" w:type="dxa"/>
          </w:tcPr>
          <w:p w14:paraId="0B96334F" w14:textId="77777777" w:rsidR="00391CF0" w:rsidRPr="0065414C" w:rsidRDefault="00391CF0" w:rsidP="00391CF0">
            <w:pPr>
              <w:pStyle w:val="TableParagraph"/>
              <w:rPr>
                <w:rFonts w:cs="Arial"/>
                <w:b/>
                <w:bCs/>
              </w:rPr>
            </w:pPr>
            <w:r w:rsidRPr="0065414C">
              <w:rPr>
                <w:rFonts w:cs="Arial"/>
                <w:b/>
                <w:bCs/>
              </w:rPr>
              <w:t>ADRG</w:t>
            </w:r>
          </w:p>
        </w:tc>
        <w:tc>
          <w:tcPr>
            <w:tcW w:w="7241" w:type="dxa"/>
          </w:tcPr>
          <w:p w14:paraId="1C3B0471" w14:textId="77777777" w:rsidR="00391CF0" w:rsidRPr="0065414C" w:rsidRDefault="00391CF0" w:rsidP="00391CF0">
            <w:pPr>
              <w:pStyle w:val="TableParagraph"/>
              <w:rPr>
                <w:rFonts w:cs="Arial"/>
              </w:rPr>
            </w:pPr>
            <w:r w:rsidRPr="0065414C">
              <w:rPr>
                <w:rFonts w:cs="Arial"/>
                <w:szCs w:val="22"/>
              </w:rPr>
              <w:t>Adjacent Diagnoses Related Group</w:t>
            </w:r>
          </w:p>
        </w:tc>
      </w:tr>
      <w:tr w:rsidR="00391CF0" w:rsidRPr="0065414C" w14:paraId="7DC76AB4" w14:textId="77777777" w:rsidTr="00395A1D">
        <w:trPr>
          <w:trHeight w:val="362"/>
        </w:trPr>
        <w:tc>
          <w:tcPr>
            <w:tcW w:w="1831" w:type="dxa"/>
          </w:tcPr>
          <w:p w14:paraId="12B3F0CC" w14:textId="77777777" w:rsidR="00391CF0" w:rsidRPr="0065414C" w:rsidRDefault="00391CF0" w:rsidP="00391CF0">
            <w:pPr>
              <w:pStyle w:val="TableParagraph"/>
              <w:rPr>
                <w:rFonts w:cs="Arial"/>
                <w:b/>
                <w:bCs/>
              </w:rPr>
            </w:pPr>
            <w:r w:rsidRPr="0065414C">
              <w:rPr>
                <w:rFonts w:cs="Arial"/>
                <w:b/>
                <w:bCs/>
              </w:rPr>
              <w:t>AECC</w:t>
            </w:r>
          </w:p>
        </w:tc>
        <w:tc>
          <w:tcPr>
            <w:tcW w:w="7241" w:type="dxa"/>
          </w:tcPr>
          <w:p w14:paraId="1C297703" w14:textId="77777777" w:rsidR="00391CF0" w:rsidRPr="0065414C" w:rsidRDefault="00391CF0" w:rsidP="00391CF0">
            <w:pPr>
              <w:pStyle w:val="TableParagraph"/>
              <w:rPr>
                <w:rFonts w:cs="Arial"/>
              </w:rPr>
            </w:pPr>
            <w:r w:rsidRPr="0065414C">
              <w:rPr>
                <w:rFonts w:cs="Arial"/>
              </w:rPr>
              <w:t>Australian Emergency Care Classification</w:t>
            </w:r>
          </w:p>
        </w:tc>
      </w:tr>
      <w:tr w:rsidR="00391CF0" w:rsidRPr="0065414C" w14:paraId="582CA42B" w14:textId="77777777" w:rsidTr="00395A1D">
        <w:trPr>
          <w:trHeight w:val="362"/>
        </w:trPr>
        <w:tc>
          <w:tcPr>
            <w:tcW w:w="1831" w:type="dxa"/>
          </w:tcPr>
          <w:p w14:paraId="66557991" w14:textId="77777777" w:rsidR="00391CF0" w:rsidRPr="0065414C" w:rsidRDefault="00391CF0" w:rsidP="00391CF0">
            <w:pPr>
              <w:pStyle w:val="TableParagraph"/>
              <w:rPr>
                <w:rFonts w:cs="Arial"/>
                <w:b/>
                <w:bCs/>
              </w:rPr>
            </w:pPr>
            <w:r w:rsidRPr="0065414C">
              <w:rPr>
                <w:rFonts w:cs="Arial"/>
                <w:b/>
                <w:bCs/>
              </w:rPr>
              <w:t>AHMAC</w:t>
            </w:r>
          </w:p>
        </w:tc>
        <w:tc>
          <w:tcPr>
            <w:tcW w:w="7241" w:type="dxa"/>
          </w:tcPr>
          <w:p w14:paraId="7825AB61" w14:textId="77777777" w:rsidR="00391CF0" w:rsidRPr="0065414C" w:rsidRDefault="00391CF0" w:rsidP="00391CF0">
            <w:pPr>
              <w:pStyle w:val="TableParagraph"/>
              <w:rPr>
                <w:rFonts w:cs="Arial"/>
              </w:rPr>
            </w:pPr>
            <w:r w:rsidRPr="0065414C">
              <w:rPr>
                <w:rFonts w:cs="Arial"/>
                <w:szCs w:val="22"/>
              </w:rPr>
              <w:t>Australian Health Ministers Advisory Council</w:t>
            </w:r>
          </w:p>
        </w:tc>
      </w:tr>
      <w:tr w:rsidR="00391CF0" w:rsidRPr="0065414C" w14:paraId="3456C608" w14:textId="77777777" w:rsidTr="00395A1D">
        <w:trPr>
          <w:trHeight w:val="362"/>
        </w:trPr>
        <w:tc>
          <w:tcPr>
            <w:tcW w:w="1831" w:type="dxa"/>
          </w:tcPr>
          <w:p w14:paraId="43A2F03F" w14:textId="77777777" w:rsidR="00391CF0" w:rsidRPr="0065414C" w:rsidRDefault="00391CF0" w:rsidP="00391CF0">
            <w:pPr>
              <w:pStyle w:val="TableParagraph"/>
              <w:rPr>
                <w:rFonts w:cs="Arial"/>
                <w:b/>
                <w:bCs/>
              </w:rPr>
            </w:pPr>
            <w:r w:rsidRPr="0065414C">
              <w:rPr>
                <w:rFonts w:cs="Arial"/>
                <w:b/>
                <w:bCs/>
              </w:rPr>
              <w:t>AMHCC</w:t>
            </w:r>
          </w:p>
        </w:tc>
        <w:tc>
          <w:tcPr>
            <w:tcW w:w="7241" w:type="dxa"/>
          </w:tcPr>
          <w:p w14:paraId="5CE76692" w14:textId="77777777" w:rsidR="00391CF0" w:rsidRPr="0065414C" w:rsidRDefault="00391CF0" w:rsidP="00391CF0">
            <w:pPr>
              <w:pStyle w:val="TableParagraph"/>
              <w:rPr>
                <w:rFonts w:cs="Arial"/>
              </w:rPr>
            </w:pPr>
            <w:r w:rsidRPr="0065414C">
              <w:rPr>
                <w:rFonts w:cs="Arial"/>
              </w:rPr>
              <w:t>Australian Mental Health Care Classification</w:t>
            </w:r>
          </w:p>
        </w:tc>
      </w:tr>
      <w:tr w:rsidR="00391CF0" w:rsidRPr="0065414C" w14:paraId="48EE085D" w14:textId="77777777" w:rsidTr="00395A1D">
        <w:trPr>
          <w:trHeight w:val="362"/>
        </w:trPr>
        <w:tc>
          <w:tcPr>
            <w:tcW w:w="1831" w:type="dxa"/>
          </w:tcPr>
          <w:p w14:paraId="7FF7F652" w14:textId="77777777" w:rsidR="00391CF0" w:rsidRPr="0065414C" w:rsidRDefault="00391CF0" w:rsidP="00391CF0">
            <w:pPr>
              <w:pStyle w:val="TableParagraph"/>
              <w:rPr>
                <w:rFonts w:cs="Arial"/>
                <w:b/>
                <w:bCs/>
              </w:rPr>
            </w:pPr>
            <w:r w:rsidRPr="0065414C">
              <w:rPr>
                <w:rFonts w:cs="Arial"/>
                <w:b/>
                <w:bCs/>
              </w:rPr>
              <w:t>ANACC</w:t>
            </w:r>
          </w:p>
        </w:tc>
        <w:tc>
          <w:tcPr>
            <w:tcW w:w="7241" w:type="dxa"/>
          </w:tcPr>
          <w:p w14:paraId="66B1AAB0" w14:textId="77777777" w:rsidR="00391CF0" w:rsidRPr="0065414C" w:rsidRDefault="00391CF0" w:rsidP="00391CF0">
            <w:pPr>
              <w:pStyle w:val="TableParagraph"/>
              <w:rPr>
                <w:rFonts w:cs="Arial"/>
              </w:rPr>
            </w:pPr>
            <w:r w:rsidRPr="0065414C">
              <w:rPr>
                <w:rFonts w:cs="Arial"/>
              </w:rPr>
              <w:t>Australian Non-Admitted Care Classification</w:t>
            </w:r>
          </w:p>
        </w:tc>
      </w:tr>
      <w:tr w:rsidR="00391CF0" w:rsidRPr="0065414C" w14:paraId="32A040A1" w14:textId="77777777" w:rsidTr="00395A1D">
        <w:trPr>
          <w:trHeight w:val="362"/>
        </w:trPr>
        <w:tc>
          <w:tcPr>
            <w:tcW w:w="1831" w:type="dxa"/>
          </w:tcPr>
          <w:p w14:paraId="6EC3BD3C" w14:textId="77777777" w:rsidR="00391CF0" w:rsidRPr="0065414C" w:rsidRDefault="00391CF0" w:rsidP="00391CF0">
            <w:pPr>
              <w:pStyle w:val="TableParagraph"/>
              <w:rPr>
                <w:rFonts w:cs="Arial"/>
                <w:b/>
                <w:bCs/>
              </w:rPr>
            </w:pPr>
            <w:r w:rsidRPr="0065414C">
              <w:rPr>
                <w:rFonts w:cs="Arial"/>
                <w:b/>
                <w:bCs/>
              </w:rPr>
              <w:t>AN-SNAP</w:t>
            </w:r>
          </w:p>
        </w:tc>
        <w:tc>
          <w:tcPr>
            <w:tcW w:w="7241" w:type="dxa"/>
          </w:tcPr>
          <w:p w14:paraId="663FA4C0" w14:textId="77777777" w:rsidR="00391CF0" w:rsidRPr="0065414C" w:rsidRDefault="00391CF0" w:rsidP="00391CF0">
            <w:pPr>
              <w:pStyle w:val="TableParagraph"/>
              <w:rPr>
                <w:rFonts w:cs="Arial"/>
              </w:rPr>
            </w:pPr>
            <w:r w:rsidRPr="0065414C">
              <w:rPr>
                <w:rFonts w:cs="Arial"/>
              </w:rPr>
              <w:t>Australian National Subacute and Non-Acute Patient classification</w:t>
            </w:r>
          </w:p>
        </w:tc>
      </w:tr>
      <w:tr w:rsidR="00391CF0" w:rsidRPr="0065414C" w14:paraId="52EFB8D4" w14:textId="77777777" w:rsidTr="00395A1D">
        <w:trPr>
          <w:trHeight w:val="362"/>
        </w:trPr>
        <w:tc>
          <w:tcPr>
            <w:tcW w:w="1831" w:type="dxa"/>
          </w:tcPr>
          <w:p w14:paraId="48DC2306" w14:textId="77777777" w:rsidR="00391CF0" w:rsidRPr="0065414C" w:rsidRDefault="00391CF0" w:rsidP="00391CF0">
            <w:pPr>
              <w:pStyle w:val="TableParagraph"/>
              <w:rPr>
                <w:rFonts w:cs="Arial"/>
                <w:b/>
                <w:bCs/>
              </w:rPr>
            </w:pPr>
            <w:r w:rsidRPr="0065414C">
              <w:rPr>
                <w:rFonts w:cs="Arial"/>
                <w:b/>
                <w:bCs/>
              </w:rPr>
              <w:t>AR-DRG</w:t>
            </w:r>
          </w:p>
        </w:tc>
        <w:tc>
          <w:tcPr>
            <w:tcW w:w="7241" w:type="dxa"/>
          </w:tcPr>
          <w:p w14:paraId="40388268" w14:textId="77777777" w:rsidR="00391CF0" w:rsidRPr="0065414C" w:rsidRDefault="00391CF0" w:rsidP="00391CF0">
            <w:pPr>
              <w:pStyle w:val="TableParagraph"/>
              <w:rPr>
                <w:rFonts w:cs="Arial"/>
              </w:rPr>
            </w:pPr>
            <w:r w:rsidRPr="0065414C">
              <w:rPr>
                <w:rFonts w:cs="Arial"/>
              </w:rPr>
              <w:t>Australian Refined Diagnosis Related Group</w:t>
            </w:r>
          </w:p>
        </w:tc>
      </w:tr>
      <w:tr w:rsidR="00391CF0" w:rsidRPr="0065414C" w14:paraId="10F05CDF" w14:textId="77777777" w:rsidTr="00395A1D">
        <w:trPr>
          <w:trHeight w:val="362"/>
        </w:trPr>
        <w:tc>
          <w:tcPr>
            <w:tcW w:w="1831" w:type="dxa"/>
          </w:tcPr>
          <w:p w14:paraId="5192902E" w14:textId="77777777" w:rsidR="00391CF0" w:rsidRPr="0065414C" w:rsidRDefault="00391CF0" w:rsidP="00391CF0">
            <w:pPr>
              <w:pStyle w:val="TableParagraph"/>
              <w:rPr>
                <w:rFonts w:cs="Arial"/>
                <w:b/>
                <w:bCs/>
              </w:rPr>
            </w:pPr>
            <w:r w:rsidRPr="0065414C">
              <w:rPr>
                <w:rFonts w:cs="Arial"/>
                <w:b/>
                <w:bCs/>
              </w:rPr>
              <w:t>ATTC</w:t>
            </w:r>
          </w:p>
        </w:tc>
        <w:tc>
          <w:tcPr>
            <w:tcW w:w="7241" w:type="dxa"/>
          </w:tcPr>
          <w:p w14:paraId="7EB21584" w14:textId="77777777" w:rsidR="00391CF0" w:rsidRPr="0065414C" w:rsidRDefault="00391CF0" w:rsidP="00391CF0">
            <w:pPr>
              <w:pStyle w:val="TableParagraph"/>
              <w:rPr>
                <w:rFonts w:cs="Arial"/>
              </w:rPr>
            </w:pPr>
            <w:r w:rsidRPr="0065414C">
              <w:rPr>
                <w:rFonts w:cs="Arial"/>
              </w:rPr>
              <w:t>Australian Teaching and Training Classification</w:t>
            </w:r>
          </w:p>
        </w:tc>
      </w:tr>
      <w:tr w:rsidR="00391CF0" w:rsidRPr="0065414C" w14:paraId="5A61922B" w14:textId="77777777" w:rsidTr="00395A1D">
        <w:trPr>
          <w:trHeight w:val="362"/>
        </w:trPr>
        <w:tc>
          <w:tcPr>
            <w:tcW w:w="1831" w:type="dxa"/>
          </w:tcPr>
          <w:p w14:paraId="70278A7C" w14:textId="77777777" w:rsidR="00391CF0" w:rsidRPr="0065414C" w:rsidRDefault="00391CF0" w:rsidP="00391CF0">
            <w:pPr>
              <w:pStyle w:val="TableParagraph"/>
              <w:rPr>
                <w:rFonts w:cs="Arial"/>
                <w:b/>
                <w:bCs/>
              </w:rPr>
            </w:pPr>
            <w:r w:rsidRPr="0065414C">
              <w:rPr>
                <w:rFonts w:cs="Arial"/>
                <w:b/>
                <w:bCs/>
              </w:rPr>
              <w:t>CAC</w:t>
            </w:r>
          </w:p>
        </w:tc>
        <w:tc>
          <w:tcPr>
            <w:tcW w:w="7241" w:type="dxa"/>
          </w:tcPr>
          <w:p w14:paraId="37F8AF15" w14:textId="77777777" w:rsidR="00391CF0" w:rsidRPr="0065414C" w:rsidRDefault="00391CF0" w:rsidP="00391CF0">
            <w:pPr>
              <w:pStyle w:val="TableParagraph"/>
              <w:rPr>
                <w:rFonts w:cs="Arial"/>
              </w:rPr>
            </w:pPr>
            <w:r w:rsidRPr="0065414C">
              <w:rPr>
                <w:rFonts w:cs="Arial"/>
              </w:rPr>
              <w:t>Clinical Advisory Committee</w:t>
            </w:r>
          </w:p>
        </w:tc>
      </w:tr>
      <w:tr w:rsidR="00391CF0" w:rsidRPr="0065414C" w14:paraId="20399736" w14:textId="77777777" w:rsidTr="00395A1D">
        <w:trPr>
          <w:trHeight w:val="362"/>
        </w:trPr>
        <w:tc>
          <w:tcPr>
            <w:tcW w:w="1831" w:type="dxa"/>
          </w:tcPr>
          <w:p w14:paraId="6C3157C8" w14:textId="77777777" w:rsidR="00391CF0" w:rsidRPr="0065414C" w:rsidRDefault="00391CF0" w:rsidP="00391CF0">
            <w:pPr>
              <w:pStyle w:val="TableParagraph"/>
              <w:rPr>
                <w:rFonts w:cs="Arial"/>
                <w:b/>
                <w:bCs/>
              </w:rPr>
            </w:pPr>
            <w:r w:rsidRPr="0065414C">
              <w:rPr>
                <w:rFonts w:cs="Arial"/>
                <w:b/>
                <w:bCs/>
              </w:rPr>
              <w:t>CHC</w:t>
            </w:r>
          </w:p>
        </w:tc>
        <w:tc>
          <w:tcPr>
            <w:tcW w:w="7241" w:type="dxa"/>
          </w:tcPr>
          <w:p w14:paraId="3C017D88" w14:textId="77777777" w:rsidR="00391CF0" w:rsidRPr="0065414C" w:rsidRDefault="00391CF0" w:rsidP="00391CF0">
            <w:pPr>
              <w:pStyle w:val="TableParagraph"/>
              <w:rPr>
                <w:rFonts w:cs="Arial"/>
              </w:rPr>
            </w:pPr>
            <w:r w:rsidRPr="0065414C">
              <w:rPr>
                <w:rFonts w:cs="Arial"/>
                <w:szCs w:val="22"/>
              </w:rPr>
              <w:t>Council of Australian Governments Health Council</w:t>
            </w:r>
          </w:p>
        </w:tc>
      </w:tr>
      <w:tr w:rsidR="009749C7" w:rsidRPr="0065414C" w14:paraId="15AD258D" w14:textId="77777777" w:rsidTr="00395A1D">
        <w:trPr>
          <w:trHeight w:val="362"/>
        </w:trPr>
        <w:tc>
          <w:tcPr>
            <w:tcW w:w="1831" w:type="dxa"/>
          </w:tcPr>
          <w:p w14:paraId="5C6AAD0F" w14:textId="77777777" w:rsidR="009749C7" w:rsidRPr="0065414C" w:rsidRDefault="009749C7" w:rsidP="00391CF0">
            <w:pPr>
              <w:pStyle w:val="TableParagraph"/>
              <w:rPr>
                <w:rFonts w:cs="Arial"/>
                <w:b/>
                <w:bCs/>
              </w:rPr>
            </w:pPr>
            <w:r w:rsidRPr="0065414C">
              <w:rPr>
                <w:rFonts w:cs="Arial"/>
                <w:b/>
                <w:bCs/>
              </w:rPr>
              <w:t>COVID-19</w:t>
            </w:r>
          </w:p>
        </w:tc>
        <w:tc>
          <w:tcPr>
            <w:tcW w:w="7241" w:type="dxa"/>
          </w:tcPr>
          <w:p w14:paraId="037E0C5E" w14:textId="77777777" w:rsidR="009749C7" w:rsidRPr="0065414C" w:rsidRDefault="009749C7" w:rsidP="00391CF0">
            <w:pPr>
              <w:pStyle w:val="TableParagraph"/>
              <w:rPr>
                <w:rFonts w:cs="Arial"/>
                <w:szCs w:val="22"/>
              </w:rPr>
            </w:pPr>
            <w:r w:rsidRPr="0065414C">
              <w:rPr>
                <w:rFonts w:cs="Arial"/>
                <w:szCs w:val="22"/>
              </w:rPr>
              <w:t>Coronavirus Disease 2019</w:t>
            </w:r>
          </w:p>
        </w:tc>
      </w:tr>
      <w:tr w:rsidR="00391CF0" w:rsidRPr="0065414C" w14:paraId="0787A787" w14:textId="77777777" w:rsidTr="00395A1D">
        <w:trPr>
          <w:trHeight w:val="362"/>
        </w:trPr>
        <w:tc>
          <w:tcPr>
            <w:tcW w:w="1831" w:type="dxa"/>
          </w:tcPr>
          <w:p w14:paraId="2E865CED" w14:textId="77777777" w:rsidR="00391CF0" w:rsidRPr="0065414C" w:rsidRDefault="00391CF0" w:rsidP="00391CF0">
            <w:pPr>
              <w:pStyle w:val="TableParagraph"/>
              <w:rPr>
                <w:rFonts w:cs="Arial"/>
                <w:b/>
                <w:bCs/>
              </w:rPr>
            </w:pPr>
            <w:r w:rsidRPr="0065414C">
              <w:rPr>
                <w:rFonts w:cs="Arial"/>
                <w:b/>
                <w:bCs/>
              </w:rPr>
              <w:t>DRG</w:t>
            </w:r>
          </w:p>
        </w:tc>
        <w:tc>
          <w:tcPr>
            <w:tcW w:w="7241" w:type="dxa"/>
          </w:tcPr>
          <w:p w14:paraId="73A7CD9B" w14:textId="77777777" w:rsidR="00391CF0" w:rsidRPr="0065414C" w:rsidRDefault="00391CF0" w:rsidP="00391CF0">
            <w:pPr>
              <w:pStyle w:val="TableParagraph"/>
              <w:rPr>
                <w:rFonts w:cs="Arial"/>
                <w:i/>
                <w:iCs/>
              </w:rPr>
            </w:pPr>
            <w:r w:rsidRPr="0065414C">
              <w:rPr>
                <w:rFonts w:cs="Arial"/>
              </w:rPr>
              <w:t>Diagnosis Related Group</w:t>
            </w:r>
          </w:p>
        </w:tc>
      </w:tr>
      <w:tr w:rsidR="00391CF0" w:rsidRPr="0065414C" w14:paraId="779F5EC1" w14:textId="77777777" w:rsidTr="00395A1D">
        <w:trPr>
          <w:trHeight w:val="362"/>
        </w:trPr>
        <w:tc>
          <w:tcPr>
            <w:tcW w:w="1831" w:type="dxa"/>
          </w:tcPr>
          <w:p w14:paraId="7A328F07" w14:textId="77777777" w:rsidR="00391CF0" w:rsidRPr="0065414C" w:rsidRDefault="00391CF0" w:rsidP="00391CF0">
            <w:pPr>
              <w:pStyle w:val="TableParagraph"/>
              <w:rPr>
                <w:rFonts w:cs="Arial"/>
                <w:b/>
                <w:bCs/>
              </w:rPr>
            </w:pPr>
            <w:r w:rsidRPr="0065414C">
              <w:rPr>
                <w:rFonts w:cs="Arial"/>
                <w:b/>
                <w:bCs/>
              </w:rPr>
              <w:t>HAC</w:t>
            </w:r>
          </w:p>
        </w:tc>
        <w:tc>
          <w:tcPr>
            <w:tcW w:w="7241" w:type="dxa"/>
          </w:tcPr>
          <w:p w14:paraId="00A5E719" w14:textId="77777777" w:rsidR="00391CF0" w:rsidRPr="0065414C" w:rsidRDefault="00391CF0" w:rsidP="00391CF0">
            <w:pPr>
              <w:pStyle w:val="TableParagraph"/>
              <w:rPr>
                <w:rFonts w:cs="Arial"/>
              </w:rPr>
            </w:pPr>
            <w:r w:rsidRPr="0065414C">
              <w:rPr>
                <w:rFonts w:cs="Arial"/>
              </w:rPr>
              <w:t>Hospital Acquired Complication</w:t>
            </w:r>
          </w:p>
        </w:tc>
      </w:tr>
      <w:tr w:rsidR="00391CF0" w:rsidRPr="0065414C" w14:paraId="34BE76B9" w14:textId="77777777" w:rsidTr="00395A1D">
        <w:trPr>
          <w:trHeight w:val="362"/>
        </w:trPr>
        <w:tc>
          <w:tcPr>
            <w:tcW w:w="1831" w:type="dxa"/>
          </w:tcPr>
          <w:p w14:paraId="3803068E" w14:textId="77777777" w:rsidR="00391CF0" w:rsidRPr="0065414C" w:rsidRDefault="00391CF0" w:rsidP="00391CF0">
            <w:pPr>
              <w:pStyle w:val="TableParagraph"/>
              <w:rPr>
                <w:rFonts w:cs="Arial"/>
                <w:b/>
                <w:bCs/>
              </w:rPr>
            </w:pPr>
            <w:r w:rsidRPr="0065414C">
              <w:rPr>
                <w:rFonts w:cs="Arial"/>
                <w:b/>
                <w:bCs/>
              </w:rPr>
              <w:t>HCP</w:t>
            </w:r>
          </w:p>
        </w:tc>
        <w:tc>
          <w:tcPr>
            <w:tcW w:w="7241" w:type="dxa"/>
          </w:tcPr>
          <w:p w14:paraId="671F3EF0" w14:textId="77777777" w:rsidR="00391CF0" w:rsidRPr="0065414C" w:rsidRDefault="00391CF0" w:rsidP="00391CF0">
            <w:pPr>
              <w:pStyle w:val="TableParagraph"/>
              <w:rPr>
                <w:rFonts w:cs="Arial"/>
              </w:rPr>
            </w:pPr>
            <w:r w:rsidRPr="0065414C">
              <w:rPr>
                <w:rFonts w:cs="Arial"/>
                <w:szCs w:val="22"/>
              </w:rPr>
              <w:t xml:space="preserve">Hospital </w:t>
            </w:r>
            <w:proofErr w:type="spellStart"/>
            <w:r w:rsidRPr="0065414C">
              <w:rPr>
                <w:rFonts w:cs="Arial"/>
                <w:szCs w:val="22"/>
              </w:rPr>
              <w:t>Casemix</w:t>
            </w:r>
            <w:proofErr w:type="spellEnd"/>
            <w:r w:rsidRPr="0065414C">
              <w:rPr>
                <w:rFonts w:cs="Arial"/>
                <w:szCs w:val="22"/>
              </w:rPr>
              <w:t xml:space="preserve"> Protocol</w:t>
            </w:r>
          </w:p>
        </w:tc>
      </w:tr>
      <w:tr w:rsidR="00391CF0" w:rsidRPr="0065414C" w14:paraId="13BFEC83" w14:textId="77777777" w:rsidTr="00395A1D">
        <w:trPr>
          <w:trHeight w:val="362"/>
        </w:trPr>
        <w:tc>
          <w:tcPr>
            <w:tcW w:w="1831" w:type="dxa"/>
          </w:tcPr>
          <w:p w14:paraId="09DD6283" w14:textId="77777777" w:rsidR="00391CF0" w:rsidRPr="0065414C" w:rsidRDefault="00391CF0" w:rsidP="00391CF0">
            <w:pPr>
              <w:pStyle w:val="TableParagraph"/>
              <w:rPr>
                <w:rFonts w:cs="Arial"/>
                <w:b/>
                <w:bCs/>
              </w:rPr>
            </w:pPr>
            <w:r w:rsidRPr="0065414C">
              <w:rPr>
                <w:rFonts w:cs="Arial"/>
                <w:b/>
                <w:bCs/>
              </w:rPr>
              <w:t>ICD-10-AM</w:t>
            </w:r>
          </w:p>
        </w:tc>
        <w:tc>
          <w:tcPr>
            <w:tcW w:w="7241" w:type="dxa"/>
          </w:tcPr>
          <w:p w14:paraId="0D190420" w14:textId="77777777" w:rsidR="00391CF0" w:rsidRPr="0065414C" w:rsidRDefault="00391CF0" w:rsidP="00391CF0">
            <w:pPr>
              <w:pStyle w:val="TableParagraph"/>
              <w:rPr>
                <w:rFonts w:cs="Arial"/>
              </w:rPr>
            </w:pPr>
            <w:r w:rsidRPr="0065414C">
              <w:rPr>
                <w:rFonts w:cs="Arial"/>
                <w:iCs/>
              </w:rPr>
              <w:t>International Statistical Classification of Diseases and Related Health Problems, Tenth Revision, Australian Modification</w:t>
            </w:r>
          </w:p>
        </w:tc>
      </w:tr>
      <w:tr w:rsidR="00391CF0" w:rsidRPr="0065414C" w14:paraId="230BB944" w14:textId="77777777" w:rsidTr="00395A1D">
        <w:trPr>
          <w:trHeight w:val="362"/>
        </w:trPr>
        <w:tc>
          <w:tcPr>
            <w:tcW w:w="1831" w:type="dxa"/>
          </w:tcPr>
          <w:p w14:paraId="44E1097F" w14:textId="77777777" w:rsidR="00391CF0" w:rsidRPr="0065414C" w:rsidRDefault="00391CF0" w:rsidP="00391CF0">
            <w:pPr>
              <w:pStyle w:val="TableParagraph"/>
              <w:rPr>
                <w:rFonts w:cs="Arial"/>
                <w:b/>
                <w:bCs/>
              </w:rPr>
            </w:pPr>
            <w:r w:rsidRPr="0065414C">
              <w:rPr>
                <w:rFonts w:cs="Arial"/>
                <w:b/>
                <w:bCs/>
              </w:rPr>
              <w:t>ICD-11</w:t>
            </w:r>
          </w:p>
        </w:tc>
        <w:tc>
          <w:tcPr>
            <w:tcW w:w="7241" w:type="dxa"/>
          </w:tcPr>
          <w:p w14:paraId="083637EA" w14:textId="77777777" w:rsidR="00391CF0" w:rsidRPr="0065414C" w:rsidRDefault="00391CF0" w:rsidP="00391CF0">
            <w:pPr>
              <w:pStyle w:val="TableParagraph"/>
              <w:rPr>
                <w:rFonts w:cs="Arial"/>
              </w:rPr>
            </w:pPr>
            <w:r w:rsidRPr="0065414C">
              <w:rPr>
                <w:rFonts w:cs="Arial"/>
                <w:szCs w:val="22"/>
              </w:rPr>
              <w:t>International Classification of Diseases 11th Revision</w:t>
            </w:r>
          </w:p>
        </w:tc>
      </w:tr>
      <w:tr w:rsidR="00391CF0" w:rsidRPr="0065414C" w14:paraId="4476D831" w14:textId="77777777" w:rsidTr="00395A1D">
        <w:trPr>
          <w:trHeight w:val="362"/>
        </w:trPr>
        <w:tc>
          <w:tcPr>
            <w:tcW w:w="1831" w:type="dxa"/>
          </w:tcPr>
          <w:p w14:paraId="13CF3475" w14:textId="77777777" w:rsidR="00391CF0" w:rsidRPr="0065414C" w:rsidRDefault="00391CF0" w:rsidP="00391CF0">
            <w:pPr>
              <w:pStyle w:val="TableParagraph"/>
              <w:rPr>
                <w:rFonts w:cs="Arial"/>
                <w:b/>
                <w:bCs/>
              </w:rPr>
            </w:pPr>
            <w:r w:rsidRPr="0065414C">
              <w:rPr>
                <w:rFonts w:cs="Arial"/>
                <w:b/>
                <w:bCs/>
              </w:rPr>
              <w:t>IHI</w:t>
            </w:r>
          </w:p>
        </w:tc>
        <w:tc>
          <w:tcPr>
            <w:tcW w:w="7241" w:type="dxa"/>
          </w:tcPr>
          <w:p w14:paraId="0F1C1C50" w14:textId="77777777" w:rsidR="00391CF0" w:rsidRPr="0065414C" w:rsidRDefault="00391CF0" w:rsidP="00391CF0">
            <w:pPr>
              <w:pStyle w:val="TableParagraph"/>
              <w:rPr>
                <w:rFonts w:cs="Arial"/>
              </w:rPr>
            </w:pPr>
            <w:r w:rsidRPr="0065414C">
              <w:rPr>
                <w:rFonts w:cs="Arial"/>
                <w:iCs/>
              </w:rPr>
              <w:t>Individual Healthcare Identifier</w:t>
            </w:r>
          </w:p>
        </w:tc>
      </w:tr>
      <w:tr w:rsidR="00391CF0" w:rsidRPr="0065414C" w14:paraId="073F2E8A" w14:textId="77777777" w:rsidTr="00395A1D">
        <w:trPr>
          <w:trHeight w:val="362"/>
        </w:trPr>
        <w:tc>
          <w:tcPr>
            <w:tcW w:w="1831" w:type="dxa"/>
          </w:tcPr>
          <w:p w14:paraId="1E50B34F" w14:textId="77777777" w:rsidR="00391CF0" w:rsidRPr="0065414C" w:rsidRDefault="00391CF0" w:rsidP="00391CF0">
            <w:pPr>
              <w:pStyle w:val="TableParagraph"/>
              <w:rPr>
                <w:rFonts w:cs="Arial"/>
                <w:b/>
                <w:bCs/>
              </w:rPr>
            </w:pPr>
            <w:r w:rsidRPr="0065414C">
              <w:rPr>
                <w:rFonts w:cs="Arial"/>
                <w:b/>
                <w:bCs/>
              </w:rPr>
              <w:t>IHPA</w:t>
            </w:r>
          </w:p>
        </w:tc>
        <w:tc>
          <w:tcPr>
            <w:tcW w:w="7241" w:type="dxa"/>
          </w:tcPr>
          <w:p w14:paraId="18FB9992" w14:textId="77777777" w:rsidR="00391CF0" w:rsidRPr="0065414C" w:rsidRDefault="00391CF0" w:rsidP="00391CF0">
            <w:pPr>
              <w:pStyle w:val="TableParagraph"/>
              <w:rPr>
                <w:rFonts w:cs="Arial"/>
              </w:rPr>
            </w:pPr>
            <w:r w:rsidRPr="0065414C">
              <w:rPr>
                <w:rFonts w:cs="Arial"/>
              </w:rPr>
              <w:t>Independent Hospital Pricing Authority</w:t>
            </w:r>
          </w:p>
        </w:tc>
      </w:tr>
      <w:tr w:rsidR="00391CF0" w:rsidRPr="0065414C" w14:paraId="179D28C4" w14:textId="77777777" w:rsidTr="00395A1D">
        <w:trPr>
          <w:trHeight w:val="362"/>
        </w:trPr>
        <w:tc>
          <w:tcPr>
            <w:tcW w:w="1831" w:type="dxa"/>
          </w:tcPr>
          <w:p w14:paraId="1DE915F6" w14:textId="77777777" w:rsidR="00391CF0" w:rsidRPr="0065414C" w:rsidRDefault="00391CF0" w:rsidP="00391CF0">
            <w:pPr>
              <w:pStyle w:val="TableParagraph"/>
              <w:rPr>
                <w:rFonts w:cs="Arial"/>
                <w:b/>
                <w:bCs/>
              </w:rPr>
            </w:pPr>
            <w:r w:rsidRPr="0065414C">
              <w:rPr>
                <w:rFonts w:cs="Arial"/>
                <w:b/>
                <w:bCs/>
              </w:rPr>
              <w:t>LHN</w:t>
            </w:r>
          </w:p>
        </w:tc>
        <w:tc>
          <w:tcPr>
            <w:tcW w:w="7241" w:type="dxa"/>
          </w:tcPr>
          <w:p w14:paraId="11FC5031" w14:textId="77777777" w:rsidR="00391CF0" w:rsidRPr="0065414C" w:rsidRDefault="00391CF0" w:rsidP="00391CF0">
            <w:pPr>
              <w:pStyle w:val="TableParagraph"/>
              <w:rPr>
                <w:rFonts w:cs="Arial"/>
              </w:rPr>
            </w:pPr>
            <w:r w:rsidRPr="0065414C">
              <w:rPr>
                <w:rFonts w:cs="Arial"/>
              </w:rPr>
              <w:t>Local Hospital Network</w:t>
            </w:r>
          </w:p>
        </w:tc>
      </w:tr>
      <w:tr w:rsidR="00391CF0" w:rsidRPr="0065414C" w14:paraId="2ABBA07D" w14:textId="77777777" w:rsidTr="00395A1D">
        <w:trPr>
          <w:trHeight w:val="362"/>
        </w:trPr>
        <w:tc>
          <w:tcPr>
            <w:tcW w:w="1831" w:type="dxa"/>
          </w:tcPr>
          <w:p w14:paraId="0331AD31" w14:textId="77777777" w:rsidR="00391CF0" w:rsidRPr="0065414C" w:rsidRDefault="00391CF0" w:rsidP="00391CF0">
            <w:pPr>
              <w:pStyle w:val="TableParagraph"/>
              <w:rPr>
                <w:rFonts w:cs="Arial"/>
                <w:b/>
                <w:bCs/>
              </w:rPr>
            </w:pPr>
            <w:r w:rsidRPr="0065414C">
              <w:rPr>
                <w:rFonts w:cs="Arial"/>
                <w:b/>
                <w:bCs/>
              </w:rPr>
              <w:t>MBS</w:t>
            </w:r>
          </w:p>
        </w:tc>
        <w:tc>
          <w:tcPr>
            <w:tcW w:w="7241" w:type="dxa"/>
          </w:tcPr>
          <w:p w14:paraId="23CDD6F1" w14:textId="77777777" w:rsidR="00391CF0" w:rsidRPr="0065414C" w:rsidRDefault="00391CF0" w:rsidP="00391CF0">
            <w:pPr>
              <w:pStyle w:val="TableParagraph"/>
              <w:rPr>
                <w:rFonts w:cs="Arial"/>
              </w:rPr>
            </w:pPr>
            <w:r w:rsidRPr="0065414C">
              <w:rPr>
                <w:rFonts w:cs="Arial"/>
              </w:rPr>
              <w:t>Medicare Benefits Schedule</w:t>
            </w:r>
          </w:p>
        </w:tc>
      </w:tr>
      <w:tr w:rsidR="00391CF0" w:rsidRPr="0065414C" w14:paraId="293F7A7E" w14:textId="77777777" w:rsidTr="00395A1D">
        <w:trPr>
          <w:trHeight w:val="362"/>
        </w:trPr>
        <w:tc>
          <w:tcPr>
            <w:tcW w:w="1831" w:type="dxa"/>
          </w:tcPr>
          <w:p w14:paraId="7B08AA15" w14:textId="77777777" w:rsidR="00391CF0" w:rsidRPr="0065414C" w:rsidRDefault="00391CF0" w:rsidP="00391CF0">
            <w:pPr>
              <w:pStyle w:val="TableParagraph"/>
              <w:rPr>
                <w:rFonts w:cs="Arial"/>
                <w:b/>
                <w:bCs/>
              </w:rPr>
            </w:pPr>
            <w:r w:rsidRPr="0065414C">
              <w:rPr>
                <w:rFonts w:cs="Arial"/>
                <w:b/>
                <w:bCs/>
              </w:rPr>
              <w:t>MBUs</w:t>
            </w:r>
          </w:p>
        </w:tc>
        <w:tc>
          <w:tcPr>
            <w:tcW w:w="7241" w:type="dxa"/>
          </w:tcPr>
          <w:p w14:paraId="1671DD32" w14:textId="77777777" w:rsidR="00391CF0" w:rsidRPr="0065414C" w:rsidRDefault="00391CF0" w:rsidP="00391CF0">
            <w:pPr>
              <w:pStyle w:val="TableParagraph"/>
              <w:rPr>
                <w:rFonts w:cs="Arial"/>
              </w:rPr>
            </w:pPr>
            <w:r w:rsidRPr="0065414C">
              <w:rPr>
                <w:rFonts w:cs="Arial"/>
              </w:rPr>
              <w:t>Mother and Baby Units</w:t>
            </w:r>
          </w:p>
        </w:tc>
      </w:tr>
      <w:tr w:rsidR="00391CF0" w:rsidRPr="0065414C" w14:paraId="7ACE2066" w14:textId="77777777" w:rsidTr="00395A1D">
        <w:trPr>
          <w:trHeight w:val="362"/>
        </w:trPr>
        <w:tc>
          <w:tcPr>
            <w:tcW w:w="1831" w:type="dxa"/>
          </w:tcPr>
          <w:p w14:paraId="034AF783" w14:textId="77777777" w:rsidR="00391CF0" w:rsidRPr="0065414C" w:rsidRDefault="00391CF0" w:rsidP="00391CF0">
            <w:pPr>
              <w:pStyle w:val="TableParagraph"/>
              <w:rPr>
                <w:rFonts w:cs="Arial"/>
                <w:b/>
                <w:bCs/>
              </w:rPr>
            </w:pPr>
            <w:proofErr w:type="spellStart"/>
            <w:r w:rsidRPr="0065414C">
              <w:rPr>
                <w:rFonts w:cs="Arial"/>
                <w:b/>
                <w:bCs/>
              </w:rPr>
              <w:t>MHPoC</w:t>
            </w:r>
            <w:proofErr w:type="spellEnd"/>
          </w:p>
        </w:tc>
        <w:tc>
          <w:tcPr>
            <w:tcW w:w="7241" w:type="dxa"/>
          </w:tcPr>
          <w:p w14:paraId="6E0617DB" w14:textId="77777777" w:rsidR="00391CF0" w:rsidRPr="0065414C" w:rsidRDefault="00391CF0" w:rsidP="00391CF0">
            <w:pPr>
              <w:pStyle w:val="TableParagraph"/>
              <w:rPr>
                <w:rFonts w:cs="Arial"/>
              </w:rPr>
            </w:pPr>
            <w:r w:rsidRPr="0065414C">
              <w:rPr>
                <w:rFonts w:cs="Arial"/>
                <w:szCs w:val="22"/>
              </w:rPr>
              <w:t>Mental Health Phase of Care</w:t>
            </w:r>
          </w:p>
        </w:tc>
      </w:tr>
      <w:tr w:rsidR="00391CF0" w:rsidRPr="0065414C" w14:paraId="64700825" w14:textId="77777777" w:rsidTr="00395A1D">
        <w:trPr>
          <w:trHeight w:val="362"/>
        </w:trPr>
        <w:tc>
          <w:tcPr>
            <w:tcW w:w="1831" w:type="dxa"/>
          </w:tcPr>
          <w:p w14:paraId="50BDD2ED" w14:textId="77777777" w:rsidR="00391CF0" w:rsidRPr="0065414C" w:rsidRDefault="00391CF0" w:rsidP="00391CF0">
            <w:pPr>
              <w:pStyle w:val="TableParagraph"/>
              <w:rPr>
                <w:rFonts w:cs="Arial"/>
                <w:b/>
                <w:bCs/>
              </w:rPr>
            </w:pPr>
            <w:r w:rsidRPr="0065414C">
              <w:rPr>
                <w:rFonts w:cs="Arial"/>
                <w:b/>
                <w:bCs/>
              </w:rPr>
              <w:t>NBP</w:t>
            </w:r>
          </w:p>
        </w:tc>
        <w:tc>
          <w:tcPr>
            <w:tcW w:w="7241" w:type="dxa"/>
          </w:tcPr>
          <w:p w14:paraId="1D51C144" w14:textId="77777777" w:rsidR="00391CF0" w:rsidRPr="0065414C" w:rsidRDefault="00391CF0" w:rsidP="00391CF0">
            <w:pPr>
              <w:pStyle w:val="TableParagraph"/>
              <w:rPr>
                <w:rFonts w:cs="Arial"/>
              </w:rPr>
            </w:pPr>
            <w:r w:rsidRPr="0065414C">
              <w:rPr>
                <w:rFonts w:cs="Arial"/>
              </w:rPr>
              <w:t>National Benchmarking Portal</w:t>
            </w:r>
          </w:p>
        </w:tc>
      </w:tr>
      <w:tr w:rsidR="00391CF0" w:rsidRPr="0065414C" w14:paraId="20EC545C" w14:textId="77777777" w:rsidTr="00395A1D">
        <w:trPr>
          <w:trHeight w:val="362"/>
        </w:trPr>
        <w:tc>
          <w:tcPr>
            <w:tcW w:w="1831" w:type="dxa"/>
          </w:tcPr>
          <w:p w14:paraId="38F5675B" w14:textId="77777777" w:rsidR="00391CF0" w:rsidRPr="0065414C" w:rsidRDefault="00391CF0" w:rsidP="00391CF0">
            <w:pPr>
              <w:pStyle w:val="TableParagraph"/>
              <w:rPr>
                <w:rFonts w:cs="Arial"/>
                <w:b/>
                <w:bCs/>
              </w:rPr>
            </w:pPr>
            <w:r w:rsidRPr="0065414C">
              <w:rPr>
                <w:rFonts w:cs="Arial"/>
                <w:b/>
                <w:bCs/>
              </w:rPr>
              <w:t>NEC</w:t>
            </w:r>
          </w:p>
        </w:tc>
        <w:tc>
          <w:tcPr>
            <w:tcW w:w="7241" w:type="dxa"/>
          </w:tcPr>
          <w:p w14:paraId="398AE7D3" w14:textId="77777777" w:rsidR="00391CF0" w:rsidRPr="0065414C" w:rsidRDefault="00391CF0" w:rsidP="00391CF0">
            <w:pPr>
              <w:pStyle w:val="TableParagraph"/>
              <w:rPr>
                <w:rFonts w:cs="Arial"/>
              </w:rPr>
            </w:pPr>
            <w:r w:rsidRPr="0065414C">
              <w:rPr>
                <w:rFonts w:cs="Arial"/>
              </w:rPr>
              <w:t>National Efficient Cost</w:t>
            </w:r>
          </w:p>
        </w:tc>
      </w:tr>
      <w:tr w:rsidR="00391CF0" w:rsidRPr="0065414C" w14:paraId="77285419" w14:textId="77777777" w:rsidTr="00395A1D">
        <w:trPr>
          <w:trHeight w:val="362"/>
        </w:trPr>
        <w:tc>
          <w:tcPr>
            <w:tcW w:w="1831" w:type="dxa"/>
          </w:tcPr>
          <w:p w14:paraId="256D0492" w14:textId="77777777" w:rsidR="00391CF0" w:rsidRPr="0065414C" w:rsidRDefault="00391CF0" w:rsidP="00391CF0">
            <w:pPr>
              <w:pStyle w:val="TableParagraph"/>
              <w:rPr>
                <w:rFonts w:cs="Arial"/>
                <w:b/>
                <w:bCs/>
              </w:rPr>
            </w:pPr>
            <w:r w:rsidRPr="0065414C">
              <w:rPr>
                <w:rFonts w:cs="Arial"/>
                <w:b/>
                <w:bCs/>
              </w:rPr>
              <w:t>NEP</w:t>
            </w:r>
          </w:p>
        </w:tc>
        <w:tc>
          <w:tcPr>
            <w:tcW w:w="7241" w:type="dxa"/>
          </w:tcPr>
          <w:p w14:paraId="625522E3" w14:textId="77777777" w:rsidR="00391CF0" w:rsidRPr="0065414C" w:rsidRDefault="00391CF0" w:rsidP="00391CF0">
            <w:pPr>
              <w:pStyle w:val="TableParagraph"/>
              <w:rPr>
                <w:rFonts w:cs="Arial"/>
              </w:rPr>
            </w:pPr>
            <w:r w:rsidRPr="0065414C">
              <w:rPr>
                <w:rFonts w:cs="Arial"/>
              </w:rPr>
              <w:t>National Efficient Price</w:t>
            </w:r>
          </w:p>
        </w:tc>
      </w:tr>
      <w:tr w:rsidR="00391CF0" w:rsidRPr="0065414C" w14:paraId="6DD86038" w14:textId="77777777" w:rsidTr="00395A1D">
        <w:trPr>
          <w:trHeight w:val="362"/>
        </w:trPr>
        <w:tc>
          <w:tcPr>
            <w:tcW w:w="1831" w:type="dxa"/>
          </w:tcPr>
          <w:p w14:paraId="612F4A07" w14:textId="77777777" w:rsidR="00391CF0" w:rsidRPr="0065414C" w:rsidRDefault="00391CF0" w:rsidP="00391CF0">
            <w:pPr>
              <w:pStyle w:val="TableParagraph"/>
              <w:rPr>
                <w:rFonts w:cs="Arial"/>
                <w:b/>
                <w:bCs/>
              </w:rPr>
            </w:pPr>
            <w:r w:rsidRPr="0065414C">
              <w:rPr>
                <w:rFonts w:cs="Arial"/>
                <w:b/>
                <w:bCs/>
              </w:rPr>
              <w:t>NHCDC</w:t>
            </w:r>
          </w:p>
        </w:tc>
        <w:tc>
          <w:tcPr>
            <w:tcW w:w="7241" w:type="dxa"/>
          </w:tcPr>
          <w:p w14:paraId="6E37CDA0" w14:textId="77777777" w:rsidR="00391CF0" w:rsidRPr="0065414C" w:rsidRDefault="00391CF0" w:rsidP="00391CF0">
            <w:pPr>
              <w:pStyle w:val="TableParagraph"/>
              <w:rPr>
                <w:rFonts w:cs="Arial"/>
              </w:rPr>
            </w:pPr>
            <w:r w:rsidRPr="0065414C">
              <w:rPr>
                <w:rFonts w:cs="Arial"/>
              </w:rPr>
              <w:t>National Hospital Cost Data Collection</w:t>
            </w:r>
          </w:p>
        </w:tc>
      </w:tr>
      <w:tr w:rsidR="00391CF0" w:rsidRPr="0065414C" w14:paraId="4ABC1868" w14:textId="77777777" w:rsidTr="00395A1D">
        <w:trPr>
          <w:trHeight w:val="362"/>
        </w:trPr>
        <w:tc>
          <w:tcPr>
            <w:tcW w:w="1831" w:type="dxa"/>
          </w:tcPr>
          <w:p w14:paraId="20F0302B" w14:textId="77777777" w:rsidR="00391CF0" w:rsidRPr="0065414C" w:rsidRDefault="00391CF0" w:rsidP="00391CF0">
            <w:pPr>
              <w:pStyle w:val="TableParagraph"/>
              <w:rPr>
                <w:rFonts w:cs="Arial"/>
                <w:b/>
                <w:bCs/>
              </w:rPr>
            </w:pPr>
            <w:r w:rsidRPr="0065414C">
              <w:rPr>
                <w:rFonts w:cs="Arial"/>
                <w:b/>
                <w:bCs/>
              </w:rPr>
              <w:t>NHRA</w:t>
            </w:r>
          </w:p>
        </w:tc>
        <w:tc>
          <w:tcPr>
            <w:tcW w:w="7241" w:type="dxa"/>
          </w:tcPr>
          <w:p w14:paraId="3974A3C9" w14:textId="77777777" w:rsidR="00391CF0" w:rsidRPr="0065414C" w:rsidRDefault="00391CF0" w:rsidP="00391CF0">
            <w:pPr>
              <w:pStyle w:val="TableParagraph"/>
              <w:rPr>
                <w:rFonts w:cs="Arial"/>
              </w:rPr>
            </w:pPr>
            <w:r w:rsidRPr="0065414C">
              <w:rPr>
                <w:rFonts w:cs="Arial"/>
              </w:rPr>
              <w:t>National Health Reform Agreement</w:t>
            </w:r>
          </w:p>
        </w:tc>
      </w:tr>
      <w:tr w:rsidR="00391CF0" w:rsidRPr="0065414C" w14:paraId="0B43FB6F" w14:textId="77777777" w:rsidTr="00395A1D">
        <w:trPr>
          <w:trHeight w:val="362"/>
        </w:trPr>
        <w:tc>
          <w:tcPr>
            <w:tcW w:w="1831" w:type="dxa"/>
          </w:tcPr>
          <w:p w14:paraId="2D012513" w14:textId="77777777" w:rsidR="00391CF0" w:rsidRPr="0065414C" w:rsidRDefault="00391CF0" w:rsidP="00391CF0">
            <w:pPr>
              <w:pStyle w:val="TableParagraph"/>
              <w:rPr>
                <w:rFonts w:cs="Arial"/>
                <w:b/>
                <w:bCs/>
              </w:rPr>
            </w:pPr>
            <w:r w:rsidRPr="0065414C">
              <w:rPr>
                <w:rFonts w:cs="Arial"/>
                <w:b/>
                <w:bCs/>
              </w:rPr>
              <w:t>NWAU</w:t>
            </w:r>
          </w:p>
        </w:tc>
        <w:tc>
          <w:tcPr>
            <w:tcW w:w="7241" w:type="dxa"/>
          </w:tcPr>
          <w:p w14:paraId="1FF814D5" w14:textId="77777777" w:rsidR="00391CF0" w:rsidRPr="0065414C" w:rsidRDefault="00391CF0" w:rsidP="00391CF0">
            <w:pPr>
              <w:pStyle w:val="TableParagraph"/>
              <w:rPr>
                <w:rFonts w:cs="Arial"/>
              </w:rPr>
            </w:pPr>
            <w:r w:rsidRPr="0065414C">
              <w:rPr>
                <w:rFonts w:cs="Arial"/>
              </w:rPr>
              <w:t>National Weighted Activity Unit</w:t>
            </w:r>
          </w:p>
        </w:tc>
      </w:tr>
      <w:tr w:rsidR="00391CF0" w:rsidRPr="0065414C" w14:paraId="10038463" w14:textId="77777777" w:rsidTr="00395A1D">
        <w:trPr>
          <w:trHeight w:val="298"/>
        </w:trPr>
        <w:tc>
          <w:tcPr>
            <w:tcW w:w="1831" w:type="dxa"/>
          </w:tcPr>
          <w:p w14:paraId="4A1192D0" w14:textId="77777777" w:rsidR="00391CF0" w:rsidRPr="0065414C" w:rsidRDefault="00391CF0" w:rsidP="00391CF0">
            <w:pPr>
              <w:pStyle w:val="TableParagraph"/>
              <w:rPr>
                <w:rFonts w:cs="Arial"/>
                <w:b/>
                <w:bCs/>
              </w:rPr>
            </w:pPr>
            <w:r w:rsidRPr="0065414C">
              <w:rPr>
                <w:rFonts w:cs="Arial"/>
                <w:b/>
                <w:bCs/>
              </w:rPr>
              <w:t>The Addendum</w:t>
            </w:r>
          </w:p>
        </w:tc>
        <w:tc>
          <w:tcPr>
            <w:tcW w:w="7241" w:type="dxa"/>
          </w:tcPr>
          <w:p w14:paraId="1F3A05F6" w14:textId="77777777" w:rsidR="00391CF0" w:rsidRPr="0065414C" w:rsidRDefault="00391CF0" w:rsidP="00391CF0">
            <w:pPr>
              <w:pStyle w:val="TableParagraph"/>
              <w:rPr>
                <w:rFonts w:cs="Arial"/>
              </w:rPr>
            </w:pPr>
            <w:r w:rsidRPr="0065414C">
              <w:rPr>
                <w:rFonts w:cs="Arial"/>
              </w:rPr>
              <w:t>Addendum to the National Health Reform Agreement</w:t>
            </w:r>
          </w:p>
        </w:tc>
      </w:tr>
      <w:tr w:rsidR="00437BB3" w:rsidRPr="0065414C" w14:paraId="00235273" w14:textId="77777777" w:rsidTr="00395A1D">
        <w:trPr>
          <w:trHeight w:val="298"/>
        </w:trPr>
        <w:tc>
          <w:tcPr>
            <w:tcW w:w="1831" w:type="dxa"/>
          </w:tcPr>
          <w:p w14:paraId="71FA9185" w14:textId="77777777" w:rsidR="00437BB3" w:rsidRPr="0065414C" w:rsidRDefault="00437BB3" w:rsidP="00391CF0">
            <w:pPr>
              <w:pStyle w:val="TableParagraph"/>
              <w:rPr>
                <w:rFonts w:cs="Arial"/>
                <w:b/>
                <w:bCs/>
              </w:rPr>
            </w:pPr>
            <w:r w:rsidRPr="0065414C">
              <w:rPr>
                <w:rFonts w:cs="Arial"/>
                <w:b/>
                <w:bCs/>
              </w:rPr>
              <w:t>The Commission</w:t>
            </w:r>
          </w:p>
        </w:tc>
        <w:tc>
          <w:tcPr>
            <w:tcW w:w="7241" w:type="dxa"/>
          </w:tcPr>
          <w:p w14:paraId="34AD8710" w14:textId="77777777" w:rsidR="00437BB3" w:rsidRPr="0065414C" w:rsidRDefault="00437BB3" w:rsidP="00391CF0">
            <w:pPr>
              <w:pStyle w:val="TableParagraph"/>
              <w:rPr>
                <w:rFonts w:cs="Arial"/>
              </w:rPr>
            </w:pPr>
            <w:r w:rsidRPr="0065414C">
              <w:rPr>
                <w:rFonts w:cs="Arial"/>
              </w:rPr>
              <w:t>Australian Commission on Safety and Quality in Health Care</w:t>
            </w:r>
          </w:p>
        </w:tc>
      </w:tr>
    </w:tbl>
    <w:p w14:paraId="661EACE3" w14:textId="77777777" w:rsidR="00C415F5" w:rsidRPr="0065414C" w:rsidRDefault="00C415F5">
      <w:pPr>
        <w:spacing w:line="216" w:lineRule="exact"/>
        <w:rPr>
          <w:rFonts w:cs="Arial"/>
          <w:sz w:val="19"/>
        </w:rPr>
        <w:sectPr w:rsidR="00C415F5" w:rsidRPr="0065414C" w:rsidSect="00603DEC">
          <w:headerReference w:type="default" r:id="rId14"/>
          <w:footerReference w:type="default" r:id="rId15"/>
          <w:pgSz w:w="11910" w:h="16840"/>
          <w:pgMar w:top="1440" w:right="1440" w:bottom="1440" w:left="1440" w:header="0" w:footer="656" w:gutter="0"/>
          <w:pgNumType w:start="1"/>
          <w:cols w:space="720"/>
        </w:sectPr>
      </w:pPr>
    </w:p>
    <w:p w14:paraId="41DB79A0" w14:textId="77777777" w:rsidR="008613E1" w:rsidRPr="0065414C" w:rsidRDefault="008613E1" w:rsidP="003B4291">
      <w:pPr>
        <w:pStyle w:val="SectionNumber"/>
      </w:pPr>
      <w:bookmarkStart w:id="19" w:name="_Introduction"/>
      <w:bookmarkStart w:id="20" w:name="_Toc49953732"/>
      <w:bookmarkStart w:id="21" w:name="_Toc50465707"/>
      <w:bookmarkEnd w:id="19"/>
      <w:r w:rsidRPr="0065414C">
        <w:lastRenderedPageBreak/>
        <w:drawing>
          <wp:anchor distT="0" distB="0" distL="114300" distR="114300" simplePos="0" relativeHeight="251635712" behindDoc="1" locked="0" layoutInCell="1" allowOverlap="1" wp14:anchorId="5F4A4A5D" wp14:editId="4013BFDB">
            <wp:simplePos x="0" y="0"/>
            <wp:positionH relativeFrom="margin">
              <wp:posOffset>-914400</wp:posOffset>
            </wp:positionH>
            <wp:positionV relativeFrom="page">
              <wp:posOffset>954157</wp:posOffset>
            </wp:positionV>
            <wp:extent cx="5462270" cy="3578225"/>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62270" cy="3578225"/>
                    </a:xfrm>
                    <a:prstGeom prst="rect">
                      <a:avLst/>
                    </a:prstGeom>
                    <a:noFill/>
                    <a:ln>
                      <a:noFill/>
                    </a:ln>
                  </pic:spPr>
                </pic:pic>
              </a:graphicData>
            </a:graphic>
          </wp:anchor>
        </w:drawing>
      </w:r>
      <w:r w:rsidRPr="0065414C">
        <w:t>1</w:t>
      </w:r>
      <w:bookmarkEnd w:id="20"/>
      <w:bookmarkEnd w:id="21"/>
    </w:p>
    <w:p w14:paraId="1BD5CC57" w14:textId="77777777" w:rsidR="008613E1" w:rsidRPr="0065414C" w:rsidRDefault="008613E1" w:rsidP="003B4291">
      <w:pPr>
        <w:pStyle w:val="Sectionheader"/>
        <w:sectPr w:rsidR="008613E1" w:rsidRPr="0065414C" w:rsidSect="008613E1">
          <w:headerReference w:type="default" r:id="rId17"/>
          <w:footerReference w:type="default" r:id="rId18"/>
          <w:pgSz w:w="11910" w:h="16840"/>
          <w:pgMar w:top="3970" w:right="1440" w:bottom="1440" w:left="1440" w:header="0" w:footer="656" w:gutter="0"/>
          <w:cols w:space="720"/>
        </w:sectPr>
      </w:pPr>
      <w:bookmarkStart w:id="22" w:name="_Toc49953733"/>
      <w:bookmarkStart w:id="23" w:name="_Toc50532294"/>
      <w:r w:rsidRPr="0065414C">
        <w:t>Introduction</w:t>
      </w:r>
      <w:bookmarkEnd w:id="22"/>
      <w:bookmarkEnd w:id="23"/>
    </w:p>
    <w:p w14:paraId="740CD794" w14:textId="77777777" w:rsidR="00C415F5" w:rsidRPr="0065414C" w:rsidRDefault="008613E1" w:rsidP="00F62597">
      <w:pPr>
        <w:pStyle w:val="Heading1"/>
        <w:ind w:left="227"/>
        <w:rPr>
          <w:rFonts w:cs="Arial"/>
        </w:rPr>
      </w:pPr>
      <w:bookmarkStart w:id="24" w:name="_Toc45809577"/>
      <w:bookmarkStart w:id="25" w:name="_Toc49953734"/>
      <w:r w:rsidRPr="0065414C">
        <w:rPr>
          <w:rFonts w:cs="Arial"/>
          <w:noProof/>
          <w:color w:val="FFFFFF" w:themeColor="background1"/>
          <w:lang w:eastAsia="en-AU" w:bidi="ar-SA"/>
        </w:rPr>
        <w:lastRenderedPageBreak/>
        <w:drawing>
          <wp:anchor distT="0" distB="0" distL="114300" distR="114300" simplePos="0" relativeHeight="251640832" behindDoc="1" locked="0" layoutInCell="1" allowOverlap="1" wp14:anchorId="50B407E1" wp14:editId="259F1BFB">
            <wp:simplePos x="0" y="0"/>
            <wp:positionH relativeFrom="column">
              <wp:posOffset>-914400</wp:posOffset>
            </wp:positionH>
            <wp:positionV relativeFrom="page">
              <wp:posOffset>658826</wp:posOffset>
            </wp:positionV>
            <wp:extent cx="1685925" cy="946150"/>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85925" cy="946150"/>
                    </a:xfrm>
                    <a:prstGeom prst="rect">
                      <a:avLst/>
                    </a:prstGeom>
                    <a:noFill/>
                    <a:ln>
                      <a:noFill/>
                    </a:ln>
                  </pic:spPr>
                </pic:pic>
              </a:graphicData>
            </a:graphic>
          </wp:anchor>
        </w:drawing>
      </w:r>
      <w:r w:rsidRPr="0065414C">
        <w:rPr>
          <w:rFonts w:cs="Arial"/>
          <w:color w:val="FFFFFF" w:themeColor="background1"/>
        </w:rPr>
        <w:t>1</w:t>
      </w:r>
      <w:r w:rsidRPr="0065414C">
        <w:rPr>
          <w:rFonts w:cs="Arial"/>
          <w:color w:val="FFFFFF" w:themeColor="background1"/>
        </w:rPr>
        <w:tab/>
      </w:r>
      <w:r w:rsidRPr="0065414C">
        <w:rPr>
          <w:rFonts w:cs="Arial"/>
        </w:rPr>
        <w:tab/>
      </w:r>
      <w:r w:rsidR="00603DEC" w:rsidRPr="0065414C">
        <w:rPr>
          <w:rFonts w:cs="Arial"/>
        </w:rPr>
        <w:t>Introduction</w:t>
      </w:r>
      <w:bookmarkEnd w:id="24"/>
      <w:bookmarkEnd w:id="25"/>
    </w:p>
    <w:p w14:paraId="2BB74EE4" w14:textId="77777777" w:rsidR="00C415F5" w:rsidRPr="0065414C" w:rsidRDefault="00C415F5" w:rsidP="003932A6">
      <w:pPr>
        <w:pStyle w:val="BodyText"/>
        <w:rPr>
          <w:rFonts w:cs="Arial"/>
        </w:rPr>
      </w:pPr>
    </w:p>
    <w:p w14:paraId="325A39B3" w14:textId="77777777" w:rsidR="00C415F5" w:rsidRPr="0065414C" w:rsidRDefault="00C415F5">
      <w:pPr>
        <w:rPr>
          <w:rFonts w:cs="Arial"/>
          <w:sz w:val="15"/>
        </w:rPr>
        <w:sectPr w:rsidR="00C415F5" w:rsidRPr="0065414C" w:rsidSect="001142D0">
          <w:pgSz w:w="11910" w:h="16840"/>
          <w:pgMar w:top="1440" w:right="1440" w:bottom="1440" w:left="1440" w:header="0" w:footer="656" w:gutter="0"/>
          <w:cols w:space="720"/>
        </w:sectPr>
      </w:pPr>
    </w:p>
    <w:p w14:paraId="4A645CB2" w14:textId="77777777" w:rsidR="00391CF0" w:rsidRPr="0065414C" w:rsidRDefault="00842063" w:rsidP="00391CF0">
      <w:pPr>
        <w:pStyle w:val="BodyText"/>
        <w:rPr>
          <w:rFonts w:cs="Arial"/>
        </w:rPr>
      </w:pPr>
      <w:r w:rsidRPr="0065414C">
        <w:rPr>
          <w:rFonts w:cs="Arial"/>
        </w:rPr>
        <w:t>The Consultation Paper on the Pricing Framework for Australian Public Hospital Services 2021–22 (the Consultation Paper) is the primary mechanism for providing input to the Pricing Framework for Australian P</w:t>
      </w:r>
      <w:r w:rsidR="00391837">
        <w:rPr>
          <w:rFonts w:cs="Arial"/>
        </w:rPr>
        <w:t>ublic Hospital Services 2021–22</w:t>
      </w:r>
      <w:r w:rsidRPr="0065414C">
        <w:rPr>
          <w:rFonts w:cs="Arial"/>
        </w:rPr>
        <w:t>, the key policy document that underpins the approach that the Independent Hospital Pricing Authority (IHPA) takes to determine public hospital pricing. It provides an opportunity to comment on the development and refinement of the national activity based funding (ABF) system, including data collection, classification systems and policy decisions, which will underpin the national efficient price (NEP) and national efficient cost (NEC) Determinations for 2021–22</w:t>
      </w:r>
      <w:r w:rsidR="00626152" w:rsidRPr="0065414C">
        <w:rPr>
          <w:rFonts w:cs="Arial"/>
        </w:rPr>
        <w:t>.</w:t>
      </w:r>
    </w:p>
    <w:p w14:paraId="0744FC3F" w14:textId="77777777" w:rsidR="00391CF0" w:rsidRPr="0065414C" w:rsidRDefault="00842063" w:rsidP="00391CF0">
      <w:pPr>
        <w:pStyle w:val="BodyText"/>
        <w:rPr>
          <w:rFonts w:cs="Arial"/>
        </w:rPr>
      </w:pPr>
      <w:r w:rsidRPr="0065414C">
        <w:rPr>
          <w:rFonts w:cs="Arial"/>
        </w:rPr>
        <w:t>In May 2020, the Commonwealth and all state and territory governments signed an Addendum that amends the National Health Reform Agreement (NHRA) for the period from 1 July 2020 to 30 June 2025 (the Addendum). The Addendum re-affirms IHPA’s primary function as an independent, national agency responsible for calculating and determining the NEP for public hospital services in Australia. It also maintains the 6.5 per cent national funding cap. This Consultation Paper will outline the impact of the Addendum on IHPA functions including determining pricing arrangements for private patients in public hospitals, avoidable hospital readmissions and innovative funding models</w:t>
      </w:r>
      <w:r w:rsidR="00626152" w:rsidRPr="0065414C">
        <w:rPr>
          <w:rFonts w:cs="Arial"/>
        </w:rPr>
        <w:t>.</w:t>
      </w:r>
    </w:p>
    <w:p w14:paraId="7C8DBFB8" w14:textId="77777777" w:rsidR="00391CF0" w:rsidRPr="0065414C" w:rsidRDefault="00842063" w:rsidP="00391CF0">
      <w:pPr>
        <w:pStyle w:val="BodyText"/>
        <w:rPr>
          <w:rFonts w:cs="Arial"/>
        </w:rPr>
      </w:pPr>
      <w:r w:rsidRPr="0065414C">
        <w:rPr>
          <w:rFonts w:eastAsia="Arial" w:cs="Arial"/>
          <w:szCs w:val="22"/>
        </w:rPr>
        <w:t xml:space="preserve">The Addendum includes updated arrangements for the funding of private patients in the public hospital system. It specifies that IHPA will adjust the price for privately insured patients in public hospitals to the extent required to achieve overall payment parity between public and private patients in the relevant jurisdiction, </w:t>
      </w:r>
      <w:proofErr w:type="gramStart"/>
      <w:r w:rsidRPr="0065414C">
        <w:rPr>
          <w:rFonts w:eastAsia="Arial" w:cs="Arial"/>
          <w:szCs w:val="22"/>
        </w:rPr>
        <w:t>taking into account</w:t>
      </w:r>
      <w:proofErr w:type="gramEnd"/>
      <w:r w:rsidRPr="0065414C">
        <w:rPr>
          <w:rFonts w:eastAsia="Arial" w:cs="Arial"/>
          <w:szCs w:val="22"/>
        </w:rPr>
        <w:t xml:space="preserve"> all hospital revenues. IHPA is developing an approach to implementing clauses in the Addendum relating to private patients as they apply to the national pricing model. This Consultation Paper seeks feedback on this approach</w:t>
      </w:r>
      <w:r w:rsidR="00626152" w:rsidRPr="0065414C">
        <w:rPr>
          <w:rFonts w:eastAsia="Arial" w:cs="Arial"/>
          <w:szCs w:val="22"/>
        </w:rPr>
        <w:t>.</w:t>
      </w:r>
    </w:p>
    <w:p w14:paraId="6500F6F1" w14:textId="77777777" w:rsidR="00391CF0" w:rsidRPr="0065414C" w:rsidRDefault="00842063" w:rsidP="00391CF0">
      <w:pPr>
        <w:pStyle w:val="BodyText"/>
        <w:ind w:right="92"/>
        <w:rPr>
          <w:rFonts w:cs="Arial"/>
        </w:rPr>
      </w:pPr>
      <w:r w:rsidRPr="0065414C">
        <w:rPr>
          <w:rFonts w:eastAsia="Arial" w:cs="Arial"/>
          <w:szCs w:val="22"/>
        </w:rPr>
        <w:t>IHPA is also required to develop a pricing model for avoidable hospital readmissions for implementation from 1 July 2021, following approval from the Council of Australian Governments Health Council. This Consultation Paper outlines IHPA’s proposed approach and implementation considerations</w:t>
      </w:r>
      <w:r w:rsidR="00626152" w:rsidRPr="0065414C">
        <w:rPr>
          <w:rFonts w:eastAsia="Arial" w:cs="Arial"/>
          <w:szCs w:val="22"/>
        </w:rPr>
        <w:t>.</w:t>
      </w:r>
    </w:p>
    <w:p w14:paraId="710E7A8D" w14:textId="77777777" w:rsidR="00391CF0" w:rsidRPr="0065414C" w:rsidRDefault="00842063" w:rsidP="00391CF0">
      <w:pPr>
        <w:pStyle w:val="BodyText"/>
        <w:ind w:right="92"/>
        <w:rPr>
          <w:rFonts w:cs="Arial"/>
        </w:rPr>
      </w:pPr>
      <w:r w:rsidRPr="0065414C">
        <w:rPr>
          <w:rFonts w:eastAsia="Arial" w:cs="Arial"/>
          <w:szCs w:val="22"/>
        </w:rPr>
        <w:t>Alternate and value-based funding models continue to be the subject of discussions within the Australian health policy environment and internationally. IHPA is currently evaluating options for pricing and funding approaches that use methodologies differing from ABF, including bundled payments and capitation models. This Consultation Paper provides further detail on these models</w:t>
      </w:r>
      <w:r w:rsidR="00626152" w:rsidRPr="0065414C">
        <w:rPr>
          <w:rFonts w:eastAsia="Arial" w:cs="Arial"/>
          <w:szCs w:val="22"/>
        </w:rPr>
        <w:t>.</w:t>
      </w:r>
    </w:p>
    <w:p w14:paraId="53806EDA" w14:textId="77777777" w:rsidR="0065414C" w:rsidRPr="0065414C" w:rsidRDefault="00842063" w:rsidP="00391CF0">
      <w:pPr>
        <w:pStyle w:val="BodyText"/>
        <w:ind w:right="92"/>
        <w:rPr>
          <w:rFonts w:cs="Arial"/>
        </w:rPr>
      </w:pPr>
      <w:r w:rsidRPr="0065414C">
        <w:rPr>
          <w:rFonts w:eastAsia="Arial" w:cs="Arial"/>
          <w:szCs w:val="22"/>
        </w:rPr>
        <w:t xml:space="preserve">IHPA recognises public hospital services have undergone significant change </w:t>
      </w:r>
      <w:proofErr w:type="gramStart"/>
      <w:r w:rsidRPr="0065414C">
        <w:rPr>
          <w:rFonts w:eastAsia="Arial" w:cs="Arial"/>
          <w:szCs w:val="22"/>
        </w:rPr>
        <w:t>as a result of</w:t>
      </w:r>
      <w:proofErr w:type="gramEnd"/>
      <w:r w:rsidRPr="0065414C">
        <w:rPr>
          <w:rFonts w:eastAsia="Arial" w:cs="Arial"/>
          <w:szCs w:val="22"/>
        </w:rPr>
        <w:t xml:space="preserve"> responding to the COVID-19 pandemic. Hospital services and models of care have been adapted and it is likely many of these changes will be embedded into care delivery going forward. This presents challenges for IHPA in pricing public hospital services in 2021–22. Stakeholders </w:t>
      </w:r>
      <w:proofErr w:type="gramStart"/>
      <w:r w:rsidRPr="0065414C">
        <w:rPr>
          <w:rFonts w:eastAsia="Arial" w:cs="Arial"/>
          <w:szCs w:val="22"/>
        </w:rPr>
        <w:t>are able to</w:t>
      </w:r>
      <w:proofErr w:type="gramEnd"/>
      <w:r w:rsidRPr="0065414C">
        <w:rPr>
          <w:rFonts w:eastAsia="Arial" w:cs="Arial"/>
          <w:szCs w:val="22"/>
        </w:rPr>
        <w:t xml:space="preserve"> provide feedback on the impacts of COVID-19 on the NEP Determination for 2021–22 and future NEP Determinations</w:t>
      </w:r>
      <w:r w:rsidR="00626152" w:rsidRPr="0065414C">
        <w:rPr>
          <w:rFonts w:eastAsia="Arial" w:cs="Arial"/>
          <w:szCs w:val="22"/>
        </w:rPr>
        <w:t>.</w:t>
      </w:r>
    </w:p>
    <w:p w14:paraId="01299650" w14:textId="77777777" w:rsidR="00391CF0" w:rsidRPr="0065414C" w:rsidRDefault="00842063" w:rsidP="00391CF0">
      <w:pPr>
        <w:pStyle w:val="BodyText"/>
        <w:ind w:right="92"/>
        <w:rPr>
          <w:rFonts w:cs="Arial"/>
        </w:rPr>
      </w:pPr>
      <w:r w:rsidRPr="0065414C">
        <w:rPr>
          <w:rFonts w:eastAsia="Arial" w:cs="Arial"/>
          <w:szCs w:val="22"/>
        </w:rPr>
        <w:t>This Consultation Paper builds on previous work in this area and should be read in conjunction with the following documents</w:t>
      </w:r>
      <w:r w:rsidR="00626152" w:rsidRPr="0065414C">
        <w:rPr>
          <w:rFonts w:eastAsia="Arial" w:cs="Arial"/>
          <w:szCs w:val="22"/>
        </w:rPr>
        <w:t>:</w:t>
      </w:r>
    </w:p>
    <w:p w14:paraId="33782ADE" w14:textId="77777777" w:rsidR="00391CF0" w:rsidRPr="0065414C" w:rsidRDefault="00AE1ECC" w:rsidP="00391CF0">
      <w:pPr>
        <w:pStyle w:val="ListParagraph"/>
        <w:rPr>
          <w:rFonts w:cs="Arial"/>
        </w:rPr>
      </w:pPr>
      <w:hyperlink r:id="rId20" w:history="1">
        <w:r w:rsidR="00391CF0" w:rsidRPr="0065414C">
          <w:rPr>
            <w:rStyle w:val="Hyperlink"/>
            <w:rFonts w:cs="Arial"/>
            <w:i/>
            <w:iCs/>
          </w:rPr>
          <w:t>Pricing Framework for Australian Public Hospital Services 2020–21</w:t>
        </w:r>
      </w:hyperlink>
      <w:r w:rsidR="00391CF0" w:rsidRPr="0065414C">
        <w:rPr>
          <w:rFonts w:cs="Arial"/>
        </w:rPr>
        <w:t xml:space="preserve"> (the Pricing Framework 2020–21)</w:t>
      </w:r>
    </w:p>
    <w:p w14:paraId="24115C25" w14:textId="77777777" w:rsidR="00391CF0" w:rsidRPr="0065414C" w:rsidRDefault="00AE1ECC" w:rsidP="00391CF0">
      <w:pPr>
        <w:pStyle w:val="ListParagraph"/>
        <w:rPr>
          <w:rFonts w:cs="Arial"/>
        </w:rPr>
      </w:pPr>
      <w:hyperlink r:id="rId21" w:history="1">
        <w:r w:rsidR="00391CF0" w:rsidRPr="0065414C">
          <w:rPr>
            <w:rStyle w:val="Hyperlink"/>
            <w:rFonts w:cs="Arial"/>
            <w:i/>
            <w:iCs/>
          </w:rPr>
          <w:t>Pricing Framework for Australian Public Hospital Services 2020–21 Consultation Report</w:t>
        </w:r>
      </w:hyperlink>
      <w:r w:rsidR="00391CF0" w:rsidRPr="0065414C">
        <w:rPr>
          <w:rFonts w:cs="Arial"/>
        </w:rPr>
        <w:t xml:space="preserve"> (the Consultation Report 2020–21)</w:t>
      </w:r>
    </w:p>
    <w:p w14:paraId="4908C016" w14:textId="77777777" w:rsidR="00391CF0" w:rsidRPr="0065414C" w:rsidRDefault="00AE1ECC" w:rsidP="00391CF0">
      <w:pPr>
        <w:pStyle w:val="ListParagraph"/>
        <w:rPr>
          <w:rFonts w:cs="Arial"/>
        </w:rPr>
      </w:pPr>
      <w:hyperlink r:id="rId22" w:history="1">
        <w:r w:rsidR="00391CF0" w:rsidRPr="0065414C">
          <w:rPr>
            <w:rStyle w:val="Hyperlink"/>
            <w:rFonts w:cs="Arial"/>
            <w:i/>
            <w:iCs/>
          </w:rPr>
          <w:t>National Efficient Price Determination 2020–21</w:t>
        </w:r>
      </w:hyperlink>
      <w:r w:rsidR="00391CF0" w:rsidRPr="0065414C">
        <w:rPr>
          <w:rFonts w:cs="Arial"/>
        </w:rPr>
        <w:t xml:space="preserve"> (NEP20)</w:t>
      </w:r>
    </w:p>
    <w:p w14:paraId="6FBDD681" w14:textId="77777777" w:rsidR="00391CF0" w:rsidRPr="0065414C" w:rsidRDefault="00AE1ECC" w:rsidP="00391CF0">
      <w:pPr>
        <w:pStyle w:val="ListParagraph"/>
        <w:rPr>
          <w:rFonts w:cs="Arial"/>
        </w:rPr>
        <w:sectPr w:rsidR="00391CF0" w:rsidRPr="0065414C" w:rsidSect="00277AD9">
          <w:type w:val="continuous"/>
          <w:pgSz w:w="11910" w:h="16840"/>
          <w:pgMar w:top="1440" w:right="1440" w:bottom="1440" w:left="1440" w:header="720" w:footer="720" w:gutter="0"/>
          <w:cols w:num="2" w:space="340"/>
        </w:sectPr>
      </w:pPr>
      <w:hyperlink r:id="rId23" w:history="1">
        <w:r w:rsidR="00391CF0" w:rsidRPr="0065414C">
          <w:rPr>
            <w:rStyle w:val="Hyperlink"/>
            <w:rFonts w:cs="Arial"/>
          </w:rPr>
          <w:t>National Efficient Cost Determination 2020–21</w:t>
        </w:r>
      </w:hyperlink>
      <w:r w:rsidR="00391CF0" w:rsidRPr="0065414C">
        <w:rPr>
          <w:rFonts w:cs="Arial"/>
        </w:rPr>
        <w:t xml:space="preserve"> (NEC20)</w:t>
      </w:r>
    </w:p>
    <w:p w14:paraId="60DB1889" w14:textId="77777777" w:rsidR="00C415F5" w:rsidRPr="0065414C" w:rsidRDefault="0065414C" w:rsidP="00391CF0">
      <w:pPr>
        <w:pStyle w:val="BodyText"/>
        <w:ind w:right="92"/>
        <w:rPr>
          <w:rFonts w:cs="Arial"/>
          <w:sz w:val="12"/>
        </w:rPr>
      </w:pPr>
      <w:r w:rsidRPr="0065414C">
        <w:rPr>
          <w:rFonts w:cs="Arial"/>
          <w:noProof/>
          <w:lang w:eastAsia="en-AU" w:bidi="ar-SA"/>
        </w:rPr>
        <w:lastRenderedPageBreak/>
        <mc:AlternateContent>
          <mc:Choice Requires="wps">
            <w:drawing>
              <wp:inline distT="0" distB="0" distL="0" distR="0" wp14:anchorId="64012C78" wp14:editId="03CA67C6">
                <wp:extent cx="5720080" cy="1998345"/>
                <wp:effectExtent l="0" t="0" r="13970" b="20955"/>
                <wp:docPr id="65" name="Text Box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1998345"/>
                        </a:xfrm>
                        <a:prstGeom prst="rect">
                          <a:avLst/>
                        </a:prstGeom>
                        <a:noFill/>
                        <a:ln w="9525">
                          <a:solidFill>
                            <a:schemeClr val="accent2">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6EABB06" w14:textId="77777777" w:rsidR="001C5C18" w:rsidRPr="00693365" w:rsidRDefault="001C5C18" w:rsidP="009C68D5">
                            <w:pPr>
                              <w:pStyle w:val="Heading3"/>
                              <w:ind w:left="426" w:right="214"/>
                            </w:pPr>
                            <w:r w:rsidRPr="00693365">
                              <w:t>Have your say</w:t>
                            </w:r>
                          </w:p>
                          <w:p w14:paraId="5615CA97" w14:textId="77777777" w:rsidR="001C5C18" w:rsidRDefault="001C5C18" w:rsidP="009C68D5">
                            <w:pPr>
                              <w:pStyle w:val="BodyText"/>
                              <w:ind w:left="426" w:right="214"/>
                            </w:pPr>
                            <w:r>
                              <w:t xml:space="preserve">Submissions close at </w:t>
                            </w:r>
                            <w:r>
                              <w:rPr>
                                <w:u w:val="single"/>
                              </w:rPr>
                              <w:t xml:space="preserve">5pm AEDT on Friday, </w:t>
                            </w:r>
                            <w:r w:rsidRPr="006510F1">
                              <w:rPr>
                                <w:u w:val="single"/>
                              </w:rPr>
                              <w:t>9 October 2020</w:t>
                            </w:r>
                            <w:r w:rsidRPr="006510F1">
                              <w:t>.</w:t>
                            </w:r>
                            <w:r>
                              <w:t xml:space="preserve"> </w:t>
                            </w:r>
                          </w:p>
                          <w:p w14:paraId="1D09F4E6" w14:textId="77777777" w:rsidR="001C5C18" w:rsidRDefault="001C5C18" w:rsidP="009C68D5">
                            <w:pPr>
                              <w:pStyle w:val="BodyText"/>
                              <w:ind w:left="426" w:right="214"/>
                            </w:pPr>
                            <w:r>
                              <w:t xml:space="preserve">Submissions should be emailed to IHPA Secretariat at </w:t>
                            </w:r>
                            <w:hyperlink r:id="rId24" w:history="1">
                              <w:r w:rsidRPr="00531D06">
                                <w:rPr>
                                  <w:rStyle w:val="Hyperlink"/>
                                </w:rPr>
                                <w:t>submissions.ihpa@ihpa.gov.au</w:t>
                              </w:r>
                            </w:hyperlink>
                            <w:r>
                              <w:t>.</w:t>
                            </w:r>
                          </w:p>
                          <w:p w14:paraId="2204E091" w14:textId="77777777" w:rsidR="001C5C18" w:rsidRDefault="001C5C18" w:rsidP="009C68D5">
                            <w:pPr>
                              <w:pStyle w:val="BodyText"/>
                              <w:ind w:left="426" w:right="480"/>
                            </w:pPr>
                            <w:r>
                              <w:t xml:space="preserve">All submissions will be published on </w:t>
                            </w:r>
                            <w:hyperlink r:id="rId25" w:history="1">
                              <w:r w:rsidRPr="0075392B">
                                <w:rPr>
                                  <w:rStyle w:val="Hyperlink"/>
                                </w:rPr>
                                <w:t>IHPA’s website</w:t>
                              </w:r>
                            </w:hyperlink>
                            <w:r>
                              <w:t xml:space="preserve"> </w:t>
                            </w:r>
                            <w:r w:rsidRPr="009E2B11">
                              <w:rPr>
                                <w:rFonts w:eastAsia="Arial"/>
                              </w:rPr>
                              <w:t>unless respondents specifically identify sections that they believe should be kept confidential due to commercial or other reasons.</w:t>
                            </w:r>
                          </w:p>
                          <w:p w14:paraId="3027D951" w14:textId="77777777" w:rsidR="001C5C18" w:rsidRDefault="001C5C18" w:rsidP="009C68D5">
                            <w:pPr>
                              <w:pStyle w:val="BodyText"/>
                              <w:ind w:left="426" w:right="480"/>
                            </w:pPr>
                            <w:r w:rsidRPr="009E2B11">
                              <w:t>The</w:t>
                            </w:r>
                            <w:r w:rsidRPr="00EC657B">
                              <w:t xml:space="preserve"> </w:t>
                            </w:r>
                            <w:r w:rsidRPr="00EC657B">
                              <w:rPr>
                                <w:rFonts w:eastAsia="Arial" w:cs="Arial"/>
                                <w:szCs w:val="22"/>
                              </w:rPr>
                              <w:t>Pricing Framework for Australian Public Hospital Services 202</w:t>
                            </w:r>
                            <w:r>
                              <w:rPr>
                                <w:rFonts w:eastAsia="Arial" w:cs="Arial"/>
                                <w:szCs w:val="22"/>
                              </w:rPr>
                              <w:t>1–22</w:t>
                            </w:r>
                            <w:r w:rsidRPr="00EC657B">
                              <w:rPr>
                                <w:rFonts w:eastAsia="Arial" w:cs="Arial"/>
                                <w:szCs w:val="22"/>
                              </w:rPr>
                              <w:t xml:space="preserve"> </w:t>
                            </w:r>
                            <w:r w:rsidRPr="009E2B11">
                              <w:t xml:space="preserve">will be released in </w:t>
                            </w:r>
                            <w:r>
                              <w:t>March 2021</w:t>
                            </w:r>
                            <w:r w:rsidRPr="009E2B11">
                              <w:t xml:space="preserve"> </w:t>
                            </w:r>
                            <w:r>
                              <w:t>alongside</w:t>
                            </w:r>
                            <w:r w:rsidRPr="009E2B11">
                              <w:t xml:space="preserve"> </w:t>
                            </w:r>
                            <w:r>
                              <w:t>publication of</w:t>
                            </w:r>
                            <w:r w:rsidRPr="009E2B11">
                              <w:t xml:space="preserve"> the </w:t>
                            </w:r>
                            <w:r>
                              <w:t>National Efficient Price Determination 2021–22 and the National Efficient Cost Determination 2021–22</w:t>
                            </w:r>
                            <w:r w:rsidRPr="009E2B11">
                              <w:t>.</w:t>
                            </w:r>
                          </w:p>
                        </w:txbxContent>
                      </wps:txbx>
                      <wps:bodyPr rot="0" vert="horz" wrap="square" lIns="0" tIns="0" rIns="0" bIns="0" anchor="t" anchorCtr="0" upright="1">
                        <a:noAutofit/>
                      </wps:bodyPr>
                    </wps:wsp>
                  </a:graphicData>
                </a:graphic>
              </wp:inline>
            </w:drawing>
          </mc:Choice>
          <mc:Fallback>
            <w:pict>
              <v:shapetype w14:anchorId="64012C78" id="_x0000_t202" coordsize="21600,21600" o:spt="202" path="m,l,21600r21600,l21600,xe">
                <v:stroke joinstyle="miter"/>
                <v:path gradientshapeok="t" o:connecttype="rect"/>
              </v:shapetype>
              <v:shape id="Text Box 24" o:spid="_x0000_s1026" type="#_x0000_t202" alt="&quot;&quot;" style="width:450.4pt;height:15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" filled="f" strokecolor="#008f54 [3205]">
                <v:textbox inset="0,0,0,0">
                  <w:txbxContent>
                    <w:p w14:paraId="66EABB06" w14:textId="77777777" w:rsidR="001C5C18" w:rsidRPr="00693365" w:rsidRDefault="001C5C18" w:rsidP="009C68D5">
                      <w:pPr>
                        <w:pStyle w:val="Heading3"/>
                        <w:ind w:left="426" w:right="214"/>
                      </w:pPr>
                      <w:r w:rsidRPr="00693365">
                        <w:t>Have your say</w:t>
                      </w:r>
                    </w:p>
                    <w:p w14:paraId="5615CA97" w14:textId="77777777" w:rsidR="001C5C18" w:rsidRDefault="001C5C18" w:rsidP="009C68D5">
                      <w:pPr>
                        <w:pStyle w:val="BodyText"/>
                        <w:ind w:left="426" w:right="214"/>
                      </w:pPr>
                      <w:r>
                        <w:t xml:space="preserve">Submissions close at </w:t>
                      </w:r>
                      <w:r>
                        <w:rPr>
                          <w:u w:val="single"/>
                        </w:rPr>
                        <w:t xml:space="preserve">5pm AEDT on Friday, </w:t>
                      </w:r>
                      <w:r w:rsidRPr="006510F1">
                        <w:rPr>
                          <w:u w:val="single"/>
                        </w:rPr>
                        <w:t>9 October 2020</w:t>
                      </w:r>
                      <w:r w:rsidRPr="006510F1">
                        <w:t>.</w:t>
                      </w:r>
                      <w:r>
                        <w:t xml:space="preserve"> </w:t>
                      </w:r>
                    </w:p>
                    <w:p w14:paraId="1D09F4E6" w14:textId="77777777" w:rsidR="001C5C18" w:rsidRDefault="001C5C18" w:rsidP="009C68D5">
                      <w:pPr>
                        <w:pStyle w:val="BodyText"/>
                        <w:ind w:left="426" w:right="214"/>
                      </w:pPr>
                      <w:r>
                        <w:t xml:space="preserve">Submissions should be emailed to IHPA Secretariat at </w:t>
                      </w:r>
                      <w:hyperlink r:id="rId26" w:history="1">
                        <w:r w:rsidRPr="00531D06">
                          <w:rPr>
                            <w:rStyle w:val="Hyperlink"/>
                          </w:rPr>
                          <w:t>submissions.ihpa@ihpa.gov.au</w:t>
                        </w:r>
                      </w:hyperlink>
                      <w:r>
                        <w:t>.</w:t>
                      </w:r>
                    </w:p>
                    <w:p w14:paraId="2204E091" w14:textId="77777777" w:rsidR="001C5C18" w:rsidRDefault="001C5C18" w:rsidP="009C68D5">
                      <w:pPr>
                        <w:pStyle w:val="BodyText"/>
                        <w:ind w:left="426" w:right="480"/>
                      </w:pPr>
                      <w:r>
                        <w:t xml:space="preserve">All submissions will be published on </w:t>
                      </w:r>
                      <w:hyperlink r:id="rId27" w:history="1">
                        <w:r w:rsidRPr="0075392B">
                          <w:rPr>
                            <w:rStyle w:val="Hyperlink"/>
                          </w:rPr>
                          <w:t>IHPA’s website</w:t>
                        </w:r>
                      </w:hyperlink>
                      <w:r>
                        <w:t xml:space="preserve"> </w:t>
                      </w:r>
                      <w:r w:rsidRPr="009E2B11">
                        <w:rPr>
                          <w:rFonts w:eastAsia="Arial"/>
                        </w:rPr>
                        <w:t>unless respondents specifically identify sections that they believe should be kept confidential due to commercial or other reasons.</w:t>
                      </w:r>
                    </w:p>
                    <w:p w14:paraId="3027D951" w14:textId="77777777" w:rsidR="001C5C18" w:rsidRDefault="001C5C18" w:rsidP="009C68D5">
                      <w:pPr>
                        <w:pStyle w:val="BodyText"/>
                        <w:ind w:left="426" w:right="480"/>
                      </w:pPr>
                      <w:r w:rsidRPr="009E2B11">
                        <w:t>The</w:t>
                      </w:r>
                      <w:r w:rsidRPr="00EC657B">
                        <w:t xml:space="preserve"> </w:t>
                      </w:r>
                      <w:r w:rsidRPr="00EC657B">
                        <w:rPr>
                          <w:rFonts w:eastAsia="Arial" w:cs="Arial"/>
                          <w:szCs w:val="22"/>
                        </w:rPr>
                        <w:t>Pricing Framework for Australian Public Hospital Services 202</w:t>
                      </w:r>
                      <w:r>
                        <w:rPr>
                          <w:rFonts w:eastAsia="Arial" w:cs="Arial"/>
                          <w:szCs w:val="22"/>
                        </w:rPr>
                        <w:t>1–22</w:t>
                      </w:r>
                      <w:r w:rsidRPr="00EC657B">
                        <w:rPr>
                          <w:rFonts w:eastAsia="Arial" w:cs="Arial"/>
                          <w:szCs w:val="22"/>
                        </w:rPr>
                        <w:t xml:space="preserve"> </w:t>
                      </w:r>
                      <w:r w:rsidRPr="009E2B11">
                        <w:t xml:space="preserve">will be released in </w:t>
                      </w:r>
                      <w:r>
                        <w:t>March 2021</w:t>
                      </w:r>
                      <w:r w:rsidRPr="009E2B11">
                        <w:t xml:space="preserve"> </w:t>
                      </w:r>
                      <w:r>
                        <w:t>alongside</w:t>
                      </w:r>
                      <w:r w:rsidRPr="009E2B11">
                        <w:t xml:space="preserve"> </w:t>
                      </w:r>
                      <w:r>
                        <w:t>publication of</w:t>
                      </w:r>
                      <w:r w:rsidRPr="009E2B11">
                        <w:t xml:space="preserve"> the </w:t>
                      </w:r>
                      <w:r>
                        <w:t>National Efficient Price Determination 2021–22 and the National Efficient Cost Determination 2021–22</w:t>
                      </w:r>
                      <w:r w:rsidRPr="009E2B11">
                        <w:t>.</w:t>
                      </w:r>
                    </w:p>
                  </w:txbxContent>
                </v:textbox>
                <w10:anchorlock/>
              </v:shape>
            </w:pict>
          </mc:Fallback>
        </mc:AlternateContent>
      </w:r>
    </w:p>
    <w:p w14:paraId="50491B68" w14:textId="77777777" w:rsidR="00C415F5" w:rsidRPr="0065414C" w:rsidRDefault="00C415F5">
      <w:pPr>
        <w:rPr>
          <w:rFonts w:cs="Arial"/>
          <w:sz w:val="12"/>
        </w:rPr>
        <w:sectPr w:rsidR="00C415F5" w:rsidRPr="0065414C" w:rsidSect="00277AD9">
          <w:type w:val="continuous"/>
          <w:pgSz w:w="11910" w:h="16840"/>
          <w:pgMar w:top="1440" w:right="1440" w:bottom="1440" w:left="1440" w:header="720" w:footer="720" w:gutter="0"/>
          <w:cols w:num="2" w:space="340"/>
        </w:sectPr>
      </w:pPr>
    </w:p>
    <w:p w14:paraId="1FAD443E" w14:textId="77777777" w:rsidR="00F62597" w:rsidRPr="005B7291" w:rsidRDefault="00F62597" w:rsidP="005B7291">
      <w:pPr>
        <w:pStyle w:val="SectionNumber"/>
        <w:rPr>
          <w:color w:val="003E2D" w:themeColor="text2"/>
        </w:rPr>
      </w:pPr>
      <w:bookmarkStart w:id="26" w:name="_bookmark3"/>
      <w:bookmarkStart w:id="27" w:name="_2_The_Pricing"/>
      <w:bookmarkStart w:id="28" w:name="_Toc49953735"/>
      <w:bookmarkEnd w:id="26"/>
      <w:bookmarkEnd w:id="27"/>
      <w:r w:rsidRPr="005B7291">
        <w:rPr>
          <w:color w:val="003E2D" w:themeColor="text2"/>
        </w:rPr>
        <w:lastRenderedPageBreak/>
        <w:drawing>
          <wp:anchor distT="0" distB="0" distL="114300" distR="114300" simplePos="0" relativeHeight="251646976" behindDoc="1" locked="0" layoutInCell="1" allowOverlap="1" wp14:anchorId="4435E8DE" wp14:editId="63337492">
            <wp:simplePos x="0" y="0"/>
            <wp:positionH relativeFrom="margin">
              <wp:posOffset>-914400</wp:posOffset>
            </wp:positionH>
            <wp:positionV relativeFrom="page">
              <wp:posOffset>954536</wp:posOffset>
            </wp:positionV>
            <wp:extent cx="5462270" cy="3577466"/>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462270" cy="3577466"/>
                    </a:xfrm>
                    <a:prstGeom prst="rect">
                      <a:avLst/>
                    </a:prstGeom>
                    <a:noFill/>
                    <a:ln>
                      <a:noFill/>
                    </a:ln>
                  </pic:spPr>
                </pic:pic>
              </a:graphicData>
            </a:graphic>
          </wp:anchor>
        </w:drawing>
      </w:r>
      <w:r w:rsidRPr="005B7291">
        <w:rPr>
          <w:color w:val="003E2D" w:themeColor="text2"/>
        </w:rPr>
        <w:t>2</w:t>
      </w:r>
      <w:bookmarkEnd w:id="28"/>
    </w:p>
    <w:p w14:paraId="551FC1BC" w14:textId="77777777" w:rsidR="00F62597" w:rsidRPr="0065414C" w:rsidRDefault="00437BB3" w:rsidP="005B7291">
      <w:pPr>
        <w:pStyle w:val="Sectionheader"/>
        <w:sectPr w:rsidR="00F62597" w:rsidRPr="0065414C" w:rsidSect="008613E1">
          <w:headerReference w:type="default" r:id="rId29"/>
          <w:footerReference w:type="default" r:id="rId30"/>
          <w:pgSz w:w="11910" w:h="16840"/>
          <w:pgMar w:top="3970" w:right="1440" w:bottom="1440" w:left="1440" w:header="0" w:footer="656" w:gutter="0"/>
          <w:cols w:space="720"/>
        </w:sectPr>
      </w:pPr>
      <w:bookmarkStart w:id="29" w:name="_Toc49953736"/>
      <w:bookmarkStart w:id="30" w:name="_Toc50532295"/>
      <w:r w:rsidRPr="0065414C">
        <w:t>Addendum to the National Health Reform Agreement 2020–2025</w:t>
      </w:r>
      <w:bookmarkEnd w:id="29"/>
      <w:bookmarkEnd w:id="30"/>
    </w:p>
    <w:p w14:paraId="3E582084" w14:textId="77777777" w:rsidR="00C415F5" w:rsidRPr="0065414C" w:rsidRDefault="00F62597" w:rsidP="000800FF">
      <w:pPr>
        <w:pStyle w:val="Heading1"/>
        <w:ind w:left="1418" w:hanging="1191"/>
        <w:rPr>
          <w:rFonts w:cs="Arial"/>
        </w:rPr>
      </w:pPr>
      <w:bookmarkStart w:id="31" w:name="_Toc45809580"/>
      <w:bookmarkStart w:id="32" w:name="_Toc49953737"/>
      <w:r w:rsidRPr="0065414C">
        <w:rPr>
          <w:rFonts w:cs="Arial"/>
          <w:noProof/>
          <w:color w:val="FFFFFF" w:themeColor="background1"/>
          <w:lang w:eastAsia="en-AU" w:bidi="ar-SA"/>
        </w:rPr>
        <w:lastRenderedPageBreak/>
        <w:drawing>
          <wp:anchor distT="0" distB="0" distL="114300" distR="114300" simplePos="0" relativeHeight="251650048" behindDoc="1" locked="0" layoutInCell="1" allowOverlap="1" wp14:anchorId="480C02C5" wp14:editId="0FD31177">
            <wp:simplePos x="0" y="0"/>
            <wp:positionH relativeFrom="column">
              <wp:posOffset>-914150</wp:posOffset>
            </wp:positionH>
            <wp:positionV relativeFrom="page">
              <wp:posOffset>652007</wp:posOffset>
            </wp:positionV>
            <wp:extent cx="1685424" cy="946150"/>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685424" cy="946150"/>
                    </a:xfrm>
                    <a:prstGeom prst="rect">
                      <a:avLst/>
                    </a:prstGeom>
                    <a:noFill/>
                    <a:ln>
                      <a:noFill/>
                    </a:ln>
                  </pic:spPr>
                </pic:pic>
              </a:graphicData>
            </a:graphic>
          </wp:anchor>
        </w:drawing>
      </w:r>
      <w:r w:rsidR="00603DEC" w:rsidRPr="0065414C">
        <w:rPr>
          <w:rFonts w:cs="Arial"/>
        </w:rPr>
        <w:t>2</w:t>
      </w:r>
      <w:r w:rsidR="00603DEC" w:rsidRPr="0065414C">
        <w:rPr>
          <w:rFonts w:cs="Arial"/>
        </w:rPr>
        <w:tab/>
      </w:r>
      <w:r w:rsidRPr="0065414C">
        <w:rPr>
          <w:rFonts w:cs="Arial"/>
        </w:rPr>
        <w:tab/>
      </w:r>
      <w:bookmarkStart w:id="33" w:name="_Toc48838691"/>
      <w:bookmarkEnd w:id="31"/>
      <w:r w:rsidR="00437BB3" w:rsidRPr="0065414C">
        <w:rPr>
          <w:rFonts w:cs="Arial"/>
        </w:rPr>
        <w:t>Addendum to the National Health Reform Agreement 2020–2025</w:t>
      </w:r>
      <w:bookmarkEnd w:id="32"/>
      <w:bookmarkEnd w:id="33"/>
    </w:p>
    <w:p w14:paraId="55E42BE9" w14:textId="77777777" w:rsidR="003932A6" w:rsidRPr="0065414C" w:rsidRDefault="003932A6" w:rsidP="003932A6">
      <w:pPr>
        <w:pStyle w:val="BodyText"/>
        <w:rPr>
          <w:rFonts w:cs="Arial"/>
        </w:rPr>
        <w:sectPr w:rsidR="003932A6" w:rsidRPr="0065414C" w:rsidSect="001142D0">
          <w:headerReference w:type="default" r:id="rId32"/>
          <w:pgSz w:w="11910" w:h="16840"/>
          <w:pgMar w:top="1440" w:right="1440" w:bottom="1440" w:left="1440" w:header="0" w:footer="656" w:gutter="0"/>
          <w:cols w:space="720"/>
        </w:sectPr>
      </w:pPr>
    </w:p>
    <w:p w14:paraId="2D75802F" w14:textId="77777777" w:rsidR="00391CF0" w:rsidRPr="0065414C" w:rsidRDefault="00842063" w:rsidP="00B9422E">
      <w:pPr>
        <w:pStyle w:val="BodyText"/>
        <w:spacing w:before="0"/>
        <w:rPr>
          <w:rFonts w:cs="Arial"/>
        </w:rPr>
      </w:pPr>
      <w:r w:rsidRPr="0065414C">
        <w:rPr>
          <w:rFonts w:cs="Arial"/>
        </w:rPr>
        <w:t xml:space="preserve">In May 2020, the Commonwealth and all state and territory governments signed the </w:t>
      </w:r>
      <w:hyperlink r:id="rId33" w:history="1">
        <w:r w:rsidR="00391CF0" w:rsidRPr="0065414C">
          <w:rPr>
            <w:rStyle w:val="Hyperlink"/>
            <w:rFonts w:cs="Arial"/>
            <w:i/>
            <w:iCs/>
          </w:rPr>
          <w:t>Addendum to the National Health Reform Agreement 2020–2025</w:t>
        </w:r>
      </w:hyperlink>
      <w:r w:rsidR="00391CF0" w:rsidRPr="0065414C">
        <w:rPr>
          <w:rFonts w:cs="Arial"/>
        </w:rPr>
        <w:t xml:space="preserve"> </w:t>
      </w:r>
      <w:r w:rsidR="00626152" w:rsidRPr="0065414C">
        <w:rPr>
          <w:rFonts w:cs="Arial"/>
        </w:rPr>
        <w:t>(</w:t>
      </w:r>
      <w:r w:rsidRPr="0065414C">
        <w:rPr>
          <w:rFonts w:cs="Arial"/>
        </w:rPr>
        <w:t>the Addendum). The Addendum has a range of policy implications for the Independent Hospital Pricing Authority (IHPA) and the national efficient price (NEP), however the below key points remain from the previous iteration of the National Health Reform Agreement (NHRA):</w:t>
      </w:r>
    </w:p>
    <w:p w14:paraId="0FC34C31" w14:textId="77777777" w:rsidR="00391CF0" w:rsidRPr="0065414C" w:rsidRDefault="00842063" w:rsidP="00391CF0">
      <w:pPr>
        <w:pStyle w:val="ListParagraph"/>
        <w:rPr>
          <w:rFonts w:cs="Arial"/>
        </w:rPr>
      </w:pPr>
      <w:r w:rsidRPr="0065414C">
        <w:rPr>
          <w:rFonts w:cs="Arial"/>
        </w:rPr>
        <w:t>The national bodies (including IHPA) and their functions remain independent</w:t>
      </w:r>
    </w:p>
    <w:p w14:paraId="524EA15B" w14:textId="77777777" w:rsidR="00391CF0" w:rsidRPr="0065414C" w:rsidRDefault="00842063" w:rsidP="00391CF0">
      <w:pPr>
        <w:pStyle w:val="ListParagraph"/>
        <w:rPr>
          <w:rFonts w:cs="Arial"/>
        </w:rPr>
      </w:pPr>
      <w:r w:rsidRPr="0065414C">
        <w:rPr>
          <w:rFonts w:cs="Arial"/>
        </w:rPr>
        <w:t>Activity based funding (ABF) remains the basis for Commonwealth funding except where ABF is not appropriate or practical</w:t>
      </w:r>
    </w:p>
    <w:p w14:paraId="2D910AAF" w14:textId="77777777" w:rsidR="00391CF0" w:rsidRPr="0065414C" w:rsidRDefault="00842063" w:rsidP="00391CF0">
      <w:pPr>
        <w:pStyle w:val="ListParagraph"/>
        <w:rPr>
          <w:rFonts w:cs="Arial"/>
        </w:rPr>
      </w:pPr>
      <w:r w:rsidRPr="0065414C">
        <w:rPr>
          <w:rFonts w:cs="Arial"/>
        </w:rPr>
        <w:t>The 6.5 per cent national funding cap remains in place</w:t>
      </w:r>
    </w:p>
    <w:p w14:paraId="3053A142" w14:textId="77777777" w:rsidR="00391CF0" w:rsidRPr="0065414C" w:rsidRDefault="00842063" w:rsidP="00391CF0">
      <w:pPr>
        <w:pStyle w:val="ListParagraph"/>
        <w:rPr>
          <w:rFonts w:cs="Arial"/>
        </w:rPr>
      </w:pPr>
      <w:r w:rsidRPr="0065414C">
        <w:rPr>
          <w:rFonts w:cs="Arial"/>
        </w:rPr>
        <w:t>The pricing approach for safety and quality in relation to both sentinel events and hospital acquired complications has been retained.</w:t>
      </w:r>
    </w:p>
    <w:p w14:paraId="135E37F9" w14:textId="77777777" w:rsidR="00391CF0" w:rsidRPr="0065414C" w:rsidRDefault="00842063" w:rsidP="00391CF0">
      <w:pPr>
        <w:pStyle w:val="BodyText"/>
        <w:rPr>
          <w:rFonts w:cs="Arial"/>
        </w:rPr>
      </w:pPr>
      <w:r w:rsidRPr="0065414C">
        <w:rPr>
          <w:rFonts w:cs="Arial"/>
        </w:rPr>
        <w:t>Significant changes arising from the Addendum and IHPA’s approach to implementing new arrangements are outlined below.</w:t>
      </w:r>
    </w:p>
    <w:p w14:paraId="2095FA84" w14:textId="77777777" w:rsidR="00C415F5" w:rsidRPr="0065414C" w:rsidRDefault="00842063" w:rsidP="00391CF0">
      <w:pPr>
        <w:pStyle w:val="BodyText"/>
        <w:rPr>
          <w:rFonts w:cs="Arial"/>
        </w:rPr>
      </w:pPr>
      <w:r w:rsidRPr="0065414C">
        <w:rPr>
          <w:rFonts w:cs="Arial"/>
        </w:rPr>
        <w:t>Note: Unless otherwise stated, all references to ‘the Addendum’ in this Consultation Paper refer to the</w:t>
      </w:r>
      <w:r w:rsidR="00391CF0" w:rsidRPr="0065414C">
        <w:rPr>
          <w:rFonts w:cs="Arial"/>
        </w:rPr>
        <w:t xml:space="preserve"> </w:t>
      </w:r>
      <w:hyperlink r:id="rId34" w:history="1">
        <w:r w:rsidR="00391CF0" w:rsidRPr="0065414C">
          <w:rPr>
            <w:rStyle w:val="Hyperlink"/>
            <w:rFonts w:cs="Arial"/>
            <w:i/>
            <w:iCs/>
          </w:rPr>
          <w:t>Addendum to the National Health Reform Agreement 2020–25</w:t>
        </w:r>
      </w:hyperlink>
      <w:r w:rsidR="00391CF0" w:rsidRPr="0065414C">
        <w:rPr>
          <w:rFonts w:cs="Arial"/>
        </w:rPr>
        <w:t>.</w:t>
      </w:r>
    </w:p>
    <w:p w14:paraId="34B85021" w14:textId="77777777" w:rsidR="00DE2ED2" w:rsidRPr="0065414C" w:rsidRDefault="00DE2ED2" w:rsidP="00011A81">
      <w:pPr>
        <w:pStyle w:val="Heading2"/>
        <w:rPr>
          <w:rFonts w:cs="Arial"/>
        </w:rPr>
      </w:pPr>
      <w:bookmarkStart w:id="34" w:name="_Toc49953738"/>
      <w:bookmarkStart w:id="35" w:name="_Toc50532296"/>
      <w:r w:rsidRPr="0065414C">
        <w:rPr>
          <w:rFonts w:cs="Arial"/>
        </w:rPr>
        <w:t xml:space="preserve">2.1. </w:t>
      </w:r>
      <w:r w:rsidR="00391CF0" w:rsidRPr="0065414C">
        <w:rPr>
          <w:rFonts w:cs="Arial"/>
        </w:rPr>
        <w:t>Working with Australian governments, AHMAC and the CHC</w:t>
      </w:r>
      <w:bookmarkEnd w:id="34"/>
      <w:bookmarkEnd w:id="35"/>
    </w:p>
    <w:p w14:paraId="1DE6C1FB" w14:textId="77777777" w:rsidR="00391CF0" w:rsidRPr="0065414C" w:rsidRDefault="00983BD0" w:rsidP="00391CF0">
      <w:pPr>
        <w:pStyle w:val="BodyText"/>
        <w:rPr>
          <w:rFonts w:cs="Arial"/>
        </w:rPr>
      </w:pPr>
      <w:r w:rsidRPr="0065414C">
        <w:rPr>
          <w:rFonts w:cs="Arial"/>
        </w:rPr>
        <w:t xml:space="preserve">The Addendum has clauses outlining new arrangements for the national funding bodies, and measures to strengthen the links between IHPA, the Australian Health Ministers Advisory Council </w:t>
      </w:r>
      <w:r w:rsidRPr="0065414C">
        <w:rPr>
          <w:rFonts w:cs="Arial"/>
        </w:rPr>
        <w:t>(AHMAC) and the Council of Australian Governments Health Council (CHC</w:t>
      </w:r>
      <w:r w:rsidR="00391CF0" w:rsidRPr="0065414C">
        <w:rPr>
          <w:rFonts w:cs="Arial"/>
        </w:rPr>
        <w:t>)</w:t>
      </w:r>
      <w:r w:rsidR="00391CF0" w:rsidRPr="0065414C">
        <w:rPr>
          <w:rFonts w:cs="Arial"/>
          <w:color w:val="auto"/>
          <w:sz w:val="2"/>
          <w:szCs w:val="2"/>
        </w:rPr>
        <w:t>0F</w:t>
      </w:r>
      <w:r w:rsidR="00391CF0" w:rsidRPr="0065414C">
        <w:rPr>
          <w:rStyle w:val="FootnoteReference"/>
          <w:rFonts w:cs="Arial"/>
        </w:rPr>
        <w:footnoteReference w:id="1"/>
      </w:r>
      <w:r w:rsidR="00391CF0" w:rsidRPr="0065414C">
        <w:rPr>
          <w:rFonts w:cs="Arial"/>
        </w:rPr>
        <w:t>. These measures include:</w:t>
      </w:r>
    </w:p>
    <w:p w14:paraId="38AC724E" w14:textId="77777777" w:rsidR="00391CF0" w:rsidRPr="0065414C" w:rsidRDefault="00842063" w:rsidP="00391CF0">
      <w:pPr>
        <w:pStyle w:val="ListParagraph"/>
        <w:rPr>
          <w:rFonts w:cs="Arial"/>
        </w:rPr>
      </w:pPr>
      <w:r w:rsidRPr="0065414C">
        <w:rPr>
          <w:rFonts w:cs="Arial"/>
        </w:rPr>
        <w:t>Clause B10, which notes that IHPA will consult with CHC on changes that materially impact the application of the national funding model</w:t>
      </w:r>
    </w:p>
    <w:p w14:paraId="4AA9F60C" w14:textId="77777777" w:rsidR="00391CF0" w:rsidRPr="0065414C" w:rsidRDefault="00842063" w:rsidP="00391CF0">
      <w:pPr>
        <w:pStyle w:val="ListParagraph"/>
        <w:rPr>
          <w:rFonts w:cs="Arial"/>
        </w:rPr>
      </w:pPr>
      <w:r w:rsidRPr="0065414C">
        <w:rPr>
          <w:rFonts w:cs="Arial"/>
        </w:rPr>
        <w:t xml:space="preserve">Clauses B37–B40 outline a requirement that IHPA must provide a statement of impact to the Commonwealth, </w:t>
      </w:r>
      <w:proofErr w:type="gramStart"/>
      <w:r w:rsidRPr="0065414C">
        <w:rPr>
          <w:rFonts w:cs="Arial"/>
        </w:rPr>
        <w:t>states</w:t>
      </w:r>
      <w:proofErr w:type="gramEnd"/>
      <w:r w:rsidRPr="0065414C">
        <w:rPr>
          <w:rFonts w:cs="Arial"/>
        </w:rPr>
        <w:t xml:space="preserve"> and territories (via CHC) when material changes are proposed to the national funding model. This includes changes that will have a major impact on any one party or materially redistribute activity between service streams. The statement of impact must be timely in relation to the matter raised and:</w:t>
      </w:r>
    </w:p>
    <w:p w14:paraId="755110C9" w14:textId="77777777" w:rsidR="00391CF0" w:rsidRPr="0065414C" w:rsidRDefault="00842063" w:rsidP="00391CF0">
      <w:pPr>
        <w:pStyle w:val="ListL2"/>
        <w:rPr>
          <w:rFonts w:cs="Arial"/>
        </w:rPr>
      </w:pPr>
      <w:r w:rsidRPr="0065414C">
        <w:rPr>
          <w:rFonts w:cs="Arial"/>
        </w:rPr>
        <w:t>Include a risk assessment of the proposed changes or adjustments</w:t>
      </w:r>
    </w:p>
    <w:p w14:paraId="41FDD479" w14:textId="77777777" w:rsidR="00391CF0" w:rsidRPr="0065414C" w:rsidRDefault="00842063" w:rsidP="00391CF0">
      <w:pPr>
        <w:pStyle w:val="ListL2"/>
        <w:rPr>
          <w:rFonts w:cs="Arial"/>
        </w:rPr>
      </w:pPr>
      <w:r w:rsidRPr="0065414C">
        <w:rPr>
          <w:rFonts w:cs="Arial"/>
        </w:rPr>
        <w:t>Outline appropriate transition arrangements</w:t>
      </w:r>
    </w:p>
    <w:p w14:paraId="41CCFDB3" w14:textId="77777777" w:rsidR="00391CF0" w:rsidRPr="0065414C" w:rsidRDefault="00842063" w:rsidP="00391CF0">
      <w:pPr>
        <w:pStyle w:val="ListL2"/>
        <w:rPr>
          <w:rFonts w:cs="Arial"/>
        </w:rPr>
      </w:pPr>
      <w:r w:rsidRPr="0065414C">
        <w:rPr>
          <w:rFonts w:cs="Arial"/>
        </w:rPr>
        <w:t>Be informed by consultation with the parties</w:t>
      </w:r>
    </w:p>
    <w:p w14:paraId="702D8A66" w14:textId="77777777" w:rsidR="00391CF0" w:rsidRPr="0065414C" w:rsidRDefault="00842063" w:rsidP="00391CF0">
      <w:pPr>
        <w:pStyle w:val="ListL2"/>
        <w:rPr>
          <w:rFonts w:cs="Arial"/>
        </w:rPr>
      </w:pPr>
      <w:r w:rsidRPr="0065414C">
        <w:rPr>
          <w:rFonts w:cs="Arial"/>
        </w:rPr>
        <w:t>Have input from the Administrator of the National Health Funding Pool</w:t>
      </w:r>
      <w:r w:rsidR="00626152" w:rsidRPr="0065414C">
        <w:rPr>
          <w:rFonts w:cs="Arial"/>
        </w:rPr>
        <w:t>.</w:t>
      </w:r>
    </w:p>
    <w:p w14:paraId="1E236B1C" w14:textId="77777777" w:rsidR="00DE2ED2" w:rsidRPr="0065414C" w:rsidRDefault="00842063" w:rsidP="00391CF0">
      <w:pPr>
        <w:pStyle w:val="BodyText"/>
        <w:rPr>
          <w:rFonts w:cs="Arial"/>
        </w:rPr>
      </w:pPr>
      <w:r w:rsidRPr="0065414C">
        <w:rPr>
          <w:rFonts w:cs="Arial"/>
        </w:rPr>
        <w:t xml:space="preserve">IHPA has consulted with all jurisdictions to seek feedback on the interpretation of these new clauses. </w:t>
      </w:r>
      <w:r w:rsidR="00EF63A7" w:rsidRPr="00EF63A7">
        <w:rPr>
          <w:rFonts w:cs="Arial"/>
        </w:rPr>
        <w:t xml:space="preserve">IHPA intends to implement its updated consultation approach by </w:t>
      </w:r>
      <w:proofErr w:type="gramStart"/>
      <w:r w:rsidR="00EF63A7" w:rsidRPr="00EF63A7">
        <w:rPr>
          <w:rFonts w:cs="Arial"/>
        </w:rPr>
        <w:t>December 2020, and</w:t>
      </w:r>
      <w:proofErr w:type="gramEnd"/>
      <w:r w:rsidR="00EF63A7" w:rsidRPr="00EF63A7">
        <w:rPr>
          <w:rFonts w:cs="Arial"/>
        </w:rPr>
        <w:t xml:space="preserve"> will utilise this approach to consult on the draft National Efficient Price Determination 2021–22</w:t>
      </w:r>
      <w:r w:rsidR="00626152" w:rsidRPr="0065414C">
        <w:rPr>
          <w:rFonts w:cs="Arial"/>
        </w:rPr>
        <w:t>.</w:t>
      </w:r>
    </w:p>
    <w:p w14:paraId="4FD0D4FB" w14:textId="77777777" w:rsidR="00DE2ED2" w:rsidRPr="0065414C" w:rsidRDefault="00DE2ED2" w:rsidP="00011A81">
      <w:pPr>
        <w:pStyle w:val="Heading2"/>
        <w:rPr>
          <w:rFonts w:cs="Arial"/>
        </w:rPr>
      </w:pPr>
      <w:r w:rsidRPr="0065414C">
        <w:rPr>
          <w:rFonts w:cs="Arial"/>
        </w:rPr>
        <w:br w:type="column"/>
      </w:r>
      <w:bookmarkStart w:id="36" w:name="_Toc49953739"/>
      <w:bookmarkStart w:id="37" w:name="_Toc50532297"/>
      <w:r w:rsidRPr="0065414C">
        <w:rPr>
          <w:rFonts w:cs="Arial"/>
        </w:rPr>
        <w:lastRenderedPageBreak/>
        <w:t xml:space="preserve">2.2. </w:t>
      </w:r>
      <w:r w:rsidR="00391CF0" w:rsidRPr="0065414C">
        <w:rPr>
          <w:rFonts w:cs="Arial"/>
        </w:rPr>
        <w:t>Shadow pricing periods</w:t>
      </w:r>
      <w:bookmarkEnd w:id="36"/>
      <w:bookmarkEnd w:id="37"/>
    </w:p>
    <w:p w14:paraId="198789C9" w14:textId="77777777" w:rsidR="00391CF0" w:rsidRPr="0065414C" w:rsidRDefault="00842063" w:rsidP="00391CF0">
      <w:pPr>
        <w:pStyle w:val="BodyText"/>
        <w:rPr>
          <w:rFonts w:cs="Arial"/>
        </w:rPr>
      </w:pPr>
      <w:r w:rsidRPr="0065414C">
        <w:rPr>
          <w:rFonts w:cs="Arial"/>
        </w:rPr>
        <w:t xml:space="preserve">Clause A42 of the Addendum outlines transitional arrangements when developing new ABF classification systems or costing methodologies. Those transitional arrangements are to last two years or a period agreed with the Commonwealth and a majority of </w:t>
      </w:r>
      <w:proofErr w:type="gramStart"/>
      <w:r w:rsidRPr="0065414C">
        <w:rPr>
          <w:rFonts w:cs="Arial"/>
        </w:rPr>
        <w:t>states, and</w:t>
      </w:r>
      <w:proofErr w:type="gramEnd"/>
      <w:r w:rsidRPr="0065414C">
        <w:rPr>
          <w:rFonts w:cs="Arial"/>
        </w:rPr>
        <w:t xml:space="preserve"> include shadow pricing classification system changes or where pricing is based on a costing study. Where states and territories participate fully in shadow pricing and provide their best available data, there will be no retrospective adjustments to funding (except </w:t>
      </w:r>
      <w:proofErr w:type="gramStart"/>
      <w:r w:rsidRPr="0065414C">
        <w:rPr>
          <w:rFonts w:cs="Arial"/>
        </w:rPr>
        <w:t>as a result of</w:t>
      </w:r>
      <w:proofErr w:type="gramEnd"/>
      <w:r w:rsidRPr="0065414C">
        <w:rPr>
          <w:rFonts w:cs="Arial"/>
        </w:rPr>
        <w:t xml:space="preserve"> service volume reconciliations).</w:t>
      </w:r>
    </w:p>
    <w:p w14:paraId="7FBDAD5F" w14:textId="77777777" w:rsidR="00391CF0" w:rsidRPr="0065414C" w:rsidRDefault="00842063" w:rsidP="00391CF0">
      <w:pPr>
        <w:pStyle w:val="BodyText"/>
        <w:rPr>
          <w:rFonts w:cs="Arial"/>
        </w:rPr>
      </w:pPr>
      <w:r w:rsidRPr="0065414C">
        <w:rPr>
          <w:rFonts w:cs="Arial"/>
        </w:rPr>
        <w:t xml:space="preserve">Other changes to the Addendum include a requirement that IHPA develop business rules and a process around retrospective adjustments. That includes ensuring the </w:t>
      </w:r>
      <w:proofErr w:type="gramStart"/>
      <w:r w:rsidRPr="0065414C">
        <w:rPr>
          <w:rFonts w:cs="Arial"/>
        </w:rPr>
        <w:t>45 day</w:t>
      </w:r>
      <w:proofErr w:type="gramEnd"/>
      <w:r w:rsidRPr="0065414C">
        <w:rPr>
          <w:rFonts w:cs="Arial"/>
        </w:rPr>
        <w:t xml:space="preserve"> consultation period with the Commonwealth, states and territories prior to any decision on retrospective adjustments being made. It also notes the above requirement for provision a statement of impact from IHPA to all impacted parties</w:t>
      </w:r>
      <w:r w:rsidR="00983BD0" w:rsidRPr="0065414C">
        <w:rPr>
          <w:rFonts w:cs="Arial"/>
        </w:rPr>
        <w:t>.</w:t>
      </w:r>
    </w:p>
    <w:p w14:paraId="2AB10F0C" w14:textId="77777777" w:rsidR="00391CF0" w:rsidRPr="0065414C" w:rsidRDefault="00842063" w:rsidP="00391CF0">
      <w:pPr>
        <w:pStyle w:val="BodyText"/>
        <w:rPr>
          <w:rFonts w:cs="Arial"/>
        </w:rPr>
      </w:pPr>
      <w:r w:rsidRPr="0065414C">
        <w:rPr>
          <w:rFonts w:cs="Arial"/>
        </w:rPr>
        <w:t>IHPA has consulted with jurisdictions to develop business rules and parameters for determining the significance and impact of classification and costing changes. Areas of consultation included</w:t>
      </w:r>
      <w:r w:rsidR="00983BD0" w:rsidRPr="0065414C">
        <w:rPr>
          <w:rFonts w:cs="Arial"/>
        </w:rPr>
        <w:t>:</w:t>
      </w:r>
    </w:p>
    <w:p w14:paraId="659B0ACF" w14:textId="77777777" w:rsidR="00391CF0" w:rsidRPr="0065414C" w:rsidRDefault="00842063" w:rsidP="00391CF0">
      <w:pPr>
        <w:pStyle w:val="ListParagraph"/>
        <w:rPr>
          <w:rFonts w:cs="Arial"/>
        </w:rPr>
      </w:pPr>
      <w:r w:rsidRPr="0065414C">
        <w:rPr>
          <w:rFonts w:cs="Arial"/>
        </w:rPr>
        <w:t>Consideration of what constitutes ‘full participation’ and ‘best available data’</w:t>
      </w:r>
    </w:p>
    <w:p w14:paraId="07FAA409" w14:textId="77777777" w:rsidR="00391CF0" w:rsidRPr="0065414C" w:rsidRDefault="00842063" w:rsidP="00391CF0">
      <w:pPr>
        <w:pStyle w:val="ListParagraph"/>
        <w:rPr>
          <w:rFonts w:cs="Arial"/>
        </w:rPr>
      </w:pPr>
      <w:r w:rsidRPr="0065414C">
        <w:rPr>
          <w:rFonts w:cs="Arial"/>
        </w:rPr>
        <w:t>What constitutes ‘materiality’ and therefore consultation with CHC</w:t>
      </w:r>
    </w:p>
    <w:p w14:paraId="357391E9" w14:textId="77777777" w:rsidR="00391CF0" w:rsidRPr="0065414C" w:rsidRDefault="00842063" w:rsidP="00391CF0">
      <w:pPr>
        <w:pStyle w:val="ListParagraph"/>
        <w:rPr>
          <w:rFonts w:cs="Arial"/>
        </w:rPr>
      </w:pPr>
      <w:r w:rsidRPr="0065414C">
        <w:rPr>
          <w:rFonts w:cs="Arial"/>
        </w:rPr>
        <w:t>Timeframes for IHPA’s engagement with CHC</w:t>
      </w:r>
      <w:r w:rsidR="00391CF0" w:rsidRPr="0065414C">
        <w:rPr>
          <w:rFonts w:cs="Arial"/>
        </w:rPr>
        <w:t>.</w:t>
      </w:r>
    </w:p>
    <w:p w14:paraId="2DB16AAB" w14:textId="77777777" w:rsidR="00DE2ED2" w:rsidRPr="0065414C" w:rsidRDefault="00842063" w:rsidP="00391CF0">
      <w:pPr>
        <w:pStyle w:val="BodyText"/>
        <w:rPr>
          <w:rFonts w:cs="Arial"/>
        </w:rPr>
      </w:pPr>
      <w:r w:rsidRPr="0065414C">
        <w:rPr>
          <w:rFonts w:cs="Arial"/>
        </w:rPr>
        <w:t xml:space="preserve">IHPA will develop a new policy to address the shadow pricing and transitional arrangements. IHPA will also undertake a review of its existing policies including the </w:t>
      </w:r>
      <w:hyperlink r:id="rId35" w:history="1">
        <w:r w:rsidR="00391CF0" w:rsidRPr="0065414C">
          <w:rPr>
            <w:rStyle w:val="Hyperlink"/>
            <w:rFonts w:cs="Arial"/>
            <w:i/>
            <w:color w:val="7EC352" w:themeColor="accent1"/>
            <w:lang w:eastAsia="en-AU"/>
          </w:rPr>
          <w:t>Back-casting Policy</w:t>
        </w:r>
      </w:hyperlink>
      <w:r w:rsidR="00391CF0" w:rsidRPr="0065414C">
        <w:rPr>
          <w:rFonts w:cs="Arial"/>
          <w:color w:val="7EC352" w:themeColor="accent1"/>
        </w:rPr>
        <w:t xml:space="preserve">, </w:t>
      </w:r>
      <w:hyperlink r:id="rId36" w:history="1">
        <w:r w:rsidR="00391CF0" w:rsidRPr="0065414C">
          <w:rPr>
            <w:rStyle w:val="Hyperlink"/>
            <w:rFonts w:cs="Arial"/>
            <w:i/>
            <w:color w:val="7EC352" w:themeColor="accent1"/>
            <w:lang w:eastAsia="en-AU"/>
          </w:rPr>
          <w:t>Materiality Policy</w:t>
        </w:r>
      </w:hyperlink>
      <w:r w:rsidR="00391CF0" w:rsidRPr="0065414C">
        <w:rPr>
          <w:rFonts w:cs="Arial"/>
        </w:rPr>
        <w:t xml:space="preserve"> and </w:t>
      </w:r>
      <w:hyperlink r:id="rId37" w:history="1">
        <w:r w:rsidR="00391CF0" w:rsidRPr="0065414C">
          <w:rPr>
            <w:rStyle w:val="Hyperlink"/>
            <w:rFonts w:cs="Arial"/>
            <w:i/>
            <w:color w:val="7EC352" w:themeColor="accent1"/>
            <w:lang w:eastAsia="en-AU"/>
          </w:rPr>
          <w:t>National Pricing Model Stability Policy</w:t>
        </w:r>
      </w:hyperlink>
      <w:r w:rsidR="00391CF0" w:rsidRPr="0065414C">
        <w:rPr>
          <w:rFonts w:cs="Arial"/>
        </w:rPr>
        <w:t>.</w:t>
      </w:r>
    </w:p>
    <w:p w14:paraId="0A55DF7E" w14:textId="77777777" w:rsidR="00DE2ED2" w:rsidRPr="0065414C" w:rsidRDefault="00DE2ED2" w:rsidP="00011A81">
      <w:pPr>
        <w:pStyle w:val="Heading2"/>
        <w:rPr>
          <w:rFonts w:cs="Arial"/>
        </w:rPr>
      </w:pPr>
      <w:bookmarkStart w:id="38" w:name="_Toc49953740"/>
      <w:bookmarkStart w:id="39" w:name="_Toc50532298"/>
      <w:r w:rsidRPr="0065414C">
        <w:rPr>
          <w:rFonts w:cs="Arial"/>
        </w:rPr>
        <w:t xml:space="preserve">2.3. </w:t>
      </w:r>
      <w:r w:rsidR="00391CF0" w:rsidRPr="0065414C">
        <w:rPr>
          <w:rFonts w:cs="Arial"/>
        </w:rPr>
        <w:t>New high cost, highly specialised therapies</w:t>
      </w:r>
      <w:bookmarkEnd w:id="38"/>
      <w:bookmarkEnd w:id="39"/>
    </w:p>
    <w:p w14:paraId="1B6B8F2F" w14:textId="77777777" w:rsidR="006D6A77" w:rsidRDefault="00842063" w:rsidP="00391CF0">
      <w:pPr>
        <w:pStyle w:val="BodyText"/>
        <w:rPr>
          <w:rFonts w:cs="Arial"/>
        </w:rPr>
      </w:pPr>
      <w:r w:rsidRPr="0065414C">
        <w:rPr>
          <w:rFonts w:cs="Arial"/>
        </w:rPr>
        <w:t>Clauses C11 and C12 of the Addendum contain specific arrangements for new high cost, highly specialised therapies recommended for delivery in public hospitals by the Medic</w:t>
      </w:r>
      <w:r w:rsidR="006D6A77">
        <w:rPr>
          <w:rFonts w:cs="Arial"/>
        </w:rPr>
        <w:t>al Services Advisory Committee.</w:t>
      </w:r>
    </w:p>
    <w:p w14:paraId="0860D093" w14:textId="77777777" w:rsidR="006D6A77" w:rsidRDefault="006D6A77" w:rsidP="00391CF0">
      <w:pPr>
        <w:pStyle w:val="BodyText"/>
        <w:rPr>
          <w:rFonts w:cs="Arial"/>
        </w:rPr>
      </w:pPr>
    </w:p>
    <w:p w14:paraId="052E4A5C" w14:textId="77777777" w:rsidR="00391CF0" w:rsidRPr="0065414C" w:rsidRDefault="00842063" w:rsidP="00391CF0">
      <w:pPr>
        <w:pStyle w:val="BodyText"/>
        <w:rPr>
          <w:rFonts w:cs="Arial"/>
        </w:rPr>
      </w:pPr>
      <w:r w:rsidRPr="0065414C">
        <w:rPr>
          <w:rFonts w:cs="Arial"/>
        </w:rPr>
        <w:t>These arrangements include</w:t>
      </w:r>
      <w:r w:rsidR="00983BD0" w:rsidRPr="0065414C">
        <w:rPr>
          <w:rFonts w:cs="Arial"/>
        </w:rPr>
        <w:t>:</w:t>
      </w:r>
    </w:p>
    <w:p w14:paraId="5BE74C50" w14:textId="77777777" w:rsidR="00391CF0" w:rsidRPr="0065414C" w:rsidRDefault="00842063" w:rsidP="00391CF0">
      <w:pPr>
        <w:pStyle w:val="ListParagraph"/>
        <w:rPr>
          <w:rFonts w:cs="Arial"/>
        </w:rPr>
      </w:pPr>
      <w:r w:rsidRPr="0065414C">
        <w:rPr>
          <w:rFonts w:cs="Arial"/>
        </w:rPr>
        <w:t>The Commonwealth will provide a contribution of 50 per cent of the growth in the efficient price or cost (including ancillary services), instead of 45 per cent</w:t>
      </w:r>
      <w:r w:rsidR="00860863">
        <w:rPr>
          <w:rFonts w:cs="Arial"/>
        </w:rPr>
        <w:t>.</w:t>
      </w:r>
    </w:p>
    <w:p w14:paraId="53678F4C" w14:textId="77777777" w:rsidR="00391CF0" w:rsidRPr="0065414C" w:rsidRDefault="00842063" w:rsidP="00391CF0">
      <w:pPr>
        <w:pStyle w:val="ListParagraph"/>
        <w:rPr>
          <w:rFonts w:cs="Arial"/>
        </w:rPr>
      </w:pPr>
      <w:r w:rsidRPr="0065414C">
        <w:rPr>
          <w:rFonts w:cs="Arial"/>
        </w:rPr>
        <w:t>They will be exempt from the national funding cap for a period of two years from the commencement of service delivery of the new treatment</w:t>
      </w:r>
      <w:r w:rsidR="00983BD0" w:rsidRPr="0065414C">
        <w:rPr>
          <w:rFonts w:cs="Arial"/>
        </w:rPr>
        <w:t>.</w:t>
      </w:r>
    </w:p>
    <w:p w14:paraId="46F14893" w14:textId="77777777" w:rsidR="00391CF0" w:rsidRPr="0065414C" w:rsidRDefault="00842063" w:rsidP="00391CF0">
      <w:pPr>
        <w:pStyle w:val="BodyText"/>
        <w:rPr>
          <w:rFonts w:cs="Arial"/>
        </w:rPr>
      </w:pPr>
      <w:r w:rsidRPr="0065414C">
        <w:rPr>
          <w:rFonts w:cs="Arial"/>
        </w:rPr>
        <w:t>IHPA and the National Health Funding Body have a process for funding of chimeric antigen receptor (CAR-T cell) therapy under similar arrangements, which is available on</w:t>
      </w:r>
      <w:r w:rsidR="00983BD0" w:rsidRPr="0065414C">
        <w:rPr>
          <w:rFonts w:cs="Arial"/>
        </w:rPr>
        <w:t xml:space="preserve"> </w:t>
      </w:r>
      <w:hyperlink r:id="rId38" w:history="1">
        <w:r w:rsidR="00391CF0" w:rsidRPr="0065414C">
          <w:rPr>
            <w:rStyle w:val="Hyperlink"/>
            <w:rFonts w:cs="Arial"/>
            <w:i/>
            <w:color w:val="7EC352" w:themeColor="accent1"/>
            <w:lang w:eastAsia="en-AU"/>
          </w:rPr>
          <w:t>IHPA’s website</w:t>
        </w:r>
      </w:hyperlink>
      <w:r w:rsidR="00391CF0" w:rsidRPr="0065414C">
        <w:rPr>
          <w:rFonts w:cs="Arial"/>
        </w:rPr>
        <w:t xml:space="preserve">. </w:t>
      </w:r>
      <w:r w:rsidRPr="0065414C">
        <w:rPr>
          <w:rFonts w:cs="Arial"/>
        </w:rPr>
        <w:t>This method could be utilised for other new highly specialised therapies</w:t>
      </w:r>
      <w:r w:rsidR="00983BD0" w:rsidRPr="0065414C">
        <w:rPr>
          <w:rFonts w:cs="Arial"/>
        </w:rPr>
        <w:t>.</w:t>
      </w:r>
    </w:p>
    <w:p w14:paraId="317A13CF" w14:textId="77777777" w:rsidR="00DE2ED2" w:rsidRPr="0065414C" w:rsidRDefault="00842063" w:rsidP="00391CF0">
      <w:pPr>
        <w:pStyle w:val="BodyText"/>
        <w:rPr>
          <w:rFonts w:cs="Arial"/>
        </w:rPr>
      </w:pPr>
      <w:r w:rsidRPr="0065414C">
        <w:rPr>
          <w:rFonts w:cs="Arial"/>
        </w:rPr>
        <w:t xml:space="preserve">IHPA will work with jurisdictions to develop an approach for funding new high cost, highly specialised therapies. As part of this process, IHPA will review the </w:t>
      </w:r>
      <w:hyperlink r:id="rId39" w:history="1">
        <w:r w:rsidR="00391CF0" w:rsidRPr="0065414C">
          <w:rPr>
            <w:rStyle w:val="Hyperlink"/>
            <w:rFonts w:cs="Arial"/>
            <w:i/>
            <w:color w:val="7EC352" w:themeColor="accent1"/>
          </w:rPr>
          <w:t>Impact of New Health Technology Framework</w:t>
        </w:r>
      </w:hyperlink>
      <w:r w:rsidR="00391CF0" w:rsidRPr="0065414C">
        <w:rPr>
          <w:rFonts w:cs="Arial"/>
        </w:rPr>
        <w:t xml:space="preserve"> </w:t>
      </w:r>
      <w:r w:rsidRPr="0065414C">
        <w:rPr>
          <w:rFonts w:cs="Arial"/>
        </w:rPr>
        <w:t>to outline the process for incorporating new high cost, highly specialised treatments into the classification systems and the pricing model</w:t>
      </w:r>
      <w:r w:rsidR="00983BD0" w:rsidRPr="0065414C">
        <w:rPr>
          <w:rFonts w:cs="Arial"/>
        </w:rPr>
        <w:t>.</w:t>
      </w:r>
    </w:p>
    <w:p w14:paraId="3356AEF6" w14:textId="77777777" w:rsidR="00DE2ED2" w:rsidRPr="0065414C" w:rsidRDefault="00DE2ED2" w:rsidP="00011A81">
      <w:pPr>
        <w:pStyle w:val="Heading2"/>
        <w:rPr>
          <w:rFonts w:cs="Arial"/>
        </w:rPr>
      </w:pPr>
      <w:bookmarkStart w:id="40" w:name="_Toc49953741"/>
      <w:bookmarkStart w:id="41" w:name="_Toc50532299"/>
      <w:r w:rsidRPr="0065414C">
        <w:rPr>
          <w:rFonts w:cs="Arial"/>
        </w:rPr>
        <w:t>2.4. Other issues arising from the Addendum</w:t>
      </w:r>
      <w:bookmarkEnd w:id="40"/>
      <w:bookmarkEnd w:id="41"/>
    </w:p>
    <w:p w14:paraId="1F82E724" w14:textId="77777777" w:rsidR="00391CF0" w:rsidRPr="0065414C" w:rsidRDefault="00842063" w:rsidP="00391CF0">
      <w:pPr>
        <w:pStyle w:val="BodyText"/>
        <w:rPr>
          <w:rFonts w:cs="Arial"/>
        </w:rPr>
      </w:pPr>
      <w:r w:rsidRPr="0065414C">
        <w:rPr>
          <w:rFonts w:cs="Arial"/>
        </w:rPr>
        <w:t>The Addendum provides direction on issues relating to the funding for private patients in public hospitals. This is discussed in detail in Chapter 6.</w:t>
      </w:r>
    </w:p>
    <w:p w14:paraId="7BEA0666" w14:textId="77777777" w:rsidR="00DE2ED2" w:rsidRPr="0065414C" w:rsidRDefault="00842063" w:rsidP="00391CF0">
      <w:pPr>
        <w:pStyle w:val="BodyText"/>
        <w:rPr>
          <w:rFonts w:cs="Arial"/>
        </w:rPr>
        <w:sectPr w:rsidR="00DE2ED2" w:rsidRPr="0065414C" w:rsidSect="006D53C3">
          <w:type w:val="continuous"/>
          <w:pgSz w:w="11910" w:h="16840"/>
          <w:pgMar w:top="1440" w:right="1440" w:bottom="1440" w:left="1440" w:header="0" w:footer="656" w:gutter="0"/>
          <w:cols w:num="2" w:space="340"/>
        </w:sectPr>
      </w:pPr>
      <w:r w:rsidRPr="0065414C">
        <w:rPr>
          <w:rFonts w:cs="Arial"/>
        </w:rPr>
        <w:t>The Addendum also stipulates requirements for a pricing model for reducing avoidable hospital readmissions. This is discussed in detail in Chapter 11</w:t>
      </w:r>
      <w:r w:rsidR="00DE2ED2" w:rsidRPr="0065414C">
        <w:rPr>
          <w:rFonts w:cs="Arial"/>
        </w:rPr>
        <w:t>.</w:t>
      </w:r>
    </w:p>
    <w:p w14:paraId="5C046B58" w14:textId="77777777" w:rsidR="00F83327" w:rsidRPr="0065414C" w:rsidRDefault="00F83327" w:rsidP="005B7291">
      <w:pPr>
        <w:pStyle w:val="SectionNumber"/>
      </w:pPr>
      <w:bookmarkStart w:id="42" w:name="_3_Scope_of"/>
      <w:bookmarkStart w:id="43" w:name="_Toc49953742"/>
      <w:bookmarkEnd w:id="42"/>
      <w:r w:rsidRPr="0065414C">
        <w:lastRenderedPageBreak/>
        <w:drawing>
          <wp:anchor distT="0" distB="0" distL="114300" distR="114300" simplePos="0" relativeHeight="251658240" behindDoc="1" locked="0" layoutInCell="1" allowOverlap="1" wp14:anchorId="2F51CA2A" wp14:editId="6FC56F1E">
            <wp:simplePos x="0" y="0"/>
            <wp:positionH relativeFrom="margin">
              <wp:posOffset>-914400</wp:posOffset>
            </wp:positionH>
            <wp:positionV relativeFrom="page">
              <wp:posOffset>954157</wp:posOffset>
            </wp:positionV>
            <wp:extent cx="5462269" cy="3577466"/>
            <wp:effectExtent l="0" t="0" r="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5462269" cy="3577466"/>
                    </a:xfrm>
                    <a:prstGeom prst="rect">
                      <a:avLst/>
                    </a:prstGeom>
                    <a:noFill/>
                    <a:ln>
                      <a:noFill/>
                    </a:ln>
                  </pic:spPr>
                </pic:pic>
              </a:graphicData>
            </a:graphic>
          </wp:anchor>
        </w:drawing>
      </w:r>
      <w:r w:rsidRPr="0065414C">
        <w:t>3</w:t>
      </w:r>
      <w:bookmarkEnd w:id="43"/>
    </w:p>
    <w:p w14:paraId="3096E536" w14:textId="77777777" w:rsidR="00F83327" w:rsidRPr="0065414C" w:rsidRDefault="00391CF0" w:rsidP="005B7291">
      <w:pPr>
        <w:pStyle w:val="Sectionheader"/>
        <w:sectPr w:rsidR="00F83327" w:rsidRPr="0065414C" w:rsidSect="008613E1">
          <w:headerReference w:type="default" r:id="rId41"/>
          <w:footerReference w:type="default" r:id="rId42"/>
          <w:pgSz w:w="11910" w:h="16840"/>
          <w:pgMar w:top="3970" w:right="1440" w:bottom="1440" w:left="1440" w:header="0" w:footer="656" w:gutter="0"/>
          <w:cols w:space="720"/>
        </w:sectPr>
      </w:pPr>
      <w:bookmarkStart w:id="44" w:name="_Toc49953743"/>
      <w:bookmarkStart w:id="45" w:name="_Toc50532300"/>
      <w:r w:rsidRPr="0065414C">
        <w:t>Impact of COVID-</w:t>
      </w:r>
      <w:r w:rsidR="00335888" w:rsidRPr="0065414C">
        <w:t>19</w:t>
      </w:r>
      <w:bookmarkEnd w:id="44"/>
      <w:bookmarkEnd w:id="45"/>
    </w:p>
    <w:p w14:paraId="27E42515" w14:textId="77777777" w:rsidR="00C415F5" w:rsidRPr="0065414C" w:rsidRDefault="005907C8" w:rsidP="00335888">
      <w:pPr>
        <w:pStyle w:val="Heading1"/>
        <w:ind w:left="1418" w:right="99" w:hanging="1191"/>
        <w:rPr>
          <w:rFonts w:cs="Arial"/>
        </w:rPr>
      </w:pPr>
      <w:bookmarkStart w:id="46" w:name="_Toc45809587"/>
      <w:bookmarkStart w:id="47" w:name="_Toc49953744"/>
      <w:r w:rsidRPr="0065414C">
        <w:rPr>
          <w:rFonts w:cs="Arial"/>
          <w:noProof/>
          <w:color w:val="FFFFFF" w:themeColor="background1"/>
          <w:lang w:eastAsia="en-AU" w:bidi="ar-SA"/>
        </w:rPr>
        <w:lastRenderedPageBreak/>
        <w:drawing>
          <wp:anchor distT="0" distB="0" distL="114300" distR="114300" simplePos="0" relativeHeight="251634688" behindDoc="1" locked="0" layoutInCell="1" allowOverlap="1" wp14:anchorId="0444C524" wp14:editId="5D4BB7A4">
            <wp:simplePos x="0" y="0"/>
            <wp:positionH relativeFrom="column">
              <wp:posOffset>-914400</wp:posOffset>
            </wp:positionH>
            <wp:positionV relativeFrom="page">
              <wp:posOffset>667910</wp:posOffset>
            </wp:positionV>
            <wp:extent cx="1685424" cy="946149"/>
            <wp:effectExtent l="0" t="0" r="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685424" cy="946149"/>
                    </a:xfrm>
                    <a:prstGeom prst="rect">
                      <a:avLst/>
                    </a:prstGeom>
                    <a:noFill/>
                    <a:ln>
                      <a:noFill/>
                    </a:ln>
                  </pic:spPr>
                </pic:pic>
              </a:graphicData>
            </a:graphic>
          </wp:anchor>
        </w:drawing>
      </w:r>
      <w:r w:rsidR="00B23364" w:rsidRPr="0065414C">
        <w:rPr>
          <w:rFonts w:cs="Arial"/>
          <w:color w:val="FFFFFF" w:themeColor="background1"/>
        </w:rPr>
        <w:t>3</w:t>
      </w:r>
      <w:r w:rsidR="00B23364" w:rsidRPr="0065414C">
        <w:rPr>
          <w:rFonts w:cs="Arial"/>
        </w:rPr>
        <w:tab/>
      </w:r>
      <w:r w:rsidR="00D32313" w:rsidRPr="0065414C">
        <w:rPr>
          <w:rFonts w:cs="Arial"/>
        </w:rPr>
        <w:tab/>
      </w:r>
      <w:r w:rsidR="00391CF0" w:rsidRPr="0065414C">
        <w:rPr>
          <w:rFonts w:cs="Arial"/>
        </w:rPr>
        <w:t>Impact of COVID-</w:t>
      </w:r>
      <w:r w:rsidR="00335888" w:rsidRPr="0065414C">
        <w:rPr>
          <w:rFonts w:cs="Arial"/>
        </w:rPr>
        <w:t>19</w:t>
      </w:r>
      <w:bookmarkEnd w:id="46"/>
      <w:bookmarkEnd w:id="47"/>
    </w:p>
    <w:p w14:paraId="766F4FA5" w14:textId="77777777" w:rsidR="00C415F5" w:rsidRPr="0065414C" w:rsidRDefault="00B9422E" w:rsidP="003932A6">
      <w:pPr>
        <w:pStyle w:val="BodyText"/>
        <w:rPr>
          <w:rFonts w:cs="Arial"/>
        </w:rPr>
      </w:pPr>
      <w:r w:rsidRPr="0065414C">
        <w:rPr>
          <w:rFonts w:cs="Arial"/>
          <w:noProof/>
          <w:lang w:eastAsia="en-AU" w:bidi="ar-SA"/>
        </w:rPr>
        <w:drawing>
          <wp:anchor distT="0" distB="0" distL="114300" distR="114300" simplePos="0" relativeHeight="251691008" behindDoc="0" locked="1" layoutInCell="1" allowOverlap="1" wp14:anchorId="3CD0E5F2" wp14:editId="746A2853">
            <wp:simplePos x="0" y="0"/>
            <wp:positionH relativeFrom="column">
              <wp:posOffset>3132013</wp:posOffset>
            </wp:positionH>
            <wp:positionV relativeFrom="paragraph">
              <wp:posOffset>417830</wp:posOffset>
            </wp:positionV>
            <wp:extent cx="241200" cy="216000"/>
            <wp:effectExtent l="0" t="0" r="6985" b="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1200" cy="216000"/>
                    </a:xfrm>
                    <a:prstGeom prst="rect">
                      <a:avLst/>
                    </a:prstGeom>
                  </pic:spPr>
                </pic:pic>
              </a:graphicData>
            </a:graphic>
            <wp14:sizeRelH relativeFrom="margin">
              <wp14:pctWidth>0</wp14:pctWidth>
            </wp14:sizeRelH>
            <wp14:sizeRelV relativeFrom="margin">
              <wp14:pctHeight>0</wp14:pctHeight>
            </wp14:sizeRelV>
          </wp:anchor>
        </w:drawing>
      </w:r>
      <w:r w:rsidRPr="0065414C">
        <w:rPr>
          <w:rFonts w:cs="Arial"/>
          <w:noProof/>
          <w:lang w:eastAsia="en-AU" w:bidi="ar-SA"/>
        </w:rPr>
        <mc:AlternateContent>
          <mc:Choice Requires="wps">
            <w:drawing>
              <wp:anchor distT="0" distB="0" distL="0" distR="0" simplePos="0" relativeHeight="251672576" behindDoc="1" locked="0" layoutInCell="1" allowOverlap="1" wp14:anchorId="1933617F" wp14:editId="74B2195A">
                <wp:simplePos x="0" y="0"/>
                <wp:positionH relativeFrom="margin">
                  <wp:align>right</wp:align>
                </wp:positionH>
                <wp:positionV relativeFrom="paragraph">
                  <wp:posOffset>257396</wp:posOffset>
                </wp:positionV>
                <wp:extent cx="2743200" cy="2377440"/>
                <wp:effectExtent l="0" t="0" r="19050" b="22860"/>
                <wp:wrapTopAndBottom/>
                <wp:docPr id="63" name="Text Box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377440"/>
                        </a:xfrm>
                        <a:prstGeom prst="rect">
                          <a:avLst/>
                        </a:prstGeom>
                        <a:noFill/>
                        <a:ln w="9525">
                          <a:solidFill>
                            <a:schemeClr val="tx2">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95CD634" w14:textId="5272F693" w:rsidR="001C5C18" w:rsidRPr="005470B1" w:rsidRDefault="001C5C18" w:rsidP="003D6550">
                            <w:pPr>
                              <w:pStyle w:val="Questionheading"/>
                            </w:pPr>
                            <w:bookmarkStart w:id="48" w:name="Question10"/>
                            <w:r w:rsidRPr="005470B1">
                              <w:t>Consultation questions</w:t>
                            </w:r>
                          </w:p>
                          <w:bookmarkEnd w:id="48"/>
                          <w:p w14:paraId="09926894" w14:textId="77777777" w:rsidR="001C5C18" w:rsidRDefault="001C5C18" w:rsidP="003D6550">
                            <w:pPr>
                              <w:pStyle w:val="ListParagraph"/>
                              <w:ind w:left="566" w:right="283"/>
                            </w:pPr>
                            <w:r>
                              <w:t>What changes have occurred to service delivery, activity levels and models of care as a result of COVID-19?</w:t>
                            </w:r>
                          </w:p>
                          <w:p w14:paraId="50C2A784" w14:textId="77777777" w:rsidR="001C5C18" w:rsidRDefault="001C5C18" w:rsidP="003D6550">
                            <w:pPr>
                              <w:pStyle w:val="ListParagraph"/>
                              <w:ind w:left="566" w:right="283"/>
                            </w:pPr>
                            <w:r>
                              <w:t>How will these changes affect the costs of these services in the short and long term?</w:t>
                            </w:r>
                          </w:p>
                          <w:p w14:paraId="56A1642B" w14:textId="77777777" w:rsidR="001C5C18" w:rsidRDefault="001C5C18" w:rsidP="003D6550">
                            <w:pPr>
                              <w:pStyle w:val="ListParagraph"/>
                              <w:ind w:left="566" w:right="283"/>
                            </w:pPr>
                            <w:r>
                              <w:t>What aspects of the national pricing model will IHPA need to consider adapting to reflect changes in service delivery and models of care?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3617F" id="Text Box 29" o:spid="_x0000_s1027" type="#_x0000_t202" alt="&quot;&quot;" style="position:absolute;margin-left:164.8pt;margin-top:20.25pt;width:3in;height:187.2pt;z-index:-25164390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" filled="f" strokecolor="#003e2d [3215]">
                <v:textbox inset="0,0,0,0">
                  <w:txbxContent>
                    <w:p w14:paraId="495CD634" w14:textId="5272F693" w:rsidR="001C5C18" w:rsidRPr="005470B1" w:rsidRDefault="001C5C18" w:rsidP="003D6550">
                      <w:pPr>
                        <w:pStyle w:val="Questionheading"/>
                      </w:pPr>
                      <w:bookmarkStart w:id="49" w:name="Question10"/>
                      <w:r w:rsidRPr="005470B1">
                        <w:t>Consultation questions</w:t>
                      </w:r>
                    </w:p>
                    <w:bookmarkEnd w:id="49"/>
                    <w:p w14:paraId="09926894" w14:textId="77777777" w:rsidR="001C5C18" w:rsidRDefault="001C5C18" w:rsidP="003D6550">
                      <w:pPr>
                        <w:pStyle w:val="ListParagraph"/>
                        <w:ind w:left="566" w:right="283"/>
                      </w:pPr>
                      <w:r>
                        <w:t>What changes have occurred to service delivery, activity levels and models of care as a result of COVID-19?</w:t>
                      </w:r>
                    </w:p>
                    <w:p w14:paraId="50C2A784" w14:textId="77777777" w:rsidR="001C5C18" w:rsidRDefault="001C5C18" w:rsidP="003D6550">
                      <w:pPr>
                        <w:pStyle w:val="ListParagraph"/>
                        <w:ind w:left="566" w:right="283"/>
                      </w:pPr>
                      <w:r>
                        <w:t>How will these changes affect the costs of these services in the short and long term?</w:t>
                      </w:r>
                    </w:p>
                    <w:p w14:paraId="56A1642B" w14:textId="77777777" w:rsidR="001C5C18" w:rsidRDefault="001C5C18" w:rsidP="003D6550">
                      <w:pPr>
                        <w:pStyle w:val="ListParagraph"/>
                        <w:ind w:left="566" w:right="283"/>
                      </w:pPr>
                      <w:r>
                        <w:t>What aspects of the national pricing model will IHPA need to consider adapting to reflect changes in service delivery and models of care?</w:t>
                      </w:r>
                    </w:p>
                  </w:txbxContent>
                </v:textbox>
                <w10:wrap type="topAndBottom" anchorx="margin"/>
              </v:shape>
            </w:pict>
          </mc:Fallback>
        </mc:AlternateContent>
      </w:r>
    </w:p>
    <w:p w14:paraId="274F75EA" w14:textId="77777777" w:rsidR="00C415F5" w:rsidRPr="0065414C" w:rsidRDefault="00C415F5">
      <w:pPr>
        <w:rPr>
          <w:rFonts w:cs="Arial"/>
          <w:sz w:val="20"/>
        </w:rPr>
        <w:sectPr w:rsidR="00C415F5" w:rsidRPr="0065414C" w:rsidSect="00342612">
          <w:headerReference w:type="default" r:id="rId45"/>
          <w:pgSz w:w="11910" w:h="16840"/>
          <w:pgMar w:top="1440" w:right="1440" w:bottom="1440" w:left="1440" w:header="0" w:footer="656" w:gutter="0"/>
          <w:cols w:space="720"/>
        </w:sectPr>
      </w:pPr>
    </w:p>
    <w:p w14:paraId="2E6B46FC" w14:textId="77777777" w:rsidR="00A00E05" w:rsidRPr="0065414C" w:rsidRDefault="00842063" w:rsidP="00A00E05">
      <w:pPr>
        <w:pStyle w:val="BodyText"/>
        <w:rPr>
          <w:rFonts w:cs="Arial"/>
        </w:rPr>
      </w:pPr>
      <w:r w:rsidRPr="0065414C">
        <w:rPr>
          <w:rFonts w:cs="Arial"/>
        </w:rPr>
        <w:t xml:space="preserve">Coronavirus Disease 2019 (COVID-19) has resulted in significant and potentially </w:t>
      </w:r>
      <w:proofErr w:type="gramStart"/>
      <w:r w:rsidRPr="0065414C">
        <w:rPr>
          <w:rFonts w:cs="Arial"/>
        </w:rPr>
        <w:t>long lasting</w:t>
      </w:r>
      <w:proofErr w:type="gramEnd"/>
      <w:r w:rsidRPr="0065414C">
        <w:rPr>
          <w:rFonts w:cs="Arial"/>
        </w:rPr>
        <w:t xml:space="preserve"> changes to models of care and service delivery in Australian public hospitals. It is important that these changes are adequately accounted for in the national pricing model as quickly as possible</w:t>
      </w:r>
      <w:r w:rsidR="00391CF0" w:rsidRPr="0065414C">
        <w:rPr>
          <w:rFonts w:cs="Arial"/>
        </w:rPr>
        <w:t>.</w:t>
      </w:r>
    </w:p>
    <w:p w14:paraId="648EF521" w14:textId="77777777" w:rsidR="001B2C5D" w:rsidRPr="0065414C" w:rsidRDefault="001B2C5D" w:rsidP="00011A81">
      <w:pPr>
        <w:pStyle w:val="Heading2"/>
        <w:rPr>
          <w:rFonts w:cs="Arial"/>
        </w:rPr>
      </w:pPr>
      <w:bookmarkStart w:id="50" w:name="_Toc49953745"/>
      <w:bookmarkStart w:id="51" w:name="_Toc50532301"/>
      <w:r w:rsidRPr="0065414C">
        <w:rPr>
          <w:rFonts w:cs="Arial"/>
        </w:rPr>
        <w:t>3.</w:t>
      </w:r>
      <w:r w:rsidR="00983BD0" w:rsidRPr="0065414C">
        <w:rPr>
          <w:rFonts w:cs="Arial"/>
        </w:rPr>
        <w:t>1</w:t>
      </w:r>
      <w:r w:rsidRPr="0065414C">
        <w:rPr>
          <w:rFonts w:cs="Arial"/>
        </w:rPr>
        <w:t xml:space="preserve">. </w:t>
      </w:r>
      <w:r w:rsidR="00842063" w:rsidRPr="0065414C">
        <w:rPr>
          <w:rFonts w:eastAsia="Times New Roman" w:cs="Arial"/>
          <w:iCs/>
        </w:rPr>
        <w:t>Implications of COVID-19 on the pricing of public hospital service</w:t>
      </w:r>
      <w:r w:rsidR="00FF4F1F" w:rsidRPr="0065414C">
        <w:rPr>
          <w:rFonts w:cs="Arial"/>
        </w:rPr>
        <w:t>s</w:t>
      </w:r>
      <w:bookmarkEnd w:id="50"/>
      <w:bookmarkEnd w:id="51"/>
    </w:p>
    <w:p w14:paraId="5B5EED0C" w14:textId="77777777" w:rsidR="00FF4F1F" w:rsidRPr="0065414C" w:rsidRDefault="00842063" w:rsidP="00FF4F1F">
      <w:pPr>
        <w:pStyle w:val="BodyText"/>
        <w:rPr>
          <w:rFonts w:cs="Arial"/>
        </w:rPr>
      </w:pPr>
      <w:r w:rsidRPr="0065414C">
        <w:rPr>
          <w:rFonts w:cs="Arial"/>
        </w:rPr>
        <w:t xml:space="preserve">IHPA needs to consider the impact of COVID-19 on the overall delivery of all public hospital services </w:t>
      </w:r>
      <w:proofErr w:type="gramStart"/>
      <w:r w:rsidRPr="0065414C">
        <w:rPr>
          <w:rFonts w:cs="Arial"/>
        </w:rPr>
        <w:t>in order to</w:t>
      </w:r>
      <w:proofErr w:type="gramEnd"/>
      <w:r w:rsidRPr="0065414C">
        <w:rPr>
          <w:rFonts w:cs="Arial"/>
        </w:rPr>
        <w:t xml:space="preserve"> ensure the national pricing model reflects current models of care</w:t>
      </w:r>
      <w:r w:rsidR="00983BD0" w:rsidRPr="0065414C">
        <w:rPr>
          <w:rFonts w:cs="Arial"/>
        </w:rPr>
        <w:t>.</w:t>
      </w:r>
    </w:p>
    <w:p w14:paraId="63B8BB13" w14:textId="77777777" w:rsidR="001B2C5D" w:rsidRPr="0065414C" w:rsidRDefault="00842063" w:rsidP="00FF4F1F">
      <w:pPr>
        <w:pStyle w:val="BodyText"/>
        <w:rPr>
          <w:rFonts w:cs="Arial"/>
        </w:rPr>
      </w:pPr>
      <w:r w:rsidRPr="0065414C">
        <w:rPr>
          <w:rFonts w:cs="Arial"/>
        </w:rPr>
        <w:t>IHPA will continue to work with jurisdictions to understand changes occurring in models of care. Challenges include lower patient volumes at many services potentially resulting in cost increases per patient and changes to how patients access services (for example, increased use of telehealth) and service design (for example, using nurse practitioners as triage staff for telehealth)</w:t>
      </w:r>
      <w:r w:rsidR="00983BD0" w:rsidRPr="0065414C">
        <w:rPr>
          <w:rFonts w:cs="Arial"/>
        </w:rPr>
        <w:t>.</w:t>
      </w:r>
    </w:p>
    <w:p w14:paraId="40EDC050" w14:textId="77777777" w:rsidR="00C415F5" w:rsidRPr="0065414C" w:rsidRDefault="00842063" w:rsidP="00FF4F1F">
      <w:pPr>
        <w:pStyle w:val="BodyText"/>
        <w:rPr>
          <w:rFonts w:cs="Arial"/>
        </w:rPr>
      </w:pPr>
      <w:r w:rsidRPr="0065414C">
        <w:rPr>
          <w:rFonts w:cs="Arial"/>
        </w:rPr>
        <w:t>IHPA already prices care delivered through different models. For example, hospital-in-the-home services are priced under the admitted acute care pricing model. Where non-admitted care is delivered via telehealth, it is priced under the non-admitted care pricing model. The challenge will be identifying whether cost differences exist under models of care adopted or expanded to deliver care during the COVID-19 pandemic and beyond</w:t>
      </w:r>
      <w:r w:rsidR="00983BD0" w:rsidRPr="0065414C">
        <w:rPr>
          <w:rFonts w:cs="Arial"/>
        </w:rPr>
        <w:t>.</w:t>
      </w:r>
    </w:p>
    <w:p w14:paraId="7BF792ED" w14:textId="77777777" w:rsidR="00FF4F1F" w:rsidRPr="0065414C" w:rsidRDefault="00842063" w:rsidP="00FF4F1F">
      <w:pPr>
        <w:pStyle w:val="BodyText"/>
        <w:rPr>
          <w:rFonts w:cs="Arial"/>
        </w:rPr>
      </w:pPr>
      <w:r w:rsidRPr="0065414C">
        <w:rPr>
          <w:rFonts w:cs="Arial"/>
        </w:rPr>
        <w:t xml:space="preserve">Data underpinning a given national efficient price Determination has a </w:t>
      </w:r>
      <w:proofErr w:type="gramStart"/>
      <w:r w:rsidRPr="0065414C">
        <w:rPr>
          <w:rFonts w:cs="Arial"/>
        </w:rPr>
        <w:t>three year</w:t>
      </w:r>
      <w:proofErr w:type="gramEnd"/>
      <w:r w:rsidRPr="0065414C">
        <w:rPr>
          <w:rFonts w:cs="Arial"/>
        </w:rPr>
        <w:t xml:space="preserve"> time lag. For example, for </w:t>
      </w:r>
      <w:r w:rsidRPr="0065414C">
        <w:rPr>
          <w:rFonts w:eastAsia="Arial" w:cs="Arial"/>
          <w:szCs w:val="22"/>
        </w:rPr>
        <w:t>the National Efficient Price Determination 2021–22</w:t>
      </w:r>
      <w:r w:rsidRPr="0065414C">
        <w:rPr>
          <w:rFonts w:cs="Arial"/>
        </w:rPr>
        <w:t xml:space="preserve"> IHPA will use costed activity data based on 2018–19 models of care. These costs are indexed forward to 2021–22</w:t>
      </w:r>
      <w:r w:rsidR="00983BD0" w:rsidRPr="0065414C">
        <w:rPr>
          <w:rFonts w:cs="Arial"/>
        </w:rPr>
        <w:t>.</w:t>
      </w:r>
    </w:p>
    <w:p w14:paraId="63CC9471" w14:textId="77777777" w:rsidR="00FF4F1F" w:rsidRPr="0065414C" w:rsidRDefault="00FF4F1F" w:rsidP="00FF4F1F">
      <w:pPr>
        <w:pStyle w:val="BodyText"/>
        <w:rPr>
          <w:rFonts w:cs="Arial"/>
        </w:rPr>
      </w:pPr>
    </w:p>
    <w:p w14:paraId="3A67A71E" w14:textId="77777777" w:rsidR="00FF4F1F" w:rsidRPr="0065414C" w:rsidRDefault="00FF4F1F" w:rsidP="00FF4F1F">
      <w:pPr>
        <w:pStyle w:val="BodyText"/>
        <w:rPr>
          <w:rFonts w:cs="Arial"/>
        </w:rPr>
        <w:sectPr w:rsidR="00FF4F1F" w:rsidRPr="0065414C" w:rsidSect="001311FF">
          <w:type w:val="continuous"/>
          <w:pgSz w:w="11910" w:h="16840"/>
          <w:pgMar w:top="1440" w:right="1440" w:bottom="1440" w:left="1440" w:header="720" w:footer="720" w:gutter="0"/>
          <w:cols w:num="2" w:space="340"/>
        </w:sectPr>
      </w:pPr>
    </w:p>
    <w:p w14:paraId="3582EB3D" w14:textId="77777777" w:rsidR="00D32313" w:rsidRPr="0065414C" w:rsidRDefault="00D32313" w:rsidP="005B7291">
      <w:pPr>
        <w:pStyle w:val="SectionNumber"/>
      </w:pPr>
      <w:bookmarkStart w:id="52" w:name="_4_Classifications_used"/>
      <w:bookmarkStart w:id="53" w:name="_Toc49953746"/>
      <w:bookmarkEnd w:id="52"/>
      <w:r w:rsidRPr="0065414C">
        <w:lastRenderedPageBreak/>
        <w:drawing>
          <wp:anchor distT="0" distB="0" distL="114300" distR="114300" simplePos="0" relativeHeight="251656192" behindDoc="1" locked="0" layoutInCell="1" allowOverlap="1" wp14:anchorId="448957E0" wp14:editId="63FD1426">
            <wp:simplePos x="0" y="0"/>
            <wp:positionH relativeFrom="margin">
              <wp:posOffset>-914400</wp:posOffset>
            </wp:positionH>
            <wp:positionV relativeFrom="page">
              <wp:posOffset>954157</wp:posOffset>
            </wp:positionV>
            <wp:extent cx="5462269" cy="3577465"/>
            <wp:effectExtent l="0" t="0" r="0"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5462269" cy="3577465"/>
                    </a:xfrm>
                    <a:prstGeom prst="rect">
                      <a:avLst/>
                    </a:prstGeom>
                    <a:noFill/>
                    <a:ln>
                      <a:noFill/>
                    </a:ln>
                  </pic:spPr>
                </pic:pic>
              </a:graphicData>
            </a:graphic>
          </wp:anchor>
        </w:drawing>
      </w:r>
      <w:r w:rsidRPr="0065414C">
        <w:t>4</w:t>
      </w:r>
      <w:bookmarkEnd w:id="53"/>
    </w:p>
    <w:p w14:paraId="7A87459E" w14:textId="77777777" w:rsidR="00D32313" w:rsidRPr="0065414C" w:rsidRDefault="00977E6C" w:rsidP="005B7291">
      <w:pPr>
        <w:pStyle w:val="Sectionheader"/>
        <w:sectPr w:rsidR="00D32313" w:rsidRPr="0065414C" w:rsidSect="008613E1">
          <w:headerReference w:type="default" r:id="rId47"/>
          <w:footerReference w:type="default" r:id="rId48"/>
          <w:pgSz w:w="11910" w:h="16840"/>
          <w:pgMar w:top="3970" w:right="1440" w:bottom="1440" w:left="1440" w:header="0" w:footer="656" w:gutter="0"/>
          <w:cols w:space="720"/>
        </w:sectPr>
      </w:pPr>
      <w:bookmarkStart w:id="54" w:name="_Toc49953747"/>
      <w:bookmarkStart w:id="55" w:name="_Toc50532302"/>
      <w:r w:rsidRPr="0065414C">
        <w:t>The Pricing Guidelines</w:t>
      </w:r>
      <w:bookmarkEnd w:id="54"/>
      <w:bookmarkEnd w:id="55"/>
    </w:p>
    <w:p w14:paraId="3286C306" w14:textId="77777777" w:rsidR="00C415F5" w:rsidRPr="0065414C" w:rsidRDefault="00D32313" w:rsidP="00D32313">
      <w:pPr>
        <w:pStyle w:val="Heading1"/>
        <w:ind w:left="1418" w:hanging="1191"/>
        <w:rPr>
          <w:rFonts w:cs="Arial"/>
        </w:rPr>
      </w:pPr>
      <w:bookmarkStart w:id="56" w:name="_Toc45809593"/>
      <w:bookmarkStart w:id="57" w:name="_Toc49953748"/>
      <w:r w:rsidRPr="0065414C">
        <w:rPr>
          <w:rFonts w:cs="Arial"/>
          <w:noProof/>
          <w:color w:val="FFFFFF" w:themeColor="background1"/>
          <w:lang w:eastAsia="en-AU" w:bidi="ar-SA"/>
        </w:rPr>
        <w:lastRenderedPageBreak/>
        <w:drawing>
          <wp:anchor distT="0" distB="0" distL="114300" distR="114300" simplePos="0" relativeHeight="251636736" behindDoc="1" locked="0" layoutInCell="1" allowOverlap="1" wp14:anchorId="7EFAE598" wp14:editId="7A46F8B8">
            <wp:simplePos x="0" y="0"/>
            <wp:positionH relativeFrom="column">
              <wp:posOffset>-914400</wp:posOffset>
            </wp:positionH>
            <wp:positionV relativeFrom="page">
              <wp:posOffset>652007</wp:posOffset>
            </wp:positionV>
            <wp:extent cx="1685422" cy="946149"/>
            <wp:effectExtent l="0" t="0" r="0"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1685422" cy="946149"/>
                    </a:xfrm>
                    <a:prstGeom prst="rect">
                      <a:avLst/>
                    </a:prstGeom>
                    <a:noFill/>
                    <a:ln>
                      <a:noFill/>
                    </a:ln>
                  </pic:spPr>
                </pic:pic>
              </a:graphicData>
            </a:graphic>
          </wp:anchor>
        </w:drawing>
      </w:r>
      <w:r w:rsidR="002A636F" w:rsidRPr="0065414C">
        <w:rPr>
          <w:rFonts w:cs="Arial"/>
          <w:color w:val="FFFFFF" w:themeColor="background1"/>
        </w:rPr>
        <w:t>4</w:t>
      </w:r>
      <w:r w:rsidR="00940B98" w:rsidRPr="0065414C">
        <w:rPr>
          <w:rFonts w:cs="Arial"/>
        </w:rPr>
        <w:tab/>
      </w:r>
      <w:r w:rsidRPr="0065414C">
        <w:rPr>
          <w:rFonts w:cs="Arial"/>
        </w:rPr>
        <w:tab/>
      </w:r>
      <w:r w:rsidR="00977E6C" w:rsidRPr="0065414C">
        <w:rPr>
          <w:rFonts w:cs="Arial"/>
        </w:rPr>
        <w:t>The Pricing Guidelines</w:t>
      </w:r>
      <w:bookmarkEnd w:id="56"/>
      <w:bookmarkEnd w:id="57"/>
    </w:p>
    <w:p w14:paraId="76F48422" w14:textId="77777777" w:rsidR="00C415F5" w:rsidRPr="0065414C" w:rsidRDefault="00C415F5" w:rsidP="003932A6">
      <w:pPr>
        <w:pStyle w:val="BodyText"/>
        <w:rPr>
          <w:rFonts w:cs="Arial"/>
        </w:rPr>
      </w:pPr>
    </w:p>
    <w:p w14:paraId="1D7E0D15" w14:textId="77777777" w:rsidR="00C415F5" w:rsidRPr="0065414C" w:rsidRDefault="00C415F5">
      <w:pPr>
        <w:rPr>
          <w:rFonts w:cs="Arial"/>
          <w:sz w:val="25"/>
        </w:rPr>
        <w:sectPr w:rsidR="00C415F5" w:rsidRPr="0065414C" w:rsidSect="00104482">
          <w:headerReference w:type="default" r:id="rId50"/>
          <w:pgSz w:w="11910" w:h="16840"/>
          <w:pgMar w:top="1440" w:right="1440" w:bottom="1440" w:left="1440" w:header="0" w:footer="656" w:gutter="0"/>
          <w:cols w:space="720"/>
        </w:sectPr>
      </w:pPr>
    </w:p>
    <w:p w14:paraId="07C89482" w14:textId="77777777" w:rsidR="003E0D91" w:rsidRPr="0065414C" w:rsidRDefault="003E0D91" w:rsidP="00B9422E">
      <w:pPr>
        <w:pStyle w:val="Heading2"/>
        <w:spacing w:before="0"/>
        <w:rPr>
          <w:rFonts w:cs="Arial"/>
        </w:rPr>
      </w:pPr>
      <w:bookmarkStart w:id="58" w:name="_Toc49953749"/>
      <w:bookmarkStart w:id="59" w:name="_Toc50532303"/>
      <w:r w:rsidRPr="0065414C">
        <w:rPr>
          <w:rFonts w:cs="Arial"/>
        </w:rPr>
        <w:t>4.1. The Pricing Guidelines</w:t>
      </w:r>
      <w:bookmarkEnd w:id="58"/>
      <w:bookmarkEnd w:id="59"/>
    </w:p>
    <w:p w14:paraId="34F5E358" w14:textId="77777777" w:rsidR="00977E6C" w:rsidRPr="0065414C" w:rsidRDefault="00842063" w:rsidP="00977E6C">
      <w:pPr>
        <w:pStyle w:val="BodyText"/>
        <w:rPr>
          <w:rFonts w:cs="Arial"/>
        </w:rPr>
      </w:pPr>
      <w:r w:rsidRPr="0065414C">
        <w:rPr>
          <w:rFonts w:cs="Arial"/>
        </w:rPr>
        <w:t>The decisions made by the Independent Hospital Pricing Authority (IHPA) in pricing in-scope public hospital services are evidence-based and use the latest costing and activity data supplied to IHPA by states and territories. In making these decisions, IHPA balances a range of policy objectives including improving the efficiency and accessibility of public hospital services</w:t>
      </w:r>
      <w:r w:rsidR="00983BD0" w:rsidRPr="0065414C">
        <w:rPr>
          <w:rFonts w:cs="Arial"/>
        </w:rPr>
        <w:t>.</w:t>
      </w:r>
    </w:p>
    <w:p w14:paraId="581F6F93" w14:textId="77777777" w:rsidR="00C415F5" w:rsidRPr="0065414C" w:rsidRDefault="0049377B" w:rsidP="00977E6C">
      <w:pPr>
        <w:pStyle w:val="BodyText"/>
        <w:rPr>
          <w:rFonts w:cs="Arial"/>
        </w:rPr>
      </w:pPr>
      <w:r w:rsidRPr="0065414C">
        <w:rPr>
          <w:rFonts w:cs="Arial"/>
          <w:noProof/>
          <w:lang w:eastAsia="en-AU" w:bidi="ar-SA"/>
        </w:rPr>
        <mc:AlternateContent>
          <mc:Choice Requires="wps">
            <w:drawing>
              <wp:anchor distT="0" distB="0" distL="0" distR="0" simplePos="0" relativeHeight="251673600" behindDoc="1" locked="0" layoutInCell="1" allowOverlap="1" wp14:anchorId="0FC09878" wp14:editId="6F837ABE">
                <wp:simplePos x="0" y="0"/>
                <wp:positionH relativeFrom="margin">
                  <wp:align>left</wp:align>
                </wp:positionH>
                <wp:positionV relativeFrom="paragraph">
                  <wp:posOffset>1245722</wp:posOffset>
                </wp:positionV>
                <wp:extent cx="2689200" cy="795655"/>
                <wp:effectExtent l="0" t="0" r="16510" b="23495"/>
                <wp:wrapTopAndBottom/>
                <wp:docPr id="62" name="Text Box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200" cy="795655"/>
                        </a:xfrm>
                        <a:prstGeom prst="rect">
                          <a:avLst/>
                        </a:prstGeom>
                        <a:noFill/>
                        <a:ln w="9525">
                          <a:solidFill>
                            <a:schemeClr val="accent4">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871C526" w14:textId="77777777" w:rsidR="001C5C18" w:rsidRPr="00941602" w:rsidRDefault="001C5C18" w:rsidP="00977E6C">
                            <w:pPr>
                              <w:pStyle w:val="BodyText"/>
                              <w:ind w:left="142"/>
                            </w:pPr>
                            <w:r>
                              <w:t>The Pricing Guidelines comprise the overarching, process and system design guidelines within which IHPA makes its policy decisions</w:t>
                            </w:r>
                            <w:r w:rsidRPr="00A350BE">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09878" id="Text Box 30" o:spid="_x0000_s1028" type="#_x0000_t202" alt="&quot;&quot;" style="position:absolute;margin-left:0;margin-top:98.1pt;width:211.75pt;height:62.65pt;z-index:-25164288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" filled="f" strokecolor="#412b41 [3207]">
                <v:textbox inset="0,0,0,0">
                  <w:txbxContent>
                    <w:p w14:paraId="1871C526" w14:textId="77777777" w:rsidR="001C5C18" w:rsidRPr="00941602" w:rsidRDefault="001C5C18" w:rsidP="00977E6C">
                      <w:pPr>
                        <w:pStyle w:val="BodyText"/>
                        <w:ind w:left="142"/>
                      </w:pPr>
                      <w:r>
                        <w:t>The Pricing Guidelines comprise the overarching, process and system design guidelines within which IHPA makes its policy decisions</w:t>
                      </w:r>
                      <w:r w:rsidRPr="00A350BE">
                        <w:t>.</w:t>
                      </w:r>
                    </w:p>
                  </w:txbxContent>
                </v:textbox>
                <w10:wrap type="topAndBottom" anchorx="margin"/>
              </v:shape>
            </w:pict>
          </mc:Fallback>
        </mc:AlternateContent>
      </w:r>
      <w:r w:rsidR="00842063" w:rsidRPr="0065414C">
        <w:rPr>
          <w:rFonts w:cs="Arial"/>
        </w:rPr>
        <w:t>The Pricing Guidelines signal IHPA’s commitment to transparency and accountability as it undertakes its work. They are the overarching framework within which IHPA makes its policy decisions, which are outlined in the annual Pricing Framework for Australian Public Hospital Services</w:t>
      </w:r>
      <w:r w:rsidR="00983BD0" w:rsidRPr="0065414C">
        <w:rPr>
          <w:rFonts w:cs="Arial"/>
        </w:rPr>
        <w:t>.</w:t>
      </w:r>
    </w:p>
    <w:p w14:paraId="4908349E" w14:textId="77777777" w:rsidR="003E0D91" w:rsidRPr="0065414C" w:rsidRDefault="00B222AE" w:rsidP="00977E6C">
      <w:pPr>
        <w:pStyle w:val="BodyText"/>
        <w:rPr>
          <w:rFonts w:cs="Arial"/>
        </w:rPr>
      </w:pPr>
      <w:r w:rsidRPr="0065414C">
        <w:rPr>
          <w:rFonts w:cs="Arial"/>
        </w:rPr>
        <w:t>The Pricing Guidelines are found in </w:t>
      </w:r>
      <w:r w:rsidRPr="0065414C">
        <w:rPr>
          <w:rFonts w:cs="Arial"/>
          <w:b/>
          <w:bCs/>
        </w:rPr>
        <w:t>Figure 1</w:t>
      </w:r>
      <w:r w:rsidRPr="0065414C">
        <w:rPr>
          <w:rFonts w:cs="Arial"/>
        </w:rPr>
        <w:t>.</w:t>
      </w:r>
    </w:p>
    <w:p w14:paraId="5AD75F8C" w14:textId="77777777" w:rsidR="00977E6C" w:rsidRPr="0065414C" w:rsidRDefault="00581833" w:rsidP="00977E6C">
      <w:pPr>
        <w:pStyle w:val="BodyText"/>
        <w:rPr>
          <w:rFonts w:cs="Arial"/>
        </w:rPr>
      </w:pPr>
      <w:r w:rsidRPr="0065414C">
        <w:rPr>
          <w:rFonts w:cs="Arial"/>
        </w:rPr>
        <w:t xml:space="preserve">IHPA has reviewed the Pricing Guidelines </w:t>
      </w:r>
      <w:proofErr w:type="gramStart"/>
      <w:r w:rsidRPr="0065414C">
        <w:rPr>
          <w:rFonts w:cs="Arial"/>
        </w:rPr>
        <w:t>in light of</w:t>
      </w:r>
      <w:proofErr w:type="gramEnd"/>
      <w:r w:rsidRPr="0065414C">
        <w:rPr>
          <w:rFonts w:cs="Arial"/>
        </w:rPr>
        <w:t xml:space="preserve"> the new </w:t>
      </w:r>
      <w:r w:rsidRPr="0065414C">
        <w:rPr>
          <w:rFonts w:cs="Arial"/>
          <w:szCs w:val="22"/>
        </w:rPr>
        <w:t>Addendum to the National Health Reform Agreement</w:t>
      </w:r>
      <w:r w:rsidRPr="0065414C">
        <w:rPr>
          <w:rFonts w:cs="Arial"/>
        </w:rPr>
        <w:t xml:space="preserve"> (the Addendum) and found they largely continue to reflect the principles and reforms the Addendum outlines. Examples include</w:t>
      </w:r>
      <w:r w:rsidR="00983BD0" w:rsidRPr="0065414C">
        <w:rPr>
          <w:rFonts w:cs="Arial"/>
        </w:rPr>
        <w:t>:</w:t>
      </w:r>
    </w:p>
    <w:p w14:paraId="13796903" w14:textId="77777777" w:rsidR="003E0D91" w:rsidRPr="0065414C" w:rsidRDefault="00581833" w:rsidP="003E0D91">
      <w:pPr>
        <w:pStyle w:val="ListParagraph"/>
        <w:rPr>
          <w:rFonts w:cs="Arial"/>
        </w:rPr>
      </w:pPr>
      <w:r w:rsidRPr="0065414C">
        <w:rPr>
          <w:rFonts w:cs="Arial"/>
          <w:b/>
        </w:rPr>
        <w:t>Transparency</w:t>
      </w:r>
      <w:r w:rsidRPr="0065414C">
        <w:rPr>
          <w:rFonts w:cs="Arial"/>
        </w:rPr>
        <w:t>: The Addendum calls for IHPA to expand its consultation program to ensure states, territories and the Commonwealth have a clear understanding of the pricing decisions IHPA makes and why</w:t>
      </w:r>
      <w:r w:rsidR="00983BD0" w:rsidRPr="0065414C">
        <w:rPr>
          <w:rFonts w:cs="Arial"/>
        </w:rPr>
        <w:t>.</w:t>
      </w:r>
    </w:p>
    <w:p w14:paraId="33BE41D3" w14:textId="77777777" w:rsidR="003E0D91" w:rsidRPr="0065414C" w:rsidRDefault="00581833" w:rsidP="003E0D91">
      <w:pPr>
        <w:pStyle w:val="ListParagraph"/>
        <w:rPr>
          <w:rFonts w:cs="Arial"/>
        </w:rPr>
      </w:pPr>
      <w:r w:rsidRPr="0065414C">
        <w:rPr>
          <w:rFonts w:cs="Arial"/>
          <w:b/>
        </w:rPr>
        <w:t>Fostering clinical innovation</w:t>
      </w:r>
      <w:r w:rsidRPr="0065414C">
        <w:rPr>
          <w:rFonts w:cs="Arial"/>
        </w:rPr>
        <w:t>: The Addendum calls for IHPA to continue working with all stakeholders to price new and innovative models of care</w:t>
      </w:r>
      <w:r w:rsidR="00983BD0" w:rsidRPr="0065414C">
        <w:rPr>
          <w:rFonts w:cs="Arial"/>
        </w:rPr>
        <w:t>.</w:t>
      </w:r>
    </w:p>
    <w:p w14:paraId="24F01C29" w14:textId="77777777" w:rsidR="003E0D91" w:rsidRPr="0065414C" w:rsidRDefault="003E7A8F" w:rsidP="00977E6C">
      <w:pPr>
        <w:pStyle w:val="BodyText"/>
        <w:rPr>
          <w:rFonts w:cs="Arial"/>
        </w:rPr>
      </w:pPr>
      <w:r w:rsidRPr="0065414C">
        <w:rPr>
          <w:rFonts w:cs="Arial"/>
        </w:rPr>
        <w:br w:type="column"/>
      </w:r>
      <w:r w:rsidR="00581833" w:rsidRPr="0065414C">
        <w:rPr>
          <w:rFonts w:cs="Arial"/>
        </w:rPr>
        <w:t>IHPA is proposing a change to the public-private neutrality guideline to reflect the requirements of the Addendum. IHPA proposes changing it from</w:t>
      </w:r>
      <w:r w:rsidR="00983BD0" w:rsidRPr="0065414C">
        <w:rPr>
          <w:rFonts w:cs="Arial"/>
        </w:rPr>
        <w:t>:</w:t>
      </w:r>
    </w:p>
    <w:p w14:paraId="2A7528F0" w14:textId="77777777" w:rsidR="003E0D91" w:rsidRPr="0065414C" w:rsidRDefault="00983BD0" w:rsidP="000957E2">
      <w:pPr>
        <w:pStyle w:val="BodyText"/>
        <w:ind w:left="284"/>
        <w:rPr>
          <w:rFonts w:cs="Arial"/>
        </w:rPr>
      </w:pPr>
      <w:r w:rsidRPr="0065414C">
        <w:rPr>
          <w:rFonts w:cs="Arial"/>
        </w:rPr>
        <w:t>‘</w:t>
      </w:r>
      <w:r w:rsidR="00581833" w:rsidRPr="0065414C">
        <w:rPr>
          <w:rFonts w:cs="Arial"/>
          <w:i/>
        </w:rPr>
        <w:t xml:space="preserve">Activity </w:t>
      </w:r>
      <w:r w:rsidR="00B643B1">
        <w:rPr>
          <w:rFonts w:cs="Arial"/>
          <w:i/>
        </w:rPr>
        <w:t>b</w:t>
      </w:r>
      <w:r w:rsidR="00581833" w:rsidRPr="0065414C">
        <w:rPr>
          <w:rFonts w:cs="Arial"/>
          <w:i/>
        </w:rPr>
        <w:t xml:space="preserve">ased </w:t>
      </w:r>
      <w:r w:rsidR="00B643B1">
        <w:rPr>
          <w:rFonts w:cs="Arial"/>
          <w:i/>
        </w:rPr>
        <w:t>f</w:t>
      </w:r>
      <w:r w:rsidR="00581833" w:rsidRPr="0065414C">
        <w:rPr>
          <w:rFonts w:cs="Arial"/>
          <w:i/>
        </w:rPr>
        <w:t>unding (ABF) pricing should not disrupt current incentives for a person to elect to be treated as a private or a public patient in a public hospita</w:t>
      </w:r>
      <w:r w:rsidRPr="0065414C">
        <w:rPr>
          <w:rFonts w:cs="Arial"/>
          <w:i/>
        </w:rPr>
        <w:t>l</w:t>
      </w:r>
      <w:r w:rsidRPr="0065414C">
        <w:rPr>
          <w:rFonts w:cs="Arial"/>
        </w:rPr>
        <w:t>’</w:t>
      </w:r>
    </w:p>
    <w:p w14:paraId="6BB04312" w14:textId="77777777" w:rsidR="003E0D91" w:rsidRPr="0065414C" w:rsidRDefault="00983BD0" w:rsidP="000957E2">
      <w:pPr>
        <w:pStyle w:val="BodyText"/>
        <w:ind w:left="284"/>
        <w:rPr>
          <w:rFonts w:cs="Arial"/>
        </w:rPr>
      </w:pPr>
      <w:r w:rsidRPr="0065414C">
        <w:rPr>
          <w:rFonts w:cs="Arial"/>
        </w:rPr>
        <w:t>To: ‘</w:t>
      </w:r>
      <w:r w:rsidR="00B643B1">
        <w:rPr>
          <w:rFonts w:cs="Arial"/>
          <w:i/>
        </w:rPr>
        <w:t>ABF</w:t>
      </w:r>
      <w:r w:rsidR="00860863">
        <w:rPr>
          <w:rFonts w:cs="Arial"/>
          <w:i/>
        </w:rPr>
        <w:t xml:space="preserve"> </w:t>
      </w:r>
      <w:r w:rsidR="00581833" w:rsidRPr="0065414C">
        <w:rPr>
          <w:rFonts w:cs="Arial"/>
          <w:i/>
        </w:rPr>
        <w:t>pricing should ensure that there is funding neutrality for the service provider for treating a person who elects to be treated as a private or a public patient in a public hospital</w:t>
      </w:r>
      <w:r w:rsidR="00581833" w:rsidRPr="0065414C">
        <w:rPr>
          <w:rFonts w:cs="Arial"/>
        </w:rPr>
        <w:t>’</w:t>
      </w:r>
      <w:r w:rsidR="003E0D91" w:rsidRPr="0065414C">
        <w:rPr>
          <w:rFonts w:cs="Arial"/>
        </w:rPr>
        <w:t>.</w:t>
      </w:r>
    </w:p>
    <w:p w14:paraId="6409F91B" w14:textId="77777777" w:rsidR="003E0D91" w:rsidRPr="0065414C" w:rsidRDefault="00B0206B" w:rsidP="00977E6C">
      <w:pPr>
        <w:pStyle w:val="BodyText"/>
        <w:rPr>
          <w:rFonts w:cs="Arial"/>
        </w:rPr>
      </w:pPr>
      <w:r w:rsidRPr="0065414C">
        <w:rPr>
          <w:rFonts w:cs="Arial"/>
          <w:noProof/>
          <w:lang w:eastAsia="en-AU" w:bidi="ar-SA"/>
        </w:rPr>
        <w:drawing>
          <wp:anchor distT="0" distB="0" distL="114300" distR="114300" simplePos="0" relativeHeight="251653120" behindDoc="0" locked="0" layoutInCell="1" allowOverlap="1" wp14:anchorId="78230047" wp14:editId="2208BE57">
            <wp:simplePos x="0" y="0"/>
            <wp:positionH relativeFrom="column">
              <wp:posOffset>165100</wp:posOffset>
            </wp:positionH>
            <wp:positionV relativeFrom="page">
              <wp:posOffset>4363085</wp:posOffset>
            </wp:positionV>
            <wp:extent cx="239395" cy="215900"/>
            <wp:effectExtent l="0" t="0" r="8255" b="0"/>
            <wp:wrapNone/>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39395" cy="215900"/>
                    </a:xfrm>
                    <a:prstGeom prst="rect">
                      <a:avLst/>
                    </a:prstGeom>
                  </pic:spPr>
                </pic:pic>
              </a:graphicData>
            </a:graphic>
          </wp:anchor>
        </w:drawing>
      </w:r>
      <w:r w:rsidR="002B7CD8" w:rsidRPr="0065414C">
        <w:rPr>
          <w:rFonts w:cs="Arial"/>
          <w:noProof/>
          <w:lang w:eastAsia="en-AU" w:bidi="ar-SA"/>
        </w:rPr>
        <mc:AlternateContent>
          <mc:Choice Requires="wps">
            <w:drawing>
              <wp:anchor distT="0" distB="0" distL="0" distR="0" simplePos="0" relativeHeight="251625471" behindDoc="1" locked="0" layoutInCell="1" allowOverlap="1" wp14:anchorId="206D7444" wp14:editId="447AD810">
                <wp:simplePos x="0" y="0"/>
                <wp:positionH relativeFrom="margin">
                  <wp:posOffset>2971800</wp:posOffset>
                </wp:positionH>
                <wp:positionV relativeFrom="paragraph">
                  <wp:posOffset>251120</wp:posOffset>
                </wp:positionV>
                <wp:extent cx="2743200" cy="1796415"/>
                <wp:effectExtent l="0" t="0" r="19050" b="13335"/>
                <wp:wrapTopAndBottom/>
                <wp:docPr id="61" name="Text Box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796415"/>
                        </a:xfrm>
                        <a:prstGeom prst="rect">
                          <a:avLst/>
                        </a:prstGeom>
                        <a:noFill/>
                        <a:ln w="9525">
                          <a:solidFill>
                            <a:schemeClr val="accent5">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AD0288E" w14:textId="77777777" w:rsidR="001C5C18" w:rsidRPr="005470B1" w:rsidRDefault="001C5C18" w:rsidP="00977E6C">
                            <w:pPr>
                              <w:pStyle w:val="Questionheading"/>
                            </w:pPr>
                            <w:bookmarkStart w:id="60" w:name="Question12"/>
                            <w:r w:rsidRPr="005470B1">
                              <w:t>Consultation question</w:t>
                            </w:r>
                            <w:r>
                              <w:t>s</w:t>
                            </w:r>
                          </w:p>
                          <w:bookmarkEnd w:id="60"/>
                          <w:p w14:paraId="7EB0ABBF" w14:textId="77777777" w:rsidR="001C5C18" w:rsidRDefault="001C5C18" w:rsidP="00977E6C">
                            <w:pPr>
                              <w:pStyle w:val="ListParagraph"/>
                              <w:ind w:left="566" w:right="283"/>
                            </w:pPr>
                            <w:r>
                              <w:t>Are the Pricing Guidelines still relevant in providing guidance on IHPA’s role in pricing Australian public hospital services?</w:t>
                            </w:r>
                          </w:p>
                          <w:p w14:paraId="5AB9A842" w14:textId="77777777" w:rsidR="001C5C18" w:rsidRDefault="001C5C18" w:rsidP="00977E6C">
                            <w:pPr>
                              <w:pStyle w:val="ListParagraph"/>
                              <w:ind w:left="566" w:right="283"/>
                            </w:pPr>
                            <w:r>
                              <w:t>Does the change to the public-private neutrality pricing guideline accurately reflect the intent of the Addendum?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D7444" id="Text Box 31" o:spid="_x0000_s1029" type="#_x0000_t202" alt="&quot;&quot;" style="position:absolute;margin-left:234pt;margin-top:19.75pt;width:3in;height:141.45pt;z-index:-251691009;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" filled="f" strokecolor="#5f2f7e [3208]">
                <v:textbox inset="0,0,0,0">
                  <w:txbxContent>
                    <w:p w14:paraId="5AD0288E" w14:textId="77777777" w:rsidR="001C5C18" w:rsidRPr="005470B1" w:rsidRDefault="001C5C18" w:rsidP="00977E6C">
                      <w:pPr>
                        <w:pStyle w:val="Questionheading"/>
                      </w:pPr>
                      <w:bookmarkStart w:id="61" w:name="Question12"/>
                      <w:r w:rsidRPr="005470B1">
                        <w:t>Consultation question</w:t>
                      </w:r>
                      <w:r>
                        <w:t>s</w:t>
                      </w:r>
                    </w:p>
                    <w:bookmarkEnd w:id="61"/>
                    <w:p w14:paraId="7EB0ABBF" w14:textId="77777777" w:rsidR="001C5C18" w:rsidRDefault="001C5C18" w:rsidP="00977E6C">
                      <w:pPr>
                        <w:pStyle w:val="ListParagraph"/>
                        <w:ind w:left="566" w:right="283"/>
                      </w:pPr>
                      <w:r>
                        <w:t>Are the Pricing Guidelines still relevant in providing guidance on IHPA’s role in pricing Australian public hospital services?</w:t>
                      </w:r>
                    </w:p>
                    <w:p w14:paraId="5AB9A842" w14:textId="77777777" w:rsidR="001C5C18" w:rsidRDefault="001C5C18" w:rsidP="00977E6C">
                      <w:pPr>
                        <w:pStyle w:val="ListParagraph"/>
                        <w:ind w:left="566" w:right="283"/>
                      </w:pPr>
                      <w:r>
                        <w:t>Does the change to the public-private neutrality pricing guideline accurately reflect the intent of the Addendum?</w:t>
                      </w:r>
                    </w:p>
                  </w:txbxContent>
                </v:textbox>
                <w10:wrap type="topAndBottom" anchorx="margin"/>
              </v:shape>
            </w:pict>
          </mc:Fallback>
        </mc:AlternateContent>
      </w:r>
    </w:p>
    <w:p w14:paraId="6DA66C7A" w14:textId="77777777" w:rsidR="003E0D91" w:rsidRPr="0065414C" w:rsidRDefault="003E0D91" w:rsidP="00977E6C">
      <w:pPr>
        <w:pStyle w:val="BodyText"/>
        <w:rPr>
          <w:rFonts w:cs="Arial"/>
        </w:rPr>
      </w:pPr>
    </w:p>
    <w:p w14:paraId="249C8533" w14:textId="77777777" w:rsidR="003E0D91" w:rsidRPr="0065414C" w:rsidRDefault="003E0D91" w:rsidP="00977E6C">
      <w:pPr>
        <w:pStyle w:val="BodyText"/>
        <w:rPr>
          <w:rFonts w:cs="Arial"/>
        </w:rPr>
      </w:pPr>
    </w:p>
    <w:p w14:paraId="23AEB931" w14:textId="77777777" w:rsidR="00977E6C" w:rsidRPr="0065414C" w:rsidRDefault="00977E6C" w:rsidP="00977E6C">
      <w:pPr>
        <w:pStyle w:val="BodyText"/>
        <w:rPr>
          <w:rFonts w:cs="Arial"/>
        </w:rPr>
      </w:pPr>
    </w:p>
    <w:p w14:paraId="0103411B" w14:textId="77777777" w:rsidR="00977E6C" w:rsidRPr="0065414C" w:rsidRDefault="00977E6C" w:rsidP="00977E6C">
      <w:pPr>
        <w:pStyle w:val="BodyText"/>
        <w:rPr>
          <w:rFonts w:cs="Arial"/>
        </w:rPr>
        <w:sectPr w:rsidR="00977E6C" w:rsidRPr="0065414C" w:rsidSect="00971899">
          <w:type w:val="continuous"/>
          <w:pgSz w:w="11910" w:h="16840"/>
          <w:pgMar w:top="1440" w:right="1440" w:bottom="1440" w:left="1440" w:header="720" w:footer="720" w:gutter="0"/>
          <w:cols w:num="2" w:space="340"/>
        </w:sectPr>
      </w:pPr>
    </w:p>
    <w:p w14:paraId="74E5540A" w14:textId="77777777" w:rsidR="001031CF" w:rsidRPr="0065414C" w:rsidRDefault="001031CF" w:rsidP="009314EC">
      <w:pPr>
        <w:pStyle w:val="Figureheading"/>
      </w:pPr>
      <w:bookmarkStart w:id="62" w:name="_bookmark6"/>
      <w:bookmarkEnd w:id="62"/>
      <w:r w:rsidRPr="0065414C">
        <w:lastRenderedPageBreak/>
        <w:t xml:space="preserve">Figure 1: </w:t>
      </w:r>
      <w:r w:rsidR="00194354" w:rsidRPr="0065414C">
        <w:t xml:space="preserve">The </w:t>
      </w:r>
      <w:r w:rsidRPr="0065414C">
        <w:t>Pricing Guidelines</w:t>
      </w:r>
    </w:p>
    <w:p w14:paraId="1CD5FC6C" w14:textId="77777777" w:rsidR="001031CF" w:rsidRPr="0065414C" w:rsidRDefault="001031CF" w:rsidP="001031CF">
      <w:pPr>
        <w:pStyle w:val="BodyText"/>
        <w:rPr>
          <w:rFonts w:cs="Arial"/>
        </w:rPr>
        <w:sectPr w:rsidR="001031CF" w:rsidRPr="0065414C" w:rsidSect="001142D0">
          <w:headerReference w:type="default" r:id="rId52"/>
          <w:pgSz w:w="11910" w:h="16840"/>
          <w:pgMar w:top="1440" w:right="1440" w:bottom="1440" w:left="1440" w:header="0" w:footer="656" w:gutter="0"/>
          <w:cols w:space="720"/>
        </w:sectPr>
      </w:pPr>
    </w:p>
    <w:tbl>
      <w:tblPr>
        <w:tblStyle w:val="TableGrid"/>
        <w:tblW w:w="4988" w:type="pct"/>
        <w:tblBorders>
          <w:top w:val="none" w:sz="0" w:space="0" w:color="auto"/>
          <w:left w:val="none" w:sz="0" w:space="0" w:color="auto"/>
          <w:bottom w:val="none" w:sz="0" w:space="0" w:color="auto"/>
          <w:right w:val="none" w:sz="0" w:space="0" w:color="auto"/>
          <w:insideV w:val="none" w:sz="0" w:space="0" w:color="auto"/>
        </w:tblBorders>
        <w:shd w:val="clear" w:color="auto" w:fill="F2F2F2" w:themeFill="background1" w:themeFillShade="F2"/>
        <w:tblCellMar>
          <w:left w:w="170" w:type="dxa"/>
        </w:tblCellMar>
        <w:tblLook w:val="04A0" w:firstRow="1" w:lastRow="0" w:firstColumn="1" w:lastColumn="0" w:noHBand="0" w:noVBand="1"/>
        <w:tblCaption w:val="Figure 1: Pricing Guidelines"/>
        <w:tblDescription w:val="Overarching Guidelines that articulate the policy intent behind the introduction of funding reform for public hospital services comprising ABF and block grant funding: Timely–quality care: Funding should support timely access to quality health services. Efficiency: ABF should improve the value of the public investment in hospital care and ensure a sustainable and efficient network of public hospital services. Fairness: ABF payments should be fair and equitable, including being based on the same price for the same service across public, private or not-for-profit providers of public hospital services. Maintaining agreed roles and responsibilities of governments determined by the National Health Reform Agreement: Funding design should recognise the complementary responsibilities of each level of government in funding health services.&#10;Process Guidelines to guide the implementation of ABF and block grant funding arrangements: Transparency: All steps in the determination of ABF and block grant funding should be clear and transparent. Administrative ease: Funding arrangements should not unduly increase the administrative burden on hospitals and system managers. Stability: The payment relativities for ABF are consistent over time. Evidence-based: Funding should be based on best available information. System Design Guidelines to inform the options for design of ABF and block grant funding arrangements: Fostering clinical innovation: Pricing of public hospital services should respond in a timely way to introduction of evidence-based, effective new technology and innovations in the models of care that improve patient outcomes. Promoting value: Pricing should support innovative and alternative funding solutions that deliver efficient quality care with a focus on patient outcomes. Promoting harmonisation: Pricing should facilitate best practice provision of appropriate site of care. Minimising undesirable and inadvertent consequences: Funding design should minimise susceptibility to gaming, inappropriate rewards and perverse incentives. ABF pre eminence: ABF should be used for funding public hospital services wherever practicable. Single unit of measure and price equivalence: ABF pricing should support dynamic efficiency and changes to models of care with the ready transferability of funding between different care types and service streams through a single unit of measure and relative weights. Patient-based: Adjustments to the standard price should be, as far as is practicable, based on patient-related rather than provider related characteristics. Public-private neutrality: ABF pricing should ensure that there is funding neutrality for the service provider for treating a person who elects to be treated as a private or a public patient in a public hospital.&#10;"/>
      </w:tblPr>
      <w:tblGrid>
        <w:gridCol w:w="4504"/>
        <w:gridCol w:w="4504"/>
      </w:tblGrid>
      <w:tr w:rsidR="00521325" w14:paraId="063888C0" w14:textId="77777777" w:rsidTr="001C5C18">
        <w:trPr>
          <w:trHeight w:val="12614"/>
        </w:trPr>
        <w:tc>
          <w:tcPr>
            <w:tcW w:w="2500" w:type="pct"/>
            <w:shd w:val="clear" w:color="auto" w:fill="F2F2F2" w:themeFill="background1" w:themeFillShade="F2"/>
          </w:tcPr>
          <w:p w14:paraId="584172C1" w14:textId="77777777" w:rsidR="00521325" w:rsidRDefault="00521325" w:rsidP="00EB7EB7">
            <w:pPr>
              <w:pStyle w:val="BodyText"/>
              <w:rPr>
                <w:rFonts w:cs="Arial"/>
                <w:b/>
                <w:bCs/>
              </w:rPr>
            </w:pPr>
            <w:r>
              <w:rPr>
                <w:rFonts w:cs="Arial"/>
                <w:b/>
                <w:bCs/>
                <w:noProof/>
                <w:lang w:eastAsia="en-AU" w:bidi="ar-SA"/>
              </w:rPr>
              <mc:AlternateContent>
                <mc:Choice Requires="wps">
                  <w:drawing>
                    <wp:anchor distT="0" distB="0" distL="114300" distR="114300" simplePos="0" relativeHeight="251725824" behindDoc="0" locked="0" layoutInCell="1" allowOverlap="1" wp14:anchorId="286EE2C8" wp14:editId="747108F5">
                      <wp:simplePos x="0" y="0"/>
                      <wp:positionH relativeFrom="column">
                        <wp:posOffset>14604</wp:posOffset>
                      </wp:positionH>
                      <wp:positionV relativeFrom="paragraph">
                        <wp:posOffset>205105</wp:posOffset>
                      </wp:positionV>
                      <wp:extent cx="2543175" cy="0"/>
                      <wp:effectExtent l="0" t="0" r="0" b="0"/>
                      <wp:wrapNone/>
                      <wp:docPr id="35" name="Straight Connector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543175"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B94632" id="Straight Connector 35" o:spid="_x0000_s1026" alt="&quot;&quot;"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1.15pt,16.15pt" to="201.4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" strokecolor="#008f54 [3205]"/>
                  </w:pict>
                </mc:Fallback>
              </mc:AlternateContent>
            </w:r>
          </w:p>
          <w:p w14:paraId="61DC46CE" w14:textId="77777777" w:rsidR="00521325" w:rsidRPr="0065414C" w:rsidRDefault="00521325" w:rsidP="00EB7EB7">
            <w:pPr>
              <w:pStyle w:val="BodyText"/>
              <w:rPr>
                <w:rFonts w:cs="Arial"/>
              </w:rPr>
            </w:pPr>
            <w:r w:rsidRPr="0065414C">
              <w:rPr>
                <w:rFonts w:cs="Arial"/>
                <w:b/>
                <w:bCs/>
              </w:rPr>
              <w:t>Overarching Guidelines</w:t>
            </w:r>
            <w:r w:rsidRPr="0065414C">
              <w:rPr>
                <w:rFonts w:cs="Arial"/>
              </w:rPr>
              <w:t> that articulate the policy intent behind the introduction of funding reform for public hospital services comprising ABF and block grant funding:</w:t>
            </w:r>
          </w:p>
          <w:p w14:paraId="5A952DDE" w14:textId="77777777" w:rsidR="00521325" w:rsidRPr="0065414C" w:rsidRDefault="00521325" w:rsidP="00EB7EB7">
            <w:pPr>
              <w:pStyle w:val="ListParagraph"/>
              <w:numPr>
                <w:ilvl w:val="0"/>
                <w:numId w:val="1"/>
              </w:numPr>
              <w:tabs>
                <w:tab w:val="clear" w:pos="1418"/>
                <w:tab w:val="left" w:pos="1701"/>
              </w:tabs>
              <w:ind w:left="284"/>
              <w:rPr>
                <w:rFonts w:cs="Arial"/>
              </w:rPr>
            </w:pPr>
            <w:r w:rsidRPr="0065414C">
              <w:rPr>
                <w:rFonts w:cs="Arial"/>
                <w:b/>
              </w:rPr>
              <w:t>Timely-quality care</w:t>
            </w:r>
            <w:r w:rsidRPr="0065414C">
              <w:rPr>
                <w:rFonts w:cs="Arial"/>
              </w:rPr>
              <w:t>: Funding should support timely access to quality health services</w:t>
            </w:r>
            <w:r w:rsidRPr="0065414C">
              <w:rPr>
                <w:rFonts w:cs="Arial"/>
                <w:spacing w:val="2"/>
              </w:rPr>
              <w:t>.</w:t>
            </w:r>
          </w:p>
          <w:p w14:paraId="280D801B" w14:textId="77777777" w:rsidR="00521325" w:rsidRPr="0065414C" w:rsidRDefault="00521325" w:rsidP="00EB7EB7">
            <w:pPr>
              <w:pStyle w:val="ListParagraph"/>
              <w:numPr>
                <w:ilvl w:val="0"/>
                <w:numId w:val="1"/>
              </w:numPr>
              <w:tabs>
                <w:tab w:val="clear" w:pos="1418"/>
                <w:tab w:val="left" w:pos="1701"/>
              </w:tabs>
              <w:ind w:left="284"/>
              <w:rPr>
                <w:rFonts w:cs="Arial"/>
              </w:rPr>
            </w:pPr>
            <w:r w:rsidRPr="0065414C">
              <w:rPr>
                <w:rFonts w:cs="Arial"/>
                <w:b/>
              </w:rPr>
              <w:t>Efficiency</w:t>
            </w:r>
            <w:r w:rsidRPr="0065414C">
              <w:rPr>
                <w:rFonts w:cs="Arial"/>
              </w:rPr>
              <w:t>: ABF should improve the value of the public investment in hospital care and ensure a sustainable and efficient network of public hospital services.</w:t>
            </w:r>
          </w:p>
          <w:p w14:paraId="28F85936" w14:textId="77777777" w:rsidR="00521325" w:rsidRPr="0065414C" w:rsidRDefault="00521325" w:rsidP="00EB7EB7">
            <w:pPr>
              <w:pStyle w:val="ListParagraph"/>
              <w:numPr>
                <w:ilvl w:val="0"/>
                <w:numId w:val="1"/>
              </w:numPr>
              <w:tabs>
                <w:tab w:val="clear" w:pos="1418"/>
                <w:tab w:val="left" w:pos="1701"/>
              </w:tabs>
              <w:ind w:left="284"/>
              <w:rPr>
                <w:rFonts w:cs="Arial"/>
              </w:rPr>
            </w:pPr>
            <w:r w:rsidRPr="0065414C">
              <w:rPr>
                <w:rFonts w:cs="Arial"/>
                <w:b/>
              </w:rPr>
              <w:t xml:space="preserve">Fairness: </w:t>
            </w:r>
            <w:r w:rsidRPr="0065414C">
              <w:rPr>
                <w:rFonts w:cs="Arial"/>
              </w:rPr>
              <w:t>ABF payments should be fair and equitable, including being based on the same price for the same service across public, private or not-for-profit providers of public hospital services and recognise the legitimate and unavoidable costs faced by some providers of public hospital services.</w:t>
            </w:r>
          </w:p>
          <w:p w14:paraId="5A833871" w14:textId="77777777" w:rsidR="00521325" w:rsidRPr="0065414C" w:rsidRDefault="00521325" w:rsidP="00EB7EB7">
            <w:pPr>
              <w:pStyle w:val="ListParagraph"/>
              <w:numPr>
                <w:ilvl w:val="0"/>
                <w:numId w:val="1"/>
              </w:numPr>
              <w:tabs>
                <w:tab w:val="clear" w:pos="1418"/>
                <w:tab w:val="left" w:pos="1701"/>
              </w:tabs>
              <w:ind w:left="284"/>
              <w:rPr>
                <w:rFonts w:cs="Arial"/>
              </w:rPr>
            </w:pPr>
            <w:r w:rsidRPr="0065414C">
              <w:rPr>
                <w:rFonts w:cs="Arial"/>
                <w:b/>
                <w:spacing w:val="2"/>
              </w:rPr>
              <w:t xml:space="preserve">Maintaining </w:t>
            </w:r>
            <w:r w:rsidRPr="0065414C">
              <w:rPr>
                <w:rFonts w:cs="Arial"/>
                <w:b/>
              </w:rPr>
              <w:t xml:space="preserve">agreed roles and responsibilities of governments determined by </w:t>
            </w:r>
            <w:r w:rsidRPr="0065414C">
              <w:rPr>
                <w:rFonts w:cs="Arial"/>
                <w:b/>
                <w:spacing w:val="2"/>
              </w:rPr>
              <w:t xml:space="preserve">the National Health </w:t>
            </w:r>
            <w:r w:rsidRPr="0065414C">
              <w:rPr>
                <w:rFonts w:cs="Arial"/>
                <w:b/>
              </w:rPr>
              <w:t xml:space="preserve">Reform Agreement: </w:t>
            </w:r>
            <w:r w:rsidRPr="0065414C">
              <w:rPr>
                <w:rFonts w:cs="Arial"/>
              </w:rPr>
              <w:t>Funding design should recognise the complementary responsibilities of each level of government in funding health services.</w:t>
            </w:r>
          </w:p>
          <w:p w14:paraId="7719405B" w14:textId="77777777" w:rsidR="00521325" w:rsidRDefault="00521325" w:rsidP="00EB7EB7">
            <w:pPr>
              <w:pStyle w:val="BodyText"/>
              <w:rPr>
                <w:rFonts w:cs="Arial"/>
                <w:b/>
              </w:rPr>
            </w:pPr>
            <w:r>
              <w:rPr>
                <w:rFonts w:cs="Arial"/>
                <w:b/>
                <w:noProof/>
                <w:lang w:eastAsia="en-AU" w:bidi="ar-SA"/>
              </w:rPr>
              <w:drawing>
                <wp:inline distT="0" distB="0" distL="0" distR="0" wp14:anchorId="0CB2AD9C" wp14:editId="2F71886E">
                  <wp:extent cx="2548255" cy="12065"/>
                  <wp:effectExtent l="0" t="0" r="0" b="0"/>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48255" cy="12065"/>
                          </a:xfrm>
                          <a:prstGeom prst="rect">
                            <a:avLst/>
                          </a:prstGeom>
                          <a:noFill/>
                        </pic:spPr>
                      </pic:pic>
                    </a:graphicData>
                  </a:graphic>
                </wp:inline>
              </w:drawing>
            </w:r>
          </w:p>
          <w:p w14:paraId="1EC6E62F" w14:textId="77777777" w:rsidR="00521325" w:rsidRPr="0065414C" w:rsidRDefault="00521325" w:rsidP="00EB7EB7">
            <w:pPr>
              <w:pStyle w:val="BodyText"/>
              <w:rPr>
                <w:rFonts w:cs="Arial"/>
              </w:rPr>
            </w:pPr>
            <w:r w:rsidRPr="0065414C">
              <w:rPr>
                <w:rFonts w:cs="Arial"/>
                <w:b/>
              </w:rPr>
              <w:t xml:space="preserve">Process Guidelines </w:t>
            </w:r>
            <w:r w:rsidRPr="0065414C">
              <w:rPr>
                <w:rFonts w:cs="Arial"/>
              </w:rPr>
              <w:t>to guide the implementation of ABF and block grant funding arrangements:</w:t>
            </w:r>
          </w:p>
          <w:p w14:paraId="4F796E1E" w14:textId="77777777" w:rsidR="00521325" w:rsidRPr="0065414C" w:rsidRDefault="00521325" w:rsidP="00EB7EB7">
            <w:pPr>
              <w:pStyle w:val="ListParagraph"/>
              <w:numPr>
                <w:ilvl w:val="0"/>
                <w:numId w:val="1"/>
              </w:numPr>
              <w:ind w:left="284" w:right="327"/>
              <w:rPr>
                <w:rFonts w:cs="Arial"/>
              </w:rPr>
            </w:pPr>
            <w:r w:rsidRPr="0065414C">
              <w:rPr>
                <w:rFonts w:cs="Arial"/>
                <w:b/>
              </w:rPr>
              <w:t xml:space="preserve">Transparency: </w:t>
            </w:r>
            <w:r w:rsidRPr="0065414C">
              <w:rPr>
                <w:rFonts w:cs="Arial"/>
              </w:rPr>
              <w:t>All steps in the determination of ABF and block grant funding should be clear and transparent.</w:t>
            </w:r>
          </w:p>
          <w:p w14:paraId="008254F6" w14:textId="77777777" w:rsidR="00521325" w:rsidRPr="0065414C" w:rsidRDefault="00521325" w:rsidP="00EB7EB7">
            <w:pPr>
              <w:pStyle w:val="ListParagraph"/>
              <w:numPr>
                <w:ilvl w:val="0"/>
                <w:numId w:val="1"/>
              </w:numPr>
              <w:ind w:left="284"/>
              <w:rPr>
                <w:rFonts w:cs="Arial"/>
              </w:rPr>
            </w:pPr>
            <w:r w:rsidRPr="0065414C">
              <w:rPr>
                <w:rFonts w:cs="Arial"/>
                <w:b/>
                <w:spacing w:val="2"/>
              </w:rPr>
              <w:t xml:space="preserve">Administrative </w:t>
            </w:r>
            <w:r w:rsidRPr="0065414C">
              <w:rPr>
                <w:rFonts w:cs="Arial"/>
                <w:b/>
              </w:rPr>
              <w:t xml:space="preserve">ease: </w:t>
            </w:r>
            <w:r w:rsidRPr="0065414C">
              <w:rPr>
                <w:rFonts w:cs="Arial"/>
              </w:rPr>
              <w:t>Funding arrangements should not unduly increase the administrative burden on hospitals and system managers.</w:t>
            </w:r>
          </w:p>
          <w:p w14:paraId="23020F9A" w14:textId="77777777" w:rsidR="00521325" w:rsidRPr="0065414C" w:rsidRDefault="00521325" w:rsidP="00EB7EB7">
            <w:pPr>
              <w:pStyle w:val="ListParagraph"/>
              <w:numPr>
                <w:ilvl w:val="0"/>
                <w:numId w:val="1"/>
              </w:numPr>
              <w:ind w:left="284"/>
              <w:rPr>
                <w:rFonts w:cs="Arial"/>
              </w:rPr>
            </w:pPr>
            <w:r w:rsidRPr="0065414C">
              <w:rPr>
                <w:rFonts w:cs="Arial"/>
                <w:b/>
                <w:spacing w:val="2"/>
              </w:rPr>
              <w:t xml:space="preserve">Stability: </w:t>
            </w:r>
            <w:r w:rsidRPr="0065414C">
              <w:rPr>
                <w:rFonts w:cs="Arial"/>
              </w:rPr>
              <w:t>The payment relativities for ABF are consistent over time.</w:t>
            </w:r>
          </w:p>
          <w:p w14:paraId="211D3D32" w14:textId="77777777" w:rsidR="00521325" w:rsidRPr="0065414C" w:rsidRDefault="00521325" w:rsidP="00EB7EB7">
            <w:pPr>
              <w:pStyle w:val="ListParagraph"/>
              <w:numPr>
                <w:ilvl w:val="0"/>
                <w:numId w:val="1"/>
              </w:numPr>
              <w:ind w:left="284"/>
              <w:rPr>
                <w:rFonts w:cs="Arial"/>
              </w:rPr>
            </w:pPr>
            <w:r w:rsidRPr="0065414C">
              <w:rPr>
                <w:rFonts w:cs="Arial"/>
                <w:b/>
                <w:spacing w:val="2"/>
              </w:rPr>
              <w:t xml:space="preserve">Evidence-based: </w:t>
            </w:r>
            <w:r w:rsidRPr="0065414C">
              <w:rPr>
                <w:rFonts w:cs="Arial"/>
              </w:rPr>
              <w:t>Funding should be based on best available information.</w:t>
            </w:r>
          </w:p>
          <w:p w14:paraId="79C1799F" w14:textId="77777777" w:rsidR="00521325" w:rsidRDefault="00521325" w:rsidP="001031CF">
            <w:pPr>
              <w:pStyle w:val="BodyText"/>
              <w:rPr>
                <w:rFonts w:cs="Arial"/>
              </w:rPr>
            </w:pPr>
          </w:p>
        </w:tc>
        <w:tc>
          <w:tcPr>
            <w:tcW w:w="2500" w:type="pct"/>
            <w:tcBorders>
              <w:top w:val="nil"/>
            </w:tcBorders>
            <w:shd w:val="clear" w:color="auto" w:fill="F2F2F2" w:themeFill="background1" w:themeFillShade="F2"/>
          </w:tcPr>
          <w:p w14:paraId="0E63B1C7" w14:textId="77777777" w:rsidR="00521325" w:rsidRDefault="00521325" w:rsidP="00EB7EB7">
            <w:pPr>
              <w:pStyle w:val="BodyText"/>
              <w:ind w:right="106"/>
              <w:rPr>
                <w:rFonts w:cs="Arial"/>
                <w:b/>
              </w:rPr>
            </w:pPr>
            <w:r>
              <w:rPr>
                <w:rFonts w:cs="Arial"/>
                <w:b/>
                <w:bCs/>
                <w:noProof/>
                <w:lang w:eastAsia="en-AU" w:bidi="ar-SA"/>
              </w:rPr>
              <mc:AlternateContent>
                <mc:Choice Requires="wps">
                  <w:drawing>
                    <wp:anchor distT="0" distB="0" distL="114300" distR="114300" simplePos="0" relativeHeight="251726848" behindDoc="0" locked="0" layoutInCell="1" allowOverlap="1" wp14:anchorId="45BE6CC6" wp14:editId="718773C4">
                      <wp:simplePos x="0" y="0"/>
                      <wp:positionH relativeFrom="column">
                        <wp:posOffset>-1270</wp:posOffset>
                      </wp:positionH>
                      <wp:positionV relativeFrom="paragraph">
                        <wp:posOffset>204470</wp:posOffset>
                      </wp:positionV>
                      <wp:extent cx="2543175" cy="0"/>
                      <wp:effectExtent l="0" t="0" r="0" b="0"/>
                      <wp:wrapNone/>
                      <wp:docPr id="39" name="Straight Connector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543175"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9CAFEB" id="Straight Connector 39" o:spid="_x0000_s1026" alt="&quot;&quot;"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1pt,16.1pt" to="200.1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" strokecolor="#008f54 [3205]"/>
                  </w:pict>
                </mc:Fallback>
              </mc:AlternateContent>
            </w:r>
          </w:p>
          <w:p w14:paraId="21A7D578" w14:textId="77777777" w:rsidR="00521325" w:rsidRPr="0065414C" w:rsidRDefault="00521325" w:rsidP="00EB7EB7">
            <w:pPr>
              <w:pStyle w:val="BodyText"/>
              <w:ind w:right="106"/>
              <w:rPr>
                <w:rFonts w:cs="Arial"/>
              </w:rPr>
            </w:pPr>
            <w:r w:rsidRPr="0065414C">
              <w:rPr>
                <w:rFonts w:cs="Arial"/>
                <w:b/>
              </w:rPr>
              <w:t xml:space="preserve">System Design Guidelines </w:t>
            </w:r>
            <w:r w:rsidRPr="0065414C">
              <w:rPr>
                <w:rFonts w:cs="Arial"/>
              </w:rPr>
              <w:t>to inform the options for design of ABF and block grant funding arrangements:</w:t>
            </w:r>
          </w:p>
          <w:p w14:paraId="3EB51C95" w14:textId="77777777" w:rsidR="00521325" w:rsidRDefault="00521325" w:rsidP="00EB7EB7">
            <w:pPr>
              <w:pStyle w:val="ListParagraph"/>
              <w:ind w:right="106"/>
              <w:rPr>
                <w:rFonts w:cs="Arial"/>
              </w:rPr>
            </w:pPr>
            <w:r w:rsidRPr="0065414C">
              <w:rPr>
                <w:rFonts w:cs="Arial"/>
                <w:b/>
                <w:bCs/>
              </w:rPr>
              <w:t>Fostering clinical innovation:</w:t>
            </w:r>
            <w:r w:rsidRPr="0065414C">
              <w:rPr>
                <w:rFonts w:cs="Arial"/>
              </w:rPr>
              <w:t xml:space="preserve"> Pricing of public hospital services should respond in a timely way to introduction of evidence-based, effective new technology and innovations in the models of care that improve patient outcomes.</w:t>
            </w:r>
          </w:p>
          <w:p w14:paraId="2B06BBC7" w14:textId="77777777" w:rsidR="00521325" w:rsidRDefault="00521325" w:rsidP="00991937">
            <w:pPr>
              <w:pStyle w:val="ListParagraph"/>
              <w:ind w:right="106"/>
            </w:pPr>
            <w:r w:rsidRPr="00EB7EB7">
              <w:rPr>
                <w:b/>
              </w:rPr>
              <w:t>Promoting value</w:t>
            </w:r>
            <w:r w:rsidRPr="00EB7EB7">
              <w:t>:</w:t>
            </w:r>
            <w:r w:rsidRPr="00991937">
              <w:rPr>
                <w:rFonts w:cs="Arial"/>
              </w:rPr>
              <w:t> </w:t>
            </w:r>
            <w:r w:rsidRPr="00991937">
              <w:t>Pricing supports innovative and alternative funding solutions that deliver efficient, high quality, patient</w:t>
            </w:r>
            <w:r w:rsidRPr="00991937">
              <w:noBreakHyphen/>
              <w:t>centred care.</w:t>
            </w:r>
          </w:p>
          <w:p w14:paraId="3C5E91B1" w14:textId="77777777" w:rsidR="00521325" w:rsidRPr="0065414C" w:rsidRDefault="00521325" w:rsidP="00EB7EB7">
            <w:pPr>
              <w:pStyle w:val="ListParagraph"/>
              <w:ind w:right="106"/>
              <w:rPr>
                <w:rFonts w:cs="Arial"/>
              </w:rPr>
            </w:pPr>
            <w:r w:rsidRPr="0065414C">
              <w:rPr>
                <w:rFonts w:cs="Arial"/>
                <w:b/>
              </w:rPr>
              <w:t xml:space="preserve">Promoting </w:t>
            </w:r>
            <w:r w:rsidRPr="0065414C">
              <w:rPr>
                <w:rFonts w:cs="Arial"/>
                <w:b/>
                <w:spacing w:val="2"/>
              </w:rPr>
              <w:t xml:space="preserve">harmonisation: </w:t>
            </w:r>
            <w:r w:rsidRPr="0065414C">
              <w:rPr>
                <w:rFonts w:cs="Arial"/>
              </w:rPr>
              <w:t>Pricing should facilitate best practice provision of appropriate site of care.</w:t>
            </w:r>
          </w:p>
          <w:p w14:paraId="13080952" w14:textId="77777777" w:rsidR="00521325" w:rsidRPr="0065414C" w:rsidRDefault="00521325" w:rsidP="00EB7EB7">
            <w:pPr>
              <w:pStyle w:val="ListParagraph"/>
              <w:ind w:right="106"/>
              <w:rPr>
                <w:rFonts w:cs="Arial"/>
              </w:rPr>
            </w:pPr>
            <w:r w:rsidRPr="0065414C">
              <w:rPr>
                <w:rFonts w:cs="Arial"/>
                <w:b/>
                <w:spacing w:val="2"/>
              </w:rPr>
              <w:t xml:space="preserve">Minimising undesirable </w:t>
            </w:r>
            <w:r w:rsidRPr="0065414C">
              <w:rPr>
                <w:rFonts w:cs="Arial"/>
                <w:b/>
              </w:rPr>
              <w:t xml:space="preserve">and </w:t>
            </w:r>
            <w:r w:rsidRPr="0065414C">
              <w:rPr>
                <w:rFonts w:cs="Arial"/>
                <w:b/>
                <w:spacing w:val="2"/>
              </w:rPr>
              <w:t xml:space="preserve">inadvertent </w:t>
            </w:r>
            <w:r w:rsidRPr="0065414C">
              <w:rPr>
                <w:rFonts w:cs="Arial"/>
                <w:b/>
              </w:rPr>
              <w:t xml:space="preserve">consequences: </w:t>
            </w:r>
            <w:r w:rsidRPr="0065414C">
              <w:rPr>
                <w:rFonts w:cs="Arial"/>
              </w:rPr>
              <w:t xml:space="preserve">Funding design should minimise susceptibility to gaming, inappropriate </w:t>
            </w:r>
            <w:proofErr w:type="gramStart"/>
            <w:r w:rsidRPr="0065414C">
              <w:rPr>
                <w:rFonts w:cs="Arial"/>
              </w:rPr>
              <w:t>rewards</w:t>
            </w:r>
            <w:proofErr w:type="gramEnd"/>
            <w:r w:rsidRPr="0065414C">
              <w:rPr>
                <w:rFonts w:cs="Arial"/>
              </w:rPr>
              <w:t xml:space="preserve"> and perverse incentives.</w:t>
            </w:r>
          </w:p>
          <w:p w14:paraId="365A5659" w14:textId="77777777" w:rsidR="00521325" w:rsidRPr="0065414C" w:rsidRDefault="00521325" w:rsidP="00EB7EB7">
            <w:pPr>
              <w:pStyle w:val="ListParagraph"/>
              <w:ind w:right="106"/>
              <w:rPr>
                <w:rFonts w:cs="Arial"/>
              </w:rPr>
            </w:pPr>
            <w:r w:rsidRPr="0065414C">
              <w:rPr>
                <w:rFonts w:cs="Arial"/>
                <w:b/>
              </w:rPr>
              <w:t xml:space="preserve">ABF </w:t>
            </w:r>
            <w:r w:rsidRPr="0065414C">
              <w:rPr>
                <w:rFonts w:cs="Arial"/>
                <w:b/>
                <w:spacing w:val="2"/>
              </w:rPr>
              <w:t xml:space="preserve">pre-eminence: </w:t>
            </w:r>
            <w:r w:rsidRPr="0065414C">
              <w:rPr>
                <w:rFonts w:cs="Arial"/>
              </w:rPr>
              <w:t>ABF should be used for funding public hospital services wherever practicable.</w:t>
            </w:r>
          </w:p>
          <w:p w14:paraId="42AF59B7" w14:textId="77777777" w:rsidR="00521325" w:rsidRPr="0065414C" w:rsidRDefault="00521325" w:rsidP="00EB7EB7">
            <w:pPr>
              <w:pStyle w:val="ListParagraph"/>
              <w:ind w:right="106"/>
              <w:rPr>
                <w:rFonts w:cs="Arial"/>
              </w:rPr>
            </w:pPr>
            <w:r w:rsidRPr="0065414C">
              <w:rPr>
                <w:rFonts w:cs="Arial"/>
                <w:b/>
              </w:rPr>
              <w:t>Single unit of measure and price equivalence</w:t>
            </w:r>
            <w:r w:rsidRPr="0065414C">
              <w:rPr>
                <w:rFonts w:cs="Arial"/>
              </w:rPr>
              <w:t>: ABF pricing should support dynamic efficiency and changes to models of care with the ready transferability of funding between different care types and service streams through a single unit of measure and relative weights.</w:t>
            </w:r>
          </w:p>
          <w:p w14:paraId="5C11A2F6" w14:textId="77777777" w:rsidR="00521325" w:rsidRPr="00451BDF" w:rsidRDefault="00521325" w:rsidP="00EB7EB7">
            <w:pPr>
              <w:pStyle w:val="ListParagraph"/>
              <w:ind w:right="106"/>
              <w:rPr>
                <w:rFonts w:cs="Arial"/>
                <w:szCs w:val="19"/>
              </w:rPr>
            </w:pPr>
            <w:r w:rsidRPr="0065414C">
              <w:rPr>
                <w:rFonts w:cs="Arial"/>
                <w:b/>
              </w:rPr>
              <w:t>Patient-based</w:t>
            </w:r>
            <w:r w:rsidRPr="0065414C">
              <w:rPr>
                <w:rFonts w:cs="Arial"/>
              </w:rPr>
              <w:t>: Adjustments to the standard price should be, as far as is practicable, based on patient-related rather than provider</w:t>
            </w:r>
            <w:r w:rsidRPr="0065414C">
              <w:rPr>
                <w:rFonts w:cs="Arial"/>
              </w:rPr>
              <w:noBreakHyphen/>
              <w:t>related characteristics.</w:t>
            </w:r>
          </w:p>
          <w:p w14:paraId="45165E9D" w14:textId="2BA59D45" w:rsidR="00521325" w:rsidRDefault="00521325" w:rsidP="00EB7EB7">
            <w:pPr>
              <w:pStyle w:val="ListParagraph"/>
              <w:ind w:right="106"/>
            </w:pPr>
            <w:r w:rsidRPr="00451BDF">
              <w:rPr>
                <w:b/>
              </w:rPr>
              <w:t>Public-private neutrality</w:t>
            </w:r>
            <w:r w:rsidRPr="0065414C">
              <w:t>: ABF pricing should ensure that there is funding neutrality for the service provider for treating a person who elects to be treated as a private or a public patient in a public hospit</w:t>
            </w:r>
            <w:r>
              <w:t>al.</w:t>
            </w:r>
          </w:p>
        </w:tc>
      </w:tr>
    </w:tbl>
    <w:p w14:paraId="1BE427F0" w14:textId="77777777" w:rsidR="001031CF" w:rsidRPr="0065414C" w:rsidRDefault="001031CF" w:rsidP="001031CF">
      <w:pPr>
        <w:rPr>
          <w:rFonts w:cs="Arial"/>
          <w:sz w:val="21"/>
        </w:rPr>
        <w:sectPr w:rsidR="001031CF" w:rsidRPr="0065414C" w:rsidSect="001031CF">
          <w:type w:val="continuous"/>
          <w:pgSz w:w="11910" w:h="16840"/>
          <w:pgMar w:top="1440" w:right="1440" w:bottom="1440" w:left="1440" w:header="0" w:footer="656" w:gutter="0"/>
          <w:cols w:space="720"/>
        </w:sectPr>
      </w:pPr>
    </w:p>
    <w:p w14:paraId="1ADCEDF1" w14:textId="77777777" w:rsidR="00D32313" w:rsidRPr="0065414C" w:rsidRDefault="00D32313" w:rsidP="005B7291">
      <w:pPr>
        <w:pStyle w:val="SectionNumber"/>
      </w:pPr>
      <w:bookmarkStart w:id="63" w:name="_5_Setting_the"/>
      <w:bookmarkStart w:id="64" w:name="_Toc49953750"/>
      <w:bookmarkEnd w:id="63"/>
      <w:r w:rsidRPr="0065414C">
        <w:lastRenderedPageBreak/>
        <w:drawing>
          <wp:anchor distT="0" distB="0" distL="114300" distR="114300" simplePos="0" relativeHeight="251626496" behindDoc="1" locked="0" layoutInCell="1" allowOverlap="1" wp14:anchorId="32DC13CB" wp14:editId="3FF0343A">
            <wp:simplePos x="0" y="0"/>
            <wp:positionH relativeFrom="margin">
              <wp:posOffset>-914399</wp:posOffset>
            </wp:positionH>
            <wp:positionV relativeFrom="page">
              <wp:posOffset>954157</wp:posOffset>
            </wp:positionV>
            <wp:extent cx="5462267" cy="3577465"/>
            <wp:effectExtent l="0" t="0" r="0"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5462267" cy="3577465"/>
                    </a:xfrm>
                    <a:prstGeom prst="rect">
                      <a:avLst/>
                    </a:prstGeom>
                    <a:noFill/>
                    <a:ln>
                      <a:noFill/>
                    </a:ln>
                  </pic:spPr>
                </pic:pic>
              </a:graphicData>
            </a:graphic>
          </wp:anchor>
        </w:drawing>
      </w:r>
      <w:r w:rsidRPr="0065414C">
        <w:t>5</w:t>
      </w:r>
      <w:bookmarkEnd w:id="64"/>
    </w:p>
    <w:p w14:paraId="28A10288" w14:textId="77777777" w:rsidR="00D32313" w:rsidRPr="0065414C" w:rsidRDefault="00D32313" w:rsidP="005B7291">
      <w:pPr>
        <w:pStyle w:val="Sectionheader"/>
        <w:ind w:right="3360"/>
        <w:sectPr w:rsidR="00D32313" w:rsidRPr="0065414C" w:rsidSect="008613E1">
          <w:headerReference w:type="default" r:id="rId55"/>
          <w:footerReference w:type="default" r:id="rId56"/>
          <w:pgSz w:w="11910" w:h="16840"/>
          <w:pgMar w:top="3970" w:right="1440" w:bottom="1440" w:left="1440" w:header="0" w:footer="656" w:gutter="0"/>
          <w:cols w:space="720"/>
        </w:sectPr>
      </w:pPr>
      <w:bookmarkStart w:id="65" w:name="_Toc49953751"/>
      <w:bookmarkStart w:id="66" w:name="_Toc50532304"/>
      <w:r w:rsidRPr="0065414C">
        <w:t>S</w:t>
      </w:r>
      <w:r w:rsidR="00031882" w:rsidRPr="0065414C">
        <w:t xml:space="preserve">cope of </w:t>
      </w:r>
      <w:r w:rsidR="00194354" w:rsidRPr="0065414C">
        <w:t>p</w:t>
      </w:r>
      <w:r w:rsidR="00031882" w:rsidRPr="0065414C">
        <w:t xml:space="preserve">ublic </w:t>
      </w:r>
      <w:r w:rsidR="00194354" w:rsidRPr="0065414C">
        <w:t>h</w:t>
      </w:r>
      <w:r w:rsidR="00031882" w:rsidRPr="0065414C">
        <w:t xml:space="preserve">ospital </w:t>
      </w:r>
      <w:r w:rsidR="00194354" w:rsidRPr="0065414C">
        <w:t>s</w:t>
      </w:r>
      <w:r w:rsidR="00031882" w:rsidRPr="0065414C">
        <w:t>ervices</w:t>
      </w:r>
      <w:bookmarkEnd w:id="65"/>
      <w:bookmarkEnd w:id="66"/>
    </w:p>
    <w:p w14:paraId="43EAD5ED" w14:textId="77777777" w:rsidR="00C415F5" w:rsidRPr="0065414C" w:rsidRDefault="00592035" w:rsidP="005C3B62">
      <w:pPr>
        <w:pStyle w:val="Heading1"/>
        <w:ind w:left="1418" w:hanging="1191"/>
        <w:rPr>
          <w:rFonts w:cs="Arial"/>
        </w:rPr>
        <w:sectPr w:rsidR="00C415F5" w:rsidRPr="0065414C" w:rsidSect="00A0212B">
          <w:headerReference w:type="default" r:id="rId57"/>
          <w:pgSz w:w="11910" w:h="16840"/>
          <w:pgMar w:top="1440" w:right="1440" w:bottom="1440" w:left="1440" w:header="0" w:footer="656" w:gutter="0"/>
          <w:cols w:space="720"/>
        </w:sectPr>
      </w:pPr>
      <w:bookmarkStart w:id="67" w:name="_Toc45809596"/>
      <w:bookmarkStart w:id="68" w:name="_Toc49953752"/>
      <w:r w:rsidRPr="0065414C">
        <w:rPr>
          <w:rFonts w:cs="Arial"/>
          <w:noProof/>
          <w:color w:val="FFFFFF" w:themeColor="background1"/>
          <w:lang w:eastAsia="en-AU" w:bidi="ar-SA"/>
        </w:rPr>
        <w:lastRenderedPageBreak/>
        <w:drawing>
          <wp:anchor distT="0" distB="0" distL="114300" distR="114300" simplePos="0" relativeHeight="251651072" behindDoc="1" locked="0" layoutInCell="1" allowOverlap="1" wp14:anchorId="7D107AF8" wp14:editId="7C4A7D7E">
            <wp:simplePos x="0" y="0"/>
            <wp:positionH relativeFrom="column">
              <wp:posOffset>-914400</wp:posOffset>
            </wp:positionH>
            <wp:positionV relativeFrom="page">
              <wp:posOffset>651179</wp:posOffset>
            </wp:positionV>
            <wp:extent cx="1685422" cy="946148"/>
            <wp:effectExtent l="0" t="0" r="0"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1685422" cy="946148"/>
                    </a:xfrm>
                    <a:prstGeom prst="rect">
                      <a:avLst/>
                    </a:prstGeom>
                    <a:noFill/>
                    <a:ln>
                      <a:noFill/>
                    </a:ln>
                  </pic:spPr>
                </pic:pic>
              </a:graphicData>
            </a:graphic>
          </wp:anchor>
        </w:drawing>
      </w:r>
      <w:r w:rsidR="00A75D61" w:rsidRPr="0065414C">
        <w:rPr>
          <w:rFonts w:cs="Arial"/>
          <w:color w:val="FFFFFF" w:themeColor="background1"/>
        </w:rPr>
        <w:t>5</w:t>
      </w:r>
      <w:r w:rsidR="00A75D61" w:rsidRPr="0065414C">
        <w:rPr>
          <w:rFonts w:cs="Arial"/>
        </w:rPr>
        <w:tab/>
      </w:r>
      <w:r w:rsidRPr="0065414C">
        <w:rPr>
          <w:rFonts w:cs="Arial"/>
        </w:rPr>
        <w:tab/>
      </w:r>
      <w:r w:rsidR="00603DEC" w:rsidRPr="0065414C">
        <w:rPr>
          <w:rFonts w:cs="Arial"/>
        </w:rPr>
        <w:t>S</w:t>
      </w:r>
      <w:r w:rsidR="00031882" w:rsidRPr="0065414C">
        <w:rPr>
          <w:rFonts w:cs="Arial"/>
        </w:rPr>
        <w:t xml:space="preserve">cope of </w:t>
      </w:r>
      <w:r w:rsidR="00194354" w:rsidRPr="0065414C">
        <w:rPr>
          <w:rFonts w:cs="Arial"/>
        </w:rPr>
        <w:t>p</w:t>
      </w:r>
      <w:r w:rsidR="00031882" w:rsidRPr="0065414C">
        <w:rPr>
          <w:rFonts w:cs="Arial"/>
        </w:rPr>
        <w:t xml:space="preserve">ublic </w:t>
      </w:r>
      <w:r w:rsidR="00194354" w:rsidRPr="0065414C">
        <w:rPr>
          <w:rFonts w:cs="Arial"/>
        </w:rPr>
        <w:t>h</w:t>
      </w:r>
      <w:r w:rsidR="00031882" w:rsidRPr="0065414C">
        <w:rPr>
          <w:rFonts w:cs="Arial"/>
        </w:rPr>
        <w:t>ospital </w:t>
      </w:r>
      <w:r w:rsidR="00194354" w:rsidRPr="0065414C">
        <w:rPr>
          <w:rFonts w:cs="Arial"/>
        </w:rPr>
        <w:t>s</w:t>
      </w:r>
      <w:r w:rsidR="00031882" w:rsidRPr="0065414C">
        <w:rPr>
          <w:rFonts w:cs="Arial"/>
        </w:rPr>
        <w:t>ervices</w:t>
      </w:r>
      <w:bookmarkEnd w:id="67"/>
      <w:bookmarkEnd w:id="68"/>
    </w:p>
    <w:p w14:paraId="231DB99E" w14:textId="77777777" w:rsidR="00EC74B9" w:rsidRPr="0065414C" w:rsidRDefault="00194354" w:rsidP="00EC74B9">
      <w:pPr>
        <w:pStyle w:val="BodyText"/>
        <w:rPr>
          <w:rFonts w:cs="Arial"/>
        </w:rPr>
      </w:pPr>
      <w:r w:rsidRPr="0065414C">
        <w:rPr>
          <w:rFonts w:cs="Arial"/>
        </w:rPr>
        <w:t>In August 2011, Australian governments agreed to be jointly responsible for funding efficient growth in public hospital services. The Independent Hospital Pricing Authority (IHPA) was assigned the task of determining whether a service is ruled ‘in-scope’ as a public hospital service and therefore eligible for Commonwealth funding under the National Health Reform Agreement (NHRA)</w:t>
      </w:r>
      <w:r w:rsidR="00485FA3" w:rsidRPr="0065414C">
        <w:rPr>
          <w:rFonts w:cs="Arial"/>
        </w:rPr>
        <w:t>.</w:t>
      </w:r>
    </w:p>
    <w:p w14:paraId="4666B80B" w14:textId="77777777" w:rsidR="00EC74B9" w:rsidRPr="0065414C" w:rsidRDefault="00194354" w:rsidP="00EC74B9">
      <w:pPr>
        <w:pStyle w:val="BodyText"/>
        <w:rPr>
          <w:rFonts w:cs="Arial"/>
        </w:rPr>
      </w:pPr>
      <w:r w:rsidRPr="0065414C">
        <w:rPr>
          <w:rFonts w:cs="Arial"/>
        </w:rPr>
        <w:t>Each year, IHPA publishes the General List of In-Scope Public Hospital Services (the General List) as part of the national efficient price (NEP) Determination. The General List defines public hospital services eligible for Commonwealth funding, except where funding is otherwise agreed between the Commonwealth and a state or territory</w:t>
      </w:r>
      <w:r w:rsidR="00485FA3" w:rsidRPr="0065414C">
        <w:rPr>
          <w:rFonts w:cs="Arial"/>
        </w:rPr>
        <w:t>.</w:t>
      </w:r>
    </w:p>
    <w:p w14:paraId="6DAF4912" w14:textId="77777777" w:rsidR="00EC74B9" w:rsidRPr="0065414C" w:rsidRDefault="00194354" w:rsidP="00EC74B9">
      <w:pPr>
        <w:pStyle w:val="BodyText"/>
        <w:rPr>
          <w:rFonts w:cs="Arial"/>
        </w:rPr>
      </w:pPr>
      <w:r w:rsidRPr="0065414C">
        <w:rPr>
          <w:rFonts w:cs="Arial"/>
        </w:rPr>
        <w:t>This model has been retained by the Addendum to the NHRA 2020–25 (the Addendum). The Addendum notes that IHPA may update the criteria for inclusion on the General List to reflect innovations in clinical pathways (clause A21)</w:t>
      </w:r>
      <w:r w:rsidR="00485FA3" w:rsidRPr="0065414C">
        <w:rPr>
          <w:rFonts w:cs="Arial"/>
        </w:rPr>
        <w:t>.</w:t>
      </w:r>
      <w:r w:rsidR="00EC74B9" w:rsidRPr="0065414C">
        <w:rPr>
          <w:rFonts w:cs="Arial"/>
        </w:rPr>
        <w:t xml:space="preserve"> </w:t>
      </w:r>
    </w:p>
    <w:p w14:paraId="789337E3" w14:textId="77777777" w:rsidR="00EC74B9" w:rsidRPr="0065414C" w:rsidRDefault="005C3B62" w:rsidP="00EC74B9">
      <w:pPr>
        <w:pStyle w:val="BodyText"/>
        <w:rPr>
          <w:rFonts w:cs="Arial"/>
        </w:rPr>
      </w:pPr>
      <w:r w:rsidRPr="0065414C">
        <w:rPr>
          <w:rFonts w:cs="Arial"/>
        </w:rPr>
        <w:t>T</w:t>
      </w:r>
      <w:r w:rsidR="00EC74B9" w:rsidRPr="0065414C">
        <w:rPr>
          <w:rFonts w:cs="Arial"/>
        </w:rPr>
        <w:t xml:space="preserve">he IHPA </w:t>
      </w:r>
      <w:hyperlink r:id="rId59" w:history="1">
        <w:r w:rsidR="00EC74B9" w:rsidRPr="0065414C">
          <w:rPr>
            <w:rStyle w:val="Hyperlink"/>
            <w:rFonts w:cs="Arial"/>
            <w:i/>
            <w:iCs/>
          </w:rPr>
          <w:t>General List of In-Scope Public Hospital Services Eligibility Policy</w:t>
        </w:r>
      </w:hyperlink>
      <w:r w:rsidRPr="0065414C">
        <w:rPr>
          <w:rFonts w:cs="Arial"/>
        </w:rPr>
        <w:t xml:space="preserve"> </w:t>
      </w:r>
      <w:r w:rsidR="00485FA3" w:rsidRPr="0065414C">
        <w:rPr>
          <w:rFonts w:cs="Arial"/>
        </w:rPr>
        <w:t>(</w:t>
      </w:r>
      <w:r w:rsidR="00194354" w:rsidRPr="0065414C">
        <w:rPr>
          <w:rFonts w:cs="Arial"/>
        </w:rPr>
        <w:t>the General List policy) defines public hospital services eligible for Commonwealth funding to be</w:t>
      </w:r>
      <w:r w:rsidR="00EC74B9" w:rsidRPr="0065414C">
        <w:rPr>
          <w:rFonts w:cs="Arial"/>
        </w:rPr>
        <w:t>:</w:t>
      </w:r>
    </w:p>
    <w:p w14:paraId="42D40583" w14:textId="77777777" w:rsidR="00EC74B9" w:rsidRPr="0065414C" w:rsidRDefault="00194354" w:rsidP="00EC74B9">
      <w:pPr>
        <w:pStyle w:val="ListParagraph"/>
        <w:rPr>
          <w:rFonts w:cs="Arial"/>
        </w:rPr>
      </w:pPr>
      <w:r w:rsidRPr="0065414C">
        <w:rPr>
          <w:rFonts w:cs="Arial"/>
        </w:rPr>
        <w:t xml:space="preserve">All admitted services, including hospital in the home </w:t>
      </w:r>
      <w:proofErr w:type="gramStart"/>
      <w:r w:rsidRPr="0065414C">
        <w:rPr>
          <w:rFonts w:cs="Arial"/>
        </w:rPr>
        <w:t>programs</w:t>
      </w:r>
      <w:r w:rsidR="00485FA3" w:rsidRPr="0065414C">
        <w:rPr>
          <w:rFonts w:cs="Arial"/>
        </w:rPr>
        <w:t>;</w:t>
      </w:r>
      <w:proofErr w:type="gramEnd"/>
    </w:p>
    <w:p w14:paraId="5AE44AC7" w14:textId="77777777" w:rsidR="00EC74B9" w:rsidRPr="0065414C" w:rsidRDefault="00194354" w:rsidP="00EC74B9">
      <w:pPr>
        <w:pStyle w:val="ListParagraph"/>
        <w:rPr>
          <w:rFonts w:cs="Arial"/>
        </w:rPr>
      </w:pPr>
      <w:r w:rsidRPr="0065414C">
        <w:rPr>
          <w:rFonts w:cs="Arial"/>
        </w:rPr>
        <w:t>All emergency department services provided by a recognised emergency department service; and</w:t>
      </w:r>
    </w:p>
    <w:p w14:paraId="0315AC7B" w14:textId="77777777" w:rsidR="00EC74B9" w:rsidRPr="0065414C" w:rsidRDefault="00485FA3" w:rsidP="00EC74B9">
      <w:pPr>
        <w:pStyle w:val="ListParagraph"/>
        <w:rPr>
          <w:rFonts w:cs="Arial"/>
        </w:rPr>
      </w:pPr>
      <w:r w:rsidRPr="0065414C">
        <w:rPr>
          <w:rFonts w:cs="Arial"/>
        </w:rPr>
        <w:t>Other non-admitted services.</w:t>
      </w:r>
      <w:r w:rsidR="00EC74B9" w:rsidRPr="0065414C">
        <w:rPr>
          <w:rFonts w:cs="Arial"/>
        </w:rPr>
        <w:t xml:space="preserve"> </w:t>
      </w:r>
    </w:p>
    <w:p w14:paraId="7186ABA5" w14:textId="77777777" w:rsidR="00EC74B9" w:rsidRPr="0065414C" w:rsidRDefault="00194354" w:rsidP="0065414C">
      <w:pPr>
        <w:pStyle w:val="BodyText"/>
        <w:spacing w:before="164"/>
        <w:rPr>
          <w:rFonts w:cs="Arial"/>
        </w:rPr>
      </w:pPr>
      <w:r w:rsidRPr="0065414C">
        <w:rPr>
          <w:rFonts w:cs="Arial"/>
        </w:rPr>
        <w:t>The General List policy does not exclude public hospital services provided in settings outside a hospital (for example, whether the service is provided in a hospital, in the community or in a person’s home). The Pricing Authority determines whether specific services proposed by a state or territory are ‘in-scope’ and eligible for Commonwealth funding, based on criteria and empirical evidence provided by that state and territory. These criteria are outlined in the General List policy</w:t>
      </w:r>
      <w:r w:rsidR="00485FA3" w:rsidRPr="0065414C">
        <w:rPr>
          <w:rFonts w:cs="Arial"/>
        </w:rPr>
        <w:t>.</w:t>
      </w:r>
      <w:r w:rsidR="00EC74B9" w:rsidRPr="0065414C">
        <w:rPr>
          <w:rFonts w:cs="Arial"/>
        </w:rPr>
        <w:t xml:space="preserve"> </w:t>
      </w:r>
    </w:p>
    <w:p w14:paraId="5673C54A" w14:textId="77777777" w:rsidR="0065414C" w:rsidRDefault="0065414C" w:rsidP="00EC74B9">
      <w:pPr>
        <w:pStyle w:val="BodyText"/>
        <w:rPr>
          <w:rFonts w:cs="Arial"/>
        </w:rPr>
      </w:pPr>
    </w:p>
    <w:p w14:paraId="32648B77" w14:textId="77777777" w:rsidR="00C415F5" w:rsidRPr="0065414C" w:rsidRDefault="00194354" w:rsidP="0065414C">
      <w:pPr>
        <w:pStyle w:val="BodyText"/>
        <w:spacing w:before="0"/>
        <w:rPr>
          <w:rFonts w:cs="Arial"/>
        </w:rPr>
      </w:pPr>
      <w:r w:rsidRPr="0065414C">
        <w:rPr>
          <w:rFonts w:cs="Arial"/>
        </w:rPr>
        <w:t>Applications to have a service added to the General List are made as part of the annual process outlined in the General List policy</w:t>
      </w:r>
      <w:r w:rsidR="00485FA3" w:rsidRPr="0065414C">
        <w:rPr>
          <w:rFonts w:cs="Arial"/>
        </w:rPr>
        <w:t>.</w:t>
      </w:r>
    </w:p>
    <w:p w14:paraId="56471711" w14:textId="77777777" w:rsidR="00B17301" w:rsidRPr="0065414C" w:rsidRDefault="00B17301" w:rsidP="00EC74B9">
      <w:pPr>
        <w:pStyle w:val="BodyText"/>
        <w:rPr>
          <w:rFonts w:cs="Arial"/>
        </w:rPr>
      </w:pPr>
    </w:p>
    <w:p w14:paraId="004CC1EB" w14:textId="77777777" w:rsidR="00C415F5" w:rsidRPr="0065414C" w:rsidRDefault="00C415F5">
      <w:pPr>
        <w:spacing w:line="256" w:lineRule="auto"/>
        <w:rPr>
          <w:rFonts w:cs="Arial"/>
        </w:rPr>
        <w:sectPr w:rsidR="00C415F5" w:rsidRPr="0065414C" w:rsidSect="00241E9D">
          <w:type w:val="continuous"/>
          <w:pgSz w:w="11910" w:h="16840"/>
          <w:pgMar w:top="1440" w:right="1440" w:bottom="1440" w:left="1440" w:header="720" w:footer="720" w:gutter="0"/>
          <w:cols w:num="2" w:space="340"/>
        </w:sectPr>
      </w:pPr>
    </w:p>
    <w:p w14:paraId="1BB80693" w14:textId="77777777" w:rsidR="00592035" w:rsidRPr="0065414C" w:rsidRDefault="00592035" w:rsidP="005B7291">
      <w:pPr>
        <w:pStyle w:val="SectionNumber"/>
      </w:pPr>
      <w:bookmarkStart w:id="69" w:name="_bookmark10"/>
      <w:bookmarkStart w:id="70" w:name="_6_Data_collection"/>
      <w:bookmarkStart w:id="71" w:name="_Toc49953753"/>
      <w:bookmarkEnd w:id="69"/>
      <w:bookmarkEnd w:id="70"/>
      <w:r w:rsidRPr="0065414C">
        <w:lastRenderedPageBreak/>
        <w:drawing>
          <wp:anchor distT="0" distB="0" distL="114300" distR="114300" simplePos="0" relativeHeight="251627520" behindDoc="1" locked="0" layoutInCell="1" allowOverlap="1" wp14:anchorId="50BD3F49" wp14:editId="0731BEBF">
            <wp:simplePos x="0" y="0"/>
            <wp:positionH relativeFrom="margin">
              <wp:posOffset>-914400</wp:posOffset>
            </wp:positionH>
            <wp:positionV relativeFrom="page">
              <wp:posOffset>954157</wp:posOffset>
            </wp:positionV>
            <wp:extent cx="5462267" cy="3577464"/>
            <wp:effectExtent l="0" t="0" r="0"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5462267" cy="3577464"/>
                    </a:xfrm>
                    <a:prstGeom prst="rect">
                      <a:avLst/>
                    </a:prstGeom>
                    <a:noFill/>
                    <a:ln>
                      <a:noFill/>
                    </a:ln>
                  </pic:spPr>
                </pic:pic>
              </a:graphicData>
            </a:graphic>
          </wp:anchor>
        </w:drawing>
      </w:r>
      <w:r w:rsidRPr="0065414C">
        <w:t>6</w:t>
      </w:r>
      <w:bookmarkEnd w:id="71"/>
    </w:p>
    <w:p w14:paraId="7DE103B3" w14:textId="77777777" w:rsidR="00592035" w:rsidRPr="0065414C" w:rsidRDefault="0041717A" w:rsidP="005B7291">
      <w:pPr>
        <w:pStyle w:val="Sectionheader"/>
        <w:ind w:right="2651"/>
        <w:sectPr w:rsidR="00592035" w:rsidRPr="0065414C" w:rsidSect="008613E1">
          <w:headerReference w:type="default" r:id="rId61"/>
          <w:pgSz w:w="11910" w:h="16840"/>
          <w:pgMar w:top="3970" w:right="1440" w:bottom="1440" w:left="1440" w:header="0" w:footer="656" w:gutter="0"/>
          <w:cols w:space="720"/>
        </w:sectPr>
      </w:pPr>
      <w:bookmarkStart w:id="72" w:name="_Toc49953754"/>
      <w:bookmarkStart w:id="73" w:name="_Toc50532305"/>
      <w:r w:rsidRPr="0065414C">
        <w:t>Classifications used to</w:t>
      </w:r>
      <w:r w:rsidR="005B7291">
        <w:t> </w:t>
      </w:r>
      <w:r w:rsidRPr="0065414C">
        <w:t>describe and price public hospital service</w:t>
      </w:r>
      <w:r w:rsidR="00B17301" w:rsidRPr="0065414C">
        <w:t>s</w:t>
      </w:r>
      <w:bookmarkEnd w:id="72"/>
      <w:bookmarkEnd w:id="73"/>
    </w:p>
    <w:p w14:paraId="3C57F180" w14:textId="77777777" w:rsidR="00C415F5" w:rsidRPr="0065414C" w:rsidRDefault="001445EA" w:rsidP="00181BBB">
      <w:pPr>
        <w:pStyle w:val="Heading1"/>
        <w:spacing w:after="600"/>
        <w:ind w:left="1418" w:hanging="1191"/>
        <w:rPr>
          <w:rFonts w:cs="Arial"/>
        </w:rPr>
      </w:pPr>
      <w:bookmarkStart w:id="74" w:name="_Toc45809600"/>
      <w:bookmarkStart w:id="75" w:name="_Toc49953755"/>
      <w:r w:rsidRPr="0065414C">
        <w:rPr>
          <w:rFonts w:cs="Arial"/>
          <w:noProof/>
          <w:color w:val="FFFFFF" w:themeColor="background1"/>
          <w:lang w:eastAsia="en-AU" w:bidi="ar-SA"/>
        </w:rPr>
        <w:lastRenderedPageBreak/>
        <w:drawing>
          <wp:anchor distT="0" distB="0" distL="114300" distR="114300" simplePos="0" relativeHeight="251642880" behindDoc="1" locked="0" layoutInCell="1" allowOverlap="1" wp14:anchorId="1A6F5618" wp14:editId="3C468CBE">
            <wp:simplePos x="0" y="0"/>
            <wp:positionH relativeFrom="column">
              <wp:posOffset>-914400</wp:posOffset>
            </wp:positionH>
            <wp:positionV relativeFrom="page">
              <wp:posOffset>651179</wp:posOffset>
            </wp:positionV>
            <wp:extent cx="1685420" cy="946148"/>
            <wp:effectExtent l="0" t="0" r="0" b="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1685420" cy="946148"/>
                    </a:xfrm>
                    <a:prstGeom prst="rect">
                      <a:avLst/>
                    </a:prstGeom>
                    <a:noFill/>
                    <a:ln>
                      <a:noFill/>
                    </a:ln>
                  </pic:spPr>
                </pic:pic>
              </a:graphicData>
            </a:graphic>
          </wp:anchor>
        </w:drawing>
      </w:r>
      <w:r w:rsidR="004A0BEE" w:rsidRPr="0065414C">
        <w:rPr>
          <w:rFonts w:cs="Arial"/>
          <w:color w:val="FFFFFF" w:themeColor="background1"/>
        </w:rPr>
        <w:t>6</w:t>
      </w:r>
      <w:r w:rsidR="004A0BEE" w:rsidRPr="0065414C">
        <w:rPr>
          <w:rFonts w:cs="Arial"/>
        </w:rPr>
        <w:tab/>
      </w:r>
      <w:r w:rsidRPr="0065414C">
        <w:rPr>
          <w:rFonts w:cs="Arial"/>
        </w:rPr>
        <w:tab/>
      </w:r>
      <w:r w:rsidR="0041717A" w:rsidRPr="0065414C">
        <w:rPr>
          <w:rFonts w:cs="Arial"/>
        </w:rPr>
        <w:t>Classifications used to describe and price public hospital service</w:t>
      </w:r>
      <w:r w:rsidR="00B17301" w:rsidRPr="0065414C">
        <w:rPr>
          <w:rFonts w:cs="Arial"/>
        </w:rPr>
        <w:t>s</w:t>
      </w:r>
      <w:bookmarkEnd w:id="74"/>
      <w:bookmarkEnd w:id="75"/>
    </w:p>
    <w:p w14:paraId="14D87E90" w14:textId="77777777" w:rsidR="00C415F5" w:rsidRPr="0065414C" w:rsidRDefault="00C415F5" w:rsidP="003932A6">
      <w:pPr>
        <w:pStyle w:val="BodyText"/>
        <w:rPr>
          <w:rFonts w:cs="Arial"/>
        </w:rPr>
      </w:pPr>
    </w:p>
    <w:p w14:paraId="507C2397" w14:textId="77777777" w:rsidR="00C415F5" w:rsidRPr="0065414C" w:rsidRDefault="00C415F5">
      <w:pPr>
        <w:rPr>
          <w:rFonts w:cs="Arial"/>
          <w:sz w:val="28"/>
        </w:rPr>
        <w:sectPr w:rsidR="00C415F5" w:rsidRPr="0065414C" w:rsidSect="002E3887">
          <w:headerReference w:type="default" r:id="rId63"/>
          <w:pgSz w:w="11910" w:h="16840"/>
          <w:pgMar w:top="1440" w:right="1440" w:bottom="1440" w:left="1440" w:header="0" w:footer="656" w:gutter="0"/>
          <w:cols w:space="720"/>
        </w:sectPr>
      </w:pPr>
    </w:p>
    <w:p w14:paraId="456E4A6C" w14:textId="77777777" w:rsidR="00B17301" w:rsidRPr="0065414C" w:rsidRDefault="00194354" w:rsidP="00E853B9">
      <w:pPr>
        <w:pStyle w:val="BodyText"/>
        <w:spacing w:before="0"/>
        <w:rPr>
          <w:rFonts w:cs="Arial"/>
        </w:rPr>
      </w:pPr>
      <w:r w:rsidRPr="0065414C">
        <w:rPr>
          <w:rFonts w:cs="Arial"/>
        </w:rPr>
        <w:t xml:space="preserve">Classifications aim to provide the health care sector with a nationally consistent method of classifying all types of patients, their </w:t>
      </w:r>
      <w:proofErr w:type="gramStart"/>
      <w:r w:rsidRPr="0065414C">
        <w:rPr>
          <w:rFonts w:cs="Arial"/>
        </w:rPr>
        <w:t>treatment</w:t>
      </w:r>
      <w:proofErr w:type="gramEnd"/>
      <w:r w:rsidRPr="0065414C">
        <w:rPr>
          <w:rFonts w:cs="Arial"/>
        </w:rPr>
        <w:t xml:space="preserve"> and associated costs to provide better management, measurement and funding of high quality and efficient health care services. Classifications are a critical element of </w:t>
      </w:r>
      <w:proofErr w:type="gramStart"/>
      <w:r w:rsidRPr="0065414C">
        <w:rPr>
          <w:rFonts w:cs="Arial"/>
        </w:rPr>
        <w:t>activity based</w:t>
      </w:r>
      <w:proofErr w:type="gramEnd"/>
      <w:r w:rsidRPr="0065414C">
        <w:rPr>
          <w:rFonts w:cs="Arial"/>
        </w:rPr>
        <w:t xml:space="preserve"> funding (ABF) as they help to group patients with similar conditions and complexity, resulting in groups that are clinically relevant and resource-homogenous</w:t>
      </w:r>
      <w:r w:rsidR="00485FA3" w:rsidRPr="0065414C">
        <w:rPr>
          <w:rFonts w:cs="Arial"/>
        </w:rPr>
        <w:t>.</w:t>
      </w:r>
    </w:p>
    <w:p w14:paraId="3329E0A9" w14:textId="77777777" w:rsidR="00B17301" w:rsidRPr="0065414C" w:rsidRDefault="00194354" w:rsidP="00B17301">
      <w:pPr>
        <w:pStyle w:val="BodyText"/>
        <w:rPr>
          <w:rFonts w:cs="Arial"/>
        </w:rPr>
      </w:pPr>
      <w:r w:rsidRPr="0065414C">
        <w:rPr>
          <w:rFonts w:cs="Arial"/>
        </w:rPr>
        <w:t>The Independent Hospital Pricing Authority (IHPA) reviews and updates existing classifications and is also responsible for introducing new classifications. There are currently six patient service categories that have classifications in use or in development in Australia</w:t>
      </w:r>
      <w:r w:rsidR="00485FA3" w:rsidRPr="0065414C">
        <w:rPr>
          <w:rFonts w:cs="Arial"/>
        </w:rPr>
        <w:t>:</w:t>
      </w:r>
    </w:p>
    <w:p w14:paraId="689C7B8C" w14:textId="77777777" w:rsidR="00B17301" w:rsidRPr="0065414C" w:rsidRDefault="00485FA3" w:rsidP="00B17301">
      <w:pPr>
        <w:pStyle w:val="ListParagraph"/>
        <w:rPr>
          <w:rFonts w:cs="Arial"/>
        </w:rPr>
      </w:pPr>
      <w:r w:rsidRPr="0065414C">
        <w:rPr>
          <w:rFonts w:cs="Arial"/>
        </w:rPr>
        <w:t>Admitted acute care</w:t>
      </w:r>
    </w:p>
    <w:p w14:paraId="563CA6FD" w14:textId="77777777" w:rsidR="00B17301" w:rsidRPr="0065414C" w:rsidRDefault="00B17301" w:rsidP="00B17301">
      <w:pPr>
        <w:pStyle w:val="ListParagraph"/>
        <w:rPr>
          <w:rFonts w:cs="Arial"/>
        </w:rPr>
      </w:pPr>
      <w:r w:rsidRPr="0065414C">
        <w:rPr>
          <w:rFonts w:cs="Arial"/>
        </w:rPr>
        <w:t>Subacute and non-acute care</w:t>
      </w:r>
    </w:p>
    <w:p w14:paraId="6FDF1EC9" w14:textId="77777777" w:rsidR="00B17301" w:rsidRPr="0065414C" w:rsidRDefault="00B17301" w:rsidP="00B17301">
      <w:pPr>
        <w:pStyle w:val="ListParagraph"/>
        <w:rPr>
          <w:rFonts w:cs="Arial"/>
        </w:rPr>
      </w:pPr>
      <w:r w:rsidRPr="0065414C">
        <w:rPr>
          <w:rFonts w:cs="Arial"/>
        </w:rPr>
        <w:t>Non-admitted care</w:t>
      </w:r>
    </w:p>
    <w:p w14:paraId="5DACEDEB" w14:textId="77777777" w:rsidR="00B17301" w:rsidRPr="0065414C" w:rsidRDefault="00B17301" w:rsidP="00B17301">
      <w:pPr>
        <w:pStyle w:val="ListParagraph"/>
        <w:rPr>
          <w:rFonts w:cs="Arial"/>
        </w:rPr>
      </w:pPr>
      <w:r w:rsidRPr="0065414C">
        <w:rPr>
          <w:rFonts w:cs="Arial"/>
        </w:rPr>
        <w:t>Emergency care</w:t>
      </w:r>
    </w:p>
    <w:p w14:paraId="4E303599" w14:textId="77777777" w:rsidR="00B17301" w:rsidRPr="0065414C" w:rsidRDefault="00B17301" w:rsidP="00B17301">
      <w:pPr>
        <w:pStyle w:val="ListParagraph"/>
        <w:rPr>
          <w:rFonts w:cs="Arial"/>
        </w:rPr>
      </w:pPr>
      <w:r w:rsidRPr="0065414C">
        <w:rPr>
          <w:rFonts w:cs="Arial"/>
        </w:rPr>
        <w:t>Mental health care</w:t>
      </w:r>
    </w:p>
    <w:p w14:paraId="2A8517A2" w14:textId="77777777" w:rsidR="00B17301" w:rsidRPr="0065414C" w:rsidRDefault="00485FA3" w:rsidP="00485FA3">
      <w:pPr>
        <w:pStyle w:val="ListParagraph"/>
        <w:rPr>
          <w:rFonts w:cs="Arial"/>
        </w:rPr>
      </w:pPr>
      <w:r w:rsidRPr="0065414C">
        <w:rPr>
          <w:rFonts w:cs="Arial"/>
        </w:rPr>
        <w:t>Teaching</w:t>
      </w:r>
      <w:r w:rsidR="00194354" w:rsidRPr="0065414C">
        <w:rPr>
          <w:rFonts w:cs="Arial"/>
        </w:rPr>
        <w:t xml:space="preserve"> and training</w:t>
      </w:r>
      <w:r w:rsidR="00B17301" w:rsidRPr="0065414C">
        <w:rPr>
          <w:rFonts w:cs="Arial"/>
        </w:rPr>
        <w:t>.</w:t>
      </w:r>
    </w:p>
    <w:p w14:paraId="4EE86EA7" w14:textId="77777777" w:rsidR="00C415F5" w:rsidRPr="0065414C" w:rsidRDefault="00485FA3" w:rsidP="00011A81">
      <w:pPr>
        <w:pStyle w:val="Heading2"/>
        <w:rPr>
          <w:rFonts w:cs="Arial"/>
        </w:rPr>
      </w:pPr>
      <w:bookmarkStart w:id="76" w:name="_Toc49953756"/>
      <w:bookmarkStart w:id="77" w:name="_Toc50532306"/>
      <w:r w:rsidRPr="0065414C">
        <w:rPr>
          <w:rFonts w:cs="Arial"/>
          <w:noProof/>
          <w:lang w:eastAsia="en-AU" w:bidi="ar-SA"/>
        </w:rPr>
        <mc:AlternateContent>
          <mc:Choice Requires="wps">
            <w:drawing>
              <wp:anchor distT="0" distB="0" distL="0" distR="0" simplePos="0" relativeHeight="251675648" behindDoc="1" locked="0" layoutInCell="1" allowOverlap="1" wp14:anchorId="79922D70" wp14:editId="37BFAA17">
                <wp:simplePos x="0" y="0"/>
                <wp:positionH relativeFrom="margin">
                  <wp:align>right</wp:align>
                </wp:positionH>
                <wp:positionV relativeFrom="paragraph">
                  <wp:posOffset>381387</wp:posOffset>
                </wp:positionV>
                <wp:extent cx="2743200" cy="664845"/>
                <wp:effectExtent l="0" t="0" r="19050" b="20955"/>
                <wp:wrapTopAndBottom/>
                <wp:docPr id="60" name="Text Box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664845"/>
                        </a:xfrm>
                        <a:prstGeom prst="rect">
                          <a:avLst/>
                        </a:prstGeom>
                        <a:noFill/>
                        <a:ln w="9525">
                          <a:solidFill>
                            <a:schemeClr val="accent3">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B1548E2" w14:textId="77777777" w:rsidR="001C5C18" w:rsidRPr="00941602" w:rsidRDefault="001C5C18" w:rsidP="00181BBB">
                            <w:pPr>
                              <w:pStyle w:val="BodyText"/>
                              <w:ind w:left="142"/>
                            </w:pPr>
                            <w:r>
                              <w:t>The review of acute care classifications found four key opportunities for improvements that will benefit the health care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22D70" id="Text Box 34" o:spid="_x0000_s1030" type="#_x0000_t202" alt="&quot;&quot;" style="position:absolute;margin-left:164.8pt;margin-top:30.05pt;width:3in;height:52.35pt;z-index:-25164083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" filled="f" strokecolor="#c31f48 [3206]">
                <v:textbox inset="0,0,0,0">
                  <w:txbxContent>
                    <w:p w14:paraId="7B1548E2" w14:textId="77777777" w:rsidR="001C5C18" w:rsidRPr="00941602" w:rsidRDefault="001C5C18" w:rsidP="00181BBB">
                      <w:pPr>
                        <w:pStyle w:val="BodyText"/>
                        <w:ind w:left="142"/>
                      </w:pPr>
                      <w:r>
                        <w:t>The review of acute care classifications found four key opportunities for improvements that will benefit the health care system.</w:t>
                      </w:r>
                    </w:p>
                  </w:txbxContent>
                </v:textbox>
                <w10:wrap type="topAndBottom" anchorx="margin"/>
              </v:shape>
            </w:pict>
          </mc:Fallback>
        </mc:AlternateContent>
      </w:r>
      <w:r w:rsidR="006F4825" w:rsidRPr="0065414C">
        <w:rPr>
          <w:rFonts w:cs="Arial"/>
        </w:rPr>
        <w:t>6.</w:t>
      </w:r>
      <w:r w:rsidR="00AA1554" w:rsidRPr="0065414C">
        <w:rPr>
          <w:rFonts w:cs="Arial"/>
        </w:rPr>
        <w:t>1</w:t>
      </w:r>
      <w:r w:rsidR="00EF5D73" w:rsidRPr="0065414C">
        <w:rPr>
          <w:rFonts w:cs="Arial"/>
        </w:rPr>
        <w:t>.</w:t>
      </w:r>
      <w:r w:rsidR="006F4825" w:rsidRPr="0065414C">
        <w:rPr>
          <w:rFonts w:cs="Arial"/>
        </w:rPr>
        <w:t xml:space="preserve"> </w:t>
      </w:r>
      <w:r w:rsidR="00AA1554" w:rsidRPr="0065414C">
        <w:rPr>
          <w:rFonts w:cs="Arial"/>
        </w:rPr>
        <w:t>Admitted acute care</w:t>
      </w:r>
      <w:bookmarkEnd w:id="76"/>
      <w:bookmarkEnd w:id="77"/>
    </w:p>
    <w:p w14:paraId="45E9DD7A" w14:textId="77777777" w:rsidR="00181BBB" w:rsidRPr="0065414C" w:rsidRDefault="00194354" w:rsidP="00181BBB">
      <w:pPr>
        <w:pStyle w:val="BodyText"/>
        <w:rPr>
          <w:rFonts w:cs="Arial"/>
        </w:rPr>
      </w:pPr>
      <w:r w:rsidRPr="0065414C">
        <w:rPr>
          <w:rFonts w:cs="Arial"/>
        </w:rPr>
        <w:t>The Australian Refined Diagnosis Related Group (AR-DRG) classification system is used for admitted acute episodes of care. This system is based on a set of three standards</w:t>
      </w:r>
      <w:r w:rsidR="00485FA3" w:rsidRPr="0065414C">
        <w:rPr>
          <w:rFonts w:cs="Arial"/>
        </w:rPr>
        <w:t>:</w:t>
      </w:r>
    </w:p>
    <w:p w14:paraId="37E25EDF" w14:textId="77777777" w:rsidR="00181BBB" w:rsidRPr="0065414C" w:rsidRDefault="00194354" w:rsidP="00181BBB">
      <w:pPr>
        <w:pStyle w:val="ListParagraph"/>
        <w:ind w:right="92"/>
        <w:rPr>
          <w:rFonts w:cs="Arial"/>
        </w:rPr>
      </w:pPr>
      <w:r w:rsidRPr="0065414C">
        <w:rPr>
          <w:rFonts w:cs="Arial"/>
        </w:rPr>
        <w:t>The International Statistical Classification of Diseases and Related Health Problems, Tenth Revision, Australian Modification (ICD-10-AM) to code diseases and problems</w:t>
      </w:r>
    </w:p>
    <w:p w14:paraId="025E6AC8" w14:textId="77777777" w:rsidR="00181BBB" w:rsidRPr="0065414C" w:rsidRDefault="00194354" w:rsidP="00181BBB">
      <w:pPr>
        <w:pStyle w:val="ListParagraph"/>
        <w:ind w:right="92"/>
        <w:rPr>
          <w:rFonts w:cs="Arial"/>
        </w:rPr>
      </w:pPr>
      <w:r w:rsidRPr="0065414C">
        <w:rPr>
          <w:rFonts w:cs="Arial"/>
        </w:rPr>
        <w:t>Australian Classification of Health Interventions (ACHI) to code procedures and interventions</w:t>
      </w:r>
    </w:p>
    <w:p w14:paraId="7B331EFE" w14:textId="77777777" w:rsidR="00B9422E" w:rsidRPr="0065414C" w:rsidRDefault="00B9422E" w:rsidP="00B9422E">
      <w:pPr>
        <w:ind w:right="92"/>
        <w:rPr>
          <w:rFonts w:cs="Arial"/>
        </w:rPr>
      </w:pPr>
    </w:p>
    <w:p w14:paraId="7338FA26" w14:textId="77777777" w:rsidR="00181BBB" w:rsidRPr="0065414C" w:rsidRDefault="00194354" w:rsidP="00181BBB">
      <w:pPr>
        <w:pStyle w:val="ListParagraph"/>
        <w:ind w:right="92"/>
        <w:rPr>
          <w:rFonts w:cs="Arial"/>
        </w:rPr>
      </w:pPr>
      <w:r w:rsidRPr="0065414C">
        <w:rPr>
          <w:rFonts w:cs="Arial"/>
        </w:rPr>
        <w:t>Australian Coding Standards (ACS), a supplement to ICD-10-AM and ACHI, to assist clinical coders in using the classifications</w:t>
      </w:r>
      <w:r w:rsidR="00485FA3" w:rsidRPr="0065414C">
        <w:rPr>
          <w:rFonts w:cs="Arial"/>
        </w:rPr>
        <w:t>.</w:t>
      </w:r>
    </w:p>
    <w:p w14:paraId="6BE168BB" w14:textId="77777777" w:rsidR="00181BBB" w:rsidRPr="0065414C" w:rsidRDefault="00194354" w:rsidP="00181BBB">
      <w:pPr>
        <w:pStyle w:val="BodyText"/>
        <w:rPr>
          <w:rFonts w:cs="Arial"/>
        </w:rPr>
      </w:pPr>
      <w:r w:rsidRPr="0065414C">
        <w:rPr>
          <w:rFonts w:cs="Arial"/>
        </w:rPr>
        <w:t>IHPA will use AR-DRG Version 10.0 and ICD</w:t>
      </w:r>
      <w:r w:rsidR="00071E45">
        <w:rPr>
          <w:rFonts w:cs="Arial"/>
        </w:rPr>
        <w:noBreakHyphen/>
      </w:r>
      <w:r w:rsidRPr="0065414C">
        <w:rPr>
          <w:rFonts w:cs="Arial"/>
        </w:rPr>
        <w:t>10</w:t>
      </w:r>
      <w:r w:rsidR="00071E45">
        <w:rPr>
          <w:rFonts w:cs="Arial"/>
        </w:rPr>
        <w:noBreakHyphen/>
      </w:r>
      <w:r w:rsidRPr="0065414C">
        <w:rPr>
          <w:rFonts w:cs="Arial"/>
        </w:rPr>
        <w:t xml:space="preserve">AM/ACHI/ACS Eleventh Edition to price admitted acute patient services for </w:t>
      </w:r>
      <w:r w:rsidRPr="0065414C">
        <w:rPr>
          <w:rFonts w:eastAsia="Arial" w:cs="Arial"/>
          <w:szCs w:val="22"/>
        </w:rPr>
        <w:t>the National Efficient Price Determination 2021–22 (</w:t>
      </w:r>
      <w:r w:rsidRPr="0065414C">
        <w:rPr>
          <w:rFonts w:cs="Arial"/>
        </w:rPr>
        <w:t>NEP21)</w:t>
      </w:r>
      <w:r w:rsidR="00485FA3" w:rsidRPr="0065414C">
        <w:rPr>
          <w:rFonts w:cs="Arial"/>
        </w:rPr>
        <w:t>.</w:t>
      </w:r>
      <w:r w:rsidR="00181BBB" w:rsidRPr="0065414C">
        <w:rPr>
          <w:rFonts w:cs="Arial"/>
        </w:rPr>
        <w:t xml:space="preserve"> </w:t>
      </w:r>
    </w:p>
    <w:p w14:paraId="417BC18C" w14:textId="77777777" w:rsidR="00181BBB" w:rsidRPr="0065414C" w:rsidRDefault="00194354" w:rsidP="00181BBB">
      <w:pPr>
        <w:pStyle w:val="BodyText"/>
        <w:rPr>
          <w:rFonts w:cs="Arial"/>
          <w:b/>
          <w:bCs/>
        </w:rPr>
      </w:pPr>
      <w:r w:rsidRPr="0065414C">
        <w:rPr>
          <w:rFonts w:cs="Arial"/>
        </w:rPr>
        <w:t>AR-DRG Version 11.0 and ICD-10-AM/ACHI/ACS Twelfth Edition are currently being developed</w:t>
      </w:r>
      <w:r w:rsidR="00485FA3" w:rsidRPr="0065414C">
        <w:rPr>
          <w:rFonts w:cs="Arial"/>
        </w:rPr>
        <w:t>.</w:t>
      </w:r>
    </w:p>
    <w:p w14:paraId="43BCFC30" w14:textId="77777777" w:rsidR="005C3B62" w:rsidRPr="0065414C" w:rsidRDefault="005C3B62" w:rsidP="00011A81">
      <w:pPr>
        <w:pStyle w:val="Heading3"/>
        <w:rPr>
          <w:rFonts w:cs="Arial"/>
        </w:rPr>
      </w:pPr>
      <w:r w:rsidRPr="0065414C">
        <w:rPr>
          <w:rFonts w:cs="Arial"/>
        </w:rPr>
        <w:t>Review of admitted acute care classification systems</w:t>
      </w:r>
    </w:p>
    <w:p w14:paraId="44239F98" w14:textId="77777777" w:rsidR="00181BBB" w:rsidRPr="0065414C" w:rsidRDefault="00194354" w:rsidP="00181BBB">
      <w:pPr>
        <w:pStyle w:val="BodyText"/>
        <w:rPr>
          <w:rFonts w:cs="Arial"/>
        </w:rPr>
      </w:pPr>
      <w:r w:rsidRPr="0065414C">
        <w:rPr>
          <w:rFonts w:cs="Arial"/>
        </w:rPr>
        <w:t>In 2019, IHPA commissioned a review of the processes involved in the development of the classifications for acute care. The Final Report on the Consultation and Review of the AR-DRG and ICD-10-AM/ACHI/ACS Classification Systems (the review) was presented to the Pricing Authority and IHPA’s advisory groups in early 2020</w:t>
      </w:r>
      <w:r w:rsidR="00485FA3" w:rsidRPr="0065414C">
        <w:rPr>
          <w:rFonts w:cs="Arial"/>
        </w:rPr>
        <w:t>.</w:t>
      </w:r>
    </w:p>
    <w:p w14:paraId="25AE621D" w14:textId="77777777" w:rsidR="007424D5" w:rsidRPr="0065414C" w:rsidRDefault="00194354" w:rsidP="00181BBB">
      <w:pPr>
        <w:pStyle w:val="BodyText"/>
        <w:rPr>
          <w:rFonts w:cs="Arial"/>
        </w:rPr>
        <w:sectPr w:rsidR="007424D5" w:rsidRPr="0065414C" w:rsidSect="00181BBB">
          <w:type w:val="continuous"/>
          <w:pgSz w:w="11910" w:h="16840"/>
          <w:pgMar w:top="1440" w:right="1440" w:bottom="1135" w:left="1440" w:header="720" w:footer="720" w:gutter="0"/>
          <w:cols w:num="2" w:space="340"/>
        </w:sectPr>
      </w:pPr>
      <w:r w:rsidRPr="0065414C">
        <w:rPr>
          <w:rFonts w:cs="Arial"/>
        </w:rPr>
        <w:t>The review identified that while the acute care classification development process was functioning well, there are four key opportunities for improvement to provide the most benefit to the health care system and stakeholders that use and implement the classifications. These opportunities are outlined below</w:t>
      </w:r>
      <w:r w:rsidR="00071E45">
        <w:rPr>
          <w:rFonts w:cs="Arial"/>
        </w:rPr>
        <w:t xml:space="preserve"> in </w:t>
      </w:r>
      <w:r w:rsidR="00071E45" w:rsidRPr="00071E45">
        <w:rPr>
          <w:rFonts w:cs="Arial"/>
          <w:b/>
        </w:rPr>
        <w:t>Figure 2</w:t>
      </w:r>
      <w:r w:rsidR="007424D5" w:rsidRPr="0065414C">
        <w:rPr>
          <w:rFonts w:cs="Arial"/>
        </w:rPr>
        <w:t>.</w:t>
      </w:r>
    </w:p>
    <w:p w14:paraId="2DF6A87C" w14:textId="77777777" w:rsidR="00A23AAB" w:rsidRPr="0065414C" w:rsidRDefault="00A23AAB" w:rsidP="00B9422E">
      <w:pPr>
        <w:pStyle w:val="Heading3"/>
        <w:spacing w:before="0"/>
        <w:rPr>
          <w:rFonts w:cs="Arial"/>
        </w:rPr>
      </w:pPr>
      <w:bookmarkStart w:id="78" w:name="_bookmark13"/>
      <w:bookmarkEnd w:id="78"/>
      <w:r w:rsidRPr="0065414C">
        <w:rPr>
          <w:rFonts w:cs="Arial"/>
        </w:rPr>
        <w:lastRenderedPageBreak/>
        <w:t>Extending the current development cycle</w:t>
      </w:r>
    </w:p>
    <w:p w14:paraId="6AAA6E7E" w14:textId="77777777" w:rsidR="00A23AAB" w:rsidRPr="0065414C" w:rsidRDefault="00194354" w:rsidP="00A23AAB">
      <w:pPr>
        <w:pStyle w:val="BodyText"/>
        <w:rPr>
          <w:rFonts w:cs="Arial"/>
        </w:rPr>
      </w:pPr>
      <w:r w:rsidRPr="0065414C">
        <w:rPr>
          <w:rFonts w:cs="Arial"/>
        </w:rPr>
        <w:t xml:space="preserve">The review identified that the regularity of the development cycle required significant resources to understand and implement changes to the classifications. While the previous two-year cycle was not </w:t>
      </w:r>
      <w:proofErr w:type="gramStart"/>
      <w:r w:rsidRPr="0065414C">
        <w:rPr>
          <w:rFonts w:cs="Arial"/>
        </w:rPr>
        <w:t>problematic in itself, a</w:t>
      </w:r>
      <w:proofErr w:type="gramEnd"/>
      <w:r w:rsidRPr="0065414C">
        <w:rPr>
          <w:rFonts w:cs="Arial"/>
        </w:rPr>
        <w:t xml:space="preserve"> three-year cycle would relieve some of the burden in implementation costs and provide more time for classification development. </w:t>
      </w:r>
      <w:r w:rsidRPr="0065414C">
        <w:rPr>
          <w:rFonts w:cs="Arial"/>
          <w:b/>
        </w:rPr>
        <w:t>Table 1</w:t>
      </w:r>
      <w:r w:rsidRPr="0065414C">
        <w:rPr>
          <w:rFonts w:cs="Arial"/>
        </w:rPr>
        <w:t xml:space="preserve"> shows the implementation dates for the previous and current cycles</w:t>
      </w:r>
      <w:r w:rsidR="00485FA3" w:rsidRPr="0065414C">
        <w:rPr>
          <w:rFonts w:cs="Arial"/>
        </w:rPr>
        <w:t>.</w:t>
      </w:r>
    </w:p>
    <w:p w14:paraId="275DC29F" w14:textId="77777777" w:rsidR="00A23AAB" w:rsidRPr="0065414C" w:rsidRDefault="00A23AAB" w:rsidP="00466C58">
      <w:pPr>
        <w:pStyle w:val="BodyText"/>
        <w:spacing w:after="240"/>
        <w:rPr>
          <w:rStyle w:val="FigureheadingChar"/>
          <w:rFonts w:cs="Arial"/>
        </w:rPr>
      </w:pPr>
      <w:r w:rsidRPr="0065414C">
        <w:rPr>
          <w:rStyle w:val="FigureheadingChar"/>
          <w:rFonts w:cs="Arial"/>
        </w:rPr>
        <w:t>Table 1: New acute care clas</w:t>
      </w:r>
      <w:r w:rsidR="00860863">
        <w:rPr>
          <w:rStyle w:val="FigureheadingChar"/>
          <w:rFonts w:cs="Arial"/>
        </w:rPr>
        <w:t>sification implementation dates</w:t>
      </w:r>
    </w:p>
    <w:tbl>
      <w:tblPr>
        <w:tblStyle w:val="IHPA"/>
        <w:tblW w:w="4111" w:type="dxa"/>
        <w:tblLayout w:type="fixed"/>
        <w:tblLook w:val="01E0" w:firstRow="1" w:lastRow="1" w:firstColumn="1" w:lastColumn="1" w:noHBand="0" w:noVBand="0"/>
        <w:tblCaption w:val="Table 1: New acute care classification implementation dates"/>
        <w:tblDescription w:val="Table with three columns across. Titles of columns from left are: Classification; Previous two year cycle; Current three year cycle. &#10;The table has four rows: Row 1, Column 1: ICD-10-AM/ACHI/ACS Twelfth Edition Column 2: 1 July 2021; Column 3: 1 July 2022.&#10;Row 2, Column 1: AR-DRG Version 11.0 Column 2: 1 July 2022; Column 3: 1 July 2023. Row 3, Column 1: ICD-10-AM/ACHI/ACS Thirteenth Edition Column 2: I July 2023; Column 3: 1 July 2025. Row 4, Column 1: AR-DRG Version 12.0 Column 2: 1 July 2023; Column 3: 1 July 2026.&#10;"/>
      </w:tblPr>
      <w:tblGrid>
        <w:gridCol w:w="1843"/>
        <w:gridCol w:w="1134"/>
        <w:gridCol w:w="1134"/>
      </w:tblGrid>
      <w:tr w:rsidR="00466C58" w:rsidRPr="0065414C" w14:paraId="110773A4" w14:textId="77777777" w:rsidTr="00395A1D">
        <w:trPr>
          <w:cnfStyle w:val="100000000000" w:firstRow="1" w:lastRow="0" w:firstColumn="0" w:lastColumn="0" w:oddVBand="0" w:evenVBand="0" w:oddHBand="0" w:evenHBand="0" w:firstRowFirstColumn="0" w:firstRowLastColumn="0" w:lastRowFirstColumn="0" w:lastRowLastColumn="0"/>
          <w:trHeight w:val="532"/>
        </w:trPr>
        <w:tc>
          <w:tcPr>
            <w:tcW w:w="1843" w:type="dxa"/>
            <w:shd w:val="clear" w:color="auto" w:fill="C31F48" w:themeFill="accent3"/>
          </w:tcPr>
          <w:p w14:paraId="53002859" w14:textId="77777777" w:rsidR="00466C58" w:rsidRPr="0065414C" w:rsidRDefault="00D946E5" w:rsidP="005413B6">
            <w:pPr>
              <w:pStyle w:val="TableParagraph"/>
              <w:spacing w:before="120" w:after="120"/>
              <w:ind w:left="113" w:right="113"/>
              <w:rPr>
                <w:rFonts w:cs="Arial"/>
                <w:color w:val="FFFFFF" w:themeColor="background1"/>
              </w:rPr>
            </w:pPr>
            <w:r w:rsidRPr="0065414C">
              <w:rPr>
                <w:rFonts w:cs="Arial"/>
                <w:color w:val="FFFFFF" w:themeColor="background1"/>
              </w:rPr>
              <w:t>Classification</w:t>
            </w:r>
          </w:p>
        </w:tc>
        <w:tc>
          <w:tcPr>
            <w:tcW w:w="1134" w:type="dxa"/>
            <w:shd w:val="clear" w:color="auto" w:fill="C31F48" w:themeFill="accent3"/>
          </w:tcPr>
          <w:p w14:paraId="4818CF53" w14:textId="77777777" w:rsidR="00466C58" w:rsidRPr="0065414C" w:rsidRDefault="00466C58" w:rsidP="005413B6">
            <w:pPr>
              <w:pStyle w:val="TableParagraph"/>
              <w:spacing w:before="120" w:after="120"/>
              <w:ind w:left="113"/>
              <w:rPr>
                <w:rFonts w:cs="Arial"/>
                <w:color w:val="FFFFFF" w:themeColor="background1"/>
              </w:rPr>
            </w:pPr>
            <w:r w:rsidRPr="0065414C">
              <w:rPr>
                <w:rFonts w:cs="Arial"/>
                <w:color w:val="FFFFFF" w:themeColor="background1"/>
              </w:rPr>
              <w:t>P</w:t>
            </w:r>
            <w:r w:rsidR="00D946E5" w:rsidRPr="0065414C">
              <w:rPr>
                <w:rFonts w:cs="Arial"/>
                <w:color w:val="FFFFFF" w:themeColor="background1"/>
              </w:rPr>
              <w:t xml:space="preserve">revious </w:t>
            </w:r>
            <w:proofErr w:type="gramStart"/>
            <w:r w:rsidR="00D946E5" w:rsidRPr="0065414C">
              <w:rPr>
                <w:rFonts w:cs="Arial"/>
                <w:color w:val="FFFFFF" w:themeColor="background1"/>
              </w:rPr>
              <w:t>2 year</w:t>
            </w:r>
            <w:proofErr w:type="gramEnd"/>
            <w:r w:rsidR="00D946E5" w:rsidRPr="0065414C">
              <w:rPr>
                <w:rFonts w:cs="Arial"/>
                <w:color w:val="FFFFFF" w:themeColor="background1"/>
              </w:rPr>
              <w:t xml:space="preserve"> cycle</w:t>
            </w:r>
          </w:p>
        </w:tc>
        <w:tc>
          <w:tcPr>
            <w:tcW w:w="1134" w:type="dxa"/>
            <w:shd w:val="clear" w:color="auto" w:fill="C31F48" w:themeFill="accent3"/>
          </w:tcPr>
          <w:p w14:paraId="7AD679B1" w14:textId="77777777" w:rsidR="00466C58" w:rsidRPr="0065414C" w:rsidRDefault="00D946E5" w:rsidP="005413B6">
            <w:pPr>
              <w:pStyle w:val="TableParagraph"/>
              <w:spacing w:before="120" w:after="120"/>
              <w:ind w:left="113"/>
              <w:rPr>
                <w:rFonts w:cs="Arial"/>
                <w:color w:val="FFFFFF" w:themeColor="background1"/>
              </w:rPr>
            </w:pPr>
            <w:r w:rsidRPr="0065414C">
              <w:rPr>
                <w:rFonts w:cs="Arial"/>
                <w:color w:val="FFFFFF" w:themeColor="background1"/>
              </w:rPr>
              <w:t xml:space="preserve">Current </w:t>
            </w:r>
            <w:proofErr w:type="gramStart"/>
            <w:r w:rsidRPr="0065414C">
              <w:rPr>
                <w:rFonts w:cs="Arial"/>
                <w:color w:val="FFFFFF" w:themeColor="background1"/>
              </w:rPr>
              <w:t>3 year</w:t>
            </w:r>
            <w:proofErr w:type="gramEnd"/>
            <w:r w:rsidRPr="0065414C">
              <w:rPr>
                <w:rFonts w:cs="Arial"/>
                <w:color w:val="FFFFFF" w:themeColor="background1"/>
              </w:rPr>
              <w:t xml:space="preserve"> cycle</w:t>
            </w:r>
          </w:p>
        </w:tc>
      </w:tr>
      <w:tr w:rsidR="00D946E5" w:rsidRPr="0065414C" w14:paraId="216154AD" w14:textId="77777777" w:rsidTr="00395A1D">
        <w:trPr>
          <w:trHeight w:val="743"/>
        </w:trPr>
        <w:tc>
          <w:tcPr>
            <w:tcW w:w="1843" w:type="dxa"/>
            <w:tcBorders>
              <w:bottom w:val="single" w:sz="4" w:space="0" w:color="58595A"/>
            </w:tcBorders>
          </w:tcPr>
          <w:p w14:paraId="65EC0343" w14:textId="77777777" w:rsidR="00D946E5" w:rsidRPr="0065414C" w:rsidRDefault="00D946E5" w:rsidP="005413B6">
            <w:pPr>
              <w:pStyle w:val="TableParagraph"/>
              <w:ind w:left="113" w:right="113"/>
              <w:rPr>
                <w:rFonts w:cs="Arial"/>
              </w:rPr>
            </w:pPr>
            <w:r w:rsidRPr="0065414C">
              <w:rPr>
                <w:rFonts w:cs="Arial"/>
              </w:rPr>
              <w:t>ICD-10-AM/</w:t>
            </w:r>
            <w:r w:rsidR="002117A9">
              <w:rPr>
                <w:rFonts w:cs="Arial"/>
              </w:rPr>
              <w:br/>
            </w:r>
            <w:r w:rsidRPr="0065414C">
              <w:rPr>
                <w:rFonts w:cs="Arial"/>
              </w:rPr>
              <w:t>ACHI/ACS</w:t>
            </w:r>
            <w:r w:rsidR="002117A9">
              <w:rPr>
                <w:rFonts w:cs="Arial"/>
              </w:rPr>
              <w:br/>
            </w:r>
            <w:r w:rsidRPr="0065414C">
              <w:rPr>
                <w:rFonts w:cs="Arial"/>
              </w:rPr>
              <w:t>Twelfth Edition</w:t>
            </w:r>
          </w:p>
        </w:tc>
        <w:tc>
          <w:tcPr>
            <w:tcW w:w="1134" w:type="dxa"/>
            <w:tcBorders>
              <w:bottom w:val="single" w:sz="4" w:space="0" w:color="58595A"/>
            </w:tcBorders>
          </w:tcPr>
          <w:p w14:paraId="2A461362" w14:textId="77777777" w:rsidR="00D946E5" w:rsidRPr="0065414C" w:rsidRDefault="00D946E5" w:rsidP="005413B6">
            <w:pPr>
              <w:pStyle w:val="TableParagraph"/>
              <w:ind w:left="113"/>
              <w:rPr>
                <w:rFonts w:cs="Arial"/>
              </w:rPr>
            </w:pPr>
            <w:r w:rsidRPr="0065414C">
              <w:rPr>
                <w:rFonts w:cs="Arial"/>
              </w:rPr>
              <w:t>1 July 2021</w:t>
            </w:r>
          </w:p>
        </w:tc>
        <w:tc>
          <w:tcPr>
            <w:tcW w:w="1134" w:type="dxa"/>
            <w:tcBorders>
              <w:bottom w:val="single" w:sz="4" w:space="0" w:color="58595A"/>
            </w:tcBorders>
          </w:tcPr>
          <w:p w14:paraId="5D625B9C" w14:textId="77777777" w:rsidR="00D946E5" w:rsidRPr="0065414C" w:rsidRDefault="00D946E5" w:rsidP="005413B6">
            <w:pPr>
              <w:pStyle w:val="TableParagraph"/>
              <w:ind w:left="113"/>
              <w:rPr>
                <w:rFonts w:cs="Arial"/>
              </w:rPr>
            </w:pPr>
            <w:r w:rsidRPr="0065414C">
              <w:rPr>
                <w:rFonts w:cs="Arial"/>
              </w:rPr>
              <w:t>1 July 2022</w:t>
            </w:r>
          </w:p>
        </w:tc>
      </w:tr>
      <w:tr w:rsidR="00D946E5" w:rsidRPr="0065414C" w14:paraId="1AD261B4" w14:textId="77777777" w:rsidTr="00395A1D">
        <w:trPr>
          <w:trHeight w:val="543"/>
        </w:trPr>
        <w:tc>
          <w:tcPr>
            <w:tcW w:w="1843" w:type="dxa"/>
            <w:tcBorders>
              <w:top w:val="single" w:sz="4" w:space="0" w:color="58595A"/>
              <w:bottom w:val="single" w:sz="4" w:space="0" w:color="58595A"/>
            </w:tcBorders>
          </w:tcPr>
          <w:p w14:paraId="2DFA44FE" w14:textId="77777777" w:rsidR="00D946E5" w:rsidRPr="0065414C" w:rsidRDefault="00D946E5" w:rsidP="005413B6">
            <w:pPr>
              <w:pStyle w:val="TableParagraph"/>
              <w:ind w:left="113" w:right="113"/>
              <w:rPr>
                <w:rFonts w:cs="Arial"/>
              </w:rPr>
            </w:pPr>
            <w:r w:rsidRPr="0065414C">
              <w:rPr>
                <w:rFonts w:cs="Arial"/>
              </w:rPr>
              <w:t>AR-DRG Version 11.0</w:t>
            </w:r>
          </w:p>
        </w:tc>
        <w:tc>
          <w:tcPr>
            <w:tcW w:w="1134" w:type="dxa"/>
            <w:tcBorders>
              <w:top w:val="single" w:sz="4" w:space="0" w:color="58595A"/>
              <w:bottom w:val="single" w:sz="4" w:space="0" w:color="58595A"/>
            </w:tcBorders>
          </w:tcPr>
          <w:p w14:paraId="75359D6F" w14:textId="77777777" w:rsidR="00D946E5" w:rsidRPr="0065414C" w:rsidRDefault="00D946E5" w:rsidP="005413B6">
            <w:pPr>
              <w:pStyle w:val="TableParagraph"/>
              <w:ind w:left="113"/>
              <w:rPr>
                <w:rFonts w:cs="Arial"/>
              </w:rPr>
            </w:pPr>
            <w:r w:rsidRPr="0065414C">
              <w:rPr>
                <w:rFonts w:cs="Arial"/>
              </w:rPr>
              <w:t>1 July 2022</w:t>
            </w:r>
          </w:p>
        </w:tc>
        <w:tc>
          <w:tcPr>
            <w:tcW w:w="1134" w:type="dxa"/>
            <w:tcBorders>
              <w:top w:val="single" w:sz="4" w:space="0" w:color="58595A"/>
              <w:bottom w:val="single" w:sz="4" w:space="0" w:color="58595A"/>
            </w:tcBorders>
          </w:tcPr>
          <w:p w14:paraId="24E5B15F" w14:textId="77777777" w:rsidR="00D946E5" w:rsidRPr="0065414C" w:rsidRDefault="00D946E5" w:rsidP="005413B6">
            <w:pPr>
              <w:pStyle w:val="TableParagraph"/>
              <w:ind w:left="113"/>
              <w:rPr>
                <w:rFonts w:cs="Arial"/>
              </w:rPr>
            </w:pPr>
            <w:r w:rsidRPr="0065414C">
              <w:rPr>
                <w:rFonts w:cs="Arial"/>
              </w:rPr>
              <w:t>1 July 2023</w:t>
            </w:r>
          </w:p>
        </w:tc>
      </w:tr>
      <w:tr w:rsidR="00D946E5" w:rsidRPr="0065414C" w14:paraId="227E1F0F" w14:textId="77777777" w:rsidTr="00395A1D">
        <w:trPr>
          <w:trHeight w:val="543"/>
        </w:trPr>
        <w:tc>
          <w:tcPr>
            <w:tcW w:w="1843" w:type="dxa"/>
            <w:tcBorders>
              <w:top w:val="single" w:sz="4" w:space="0" w:color="58595A"/>
              <w:bottom w:val="single" w:sz="4" w:space="0" w:color="58595A"/>
            </w:tcBorders>
          </w:tcPr>
          <w:p w14:paraId="13FB0837" w14:textId="77777777" w:rsidR="00D946E5" w:rsidRPr="0065414C" w:rsidRDefault="00D946E5" w:rsidP="005413B6">
            <w:pPr>
              <w:pStyle w:val="TableParagraph"/>
              <w:ind w:left="113" w:right="113"/>
              <w:rPr>
                <w:rFonts w:cs="Arial"/>
              </w:rPr>
            </w:pPr>
            <w:r w:rsidRPr="0065414C">
              <w:rPr>
                <w:rFonts w:cs="Arial"/>
              </w:rPr>
              <w:t>ICD-10-AM/</w:t>
            </w:r>
            <w:r w:rsidR="002117A9">
              <w:rPr>
                <w:rFonts w:cs="Arial"/>
              </w:rPr>
              <w:br/>
            </w:r>
            <w:r w:rsidRPr="0065414C">
              <w:rPr>
                <w:rFonts w:cs="Arial"/>
              </w:rPr>
              <w:t>ACHI/ACS Thirteenth Edition</w:t>
            </w:r>
          </w:p>
        </w:tc>
        <w:tc>
          <w:tcPr>
            <w:tcW w:w="1134" w:type="dxa"/>
            <w:tcBorders>
              <w:top w:val="single" w:sz="4" w:space="0" w:color="58595A"/>
              <w:bottom w:val="single" w:sz="4" w:space="0" w:color="58595A"/>
            </w:tcBorders>
          </w:tcPr>
          <w:p w14:paraId="2076E6F2" w14:textId="77777777" w:rsidR="00D946E5" w:rsidRPr="0065414C" w:rsidRDefault="00D946E5" w:rsidP="005413B6">
            <w:pPr>
              <w:pStyle w:val="TableParagraph"/>
              <w:ind w:left="113"/>
              <w:rPr>
                <w:rFonts w:cs="Arial"/>
              </w:rPr>
            </w:pPr>
            <w:r w:rsidRPr="0065414C">
              <w:rPr>
                <w:rFonts w:cs="Arial"/>
              </w:rPr>
              <w:t>1 July 2023</w:t>
            </w:r>
          </w:p>
        </w:tc>
        <w:tc>
          <w:tcPr>
            <w:tcW w:w="1134" w:type="dxa"/>
            <w:tcBorders>
              <w:top w:val="single" w:sz="4" w:space="0" w:color="58595A"/>
              <w:bottom w:val="single" w:sz="4" w:space="0" w:color="58595A"/>
            </w:tcBorders>
          </w:tcPr>
          <w:p w14:paraId="0C8697E7" w14:textId="77777777" w:rsidR="00D946E5" w:rsidRPr="0065414C" w:rsidRDefault="00D946E5" w:rsidP="005413B6">
            <w:pPr>
              <w:pStyle w:val="TableParagraph"/>
              <w:ind w:left="113"/>
              <w:rPr>
                <w:rFonts w:cs="Arial"/>
              </w:rPr>
            </w:pPr>
            <w:r w:rsidRPr="0065414C">
              <w:rPr>
                <w:rFonts w:cs="Arial"/>
              </w:rPr>
              <w:t>1 July 2025</w:t>
            </w:r>
          </w:p>
        </w:tc>
      </w:tr>
      <w:tr w:rsidR="00D946E5" w:rsidRPr="0065414C" w14:paraId="287D70A0" w14:textId="77777777" w:rsidTr="00395A1D">
        <w:trPr>
          <w:cnfStyle w:val="010000000000" w:firstRow="0" w:lastRow="1" w:firstColumn="0" w:lastColumn="0" w:oddVBand="0" w:evenVBand="0" w:oddHBand="0" w:evenHBand="0" w:firstRowFirstColumn="0" w:firstRowLastColumn="0" w:lastRowFirstColumn="0" w:lastRowLastColumn="0"/>
          <w:trHeight w:val="543"/>
        </w:trPr>
        <w:tc>
          <w:tcPr>
            <w:tcW w:w="1843" w:type="dxa"/>
            <w:tcBorders>
              <w:top w:val="single" w:sz="4" w:space="0" w:color="58595A"/>
              <w:bottom w:val="single" w:sz="4" w:space="0" w:color="58595A"/>
            </w:tcBorders>
          </w:tcPr>
          <w:p w14:paraId="5B7A4762" w14:textId="77777777" w:rsidR="00D946E5" w:rsidRPr="0065414C" w:rsidRDefault="00D946E5" w:rsidP="005413B6">
            <w:pPr>
              <w:pStyle w:val="TableParagraph"/>
              <w:ind w:left="113" w:right="113"/>
              <w:rPr>
                <w:rFonts w:cs="Arial"/>
              </w:rPr>
            </w:pPr>
            <w:r w:rsidRPr="0065414C">
              <w:rPr>
                <w:rFonts w:cs="Arial"/>
              </w:rPr>
              <w:t>AR-DRG Version 12.0</w:t>
            </w:r>
          </w:p>
        </w:tc>
        <w:tc>
          <w:tcPr>
            <w:tcW w:w="1134" w:type="dxa"/>
            <w:tcBorders>
              <w:top w:val="single" w:sz="4" w:space="0" w:color="58595A"/>
              <w:bottom w:val="single" w:sz="4" w:space="0" w:color="58595A"/>
            </w:tcBorders>
          </w:tcPr>
          <w:p w14:paraId="7D1158A2" w14:textId="77777777" w:rsidR="00D946E5" w:rsidRPr="0065414C" w:rsidRDefault="00D946E5" w:rsidP="005413B6">
            <w:pPr>
              <w:pStyle w:val="TableParagraph"/>
              <w:ind w:left="113"/>
              <w:rPr>
                <w:rFonts w:cs="Arial"/>
              </w:rPr>
            </w:pPr>
            <w:r w:rsidRPr="0065414C">
              <w:rPr>
                <w:rFonts w:cs="Arial"/>
              </w:rPr>
              <w:t>1 July 2023</w:t>
            </w:r>
          </w:p>
        </w:tc>
        <w:tc>
          <w:tcPr>
            <w:tcW w:w="1134" w:type="dxa"/>
            <w:tcBorders>
              <w:top w:val="single" w:sz="4" w:space="0" w:color="58595A"/>
              <w:bottom w:val="single" w:sz="4" w:space="0" w:color="58595A"/>
            </w:tcBorders>
          </w:tcPr>
          <w:p w14:paraId="1D823D7C" w14:textId="77777777" w:rsidR="00D946E5" w:rsidRPr="0065414C" w:rsidRDefault="00D946E5" w:rsidP="005413B6">
            <w:pPr>
              <w:pStyle w:val="TableParagraph"/>
              <w:ind w:left="113"/>
              <w:rPr>
                <w:rFonts w:cs="Arial"/>
              </w:rPr>
            </w:pPr>
            <w:r w:rsidRPr="0065414C">
              <w:rPr>
                <w:rFonts w:cs="Arial"/>
              </w:rPr>
              <w:t>1 July 2026</w:t>
            </w:r>
          </w:p>
        </w:tc>
      </w:tr>
    </w:tbl>
    <w:p w14:paraId="6F5674E7" w14:textId="77777777" w:rsidR="00110D57" w:rsidRPr="0065414C" w:rsidRDefault="00936F6B" w:rsidP="00110D57">
      <w:pPr>
        <w:pStyle w:val="BodyText"/>
        <w:rPr>
          <w:rFonts w:cs="Arial"/>
        </w:rPr>
      </w:pPr>
      <w:r w:rsidRPr="0065414C">
        <w:rPr>
          <w:rFonts w:cs="Arial"/>
        </w:rPr>
        <w:t>The review also identified a lack of agility in the classifications being able to keep pace with new health technologies due to the rigidity of the deadlines for the development cycle. The electronic code lists are determined for the release of each classification version and there is no ability to add new codes until the next edition is released</w:t>
      </w:r>
      <w:r w:rsidR="00485FA3" w:rsidRPr="0065414C">
        <w:rPr>
          <w:rFonts w:cs="Arial"/>
        </w:rPr>
        <w:t>.</w:t>
      </w:r>
    </w:p>
    <w:p w14:paraId="62CFA665" w14:textId="77777777" w:rsidR="00485FA3" w:rsidRPr="0065414C" w:rsidRDefault="00925C8B" w:rsidP="00110D57">
      <w:pPr>
        <w:pStyle w:val="BodyText"/>
        <w:rPr>
          <w:rFonts w:cs="Arial"/>
        </w:rPr>
      </w:pPr>
      <w:r>
        <w:rPr>
          <w:rFonts w:cs="Arial"/>
        </w:rPr>
        <w:br w:type="column"/>
      </w:r>
      <w:r w:rsidR="00936F6B" w:rsidRPr="0065414C">
        <w:rPr>
          <w:rFonts w:cs="Arial"/>
        </w:rPr>
        <w:t>An initial review of potential mechanisms to address this issue identified an option to develop a set of codes in ACHI to be used as placeholders for new health technology without having to wait for a subsequent edition of ACHI, or having large impacts on software systems mid-edition. This would ensure that new technologies could be captured with minimal impact to the structure of data collections thus reducing infrastructure and implementation costs</w:t>
      </w:r>
      <w:r w:rsidR="00485FA3" w:rsidRPr="0065414C">
        <w:rPr>
          <w:rFonts w:cs="Arial"/>
        </w:rPr>
        <w:t>.</w:t>
      </w:r>
    </w:p>
    <w:p w14:paraId="532F60DC" w14:textId="77777777" w:rsidR="00337557" w:rsidRDefault="00936F6B" w:rsidP="00936F6B">
      <w:pPr>
        <w:pStyle w:val="BodyText"/>
        <w:rPr>
          <w:rFonts w:cs="Arial"/>
        </w:rPr>
      </w:pPr>
      <w:r w:rsidRPr="0065414C">
        <w:rPr>
          <w:rFonts w:cs="Arial"/>
        </w:rPr>
        <w:t>From ACHI Twelfth Edition, to be released in 2022, these placeholder codes would be embedded within the classification and the electronic code lists in software systems.</w:t>
      </w:r>
    </w:p>
    <w:p w14:paraId="5BA3AE8A" w14:textId="77777777" w:rsidR="00B14BC9" w:rsidRPr="0065414C" w:rsidRDefault="00936F6B" w:rsidP="00936F6B">
      <w:pPr>
        <w:pStyle w:val="BodyText"/>
        <w:rPr>
          <w:rFonts w:cs="Arial"/>
        </w:rPr>
      </w:pPr>
      <w:r w:rsidRPr="0065414C">
        <w:rPr>
          <w:rFonts w:cs="Arial"/>
        </w:rPr>
        <w:t>IHPA will develop an approach to determine when a new technology would qualify for a placeholder code and, subsequently, when a placeholder code would be formally integrated into ACHI. IHPA will undertake a review of its</w:t>
      </w:r>
      <w:r w:rsidR="00485FA3" w:rsidRPr="0065414C">
        <w:rPr>
          <w:rFonts w:cs="Arial"/>
        </w:rPr>
        <w:t xml:space="preserve"> </w:t>
      </w:r>
      <w:hyperlink r:id="rId64" w:history="1">
        <w:r w:rsidR="00485FA3" w:rsidRPr="0065414C">
          <w:rPr>
            <w:rStyle w:val="Hyperlink"/>
            <w:rFonts w:cs="Arial"/>
            <w:i/>
            <w:color w:val="7EC352" w:themeColor="accent1"/>
            <w:lang w:eastAsia="en-AU"/>
          </w:rPr>
          <w:t>Impact of New Health Technology Framework</w:t>
        </w:r>
      </w:hyperlink>
      <w:r w:rsidR="00485FA3" w:rsidRPr="0065414C">
        <w:rPr>
          <w:rFonts w:cs="Arial"/>
        </w:rPr>
        <w:t xml:space="preserve"> (</w:t>
      </w:r>
      <w:r w:rsidRPr="0065414C">
        <w:rPr>
          <w:rFonts w:cs="Arial"/>
        </w:rPr>
        <w:t>the Framework) and update once this approach has been determined</w:t>
      </w:r>
      <w:r w:rsidR="00485FA3" w:rsidRPr="0065414C">
        <w:rPr>
          <w:rFonts w:cs="Arial"/>
        </w:rPr>
        <w:t>.</w:t>
      </w:r>
    </w:p>
    <w:p w14:paraId="316BBD13" w14:textId="77777777" w:rsidR="00A23AAB" w:rsidRPr="0065414C" w:rsidRDefault="008C32CC" w:rsidP="00011A81">
      <w:pPr>
        <w:pStyle w:val="Heading3"/>
        <w:rPr>
          <w:rFonts w:cs="Arial"/>
        </w:rPr>
      </w:pPr>
      <w:r w:rsidRPr="0065414C">
        <w:rPr>
          <w:rFonts w:cs="Arial"/>
        </w:rPr>
        <w:t>Embedding principles to focus the development approach</w:t>
      </w:r>
    </w:p>
    <w:p w14:paraId="0D414CAF" w14:textId="77777777" w:rsidR="0014198E" w:rsidRPr="0065414C" w:rsidRDefault="00936F6B" w:rsidP="0014198E">
      <w:pPr>
        <w:pStyle w:val="BodyText"/>
        <w:rPr>
          <w:rFonts w:cs="Arial"/>
        </w:rPr>
      </w:pPr>
      <w:r w:rsidRPr="0065414C">
        <w:rPr>
          <w:rFonts w:cs="Arial"/>
        </w:rPr>
        <w:t xml:space="preserve">The review highlighted a need to create robust development and priority-setting principles to ensure that the acute care classifications respond to Australian health system needs. IHPA has developed four types of principles and their purpose in the classification development cycle are illustrated in </w:t>
      </w:r>
      <w:r w:rsidRPr="0065414C">
        <w:rPr>
          <w:rFonts w:cs="Arial"/>
          <w:b/>
        </w:rPr>
        <w:t>Figure 2</w:t>
      </w:r>
      <w:r w:rsidR="00485FA3" w:rsidRPr="0065414C">
        <w:rPr>
          <w:rFonts w:cs="Arial"/>
        </w:rPr>
        <w:t>.</w:t>
      </w:r>
      <w:r w:rsidR="0014198E" w:rsidRPr="0065414C">
        <w:rPr>
          <w:rFonts w:cs="Arial"/>
        </w:rPr>
        <w:t xml:space="preserve"> </w:t>
      </w:r>
    </w:p>
    <w:p w14:paraId="1D2793B1" w14:textId="77777777" w:rsidR="00485FA3" w:rsidRPr="0065414C" w:rsidRDefault="00936F6B" w:rsidP="00485FA3">
      <w:pPr>
        <w:pStyle w:val="BodyText"/>
        <w:rPr>
          <w:rFonts w:cs="Arial"/>
        </w:rPr>
        <w:sectPr w:rsidR="00485FA3" w:rsidRPr="0065414C" w:rsidSect="00925C8B">
          <w:headerReference w:type="default" r:id="rId65"/>
          <w:pgSz w:w="11910" w:h="16840"/>
          <w:pgMar w:top="1134" w:right="1440" w:bottom="1440" w:left="1440" w:header="0" w:footer="656" w:gutter="0"/>
          <w:cols w:num="2" w:space="340"/>
        </w:sectPr>
      </w:pPr>
      <w:r w:rsidRPr="0065414C">
        <w:rPr>
          <w:rFonts w:cs="Arial"/>
        </w:rPr>
        <w:t>The principles will facilitate rigorous forward planning and approval processes, supported by a set of principles or decision criteria for the initial filtering and triaging of development requests. This will improve the transparency of the acute care classifications work program and improve users’ preparedness for adopting changes</w:t>
      </w:r>
      <w:r w:rsidR="00485FA3" w:rsidRPr="0065414C">
        <w:rPr>
          <w:rFonts w:cs="Arial"/>
        </w:rPr>
        <w:t>.</w:t>
      </w:r>
    </w:p>
    <w:p w14:paraId="1259B709" w14:textId="77777777" w:rsidR="00110D57" w:rsidRPr="0065414C" w:rsidRDefault="00110D57" w:rsidP="00485FA3">
      <w:pPr>
        <w:pStyle w:val="Figureheading"/>
        <w:spacing w:before="240" w:after="164"/>
        <w:rPr>
          <w:rFonts w:cs="Arial"/>
        </w:rPr>
      </w:pPr>
      <w:r w:rsidRPr="0065414C">
        <w:rPr>
          <w:rFonts w:cs="Arial"/>
        </w:rPr>
        <w:t>Figure 2: Four types of principles guiding the classification development cycle</w:t>
      </w:r>
    </w:p>
    <w:p w14:paraId="16CF7D8F" w14:textId="77777777" w:rsidR="00860863" w:rsidRPr="0065414C" w:rsidRDefault="002117A9" w:rsidP="00860863">
      <w:pPr>
        <w:pStyle w:val="BodyText"/>
        <w:rPr>
          <w:rFonts w:cs="Arial"/>
        </w:rPr>
      </w:pPr>
      <w:r>
        <w:rPr>
          <w:rFonts w:cs="Arial"/>
          <w:noProof/>
          <w:lang w:eastAsia="en-AU" w:bidi="ar-SA"/>
        </w:rPr>
        <w:drawing>
          <wp:inline distT="0" distB="0" distL="0" distR="0" wp14:anchorId="4EDDA58C" wp14:editId="66BB959C">
            <wp:extent cx="1527016" cy="2234833"/>
            <wp:effectExtent l="0" t="0" r="0" b="0"/>
            <wp:docPr id="41" name="Picture 41" descr="IHPA has developed four types of principles and their purpose in the classification development cycle. &#10;Process principles, which are aimed to be overarching values that guide the development cycle and benefits the cycle by assisting stakeholders to understand how developments are progr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HPA has developed four types of principles and their purpose in the classification development cycle. &#10;Process principles, which are aimed to be overarching values that guide the development cycle and benefits the cycle by assisting stakeholders to understand how developments are progressed."/>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1527016" cy="2234833"/>
                    </a:xfrm>
                    <a:prstGeom prst="rect">
                      <a:avLst/>
                    </a:prstGeom>
                    <a:ln>
                      <a:noFill/>
                    </a:ln>
                    <a:extLst>
                      <a:ext uri="{53640926-AAD7-44D8-BBD7-CCE9431645EC}">
                        <a14:shadowObscured xmlns:a14="http://schemas.microsoft.com/office/drawing/2010/main"/>
                      </a:ext>
                    </a:extLst>
                  </pic:spPr>
                </pic:pic>
              </a:graphicData>
            </a:graphic>
          </wp:inline>
        </w:drawing>
      </w:r>
      <w:r w:rsidR="00860863">
        <w:rPr>
          <w:rFonts w:cs="Arial"/>
        </w:rPr>
        <w:t xml:space="preserve">         </w:t>
      </w:r>
      <w:r w:rsidR="00860863" w:rsidRPr="0065414C">
        <w:rPr>
          <w:rFonts w:cs="Arial"/>
          <w:noProof/>
          <w:lang w:eastAsia="en-AU" w:bidi="ar-SA"/>
        </w:rPr>
        <w:drawing>
          <wp:inline distT="0" distB="0" distL="0" distR="0" wp14:anchorId="2400C9E0" wp14:editId="4D4D6679">
            <wp:extent cx="912181" cy="2233766"/>
            <wp:effectExtent l="0" t="0" r="2540" b="0"/>
            <wp:docPr id="67" name="Picture 67" descr="Decision principles, which are aimed to define the scope of classification development and benefits the cycles by removing tasks not suited for the classific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Decision principles, which are aimed to define the scope of classification development and benefits the cycles by removing tasks not suited for the classifications. "/>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912181" cy="2233766"/>
                    </a:xfrm>
                    <a:prstGeom prst="rect">
                      <a:avLst/>
                    </a:prstGeom>
                    <a:ln>
                      <a:noFill/>
                    </a:ln>
                    <a:extLst>
                      <a:ext uri="{53640926-AAD7-44D8-BBD7-CCE9431645EC}">
                        <a14:shadowObscured xmlns:a14="http://schemas.microsoft.com/office/drawing/2010/main"/>
                      </a:ext>
                    </a:extLst>
                  </pic:spPr>
                </pic:pic>
              </a:graphicData>
            </a:graphic>
          </wp:inline>
        </w:drawing>
      </w:r>
      <w:r w:rsidR="00860863">
        <w:rPr>
          <w:rFonts w:cs="Arial"/>
        </w:rPr>
        <w:t xml:space="preserve">         </w:t>
      </w:r>
      <w:r w:rsidR="00860863" w:rsidRPr="0065414C">
        <w:rPr>
          <w:rFonts w:cs="Arial"/>
          <w:noProof/>
          <w:lang w:eastAsia="en-AU" w:bidi="ar-SA"/>
        </w:rPr>
        <w:drawing>
          <wp:inline distT="0" distB="0" distL="0" distR="0" wp14:anchorId="2D611077" wp14:editId="7FC17D45">
            <wp:extent cx="908589" cy="2233766"/>
            <wp:effectExtent l="0" t="0" r="6350" b="0"/>
            <wp:docPr id="70" name="Picture 70" descr="Prioritisation principles, which are aimed to set priorities for the current development cycle and benefits the cycle as it aligns with the needs of the Australian health care sys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Prioritisation principles, which are aimed to set priorities for the current development cycle and benefits the cycle as it aligns with the needs of the Australian health care system. "/>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908589" cy="2233766"/>
                    </a:xfrm>
                    <a:prstGeom prst="rect">
                      <a:avLst/>
                    </a:prstGeom>
                    <a:ln>
                      <a:noFill/>
                    </a:ln>
                    <a:extLst>
                      <a:ext uri="{53640926-AAD7-44D8-BBD7-CCE9431645EC}">
                        <a14:shadowObscured xmlns:a14="http://schemas.microsoft.com/office/drawing/2010/main"/>
                      </a:ext>
                    </a:extLst>
                  </pic:spPr>
                </pic:pic>
              </a:graphicData>
            </a:graphic>
          </wp:inline>
        </w:drawing>
      </w:r>
      <w:r w:rsidR="00860863">
        <w:rPr>
          <w:rFonts w:cs="Arial"/>
        </w:rPr>
        <w:t xml:space="preserve">         </w:t>
      </w:r>
      <w:r w:rsidR="00860863" w:rsidRPr="0065414C">
        <w:rPr>
          <w:rFonts w:cs="Arial"/>
          <w:noProof/>
          <w:lang w:eastAsia="en-AU" w:bidi="ar-SA"/>
        </w:rPr>
        <w:drawing>
          <wp:inline distT="0" distB="0" distL="0" distR="0" wp14:anchorId="3CEFAA51" wp14:editId="5165AEC8">
            <wp:extent cx="907847" cy="2231939"/>
            <wp:effectExtent l="0" t="0" r="6985" b="0"/>
            <wp:docPr id="36" name="Picture 36" descr="Development principles, which are aimed to include technical rules used to guide development tasks and benefits the cycle to ensure consistency in classification develop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evelopment principles, which are aimed to include technical rules used to guide development tasks and benefits the cycle to ensure consistency in classification development. "/>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908806" cy="2234298"/>
                    </a:xfrm>
                    <a:prstGeom prst="rect">
                      <a:avLst/>
                    </a:prstGeom>
                    <a:ln>
                      <a:noFill/>
                    </a:ln>
                    <a:extLst>
                      <a:ext uri="{53640926-AAD7-44D8-BBD7-CCE9431645EC}">
                        <a14:shadowObscured xmlns:a14="http://schemas.microsoft.com/office/drawing/2010/main"/>
                      </a:ext>
                    </a:extLst>
                  </pic:spPr>
                </pic:pic>
              </a:graphicData>
            </a:graphic>
          </wp:inline>
        </w:drawing>
      </w:r>
    </w:p>
    <w:p w14:paraId="31108DA6" w14:textId="77777777" w:rsidR="00C415F5" w:rsidRPr="0065414C" w:rsidRDefault="00C415F5">
      <w:pPr>
        <w:spacing w:line="256" w:lineRule="auto"/>
        <w:rPr>
          <w:rFonts w:cs="Arial"/>
        </w:rPr>
        <w:sectPr w:rsidR="00C415F5" w:rsidRPr="0065414C" w:rsidSect="00B14BC9">
          <w:type w:val="continuous"/>
          <w:pgSz w:w="11910" w:h="16840"/>
          <w:pgMar w:top="1440" w:right="1440" w:bottom="1440" w:left="1440" w:header="0" w:footer="656" w:gutter="0"/>
          <w:cols w:space="340"/>
        </w:sectPr>
      </w:pPr>
    </w:p>
    <w:p w14:paraId="6316E3B5" w14:textId="77777777" w:rsidR="0016039E" w:rsidRPr="0065414C" w:rsidRDefault="0016039E" w:rsidP="00B9422E">
      <w:pPr>
        <w:pStyle w:val="Heading3"/>
        <w:spacing w:before="0"/>
        <w:rPr>
          <w:rFonts w:cs="Arial"/>
        </w:rPr>
      </w:pPr>
      <w:bookmarkStart w:id="79" w:name="_bookmark14"/>
      <w:bookmarkEnd w:id="79"/>
      <w:r w:rsidRPr="0065414C">
        <w:rPr>
          <w:rFonts w:cs="Arial"/>
        </w:rPr>
        <w:lastRenderedPageBreak/>
        <w:t>Streamlining clinical and technical input into the classifications</w:t>
      </w:r>
    </w:p>
    <w:p w14:paraId="002A7EC2" w14:textId="77777777" w:rsidR="0016039E" w:rsidRPr="0065414C" w:rsidRDefault="00936F6B" w:rsidP="0016039E">
      <w:pPr>
        <w:pStyle w:val="BodyText"/>
        <w:rPr>
          <w:rFonts w:cs="Arial"/>
        </w:rPr>
      </w:pPr>
      <w:r w:rsidRPr="0065414C">
        <w:rPr>
          <w:rFonts w:cs="Arial"/>
        </w:rPr>
        <w:t xml:space="preserve">The review highlighted </w:t>
      </w:r>
      <w:proofErr w:type="gramStart"/>
      <w:r w:rsidRPr="0065414C">
        <w:rPr>
          <w:rFonts w:cs="Arial"/>
        </w:rPr>
        <w:t>a number of</w:t>
      </w:r>
      <w:proofErr w:type="gramEnd"/>
      <w:r w:rsidRPr="0065414C">
        <w:rPr>
          <w:rFonts w:cs="Arial"/>
        </w:rPr>
        <w:t xml:space="preserve"> administrative burdens related to consultation in the current development cycle. Therefore, IHPA is considering options to streamline consultation processes</w:t>
      </w:r>
      <w:r w:rsidR="005B637D" w:rsidRPr="0065414C">
        <w:rPr>
          <w:rFonts w:cs="Arial"/>
        </w:rPr>
        <w:t>.</w:t>
      </w:r>
      <w:r w:rsidR="0016039E" w:rsidRPr="0065414C">
        <w:rPr>
          <w:rFonts w:cs="Arial"/>
        </w:rPr>
        <w:t xml:space="preserve"> </w:t>
      </w:r>
    </w:p>
    <w:p w14:paraId="794D9072" w14:textId="77777777" w:rsidR="0016039E" w:rsidRPr="0065414C" w:rsidRDefault="00936F6B" w:rsidP="0016039E">
      <w:pPr>
        <w:pStyle w:val="BodyText"/>
        <w:rPr>
          <w:rFonts w:cs="Arial"/>
        </w:rPr>
      </w:pPr>
      <w:r w:rsidRPr="0065414C">
        <w:rPr>
          <w:rFonts w:cs="Arial"/>
        </w:rPr>
        <w:t xml:space="preserve">IHPA proposes to redevelop the Australian Classification Exchange (ACE) portal to align with the principles outlined in </w:t>
      </w:r>
      <w:r w:rsidRPr="0065414C">
        <w:rPr>
          <w:rFonts w:cs="Arial"/>
          <w:b/>
        </w:rPr>
        <w:t>Figure 2</w:t>
      </w:r>
      <w:r w:rsidRPr="0065414C">
        <w:rPr>
          <w:rFonts w:cs="Arial"/>
        </w:rPr>
        <w:t>. This would include stakeholders being required to provide robust evidence for change requests before a submission is accepted and facilitate a more transparent process for all stakeholders by dynamically displaying the stage and outcome of a submission</w:t>
      </w:r>
      <w:r w:rsidR="005B637D" w:rsidRPr="0065414C">
        <w:rPr>
          <w:rFonts w:cs="Arial"/>
        </w:rPr>
        <w:t>.</w:t>
      </w:r>
    </w:p>
    <w:p w14:paraId="2FAB598E" w14:textId="77777777" w:rsidR="00C415F5" w:rsidRPr="0065414C" w:rsidRDefault="00936F6B" w:rsidP="0016039E">
      <w:pPr>
        <w:pStyle w:val="BodyText"/>
        <w:rPr>
          <w:rFonts w:cs="Arial"/>
        </w:rPr>
      </w:pPr>
      <w:r w:rsidRPr="0065414C">
        <w:rPr>
          <w:rFonts w:cs="Arial"/>
        </w:rPr>
        <w:t>IHPA is also exploring a more streamlined process for obtaining clinical input and is reviewing the acute care classification working groups to explore efficiencies in their governance and operation</w:t>
      </w:r>
      <w:r w:rsidR="0016039E" w:rsidRPr="0065414C">
        <w:rPr>
          <w:rFonts w:cs="Arial"/>
        </w:rPr>
        <w:t>.</w:t>
      </w:r>
      <w:r w:rsidR="00C00A81" w:rsidRPr="0065414C">
        <w:rPr>
          <w:rFonts w:cs="Arial"/>
        </w:rPr>
        <w:t xml:space="preserve"> </w:t>
      </w:r>
    </w:p>
    <w:p w14:paraId="5B977347" w14:textId="77777777" w:rsidR="00904AB4" w:rsidRPr="0065414C" w:rsidRDefault="00904AB4" w:rsidP="00011A81">
      <w:pPr>
        <w:pStyle w:val="Heading3"/>
        <w:rPr>
          <w:rFonts w:cs="Arial"/>
        </w:rPr>
      </w:pPr>
      <w:r w:rsidRPr="0065414C">
        <w:rPr>
          <w:rFonts w:cs="Arial"/>
        </w:rPr>
        <w:t>Enhancing education material and other support for implementation</w:t>
      </w:r>
    </w:p>
    <w:p w14:paraId="5C2E4AB3" w14:textId="77777777" w:rsidR="00904AB4" w:rsidRPr="0065414C" w:rsidRDefault="00936F6B" w:rsidP="00904AB4">
      <w:pPr>
        <w:pStyle w:val="BodyText"/>
        <w:rPr>
          <w:rFonts w:cs="Arial"/>
        </w:rPr>
      </w:pPr>
      <w:r w:rsidRPr="0065414C">
        <w:rPr>
          <w:rFonts w:cs="Arial"/>
        </w:rPr>
        <w:t>Education on the new edition ICD</w:t>
      </w:r>
      <w:r w:rsidR="002117A9">
        <w:rPr>
          <w:rFonts w:cs="Arial"/>
        </w:rPr>
        <w:noBreakHyphen/>
      </w:r>
      <w:r w:rsidRPr="0065414C">
        <w:rPr>
          <w:rFonts w:cs="Arial"/>
        </w:rPr>
        <w:t>10</w:t>
      </w:r>
      <w:r w:rsidR="002117A9">
        <w:rPr>
          <w:rFonts w:cs="Arial"/>
        </w:rPr>
        <w:noBreakHyphen/>
      </w:r>
      <w:r w:rsidRPr="0065414C">
        <w:rPr>
          <w:rFonts w:cs="Arial"/>
        </w:rPr>
        <w:t xml:space="preserve">AM/ACHI/ACS was highlighted as an area for improvement. Face-to-face education </w:t>
      </w:r>
      <w:proofErr w:type="gramStart"/>
      <w:r w:rsidRPr="0065414C">
        <w:rPr>
          <w:rFonts w:cs="Arial"/>
        </w:rPr>
        <w:t>was seen as</w:t>
      </w:r>
      <w:proofErr w:type="gramEnd"/>
      <w:r w:rsidRPr="0065414C">
        <w:rPr>
          <w:rFonts w:cs="Arial"/>
        </w:rPr>
        <w:t xml:space="preserve"> a desirable method however IHPA notes that this method may reach a limited audience. Therefore, IHPA is exploring options for different models of education delivery, including a more comprehensive online education for new editions to ensure quality, standardised education that reaches the entire workforce</w:t>
      </w:r>
      <w:r w:rsidR="005B637D" w:rsidRPr="0065414C">
        <w:rPr>
          <w:rFonts w:cs="Arial"/>
        </w:rPr>
        <w:t>.</w:t>
      </w:r>
      <w:r w:rsidR="00904AB4" w:rsidRPr="0065414C">
        <w:rPr>
          <w:rFonts w:cs="Arial"/>
        </w:rPr>
        <w:t xml:space="preserve"> </w:t>
      </w:r>
    </w:p>
    <w:p w14:paraId="76F4A20C" w14:textId="77777777" w:rsidR="00904AB4" w:rsidRPr="0065414C" w:rsidRDefault="00936F6B" w:rsidP="00904AB4">
      <w:pPr>
        <w:pStyle w:val="BodyText"/>
        <w:rPr>
          <w:rFonts w:cs="Arial"/>
        </w:rPr>
      </w:pPr>
      <w:r w:rsidRPr="0065414C">
        <w:rPr>
          <w:rFonts w:cs="Arial"/>
        </w:rPr>
        <w:t>While developing ongoing education for ICD</w:t>
      </w:r>
      <w:r w:rsidR="002117A9">
        <w:rPr>
          <w:rFonts w:cs="Arial"/>
        </w:rPr>
        <w:noBreakHyphen/>
      </w:r>
      <w:r w:rsidRPr="0065414C">
        <w:rPr>
          <w:rFonts w:cs="Arial"/>
        </w:rPr>
        <w:t>10</w:t>
      </w:r>
      <w:r w:rsidR="002117A9">
        <w:rPr>
          <w:rFonts w:cs="Arial"/>
        </w:rPr>
        <w:noBreakHyphen/>
      </w:r>
      <w:r w:rsidRPr="0065414C">
        <w:rPr>
          <w:rFonts w:cs="Arial"/>
        </w:rPr>
        <w:t>AM/ACHI/ACS is not within IHPA’s remit, feedback is sought on what education tools would be useful to stakeholders as new editions of the classification are developed</w:t>
      </w:r>
      <w:r w:rsidR="005B637D" w:rsidRPr="0065414C">
        <w:rPr>
          <w:rFonts w:cs="Arial"/>
        </w:rPr>
        <w:t>.</w:t>
      </w:r>
      <w:r w:rsidR="00904AB4" w:rsidRPr="0065414C">
        <w:rPr>
          <w:rFonts w:cs="Arial"/>
        </w:rPr>
        <w:t xml:space="preserve"> </w:t>
      </w:r>
    </w:p>
    <w:p w14:paraId="21F98B37" w14:textId="77777777" w:rsidR="00904AB4" w:rsidRPr="0065414C" w:rsidRDefault="00936F6B" w:rsidP="00904AB4">
      <w:pPr>
        <w:pStyle w:val="BodyText"/>
        <w:rPr>
          <w:rFonts w:cs="Arial"/>
        </w:rPr>
      </w:pPr>
      <w:r w:rsidRPr="0065414C">
        <w:rPr>
          <w:rFonts w:cs="Arial"/>
        </w:rPr>
        <w:t>IHPA provides other materials that support implementation and use of the acute care classifications, including the electronic code lists for ICD-10-AM and ACHI. IHPA is also seeking feedback on improvements that could be made to the content and format of the electronic code lists to enhance their utility</w:t>
      </w:r>
      <w:r w:rsidR="005B637D" w:rsidRPr="0065414C">
        <w:rPr>
          <w:rFonts w:cs="Arial"/>
        </w:rPr>
        <w:t>.</w:t>
      </w:r>
    </w:p>
    <w:p w14:paraId="7D5E8356" w14:textId="77777777" w:rsidR="008245FD" w:rsidRPr="0065414C" w:rsidRDefault="00936F6B" w:rsidP="00904AB4">
      <w:pPr>
        <w:pStyle w:val="BodyText"/>
        <w:rPr>
          <w:rFonts w:cs="Arial"/>
        </w:rPr>
      </w:pPr>
      <w:r w:rsidRPr="0065414C">
        <w:rPr>
          <w:rFonts w:cs="Arial"/>
        </w:rPr>
        <w:t>Significant resources are invested in providing hard copies of ICD-10-AM/ACHI/ACS and the AR</w:t>
      </w:r>
      <w:r w:rsidRPr="0065414C">
        <w:rPr>
          <w:rFonts w:cs="Arial"/>
        </w:rPr>
        <w:noBreakHyphen/>
        <w:t xml:space="preserve">DRG Definitions Manual. IHPA is exploring the viability of providing an electronic version of </w:t>
      </w:r>
      <w:r w:rsidRPr="0065414C">
        <w:rPr>
          <w:rFonts w:cs="Arial"/>
        </w:rPr>
        <w:t>the AR-DRGs Definition</w:t>
      </w:r>
      <w:r w:rsidR="002117A9">
        <w:rPr>
          <w:rFonts w:cs="Arial"/>
        </w:rPr>
        <w:t>s</w:t>
      </w:r>
      <w:r w:rsidRPr="0065414C">
        <w:rPr>
          <w:rFonts w:cs="Arial"/>
        </w:rPr>
        <w:t xml:space="preserve"> Manual to replace the hard copy manual. Similarly, IHPA is also considering opportunities to provide an electronic version of ICD-10-AM/ACHI/ACS to replace the hard copies</w:t>
      </w:r>
      <w:r w:rsidR="00904AB4" w:rsidRPr="0065414C">
        <w:rPr>
          <w:rFonts w:cs="Arial"/>
        </w:rPr>
        <w:t>.</w:t>
      </w:r>
    </w:p>
    <w:p w14:paraId="2DE16996" w14:textId="77777777" w:rsidR="00E263FA" w:rsidRPr="0065414C" w:rsidRDefault="006D6A77" w:rsidP="00011A81">
      <w:pPr>
        <w:pStyle w:val="Heading3"/>
        <w:rPr>
          <w:rFonts w:cs="Arial"/>
        </w:rPr>
      </w:pPr>
      <w:r w:rsidRPr="0065414C">
        <w:rPr>
          <w:rFonts w:cs="Arial"/>
          <w:noProof/>
          <w:lang w:eastAsia="en-AU" w:bidi="ar-SA"/>
        </w:rPr>
        <w:drawing>
          <wp:anchor distT="0" distB="0" distL="114300" distR="114300" simplePos="0" relativeHeight="251638784" behindDoc="0" locked="0" layoutInCell="1" allowOverlap="1" wp14:anchorId="44EF01D4" wp14:editId="4EED0ABF">
            <wp:simplePos x="0" y="0"/>
            <wp:positionH relativeFrom="column">
              <wp:posOffset>175002</wp:posOffset>
            </wp:positionH>
            <wp:positionV relativeFrom="page">
              <wp:posOffset>1983696</wp:posOffset>
            </wp:positionV>
            <wp:extent cx="239888" cy="213500"/>
            <wp:effectExtent l="0" t="0" r="0" b="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39888" cy="213500"/>
                    </a:xfrm>
                    <a:prstGeom prst="rect">
                      <a:avLst/>
                    </a:prstGeom>
                  </pic:spPr>
                </pic:pic>
              </a:graphicData>
            </a:graphic>
          </wp:anchor>
        </w:drawing>
      </w:r>
      <w:r w:rsidRPr="0065414C">
        <w:rPr>
          <w:rFonts w:cs="Arial"/>
          <w:noProof/>
          <w:lang w:eastAsia="en-AU" w:bidi="ar-SA"/>
        </w:rPr>
        <mc:AlternateContent>
          <mc:Choice Requires="wps">
            <w:drawing>
              <wp:anchor distT="0" distB="0" distL="0" distR="0" simplePos="0" relativeHeight="251624446" behindDoc="1" locked="0" layoutInCell="1" allowOverlap="1" wp14:anchorId="6A0E2B51" wp14:editId="76C22BC8">
                <wp:simplePos x="0" y="0"/>
                <wp:positionH relativeFrom="margin">
                  <wp:align>right</wp:align>
                </wp:positionH>
                <wp:positionV relativeFrom="paragraph">
                  <wp:posOffset>167772</wp:posOffset>
                </wp:positionV>
                <wp:extent cx="2743200" cy="2797175"/>
                <wp:effectExtent l="0" t="0" r="19050" b="22225"/>
                <wp:wrapTopAndBottom/>
                <wp:docPr id="59" name="Text Box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797175"/>
                        </a:xfrm>
                        <a:prstGeom prst="rect">
                          <a:avLst/>
                        </a:prstGeom>
                        <a:noFill/>
                        <a:ln w="9525">
                          <a:solidFill>
                            <a:schemeClr val="accent3">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019454C" w14:textId="77777777" w:rsidR="001C5C18" w:rsidRPr="005470B1" w:rsidRDefault="001C5C18" w:rsidP="00773885">
                            <w:pPr>
                              <w:pStyle w:val="Questionheading"/>
                            </w:pPr>
                            <w:bookmarkStart w:id="80" w:name="Question19b"/>
                            <w:r w:rsidRPr="005470B1">
                              <w:t>Consultation question</w:t>
                            </w:r>
                            <w:r>
                              <w:t>s</w:t>
                            </w:r>
                          </w:p>
                          <w:bookmarkEnd w:id="80"/>
                          <w:p w14:paraId="64841FFE" w14:textId="77777777" w:rsidR="001C5C18" w:rsidRDefault="001C5C18" w:rsidP="00773885">
                            <w:pPr>
                              <w:pStyle w:val="ListParagraph"/>
                              <w:ind w:left="566" w:right="283"/>
                            </w:pPr>
                            <w:r>
                              <w:t>What should be included in online education for new editions of ICD</w:t>
                            </w:r>
                            <w:r>
                              <w:noBreakHyphen/>
                              <w:t>10</w:t>
                            </w:r>
                            <w:r>
                              <w:noBreakHyphen/>
                              <w:t>AM/ACHI/ACS?</w:t>
                            </w:r>
                          </w:p>
                          <w:p w14:paraId="3BCC33A2" w14:textId="77777777" w:rsidR="001C5C18" w:rsidRDefault="001C5C18" w:rsidP="00773885">
                            <w:pPr>
                              <w:pStyle w:val="ListParagraph"/>
                              <w:ind w:left="566" w:right="283"/>
                            </w:pPr>
                            <w:r>
                              <w:t>How should AR-DRG education be delivered and what should it include?</w:t>
                            </w:r>
                          </w:p>
                          <w:p w14:paraId="23E5A598" w14:textId="77777777" w:rsidR="001C5C18" w:rsidRDefault="001C5C18" w:rsidP="00773885">
                            <w:pPr>
                              <w:pStyle w:val="ListParagraph"/>
                              <w:ind w:left="566" w:right="283"/>
                            </w:pPr>
                            <w:r>
                              <w:rPr>
                                <w:rFonts w:cs="Arial"/>
                                <w:lang w:val="en-US"/>
                              </w:rPr>
                              <w:t>What improvements to the content and format of the electronic code lists could be made to enhance their utility</w:t>
                            </w:r>
                            <w:r w:rsidRPr="00627485">
                              <w:rPr>
                                <w:rFonts w:cs="Arial"/>
                                <w:lang w:val="en-US"/>
                              </w:rPr>
                              <w:t>?</w:t>
                            </w:r>
                          </w:p>
                          <w:p w14:paraId="3C0E8698" w14:textId="77777777" w:rsidR="001C5C18" w:rsidRDefault="001C5C18" w:rsidP="00773885">
                            <w:pPr>
                              <w:pStyle w:val="ListParagraph"/>
                              <w:ind w:left="566" w:right="283"/>
                            </w:pPr>
                            <w:r>
                              <w:rPr>
                                <w:rFonts w:cs="Arial"/>
                                <w:lang w:val="en-US"/>
                              </w:rPr>
                              <w:t>Is there support to replace the hard copies of the AR-DRG Definitions Manual and ICD-10-AM/ACHI/ACS with electronic versions</w:t>
                            </w:r>
                            <w:r w:rsidRPr="00627485">
                              <w:rPr>
                                <w:rFonts w:cs="Arial"/>
                                <w:lang w:val="en-U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E2B51" id="Text Box 36" o:spid="_x0000_s1031" type="#_x0000_t202" alt="&quot;&quot;" style="position:absolute;margin-left:164.8pt;margin-top:13.2pt;width:3in;height:220.25pt;z-index:-25169203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" filled="f" strokecolor="#c31f48 [3206]">
                <v:textbox inset="0,0,0,0">
                  <w:txbxContent>
                    <w:p w14:paraId="0019454C" w14:textId="77777777" w:rsidR="001C5C18" w:rsidRPr="005470B1" w:rsidRDefault="001C5C18" w:rsidP="00773885">
                      <w:pPr>
                        <w:pStyle w:val="Questionheading"/>
                      </w:pPr>
                      <w:bookmarkStart w:id="81" w:name="Question19b"/>
                      <w:r w:rsidRPr="005470B1">
                        <w:t>Consultation question</w:t>
                      </w:r>
                      <w:r>
                        <w:t>s</w:t>
                      </w:r>
                    </w:p>
                    <w:bookmarkEnd w:id="81"/>
                    <w:p w14:paraId="64841FFE" w14:textId="77777777" w:rsidR="001C5C18" w:rsidRDefault="001C5C18" w:rsidP="00773885">
                      <w:pPr>
                        <w:pStyle w:val="ListParagraph"/>
                        <w:ind w:left="566" w:right="283"/>
                      </w:pPr>
                      <w:r>
                        <w:t>What should be included in online education for new editions of ICD</w:t>
                      </w:r>
                      <w:r>
                        <w:noBreakHyphen/>
                        <w:t>10</w:t>
                      </w:r>
                      <w:r>
                        <w:noBreakHyphen/>
                        <w:t>AM/ACHI/ACS?</w:t>
                      </w:r>
                    </w:p>
                    <w:p w14:paraId="3BCC33A2" w14:textId="77777777" w:rsidR="001C5C18" w:rsidRDefault="001C5C18" w:rsidP="00773885">
                      <w:pPr>
                        <w:pStyle w:val="ListParagraph"/>
                        <w:ind w:left="566" w:right="283"/>
                      </w:pPr>
                      <w:r>
                        <w:t>How should AR-DRG education be delivered and what should it include?</w:t>
                      </w:r>
                    </w:p>
                    <w:p w14:paraId="23E5A598" w14:textId="77777777" w:rsidR="001C5C18" w:rsidRDefault="001C5C18" w:rsidP="00773885">
                      <w:pPr>
                        <w:pStyle w:val="ListParagraph"/>
                        <w:ind w:left="566" w:right="283"/>
                      </w:pPr>
                      <w:r>
                        <w:rPr>
                          <w:rFonts w:cs="Arial"/>
                          <w:lang w:val="en-US"/>
                        </w:rPr>
                        <w:t>What improvements to the content and format of the electronic code lists could be made to enhance their utility</w:t>
                      </w:r>
                      <w:r w:rsidRPr="00627485">
                        <w:rPr>
                          <w:rFonts w:cs="Arial"/>
                          <w:lang w:val="en-US"/>
                        </w:rPr>
                        <w:t>?</w:t>
                      </w:r>
                    </w:p>
                    <w:p w14:paraId="3C0E8698" w14:textId="77777777" w:rsidR="001C5C18" w:rsidRDefault="001C5C18" w:rsidP="00773885">
                      <w:pPr>
                        <w:pStyle w:val="ListParagraph"/>
                        <w:ind w:left="566" w:right="283"/>
                      </w:pPr>
                      <w:r>
                        <w:rPr>
                          <w:rFonts w:cs="Arial"/>
                          <w:lang w:val="en-US"/>
                        </w:rPr>
                        <w:t>Is there support to replace the hard copies of the AR-DRG Definitions Manual and ICD-10-AM/ACHI/ACS with electronic versions</w:t>
                      </w:r>
                      <w:r w:rsidRPr="00627485">
                        <w:rPr>
                          <w:rFonts w:cs="Arial"/>
                          <w:lang w:val="en-US"/>
                        </w:rPr>
                        <w:t>?</w:t>
                      </w:r>
                    </w:p>
                  </w:txbxContent>
                </v:textbox>
                <w10:wrap type="topAndBottom" anchorx="margin"/>
              </v:shape>
            </w:pict>
          </mc:Fallback>
        </mc:AlternateContent>
      </w:r>
      <w:r w:rsidR="005B637D" w:rsidRPr="0065414C">
        <w:rPr>
          <w:rFonts w:cs="Arial"/>
        </w:rPr>
        <w:t>Phasing out support for older AR-DRG versions</w:t>
      </w:r>
    </w:p>
    <w:p w14:paraId="3B9C7656" w14:textId="77777777" w:rsidR="00904AB4" w:rsidRPr="0065414C" w:rsidRDefault="00936F6B" w:rsidP="00E263FA">
      <w:pPr>
        <w:pStyle w:val="BodyText"/>
        <w:rPr>
          <w:rFonts w:cs="Arial"/>
        </w:rPr>
      </w:pPr>
      <w:r w:rsidRPr="0065414C">
        <w:rPr>
          <w:rFonts w:cs="Arial"/>
        </w:rPr>
        <w:t xml:space="preserve">In the </w:t>
      </w:r>
      <w:r w:rsidRPr="0065414C">
        <w:rPr>
          <w:rFonts w:cs="Arial"/>
          <w:i/>
        </w:rPr>
        <w:t>Pricing Framework for Australian Public Hospital Services 2019–20</w:t>
      </w:r>
      <w:r w:rsidRPr="0065414C">
        <w:rPr>
          <w:rFonts w:cs="Arial"/>
        </w:rPr>
        <w:t xml:space="preserve">, IHPA stated its intention to phase out support for old AR-DRG versions. IHPA remains committed to this approach, and to working with stakeholders to achieve this outcome. IHPA has developed a revised timeline to accommodate the extended three-year development cycle as detailed in </w:t>
      </w:r>
      <w:r w:rsidRPr="0065414C">
        <w:rPr>
          <w:rFonts w:cs="Arial"/>
          <w:b/>
        </w:rPr>
        <w:t>Table 2</w:t>
      </w:r>
      <w:r w:rsidR="00E263FA" w:rsidRPr="0065414C">
        <w:rPr>
          <w:rFonts w:cs="Arial"/>
        </w:rPr>
        <w:t>.</w:t>
      </w:r>
    </w:p>
    <w:p w14:paraId="7C7488B8" w14:textId="77777777" w:rsidR="007B53B8" w:rsidRPr="0065414C" w:rsidRDefault="00AE6553" w:rsidP="00AE6553">
      <w:pPr>
        <w:pStyle w:val="Figureheading"/>
        <w:rPr>
          <w:rFonts w:cs="Arial"/>
        </w:rPr>
      </w:pPr>
      <w:r w:rsidRPr="0065414C">
        <w:rPr>
          <w:rFonts w:cs="Arial"/>
        </w:rPr>
        <w:t>Table 2: Timeline of AR-DRG phase out</w:t>
      </w:r>
    </w:p>
    <w:tbl>
      <w:tblPr>
        <w:tblStyle w:val="IHPA"/>
        <w:tblW w:w="4536" w:type="dxa"/>
        <w:tblLayout w:type="fixed"/>
        <w:tblLook w:val="01E0" w:firstRow="1" w:lastRow="1" w:firstColumn="1" w:lastColumn="1" w:noHBand="0" w:noVBand="0"/>
        <w:tblCaption w:val="Table 2: Timeline for phasing out AR-DRG versions"/>
        <w:tblDescription w:val="Table with four columns across. Titles of columns from left are: AR-DRG version; Original proposed phase out date, New proposed phase out date; and Most current AR-DRG version. The table has one row: Column 1: AR-DRG Version 5.0, 5.1, 5.2, 6.0, 6.x and 7.0, Column 2: 1 July 2021, Column 3: 1 July 2022, Column 4: Version 11.0"/>
      </w:tblPr>
      <w:tblGrid>
        <w:gridCol w:w="1134"/>
        <w:gridCol w:w="1134"/>
        <w:gridCol w:w="1134"/>
        <w:gridCol w:w="1134"/>
      </w:tblGrid>
      <w:tr w:rsidR="007B53B8" w:rsidRPr="0065414C" w14:paraId="2DE73B92" w14:textId="77777777" w:rsidTr="00395A1D">
        <w:trPr>
          <w:cnfStyle w:val="100000000000" w:firstRow="1" w:lastRow="0" w:firstColumn="0" w:lastColumn="0" w:oddVBand="0" w:evenVBand="0" w:oddHBand="0" w:evenHBand="0" w:firstRowFirstColumn="0" w:firstRowLastColumn="0" w:lastRowFirstColumn="0" w:lastRowLastColumn="0"/>
          <w:trHeight w:val="532"/>
        </w:trPr>
        <w:tc>
          <w:tcPr>
            <w:tcW w:w="1134" w:type="dxa"/>
            <w:shd w:val="clear" w:color="auto" w:fill="C31F48" w:themeFill="accent3"/>
            <w:vAlign w:val="bottom"/>
          </w:tcPr>
          <w:p w14:paraId="1DAE05FD" w14:textId="77777777" w:rsidR="007B53B8" w:rsidRPr="005A63BA" w:rsidRDefault="007B53B8" w:rsidP="00395A1D">
            <w:pPr>
              <w:pStyle w:val="TableParagraph"/>
              <w:spacing w:before="120" w:after="120"/>
              <w:ind w:left="113" w:right="113"/>
              <w:rPr>
                <w:rFonts w:cs="Arial"/>
                <w:b/>
                <w:color w:val="FFFFFF" w:themeColor="background1"/>
              </w:rPr>
            </w:pPr>
            <w:r w:rsidRPr="005A63BA">
              <w:rPr>
                <w:rFonts w:cs="Arial"/>
                <w:b/>
                <w:color w:val="FFFFFF" w:themeColor="background1"/>
              </w:rPr>
              <w:t>AR-DRG version</w:t>
            </w:r>
          </w:p>
        </w:tc>
        <w:tc>
          <w:tcPr>
            <w:tcW w:w="1134" w:type="dxa"/>
            <w:shd w:val="clear" w:color="auto" w:fill="C31F48" w:themeFill="accent3"/>
            <w:vAlign w:val="bottom"/>
          </w:tcPr>
          <w:p w14:paraId="38287A3A" w14:textId="77777777" w:rsidR="007B53B8" w:rsidRPr="005A63BA" w:rsidRDefault="007B53B8" w:rsidP="00395A1D">
            <w:pPr>
              <w:pStyle w:val="TableParagraph"/>
              <w:spacing w:before="120" w:after="120"/>
              <w:ind w:left="113" w:right="-108"/>
              <w:rPr>
                <w:rFonts w:cs="Arial"/>
                <w:b/>
                <w:color w:val="FFFFFF" w:themeColor="background1"/>
              </w:rPr>
            </w:pPr>
            <w:r w:rsidRPr="005A63BA">
              <w:rPr>
                <w:rFonts w:cs="Arial"/>
                <w:b/>
                <w:color w:val="FFFFFF" w:themeColor="background1"/>
              </w:rPr>
              <w:t>Original proposed phase out date</w:t>
            </w:r>
          </w:p>
        </w:tc>
        <w:tc>
          <w:tcPr>
            <w:tcW w:w="1134" w:type="dxa"/>
            <w:shd w:val="clear" w:color="auto" w:fill="C31F48" w:themeFill="accent3"/>
            <w:vAlign w:val="bottom"/>
          </w:tcPr>
          <w:p w14:paraId="03E5C935" w14:textId="77777777" w:rsidR="007B53B8" w:rsidRPr="005A63BA" w:rsidRDefault="007B53B8" w:rsidP="00395A1D">
            <w:pPr>
              <w:pStyle w:val="TableParagraph"/>
              <w:spacing w:before="120" w:after="120"/>
              <w:ind w:left="113" w:right="-102"/>
              <w:rPr>
                <w:rFonts w:cs="Arial"/>
                <w:b/>
                <w:color w:val="FFFFFF" w:themeColor="background1"/>
              </w:rPr>
            </w:pPr>
            <w:r w:rsidRPr="005A63BA">
              <w:rPr>
                <w:rFonts w:cs="Arial"/>
                <w:b/>
                <w:color w:val="FFFFFF" w:themeColor="background1"/>
              </w:rPr>
              <w:t>New proposed phase out date</w:t>
            </w:r>
          </w:p>
        </w:tc>
        <w:tc>
          <w:tcPr>
            <w:tcW w:w="1134" w:type="dxa"/>
            <w:shd w:val="clear" w:color="auto" w:fill="C31F48" w:themeFill="accent3"/>
            <w:vAlign w:val="bottom"/>
          </w:tcPr>
          <w:p w14:paraId="2164AA55" w14:textId="77777777" w:rsidR="007B53B8" w:rsidRPr="005A63BA" w:rsidRDefault="007B53B8" w:rsidP="00395A1D">
            <w:pPr>
              <w:pStyle w:val="TableParagraph"/>
              <w:spacing w:before="120" w:after="120"/>
              <w:ind w:left="113"/>
              <w:rPr>
                <w:rFonts w:cs="Arial"/>
                <w:b/>
                <w:color w:val="FFFFFF" w:themeColor="background1"/>
              </w:rPr>
            </w:pPr>
            <w:r w:rsidRPr="005A63BA">
              <w:rPr>
                <w:rFonts w:cs="Arial"/>
                <w:b/>
                <w:color w:val="FFFFFF" w:themeColor="background1"/>
              </w:rPr>
              <w:t>Most current AR-DRG version</w:t>
            </w:r>
          </w:p>
        </w:tc>
      </w:tr>
      <w:tr w:rsidR="007B53B8" w:rsidRPr="0065414C" w14:paraId="435C8CBE" w14:textId="77777777" w:rsidTr="00395A1D">
        <w:trPr>
          <w:cnfStyle w:val="010000000000" w:firstRow="0" w:lastRow="1" w:firstColumn="0" w:lastColumn="0" w:oddVBand="0" w:evenVBand="0" w:oddHBand="0" w:evenHBand="0" w:firstRowFirstColumn="0" w:firstRowLastColumn="0" w:lastRowFirstColumn="0" w:lastRowLastColumn="0"/>
          <w:trHeight w:val="743"/>
        </w:trPr>
        <w:tc>
          <w:tcPr>
            <w:tcW w:w="1134" w:type="dxa"/>
            <w:tcBorders>
              <w:bottom w:val="single" w:sz="4" w:space="0" w:color="58595A"/>
            </w:tcBorders>
          </w:tcPr>
          <w:p w14:paraId="1AE52ED3" w14:textId="77777777" w:rsidR="007B53B8" w:rsidRPr="0065414C" w:rsidRDefault="007B53B8" w:rsidP="007B53B8">
            <w:pPr>
              <w:pStyle w:val="TableParagraph"/>
              <w:ind w:left="113" w:right="113"/>
              <w:rPr>
                <w:rFonts w:cs="Arial"/>
              </w:rPr>
            </w:pPr>
            <w:r w:rsidRPr="0065414C">
              <w:rPr>
                <w:rFonts w:cs="Arial"/>
              </w:rPr>
              <w:t>Version 5.0, 5.1, 5.2, 6.0, 6.x and 7.0</w:t>
            </w:r>
          </w:p>
        </w:tc>
        <w:tc>
          <w:tcPr>
            <w:tcW w:w="1134" w:type="dxa"/>
            <w:tcBorders>
              <w:bottom w:val="single" w:sz="4" w:space="0" w:color="58595A"/>
            </w:tcBorders>
          </w:tcPr>
          <w:p w14:paraId="654225DF" w14:textId="77777777" w:rsidR="007B53B8" w:rsidRPr="0065414C" w:rsidRDefault="007B53B8" w:rsidP="007B53B8">
            <w:pPr>
              <w:pStyle w:val="TableParagraph"/>
              <w:ind w:left="113"/>
              <w:rPr>
                <w:rFonts w:cs="Arial"/>
              </w:rPr>
            </w:pPr>
            <w:r w:rsidRPr="0065414C">
              <w:rPr>
                <w:rFonts w:cs="Arial"/>
              </w:rPr>
              <w:t>1 July 2021</w:t>
            </w:r>
          </w:p>
        </w:tc>
        <w:tc>
          <w:tcPr>
            <w:tcW w:w="1134" w:type="dxa"/>
            <w:tcBorders>
              <w:bottom w:val="single" w:sz="4" w:space="0" w:color="58595A"/>
            </w:tcBorders>
          </w:tcPr>
          <w:p w14:paraId="35B3D852" w14:textId="77777777" w:rsidR="007B53B8" w:rsidRPr="0065414C" w:rsidRDefault="007B53B8" w:rsidP="007B53B8">
            <w:pPr>
              <w:pStyle w:val="TableParagraph"/>
              <w:ind w:left="113"/>
              <w:rPr>
                <w:rFonts w:cs="Arial"/>
              </w:rPr>
            </w:pPr>
            <w:r w:rsidRPr="0065414C">
              <w:rPr>
                <w:rFonts w:cs="Arial"/>
              </w:rPr>
              <w:t>1 July 2022</w:t>
            </w:r>
          </w:p>
        </w:tc>
        <w:tc>
          <w:tcPr>
            <w:tcW w:w="1134" w:type="dxa"/>
            <w:tcBorders>
              <w:bottom w:val="single" w:sz="4" w:space="0" w:color="58595A"/>
            </w:tcBorders>
          </w:tcPr>
          <w:p w14:paraId="4F7E8260" w14:textId="77777777" w:rsidR="007B53B8" w:rsidRPr="0065414C" w:rsidRDefault="007B53B8" w:rsidP="007B53B8">
            <w:pPr>
              <w:pStyle w:val="TableParagraph"/>
              <w:ind w:left="113"/>
              <w:rPr>
                <w:rFonts w:cs="Arial"/>
              </w:rPr>
            </w:pPr>
            <w:r w:rsidRPr="0065414C">
              <w:rPr>
                <w:rFonts w:cs="Arial"/>
              </w:rPr>
              <w:t>Version 11.0</w:t>
            </w:r>
          </w:p>
        </w:tc>
      </w:tr>
    </w:tbl>
    <w:p w14:paraId="50903621" w14:textId="77777777" w:rsidR="005B637D" w:rsidRPr="0065414C" w:rsidRDefault="00936F6B" w:rsidP="005B637D">
      <w:pPr>
        <w:pStyle w:val="BodyText"/>
        <w:rPr>
          <w:rFonts w:cs="Arial"/>
        </w:rPr>
      </w:pPr>
      <w:bookmarkStart w:id="82" w:name="_Toc45809604"/>
      <w:r w:rsidRPr="0065414C">
        <w:rPr>
          <w:rFonts w:cs="Arial"/>
        </w:rPr>
        <w:t xml:space="preserve">IHPA notes concerns raised by some stakeholders in the private sector that support for AR-DRG phase out should be based on the availability of private sector costing studies for newer versions, prior to ceasing support for older versions. In response to the </w:t>
      </w:r>
      <w:r w:rsidRPr="0065414C">
        <w:rPr>
          <w:rFonts w:cs="Arial"/>
          <w:i/>
        </w:rPr>
        <w:t>Consultation Paper on the Pricing Framework for Australian Public Hospital Services 2020–21</w:t>
      </w:r>
      <w:r w:rsidRPr="0065414C">
        <w:rPr>
          <w:rFonts w:cs="Arial"/>
        </w:rPr>
        <w:t xml:space="preserve">, some stakeholders </w:t>
      </w:r>
      <w:r w:rsidRPr="0065414C">
        <w:rPr>
          <w:rFonts w:cs="Arial"/>
        </w:rPr>
        <w:lastRenderedPageBreak/>
        <w:t>highlighted the cost of implementing any new AR</w:t>
      </w:r>
      <w:r w:rsidR="002117A9">
        <w:rPr>
          <w:rFonts w:cs="Arial"/>
        </w:rPr>
        <w:noBreakHyphen/>
      </w:r>
      <w:r w:rsidRPr="0065414C">
        <w:rPr>
          <w:rFonts w:cs="Arial"/>
        </w:rPr>
        <w:t>DRG version. However, IHPA must weigh these concerns against the need to maintain the clinical currency of the classification and to ensure benefits of more recent AR-DRG versions are realised</w:t>
      </w:r>
      <w:r w:rsidR="005B637D" w:rsidRPr="0065414C">
        <w:rPr>
          <w:rFonts w:cs="Arial"/>
        </w:rPr>
        <w:t xml:space="preserve">. </w:t>
      </w:r>
      <w:r w:rsidR="00EF63A7">
        <w:t>IHPA will work with private health sector stakeholders to continue to facilitate phasing out of old AR-DRG versions</w:t>
      </w:r>
      <w:r w:rsidR="005B637D" w:rsidRPr="0065414C">
        <w:rPr>
          <w:rFonts w:cs="Arial"/>
        </w:rPr>
        <w:t>.</w:t>
      </w:r>
    </w:p>
    <w:p w14:paraId="4779796A" w14:textId="77777777" w:rsidR="007424D5" w:rsidRPr="0065414C" w:rsidRDefault="007424D5" w:rsidP="00011A81">
      <w:pPr>
        <w:pStyle w:val="Heading3"/>
        <w:rPr>
          <w:rFonts w:cs="Arial"/>
        </w:rPr>
      </w:pPr>
      <w:r w:rsidRPr="0065414C">
        <w:rPr>
          <w:rFonts w:cs="Arial"/>
        </w:rPr>
        <w:t>Release of ICD-11</w:t>
      </w:r>
    </w:p>
    <w:bookmarkEnd w:id="82"/>
    <w:p w14:paraId="1A33A0CA" w14:textId="77777777" w:rsidR="008F007F" w:rsidRPr="0065414C" w:rsidRDefault="00936F6B" w:rsidP="008F007F">
      <w:pPr>
        <w:pStyle w:val="BodyText"/>
        <w:rPr>
          <w:rFonts w:cs="Arial"/>
        </w:rPr>
      </w:pPr>
      <w:r w:rsidRPr="0065414C">
        <w:rPr>
          <w:rFonts w:cs="Arial"/>
        </w:rPr>
        <w:t xml:space="preserve">The World Health Organization released the eleventh revision of the International Classification of Diseases (ICD-11) in June 2018. ICD-11 was approved by the World Health Assembly in May 2019. The Australian Institute of Health and Welfare has explored the feasibility and potential timeframe for implementation of ICD-11 in Australia, however Commonwealth, state and territory health ministers are yet to </w:t>
      </w:r>
      <w:proofErr w:type="gramStart"/>
      <w:r w:rsidRPr="0065414C">
        <w:rPr>
          <w:rFonts w:cs="Arial"/>
        </w:rPr>
        <w:t>make a decision</w:t>
      </w:r>
      <w:proofErr w:type="gramEnd"/>
      <w:r w:rsidRPr="0065414C">
        <w:rPr>
          <w:rFonts w:cs="Arial"/>
        </w:rPr>
        <w:t xml:space="preserve"> on the implementation of ICD</w:t>
      </w:r>
      <w:r w:rsidR="002117A9">
        <w:rPr>
          <w:rFonts w:cs="Arial"/>
        </w:rPr>
        <w:noBreakHyphen/>
      </w:r>
      <w:r w:rsidRPr="0065414C">
        <w:rPr>
          <w:rFonts w:cs="Arial"/>
        </w:rPr>
        <w:t>11</w:t>
      </w:r>
      <w:r w:rsidR="008F007F" w:rsidRPr="0065414C">
        <w:rPr>
          <w:rFonts w:cs="Arial"/>
        </w:rPr>
        <w:t xml:space="preserve">. </w:t>
      </w:r>
    </w:p>
    <w:p w14:paraId="49AC3196" w14:textId="77777777" w:rsidR="007B53B8" w:rsidRPr="0065414C" w:rsidRDefault="00EF63A7" w:rsidP="008F007F">
      <w:pPr>
        <w:pStyle w:val="BodyText"/>
        <w:rPr>
          <w:rFonts w:cs="Arial"/>
        </w:rPr>
      </w:pPr>
      <w:r w:rsidRPr="0065414C">
        <w:rPr>
          <w:rFonts w:cs="Arial"/>
          <w:noProof/>
          <w:lang w:eastAsia="en-AU" w:bidi="ar-SA"/>
        </w:rPr>
        <w:drawing>
          <wp:anchor distT="0" distB="0" distL="114300" distR="114300" simplePos="0" relativeHeight="251643904" behindDoc="0" locked="0" layoutInCell="1" allowOverlap="1" wp14:anchorId="7D5A778A" wp14:editId="1216952A">
            <wp:simplePos x="0" y="0"/>
            <wp:positionH relativeFrom="column">
              <wp:posOffset>183156</wp:posOffset>
            </wp:positionH>
            <wp:positionV relativeFrom="page">
              <wp:posOffset>6099286</wp:posOffset>
            </wp:positionV>
            <wp:extent cx="239888" cy="213500"/>
            <wp:effectExtent l="0" t="0" r="0" b="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39888" cy="213500"/>
                    </a:xfrm>
                    <a:prstGeom prst="rect">
                      <a:avLst/>
                    </a:prstGeom>
                  </pic:spPr>
                </pic:pic>
              </a:graphicData>
            </a:graphic>
          </wp:anchor>
        </w:drawing>
      </w:r>
      <w:r w:rsidRPr="0065414C">
        <w:rPr>
          <w:rFonts w:cs="Arial"/>
          <w:noProof/>
          <w:lang w:eastAsia="en-AU" w:bidi="ar-SA"/>
        </w:rPr>
        <mc:AlternateContent>
          <mc:Choice Requires="wps">
            <w:drawing>
              <wp:anchor distT="0" distB="0" distL="0" distR="0" simplePos="0" relativeHeight="251623421" behindDoc="1" locked="0" layoutInCell="1" allowOverlap="1" wp14:anchorId="71D63EF9" wp14:editId="07652954">
                <wp:simplePos x="0" y="0"/>
                <wp:positionH relativeFrom="margin">
                  <wp:align>left</wp:align>
                </wp:positionH>
                <wp:positionV relativeFrom="paragraph">
                  <wp:posOffset>1737857</wp:posOffset>
                </wp:positionV>
                <wp:extent cx="2689200" cy="1395095"/>
                <wp:effectExtent l="0" t="0" r="16510" b="14605"/>
                <wp:wrapTopAndBottom/>
                <wp:docPr id="57" name="Text Box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200" cy="1395095"/>
                        </a:xfrm>
                        <a:prstGeom prst="rect">
                          <a:avLst/>
                        </a:prstGeom>
                        <a:noFill/>
                        <a:ln w="9525">
                          <a:solidFill>
                            <a:schemeClr val="accent3">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B360462" w14:textId="77777777" w:rsidR="001C5C18" w:rsidRPr="005470B1" w:rsidRDefault="001C5C18" w:rsidP="008F2C0D">
                            <w:pPr>
                              <w:pStyle w:val="Questionheading"/>
                            </w:pPr>
                            <w:bookmarkStart w:id="83" w:name="Question20"/>
                            <w:r w:rsidRPr="005470B1">
                              <w:t>Consultation question</w:t>
                            </w:r>
                          </w:p>
                          <w:bookmarkEnd w:id="83"/>
                          <w:p w14:paraId="0252DEE0" w14:textId="77777777" w:rsidR="001C5C18" w:rsidRDefault="001C5C18" w:rsidP="008F2C0D">
                            <w:pPr>
                              <w:pStyle w:val="ListParagraph"/>
                              <w:ind w:left="566" w:right="283"/>
                            </w:pPr>
                            <w:r>
                              <w:t>Are there other suggestions for approaches or measures to assess impact and readiness of ICD-11 for use in the classifications used in admitted care, or more widely</w:t>
                            </w:r>
                            <w:r w:rsidRPr="008F2C0D">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63EF9" id="Text Box 37" o:spid="_x0000_s1032" type="#_x0000_t202" alt="&quot;&quot;" style="position:absolute;margin-left:0;margin-top:136.85pt;width:211.75pt;height:109.85pt;z-index:-251693059;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" filled="f" strokecolor="#c31f48 [3206]">
                <v:textbox inset="0,0,0,0">
                  <w:txbxContent>
                    <w:p w14:paraId="1B360462" w14:textId="77777777" w:rsidR="001C5C18" w:rsidRPr="005470B1" w:rsidRDefault="001C5C18" w:rsidP="008F2C0D">
                      <w:pPr>
                        <w:pStyle w:val="Questionheading"/>
                      </w:pPr>
                      <w:bookmarkStart w:id="84" w:name="Question20"/>
                      <w:r w:rsidRPr="005470B1">
                        <w:t>Consultation question</w:t>
                      </w:r>
                    </w:p>
                    <w:bookmarkEnd w:id="84"/>
                    <w:p w14:paraId="0252DEE0" w14:textId="77777777" w:rsidR="001C5C18" w:rsidRDefault="001C5C18" w:rsidP="008F2C0D">
                      <w:pPr>
                        <w:pStyle w:val="ListParagraph"/>
                        <w:ind w:left="566" w:right="283"/>
                      </w:pPr>
                      <w:r>
                        <w:t>Are there other suggestions for approaches or measures to assess impact and readiness of ICD-11 for use in the classifications used in admitted care, or more widely</w:t>
                      </w:r>
                      <w:r w:rsidRPr="008F2C0D">
                        <w:t>?</w:t>
                      </w:r>
                    </w:p>
                  </w:txbxContent>
                </v:textbox>
                <w10:wrap type="topAndBottom" anchorx="margin"/>
              </v:shape>
            </w:pict>
          </mc:Fallback>
        </mc:AlternateContent>
      </w:r>
      <w:r w:rsidR="00936F6B" w:rsidRPr="0065414C">
        <w:rPr>
          <w:rFonts w:cs="Arial"/>
        </w:rPr>
        <w:t>In the interim IHPA will explore the readiness of ICD-11 for implementation in admitted care by undertaking a gap analysis that includes mapping ICD-10-AM to ICD-11. IHPA will review the impact of moving to ICD-11 on the AR-DRG classification and determine whether remediation is required to use ICD-11 within AR-DRGs. Consideration will also be given to determining whether the new features of ICD-11 may be used to enhance the AR-DRG classification</w:t>
      </w:r>
      <w:r w:rsidR="005B637D" w:rsidRPr="0065414C">
        <w:rPr>
          <w:rFonts w:cs="Arial"/>
        </w:rPr>
        <w:t>.</w:t>
      </w:r>
    </w:p>
    <w:p w14:paraId="6DF716EA" w14:textId="77777777" w:rsidR="00AD3676" w:rsidRPr="0065414C" w:rsidRDefault="00AD3676" w:rsidP="00C45203">
      <w:pPr>
        <w:pStyle w:val="Heading2"/>
        <w:rPr>
          <w:rFonts w:cs="Arial"/>
        </w:rPr>
      </w:pPr>
      <w:bookmarkStart w:id="85" w:name="_Toc45809606"/>
      <w:bookmarkStart w:id="86" w:name="_Toc49953757"/>
      <w:bookmarkStart w:id="87" w:name="_Toc50532307"/>
      <w:r w:rsidRPr="0065414C">
        <w:rPr>
          <w:rFonts w:cs="Arial"/>
        </w:rPr>
        <w:t>6.</w:t>
      </w:r>
      <w:r w:rsidR="007424D5" w:rsidRPr="0065414C">
        <w:rPr>
          <w:rFonts w:cs="Arial"/>
        </w:rPr>
        <w:t>2</w:t>
      </w:r>
      <w:r w:rsidRPr="0065414C">
        <w:rPr>
          <w:rFonts w:cs="Arial"/>
        </w:rPr>
        <w:t>. Subacute and non</w:t>
      </w:r>
      <w:r w:rsidRPr="0065414C">
        <w:rPr>
          <w:rFonts w:cs="Arial"/>
        </w:rPr>
        <w:noBreakHyphen/>
        <w:t>acute care</w:t>
      </w:r>
      <w:bookmarkEnd w:id="85"/>
      <w:bookmarkEnd w:id="86"/>
      <w:bookmarkEnd w:id="87"/>
    </w:p>
    <w:p w14:paraId="3B36FD87" w14:textId="77777777" w:rsidR="00AD3676" w:rsidRPr="0065414C" w:rsidRDefault="00936F6B" w:rsidP="00AD3676">
      <w:pPr>
        <w:pStyle w:val="BodyText"/>
        <w:rPr>
          <w:rFonts w:cs="Arial"/>
        </w:rPr>
      </w:pPr>
      <w:r w:rsidRPr="0065414C">
        <w:rPr>
          <w:rFonts w:cs="Arial"/>
        </w:rPr>
        <w:t>Subacute care is specialised multidisciplinary care in which the primary need is optimisation of the patient’s functioning and quality of life. Subacute care includes rehabilitation, palliative care, geriatric evaluation and management and psychogeriatric care types while non-acute care is comprised of maintenance care services</w:t>
      </w:r>
      <w:r w:rsidR="00626152" w:rsidRPr="0065414C">
        <w:rPr>
          <w:rFonts w:cs="Arial"/>
        </w:rPr>
        <w:t>.</w:t>
      </w:r>
    </w:p>
    <w:p w14:paraId="47A8FAE2" w14:textId="77777777" w:rsidR="00AD3676" w:rsidRPr="0065414C" w:rsidRDefault="00936F6B" w:rsidP="00AD3676">
      <w:pPr>
        <w:pStyle w:val="BodyText"/>
        <w:rPr>
          <w:rFonts w:cs="Arial"/>
        </w:rPr>
      </w:pPr>
      <w:r w:rsidRPr="0065414C">
        <w:rPr>
          <w:rFonts w:cs="Arial"/>
        </w:rPr>
        <w:t xml:space="preserve">IHPA will use the Australian National Subacute and Non-Acute Patient (AN-SNAP) Version 4.0 classification system to price admitted subacute </w:t>
      </w:r>
      <w:r w:rsidRPr="0065414C">
        <w:rPr>
          <w:rFonts w:cs="Arial"/>
        </w:rPr>
        <w:t xml:space="preserve">and non-acute services for NEP21. Patients are classified </w:t>
      </w:r>
      <w:proofErr w:type="gramStart"/>
      <w:r w:rsidRPr="0065414C">
        <w:rPr>
          <w:rFonts w:cs="Arial"/>
        </w:rPr>
        <w:t>on the basis of</w:t>
      </w:r>
      <w:proofErr w:type="gramEnd"/>
      <w:r w:rsidRPr="0065414C">
        <w:rPr>
          <w:rFonts w:cs="Arial"/>
        </w:rPr>
        <w:t xml:space="preserve"> care type, phase of care, functional impairments, age and other measures</w:t>
      </w:r>
      <w:r w:rsidR="00AD3676" w:rsidRPr="0065414C">
        <w:rPr>
          <w:rFonts w:cs="Arial"/>
        </w:rPr>
        <w:t>.</w:t>
      </w:r>
    </w:p>
    <w:p w14:paraId="38AD9DF2" w14:textId="77777777" w:rsidR="00AD3676" w:rsidRPr="0065414C" w:rsidRDefault="00936F6B" w:rsidP="00AD3676">
      <w:pPr>
        <w:pStyle w:val="BodyText"/>
        <w:rPr>
          <w:rFonts w:cs="Arial"/>
        </w:rPr>
      </w:pPr>
      <w:r w:rsidRPr="0065414C">
        <w:rPr>
          <w:rFonts w:cs="Arial"/>
        </w:rPr>
        <w:t>Subacute and non-acute services which are not classified using AN-SNAP are classified using AR-DRGs</w:t>
      </w:r>
      <w:r w:rsidR="00AD3676" w:rsidRPr="0065414C">
        <w:rPr>
          <w:rFonts w:cs="Arial"/>
        </w:rPr>
        <w:t>.</w:t>
      </w:r>
    </w:p>
    <w:p w14:paraId="779131B1" w14:textId="77777777" w:rsidR="00AD3676" w:rsidRPr="0065414C" w:rsidRDefault="00AD3676" w:rsidP="00011A81">
      <w:pPr>
        <w:pStyle w:val="Heading3"/>
        <w:rPr>
          <w:rFonts w:cs="Arial"/>
        </w:rPr>
      </w:pPr>
      <w:r w:rsidRPr="0065414C">
        <w:rPr>
          <w:rFonts w:cs="Arial"/>
        </w:rPr>
        <w:t>Developing AN-SNAP Version 5.0</w:t>
      </w:r>
    </w:p>
    <w:p w14:paraId="182C38E8" w14:textId="77777777" w:rsidR="00AD3676" w:rsidRPr="0065414C" w:rsidRDefault="00936F6B" w:rsidP="00AD3676">
      <w:pPr>
        <w:pStyle w:val="BodyText"/>
        <w:rPr>
          <w:rFonts w:cs="Arial"/>
        </w:rPr>
      </w:pPr>
      <w:r w:rsidRPr="0065414C">
        <w:rPr>
          <w:rFonts w:cs="Arial"/>
        </w:rPr>
        <w:t xml:space="preserve">States and territories have made significant progress in their collection of subacute activity and cost data. The </w:t>
      </w:r>
      <w:r w:rsidRPr="0065414C">
        <w:rPr>
          <w:rFonts w:cs="Arial"/>
          <w:i/>
        </w:rPr>
        <w:t xml:space="preserve">Pricing Framework for Australian Public Hospital Services 2020–21 </w:t>
      </w:r>
      <w:r w:rsidRPr="0065414C">
        <w:rPr>
          <w:rFonts w:cs="Arial"/>
        </w:rPr>
        <w:t>noted that IHPA is working with its Subacute Care Working Group to continue to progress AN-SNAP Version 5.0. It is anticipated that a draft AN-SNAP Version 5.0 will be released for public consultation in early-2021, separately to this Consultation Paper</w:t>
      </w:r>
      <w:r w:rsidR="00AD3676" w:rsidRPr="0065414C">
        <w:rPr>
          <w:rFonts w:cs="Arial"/>
        </w:rPr>
        <w:t>.</w:t>
      </w:r>
    </w:p>
    <w:p w14:paraId="738FDB71" w14:textId="77777777" w:rsidR="00AD3676" w:rsidRPr="0065414C" w:rsidRDefault="00AD3676" w:rsidP="00D055E1">
      <w:pPr>
        <w:pStyle w:val="Heading2"/>
        <w:rPr>
          <w:rFonts w:cs="Arial"/>
        </w:rPr>
      </w:pPr>
      <w:bookmarkStart w:id="88" w:name="_Toc49953758"/>
      <w:bookmarkStart w:id="89" w:name="_Toc50532308"/>
      <w:r w:rsidRPr="0065414C">
        <w:rPr>
          <w:rFonts w:cs="Arial"/>
        </w:rPr>
        <w:t>6.</w:t>
      </w:r>
      <w:r w:rsidR="007424D5" w:rsidRPr="0065414C">
        <w:rPr>
          <w:rFonts w:cs="Arial"/>
        </w:rPr>
        <w:t>3</w:t>
      </w:r>
      <w:r w:rsidRPr="0065414C">
        <w:rPr>
          <w:rFonts w:cs="Arial"/>
        </w:rPr>
        <w:t>.</w:t>
      </w:r>
      <w:r w:rsidR="00D055E1" w:rsidRPr="0065414C">
        <w:rPr>
          <w:rFonts w:cs="Arial"/>
        </w:rPr>
        <w:t xml:space="preserve"> </w:t>
      </w:r>
      <w:r w:rsidRPr="0065414C">
        <w:rPr>
          <w:rFonts w:cs="Arial"/>
        </w:rPr>
        <w:t>Non-admitted care</w:t>
      </w:r>
      <w:bookmarkEnd w:id="88"/>
      <w:bookmarkEnd w:id="89"/>
    </w:p>
    <w:p w14:paraId="70E282F9" w14:textId="77777777" w:rsidR="00AD3676" w:rsidRPr="0065414C" w:rsidRDefault="00AD3676" w:rsidP="00011A81">
      <w:pPr>
        <w:pStyle w:val="Heading3"/>
        <w:rPr>
          <w:rFonts w:cs="Arial"/>
        </w:rPr>
      </w:pPr>
      <w:r w:rsidRPr="0065414C">
        <w:rPr>
          <w:rFonts w:cs="Arial"/>
        </w:rPr>
        <w:t>Tier 2 Non-Admitted Services</w:t>
      </w:r>
      <w:r w:rsidR="00977B7B" w:rsidRPr="0065414C">
        <w:rPr>
          <w:rFonts w:cs="Arial"/>
        </w:rPr>
        <w:t> </w:t>
      </w:r>
      <w:r w:rsidRPr="0065414C">
        <w:rPr>
          <w:rFonts w:cs="Arial"/>
        </w:rPr>
        <w:t>Classification</w:t>
      </w:r>
    </w:p>
    <w:p w14:paraId="3CC76D4A" w14:textId="77777777" w:rsidR="00AD3676" w:rsidRPr="0065414C" w:rsidRDefault="00AD3676" w:rsidP="00AD3676">
      <w:pPr>
        <w:pStyle w:val="BodyText"/>
        <w:rPr>
          <w:rFonts w:cs="Arial"/>
        </w:rPr>
      </w:pPr>
      <w:r w:rsidRPr="0065414C">
        <w:rPr>
          <w:rFonts w:cs="Arial"/>
        </w:rPr>
        <w:t xml:space="preserve">The </w:t>
      </w:r>
      <w:hyperlink r:id="rId71" w:history="1">
        <w:r w:rsidR="00391837">
          <w:rPr>
            <w:rStyle w:val="Hyperlink"/>
            <w:rFonts w:cs="Arial"/>
            <w:i/>
            <w:iCs/>
          </w:rPr>
          <w:t>Tier 2 Non-Admitted Services Classification</w:t>
        </w:r>
      </w:hyperlink>
      <w:r w:rsidRPr="0065414C">
        <w:rPr>
          <w:rFonts w:cs="Arial"/>
        </w:rPr>
        <w:t xml:space="preserve"> </w:t>
      </w:r>
      <w:r w:rsidR="00011A81" w:rsidRPr="0065414C">
        <w:rPr>
          <w:rFonts w:cs="Arial"/>
        </w:rPr>
        <w:t>is the existing classification system that categorises a public hospital’s non-admitted services into classes, which are generally based on the nature of the service and the type of clinician providing the service</w:t>
      </w:r>
      <w:r w:rsidRPr="0065414C">
        <w:rPr>
          <w:rFonts w:cs="Arial"/>
        </w:rPr>
        <w:t>.</w:t>
      </w:r>
    </w:p>
    <w:p w14:paraId="49B879D6" w14:textId="77777777" w:rsidR="00AD3676" w:rsidRPr="0065414C" w:rsidRDefault="00936F6B" w:rsidP="00AD3676">
      <w:pPr>
        <w:pStyle w:val="BodyText"/>
        <w:rPr>
          <w:rFonts w:cs="Arial"/>
        </w:rPr>
      </w:pPr>
      <w:r w:rsidRPr="0065414C">
        <w:rPr>
          <w:rFonts w:cs="Arial"/>
        </w:rPr>
        <w:t xml:space="preserve">For NEP21, IHPA intends to continue using the Tier 2 Non-Admitted Services </w:t>
      </w:r>
      <w:r w:rsidR="00391837">
        <w:rPr>
          <w:rFonts w:cs="Arial"/>
        </w:rPr>
        <w:t>Cl</w:t>
      </w:r>
      <w:r w:rsidRPr="0065414C">
        <w:rPr>
          <w:rFonts w:cs="Arial"/>
        </w:rPr>
        <w:t>assification for pricing non-admitted services</w:t>
      </w:r>
      <w:r w:rsidR="00AD3676" w:rsidRPr="0065414C">
        <w:rPr>
          <w:rFonts w:cs="Arial"/>
        </w:rPr>
        <w:t xml:space="preserve">. </w:t>
      </w:r>
    </w:p>
    <w:p w14:paraId="4526EB4C" w14:textId="77777777" w:rsidR="008F2C0D" w:rsidRDefault="00936F6B" w:rsidP="00AD3676">
      <w:pPr>
        <w:pStyle w:val="BodyText"/>
        <w:rPr>
          <w:rFonts w:cs="Arial"/>
        </w:rPr>
      </w:pPr>
      <w:r w:rsidRPr="0065414C">
        <w:rPr>
          <w:rFonts w:cs="Arial"/>
        </w:rPr>
        <w:t xml:space="preserve">IHPA is committed to undertaking maintenance work to ensure relevancy of Tier 2 for </w:t>
      </w:r>
      <w:proofErr w:type="gramStart"/>
      <w:r w:rsidRPr="0065414C">
        <w:rPr>
          <w:rFonts w:cs="Arial"/>
        </w:rPr>
        <w:t>activity based</w:t>
      </w:r>
      <w:proofErr w:type="gramEnd"/>
      <w:r w:rsidRPr="0065414C">
        <w:rPr>
          <w:rFonts w:cs="Arial"/>
        </w:rPr>
        <w:t xml:space="preserve"> funding purposes while a new Australian Non-Admitted Care Classification (ANACC) is being developed. IHPA has consulted with jurisdictions and stakeholders via its advisory committees on further refinements that could be made to Tier 2. Currently two refinements are being considered. These are the addition of two clinical nurse specialist/allied health</w:t>
      </w:r>
      <w:r w:rsidR="002117A9">
        <w:rPr>
          <w:rFonts w:cs="Arial"/>
        </w:rPr>
        <w:t xml:space="preserve"> led</w:t>
      </w:r>
      <w:r w:rsidRPr="0065414C">
        <w:rPr>
          <w:rFonts w:cs="Arial"/>
        </w:rPr>
        <w:t xml:space="preserve"> clinics, in pain management and exercise physiology</w:t>
      </w:r>
      <w:r w:rsidR="00AD3676" w:rsidRPr="0065414C">
        <w:rPr>
          <w:rFonts w:cs="Arial"/>
        </w:rPr>
        <w:t>.</w:t>
      </w:r>
    </w:p>
    <w:p w14:paraId="011D9350" w14:textId="77777777" w:rsidR="00EF63A7" w:rsidRDefault="00EF63A7" w:rsidP="00AD3676">
      <w:pPr>
        <w:pStyle w:val="BodyText"/>
        <w:rPr>
          <w:rFonts w:cs="Arial"/>
        </w:rPr>
      </w:pPr>
    </w:p>
    <w:p w14:paraId="66A9093A" w14:textId="77777777" w:rsidR="00EF63A7" w:rsidRPr="0065414C" w:rsidRDefault="00EF63A7" w:rsidP="00AD3676">
      <w:pPr>
        <w:pStyle w:val="BodyText"/>
        <w:rPr>
          <w:rFonts w:cs="Arial"/>
        </w:rPr>
      </w:pPr>
    </w:p>
    <w:p w14:paraId="7DD3D381" w14:textId="77777777" w:rsidR="00977B7B" w:rsidRPr="0065414C" w:rsidRDefault="00EF63A7" w:rsidP="00011A81">
      <w:pPr>
        <w:pStyle w:val="Heading3"/>
        <w:rPr>
          <w:rFonts w:cs="Arial"/>
        </w:rPr>
      </w:pPr>
      <w:r>
        <w:rPr>
          <w:rFonts w:cs="Arial"/>
        </w:rPr>
        <w:br w:type="column"/>
      </w:r>
      <w:r w:rsidRPr="0065414C">
        <w:rPr>
          <w:rFonts w:cs="Arial"/>
          <w:noProof/>
          <w:lang w:eastAsia="en-AU" w:bidi="ar-SA"/>
        </w:rPr>
        <w:lastRenderedPageBreak/>
        <mc:AlternateContent>
          <mc:Choice Requires="wps">
            <w:drawing>
              <wp:anchor distT="0" distB="0" distL="0" distR="0" simplePos="0" relativeHeight="251622396" behindDoc="1" locked="0" layoutInCell="1" allowOverlap="1" wp14:anchorId="42ABCA2E" wp14:editId="4EEF306A">
                <wp:simplePos x="0" y="0"/>
                <wp:positionH relativeFrom="margin">
                  <wp:align>left</wp:align>
                </wp:positionH>
                <wp:positionV relativeFrom="paragraph">
                  <wp:posOffset>83</wp:posOffset>
                </wp:positionV>
                <wp:extent cx="2689200" cy="2273935"/>
                <wp:effectExtent l="0" t="0" r="16510" b="12065"/>
                <wp:wrapTopAndBottom/>
                <wp:docPr id="56" name="Text Box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200" cy="2273935"/>
                        </a:xfrm>
                        <a:prstGeom prst="rect">
                          <a:avLst/>
                        </a:prstGeom>
                        <a:noFill/>
                        <a:ln w="9525">
                          <a:solidFill>
                            <a:schemeClr val="accent3">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A303434" w14:textId="77777777" w:rsidR="001C5C18" w:rsidRPr="005470B1" w:rsidRDefault="001C5C18" w:rsidP="00985EB9">
                            <w:pPr>
                              <w:pStyle w:val="Questionheading"/>
                            </w:pPr>
                            <w:bookmarkStart w:id="90" w:name="Question21"/>
                            <w:r w:rsidRPr="005470B1">
                              <w:t>Consultation question</w:t>
                            </w:r>
                            <w:r>
                              <w:t>s</w:t>
                            </w:r>
                          </w:p>
                          <w:bookmarkEnd w:id="90"/>
                          <w:p w14:paraId="264FBB15" w14:textId="77777777" w:rsidR="001C5C18" w:rsidRDefault="001C5C18" w:rsidP="00985EB9">
                            <w:pPr>
                              <w:pStyle w:val="ListParagraph"/>
                              <w:ind w:left="566" w:right="283"/>
                            </w:pPr>
                            <w:r>
                              <w:t>Are there any other factors that should be considered for the addition of pain management and exercise physiology classes in the clinic nurse specialist/allied health led services of classes in the Tier 2 Non-Admitted Services Classification</w:t>
                            </w:r>
                            <w:r w:rsidRPr="00985EB9">
                              <w:t>?</w:t>
                            </w:r>
                          </w:p>
                          <w:p w14:paraId="5BC8E8C6" w14:textId="77777777" w:rsidR="001C5C18" w:rsidRDefault="001C5C18" w:rsidP="00985EB9">
                            <w:pPr>
                              <w:pStyle w:val="ListParagraph"/>
                              <w:ind w:left="566" w:right="283"/>
                            </w:pPr>
                            <w:r>
                              <w:t>How would activity that falls under these proposed new classes previously have been classified?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BCA2E" id="Text Box 38" o:spid="_x0000_s1033" type="#_x0000_t202" alt="&quot;&quot;" style="position:absolute;margin-left:0;margin-top:0;width:211.75pt;height:179.05pt;z-index:-25169408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" filled="f" strokecolor="#c31f48 [3206]">
                <v:textbox inset="0,0,0,0">
                  <w:txbxContent>
                    <w:p w14:paraId="7A303434" w14:textId="77777777" w:rsidR="001C5C18" w:rsidRPr="005470B1" w:rsidRDefault="001C5C18" w:rsidP="00985EB9">
                      <w:pPr>
                        <w:pStyle w:val="Questionheading"/>
                      </w:pPr>
                      <w:bookmarkStart w:id="91" w:name="Question21"/>
                      <w:r w:rsidRPr="005470B1">
                        <w:t>Consultation question</w:t>
                      </w:r>
                      <w:r>
                        <w:t>s</w:t>
                      </w:r>
                    </w:p>
                    <w:bookmarkEnd w:id="91"/>
                    <w:p w14:paraId="264FBB15" w14:textId="77777777" w:rsidR="001C5C18" w:rsidRDefault="001C5C18" w:rsidP="00985EB9">
                      <w:pPr>
                        <w:pStyle w:val="ListParagraph"/>
                        <w:ind w:left="566" w:right="283"/>
                      </w:pPr>
                      <w:r>
                        <w:t>Are there any other factors that should be considered for the addition of pain management and exercise physiology classes in the clinic nurse specialist/allied health led services of classes in the Tier 2 Non-Admitted Services Classification</w:t>
                      </w:r>
                      <w:r w:rsidRPr="00985EB9">
                        <w:t>?</w:t>
                      </w:r>
                    </w:p>
                    <w:p w14:paraId="5BC8E8C6" w14:textId="77777777" w:rsidR="001C5C18" w:rsidRDefault="001C5C18" w:rsidP="00985EB9">
                      <w:pPr>
                        <w:pStyle w:val="ListParagraph"/>
                        <w:ind w:left="566" w:right="283"/>
                      </w:pPr>
                      <w:r>
                        <w:t>How would activity that falls under these proposed new classes previously have been classified?</w:t>
                      </w:r>
                    </w:p>
                  </w:txbxContent>
                </v:textbox>
                <w10:wrap type="topAndBottom" anchorx="margin"/>
              </v:shape>
            </w:pict>
          </mc:Fallback>
        </mc:AlternateContent>
      </w:r>
      <w:r w:rsidR="00977B7B" w:rsidRPr="0065414C">
        <w:rPr>
          <w:rFonts w:cs="Arial"/>
        </w:rPr>
        <w:t>Australian Non-Admitted Care Classification</w:t>
      </w:r>
    </w:p>
    <w:p w14:paraId="4265F493" w14:textId="77777777" w:rsidR="00D5434D" w:rsidRDefault="00936F6B" w:rsidP="00977B7B">
      <w:pPr>
        <w:pStyle w:val="BodyText"/>
        <w:rPr>
          <w:rFonts w:cs="Arial"/>
        </w:rPr>
      </w:pPr>
      <w:r w:rsidRPr="0065414C">
        <w:rPr>
          <w:rFonts w:cs="Arial"/>
        </w:rPr>
        <w:t xml:space="preserve">IHPA is developing the ANACC to better describe patient characteristics and the complexity of care </w:t>
      </w:r>
      <w:proofErr w:type="gramStart"/>
      <w:r w:rsidRPr="0065414C">
        <w:rPr>
          <w:rFonts w:cs="Arial"/>
        </w:rPr>
        <w:t>in order to</w:t>
      </w:r>
      <w:proofErr w:type="gramEnd"/>
      <w:r w:rsidRPr="0065414C">
        <w:rPr>
          <w:rFonts w:cs="Arial"/>
        </w:rPr>
        <w:t xml:space="preserve"> more accurately reflect the costs of non-admitted services. The classification will also better account for changes in care delivery as services transition to the non-admitted setting, as new electronic medical records allow for more detailed data capture and as new funding models which span multiple settings are tested</w:t>
      </w:r>
      <w:r w:rsidR="00C45203">
        <w:rPr>
          <w:rFonts w:cs="Arial"/>
        </w:rPr>
        <w:t>.</w:t>
      </w:r>
    </w:p>
    <w:p w14:paraId="5C6476DB" w14:textId="77777777" w:rsidR="00977B7B" w:rsidRPr="0065414C" w:rsidRDefault="00936F6B" w:rsidP="00977B7B">
      <w:pPr>
        <w:pStyle w:val="BodyText"/>
        <w:rPr>
          <w:rFonts w:cs="Arial"/>
        </w:rPr>
      </w:pPr>
      <w:r w:rsidRPr="0065414C">
        <w:rPr>
          <w:rFonts w:cs="Arial"/>
        </w:rPr>
        <w:t>IHPA commenced a national costing study in 2018 to collect non-admitted (including subacute) activity and cost data and test a shortlist of variables and potential classification hierarchies</w:t>
      </w:r>
      <w:r w:rsidR="00977B7B" w:rsidRPr="0065414C">
        <w:rPr>
          <w:rFonts w:cs="Arial"/>
        </w:rPr>
        <w:t>.</w:t>
      </w:r>
    </w:p>
    <w:p w14:paraId="15308607" w14:textId="77777777" w:rsidR="008245FD" w:rsidRPr="0065414C" w:rsidRDefault="00936F6B" w:rsidP="00977B7B">
      <w:pPr>
        <w:pStyle w:val="BodyText"/>
        <w:rPr>
          <w:rFonts w:cs="Arial"/>
        </w:rPr>
      </w:pPr>
      <w:r w:rsidRPr="0065414C">
        <w:rPr>
          <w:rFonts w:cs="Arial"/>
        </w:rPr>
        <w:t>The impact of COVID-19 on hospitals participating in the costing study has resulted in the study being suspended. Data collection was paused in March 2020 with a decision reached in August 2020 to indefinitely suspend the study. IHPA will work with states and territories to understand the impact that the COVID-19 response will have on models of care, particularly where there is a permanent change from existing practice. There will be significant delays to the development and ultimate finalisation of a new non-admitted care classification to replace the Tier 2 Non-Admitted Services Classification</w:t>
      </w:r>
      <w:r w:rsidR="00977B7B" w:rsidRPr="0065414C">
        <w:rPr>
          <w:rFonts w:cs="Arial"/>
        </w:rPr>
        <w:t>.</w:t>
      </w:r>
    </w:p>
    <w:p w14:paraId="0192858D" w14:textId="77777777" w:rsidR="00A8798D" w:rsidRPr="0065414C" w:rsidRDefault="00EF63A7" w:rsidP="00011A81">
      <w:pPr>
        <w:pStyle w:val="Heading2"/>
        <w:rPr>
          <w:rFonts w:cs="Arial"/>
        </w:rPr>
      </w:pPr>
      <w:r>
        <w:rPr>
          <w:rFonts w:cs="Arial"/>
        </w:rPr>
        <w:br w:type="column"/>
      </w:r>
      <w:bookmarkStart w:id="92" w:name="_Toc49953759"/>
      <w:bookmarkStart w:id="93" w:name="_Toc50532309"/>
      <w:r w:rsidR="00A8798D" w:rsidRPr="0065414C">
        <w:rPr>
          <w:rFonts w:cs="Arial"/>
        </w:rPr>
        <w:t>6.</w:t>
      </w:r>
      <w:r w:rsidR="007424D5" w:rsidRPr="0065414C">
        <w:rPr>
          <w:rFonts w:cs="Arial"/>
        </w:rPr>
        <w:t>4</w:t>
      </w:r>
      <w:r w:rsidR="00A8798D" w:rsidRPr="0065414C">
        <w:rPr>
          <w:rFonts w:cs="Arial"/>
        </w:rPr>
        <w:t>. Emergency Care</w:t>
      </w:r>
      <w:bookmarkEnd w:id="92"/>
      <w:bookmarkEnd w:id="93"/>
    </w:p>
    <w:p w14:paraId="6D1A1EE1" w14:textId="77777777" w:rsidR="00A8798D" w:rsidRPr="0065414C" w:rsidRDefault="00936F6B" w:rsidP="00A8798D">
      <w:pPr>
        <w:pStyle w:val="BodyText"/>
        <w:rPr>
          <w:rFonts w:cs="Arial"/>
        </w:rPr>
      </w:pPr>
      <w:r w:rsidRPr="0065414C">
        <w:rPr>
          <w:rFonts w:cs="Arial"/>
        </w:rPr>
        <w:t xml:space="preserve">For </w:t>
      </w:r>
      <w:r w:rsidRPr="0065414C">
        <w:rPr>
          <w:rFonts w:eastAsia="Arial" w:cs="Arial"/>
          <w:szCs w:val="22"/>
        </w:rPr>
        <w:t>the National Efficient Price Determination 2020–21 (NEP20</w:t>
      </w:r>
      <w:r w:rsidRPr="0065414C">
        <w:rPr>
          <w:rFonts w:cs="Arial"/>
        </w:rPr>
        <w:t>), IHPA used Urgency Related Groups Version 1.4 to classify presentations to emergency departments and Urgency Disposition Groups Version 1.3 for presentations to emergency services. IHPA included shadow price weights for emergency department activities using the new Australian Emergency Care Classification (AECC) Version 1.0, with an intent to price using AECC Version 1.0 for NEP21</w:t>
      </w:r>
      <w:r w:rsidR="00A8798D" w:rsidRPr="0065414C">
        <w:rPr>
          <w:rFonts w:cs="Arial"/>
        </w:rPr>
        <w:t xml:space="preserve">. </w:t>
      </w:r>
    </w:p>
    <w:p w14:paraId="1E1F8179" w14:textId="77777777" w:rsidR="00A8798D" w:rsidRPr="0065414C" w:rsidRDefault="00EF63A7" w:rsidP="00A8798D">
      <w:pPr>
        <w:pStyle w:val="BodyText"/>
        <w:rPr>
          <w:rFonts w:cs="Arial"/>
        </w:rPr>
      </w:pPr>
      <w:r w:rsidRPr="0065414C">
        <w:rPr>
          <w:rFonts w:cs="Arial"/>
          <w:noProof/>
          <w:lang w:eastAsia="en-AU" w:bidi="ar-SA"/>
        </w:rPr>
        <w:drawing>
          <wp:anchor distT="0" distB="0" distL="114300" distR="114300" simplePos="0" relativeHeight="251645952" behindDoc="0" locked="0" layoutInCell="1" allowOverlap="1" wp14:anchorId="41ED39C0" wp14:editId="4921357D">
            <wp:simplePos x="0" y="0"/>
            <wp:positionH relativeFrom="column">
              <wp:posOffset>-2809626</wp:posOffset>
            </wp:positionH>
            <wp:positionV relativeFrom="bottomMargin">
              <wp:posOffset>-8690914</wp:posOffset>
            </wp:positionV>
            <wp:extent cx="239888" cy="213500"/>
            <wp:effectExtent l="0" t="0" r="8255" b="0"/>
            <wp:wrapNone/>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39888" cy="213500"/>
                    </a:xfrm>
                    <a:prstGeom prst="rect">
                      <a:avLst/>
                    </a:prstGeom>
                  </pic:spPr>
                </pic:pic>
              </a:graphicData>
            </a:graphic>
          </wp:anchor>
        </w:drawing>
      </w:r>
      <w:r w:rsidR="00936F6B" w:rsidRPr="0065414C">
        <w:rPr>
          <w:rFonts w:cs="Arial"/>
        </w:rPr>
        <w:t>IHPA will undertake a review of the shadow year for the AECC Version 1.0, assessing the impacts of the shadow pricing period and the merits of the shadow process</w:t>
      </w:r>
      <w:r w:rsidR="00A8798D" w:rsidRPr="0065414C">
        <w:rPr>
          <w:rFonts w:cs="Arial"/>
        </w:rPr>
        <w:t xml:space="preserve">. </w:t>
      </w:r>
    </w:p>
    <w:p w14:paraId="39B6B4FB" w14:textId="77777777" w:rsidR="00A8798D" w:rsidRPr="0065414C" w:rsidRDefault="00936F6B" w:rsidP="00A8798D">
      <w:pPr>
        <w:pStyle w:val="BodyText"/>
        <w:rPr>
          <w:rFonts w:cs="Arial"/>
        </w:rPr>
      </w:pPr>
      <w:r w:rsidRPr="0065414C">
        <w:rPr>
          <w:rFonts w:cs="Arial"/>
        </w:rPr>
        <w:t xml:space="preserve">IHPA is also working with states and territories to determine whether emergency services could collect a subset of diagnosis data using the </w:t>
      </w:r>
      <w:hyperlink r:id="rId72" w:history="1">
        <w:r w:rsidR="00A8798D" w:rsidRPr="0065414C">
          <w:rPr>
            <w:rStyle w:val="Hyperlink"/>
            <w:rFonts w:cs="Arial"/>
            <w:i/>
            <w:iCs/>
          </w:rPr>
          <w:t>Emergency Department Principal Diagnosis Short List</w:t>
        </w:r>
      </w:hyperlink>
      <w:r w:rsidR="00A8798D" w:rsidRPr="0065414C">
        <w:rPr>
          <w:rFonts w:cs="Arial"/>
        </w:rPr>
        <w:t xml:space="preserve"> </w:t>
      </w:r>
      <w:r w:rsidR="00011A81" w:rsidRPr="0065414C">
        <w:rPr>
          <w:rFonts w:cs="Arial"/>
        </w:rPr>
        <w:t>to support implementation of the AECC for these services</w:t>
      </w:r>
      <w:r w:rsidR="00A8798D" w:rsidRPr="0065414C">
        <w:rPr>
          <w:rFonts w:cs="Arial"/>
        </w:rPr>
        <w:t>.</w:t>
      </w:r>
    </w:p>
    <w:p w14:paraId="3149D99A" w14:textId="77777777" w:rsidR="008970C2" w:rsidRPr="0065414C" w:rsidRDefault="00A8798D" w:rsidP="00A8798D">
      <w:pPr>
        <w:pStyle w:val="BodyText"/>
        <w:rPr>
          <w:rFonts w:cs="Arial"/>
        </w:rPr>
      </w:pPr>
      <w:r w:rsidRPr="0065414C">
        <w:rPr>
          <w:rFonts w:cs="Arial"/>
        </w:rPr>
        <w:t xml:space="preserve">The </w:t>
      </w:r>
      <w:hyperlink r:id="rId73" w:history="1">
        <w:r w:rsidRPr="0065414C">
          <w:rPr>
            <w:rStyle w:val="Hyperlink"/>
            <w:rFonts w:cs="Arial"/>
            <w:i/>
            <w:iCs/>
          </w:rPr>
          <w:t>IHPA Work Program 2020–21</w:t>
        </w:r>
      </w:hyperlink>
      <w:r w:rsidR="00011A81" w:rsidRPr="0065414C">
        <w:rPr>
          <w:rFonts w:cs="Arial"/>
        </w:rPr>
        <w:t xml:space="preserve">, </w:t>
      </w:r>
      <w:r w:rsidR="00936F6B" w:rsidRPr="0065414C">
        <w:rPr>
          <w:rFonts w:cs="Arial"/>
        </w:rPr>
        <w:t>published in June 2020 outlined IHPA’s intention to continue supporting jurisdictions to improve data collection and reporting. It also noted that the AECC will continue to be refined, including consideration of potential new variables</w:t>
      </w:r>
      <w:r w:rsidRPr="0065414C">
        <w:rPr>
          <w:rFonts w:cs="Arial"/>
        </w:rPr>
        <w:t>.</w:t>
      </w:r>
    </w:p>
    <w:p w14:paraId="792DA94E" w14:textId="77777777" w:rsidR="00E14119" w:rsidRPr="0065414C" w:rsidRDefault="00936F6B" w:rsidP="00A8798D">
      <w:pPr>
        <w:pStyle w:val="BodyText"/>
        <w:rPr>
          <w:rFonts w:cs="Arial"/>
        </w:rPr>
      </w:pPr>
      <w:r w:rsidRPr="0065414C">
        <w:rPr>
          <w:rFonts w:cs="Arial"/>
        </w:rPr>
        <w:t>IHPA intends to use AECC Version 1.0 to price emergency department activities for NEP21</w:t>
      </w:r>
      <w:r w:rsidR="00E14119" w:rsidRPr="0065414C">
        <w:rPr>
          <w:rFonts w:cs="Arial"/>
        </w:rPr>
        <w:t>.</w:t>
      </w:r>
    </w:p>
    <w:p w14:paraId="67C516A9" w14:textId="77777777" w:rsidR="00011A81" w:rsidRPr="0065414C" w:rsidRDefault="00EF63A7" w:rsidP="00011A81">
      <w:pPr>
        <w:pStyle w:val="Heading2"/>
        <w:rPr>
          <w:rFonts w:cs="Arial"/>
        </w:rPr>
      </w:pPr>
      <w:bookmarkStart w:id="94" w:name="_Toc49953760"/>
      <w:bookmarkStart w:id="95" w:name="_Toc50532310"/>
      <w:r w:rsidRPr="0065414C">
        <w:rPr>
          <w:rFonts w:cs="Arial"/>
          <w:noProof/>
          <w:lang w:eastAsia="en-AU" w:bidi="ar-SA"/>
        </w:rPr>
        <mc:AlternateContent>
          <mc:Choice Requires="wps">
            <w:drawing>
              <wp:anchor distT="0" distB="0" distL="0" distR="0" simplePos="0" relativeHeight="251680768" behindDoc="1" locked="0" layoutInCell="1" allowOverlap="1" wp14:anchorId="125E6B9C" wp14:editId="1A0DD43B">
                <wp:simplePos x="0" y="0"/>
                <wp:positionH relativeFrom="margin">
                  <wp:align>right</wp:align>
                </wp:positionH>
                <wp:positionV relativeFrom="paragraph">
                  <wp:posOffset>194255</wp:posOffset>
                </wp:positionV>
                <wp:extent cx="2743200" cy="1805305"/>
                <wp:effectExtent l="0" t="0" r="19050" b="23495"/>
                <wp:wrapTopAndBottom/>
                <wp:docPr id="55" name="Text Box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805305"/>
                        </a:xfrm>
                        <a:prstGeom prst="rect">
                          <a:avLst/>
                        </a:prstGeom>
                        <a:noFill/>
                        <a:ln w="9525">
                          <a:solidFill>
                            <a:schemeClr val="accent3">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546F167" w14:textId="77777777" w:rsidR="001C5C18" w:rsidRPr="005470B1" w:rsidRDefault="001C5C18" w:rsidP="00F012E7">
                            <w:pPr>
                              <w:pStyle w:val="Questionheading"/>
                            </w:pPr>
                            <w:bookmarkStart w:id="96" w:name="Question22"/>
                            <w:r w:rsidRPr="005470B1">
                              <w:t>Consultation question</w:t>
                            </w:r>
                            <w:r>
                              <w:t>s</w:t>
                            </w:r>
                          </w:p>
                          <w:bookmarkEnd w:id="96"/>
                          <w:p w14:paraId="4DA7D488" w14:textId="77777777" w:rsidR="001C5C18" w:rsidRDefault="001C5C18" w:rsidP="00F012E7">
                            <w:pPr>
                              <w:pStyle w:val="ListParagraph"/>
                              <w:ind w:left="566" w:right="283"/>
                            </w:pPr>
                            <w:r>
                              <w:t>What has been the impact on emergency department data since IHPA commenced shadow pricing using the AECC Version 1.0</w:t>
                            </w:r>
                            <w:r w:rsidRPr="00F012E7">
                              <w:t>?</w:t>
                            </w:r>
                          </w:p>
                          <w:p w14:paraId="3A9156A0" w14:textId="77777777" w:rsidR="001C5C18" w:rsidRDefault="001C5C18" w:rsidP="00F012E7">
                            <w:pPr>
                              <w:pStyle w:val="ListParagraph"/>
                              <w:ind w:left="566" w:right="283"/>
                            </w:pPr>
                            <w:r>
                              <w:t>Are there any barriers to implementing pricing using the AECC Version 1.0 for emergency departments for NEP21</w:t>
                            </w:r>
                            <w:r w:rsidRPr="00F012E7">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E6B9C" id="Text Box 39" o:spid="_x0000_s1034" type="#_x0000_t202" alt="&quot;&quot;" style="position:absolute;margin-left:164.8pt;margin-top:15.3pt;width:3in;height:142.15pt;z-index:-25163571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" filled="f" strokecolor="#c31f48 [3206]">
                <v:textbox inset="0,0,0,0">
                  <w:txbxContent>
                    <w:p w14:paraId="4546F167" w14:textId="77777777" w:rsidR="001C5C18" w:rsidRPr="005470B1" w:rsidRDefault="001C5C18" w:rsidP="00F012E7">
                      <w:pPr>
                        <w:pStyle w:val="Questionheading"/>
                      </w:pPr>
                      <w:bookmarkStart w:id="97" w:name="Question22"/>
                      <w:r w:rsidRPr="005470B1">
                        <w:t>Consultation question</w:t>
                      </w:r>
                      <w:r>
                        <w:t>s</w:t>
                      </w:r>
                    </w:p>
                    <w:bookmarkEnd w:id="97"/>
                    <w:p w14:paraId="4DA7D488" w14:textId="77777777" w:rsidR="001C5C18" w:rsidRDefault="001C5C18" w:rsidP="00F012E7">
                      <w:pPr>
                        <w:pStyle w:val="ListParagraph"/>
                        <w:ind w:left="566" w:right="283"/>
                      </w:pPr>
                      <w:r>
                        <w:t>What has been the impact on emergency department data since IHPA commenced shadow pricing using the AECC Version 1.0</w:t>
                      </w:r>
                      <w:r w:rsidRPr="00F012E7">
                        <w:t>?</w:t>
                      </w:r>
                    </w:p>
                    <w:p w14:paraId="3A9156A0" w14:textId="77777777" w:rsidR="001C5C18" w:rsidRDefault="001C5C18" w:rsidP="00F012E7">
                      <w:pPr>
                        <w:pStyle w:val="ListParagraph"/>
                        <w:ind w:left="566" w:right="283"/>
                      </w:pPr>
                      <w:r>
                        <w:t>Are there any barriers to implementing pricing using the AECC Version 1.0 for emergency departments for NEP21</w:t>
                      </w:r>
                      <w:r w:rsidRPr="00F012E7">
                        <w:t>?</w:t>
                      </w:r>
                    </w:p>
                  </w:txbxContent>
                </v:textbox>
                <w10:wrap type="topAndBottom" anchorx="margin"/>
              </v:shape>
            </w:pict>
          </mc:Fallback>
        </mc:AlternateContent>
      </w:r>
      <w:r w:rsidRPr="0065414C">
        <w:rPr>
          <w:rFonts w:cs="Arial"/>
          <w:noProof/>
          <w:lang w:eastAsia="en-AU" w:bidi="ar-SA"/>
        </w:rPr>
        <w:drawing>
          <wp:anchor distT="0" distB="0" distL="114300" distR="114300" simplePos="0" relativeHeight="251702272" behindDoc="0" locked="0" layoutInCell="1" allowOverlap="1" wp14:anchorId="4B23C980" wp14:editId="1F938A6A">
            <wp:simplePos x="0" y="0"/>
            <wp:positionH relativeFrom="column">
              <wp:posOffset>168910</wp:posOffset>
            </wp:positionH>
            <wp:positionV relativeFrom="page">
              <wp:posOffset>6201354</wp:posOffset>
            </wp:positionV>
            <wp:extent cx="239888" cy="213500"/>
            <wp:effectExtent l="0" t="0" r="0" b="0"/>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39888" cy="213500"/>
                    </a:xfrm>
                    <a:prstGeom prst="rect">
                      <a:avLst/>
                    </a:prstGeom>
                  </pic:spPr>
                </pic:pic>
              </a:graphicData>
            </a:graphic>
          </wp:anchor>
        </w:drawing>
      </w:r>
      <w:r w:rsidR="0049377B">
        <w:rPr>
          <w:rFonts w:cs="Arial"/>
        </w:rPr>
        <w:br w:type="column"/>
      </w:r>
      <w:r w:rsidR="00011A81" w:rsidRPr="0065414C">
        <w:rPr>
          <w:rFonts w:cs="Arial"/>
        </w:rPr>
        <w:lastRenderedPageBreak/>
        <w:t>6.5. Mental health care</w:t>
      </w:r>
      <w:bookmarkEnd w:id="94"/>
      <w:bookmarkEnd w:id="95"/>
    </w:p>
    <w:p w14:paraId="0F033F05" w14:textId="77777777" w:rsidR="00011A81" w:rsidRPr="0065414C" w:rsidRDefault="00936F6B" w:rsidP="00011A81">
      <w:pPr>
        <w:pStyle w:val="BodyText"/>
        <w:rPr>
          <w:rFonts w:cs="Arial"/>
        </w:rPr>
      </w:pPr>
      <w:r w:rsidRPr="0065414C">
        <w:rPr>
          <w:rFonts w:cs="Arial"/>
        </w:rPr>
        <w:t xml:space="preserve">IHPA commenced shadow pricing admitted mental health services using the Australian Mental Health Care Classification (AMHCC) Version 1.0 for NEP20. The shadow price weights for admitted AMHCC end classes are outlined in the </w:t>
      </w:r>
      <w:hyperlink r:id="rId74" w:history="1">
        <w:r w:rsidR="00011A81" w:rsidRPr="0065414C">
          <w:rPr>
            <w:rStyle w:val="Hyperlink"/>
            <w:rFonts w:cs="Arial"/>
            <w:i/>
            <w:color w:val="7EC352" w:themeColor="accent1"/>
            <w:lang w:eastAsia="en-AU"/>
          </w:rPr>
          <w:t>Australian Mental Health Care Classification Pricing Feasibility Report</w:t>
        </w:r>
      </w:hyperlink>
      <w:r w:rsidR="00011A81" w:rsidRPr="0065414C">
        <w:rPr>
          <w:rFonts w:cs="Arial"/>
        </w:rPr>
        <w:t xml:space="preserve">. </w:t>
      </w:r>
      <w:r w:rsidRPr="0065414C">
        <w:rPr>
          <w:rFonts w:cs="Arial"/>
        </w:rPr>
        <w:t>Pending a review of the 2018–19 activity and cost data, IHPA intends to use AMHCC Version 1.0 to price admitted mental health care for NEP21.</w:t>
      </w:r>
      <w:r w:rsidR="002117A9">
        <w:rPr>
          <w:rFonts w:cs="Arial"/>
        </w:rPr>
        <w:t xml:space="preserve"> </w:t>
      </w:r>
      <w:r w:rsidR="002117A9" w:rsidRPr="00C70A9F">
        <w:rPr>
          <w:rFonts w:cs="Arial"/>
        </w:rPr>
        <w:t xml:space="preserve">The proposed pricing model for admitted mental health care is based on a fixed price for </w:t>
      </w:r>
      <w:proofErr w:type="gramStart"/>
      <w:r w:rsidR="002117A9" w:rsidRPr="00C70A9F">
        <w:rPr>
          <w:rFonts w:cs="Arial"/>
        </w:rPr>
        <w:t>the majority of</w:t>
      </w:r>
      <w:proofErr w:type="gramEnd"/>
      <w:r w:rsidR="002117A9" w:rsidRPr="00C70A9F">
        <w:rPr>
          <w:rFonts w:cs="Arial"/>
        </w:rPr>
        <w:t xml:space="preserve"> phases (inliers), with exceptionally short or long phase prices (outliers) adjusted based on the phase length</w:t>
      </w:r>
      <w:r w:rsidR="002117A9">
        <w:rPr>
          <w:rFonts w:cs="Arial"/>
        </w:rPr>
        <w:t>.</w:t>
      </w:r>
    </w:p>
    <w:p w14:paraId="0A954C55" w14:textId="77777777" w:rsidR="00011A81" w:rsidRPr="0065414C" w:rsidRDefault="002117A9" w:rsidP="00011A81">
      <w:pPr>
        <w:pStyle w:val="BodyText"/>
        <w:rPr>
          <w:rFonts w:cs="Arial"/>
        </w:rPr>
      </w:pPr>
      <w:r w:rsidRPr="0065414C">
        <w:rPr>
          <w:rFonts w:cs="Arial"/>
          <w:noProof/>
          <w:lang w:eastAsia="en-AU" w:bidi="ar-SA"/>
        </w:rPr>
        <mc:AlternateContent>
          <mc:Choice Requires="wps">
            <w:drawing>
              <wp:anchor distT="0" distB="0" distL="0" distR="0" simplePos="0" relativeHeight="251621371" behindDoc="1" locked="0" layoutInCell="1" allowOverlap="1" wp14:anchorId="16178F0D" wp14:editId="7A31DA13">
                <wp:simplePos x="0" y="0"/>
                <wp:positionH relativeFrom="margin">
                  <wp:align>right</wp:align>
                </wp:positionH>
                <wp:positionV relativeFrom="paragraph">
                  <wp:posOffset>838587</wp:posOffset>
                </wp:positionV>
                <wp:extent cx="2743200" cy="1979295"/>
                <wp:effectExtent l="0" t="0" r="19050" b="20955"/>
                <wp:wrapTopAndBottom/>
                <wp:docPr id="68" name="Text Box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979295"/>
                        </a:xfrm>
                        <a:prstGeom prst="rect">
                          <a:avLst/>
                        </a:prstGeom>
                        <a:noFill/>
                        <a:ln w="9525">
                          <a:solidFill>
                            <a:schemeClr val="accent3">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E62C639" w14:textId="77777777" w:rsidR="001C5C18" w:rsidRPr="005470B1" w:rsidRDefault="001C5C18" w:rsidP="00011A81">
                            <w:pPr>
                              <w:pStyle w:val="Questionheading"/>
                            </w:pPr>
                            <w:r w:rsidRPr="005470B1">
                              <w:t>Consultation question</w:t>
                            </w:r>
                            <w:r>
                              <w:t>s</w:t>
                            </w:r>
                          </w:p>
                          <w:p w14:paraId="0E5B6F2C" w14:textId="77777777" w:rsidR="001C5C18" w:rsidRDefault="001C5C18" w:rsidP="00011A81">
                            <w:pPr>
                              <w:pStyle w:val="ListParagraph"/>
                              <w:ind w:left="566" w:right="283"/>
                            </w:pPr>
                            <w:r>
                              <w:t>How can IHPA further support development of pricing for community mental health services using AMHCC Version 1.0 to transition to shadow pricing</w:t>
                            </w:r>
                            <w:r w:rsidRPr="00F012E7">
                              <w:t>?</w:t>
                            </w:r>
                          </w:p>
                          <w:p w14:paraId="64C4A520" w14:textId="77777777" w:rsidR="001C5C18" w:rsidRDefault="001C5C18" w:rsidP="00011A81">
                            <w:pPr>
                              <w:pStyle w:val="ListParagraph"/>
                              <w:ind w:left="566" w:right="283"/>
                            </w:pPr>
                            <w:r>
                              <w:t>Are there any impediments to pricing admitted mental health care using AMHCC Version 1.0 for NEP21</w:t>
                            </w:r>
                            <w:r w:rsidRPr="00F012E7">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78F0D" id="_x0000_s1035" type="#_x0000_t202" alt="&quot;&quot;" style="position:absolute;margin-left:164.8pt;margin-top:66.05pt;width:3in;height:155.85pt;z-index:-251695109;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" filled="f" strokecolor="#c31f48 [3206]">
                <v:textbox inset="0,0,0,0">
                  <w:txbxContent>
                    <w:p w14:paraId="5E62C639" w14:textId="77777777" w:rsidR="001C5C18" w:rsidRPr="005470B1" w:rsidRDefault="001C5C18" w:rsidP="00011A81">
                      <w:pPr>
                        <w:pStyle w:val="Questionheading"/>
                      </w:pPr>
                      <w:r w:rsidRPr="005470B1">
                        <w:t>Consultation question</w:t>
                      </w:r>
                      <w:r>
                        <w:t>s</w:t>
                      </w:r>
                    </w:p>
                    <w:p w14:paraId="0E5B6F2C" w14:textId="77777777" w:rsidR="001C5C18" w:rsidRDefault="001C5C18" w:rsidP="00011A81">
                      <w:pPr>
                        <w:pStyle w:val="ListParagraph"/>
                        <w:ind w:left="566" w:right="283"/>
                      </w:pPr>
                      <w:r>
                        <w:t>How can IHPA further support development of pricing for community mental health services using AMHCC Version 1.0 to transition to shadow pricing</w:t>
                      </w:r>
                      <w:r w:rsidRPr="00F012E7">
                        <w:t>?</w:t>
                      </w:r>
                    </w:p>
                    <w:p w14:paraId="64C4A520" w14:textId="77777777" w:rsidR="001C5C18" w:rsidRDefault="001C5C18" w:rsidP="00011A81">
                      <w:pPr>
                        <w:pStyle w:val="ListParagraph"/>
                        <w:ind w:left="566" w:right="283"/>
                      </w:pPr>
                      <w:r>
                        <w:t>Are there any impediments to pricing admitted mental health care using AMHCC Version 1.0 for NEP21</w:t>
                      </w:r>
                      <w:r w:rsidRPr="00F012E7">
                        <w:t>?</w:t>
                      </w:r>
                    </w:p>
                  </w:txbxContent>
                </v:textbox>
                <w10:wrap type="topAndBottom" anchorx="margin"/>
              </v:shape>
            </w:pict>
          </mc:Fallback>
        </mc:AlternateContent>
      </w:r>
      <w:r w:rsidR="00936F6B" w:rsidRPr="0065414C">
        <w:rPr>
          <w:rFonts w:cs="Arial"/>
        </w:rPr>
        <w:t>In 2017–18, only one jurisdiction provided cost data for community mental health activity for NEP20 and as such, IHPA did not consider the developed price weights adequate for assessment of the impact of pricing these services in the community setting</w:t>
      </w:r>
      <w:r w:rsidR="00011A81" w:rsidRPr="0065414C">
        <w:rPr>
          <w:rFonts w:cs="Arial"/>
        </w:rPr>
        <w:t>.</w:t>
      </w:r>
    </w:p>
    <w:p w14:paraId="1C9DFE1F" w14:textId="77777777" w:rsidR="00011A81" w:rsidRPr="0065414C" w:rsidRDefault="002117A9" w:rsidP="00011A81">
      <w:pPr>
        <w:pStyle w:val="BodyText"/>
        <w:rPr>
          <w:rFonts w:cs="Arial"/>
        </w:rPr>
      </w:pPr>
      <w:r w:rsidRPr="0065414C">
        <w:rPr>
          <w:rFonts w:cs="Arial"/>
          <w:noProof/>
          <w:lang w:eastAsia="en-AU" w:bidi="ar-SA"/>
        </w:rPr>
        <w:drawing>
          <wp:anchor distT="0" distB="0" distL="114300" distR="114300" simplePos="0" relativeHeight="251654144" behindDoc="0" locked="0" layoutInCell="1" allowOverlap="1" wp14:anchorId="0B679C55" wp14:editId="6587F560">
            <wp:simplePos x="0" y="0"/>
            <wp:positionH relativeFrom="column">
              <wp:posOffset>3132096</wp:posOffset>
            </wp:positionH>
            <wp:positionV relativeFrom="page">
              <wp:posOffset>4491742</wp:posOffset>
            </wp:positionV>
            <wp:extent cx="239888" cy="213500"/>
            <wp:effectExtent l="0" t="0" r="0" b="0"/>
            <wp:wrapNone/>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39888" cy="213500"/>
                    </a:xfrm>
                    <a:prstGeom prst="rect">
                      <a:avLst/>
                    </a:prstGeom>
                  </pic:spPr>
                </pic:pic>
              </a:graphicData>
            </a:graphic>
          </wp:anchor>
        </w:drawing>
      </w:r>
      <w:r w:rsidR="00011A81" w:rsidRPr="0065414C">
        <w:rPr>
          <w:rFonts w:cs="Arial"/>
        </w:rPr>
        <w:t>On the basis that the volume of data submitted to IHPA for the 2018–19 period appears to be significantly increased and from a range of jurisdictions, IHPA intends to commence shadow pricing community mental health using the AMHCC Version 1.0 for NEP21.</w:t>
      </w:r>
      <w:r>
        <w:rPr>
          <w:rFonts w:cs="Arial"/>
        </w:rPr>
        <w:t xml:space="preserve"> </w:t>
      </w:r>
      <w:r w:rsidRPr="00C70A9F">
        <w:rPr>
          <w:rFonts w:cs="Arial"/>
        </w:rPr>
        <w:t>The proposed pricing model for community mental health care uses a combination of different pricing models dependent on the type of phase. Assessment only phases are assigned a fixed price for the phase. The acute phases are priced using a per diem due to a shorter length of stay. Functional gain, intensive extended and consolidating gain phases are priced under a bundled monthly model to provide a single fixed price per month due to the longer length of stay.</w:t>
      </w:r>
    </w:p>
    <w:p w14:paraId="742AA94D" w14:textId="77777777" w:rsidR="00011A81" w:rsidRPr="0065414C" w:rsidRDefault="00D5434D" w:rsidP="00011A81">
      <w:pPr>
        <w:pStyle w:val="Heading3"/>
        <w:rPr>
          <w:rFonts w:cs="Arial"/>
        </w:rPr>
      </w:pPr>
      <w:r w:rsidRPr="0065414C">
        <w:rPr>
          <w:rFonts w:cs="Arial"/>
          <w:noProof/>
          <w:lang w:eastAsia="en-AU" w:bidi="ar-SA"/>
        </w:rPr>
        <w:drawing>
          <wp:anchor distT="0" distB="0" distL="114300" distR="114300" simplePos="0" relativeHeight="251693056" behindDoc="0" locked="0" layoutInCell="1" allowOverlap="1" wp14:anchorId="0E6418EB" wp14:editId="2BDD4210">
            <wp:simplePos x="0" y="0"/>
            <wp:positionH relativeFrom="column">
              <wp:posOffset>-2819513</wp:posOffset>
            </wp:positionH>
            <wp:positionV relativeFrom="page">
              <wp:posOffset>1075848</wp:posOffset>
            </wp:positionV>
            <wp:extent cx="239888" cy="213500"/>
            <wp:effectExtent l="0" t="0" r="0" b="0"/>
            <wp:wrapNone/>
            <wp:docPr id="69" name="Pictur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a:extLst>
                        <a:ext uri="{C183D7F6-B498-43B3-948B-1728B52AA6E4}">
                          <adec:decorative xmlns:adec="http://schemas.microsoft.com/office/drawing/2017/decorative" val="1"/>
                        </a:ext>
                      </a:extLst>
                    </pic:cNvPr>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39888" cy="213500"/>
                    </a:xfrm>
                    <a:prstGeom prst="rect">
                      <a:avLst/>
                    </a:prstGeom>
                  </pic:spPr>
                </pic:pic>
              </a:graphicData>
            </a:graphic>
          </wp:anchor>
        </w:drawing>
      </w:r>
      <w:r w:rsidR="00011A81" w:rsidRPr="0065414C">
        <w:rPr>
          <w:rFonts w:cs="Arial"/>
        </w:rPr>
        <w:t>Mental Health Phase of Care</w:t>
      </w:r>
    </w:p>
    <w:p w14:paraId="23ADD819" w14:textId="77777777" w:rsidR="00011A81" w:rsidRPr="0065414C" w:rsidRDefault="00936F6B" w:rsidP="00011A81">
      <w:pPr>
        <w:pStyle w:val="BodyText"/>
        <w:rPr>
          <w:rFonts w:cs="Arial"/>
        </w:rPr>
      </w:pPr>
      <w:r w:rsidRPr="0065414C">
        <w:rPr>
          <w:rFonts w:cs="Arial"/>
        </w:rPr>
        <w:t xml:space="preserve">In the </w:t>
      </w:r>
      <w:r w:rsidRPr="0065414C">
        <w:rPr>
          <w:rFonts w:cs="Arial"/>
          <w:i/>
        </w:rPr>
        <w:t>Pricing Framework for Australian Public Hospital Services 2020–21</w:t>
      </w:r>
      <w:r w:rsidRPr="0065414C">
        <w:rPr>
          <w:rFonts w:cs="Arial"/>
        </w:rPr>
        <w:t xml:space="preserve">, IHPA provided an update on its clinician-rated measure of mental health ‘phase of care’. The </w:t>
      </w:r>
      <w:hyperlink r:id="rId75" w:history="1">
        <w:r w:rsidR="00011A81" w:rsidRPr="0065414C">
          <w:rPr>
            <w:rStyle w:val="Hyperlink"/>
            <w:rFonts w:cs="Arial"/>
            <w:i/>
            <w:color w:val="7EC352" w:themeColor="accent1"/>
            <w:lang w:eastAsia="en-AU"/>
          </w:rPr>
          <w:t>Mental Health Phase of Care (</w:t>
        </w:r>
        <w:proofErr w:type="spellStart"/>
        <w:r w:rsidR="00011A81" w:rsidRPr="0065414C">
          <w:rPr>
            <w:rStyle w:val="Hyperlink"/>
            <w:rFonts w:cs="Arial"/>
            <w:i/>
            <w:color w:val="7EC352" w:themeColor="accent1"/>
            <w:lang w:eastAsia="en-AU"/>
          </w:rPr>
          <w:t>MHPoC</w:t>
        </w:r>
        <w:proofErr w:type="spellEnd"/>
        <w:r w:rsidR="00011A81" w:rsidRPr="0065414C">
          <w:rPr>
            <w:rStyle w:val="Hyperlink"/>
            <w:rFonts w:cs="Arial"/>
            <w:i/>
            <w:color w:val="7EC352" w:themeColor="accent1"/>
            <w:lang w:eastAsia="en-AU"/>
          </w:rPr>
          <w:t>) Clinical Refinement Project Final Report</w:t>
        </w:r>
      </w:hyperlink>
      <w:r w:rsidR="00011A81" w:rsidRPr="0065414C">
        <w:rPr>
          <w:rFonts w:cs="Arial"/>
        </w:rPr>
        <w:t xml:space="preserve"> </w:t>
      </w:r>
      <w:r w:rsidRPr="0065414C">
        <w:rPr>
          <w:rFonts w:cs="Arial"/>
        </w:rPr>
        <w:t xml:space="preserve">was published in November 2019. The report outlines the key findings of the project and recommendations to refine </w:t>
      </w:r>
      <w:proofErr w:type="spellStart"/>
      <w:r w:rsidRPr="0065414C">
        <w:rPr>
          <w:rFonts w:cs="Arial"/>
        </w:rPr>
        <w:t>MHPoC</w:t>
      </w:r>
      <w:proofErr w:type="spellEnd"/>
      <w:r w:rsidRPr="0065414C">
        <w:rPr>
          <w:rFonts w:cs="Arial"/>
        </w:rPr>
        <w:t xml:space="preserve"> to improve the consistency and reliability with which clinicians identify the most appropriate phase of care</w:t>
      </w:r>
      <w:r w:rsidR="00011A81" w:rsidRPr="0065414C">
        <w:rPr>
          <w:rFonts w:cs="Arial"/>
        </w:rPr>
        <w:t>.</w:t>
      </w:r>
    </w:p>
    <w:p w14:paraId="5F480AED" w14:textId="77777777" w:rsidR="00011A81" w:rsidRPr="0065414C" w:rsidRDefault="00936F6B" w:rsidP="00011A81">
      <w:pPr>
        <w:pStyle w:val="BodyText"/>
        <w:rPr>
          <w:rFonts w:cs="Arial"/>
        </w:rPr>
      </w:pPr>
      <w:r w:rsidRPr="0065414C">
        <w:rPr>
          <w:rFonts w:cs="Arial"/>
        </w:rPr>
        <w:t xml:space="preserve">IHPA intends to carry out further testing </w:t>
      </w:r>
      <w:proofErr w:type="gramStart"/>
      <w:r w:rsidRPr="0065414C">
        <w:rPr>
          <w:rFonts w:cs="Arial"/>
        </w:rPr>
        <w:t>in order to</w:t>
      </w:r>
      <w:proofErr w:type="gramEnd"/>
      <w:r w:rsidRPr="0065414C">
        <w:rPr>
          <w:rFonts w:cs="Arial"/>
        </w:rPr>
        <w:t xml:space="preserve"> ensure the suitability of the proposed revised </w:t>
      </w:r>
      <w:proofErr w:type="spellStart"/>
      <w:r w:rsidRPr="0065414C">
        <w:rPr>
          <w:rFonts w:cs="Arial"/>
        </w:rPr>
        <w:t>MHPoC</w:t>
      </w:r>
      <w:proofErr w:type="spellEnd"/>
      <w:r w:rsidRPr="0065414C">
        <w:rPr>
          <w:rFonts w:cs="Arial"/>
        </w:rPr>
        <w:t xml:space="preserve"> definitions prior to implementation</w:t>
      </w:r>
      <w:r w:rsidR="00011A81" w:rsidRPr="0065414C">
        <w:rPr>
          <w:rFonts w:cs="Arial"/>
        </w:rPr>
        <w:t>.</w:t>
      </w:r>
    </w:p>
    <w:p w14:paraId="69D809C0" w14:textId="77777777" w:rsidR="00011A81" w:rsidRPr="0065414C" w:rsidRDefault="00011A81" w:rsidP="00011A81">
      <w:pPr>
        <w:pStyle w:val="Heading3"/>
        <w:rPr>
          <w:rFonts w:cs="Arial"/>
        </w:rPr>
      </w:pPr>
      <w:r w:rsidRPr="0065414C">
        <w:rPr>
          <w:rFonts w:cs="Arial"/>
        </w:rPr>
        <w:t>Mother and baby units</w:t>
      </w:r>
    </w:p>
    <w:p w14:paraId="1FFAFAEC" w14:textId="77777777" w:rsidR="00011A81" w:rsidRPr="0065414C" w:rsidRDefault="00936F6B" w:rsidP="00011A81">
      <w:pPr>
        <w:pStyle w:val="BodyText"/>
        <w:rPr>
          <w:rFonts w:cs="Arial"/>
        </w:rPr>
      </w:pPr>
      <w:r w:rsidRPr="0065414C">
        <w:rPr>
          <w:rFonts w:cs="Arial"/>
        </w:rPr>
        <w:t xml:space="preserve">In response to the </w:t>
      </w:r>
      <w:r w:rsidRPr="0065414C">
        <w:rPr>
          <w:rFonts w:cs="Arial"/>
          <w:i/>
        </w:rPr>
        <w:t>Consultation Paper on the Pricing Framework for Public Hospital Services 2020–21</w:t>
      </w:r>
      <w:r w:rsidRPr="0065414C">
        <w:rPr>
          <w:rFonts w:cs="Arial"/>
        </w:rPr>
        <w:t>, IHPA received feedback from the Royal Australian and New Zealand College of Psychiatrists (RANZCP) highlighting potential cost differences between mother and baby units (MBUs) and other mental health services. IHPA is exploring whether MBUs can be accurately identified to determine whether cost differences exist. Early investigations have highlighted challenges with identifying MBU units in activity data. Of those identified, MBU are generally well priced, however the volume of patients and total cost are likely to fall short of the materiality guidelines for consideration of adjustments for legitimate and unavoidable costs. IHPA will continue to review MBUs using 2018–19 cost data, for consideration in NEP21, in addition to investigating whether this could be addressed by future AMHCC development</w:t>
      </w:r>
      <w:r w:rsidR="00011A81" w:rsidRPr="0065414C">
        <w:rPr>
          <w:rFonts w:cs="Arial"/>
        </w:rPr>
        <w:t>.</w:t>
      </w:r>
    </w:p>
    <w:p w14:paraId="7A78DFFC" w14:textId="77777777" w:rsidR="009F0F1F" w:rsidRPr="0065414C" w:rsidRDefault="002117A9" w:rsidP="00011A81">
      <w:pPr>
        <w:pStyle w:val="Heading2"/>
        <w:rPr>
          <w:rFonts w:cs="Arial"/>
        </w:rPr>
      </w:pPr>
      <w:bookmarkStart w:id="98" w:name="_Toc49953761"/>
      <w:r>
        <w:rPr>
          <w:rFonts w:cs="Arial"/>
        </w:rPr>
        <w:br w:type="column"/>
      </w:r>
      <w:bookmarkStart w:id="99" w:name="_Toc50532311"/>
      <w:r w:rsidR="009F0F1F" w:rsidRPr="0065414C">
        <w:rPr>
          <w:rFonts w:cs="Arial"/>
        </w:rPr>
        <w:lastRenderedPageBreak/>
        <w:t>6.</w:t>
      </w:r>
      <w:r w:rsidR="007450F4">
        <w:rPr>
          <w:rFonts w:cs="Arial"/>
        </w:rPr>
        <w:t>6</w:t>
      </w:r>
      <w:r w:rsidR="009F0F1F" w:rsidRPr="0065414C">
        <w:rPr>
          <w:rFonts w:cs="Arial"/>
        </w:rPr>
        <w:t>. Teaching</w:t>
      </w:r>
      <w:r w:rsidR="00194354" w:rsidRPr="0065414C">
        <w:rPr>
          <w:rFonts w:cs="Arial"/>
        </w:rPr>
        <w:t xml:space="preserve"> and</w:t>
      </w:r>
      <w:r w:rsidR="009F0F1F" w:rsidRPr="0065414C">
        <w:rPr>
          <w:rFonts w:cs="Arial"/>
        </w:rPr>
        <w:t xml:space="preserve"> training</w:t>
      </w:r>
      <w:bookmarkEnd w:id="98"/>
      <w:bookmarkEnd w:id="99"/>
    </w:p>
    <w:p w14:paraId="0A35C5DB" w14:textId="77777777" w:rsidR="009F0F1F" w:rsidRPr="0065414C" w:rsidRDefault="00B52AD1" w:rsidP="009F0F1F">
      <w:pPr>
        <w:pStyle w:val="BodyText"/>
        <w:rPr>
          <w:rFonts w:cs="Arial"/>
        </w:rPr>
      </w:pPr>
      <w:r w:rsidRPr="0065414C">
        <w:rPr>
          <w:rFonts w:cs="Arial"/>
        </w:rPr>
        <w:t xml:space="preserve">Teaching, </w:t>
      </w:r>
      <w:proofErr w:type="gramStart"/>
      <w:r w:rsidRPr="0065414C">
        <w:rPr>
          <w:rFonts w:cs="Arial"/>
        </w:rPr>
        <w:t>training</w:t>
      </w:r>
      <w:proofErr w:type="gramEnd"/>
      <w:r w:rsidRPr="0065414C">
        <w:rPr>
          <w:rFonts w:cs="Arial"/>
        </w:rPr>
        <w:t xml:space="preserve"> and research activities represent an important role of the public hospital system alongside the provision of care to patients. However, the components required for ABF are not currently available to enable these activities to be priced. As a result, these activities are currently block funded, except where teaching and training is delivered in conjunction with patient care (embedded teaching and training), such as ward rounds. These costs are reported as part of routine care and the costs are reflected in the ABF price</w:t>
      </w:r>
      <w:r w:rsidR="009F0F1F" w:rsidRPr="0065414C">
        <w:rPr>
          <w:rFonts w:cs="Arial"/>
        </w:rPr>
        <w:t>.</w:t>
      </w:r>
    </w:p>
    <w:p w14:paraId="4BF4070C" w14:textId="77777777" w:rsidR="009F0F1F" w:rsidRPr="0065414C" w:rsidRDefault="00B52AD1" w:rsidP="009F0F1F">
      <w:pPr>
        <w:pStyle w:val="BodyText"/>
        <w:rPr>
          <w:rFonts w:cs="Arial"/>
        </w:rPr>
      </w:pPr>
      <w:r w:rsidRPr="0065414C">
        <w:rPr>
          <w:rFonts w:cs="Arial"/>
        </w:rPr>
        <w:t>For NEP21, IHPA will continue to determine block funding amounts for teaching, training and research activity based on states and territories’ advice</w:t>
      </w:r>
      <w:r w:rsidR="00B56514" w:rsidRPr="0065414C">
        <w:rPr>
          <w:rFonts w:cs="Arial"/>
        </w:rPr>
        <w:t>.</w:t>
      </w:r>
    </w:p>
    <w:p w14:paraId="6BBF42CE" w14:textId="77777777" w:rsidR="008245FD" w:rsidRPr="0065414C" w:rsidRDefault="00B52AD1" w:rsidP="0016039E">
      <w:pPr>
        <w:pStyle w:val="BodyText"/>
        <w:rPr>
          <w:rFonts w:cs="Arial"/>
        </w:rPr>
        <w:sectPr w:rsidR="008245FD" w:rsidRPr="0065414C" w:rsidSect="00216997">
          <w:headerReference w:type="default" r:id="rId76"/>
          <w:pgSz w:w="11910" w:h="16840"/>
          <w:pgMar w:top="1440" w:right="1440" w:bottom="1440" w:left="1440" w:header="0" w:footer="656" w:gutter="0"/>
          <w:cols w:num="2" w:space="340"/>
        </w:sectPr>
      </w:pPr>
      <w:r w:rsidRPr="0065414C">
        <w:rPr>
          <w:rFonts w:cs="Arial"/>
        </w:rPr>
        <w:t>IHPA has developed an implementation plan for the Australian Teaching and Training Classification (ATTC)</w:t>
      </w:r>
      <w:r w:rsidR="002117A9">
        <w:rPr>
          <w:rFonts w:cs="Arial"/>
        </w:rPr>
        <w:t>, however implementation of the ATTC has not been prioritised by jurisdictions. IHPA</w:t>
      </w:r>
      <w:r w:rsidR="002117A9" w:rsidRPr="0065414C">
        <w:rPr>
          <w:rFonts w:cs="Arial"/>
        </w:rPr>
        <w:t xml:space="preserve"> </w:t>
      </w:r>
      <w:r w:rsidRPr="0065414C">
        <w:rPr>
          <w:rFonts w:cs="Arial"/>
        </w:rPr>
        <w:t xml:space="preserve">will continue to work with jurisdictions on the timeframe for implementation of shadow </w:t>
      </w:r>
      <w:proofErr w:type="gramStart"/>
      <w:r w:rsidRPr="0065414C">
        <w:rPr>
          <w:rFonts w:cs="Arial"/>
        </w:rPr>
        <w:t>pricing, and</w:t>
      </w:r>
      <w:proofErr w:type="gramEnd"/>
      <w:r w:rsidRPr="0065414C">
        <w:rPr>
          <w:rFonts w:cs="Arial"/>
        </w:rPr>
        <w:t xml:space="preserve"> investigating alternative models to block funding until the ATTC can be enabled</w:t>
      </w:r>
      <w:r w:rsidR="00B56514" w:rsidRPr="0065414C">
        <w:rPr>
          <w:rFonts w:cs="Arial"/>
        </w:rPr>
        <w:t>.</w:t>
      </w:r>
    </w:p>
    <w:p w14:paraId="2372C4CF" w14:textId="77777777" w:rsidR="00592035" w:rsidRPr="0065414C" w:rsidRDefault="00592035" w:rsidP="005B7291">
      <w:pPr>
        <w:pStyle w:val="SectionNumber"/>
      </w:pPr>
      <w:bookmarkStart w:id="100" w:name="_7_Treatment_of"/>
      <w:bookmarkStart w:id="101" w:name="_Toc49953762"/>
      <w:bookmarkEnd w:id="100"/>
      <w:r w:rsidRPr="0065414C">
        <w:lastRenderedPageBreak/>
        <w:drawing>
          <wp:anchor distT="0" distB="0" distL="114300" distR="114300" simplePos="0" relativeHeight="251629568" behindDoc="1" locked="0" layoutInCell="1" allowOverlap="1" wp14:anchorId="33104B76" wp14:editId="132BBFFE">
            <wp:simplePos x="0" y="0"/>
            <wp:positionH relativeFrom="margin">
              <wp:posOffset>-914400</wp:posOffset>
            </wp:positionH>
            <wp:positionV relativeFrom="page">
              <wp:posOffset>954157</wp:posOffset>
            </wp:positionV>
            <wp:extent cx="5462267" cy="3577464"/>
            <wp:effectExtent l="0" t="0" r="0"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5462267" cy="3577464"/>
                    </a:xfrm>
                    <a:prstGeom prst="rect">
                      <a:avLst/>
                    </a:prstGeom>
                    <a:noFill/>
                    <a:ln>
                      <a:noFill/>
                    </a:ln>
                  </pic:spPr>
                </pic:pic>
              </a:graphicData>
            </a:graphic>
          </wp:anchor>
        </w:drawing>
      </w:r>
      <w:r w:rsidRPr="0065414C">
        <w:t>7</w:t>
      </w:r>
      <w:bookmarkEnd w:id="101"/>
    </w:p>
    <w:p w14:paraId="04F5094D" w14:textId="77777777" w:rsidR="00592035" w:rsidRPr="0065414C" w:rsidRDefault="0041717A" w:rsidP="005B7291">
      <w:pPr>
        <w:pStyle w:val="Sectionheader"/>
        <w:ind w:right="2651"/>
        <w:sectPr w:rsidR="00592035" w:rsidRPr="0065414C" w:rsidSect="008613E1">
          <w:headerReference w:type="default" r:id="rId78"/>
          <w:pgSz w:w="11910" w:h="16840"/>
          <w:pgMar w:top="3970" w:right="1440" w:bottom="1440" w:left="1440" w:header="0" w:footer="656" w:gutter="0"/>
          <w:cols w:space="720"/>
        </w:sectPr>
      </w:pPr>
      <w:bookmarkStart w:id="102" w:name="_Toc49953763"/>
      <w:bookmarkStart w:id="103" w:name="_Toc50532312"/>
      <w:r w:rsidRPr="0065414C">
        <w:t>Setting the national efficient price for activity based funded public hospital</w:t>
      </w:r>
      <w:r w:rsidR="004B7AE4" w:rsidRPr="0065414C">
        <w:t>s</w:t>
      </w:r>
      <w:bookmarkEnd w:id="102"/>
      <w:bookmarkEnd w:id="103"/>
    </w:p>
    <w:p w14:paraId="4772891E" w14:textId="77777777" w:rsidR="00C415F5" w:rsidRPr="0065414C" w:rsidRDefault="001445EA" w:rsidP="001445EA">
      <w:pPr>
        <w:pStyle w:val="Heading1"/>
        <w:ind w:left="1418" w:hanging="1191"/>
        <w:rPr>
          <w:rFonts w:cs="Arial"/>
          <w:b w:val="0"/>
        </w:rPr>
      </w:pPr>
      <w:bookmarkStart w:id="104" w:name="_Toc45809612"/>
      <w:bookmarkStart w:id="105" w:name="_Toc49953764"/>
      <w:r w:rsidRPr="0065414C">
        <w:rPr>
          <w:rFonts w:cs="Arial"/>
          <w:noProof/>
          <w:color w:val="FFFFFF" w:themeColor="background1"/>
          <w:lang w:eastAsia="en-AU" w:bidi="ar-SA"/>
        </w:rPr>
        <w:lastRenderedPageBreak/>
        <w:drawing>
          <wp:anchor distT="0" distB="0" distL="114300" distR="114300" simplePos="0" relativeHeight="251644928" behindDoc="1" locked="0" layoutInCell="1" allowOverlap="1" wp14:anchorId="107129C0" wp14:editId="605B603F">
            <wp:simplePos x="0" y="0"/>
            <wp:positionH relativeFrom="column">
              <wp:posOffset>-914400</wp:posOffset>
            </wp:positionH>
            <wp:positionV relativeFrom="page">
              <wp:posOffset>659958</wp:posOffset>
            </wp:positionV>
            <wp:extent cx="1685420" cy="946147"/>
            <wp:effectExtent l="0" t="0" r="0"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1685420" cy="946147"/>
                    </a:xfrm>
                    <a:prstGeom prst="rect">
                      <a:avLst/>
                    </a:prstGeom>
                    <a:noFill/>
                    <a:ln>
                      <a:noFill/>
                    </a:ln>
                  </pic:spPr>
                </pic:pic>
              </a:graphicData>
            </a:graphic>
          </wp:anchor>
        </w:drawing>
      </w:r>
      <w:r w:rsidR="00092EEE" w:rsidRPr="0065414C">
        <w:rPr>
          <w:rFonts w:cs="Arial"/>
          <w:color w:val="FFFFFF" w:themeColor="background1"/>
        </w:rPr>
        <w:t>7</w:t>
      </w:r>
      <w:r w:rsidR="00092EEE" w:rsidRPr="0065414C">
        <w:rPr>
          <w:rFonts w:cs="Arial"/>
        </w:rPr>
        <w:tab/>
      </w:r>
      <w:r w:rsidRPr="0065414C">
        <w:rPr>
          <w:rFonts w:cs="Arial"/>
        </w:rPr>
        <w:tab/>
      </w:r>
      <w:r w:rsidR="0041717A" w:rsidRPr="0065414C">
        <w:rPr>
          <w:rFonts w:cs="Arial"/>
        </w:rPr>
        <w:t>Setting the national efficient price for activity based funded public hospital</w:t>
      </w:r>
      <w:r w:rsidR="004B7AE4" w:rsidRPr="0065414C">
        <w:rPr>
          <w:rFonts w:cs="Arial"/>
        </w:rPr>
        <w:t>s</w:t>
      </w:r>
      <w:bookmarkEnd w:id="104"/>
      <w:bookmarkEnd w:id="105"/>
    </w:p>
    <w:p w14:paraId="10031BF1" w14:textId="77777777" w:rsidR="00092EEE" w:rsidRPr="0065414C" w:rsidRDefault="00092EEE" w:rsidP="00092EEE">
      <w:pPr>
        <w:pStyle w:val="BodyText"/>
        <w:rPr>
          <w:rFonts w:cs="Arial"/>
        </w:rPr>
      </w:pPr>
    </w:p>
    <w:p w14:paraId="6253B06F" w14:textId="77777777" w:rsidR="00092EEE" w:rsidRPr="0065414C" w:rsidRDefault="00092EEE" w:rsidP="00DE2ED2">
      <w:pPr>
        <w:pStyle w:val="Heading2"/>
        <w:rPr>
          <w:rFonts w:cs="Arial"/>
        </w:rPr>
        <w:sectPr w:rsidR="00092EEE" w:rsidRPr="0065414C" w:rsidSect="006673D9">
          <w:headerReference w:type="default" r:id="rId80"/>
          <w:pgSz w:w="11910" w:h="16840"/>
          <w:pgMar w:top="1440" w:right="1440" w:bottom="1440" w:left="1440" w:header="0" w:footer="656" w:gutter="0"/>
          <w:cols w:space="720"/>
        </w:sectPr>
      </w:pPr>
    </w:p>
    <w:p w14:paraId="3FA481E5" w14:textId="77777777" w:rsidR="00C415F5" w:rsidRPr="0065414C" w:rsidRDefault="00603DEC" w:rsidP="00206CEB">
      <w:pPr>
        <w:pStyle w:val="Heading2"/>
        <w:spacing w:before="0"/>
        <w:rPr>
          <w:rFonts w:cs="Arial"/>
        </w:rPr>
      </w:pPr>
      <w:bookmarkStart w:id="106" w:name="_Toc49953765"/>
      <w:bookmarkStart w:id="107" w:name="_Toc50532313"/>
      <w:r w:rsidRPr="0065414C">
        <w:rPr>
          <w:rFonts w:cs="Arial"/>
        </w:rPr>
        <w:t>7.1</w:t>
      </w:r>
      <w:r w:rsidR="00EF5D73" w:rsidRPr="0065414C">
        <w:rPr>
          <w:rFonts w:cs="Arial"/>
        </w:rPr>
        <w:t>.</w:t>
      </w:r>
      <w:r w:rsidRPr="0065414C">
        <w:rPr>
          <w:rFonts w:cs="Arial"/>
        </w:rPr>
        <w:t xml:space="preserve"> </w:t>
      </w:r>
      <w:r w:rsidR="00487D44" w:rsidRPr="0065414C">
        <w:rPr>
          <w:rFonts w:cs="Arial"/>
        </w:rPr>
        <w:t>Technical improvements</w:t>
      </w:r>
      <w:bookmarkEnd w:id="106"/>
      <w:bookmarkEnd w:id="107"/>
    </w:p>
    <w:p w14:paraId="2517F36D" w14:textId="77777777" w:rsidR="00C415F5" w:rsidRPr="0065414C" w:rsidRDefault="00B52AD1" w:rsidP="00487D44">
      <w:pPr>
        <w:pStyle w:val="BodyText"/>
        <w:ind w:right="44"/>
        <w:rPr>
          <w:rFonts w:cs="Arial"/>
        </w:rPr>
      </w:pPr>
      <w:r w:rsidRPr="0065414C">
        <w:rPr>
          <w:rFonts w:cs="Arial"/>
        </w:rPr>
        <w:t xml:space="preserve">The Independent Hospital Pricing Authority (IHPA) has developed a robust pricing model that underpins the national efficient price (NEP) </w:t>
      </w:r>
      <w:r w:rsidR="00391837">
        <w:rPr>
          <w:rFonts w:cs="Arial"/>
        </w:rPr>
        <w:t>D</w:t>
      </w:r>
      <w:r w:rsidRPr="0065414C">
        <w:rPr>
          <w:rFonts w:cs="Arial"/>
        </w:rPr>
        <w:t>etermination. The model is described in detail in the National Pricing Model Technical Specifications on IHPA’s website</w:t>
      </w:r>
      <w:r w:rsidR="00487D44" w:rsidRPr="0065414C">
        <w:rPr>
          <w:rFonts w:cs="Arial"/>
        </w:rPr>
        <w:t>.</w:t>
      </w:r>
    </w:p>
    <w:p w14:paraId="22E27025" w14:textId="77777777" w:rsidR="00206CEB" w:rsidRPr="0065414C" w:rsidRDefault="00206CEB" w:rsidP="004957DB">
      <w:pPr>
        <w:pStyle w:val="Heading2"/>
        <w:rPr>
          <w:rFonts w:cs="Arial"/>
        </w:rPr>
      </w:pPr>
      <w:bookmarkStart w:id="108" w:name="_Toc49953766"/>
      <w:bookmarkStart w:id="109" w:name="_Toc50532314"/>
      <w:r w:rsidRPr="0065414C">
        <w:rPr>
          <w:rFonts w:cs="Arial"/>
        </w:rPr>
        <w:t xml:space="preserve">7.2. Adjustments to the </w:t>
      </w:r>
      <w:r w:rsidR="00194354" w:rsidRPr="0065414C">
        <w:rPr>
          <w:rFonts w:cs="Arial"/>
        </w:rPr>
        <w:t>n</w:t>
      </w:r>
      <w:r w:rsidRPr="0065414C">
        <w:rPr>
          <w:rFonts w:cs="Arial"/>
        </w:rPr>
        <w:t xml:space="preserve">ational </w:t>
      </w:r>
      <w:r w:rsidR="00194354" w:rsidRPr="0065414C">
        <w:rPr>
          <w:rFonts w:cs="Arial"/>
        </w:rPr>
        <w:t>e</w:t>
      </w:r>
      <w:r w:rsidRPr="0065414C">
        <w:rPr>
          <w:rFonts w:cs="Arial"/>
        </w:rPr>
        <w:t xml:space="preserve">fficient </w:t>
      </w:r>
      <w:r w:rsidR="00194354" w:rsidRPr="0065414C">
        <w:rPr>
          <w:rFonts w:cs="Arial"/>
        </w:rPr>
        <w:t>p</w:t>
      </w:r>
      <w:r w:rsidRPr="0065414C">
        <w:rPr>
          <w:rFonts w:cs="Arial"/>
        </w:rPr>
        <w:t>rice</w:t>
      </w:r>
      <w:bookmarkEnd w:id="108"/>
      <w:bookmarkEnd w:id="109"/>
    </w:p>
    <w:p w14:paraId="63F50339" w14:textId="77777777" w:rsidR="00206CEB" w:rsidRPr="0065414C" w:rsidRDefault="00B52AD1" w:rsidP="00206CEB">
      <w:pPr>
        <w:pStyle w:val="BodyText"/>
        <w:ind w:right="44"/>
        <w:rPr>
          <w:rFonts w:cs="Arial"/>
        </w:rPr>
      </w:pPr>
      <w:r w:rsidRPr="0065414C">
        <w:rPr>
          <w:rFonts w:cs="Arial"/>
        </w:rPr>
        <w:t>Clauses A46 and A47 of the National Health Reform Agreement (NHRA) Addendum (the Addendum) require IHPA to make adjustments to the NEP. Clause A47 of the Addendum requires IHPA to determine adjustments to the NEP while having “regard to legitimate and unavoidable variations in wage costs and other inputs which affect the costs of service delivery”</w:t>
      </w:r>
      <w:r w:rsidR="00206CEB" w:rsidRPr="0065414C">
        <w:rPr>
          <w:rFonts w:cs="Arial"/>
        </w:rPr>
        <w:t>.</w:t>
      </w:r>
    </w:p>
    <w:p w14:paraId="49897BFF" w14:textId="77777777" w:rsidR="00206CEB" w:rsidRPr="0065414C" w:rsidRDefault="00EF63A7" w:rsidP="00206CEB">
      <w:pPr>
        <w:pStyle w:val="BodyText"/>
        <w:ind w:right="44"/>
        <w:rPr>
          <w:rFonts w:cs="Arial"/>
        </w:rPr>
      </w:pPr>
      <w:r w:rsidRPr="0065414C">
        <w:rPr>
          <w:rFonts w:cs="Arial"/>
          <w:noProof/>
          <w:lang w:eastAsia="en-AU" w:bidi="ar-SA"/>
        </w:rPr>
        <mc:AlternateContent>
          <mc:Choice Requires="wps">
            <w:drawing>
              <wp:anchor distT="0" distB="0" distL="0" distR="0" simplePos="0" relativeHeight="251682816" behindDoc="1" locked="0" layoutInCell="1" allowOverlap="1" wp14:anchorId="2C884540" wp14:editId="623C1FA6">
                <wp:simplePos x="0" y="0"/>
                <wp:positionH relativeFrom="margin">
                  <wp:align>right</wp:align>
                </wp:positionH>
                <wp:positionV relativeFrom="paragraph">
                  <wp:posOffset>636270</wp:posOffset>
                </wp:positionV>
                <wp:extent cx="2743200" cy="813435"/>
                <wp:effectExtent l="0" t="0" r="19050" b="24765"/>
                <wp:wrapTopAndBottom/>
                <wp:docPr id="53" name="Text Box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813435"/>
                        </a:xfrm>
                        <a:prstGeom prst="rect">
                          <a:avLst/>
                        </a:prstGeom>
                        <a:noFill/>
                        <a:ln w="9525">
                          <a:solidFill>
                            <a:srgbClr val="F37A21"/>
                          </a:solidFill>
                          <a:miter lim="800000"/>
                          <a:headEnd/>
                          <a:tailEnd/>
                        </a:ln>
                        <a:extLst>
                          <a:ext uri="{909E8E84-426E-40DD-AFC4-6F175D3DCCD1}">
                            <a14:hiddenFill xmlns:a14="http://schemas.microsoft.com/office/drawing/2010/main">
                              <a:solidFill>
                                <a:srgbClr val="FFFFFF"/>
                              </a:solidFill>
                            </a14:hiddenFill>
                          </a:ext>
                        </a:extLst>
                      </wps:spPr>
                      <wps:txbx>
                        <w:txbxContent>
                          <w:p w14:paraId="7BB6E5CA" w14:textId="77777777" w:rsidR="001C5C18" w:rsidRPr="00941602" w:rsidRDefault="001C5C18" w:rsidP="004F0384">
                            <w:pPr>
                              <w:pStyle w:val="BodyText"/>
                              <w:ind w:left="142"/>
                            </w:pPr>
                            <w:r w:rsidRPr="00A350BE">
                              <w:t>Price harmonisation is a method to reduce and eliminate financial incentives for hospitals to admit patients that could otherwise be treated on a non-admitted basis</w:t>
                            </w:r>
                            <w:r w:rsidRPr="004F0384">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84540" id="Text Box 41" o:spid="_x0000_s1036" type="#_x0000_t202" alt="&quot;&quot;" style="position:absolute;margin-left:164.8pt;margin-top:50.1pt;width:3in;height:64.05pt;z-index:-25163366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" filled="f" strokecolor="#f37a21">
                <v:textbox inset="0,0,0,0">
                  <w:txbxContent>
                    <w:p w14:paraId="7BB6E5CA" w14:textId="77777777" w:rsidR="001C5C18" w:rsidRPr="00941602" w:rsidRDefault="001C5C18" w:rsidP="004F0384">
                      <w:pPr>
                        <w:pStyle w:val="BodyText"/>
                        <w:ind w:left="142"/>
                      </w:pPr>
                      <w:r w:rsidRPr="00A350BE">
                        <w:t>Price harmonisation is a method to reduce and eliminate financial incentives for hospitals to admit patients that could otherwise be treated on a non-admitted basis</w:t>
                      </w:r>
                      <w:r w:rsidRPr="004F0384">
                        <w:t>.</w:t>
                      </w:r>
                    </w:p>
                  </w:txbxContent>
                </v:textbox>
                <w10:wrap type="topAndBottom" anchorx="margin"/>
              </v:shape>
            </w:pict>
          </mc:Fallback>
        </mc:AlternateContent>
      </w:r>
      <w:r w:rsidRPr="0065414C">
        <w:rPr>
          <w:rFonts w:cs="Arial"/>
          <w:noProof/>
          <w:lang w:eastAsia="en-AU" w:bidi="ar-SA"/>
        </w:rPr>
        <w:drawing>
          <wp:anchor distT="0" distB="0" distL="114300" distR="114300" simplePos="0" relativeHeight="251659264" behindDoc="0" locked="0" layoutInCell="1" allowOverlap="1" wp14:anchorId="546DD835" wp14:editId="37971A37">
            <wp:simplePos x="0" y="0"/>
            <wp:positionH relativeFrom="column">
              <wp:posOffset>165680</wp:posOffset>
            </wp:positionH>
            <wp:positionV relativeFrom="page">
              <wp:posOffset>7539327</wp:posOffset>
            </wp:positionV>
            <wp:extent cx="237222" cy="213500"/>
            <wp:effectExtent l="0" t="0" r="0" b="0"/>
            <wp:wrapNone/>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37222" cy="213500"/>
                    </a:xfrm>
                    <a:prstGeom prst="rect">
                      <a:avLst/>
                    </a:prstGeom>
                  </pic:spPr>
                </pic:pic>
              </a:graphicData>
            </a:graphic>
          </wp:anchor>
        </w:drawing>
      </w:r>
      <w:r w:rsidRPr="0065414C">
        <w:rPr>
          <w:rFonts w:cs="Arial"/>
          <w:noProof/>
          <w:lang w:eastAsia="en-AU" w:bidi="ar-SA"/>
        </w:rPr>
        <mc:AlternateContent>
          <mc:Choice Requires="wps">
            <w:drawing>
              <wp:anchor distT="0" distB="0" distL="0" distR="0" simplePos="0" relativeHeight="251620346" behindDoc="1" locked="0" layoutInCell="1" allowOverlap="1" wp14:anchorId="1359EE2E" wp14:editId="3AD593EF">
                <wp:simplePos x="0" y="0"/>
                <wp:positionH relativeFrom="margin">
                  <wp:align>left</wp:align>
                </wp:positionH>
                <wp:positionV relativeFrom="paragraph">
                  <wp:posOffset>1068014</wp:posOffset>
                </wp:positionV>
                <wp:extent cx="2689200" cy="1558290"/>
                <wp:effectExtent l="0" t="0" r="16510" b="22860"/>
                <wp:wrapTopAndBottom/>
                <wp:docPr id="54" name="Text Box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200" cy="1558290"/>
                        </a:xfrm>
                        <a:prstGeom prst="rect">
                          <a:avLst/>
                        </a:prstGeom>
                        <a:noFill/>
                        <a:ln w="9525">
                          <a:solidFill>
                            <a:srgbClr val="F37A21"/>
                          </a:solidFill>
                          <a:miter lim="800000"/>
                          <a:headEnd/>
                          <a:tailEnd/>
                        </a:ln>
                        <a:extLst>
                          <a:ext uri="{909E8E84-426E-40DD-AFC4-6F175D3DCCD1}">
                            <a14:hiddenFill xmlns:a14="http://schemas.microsoft.com/office/drawing/2010/main">
                              <a:solidFill>
                                <a:srgbClr val="FFFFFF"/>
                              </a:solidFill>
                            </a14:hiddenFill>
                          </a:ext>
                        </a:extLst>
                      </wps:spPr>
                      <wps:txbx>
                        <w:txbxContent>
                          <w:p w14:paraId="684606F2" w14:textId="77777777" w:rsidR="001C5C18" w:rsidRPr="005470B1" w:rsidRDefault="001C5C18" w:rsidP="00B02240">
                            <w:pPr>
                              <w:pStyle w:val="Questionheading"/>
                            </w:pPr>
                            <w:bookmarkStart w:id="110" w:name="Question24"/>
                            <w:r w:rsidRPr="005470B1">
                              <w:t>Consultation question</w:t>
                            </w:r>
                            <w:r>
                              <w:t>s</w:t>
                            </w:r>
                          </w:p>
                          <w:bookmarkEnd w:id="110"/>
                          <w:p w14:paraId="618572CA" w14:textId="77777777" w:rsidR="001C5C18" w:rsidRDefault="001C5C18" w:rsidP="00B02240">
                            <w:pPr>
                              <w:pStyle w:val="ListParagraph"/>
                              <w:ind w:left="566" w:right="283"/>
                            </w:pPr>
                            <w:r>
                              <w:t>Do you support the adjustment IHPA has proposed for NEP21</w:t>
                            </w:r>
                            <w:r w:rsidRPr="00B02240">
                              <w:t>?</w:t>
                            </w:r>
                          </w:p>
                          <w:p w14:paraId="57919968" w14:textId="77777777" w:rsidR="001C5C18" w:rsidRDefault="001C5C18" w:rsidP="00B02240">
                            <w:pPr>
                              <w:pStyle w:val="ListParagraph"/>
                              <w:ind w:left="566" w:right="283"/>
                            </w:pPr>
                            <w:r>
                              <w:t>What evidence can be provided to support any additional adjustments that IHPA should consider for NEP21?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9EE2E" id="Text Box 40" o:spid="_x0000_s1037" type="#_x0000_t202" alt="&quot;&quot;" style="position:absolute;margin-left:0;margin-top:84.1pt;width:211.75pt;height:122.7pt;z-index:-25169613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" filled="f" strokecolor="#f37a21">
                <v:textbox inset="0,0,0,0">
                  <w:txbxContent>
                    <w:p w14:paraId="684606F2" w14:textId="77777777" w:rsidR="001C5C18" w:rsidRPr="005470B1" w:rsidRDefault="001C5C18" w:rsidP="00B02240">
                      <w:pPr>
                        <w:pStyle w:val="Questionheading"/>
                      </w:pPr>
                      <w:bookmarkStart w:id="111" w:name="Question24"/>
                      <w:r w:rsidRPr="005470B1">
                        <w:t>Consultation question</w:t>
                      </w:r>
                      <w:r>
                        <w:t>s</w:t>
                      </w:r>
                    </w:p>
                    <w:bookmarkEnd w:id="111"/>
                    <w:p w14:paraId="618572CA" w14:textId="77777777" w:rsidR="001C5C18" w:rsidRDefault="001C5C18" w:rsidP="00B02240">
                      <w:pPr>
                        <w:pStyle w:val="ListParagraph"/>
                        <w:ind w:left="566" w:right="283"/>
                      </w:pPr>
                      <w:r>
                        <w:t>Do you support the adjustment IHPA has proposed for NEP21</w:t>
                      </w:r>
                      <w:r w:rsidRPr="00B02240">
                        <w:t>?</w:t>
                      </w:r>
                    </w:p>
                    <w:p w14:paraId="57919968" w14:textId="77777777" w:rsidR="001C5C18" w:rsidRDefault="001C5C18" w:rsidP="00B02240">
                      <w:pPr>
                        <w:pStyle w:val="ListParagraph"/>
                        <w:ind w:left="566" w:right="283"/>
                      </w:pPr>
                      <w:r>
                        <w:t>What evidence can be provided to support any additional adjustments that IHPA should consider for NEP21?</w:t>
                      </w:r>
                    </w:p>
                  </w:txbxContent>
                </v:textbox>
                <w10:wrap type="topAndBottom" anchorx="margin"/>
              </v:shape>
            </w:pict>
          </mc:Fallback>
        </mc:AlternateContent>
      </w:r>
      <w:r w:rsidRPr="00EF63A7">
        <w:rPr>
          <w:rFonts w:cs="Arial"/>
        </w:rPr>
        <w:t>In developing the National Efficient Price Determination 2021–22 (NEP21), IHPA is assessing the need for an adjustment for patient transport in rural areas, including medical transfers and other inter-service transports in rural areas</w:t>
      </w:r>
      <w:r>
        <w:rPr>
          <w:rFonts w:cs="Arial"/>
        </w:rPr>
        <w:t>.</w:t>
      </w:r>
    </w:p>
    <w:p w14:paraId="3A66BAC2" w14:textId="77777777" w:rsidR="00A80F85" w:rsidRPr="0065414C" w:rsidRDefault="00A80F85" w:rsidP="00487D44">
      <w:pPr>
        <w:pStyle w:val="BodyText"/>
        <w:ind w:right="44"/>
        <w:rPr>
          <w:rFonts w:cs="Arial"/>
        </w:rPr>
      </w:pPr>
    </w:p>
    <w:p w14:paraId="12176525" w14:textId="77777777" w:rsidR="00FF0D92" w:rsidRPr="0065414C" w:rsidRDefault="00A80F85" w:rsidP="00EF63A7">
      <w:pPr>
        <w:pStyle w:val="Heading2"/>
        <w:spacing w:before="0"/>
        <w:rPr>
          <w:rFonts w:cs="Arial"/>
        </w:rPr>
      </w:pPr>
      <w:r w:rsidRPr="0065414C">
        <w:rPr>
          <w:rFonts w:cs="Arial"/>
        </w:rPr>
        <w:br w:type="column"/>
      </w:r>
      <w:bookmarkStart w:id="112" w:name="_Toc49953767"/>
      <w:bookmarkStart w:id="113" w:name="_Toc50532315"/>
      <w:r w:rsidR="00FF0D92" w:rsidRPr="0065414C">
        <w:rPr>
          <w:rFonts w:cs="Arial"/>
        </w:rPr>
        <w:t>7.3. Harmonising price weights across care settings</w:t>
      </w:r>
      <w:bookmarkEnd w:id="112"/>
      <w:bookmarkEnd w:id="113"/>
    </w:p>
    <w:p w14:paraId="268FE68E" w14:textId="77777777" w:rsidR="00FF0D92" w:rsidRPr="0065414C" w:rsidRDefault="0041717A" w:rsidP="00FF0D92">
      <w:pPr>
        <w:pStyle w:val="BodyText"/>
        <w:ind w:right="44"/>
        <w:rPr>
          <w:rFonts w:cs="Arial"/>
        </w:rPr>
      </w:pPr>
      <w:r w:rsidRPr="0065414C">
        <w:rPr>
          <w:rFonts w:cs="Arial"/>
        </w:rPr>
        <w:t xml:space="preserve">The Pricing Guidelines guide policy decisions underpinning the National Pricing Model and were developed following extensive consultation with key stakeholders and the public. The Pricing Guidelines include System Design Guidelines to inform options for the design of </w:t>
      </w:r>
      <w:proofErr w:type="gramStart"/>
      <w:r w:rsidRPr="0065414C">
        <w:rPr>
          <w:rFonts w:cs="Arial"/>
        </w:rPr>
        <w:t>activity based</w:t>
      </w:r>
      <w:proofErr w:type="gramEnd"/>
      <w:r w:rsidRPr="0065414C">
        <w:rPr>
          <w:rFonts w:cs="Arial"/>
        </w:rPr>
        <w:t xml:space="preserve"> funding (ABF) and block funding arrangements, including an objective for price harmonisation whereby pricing should facilitate best practice provision of appropriate site of care</w:t>
      </w:r>
      <w:r w:rsidR="00FF0D92" w:rsidRPr="0065414C">
        <w:rPr>
          <w:rFonts w:cs="Arial"/>
        </w:rPr>
        <w:t>.</w:t>
      </w:r>
    </w:p>
    <w:p w14:paraId="798C8C35" w14:textId="77777777" w:rsidR="004957DB" w:rsidRDefault="0041717A" w:rsidP="0055006F">
      <w:pPr>
        <w:pStyle w:val="BodyText"/>
        <w:ind w:right="44"/>
        <w:rPr>
          <w:rFonts w:cs="Arial"/>
        </w:rPr>
      </w:pPr>
      <w:r w:rsidRPr="0065414C">
        <w:rPr>
          <w:rFonts w:cs="Arial"/>
        </w:rPr>
        <w:t>IHPA already harmonises a limited number of price weights across the admitted acute and non-admitted settings to ensure that similar services are priced consistently across settings. For example, IHPA harmonises price weights for gastrointestinal endoscopes as well as interventional imaging. Harmonisation ensures there is no financial incentive for hospitals to admit patients previously treated on a non-admitted basis due to a higher price for the same service</w:t>
      </w:r>
      <w:r w:rsidR="00FF0D92" w:rsidRPr="0065414C">
        <w:rPr>
          <w:rFonts w:cs="Arial"/>
        </w:rPr>
        <w:t>.</w:t>
      </w:r>
    </w:p>
    <w:p w14:paraId="1FEBB70E" w14:textId="77777777" w:rsidR="0055006F" w:rsidRPr="0065414C" w:rsidRDefault="0041717A" w:rsidP="0055006F">
      <w:pPr>
        <w:pStyle w:val="BodyText"/>
        <w:ind w:right="44"/>
        <w:rPr>
          <w:rFonts w:cs="Arial"/>
        </w:rPr>
      </w:pPr>
      <w:r w:rsidRPr="0065414C">
        <w:rPr>
          <w:rFonts w:cs="Arial"/>
        </w:rPr>
        <w:t>IHPA has identified an Australian Refined Diagnosis Related Group (AR-DRG) code for dialysis (L61Z – Haemodialysis) that could potentially be harmonised with a Tier 2 clinic code (10.10 – Dialysis)</w:t>
      </w:r>
      <w:r w:rsidR="0055006F" w:rsidRPr="0065414C">
        <w:rPr>
          <w:rFonts w:cs="Arial"/>
        </w:rPr>
        <w:t>.</w:t>
      </w:r>
    </w:p>
    <w:p w14:paraId="30DA59D8" w14:textId="77777777" w:rsidR="008C3683" w:rsidRPr="0065414C" w:rsidRDefault="0041717A" w:rsidP="0055006F">
      <w:pPr>
        <w:pStyle w:val="BodyText"/>
        <w:ind w:right="44"/>
        <w:rPr>
          <w:rFonts w:cs="Arial"/>
        </w:rPr>
      </w:pPr>
      <w:r w:rsidRPr="0065414C">
        <w:rPr>
          <w:rFonts w:cs="Arial"/>
        </w:rPr>
        <w:t>IHPA has also identified an AR-DRG code for chemotherapy (R63Z – Chemotherapy) that could be harmonised with a Tier 2 clinic code (10.11 – Chemotherapy)</w:t>
      </w:r>
      <w:r w:rsidR="0055006F" w:rsidRPr="0065414C">
        <w:rPr>
          <w:rFonts w:cs="Arial"/>
        </w:rPr>
        <w:t>.</w:t>
      </w:r>
    </w:p>
    <w:p w14:paraId="43B5916E" w14:textId="77777777" w:rsidR="0094308A" w:rsidRPr="0065414C" w:rsidRDefault="005E758E" w:rsidP="00E31F89">
      <w:pPr>
        <w:pStyle w:val="Heading2"/>
        <w:rPr>
          <w:rFonts w:cs="Arial"/>
        </w:rPr>
      </w:pPr>
      <w:r>
        <w:rPr>
          <w:rFonts w:cs="Arial"/>
        </w:rPr>
        <w:br w:type="column"/>
      </w:r>
      <w:bookmarkStart w:id="114" w:name="_Toc49953768"/>
      <w:bookmarkStart w:id="115" w:name="_Toc50532316"/>
      <w:r w:rsidRPr="0065414C">
        <w:rPr>
          <w:rFonts w:cs="Arial"/>
          <w:noProof/>
          <w:lang w:eastAsia="en-AU" w:bidi="ar-SA"/>
        </w:rPr>
        <w:lastRenderedPageBreak/>
        <w:drawing>
          <wp:anchor distT="0" distB="0" distL="114300" distR="114300" simplePos="0" relativeHeight="251704320" behindDoc="0" locked="0" layoutInCell="1" allowOverlap="1" wp14:anchorId="039B0786" wp14:editId="2E991D81">
            <wp:simplePos x="0" y="0"/>
            <wp:positionH relativeFrom="column">
              <wp:posOffset>173299</wp:posOffset>
            </wp:positionH>
            <wp:positionV relativeFrom="page">
              <wp:posOffset>1087310</wp:posOffset>
            </wp:positionV>
            <wp:extent cx="237222" cy="213500"/>
            <wp:effectExtent l="0" t="0" r="0" b="0"/>
            <wp:wrapNone/>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extLst>
                        <a:ext uri="{C183D7F6-B498-43B3-948B-1728B52AA6E4}">
                          <adec:decorative xmlns:adec="http://schemas.microsoft.com/office/drawing/2017/decorative" val="1"/>
                        </a:ext>
                      </a:extLst>
                    </pic:cNvPr>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37222" cy="213500"/>
                    </a:xfrm>
                    <a:prstGeom prst="rect">
                      <a:avLst/>
                    </a:prstGeom>
                  </pic:spPr>
                </pic:pic>
              </a:graphicData>
            </a:graphic>
          </wp:anchor>
        </w:drawing>
      </w:r>
      <w:r>
        <w:rPr>
          <w:rFonts w:cs="Arial"/>
        </w:rPr>
        <w:br w:type="column"/>
      </w:r>
      <w:r w:rsidRPr="0065414C">
        <w:rPr>
          <w:rFonts w:cs="Arial"/>
          <w:noProof/>
          <w:lang w:eastAsia="en-AU" w:bidi="ar-SA"/>
        </w:rPr>
        <mc:AlternateContent>
          <mc:Choice Requires="wps">
            <w:drawing>
              <wp:anchor distT="0" distB="0" distL="0" distR="0" simplePos="0" relativeHeight="251683840" behindDoc="1" locked="0" layoutInCell="1" allowOverlap="1" wp14:anchorId="57C25DDB" wp14:editId="430DA3FF">
                <wp:simplePos x="0" y="0"/>
                <wp:positionH relativeFrom="margin">
                  <wp:align>left</wp:align>
                </wp:positionH>
                <wp:positionV relativeFrom="paragraph">
                  <wp:posOffset>9497</wp:posOffset>
                </wp:positionV>
                <wp:extent cx="2689200" cy="1804670"/>
                <wp:effectExtent l="0" t="0" r="16510" b="24130"/>
                <wp:wrapTopAndBottom/>
                <wp:docPr id="52" name="Text Box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200" cy="1804670"/>
                        </a:xfrm>
                        <a:prstGeom prst="rect">
                          <a:avLst/>
                        </a:prstGeom>
                        <a:noFill/>
                        <a:ln w="9525">
                          <a:solidFill>
                            <a:srgbClr val="F37A21"/>
                          </a:solidFill>
                          <a:miter lim="800000"/>
                          <a:headEnd/>
                          <a:tailEnd/>
                        </a:ln>
                        <a:extLst>
                          <a:ext uri="{909E8E84-426E-40DD-AFC4-6F175D3DCCD1}">
                            <a14:hiddenFill xmlns:a14="http://schemas.microsoft.com/office/drawing/2010/main">
                              <a:solidFill>
                                <a:srgbClr val="FFFFFF"/>
                              </a:solidFill>
                            </a14:hiddenFill>
                          </a:ext>
                        </a:extLst>
                      </wps:spPr>
                      <wps:txbx>
                        <w:txbxContent>
                          <w:p w14:paraId="1358B804" w14:textId="77777777" w:rsidR="001C5C18" w:rsidRPr="005470B1" w:rsidRDefault="001C5C18" w:rsidP="002B548B">
                            <w:pPr>
                              <w:pStyle w:val="Questionheading"/>
                            </w:pPr>
                            <w:bookmarkStart w:id="116" w:name="Question25"/>
                            <w:r w:rsidRPr="005470B1">
                              <w:t>Consultation question</w:t>
                            </w:r>
                            <w:r>
                              <w:t>s</w:t>
                            </w:r>
                          </w:p>
                          <w:bookmarkEnd w:id="116"/>
                          <w:p w14:paraId="4D981D83" w14:textId="77777777" w:rsidR="001C5C18" w:rsidRDefault="001C5C18" w:rsidP="002B548B">
                            <w:pPr>
                              <w:pStyle w:val="ListParagraph"/>
                              <w:ind w:left="566" w:right="283"/>
                            </w:pPr>
                            <w:r>
                              <w:t>Are there any obstacles to implementing the proposed harmonisation of prices for dialysis and chemotherapy for NEP21</w:t>
                            </w:r>
                            <w:r w:rsidRPr="002B548B">
                              <w:t>?</w:t>
                            </w:r>
                          </w:p>
                          <w:p w14:paraId="5FB0FCEF" w14:textId="77777777" w:rsidR="001C5C18" w:rsidRDefault="001C5C18" w:rsidP="002B548B">
                            <w:pPr>
                              <w:pStyle w:val="ListParagraph"/>
                              <w:ind w:left="566" w:right="283"/>
                            </w:pPr>
                            <w:r>
                              <w:t>Are there other clinical areas where introducing price harmonisation should be considered?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25DDB" id="Text Box 42" o:spid="_x0000_s1038" type="#_x0000_t202" alt="&quot;&quot;" style="position:absolute;margin-left:0;margin-top:.75pt;width:211.75pt;height:142.1pt;z-index:-25163264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" filled="f" strokecolor="#f37a21">
                <v:textbox inset="0,0,0,0">
                  <w:txbxContent>
                    <w:p w14:paraId="1358B804" w14:textId="77777777" w:rsidR="001C5C18" w:rsidRPr="005470B1" w:rsidRDefault="001C5C18" w:rsidP="002B548B">
                      <w:pPr>
                        <w:pStyle w:val="Questionheading"/>
                      </w:pPr>
                      <w:bookmarkStart w:id="117" w:name="Question25"/>
                      <w:r w:rsidRPr="005470B1">
                        <w:t>Consultation question</w:t>
                      </w:r>
                      <w:r>
                        <w:t>s</w:t>
                      </w:r>
                    </w:p>
                    <w:bookmarkEnd w:id="117"/>
                    <w:p w14:paraId="4D981D83" w14:textId="77777777" w:rsidR="001C5C18" w:rsidRDefault="001C5C18" w:rsidP="002B548B">
                      <w:pPr>
                        <w:pStyle w:val="ListParagraph"/>
                        <w:ind w:left="566" w:right="283"/>
                      </w:pPr>
                      <w:r>
                        <w:t>Are there any obstacles to implementing the proposed harmonisation of prices for dialysis and chemotherapy for NEP21</w:t>
                      </w:r>
                      <w:r w:rsidRPr="002B548B">
                        <w:t>?</w:t>
                      </w:r>
                    </w:p>
                    <w:p w14:paraId="5FB0FCEF" w14:textId="77777777" w:rsidR="001C5C18" w:rsidRDefault="001C5C18" w:rsidP="002B548B">
                      <w:pPr>
                        <w:pStyle w:val="ListParagraph"/>
                        <w:ind w:left="566" w:right="283"/>
                      </w:pPr>
                      <w:r>
                        <w:t>Are there other clinical areas where introducing price harmonisation should be considered?</w:t>
                      </w:r>
                    </w:p>
                  </w:txbxContent>
                </v:textbox>
                <w10:wrap type="topAndBottom" anchorx="margin"/>
              </v:shape>
            </w:pict>
          </mc:Fallback>
        </mc:AlternateContent>
      </w:r>
      <w:r w:rsidR="0094308A" w:rsidRPr="0065414C">
        <w:rPr>
          <w:rFonts w:cs="Arial"/>
        </w:rPr>
        <w:t xml:space="preserve">7.4. </w:t>
      </w:r>
      <w:r w:rsidR="0041717A" w:rsidRPr="0065414C">
        <w:rPr>
          <w:rFonts w:cs="Arial"/>
        </w:rPr>
        <w:t>Setting the national efficient price for private patients in public hospital</w:t>
      </w:r>
      <w:r w:rsidR="0094308A" w:rsidRPr="0065414C">
        <w:rPr>
          <w:rFonts w:cs="Arial"/>
        </w:rPr>
        <w:t>s</w:t>
      </w:r>
      <w:bookmarkEnd w:id="114"/>
      <w:bookmarkEnd w:id="115"/>
    </w:p>
    <w:p w14:paraId="2798FA43" w14:textId="77777777" w:rsidR="0094308A" w:rsidRPr="0065414C" w:rsidRDefault="0041717A" w:rsidP="0094308A">
      <w:pPr>
        <w:pStyle w:val="BodyText"/>
        <w:ind w:right="44"/>
        <w:rPr>
          <w:rFonts w:cs="Arial"/>
        </w:rPr>
      </w:pPr>
      <w:r w:rsidRPr="0065414C">
        <w:rPr>
          <w:rFonts w:cs="Arial"/>
        </w:rPr>
        <w:t>Public hospitals may receive revenue for delivering patient care from funding sources other than through the NHRA. For example, patients admitted to public hospitals may opt to use their private health cover</w:t>
      </w:r>
      <w:r w:rsidR="0094308A" w:rsidRPr="0065414C">
        <w:rPr>
          <w:rFonts w:cs="Arial"/>
        </w:rPr>
        <w:t>.</w:t>
      </w:r>
    </w:p>
    <w:p w14:paraId="32C592E4" w14:textId="77777777" w:rsidR="0041717A" w:rsidRPr="0065414C" w:rsidRDefault="00E31F89" w:rsidP="0041717A">
      <w:pPr>
        <w:pStyle w:val="BodyText"/>
        <w:ind w:right="44"/>
        <w:rPr>
          <w:rFonts w:cs="Arial"/>
        </w:rPr>
      </w:pPr>
      <w:r w:rsidRPr="00E31F89">
        <w:rPr>
          <w:rFonts w:cs="Arial"/>
        </w:rPr>
        <w:t xml:space="preserve">Under the current pricing model, IHPA applies two adjustments for private patients: </w:t>
      </w:r>
      <w:proofErr w:type="gramStart"/>
      <w:r w:rsidRPr="00E31F89">
        <w:rPr>
          <w:rFonts w:cs="Arial"/>
        </w:rPr>
        <w:t>the</w:t>
      </w:r>
      <w:proofErr w:type="gramEnd"/>
      <w:r w:rsidRPr="00E31F89">
        <w:rPr>
          <w:rFonts w:cs="Arial"/>
        </w:rPr>
        <w:t xml:space="preserve"> Private Patient Service Adjustment and the Private Pa</w:t>
      </w:r>
      <w:r>
        <w:rPr>
          <w:rFonts w:cs="Arial"/>
        </w:rPr>
        <w:t>tient Accommodation Adjustment.</w:t>
      </w:r>
      <w:r w:rsidRPr="00E31F89">
        <w:rPr>
          <w:rFonts w:cs="Arial"/>
        </w:rPr>
        <w:t xml:space="preserve"> IHPA determines a reduced price taking in to account other sources of revenue available to the hospital. These include</w:t>
      </w:r>
      <w:r w:rsidR="0041717A" w:rsidRPr="0065414C">
        <w:rPr>
          <w:rFonts w:cs="Arial"/>
        </w:rPr>
        <w:t>:</w:t>
      </w:r>
    </w:p>
    <w:p w14:paraId="60A0F14B" w14:textId="77777777" w:rsidR="0041717A" w:rsidRPr="0065414C" w:rsidRDefault="0041717A" w:rsidP="0041717A">
      <w:pPr>
        <w:pStyle w:val="ListParagraph"/>
        <w:rPr>
          <w:rFonts w:cs="Arial"/>
        </w:rPr>
      </w:pPr>
      <w:r w:rsidRPr="0065414C">
        <w:rPr>
          <w:rFonts w:cs="Arial"/>
        </w:rPr>
        <w:t>Commonwealth NHRA funding through the National Health Funding Pool</w:t>
      </w:r>
    </w:p>
    <w:p w14:paraId="1955BA7E" w14:textId="77777777" w:rsidR="0041717A" w:rsidRPr="0065414C" w:rsidRDefault="0041717A" w:rsidP="0041717A">
      <w:pPr>
        <w:pStyle w:val="ListParagraph"/>
        <w:rPr>
          <w:rFonts w:cs="Arial"/>
        </w:rPr>
      </w:pPr>
      <w:r w:rsidRPr="0065414C">
        <w:rPr>
          <w:rFonts w:cs="Arial"/>
        </w:rPr>
        <w:t>Private health insurance payments to hospitals</w:t>
      </w:r>
    </w:p>
    <w:p w14:paraId="08E02B00" w14:textId="77777777" w:rsidR="0041717A" w:rsidRPr="0065414C" w:rsidRDefault="0041717A" w:rsidP="0041717A">
      <w:pPr>
        <w:pStyle w:val="ListParagraph"/>
        <w:rPr>
          <w:rFonts w:cs="Arial"/>
        </w:rPr>
      </w:pPr>
      <w:r w:rsidRPr="0065414C">
        <w:rPr>
          <w:rFonts w:cs="Arial"/>
        </w:rPr>
        <w:t>Medical Benefits Schedule (MBS) payments to clinicians.</w:t>
      </w:r>
    </w:p>
    <w:p w14:paraId="1ADE4D75" w14:textId="77777777" w:rsidR="00E31F89" w:rsidRDefault="00E31F89" w:rsidP="0041717A">
      <w:pPr>
        <w:pStyle w:val="BodyText"/>
        <w:ind w:right="44"/>
        <w:rPr>
          <w:rFonts w:cs="Arial"/>
        </w:rPr>
      </w:pPr>
      <w:r w:rsidRPr="00E31F89">
        <w:rPr>
          <w:rFonts w:cs="Arial"/>
        </w:rPr>
        <w:t>Prior to the Addendum to the NHRA being signed, IHPA has not considered the impact of State NHRA funding through the National Health Funding Pool</w:t>
      </w:r>
      <w:r>
        <w:rPr>
          <w:rFonts w:cs="Arial"/>
        </w:rPr>
        <w:t>.</w:t>
      </w:r>
    </w:p>
    <w:p w14:paraId="5D4E4CA8" w14:textId="77777777" w:rsidR="0041717A" w:rsidRPr="0065414C" w:rsidRDefault="0041717A" w:rsidP="0041717A">
      <w:pPr>
        <w:pStyle w:val="BodyText"/>
        <w:ind w:right="44"/>
        <w:rPr>
          <w:rFonts w:cs="Arial"/>
        </w:rPr>
      </w:pPr>
      <w:r w:rsidRPr="0065414C">
        <w:rPr>
          <w:rFonts w:cs="Arial"/>
          <w:b/>
        </w:rPr>
        <w:t>Figure 3</w:t>
      </w:r>
      <w:r w:rsidRPr="0065414C">
        <w:rPr>
          <w:rFonts w:cs="Arial"/>
        </w:rPr>
        <w:t xml:space="preserve"> outlines how these funding sources flow through to local hospital networks (LHNs) to fund patient care.</w:t>
      </w:r>
    </w:p>
    <w:p w14:paraId="1FDFA9FE" w14:textId="77777777" w:rsidR="0041717A" w:rsidRPr="0065414C" w:rsidRDefault="0041717A" w:rsidP="0041717A">
      <w:pPr>
        <w:rPr>
          <w:rFonts w:cs="Arial"/>
          <w:b/>
        </w:rPr>
        <w:sectPr w:rsidR="0041717A" w:rsidRPr="0065414C" w:rsidSect="007F200C">
          <w:type w:val="continuous"/>
          <w:pgSz w:w="11910" w:h="16840"/>
          <w:pgMar w:top="1440" w:right="1440" w:bottom="1440" w:left="1440" w:header="0" w:footer="656" w:gutter="0"/>
          <w:cols w:num="2" w:space="340"/>
        </w:sectPr>
      </w:pPr>
    </w:p>
    <w:p w14:paraId="62892A65" w14:textId="77777777" w:rsidR="007E1BCE" w:rsidRDefault="007E1BCE" w:rsidP="009C68D5">
      <w:pPr>
        <w:pStyle w:val="Figureheading"/>
        <w:rPr>
          <w:rFonts w:cs="Arial"/>
        </w:rPr>
        <w:sectPr w:rsidR="007E1BCE" w:rsidSect="0041717A">
          <w:type w:val="continuous"/>
          <w:pgSz w:w="11910" w:h="16840"/>
          <w:pgMar w:top="1440" w:right="1440" w:bottom="1440" w:left="1440" w:header="0" w:footer="656" w:gutter="0"/>
          <w:cols w:space="340"/>
        </w:sectPr>
      </w:pPr>
    </w:p>
    <w:p w14:paraId="432C5C94" w14:textId="77777777" w:rsidR="007E1BCE" w:rsidRDefault="0041717A" w:rsidP="009C68D5">
      <w:pPr>
        <w:pStyle w:val="Figureheading"/>
        <w:rPr>
          <w:rFonts w:cs="Arial"/>
        </w:rPr>
      </w:pPr>
      <w:r w:rsidRPr="0065414C">
        <w:rPr>
          <w:rFonts w:cs="Arial"/>
        </w:rPr>
        <w:t>Figure 3: Funding flows to LHNs for private patients</w:t>
      </w:r>
    </w:p>
    <w:p w14:paraId="17E86539" w14:textId="77777777" w:rsidR="007E1BCE" w:rsidRDefault="007E1BCE" w:rsidP="009C68D5">
      <w:pPr>
        <w:pStyle w:val="Figureheading"/>
        <w:rPr>
          <w:rFonts w:cs="Arial"/>
        </w:rPr>
      </w:pPr>
      <w:r>
        <w:rPr>
          <w:rFonts w:cs="Arial"/>
          <w:noProof/>
          <w:lang w:eastAsia="en-AU" w:bidi="ar-SA"/>
        </w:rPr>
        <w:drawing>
          <wp:inline distT="0" distB="0" distL="0" distR="0" wp14:anchorId="0AFD42DE" wp14:editId="30FB0276">
            <wp:extent cx="5193102" cy="2612079"/>
            <wp:effectExtent l="0" t="0" r="7620" b="0"/>
            <wp:docPr id="1" name="Picture 1" descr="Title Funding flows to LHNs for private patients. Outlines how these funding sources flow through to local hospital networks (LHNs) to fund patient care.&#10;Funding flows from either the Commonwealth NHRA or State NHRA in to the National Health Funding Pool. From the National Health Funding Pool funding flows to the LHN. Funding also flows from Private Health Insurers directly to the LHN. Funding also flows from the Medical Benefits Schedule and Private Health Insurers to the Clinicians and then to the LH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tle Funding flows to LHNs for private patients. Outlines how these funding sources flow through to local hospital networks (LHNs) to fund patient care.&#10;Funding flows from either the Commonwealth NHRA or State NHRA in to the National Health Funding Pool. From the National Health Funding Pool funding flows to the LHN. Funding also flows from Private Health Insurers directly to the LHN. Funding also flows from the Medical Benefits Schedule and Private Health Insurers to the Clinicians and then to the LHN. "/>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202893" cy="2617004"/>
                    </a:xfrm>
                    <a:prstGeom prst="rect">
                      <a:avLst/>
                    </a:prstGeom>
                  </pic:spPr>
                </pic:pic>
              </a:graphicData>
            </a:graphic>
          </wp:inline>
        </w:drawing>
      </w:r>
    </w:p>
    <w:p w14:paraId="497FEBD0" w14:textId="77777777" w:rsidR="007E1BCE" w:rsidRDefault="007E1BCE" w:rsidP="009C68D5">
      <w:pPr>
        <w:pStyle w:val="Figureheading"/>
        <w:rPr>
          <w:rFonts w:cs="Arial"/>
        </w:rPr>
        <w:sectPr w:rsidR="007E1BCE" w:rsidSect="007E1BCE">
          <w:type w:val="continuous"/>
          <w:pgSz w:w="11910" w:h="16840"/>
          <w:pgMar w:top="1440" w:right="1440" w:bottom="1440" w:left="1440" w:header="0" w:footer="656" w:gutter="0"/>
          <w:cols w:space="340"/>
        </w:sectPr>
      </w:pPr>
    </w:p>
    <w:p w14:paraId="4B865591" w14:textId="77777777" w:rsidR="0041717A" w:rsidRPr="0065414C" w:rsidRDefault="002117A9" w:rsidP="0041717A">
      <w:pPr>
        <w:pStyle w:val="BodyText"/>
        <w:ind w:right="44"/>
        <w:rPr>
          <w:rFonts w:cs="Arial"/>
        </w:rPr>
      </w:pPr>
      <w:r>
        <w:rPr>
          <w:rFonts w:cs="Arial"/>
        </w:rPr>
        <w:lastRenderedPageBreak/>
        <w:t>The</w:t>
      </w:r>
      <w:r w:rsidR="0041717A" w:rsidRPr="0065414C">
        <w:rPr>
          <w:rFonts w:cs="Arial"/>
        </w:rPr>
        <w:t xml:space="preserve"> Private Patient Service Adjustment reduces the price weight by the amounts paid by the Commonwealth and private health insurers on behalf of private patients. This includes MBS payments to medical staff and charges for prostheses. The Private Patient Accommodation Adjustment further reduces the </w:t>
      </w:r>
      <w:r w:rsidR="0041717A" w:rsidRPr="0065414C">
        <w:rPr>
          <w:rFonts w:cs="Arial"/>
          <w:szCs w:val="22"/>
        </w:rPr>
        <w:t>National Weighted Activity Unit</w:t>
      </w:r>
      <w:r w:rsidR="0041717A" w:rsidRPr="0065414C">
        <w:rPr>
          <w:rFonts w:cs="Arial"/>
        </w:rPr>
        <w:t xml:space="preserve"> (NWAU) for a private patient by accounting for the Default Bed Day benefit paid by the insurer to the hospital. The level is calculated for each state and territory based on a determination made by the Commonwealth Minister for Health under the </w:t>
      </w:r>
      <w:r w:rsidR="0041717A" w:rsidRPr="0065414C">
        <w:rPr>
          <w:rFonts w:cs="Arial"/>
          <w:i/>
        </w:rPr>
        <w:t>Health Insurance Act 1973</w:t>
      </w:r>
      <w:r w:rsidR="0041717A" w:rsidRPr="0065414C">
        <w:rPr>
          <w:rFonts w:cs="Arial"/>
        </w:rPr>
        <w:t xml:space="preserve"> (Cwlth). The adjustment is dependent on the length of stay.</w:t>
      </w:r>
    </w:p>
    <w:p w14:paraId="7B8D6EB1" w14:textId="77777777" w:rsidR="0094308A" w:rsidRPr="0065414C" w:rsidRDefault="0094308A" w:rsidP="0094308A">
      <w:pPr>
        <w:pStyle w:val="Heading3"/>
        <w:rPr>
          <w:rFonts w:cs="Arial"/>
        </w:rPr>
      </w:pPr>
      <w:r w:rsidRPr="0065414C">
        <w:rPr>
          <w:rFonts w:cs="Arial"/>
        </w:rPr>
        <w:t>Private patients and the new Addendum</w:t>
      </w:r>
    </w:p>
    <w:p w14:paraId="7BDC8664" w14:textId="77777777" w:rsidR="0094308A" w:rsidRPr="0065414C" w:rsidRDefault="0041717A" w:rsidP="0094308A">
      <w:pPr>
        <w:pStyle w:val="BodyText"/>
        <w:ind w:right="44"/>
        <w:rPr>
          <w:rFonts w:cs="Arial"/>
        </w:rPr>
      </w:pPr>
      <w:r w:rsidRPr="0065414C">
        <w:rPr>
          <w:rFonts w:cs="Arial"/>
        </w:rPr>
        <w:t>The Addendum sets parameters for how funding for private patients in public hospitals should be considered. Clause A13 states the parties agree to the principle that both the Commonwealth, state and territory funding models will be financially neutral with respect to all patients, regardless of whether they elect to be treated as a private or public patient</w:t>
      </w:r>
      <w:r w:rsidR="0094308A" w:rsidRPr="0065414C">
        <w:rPr>
          <w:rFonts w:cs="Arial"/>
        </w:rPr>
        <w:t xml:space="preserve">. </w:t>
      </w:r>
    </w:p>
    <w:p w14:paraId="561CA18A" w14:textId="77777777" w:rsidR="008C3683" w:rsidRPr="0065414C" w:rsidRDefault="0041717A" w:rsidP="0094308A">
      <w:pPr>
        <w:pStyle w:val="BodyText"/>
        <w:ind w:right="44"/>
        <w:rPr>
          <w:rFonts w:cs="Arial"/>
        </w:rPr>
      </w:pPr>
      <w:r w:rsidRPr="0065414C">
        <w:rPr>
          <w:rFonts w:cs="Arial"/>
        </w:rPr>
        <w:t xml:space="preserve">Clause A44 specifies that in determining the cost weight for private patients, IHPA will adjust the price to the extent required to achieve overall payment parity between public and private patients in the relevant jurisdiction. This </w:t>
      </w:r>
      <w:proofErr w:type="gramStart"/>
      <w:r w:rsidRPr="0065414C">
        <w:rPr>
          <w:rFonts w:cs="Arial"/>
        </w:rPr>
        <w:t>takes into account</w:t>
      </w:r>
      <w:proofErr w:type="gramEnd"/>
      <w:r w:rsidRPr="0065414C">
        <w:rPr>
          <w:rFonts w:cs="Arial"/>
        </w:rPr>
        <w:t xml:space="preserve"> all hospital private patient revenues, and notes that any adjustments will be back-cast. Where adjustments are estimated before activity has taken place, the Commonwealth contribution will need to be reconciled based on actual revenue as data becomes available</w:t>
      </w:r>
      <w:r w:rsidR="0094308A" w:rsidRPr="0065414C">
        <w:rPr>
          <w:rFonts w:cs="Arial"/>
        </w:rPr>
        <w:t>.</w:t>
      </w:r>
    </w:p>
    <w:p w14:paraId="236E04AD" w14:textId="77777777" w:rsidR="00B2611D" w:rsidRPr="0065414C" w:rsidRDefault="0041717A" w:rsidP="00B2611D">
      <w:pPr>
        <w:pStyle w:val="BodyText"/>
        <w:ind w:right="44"/>
        <w:rPr>
          <w:rFonts w:cs="Arial"/>
        </w:rPr>
      </w:pPr>
      <w:proofErr w:type="gramStart"/>
      <w:r w:rsidRPr="0065414C">
        <w:rPr>
          <w:rFonts w:cs="Arial"/>
        </w:rPr>
        <w:t>In order to</w:t>
      </w:r>
      <w:proofErr w:type="gramEnd"/>
      <w:r w:rsidRPr="0065414C">
        <w:rPr>
          <w:rFonts w:cs="Arial"/>
        </w:rPr>
        <w:t xml:space="preserve"> do this, IHPA would require an additional data collection to be established to ensure all hospital revenues were captured. States and territories would also be required to submit a complete Hospital </w:t>
      </w:r>
      <w:proofErr w:type="spellStart"/>
      <w:r w:rsidRPr="0065414C">
        <w:rPr>
          <w:rFonts w:cs="Arial"/>
        </w:rPr>
        <w:t>Casemix</w:t>
      </w:r>
      <w:proofErr w:type="spellEnd"/>
      <w:r w:rsidRPr="0065414C">
        <w:rPr>
          <w:rFonts w:cs="Arial"/>
        </w:rPr>
        <w:t xml:space="preserve"> Protocol (HCP) data set to align with the timeframes for annual reconciliation.</w:t>
      </w:r>
    </w:p>
    <w:p w14:paraId="4EB616A5" w14:textId="77777777" w:rsidR="00EF63A7" w:rsidRDefault="0041717A" w:rsidP="00B2611D">
      <w:pPr>
        <w:pStyle w:val="BodyText"/>
        <w:ind w:right="44"/>
        <w:rPr>
          <w:rFonts w:cs="Arial"/>
        </w:rPr>
      </w:pPr>
      <w:r w:rsidRPr="0065414C">
        <w:rPr>
          <w:rFonts w:cs="Arial"/>
        </w:rPr>
        <w:t>IHPA is continuing to refine the new methodology for pricing private patients in public hospitals with assistance from its Technical Advisory Committee and Jur</w:t>
      </w:r>
      <w:r w:rsidR="00EF63A7">
        <w:rPr>
          <w:rFonts w:cs="Arial"/>
        </w:rPr>
        <w:t>isdictional Advisory Committee.</w:t>
      </w:r>
    </w:p>
    <w:p w14:paraId="3A8FA1D1" w14:textId="77777777" w:rsidR="0041717A" w:rsidRPr="0065414C" w:rsidRDefault="0041717A" w:rsidP="00B2611D">
      <w:pPr>
        <w:pStyle w:val="BodyText"/>
        <w:ind w:right="44"/>
        <w:rPr>
          <w:rFonts w:cs="Arial"/>
        </w:rPr>
      </w:pPr>
      <w:r w:rsidRPr="0065414C">
        <w:rPr>
          <w:rFonts w:cs="Arial"/>
        </w:rPr>
        <w:t xml:space="preserve">The </w:t>
      </w:r>
      <w:r w:rsidR="00EF63A7">
        <w:rPr>
          <w:rFonts w:cs="Arial"/>
        </w:rPr>
        <w:t xml:space="preserve">final </w:t>
      </w:r>
      <w:r w:rsidRPr="0065414C">
        <w:rPr>
          <w:rFonts w:cs="Arial"/>
        </w:rPr>
        <w:t xml:space="preserve">methodology </w:t>
      </w:r>
      <w:r w:rsidR="00EF63A7">
        <w:rPr>
          <w:rFonts w:cs="Arial"/>
        </w:rPr>
        <w:t>for the new approach will be detailed in the Pricing Framework for Australian Public Hospital Services 2021–22</w:t>
      </w:r>
      <w:r w:rsidRPr="0065414C">
        <w:rPr>
          <w:rFonts w:cs="Arial"/>
        </w:rPr>
        <w:t>.</w:t>
      </w:r>
    </w:p>
    <w:p w14:paraId="333F9BA7" w14:textId="77777777" w:rsidR="0041717A" w:rsidRPr="0065414C" w:rsidRDefault="005E758E" w:rsidP="0041717A">
      <w:pPr>
        <w:pStyle w:val="Heading3"/>
        <w:rPr>
          <w:rFonts w:cs="Arial"/>
        </w:rPr>
      </w:pPr>
      <w:r>
        <w:rPr>
          <w:rFonts w:cs="Arial"/>
        </w:rPr>
        <w:br w:type="column"/>
      </w:r>
      <w:r w:rsidR="0041717A" w:rsidRPr="0065414C">
        <w:rPr>
          <w:rFonts w:cs="Arial"/>
        </w:rPr>
        <w:t>Costing private patients in public hospitals and the private patient correction factor</w:t>
      </w:r>
    </w:p>
    <w:p w14:paraId="2A432F82" w14:textId="77777777" w:rsidR="0041717A" w:rsidRPr="0065414C" w:rsidRDefault="0041717A" w:rsidP="00B2611D">
      <w:pPr>
        <w:pStyle w:val="BodyText"/>
        <w:ind w:right="44"/>
        <w:rPr>
          <w:rFonts w:cs="Arial"/>
        </w:rPr>
      </w:pPr>
      <w:r w:rsidRPr="0065414C">
        <w:rPr>
          <w:rFonts w:cs="Arial"/>
        </w:rPr>
        <w:t>The collection of private patient medical expenses has been problematic in the National Hospital Cost Data Collection (NHCDC). For example, some states and territories use Special Purpose Funds to collect associated revenue (for example, MBS) and reimburse medical practitioners.</w:t>
      </w:r>
    </w:p>
    <w:p w14:paraId="6E825FE5" w14:textId="77777777" w:rsidR="0041717A" w:rsidRPr="0065414C" w:rsidRDefault="0041717A" w:rsidP="00B2611D">
      <w:pPr>
        <w:pStyle w:val="BodyText"/>
        <w:ind w:right="44"/>
        <w:rPr>
          <w:rFonts w:cs="Arial"/>
        </w:rPr>
      </w:pPr>
      <w:r w:rsidRPr="0065414C">
        <w:rPr>
          <w:rFonts w:cs="Arial"/>
        </w:rPr>
        <w:t>The private patient correction factor was introduced as an interim solution for the issue of missing private patient costs in the NHCDC. The use of the correction factor assumes that all private patient costs are missing and that these costs are spread across both private and public patients, which is not always the case. For example, some hospitals appear to report specialist medical costs for private patients, whilst others may have costs missing from both public and private patients.</w:t>
      </w:r>
    </w:p>
    <w:p w14:paraId="1AA5D3F2" w14:textId="77777777" w:rsidR="0041717A" w:rsidRPr="0065414C" w:rsidRDefault="00B52AD1" w:rsidP="0041717A">
      <w:pPr>
        <w:pStyle w:val="BodyText"/>
        <w:ind w:right="44"/>
        <w:rPr>
          <w:rFonts w:cs="Arial"/>
        </w:rPr>
      </w:pPr>
      <w:r w:rsidRPr="0065414C">
        <w:rPr>
          <w:rFonts w:cs="Arial"/>
        </w:rPr>
        <w:t>The implementation of Australian Hospital Patient Costing Standards Version 4.0 should have addressed the issue of missing costs in the NHCDC, meaning the private patient correction factor is no longer required. Stakeholders have previously supported phasing out the private patient correction factor when feasible</w:t>
      </w:r>
      <w:r w:rsidR="0041717A" w:rsidRPr="0065414C">
        <w:rPr>
          <w:rFonts w:cs="Arial"/>
        </w:rPr>
        <w:t>.</w:t>
      </w:r>
    </w:p>
    <w:p w14:paraId="66C0B936" w14:textId="77777777" w:rsidR="005E758E" w:rsidRPr="0065414C" w:rsidRDefault="005E758E" w:rsidP="0041717A">
      <w:pPr>
        <w:pStyle w:val="BodyText"/>
        <w:ind w:right="44"/>
        <w:rPr>
          <w:rFonts w:cs="Arial"/>
        </w:rPr>
      </w:pPr>
      <w:r w:rsidRPr="0065414C">
        <w:rPr>
          <w:rFonts w:cs="Arial"/>
          <w:noProof/>
          <w:lang w:eastAsia="en-AU" w:bidi="ar-SA"/>
        </w:rPr>
        <w:drawing>
          <wp:anchor distT="0" distB="0" distL="114300" distR="114300" simplePos="0" relativeHeight="251708416" behindDoc="0" locked="0" layoutInCell="1" allowOverlap="1" wp14:anchorId="289A2B1B" wp14:editId="7D594812">
            <wp:simplePos x="0" y="0"/>
            <wp:positionH relativeFrom="column">
              <wp:posOffset>143123</wp:posOffset>
            </wp:positionH>
            <wp:positionV relativeFrom="page">
              <wp:posOffset>5972810</wp:posOffset>
            </wp:positionV>
            <wp:extent cx="237222" cy="213500"/>
            <wp:effectExtent l="0" t="0" r="0" b="0"/>
            <wp:wrapNone/>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extLst>
                        <a:ext uri="{C183D7F6-B498-43B3-948B-1728B52AA6E4}">
                          <adec:decorative xmlns:adec="http://schemas.microsoft.com/office/drawing/2017/decorative" val="1"/>
                        </a:ext>
                      </a:extLst>
                    </pic:cNvPr>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37222" cy="213500"/>
                    </a:xfrm>
                    <a:prstGeom prst="rect">
                      <a:avLst/>
                    </a:prstGeom>
                  </pic:spPr>
                </pic:pic>
              </a:graphicData>
            </a:graphic>
          </wp:anchor>
        </w:drawing>
      </w:r>
      <w:r w:rsidRPr="0065414C">
        <w:rPr>
          <w:rFonts w:cs="Arial"/>
          <w:noProof/>
          <w:lang w:eastAsia="en-AU" w:bidi="ar-SA"/>
        </w:rPr>
        <mc:AlternateContent>
          <mc:Choice Requires="wps">
            <w:drawing>
              <wp:anchor distT="0" distB="0" distL="0" distR="0" simplePos="0" relativeHeight="251706368" behindDoc="1" locked="0" layoutInCell="1" allowOverlap="1" wp14:anchorId="3799426E" wp14:editId="652EE3F5">
                <wp:simplePos x="0" y="0"/>
                <wp:positionH relativeFrom="margin">
                  <wp:align>right</wp:align>
                </wp:positionH>
                <wp:positionV relativeFrom="paragraph">
                  <wp:posOffset>561947</wp:posOffset>
                </wp:positionV>
                <wp:extent cx="2743200" cy="1089025"/>
                <wp:effectExtent l="0" t="0" r="19050" b="15875"/>
                <wp:wrapTopAndBottom/>
                <wp:docPr id="40" name="Text Box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089025"/>
                        </a:xfrm>
                        <a:prstGeom prst="rect">
                          <a:avLst/>
                        </a:prstGeom>
                        <a:noFill/>
                        <a:ln w="9525">
                          <a:solidFill>
                            <a:srgbClr val="F37A21"/>
                          </a:solidFill>
                          <a:miter lim="800000"/>
                          <a:headEnd/>
                          <a:tailEnd/>
                        </a:ln>
                        <a:extLst>
                          <a:ext uri="{909E8E84-426E-40DD-AFC4-6F175D3DCCD1}">
                            <a14:hiddenFill xmlns:a14="http://schemas.microsoft.com/office/drawing/2010/main">
                              <a:solidFill>
                                <a:srgbClr val="FFFFFF"/>
                              </a:solidFill>
                            </a14:hiddenFill>
                          </a:ext>
                        </a:extLst>
                      </wps:spPr>
                      <wps:txbx>
                        <w:txbxContent>
                          <w:p w14:paraId="08A6E02E" w14:textId="77777777" w:rsidR="001C5C18" w:rsidRPr="005470B1" w:rsidRDefault="001C5C18" w:rsidP="005E758E">
                            <w:pPr>
                              <w:pStyle w:val="Questionheading"/>
                            </w:pPr>
                            <w:r w:rsidRPr="005470B1">
                              <w:t>Consultation question</w:t>
                            </w:r>
                          </w:p>
                          <w:p w14:paraId="04F2ED7A" w14:textId="77777777" w:rsidR="001C5C18" w:rsidRDefault="001C5C18" w:rsidP="005E758E">
                            <w:pPr>
                              <w:pStyle w:val="ListParagraph"/>
                              <w:ind w:left="566" w:right="283"/>
                            </w:pPr>
                            <w:r w:rsidRPr="00FD171A">
                              <w:t>Is there any objection to IHPA phasing out the private patient correction factor for NEP21</w:t>
                            </w:r>
                            <w:r w:rsidRPr="00B02240">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9426E" id="_x0000_s1039" type="#_x0000_t202" alt="&quot;&quot;" style="position:absolute;margin-left:164.8pt;margin-top:44.25pt;width:3in;height:85.75pt;z-index:-25161011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" filled="f" strokecolor="#f37a21">
                <v:textbox inset="0,0,0,0">
                  <w:txbxContent>
                    <w:p w14:paraId="08A6E02E" w14:textId="77777777" w:rsidR="001C5C18" w:rsidRPr="005470B1" w:rsidRDefault="001C5C18" w:rsidP="005E758E">
                      <w:pPr>
                        <w:pStyle w:val="Questionheading"/>
                      </w:pPr>
                      <w:r w:rsidRPr="005470B1">
                        <w:t>Consultation question</w:t>
                      </w:r>
                    </w:p>
                    <w:p w14:paraId="04F2ED7A" w14:textId="77777777" w:rsidR="001C5C18" w:rsidRDefault="001C5C18" w:rsidP="005E758E">
                      <w:pPr>
                        <w:pStyle w:val="ListParagraph"/>
                        <w:ind w:left="566" w:right="283"/>
                      </w:pPr>
                      <w:r w:rsidRPr="00FD171A">
                        <w:t>Is there any objection to IHPA phasing out the private patient correction factor for NEP21</w:t>
                      </w:r>
                      <w:r w:rsidRPr="00B02240">
                        <w:t>?</w:t>
                      </w:r>
                    </w:p>
                  </w:txbxContent>
                </v:textbox>
                <w10:wrap type="topAndBottom" anchorx="margin"/>
              </v:shape>
            </w:pict>
          </mc:Fallback>
        </mc:AlternateContent>
      </w:r>
      <w:r w:rsidR="00B52AD1" w:rsidRPr="0065414C">
        <w:rPr>
          <w:rFonts w:cs="Arial"/>
        </w:rPr>
        <w:t>Therefore, IHPA intends to phase out the private patient correction factor for NEP21</w:t>
      </w:r>
      <w:r w:rsidR="006013F3" w:rsidRPr="0065414C">
        <w:rPr>
          <w:rFonts w:cs="Arial"/>
        </w:rPr>
        <w:t>.</w:t>
      </w:r>
    </w:p>
    <w:p w14:paraId="0A8E45B4" w14:textId="77777777" w:rsidR="00773B63" w:rsidRPr="0065414C" w:rsidRDefault="005E758E" w:rsidP="005E758E">
      <w:pPr>
        <w:pStyle w:val="Heading2"/>
        <w:rPr>
          <w:rFonts w:cs="Arial"/>
        </w:rPr>
      </w:pPr>
      <w:r>
        <w:rPr>
          <w:rFonts w:cs="Arial"/>
        </w:rPr>
        <w:br w:type="column"/>
      </w:r>
      <w:bookmarkStart w:id="118" w:name="_Toc49953769"/>
      <w:bookmarkStart w:id="119" w:name="_Toc50532317"/>
      <w:r w:rsidR="00773B63" w:rsidRPr="0065414C">
        <w:rPr>
          <w:rFonts w:cs="Arial"/>
        </w:rPr>
        <w:lastRenderedPageBreak/>
        <w:t xml:space="preserve">7.5. A </w:t>
      </w:r>
      <w:r w:rsidR="00C02414" w:rsidRPr="0065414C">
        <w:rPr>
          <w:rFonts w:cs="Arial"/>
        </w:rPr>
        <w:t>pricing approach for hospital and academic-led clinical trial</w:t>
      </w:r>
      <w:r w:rsidR="00773B63" w:rsidRPr="0065414C">
        <w:rPr>
          <w:rFonts w:cs="Arial"/>
        </w:rPr>
        <w:t>s</w:t>
      </w:r>
      <w:bookmarkEnd w:id="118"/>
      <w:bookmarkEnd w:id="119"/>
    </w:p>
    <w:p w14:paraId="0F14D240" w14:textId="77777777" w:rsidR="00773B63" w:rsidRPr="0065414C" w:rsidRDefault="00C02414" w:rsidP="00773B63">
      <w:pPr>
        <w:pStyle w:val="BodyText"/>
        <w:rPr>
          <w:rFonts w:cs="Arial"/>
        </w:rPr>
      </w:pPr>
      <w:r w:rsidRPr="0065414C">
        <w:rPr>
          <w:rFonts w:cs="Arial"/>
        </w:rPr>
        <w:t xml:space="preserve">IHPA has received advice from stakeholders that academic and hospital-led clinical trials are under considerable strain, due to them being commonly run under cost structures established for commercial clinical-trials. One cited example is that academic-led trials are charged for each additional hospital test, as would normally occur for a </w:t>
      </w:r>
      <w:proofErr w:type="gramStart"/>
      <w:r w:rsidRPr="0065414C">
        <w:rPr>
          <w:rFonts w:cs="Arial"/>
        </w:rPr>
        <w:t>commercially-run</w:t>
      </w:r>
      <w:proofErr w:type="gramEnd"/>
      <w:r w:rsidRPr="0065414C">
        <w:rPr>
          <w:rFonts w:cs="Arial"/>
        </w:rPr>
        <w:t xml:space="preserve"> trial</w:t>
      </w:r>
      <w:r w:rsidR="00773B63" w:rsidRPr="0065414C">
        <w:rPr>
          <w:rFonts w:cs="Arial"/>
        </w:rPr>
        <w:t xml:space="preserve">. </w:t>
      </w:r>
    </w:p>
    <w:p w14:paraId="2CD29C25" w14:textId="77777777" w:rsidR="00773B63" w:rsidRPr="0065414C" w:rsidRDefault="00C02414" w:rsidP="00773B63">
      <w:pPr>
        <w:pStyle w:val="BodyText"/>
        <w:rPr>
          <w:rFonts w:cs="Arial"/>
        </w:rPr>
      </w:pPr>
      <w:r w:rsidRPr="0065414C">
        <w:rPr>
          <w:rFonts w:cs="Arial"/>
        </w:rPr>
        <w:t>Some stakeholders felt strongly that academic-led clinical trials may cease, or become less prevalent in favour of commercially-backed trials with the financial resilience to afford research if the additional costs for academic led trials were not recognised in the national funding model</w:t>
      </w:r>
      <w:r w:rsidR="00773B63" w:rsidRPr="0065414C">
        <w:rPr>
          <w:rFonts w:cs="Arial"/>
        </w:rPr>
        <w:t xml:space="preserve">. </w:t>
      </w:r>
    </w:p>
    <w:p w14:paraId="26BD0871" w14:textId="77777777" w:rsidR="00773B63" w:rsidRPr="0065414C" w:rsidRDefault="00C02414" w:rsidP="00773B63">
      <w:pPr>
        <w:pStyle w:val="BodyText"/>
        <w:rPr>
          <w:rFonts w:cs="Arial"/>
        </w:rPr>
      </w:pPr>
      <w:r w:rsidRPr="0065414C">
        <w:rPr>
          <w:rFonts w:cs="Arial"/>
        </w:rPr>
        <w:t>IHPA is in the early stages of investigating availability of data to provide evidence on current costs of hospital or academic-led clinical trials</w:t>
      </w:r>
      <w:r w:rsidR="00773B63" w:rsidRPr="0065414C">
        <w:rPr>
          <w:rFonts w:cs="Arial"/>
        </w:rPr>
        <w:t>.</w:t>
      </w:r>
    </w:p>
    <w:p w14:paraId="3CF99817" w14:textId="77777777" w:rsidR="000E1534" w:rsidRPr="0065414C" w:rsidRDefault="000E1534" w:rsidP="004957DB">
      <w:pPr>
        <w:pStyle w:val="Heading2"/>
        <w:spacing w:before="0"/>
        <w:rPr>
          <w:rFonts w:cs="Arial"/>
        </w:rPr>
        <w:sectPr w:rsidR="000E1534" w:rsidRPr="0065414C" w:rsidSect="007E1BCE">
          <w:pgSz w:w="11910" w:h="16840"/>
          <w:pgMar w:top="1440" w:right="1440" w:bottom="1440" w:left="1440" w:header="0" w:footer="656" w:gutter="0"/>
          <w:cols w:num="2" w:space="340"/>
        </w:sectPr>
      </w:pPr>
    </w:p>
    <w:p w14:paraId="4E4C774E" w14:textId="77777777" w:rsidR="00592035" w:rsidRPr="0065414C" w:rsidRDefault="00592035" w:rsidP="005B7291">
      <w:pPr>
        <w:pStyle w:val="SectionNumber"/>
      </w:pPr>
      <w:bookmarkStart w:id="120" w:name="_bookmark17"/>
      <w:bookmarkStart w:id="121" w:name="_8_Setting_the"/>
      <w:bookmarkStart w:id="122" w:name="_Toc49953770"/>
      <w:bookmarkEnd w:id="120"/>
      <w:bookmarkEnd w:id="121"/>
      <w:r w:rsidRPr="0065414C">
        <w:lastRenderedPageBreak/>
        <w:drawing>
          <wp:anchor distT="0" distB="0" distL="114300" distR="114300" simplePos="0" relativeHeight="251630592" behindDoc="1" locked="0" layoutInCell="1" allowOverlap="1" wp14:anchorId="5852963C" wp14:editId="735A4F0A">
            <wp:simplePos x="0" y="0"/>
            <wp:positionH relativeFrom="margin">
              <wp:posOffset>-914400</wp:posOffset>
            </wp:positionH>
            <wp:positionV relativeFrom="page">
              <wp:posOffset>954157</wp:posOffset>
            </wp:positionV>
            <wp:extent cx="5462267" cy="3577464"/>
            <wp:effectExtent l="0" t="0" r="0"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462267" cy="3577464"/>
                    </a:xfrm>
                    <a:prstGeom prst="rect">
                      <a:avLst/>
                    </a:prstGeom>
                    <a:noFill/>
                    <a:ln>
                      <a:noFill/>
                    </a:ln>
                  </pic:spPr>
                </pic:pic>
              </a:graphicData>
            </a:graphic>
          </wp:anchor>
        </w:drawing>
      </w:r>
      <w:r w:rsidRPr="0065414C">
        <w:t>8</w:t>
      </w:r>
      <w:bookmarkEnd w:id="122"/>
    </w:p>
    <w:p w14:paraId="6689DA14" w14:textId="77777777" w:rsidR="00592035" w:rsidRPr="0065414C" w:rsidRDefault="008F4A1C" w:rsidP="005B7291">
      <w:pPr>
        <w:pStyle w:val="Sectionheader"/>
        <w:sectPr w:rsidR="00592035" w:rsidRPr="0065414C" w:rsidSect="00D021D5">
          <w:headerReference w:type="default" r:id="rId83"/>
          <w:pgSz w:w="11910" w:h="16840"/>
          <w:pgMar w:top="3970" w:right="1440" w:bottom="1440" w:left="1440" w:header="0" w:footer="656" w:gutter="0"/>
          <w:cols w:space="720"/>
          <w:docGrid w:linePitch="299"/>
        </w:sectPr>
      </w:pPr>
      <w:bookmarkStart w:id="123" w:name="_Toc49953771"/>
      <w:bookmarkStart w:id="124" w:name="_Toc50532318"/>
      <w:r w:rsidRPr="0065414C">
        <w:t xml:space="preserve">Data </w:t>
      </w:r>
      <w:r w:rsidR="00C02414" w:rsidRPr="0065414C">
        <w:t>c</w:t>
      </w:r>
      <w:r w:rsidRPr="0065414C">
        <w:t>ollection</w:t>
      </w:r>
      <w:bookmarkEnd w:id="123"/>
      <w:bookmarkEnd w:id="124"/>
    </w:p>
    <w:p w14:paraId="51801CF0" w14:textId="77777777" w:rsidR="00C415F5" w:rsidRPr="0065414C" w:rsidRDefault="001445EA" w:rsidP="001445EA">
      <w:pPr>
        <w:pStyle w:val="Heading1"/>
        <w:ind w:left="1418" w:hanging="1191"/>
        <w:rPr>
          <w:rFonts w:cs="Arial"/>
        </w:rPr>
      </w:pPr>
      <w:bookmarkStart w:id="125" w:name="_Toc45809621"/>
      <w:bookmarkStart w:id="126" w:name="_Toc49953772"/>
      <w:r w:rsidRPr="0065414C">
        <w:rPr>
          <w:rFonts w:cs="Arial"/>
          <w:noProof/>
          <w:color w:val="FFFFFF" w:themeColor="background1"/>
          <w:lang w:eastAsia="en-AU" w:bidi="ar-SA"/>
        </w:rPr>
        <w:lastRenderedPageBreak/>
        <w:drawing>
          <wp:anchor distT="0" distB="0" distL="114300" distR="114300" simplePos="0" relativeHeight="251655168" behindDoc="1" locked="0" layoutInCell="1" allowOverlap="1" wp14:anchorId="6A972B44" wp14:editId="4463BAA0">
            <wp:simplePos x="0" y="0"/>
            <wp:positionH relativeFrom="column">
              <wp:posOffset>-914399</wp:posOffset>
            </wp:positionH>
            <wp:positionV relativeFrom="page">
              <wp:posOffset>667910</wp:posOffset>
            </wp:positionV>
            <wp:extent cx="1685418" cy="946147"/>
            <wp:effectExtent l="0" t="0" r="0" b="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a:blip r:embed="rId84" cstate="print">
                      <a:extLst>
                        <a:ext uri="{28A0092B-C50C-407E-A947-70E740481C1C}">
                          <a14:useLocalDpi xmlns:a14="http://schemas.microsoft.com/office/drawing/2010/main" val="0"/>
                        </a:ext>
                      </a:extLst>
                    </a:blip>
                    <a:stretch>
                      <a:fillRect/>
                    </a:stretch>
                  </pic:blipFill>
                  <pic:spPr bwMode="auto">
                    <a:xfrm>
                      <a:off x="0" y="0"/>
                      <a:ext cx="1685418" cy="946147"/>
                    </a:xfrm>
                    <a:prstGeom prst="rect">
                      <a:avLst/>
                    </a:prstGeom>
                    <a:noFill/>
                    <a:ln>
                      <a:noFill/>
                    </a:ln>
                  </pic:spPr>
                </pic:pic>
              </a:graphicData>
            </a:graphic>
          </wp:anchor>
        </w:drawing>
      </w:r>
      <w:r w:rsidR="00E916D8" w:rsidRPr="0065414C">
        <w:rPr>
          <w:rFonts w:cs="Arial"/>
          <w:color w:val="FFFFFF" w:themeColor="background1"/>
        </w:rPr>
        <w:t>8</w:t>
      </w:r>
      <w:r w:rsidR="00E916D8" w:rsidRPr="0065414C">
        <w:rPr>
          <w:rFonts w:cs="Arial"/>
        </w:rPr>
        <w:tab/>
      </w:r>
      <w:r w:rsidRPr="0065414C">
        <w:rPr>
          <w:rFonts w:cs="Arial"/>
        </w:rPr>
        <w:tab/>
      </w:r>
      <w:r w:rsidR="008F4A1C" w:rsidRPr="0065414C">
        <w:rPr>
          <w:rFonts w:cs="Arial"/>
        </w:rPr>
        <w:t xml:space="preserve">Data </w:t>
      </w:r>
      <w:r w:rsidR="00C02414" w:rsidRPr="0065414C">
        <w:rPr>
          <w:rFonts w:cs="Arial"/>
        </w:rPr>
        <w:t>c</w:t>
      </w:r>
      <w:r w:rsidR="008F4A1C" w:rsidRPr="0065414C">
        <w:rPr>
          <w:rFonts w:cs="Arial"/>
        </w:rPr>
        <w:t>ollection</w:t>
      </w:r>
      <w:bookmarkEnd w:id="125"/>
      <w:bookmarkEnd w:id="126"/>
    </w:p>
    <w:p w14:paraId="3AE2FDB4" w14:textId="77777777" w:rsidR="00C415F5" w:rsidRPr="0065414C" w:rsidRDefault="00C415F5" w:rsidP="003932A6">
      <w:pPr>
        <w:pStyle w:val="BodyText"/>
        <w:rPr>
          <w:rFonts w:cs="Arial"/>
        </w:rPr>
      </w:pPr>
    </w:p>
    <w:p w14:paraId="312BA60D" w14:textId="77777777" w:rsidR="00C415F5" w:rsidRPr="0065414C" w:rsidRDefault="00C415F5">
      <w:pPr>
        <w:rPr>
          <w:rFonts w:cs="Arial"/>
          <w:sz w:val="29"/>
        </w:rPr>
        <w:sectPr w:rsidR="00C415F5" w:rsidRPr="0065414C" w:rsidSect="008854BF">
          <w:headerReference w:type="default" r:id="rId85"/>
          <w:pgSz w:w="11910" w:h="16840"/>
          <w:pgMar w:top="1440" w:right="1440" w:bottom="1440" w:left="1440" w:header="0" w:footer="656" w:gutter="0"/>
          <w:cols w:space="720"/>
        </w:sectPr>
      </w:pPr>
    </w:p>
    <w:p w14:paraId="728E1B62" w14:textId="77777777" w:rsidR="00C415F5" w:rsidRPr="0065414C" w:rsidRDefault="00DC3AB3" w:rsidP="00B9422E">
      <w:pPr>
        <w:pStyle w:val="Heading2"/>
        <w:spacing w:before="0"/>
        <w:rPr>
          <w:rFonts w:cs="Arial"/>
        </w:rPr>
      </w:pPr>
      <w:bookmarkStart w:id="127" w:name="_Toc49953773"/>
      <w:bookmarkStart w:id="128" w:name="_Toc50532319"/>
      <w:r w:rsidRPr="0065414C">
        <w:rPr>
          <w:rFonts w:cs="Arial"/>
        </w:rPr>
        <w:t>8.1</w:t>
      </w:r>
      <w:r w:rsidR="00EF5D73" w:rsidRPr="0065414C">
        <w:rPr>
          <w:rFonts w:cs="Arial"/>
        </w:rPr>
        <w:t>.</w:t>
      </w:r>
      <w:r w:rsidRPr="0065414C">
        <w:rPr>
          <w:rFonts w:cs="Arial"/>
        </w:rPr>
        <w:t xml:space="preserve"> </w:t>
      </w:r>
      <w:r w:rsidR="00603DEC" w:rsidRPr="0065414C">
        <w:rPr>
          <w:rFonts w:cs="Arial"/>
        </w:rPr>
        <w:t>Overview</w:t>
      </w:r>
      <w:bookmarkEnd w:id="127"/>
      <w:bookmarkEnd w:id="128"/>
    </w:p>
    <w:p w14:paraId="50BD7690" w14:textId="77777777" w:rsidR="00B256FA" w:rsidRPr="0065414C" w:rsidRDefault="000E6ED4" w:rsidP="00515EF2">
      <w:pPr>
        <w:pStyle w:val="BodyText"/>
        <w:rPr>
          <w:rFonts w:cs="Arial"/>
        </w:rPr>
      </w:pPr>
      <w:r w:rsidRPr="0065414C">
        <w:rPr>
          <w:rFonts w:cs="Arial"/>
        </w:rPr>
        <w:t xml:space="preserve">The Independent Hospital Pricing Authority (IHPA) requires accurate activity, cost and expenditure data from states and territories on a timely basis in order to perform its core determinative functions including the national efficient price (NEP) and national efficient cost (NEC) Determinations. To determine the NEP and NEC, IHPA must first specify the classifications, counting rules, </w:t>
      </w:r>
      <w:proofErr w:type="gramStart"/>
      <w:r w:rsidRPr="0065414C">
        <w:rPr>
          <w:rFonts w:cs="Arial"/>
        </w:rPr>
        <w:t>data</w:t>
      </w:r>
      <w:proofErr w:type="gramEnd"/>
      <w:r w:rsidRPr="0065414C">
        <w:rPr>
          <w:rFonts w:cs="Arial"/>
        </w:rPr>
        <w:t xml:space="preserve"> and coding standards, as well as the methods and standards for allocating costs to hospital activity</w:t>
      </w:r>
      <w:r w:rsidR="00B256FA" w:rsidRPr="0065414C">
        <w:rPr>
          <w:rFonts w:cs="Arial"/>
        </w:rPr>
        <w:t xml:space="preserve">. </w:t>
      </w:r>
    </w:p>
    <w:p w14:paraId="0F7A44D0" w14:textId="77777777" w:rsidR="00B256FA" w:rsidRPr="0065414C" w:rsidRDefault="000E6ED4" w:rsidP="00515EF2">
      <w:pPr>
        <w:pStyle w:val="BodyText"/>
        <w:rPr>
          <w:rFonts w:cs="Arial"/>
        </w:rPr>
      </w:pPr>
      <w:r w:rsidRPr="0065414C">
        <w:rPr>
          <w:rFonts w:cs="Arial"/>
        </w:rPr>
        <w:t>Guided by the concept of ‘single provision, multiple use’, IHPA is committed to the principle of data rationalisation as outlined in the National Health Reform Agreement</w:t>
      </w:r>
      <w:r w:rsidR="00B256FA" w:rsidRPr="0065414C">
        <w:rPr>
          <w:rFonts w:cs="Arial"/>
        </w:rPr>
        <w:t>.</w:t>
      </w:r>
    </w:p>
    <w:p w14:paraId="60AE9283" w14:textId="77777777" w:rsidR="000E6ED4" w:rsidRPr="0065414C" w:rsidRDefault="000E6ED4" w:rsidP="00515EF2">
      <w:pPr>
        <w:pStyle w:val="BodyText"/>
        <w:rPr>
          <w:rFonts w:cs="Arial"/>
        </w:rPr>
      </w:pPr>
      <w:r w:rsidRPr="0065414C">
        <w:rPr>
          <w:rFonts w:cs="Arial"/>
        </w:rPr>
        <w:t>IHPA continues to advocate for the routine collection of the Individual Hospital Identifier (IHI) to provide greater transparency of the patient journey and to support implementation of new funding models. The limitations associated with the current lack of an IHI is addressed in greater detail in Chapter 11.</w:t>
      </w:r>
    </w:p>
    <w:p w14:paraId="24379936" w14:textId="77777777" w:rsidR="000E6ED4" w:rsidRPr="0065414C" w:rsidRDefault="000E6ED4" w:rsidP="00515EF2">
      <w:pPr>
        <w:pStyle w:val="BodyText"/>
        <w:rPr>
          <w:rFonts w:cs="Arial"/>
          <w:b/>
          <w:bCs/>
        </w:rPr>
      </w:pPr>
      <w:r w:rsidRPr="0065414C">
        <w:rPr>
          <w:rFonts w:cs="Arial"/>
        </w:rPr>
        <w:t xml:space="preserve">In the </w:t>
      </w:r>
      <w:r w:rsidRPr="0065414C">
        <w:rPr>
          <w:rFonts w:cs="Arial"/>
          <w:i/>
        </w:rPr>
        <w:t>Pricing Framework for Australian Public Hospital Services 2020–21,</w:t>
      </w:r>
      <w:r w:rsidRPr="0065414C">
        <w:rPr>
          <w:rFonts w:cs="Arial"/>
        </w:rPr>
        <w:t xml:space="preserve"> IHPA outlined its intention to make the National Benchmarking Portal (NBP) publicly available. IHPA is continuing to work with jurisdictions and other stakeholders to ensure that a publicly available NBP works to enhance policy decisions and improve patient outcomes, while offering appropriate privacy protections. IHPA will make the NBP public in 2021.</w:t>
      </w:r>
    </w:p>
    <w:p w14:paraId="03FD7C7F" w14:textId="77777777" w:rsidR="00C415F5" w:rsidRPr="0065414C" w:rsidRDefault="00DC3AB3" w:rsidP="00B256FA">
      <w:pPr>
        <w:pStyle w:val="Heading2"/>
        <w:rPr>
          <w:rFonts w:cs="Arial"/>
        </w:rPr>
      </w:pPr>
      <w:bookmarkStart w:id="129" w:name="_Toc49953774"/>
      <w:bookmarkStart w:id="130" w:name="_Toc50532320"/>
      <w:r w:rsidRPr="0065414C">
        <w:rPr>
          <w:rFonts w:cs="Arial"/>
          <w:spacing w:val="-1"/>
        </w:rPr>
        <w:t>8.2</w:t>
      </w:r>
      <w:r w:rsidR="00EF5D73" w:rsidRPr="0065414C">
        <w:rPr>
          <w:rFonts w:cs="Arial"/>
          <w:spacing w:val="-1"/>
        </w:rPr>
        <w:t>.</w:t>
      </w:r>
      <w:r w:rsidRPr="0065414C">
        <w:rPr>
          <w:rFonts w:cs="Arial"/>
          <w:spacing w:val="-1"/>
        </w:rPr>
        <w:t xml:space="preserve"> </w:t>
      </w:r>
      <w:r w:rsidR="007D158C" w:rsidRPr="0065414C">
        <w:rPr>
          <w:rFonts w:cs="Arial"/>
        </w:rPr>
        <w:t>Phasing out aggregate non-admitted data reporting</w:t>
      </w:r>
      <w:bookmarkEnd w:id="129"/>
      <w:bookmarkEnd w:id="130"/>
    </w:p>
    <w:p w14:paraId="2E9DB961" w14:textId="77777777" w:rsidR="007D158C" w:rsidRPr="0065414C" w:rsidRDefault="00B50359" w:rsidP="007D158C">
      <w:pPr>
        <w:pStyle w:val="BodyText"/>
        <w:rPr>
          <w:rFonts w:cs="Arial"/>
        </w:rPr>
      </w:pPr>
      <w:r w:rsidRPr="0065414C">
        <w:rPr>
          <w:rFonts w:cs="Arial"/>
        </w:rPr>
        <w:t>States and territories are required to submit public hospital activity data at the patient level wherever possible on a quarterly basis. Only patient level data is used by IHPA to determine the price weights in the NEP Determination</w:t>
      </w:r>
      <w:r w:rsidR="007D158C" w:rsidRPr="0065414C">
        <w:rPr>
          <w:rFonts w:cs="Arial"/>
        </w:rPr>
        <w:t xml:space="preserve">. </w:t>
      </w:r>
    </w:p>
    <w:p w14:paraId="73DD7C47" w14:textId="77777777" w:rsidR="007D158C" w:rsidRPr="0065414C" w:rsidRDefault="00B50359" w:rsidP="007D158C">
      <w:pPr>
        <w:pStyle w:val="BodyText"/>
        <w:rPr>
          <w:rFonts w:cs="Arial"/>
        </w:rPr>
      </w:pPr>
      <w:r w:rsidRPr="0065414C">
        <w:rPr>
          <w:rFonts w:cs="Arial"/>
        </w:rPr>
        <w:t xml:space="preserve">The Administrator of the National Health Funding Pool (the Administrator) has advised </w:t>
      </w:r>
      <w:r w:rsidRPr="0065414C">
        <w:rPr>
          <w:rFonts w:cs="Arial"/>
        </w:rPr>
        <w:t>its intention to phase out aggregate non-admitted activity reporting for funding and reconciliation purposes from 1 July 2021. IHPA supports the Administrator’s proposal</w:t>
      </w:r>
      <w:r w:rsidR="007D158C" w:rsidRPr="0065414C">
        <w:rPr>
          <w:rFonts w:cs="Arial"/>
        </w:rPr>
        <w:t>.</w:t>
      </w:r>
    </w:p>
    <w:p w14:paraId="12F598EC" w14:textId="77777777" w:rsidR="007D158C" w:rsidRPr="0065414C" w:rsidRDefault="00B50359" w:rsidP="007D158C">
      <w:pPr>
        <w:pStyle w:val="BodyText"/>
        <w:rPr>
          <w:rFonts w:cs="Arial"/>
        </w:rPr>
      </w:pPr>
      <w:r w:rsidRPr="0065414C">
        <w:rPr>
          <w:rFonts w:cs="Arial"/>
        </w:rPr>
        <w:t>The move towards patient level data is a crucial step in improving data reliability and embedding the reporting arrangements required for the new patient-centred Australian Non-Admitted Care Classification</w:t>
      </w:r>
      <w:r w:rsidR="007D158C" w:rsidRPr="0065414C">
        <w:rPr>
          <w:rFonts w:cs="Arial"/>
        </w:rPr>
        <w:t>.</w:t>
      </w:r>
    </w:p>
    <w:p w14:paraId="72F84337" w14:textId="77777777" w:rsidR="00B50359" w:rsidRPr="0065414C" w:rsidRDefault="00B50359" w:rsidP="007D158C">
      <w:pPr>
        <w:pStyle w:val="BodyText"/>
        <w:rPr>
          <w:rFonts w:cs="Arial"/>
        </w:rPr>
      </w:pPr>
      <w:r w:rsidRPr="0065414C">
        <w:rPr>
          <w:rFonts w:cs="Arial"/>
        </w:rPr>
        <w:t>While states and territories have increased the reporting of patient level non-admitted service events since 2012–13, this data has not accounted for all services delivered by states and territories. Previously, aggregate non-admitted data reporting by states and territories has been allowed to ensure that all activity is captured.</w:t>
      </w:r>
    </w:p>
    <w:p w14:paraId="393778A3" w14:textId="77777777" w:rsidR="00C415F5" w:rsidRDefault="00B50359" w:rsidP="007D158C">
      <w:pPr>
        <w:pStyle w:val="BodyText"/>
        <w:ind w:right="0"/>
        <w:rPr>
          <w:rFonts w:cs="Arial"/>
        </w:rPr>
      </w:pPr>
      <w:r w:rsidRPr="0065414C">
        <w:rPr>
          <w:rFonts w:cs="Arial"/>
        </w:rPr>
        <w:t xml:space="preserve">IHPA is proposing to establish a national minimum data set for non-admitted patient level data from 2021–22 for </w:t>
      </w:r>
      <w:proofErr w:type="gramStart"/>
      <w:r w:rsidRPr="0065414C">
        <w:rPr>
          <w:rFonts w:cs="Arial"/>
        </w:rPr>
        <w:t>activity based</w:t>
      </w:r>
      <w:proofErr w:type="gramEnd"/>
      <w:r w:rsidRPr="0065414C">
        <w:rPr>
          <w:rFonts w:cs="Arial"/>
        </w:rPr>
        <w:t xml:space="preserve"> funding reporting</w:t>
      </w:r>
      <w:r w:rsidR="007D158C" w:rsidRPr="0065414C">
        <w:rPr>
          <w:rFonts w:cs="Arial"/>
        </w:rPr>
        <w:t>.</w:t>
      </w:r>
      <w:r w:rsidR="008B279A" w:rsidRPr="0065414C">
        <w:rPr>
          <w:rFonts w:cs="Arial"/>
        </w:rPr>
        <w:t xml:space="preserve"> </w:t>
      </w:r>
    </w:p>
    <w:p w14:paraId="1A8F55E3" w14:textId="77777777" w:rsidR="00C415F5" w:rsidRPr="0065414C" w:rsidRDefault="00C415F5">
      <w:pPr>
        <w:spacing w:line="256" w:lineRule="auto"/>
        <w:rPr>
          <w:rFonts w:cs="Arial"/>
        </w:rPr>
        <w:sectPr w:rsidR="00C415F5" w:rsidRPr="0065414C" w:rsidSect="00CB00F0">
          <w:type w:val="continuous"/>
          <w:pgSz w:w="11910" w:h="16840"/>
          <w:pgMar w:top="1440" w:right="1440" w:bottom="1440" w:left="1440" w:header="720" w:footer="720" w:gutter="0"/>
          <w:cols w:num="2" w:space="720"/>
        </w:sectPr>
      </w:pPr>
    </w:p>
    <w:p w14:paraId="07DEA229" w14:textId="77777777" w:rsidR="00592035" w:rsidRPr="005B7291" w:rsidRDefault="00592035" w:rsidP="005B7291">
      <w:pPr>
        <w:pStyle w:val="SectionNumber"/>
        <w:rPr>
          <w:color w:val="003E2D" w:themeColor="text2"/>
        </w:rPr>
      </w:pPr>
      <w:bookmarkStart w:id="131" w:name="_9_Alternate_funding"/>
      <w:bookmarkStart w:id="132" w:name="_Toc49953775"/>
      <w:bookmarkEnd w:id="131"/>
      <w:r w:rsidRPr="005B7291">
        <w:rPr>
          <w:color w:val="003E2D" w:themeColor="text2"/>
        </w:rPr>
        <w:lastRenderedPageBreak/>
        <w:drawing>
          <wp:anchor distT="0" distB="0" distL="114300" distR="114300" simplePos="0" relativeHeight="251641856" behindDoc="1" locked="0" layoutInCell="1" allowOverlap="1" wp14:anchorId="40FB6DAF" wp14:editId="08AB9916">
            <wp:simplePos x="0" y="0"/>
            <wp:positionH relativeFrom="margin">
              <wp:posOffset>-914400</wp:posOffset>
            </wp:positionH>
            <wp:positionV relativeFrom="page">
              <wp:posOffset>954157</wp:posOffset>
            </wp:positionV>
            <wp:extent cx="5462267" cy="3577464"/>
            <wp:effectExtent l="0" t="0" r="0" b="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462267" cy="3577464"/>
                    </a:xfrm>
                    <a:prstGeom prst="rect">
                      <a:avLst/>
                    </a:prstGeom>
                    <a:noFill/>
                    <a:ln>
                      <a:noFill/>
                    </a:ln>
                  </pic:spPr>
                </pic:pic>
              </a:graphicData>
            </a:graphic>
          </wp:anchor>
        </w:drawing>
      </w:r>
      <w:r w:rsidRPr="005B7291">
        <w:rPr>
          <w:color w:val="003E2D" w:themeColor="text2"/>
        </w:rPr>
        <w:t>9</w:t>
      </w:r>
      <w:bookmarkEnd w:id="132"/>
    </w:p>
    <w:p w14:paraId="02FFB752" w14:textId="77777777" w:rsidR="00592035" w:rsidRPr="0065414C" w:rsidRDefault="00411C6A" w:rsidP="005B7291">
      <w:pPr>
        <w:pStyle w:val="Sectionheader"/>
        <w:ind w:right="3785"/>
        <w:sectPr w:rsidR="00592035" w:rsidRPr="0065414C" w:rsidSect="008613E1">
          <w:headerReference w:type="default" r:id="rId86"/>
          <w:pgSz w:w="11910" w:h="16840"/>
          <w:pgMar w:top="3970" w:right="1440" w:bottom="1440" w:left="1440" w:header="0" w:footer="656" w:gutter="0"/>
          <w:cols w:space="720"/>
        </w:sectPr>
      </w:pPr>
      <w:bookmarkStart w:id="133" w:name="_Toc49953776"/>
      <w:bookmarkStart w:id="134" w:name="_Toc50532321"/>
      <w:r w:rsidRPr="0065414C">
        <w:t xml:space="preserve">Treatment of other Commonwealth </w:t>
      </w:r>
      <w:r w:rsidR="00B9422E" w:rsidRPr="0065414C">
        <w:t>p</w:t>
      </w:r>
      <w:r w:rsidRPr="0065414C">
        <w:t>rograms</w:t>
      </w:r>
      <w:bookmarkEnd w:id="133"/>
      <w:bookmarkEnd w:id="134"/>
    </w:p>
    <w:p w14:paraId="27286FA6" w14:textId="77777777" w:rsidR="00C415F5" w:rsidRPr="0065414C" w:rsidRDefault="001445EA" w:rsidP="009638C2">
      <w:pPr>
        <w:pStyle w:val="Heading1"/>
        <w:ind w:left="1418" w:hanging="1191"/>
        <w:rPr>
          <w:rFonts w:cs="Arial"/>
        </w:rPr>
      </w:pPr>
      <w:bookmarkStart w:id="135" w:name="_Toc45809626"/>
      <w:bookmarkStart w:id="136" w:name="_Toc49953777"/>
      <w:r w:rsidRPr="0065414C">
        <w:rPr>
          <w:rFonts w:cs="Arial"/>
          <w:noProof/>
          <w:color w:val="FFFFFF" w:themeColor="background1"/>
          <w:lang w:eastAsia="en-AU" w:bidi="ar-SA"/>
        </w:rPr>
        <w:lastRenderedPageBreak/>
        <w:drawing>
          <wp:anchor distT="0" distB="0" distL="114300" distR="114300" simplePos="0" relativeHeight="251632640" behindDoc="1" locked="0" layoutInCell="1" allowOverlap="1" wp14:anchorId="3A1C918C" wp14:editId="7508764E">
            <wp:simplePos x="0" y="0"/>
            <wp:positionH relativeFrom="column">
              <wp:posOffset>-914400</wp:posOffset>
            </wp:positionH>
            <wp:positionV relativeFrom="page">
              <wp:posOffset>652007</wp:posOffset>
            </wp:positionV>
            <wp:extent cx="1685418" cy="946146"/>
            <wp:effectExtent l="0" t="0" r="0" b="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685418" cy="946146"/>
                    </a:xfrm>
                    <a:prstGeom prst="rect">
                      <a:avLst/>
                    </a:prstGeom>
                    <a:noFill/>
                    <a:ln>
                      <a:noFill/>
                    </a:ln>
                  </pic:spPr>
                </pic:pic>
              </a:graphicData>
            </a:graphic>
          </wp:anchor>
        </w:drawing>
      </w:r>
      <w:r w:rsidR="007004F3" w:rsidRPr="0065414C">
        <w:rPr>
          <w:rFonts w:cs="Arial"/>
        </w:rPr>
        <w:t>9</w:t>
      </w:r>
      <w:r w:rsidR="007004F3" w:rsidRPr="0065414C">
        <w:rPr>
          <w:rFonts w:cs="Arial"/>
        </w:rPr>
        <w:tab/>
      </w:r>
      <w:r w:rsidRPr="0065414C">
        <w:rPr>
          <w:rFonts w:cs="Arial"/>
        </w:rPr>
        <w:tab/>
      </w:r>
      <w:r w:rsidR="009638C2" w:rsidRPr="0065414C">
        <w:rPr>
          <w:rFonts w:cs="Arial"/>
        </w:rPr>
        <w:t xml:space="preserve">Treatment of other Commonwealth </w:t>
      </w:r>
      <w:r w:rsidR="00B9422E" w:rsidRPr="0065414C">
        <w:rPr>
          <w:rFonts w:cs="Arial"/>
        </w:rPr>
        <w:t>p</w:t>
      </w:r>
      <w:r w:rsidR="009638C2" w:rsidRPr="0065414C">
        <w:rPr>
          <w:rFonts w:cs="Arial"/>
        </w:rPr>
        <w:t>rograms</w:t>
      </w:r>
      <w:bookmarkEnd w:id="135"/>
      <w:bookmarkEnd w:id="136"/>
    </w:p>
    <w:p w14:paraId="55500940" w14:textId="77777777" w:rsidR="00C415F5" w:rsidRPr="0065414C" w:rsidRDefault="00C415F5" w:rsidP="003932A6">
      <w:pPr>
        <w:pStyle w:val="BodyText"/>
        <w:rPr>
          <w:rFonts w:cs="Arial"/>
        </w:rPr>
      </w:pPr>
    </w:p>
    <w:p w14:paraId="7A7FB3D7" w14:textId="77777777" w:rsidR="00C415F5" w:rsidRPr="0065414C" w:rsidRDefault="00C415F5">
      <w:pPr>
        <w:rPr>
          <w:rFonts w:cs="Arial"/>
          <w:sz w:val="29"/>
        </w:rPr>
        <w:sectPr w:rsidR="00C415F5" w:rsidRPr="0065414C" w:rsidSect="00A2241A">
          <w:headerReference w:type="default" r:id="rId87"/>
          <w:pgSz w:w="11910" w:h="16840"/>
          <w:pgMar w:top="1440" w:right="1440" w:bottom="1440" w:left="1440" w:header="0" w:footer="656" w:gutter="0"/>
          <w:cols w:space="720"/>
        </w:sectPr>
      </w:pPr>
    </w:p>
    <w:p w14:paraId="102325E9" w14:textId="77777777" w:rsidR="00C415F5" w:rsidRPr="0065414C" w:rsidRDefault="007004F3" w:rsidP="00B9422E">
      <w:pPr>
        <w:pStyle w:val="Heading2"/>
        <w:spacing w:before="0"/>
        <w:rPr>
          <w:rFonts w:cs="Arial"/>
        </w:rPr>
      </w:pPr>
      <w:bookmarkStart w:id="137" w:name="_Toc49953778"/>
      <w:bookmarkStart w:id="138" w:name="_Toc50532322"/>
      <w:r w:rsidRPr="0065414C">
        <w:rPr>
          <w:rFonts w:cs="Arial"/>
        </w:rPr>
        <w:t>9.1</w:t>
      </w:r>
      <w:r w:rsidR="00EF5D73" w:rsidRPr="0065414C">
        <w:rPr>
          <w:rFonts w:cs="Arial"/>
        </w:rPr>
        <w:t>.</w:t>
      </w:r>
      <w:r w:rsidRPr="0065414C">
        <w:rPr>
          <w:rFonts w:cs="Arial"/>
        </w:rPr>
        <w:t xml:space="preserve"> </w:t>
      </w:r>
      <w:r w:rsidR="00603DEC" w:rsidRPr="0065414C">
        <w:rPr>
          <w:rFonts w:cs="Arial"/>
        </w:rPr>
        <w:t>Overview</w:t>
      </w:r>
      <w:bookmarkEnd w:id="137"/>
      <w:bookmarkEnd w:id="138"/>
    </w:p>
    <w:p w14:paraId="2F721737" w14:textId="77777777" w:rsidR="00E65CE7" w:rsidRPr="0065414C" w:rsidRDefault="00B52AD1" w:rsidP="00E65CE7">
      <w:pPr>
        <w:pStyle w:val="BodyText"/>
        <w:rPr>
          <w:rFonts w:cs="Arial"/>
        </w:rPr>
      </w:pPr>
      <w:r w:rsidRPr="0065414C">
        <w:rPr>
          <w:rFonts w:cs="Arial"/>
        </w:rPr>
        <w:t>To prevent a public hospital service being funded twice, clause A9 of the Addendum to the National Health Reform Agreement (NHRA) requires the Independent Hospital Pricing Authority (IHPA) to discount Commonwealth funding provided to public hospitals through programs other than the NHRA. The two major programs are blood products (through the National Blood Agreement) and Commonwealth pharmaceutical programs including</w:t>
      </w:r>
      <w:r w:rsidR="00E65CE7" w:rsidRPr="0065414C">
        <w:rPr>
          <w:rFonts w:cs="Arial"/>
        </w:rPr>
        <w:t>:</w:t>
      </w:r>
    </w:p>
    <w:p w14:paraId="46F15BF7" w14:textId="77777777" w:rsidR="00E65CE7" w:rsidRPr="0065414C" w:rsidRDefault="00B50359" w:rsidP="00E65CE7">
      <w:pPr>
        <w:pStyle w:val="ListParagraph"/>
        <w:rPr>
          <w:rFonts w:cs="Arial"/>
        </w:rPr>
      </w:pPr>
      <w:r w:rsidRPr="0065414C">
        <w:rPr>
          <w:rFonts w:cs="Arial"/>
        </w:rPr>
        <w:t>Highly Specialised Drugs (Section 100 funding)</w:t>
      </w:r>
    </w:p>
    <w:p w14:paraId="3461FB68" w14:textId="77777777" w:rsidR="00E65CE7" w:rsidRPr="0065414C" w:rsidRDefault="00E65CE7" w:rsidP="00E65CE7">
      <w:pPr>
        <w:pStyle w:val="ListParagraph"/>
        <w:rPr>
          <w:rFonts w:cs="Arial"/>
        </w:rPr>
      </w:pPr>
      <w:r w:rsidRPr="0065414C">
        <w:rPr>
          <w:rFonts w:cs="Arial"/>
        </w:rPr>
        <w:t>Pha</w:t>
      </w:r>
      <w:r w:rsidR="00B50359" w:rsidRPr="0065414C">
        <w:rPr>
          <w:rFonts w:cs="Arial"/>
        </w:rPr>
        <w:t xml:space="preserve">rmaceutical Reform Agreements – </w:t>
      </w:r>
      <w:r w:rsidRPr="0065414C">
        <w:rPr>
          <w:rFonts w:cs="Arial"/>
        </w:rPr>
        <w:t xml:space="preserve">Pharmaceutical Benefits Scheme Access Program </w:t>
      </w:r>
    </w:p>
    <w:p w14:paraId="2DF6951B" w14:textId="77777777" w:rsidR="00E65CE7" w:rsidRPr="0065414C" w:rsidRDefault="00E65CE7" w:rsidP="00E65CE7">
      <w:pPr>
        <w:pStyle w:val="ListParagraph"/>
        <w:rPr>
          <w:rFonts w:cs="Arial"/>
        </w:rPr>
      </w:pPr>
      <w:r w:rsidRPr="0065414C">
        <w:rPr>
          <w:rFonts w:cs="Arial"/>
        </w:rPr>
        <w:t>Pha</w:t>
      </w:r>
      <w:r w:rsidR="00B50359" w:rsidRPr="0065414C">
        <w:rPr>
          <w:rFonts w:cs="Arial"/>
        </w:rPr>
        <w:t xml:space="preserve">rmaceutical Reform Agreements – </w:t>
      </w:r>
      <w:r w:rsidRPr="0065414C">
        <w:rPr>
          <w:rFonts w:cs="Arial"/>
        </w:rPr>
        <w:t>Efficient Funding of Chemotherapy (Section 100 funding).</w:t>
      </w:r>
    </w:p>
    <w:p w14:paraId="67C2FBDB" w14:textId="77777777" w:rsidR="00E65CE7" w:rsidRPr="0065414C" w:rsidRDefault="00B50359" w:rsidP="00E65CE7">
      <w:pPr>
        <w:pStyle w:val="BodyText"/>
        <w:rPr>
          <w:rFonts w:cs="Arial"/>
        </w:rPr>
      </w:pPr>
      <w:r w:rsidRPr="0065414C">
        <w:rPr>
          <w:rFonts w:cs="Arial"/>
        </w:rPr>
        <w:t>The Australian Hospital Patient Costing Standards Version 4.0 includes a costing guideline related to the consumption of blood products. The objective of Costing Guideline 6 Blood Products is to guide costing practitioners through the steps required to ensure that all blood product consumption and expenses, which contribute to the production of final blood products, are included in the patient costing process</w:t>
      </w:r>
      <w:r w:rsidR="00E65CE7" w:rsidRPr="0065414C">
        <w:rPr>
          <w:rFonts w:cs="Arial"/>
        </w:rPr>
        <w:t>.</w:t>
      </w:r>
    </w:p>
    <w:p w14:paraId="3E44F29A" w14:textId="77777777" w:rsidR="00E65CE7" w:rsidRPr="0065414C" w:rsidRDefault="00B50359" w:rsidP="00E65CE7">
      <w:pPr>
        <w:pStyle w:val="BodyText"/>
        <w:rPr>
          <w:rFonts w:cs="Arial"/>
        </w:rPr>
      </w:pPr>
      <w:r w:rsidRPr="0065414C">
        <w:rPr>
          <w:rFonts w:cs="Arial"/>
        </w:rPr>
        <w:t>For 2021–22, IHPA proposes no changes be made to the treatment of other Commonwealth programs</w:t>
      </w:r>
      <w:r w:rsidR="00E65CE7" w:rsidRPr="0065414C">
        <w:rPr>
          <w:rFonts w:cs="Arial"/>
        </w:rPr>
        <w:t>.</w:t>
      </w:r>
    </w:p>
    <w:p w14:paraId="761BC2F4" w14:textId="77777777" w:rsidR="00C415F5" w:rsidRDefault="00C415F5">
      <w:pPr>
        <w:spacing w:line="256" w:lineRule="auto"/>
        <w:rPr>
          <w:rFonts w:cs="Arial"/>
        </w:rPr>
      </w:pPr>
    </w:p>
    <w:p w14:paraId="385F8329" w14:textId="77777777" w:rsidR="00C415F5" w:rsidRPr="0065414C" w:rsidRDefault="00C415F5">
      <w:pPr>
        <w:spacing w:line="256" w:lineRule="auto"/>
        <w:rPr>
          <w:rFonts w:cs="Arial"/>
        </w:rPr>
        <w:sectPr w:rsidR="00C415F5" w:rsidRPr="0065414C" w:rsidSect="003821A2">
          <w:headerReference w:type="default" r:id="rId88"/>
          <w:type w:val="continuous"/>
          <w:pgSz w:w="11910" w:h="16840"/>
          <w:pgMar w:top="1440" w:right="1440" w:bottom="1440" w:left="1440" w:header="0" w:footer="656" w:gutter="0"/>
          <w:cols w:num="2" w:space="340"/>
        </w:sectPr>
      </w:pPr>
    </w:p>
    <w:p w14:paraId="4337815A" w14:textId="77777777" w:rsidR="00592035" w:rsidRPr="0065414C" w:rsidRDefault="00592035" w:rsidP="005B7291">
      <w:pPr>
        <w:pStyle w:val="SectionNumber"/>
      </w:pPr>
      <w:bookmarkStart w:id="139" w:name="_10_Pricing_and"/>
      <w:bookmarkStart w:id="140" w:name="_Toc49953779"/>
      <w:bookmarkEnd w:id="139"/>
      <w:r w:rsidRPr="0065414C">
        <w:lastRenderedPageBreak/>
        <w:drawing>
          <wp:anchor distT="0" distB="0" distL="114300" distR="114300" simplePos="0" relativeHeight="251631616" behindDoc="1" locked="0" layoutInCell="1" allowOverlap="1" wp14:anchorId="60AF955B" wp14:editId="4B01AA2F">
            <wp:simplePos x="0" y="0"/>
            <wp:positionH relativeFrom="margin">
              <wp:posOffset>-914400</wp:posOffset>
            </wp:positionH>
            <wp:positionV relativeFrom="page">
              <wp:posOffset>954157</wp:posOffset>
            </wp:positionV>
            <wp:extent cx="5462267" cy="3577464"/>
            <wp:effectExtent l="0" t="0" r="0"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5462267" cy="3577464"/>
                    </a:xfrm>
                    <a:prstGeom prst="rect">
                      <a:avLst/>
                    </a:prstGeom>
                    <a:noFill/>
                    <a:ln>
                      <a:noFill/>
                    </a:ln>
                  </pic:spPr>
                </pic:pic>
              </a:graphicData>
            </a:graphic>
          </wp:anchor>
        </w:drawing>
      </w:r>
      <w:r w:rsidRPr="0065414C">
        <w:t>10</w:t>
      </w:r>
      <w:bookmarkEnd w:id="140"/>
    </w:p>
    <w:p w14:paraId="436A4225" w14:textId="77777777" w:rsidR="00592035" w:rsidRPr="0065414C" w:rsidRDefault="00DF4954" w:rsidP="005B7291">
      <w:pPr>
        <w:pStyle w:val="Sectionheader"/>
        <w:ind w:right="3076"/>
        <w:sectPr w:rsidR="00592035" w:rsidRPr="0065414C" w:rsidSect="008613E1">
          <w:headerReference w:type="default" r:id="rId89"/>
          <w:pgSz w:w="11910" w:h="16840"/>
          <w:pgMar w:top="3970" w:right="1440" w:bottom="1440" w:left="1440" w:header="0" w:footer="656" w:gutter="0"/>
          <w:cols w:space="720"/>
        </w:sectPr>
      </w:pPr>
      <w:bookmarkStart w:id="141" w:name="_Toc49953780"/>
      <w:bookmarkStart w:id="142" w:name="_Toc50532323"/>
      <w:r w:rsidRPr="0065414C">
        <w:t xml:space="preserve">Setting the </w:t>
      </w:r>
      <w:r w:rsidR="00B50359" w:rsidRPr="0065414C">
        <w:t>n</w:t>
      </w:r>
      <w:r w:rsidRPr="0065414C">
        <w:t xml:space="preserve">ational </w:t>
      </w:r>
      <w:r w:rsidR="00B50359" w:rsidRPr="0065414C">
        <w:t>e</w:t>
      </w:r>
      <w:r w:rsidRPr="0065414C">
        <w:t xml:space="preserve">fficient </w:t>
      </w:r>
      <w:r w:rsidR="00B50359" w:rsidRPr="0065414C">
        <w:t>c</w:t>
      </w:r>
      <w:r w:rsidRPr="0065414C">
        <w:t>ost</w:t>
      </w:r>
      <w:bookmarkEnd w:id="141"/>
      <w:bookmarkEnd w:id="142"/>
    </w:p>
    <w:p w14:paraId="5E786739" w14:textId="77777777" w:rsidR="00C415F5" w:rsidRPr="0065414C" w:rsidRDefault="007D7009" w:rsidP="005B7291">
      <w:pPr>
        <w:pStyle w:val="Heading1"/>
        <w:ind w:left="1418" w:right="1233" w:hanging="1361"/>
        <w:rPr>
          <w:rFonts w:cs="Arial"/>
        </w:rPr>
      </w:pPr>
      <w:bookmarkStart w:id="143" w:name="_Toc45809630"/>
      <w:bookmarkStart w:id="144" w:name="_Toc49953781"/>
      <w:r w:rsidRPr="0065414C">
        <w:rPr>
          <w:rFonts w:cs="Arial"/>
          <w:noProof/>
          <w:color w:val="FFFFFF" w:themeColor="background1"/>
          <w:lang w:eastAsia="en-AU" w:bidi="ar-SA"/>
        </w:rPr>
        <w:lastRenderedPageBreak/>
        <w:drawing>
          <wp:anchor distT="0" distB="0" distL="114300" distR="114300" simplePos="0" relativeHeight="251649024" behindDoc="1" locked="0" layoutInCell="1" allowOverlap="1" wp14:anchorId="19EABD05" wp14:editId="5D622A87">
            <wp:simplePos x="0" y="0"/>
            <wp:positionH relativeFrom="column">
              <wp:posOffset>-914400</wp:posOffset>
            </wp:positionH>
            <wp:positionV relativeFrom="page">
              <wp:posOffset>667054</wp:posOffset>
            </wp:positionV>
            <wp:extent cx="1685417" cy="946146"/>
            <wp:effectExtent l="0" t="0" r="0" b="0"/>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685417" cy="946146"/>
                    </a:xfrm>
                    <a:prstGeom prst="rect">
                      <a:avLst/>
                    </a:prstGeom>
                    <a:noFill/>
                    <a:ln>
                      <a:noFill/>
                    </a:ln>
                  </pic:spPr>
                </pic:pic>
              </a:graphicData>
            </a:graphic>
          </wp:anchor>
        </w:drawing>
      </w:r>
      <w:r w:rsidR="005C05C7" w:rsidRPr="0065414C">
        <w:rPr>
          <w:rFonts w:cs="Arial"/>
          <w:color w:val="FFFFFF" w:themeColor="background1"/>
        </w:rPr>
        <w:t>10</w:t>
      </w:r>
      <w:r w:rsidR="005C05C7" w:rsidRPr="0065414C">
        <w:rPr>
          <w:rFonts w:cs="Arial"/>
        </w:rPr>
        <w:tab/>
      </w:r>
      <w:r w:rsidRPr="0065414C">
        <w:rPr>
          <w:rFonts w:cs="Arial"/>
        </w:rPr>
        <w:tab/>
      </w:r>
      <w:r w:rsidR="00DF4954" w:rsidRPr="0065414C">
        <w:rPr>
          <w:rFonts w:cs="Arial"/>
        </w:rPr>
        <w:t xml:space="preserve">Setting the </w:t>
      </w:r>
      <w:r w:rsidR="00B50359" w:rsidRPr="0065414C">
        <w:rPr>
          <w:rFonts w:cs="Arial"/>
        </w:rPr>
        <w:t>n</w:t>
      </w:r>
      <w:r w:rsidR="00DF4954" w:rsidRPr="0065414C">
        <w:rPr>
          <w:rFonts w:cs="Arial"/>
        </w:rPr>
        <w:t xml:space="preserve">ational </w:t>
      </w:r>
      <w:r w:rsidR="00B50359" w:rsidRPr="0065414C">
        <w:rPr>
          <w:rFonts w:cs="Arial"/>
        </w:rPr>
        <w:t>e</w:t>
      </w:r>
      <w:r w:rsidR="00DF4954" w:rsidRPr="0065414C">
        <w:rPr>
          <w:rFonts w:cs="Arial"/>
        </w:rPr>
        <w:t xml:space="preserve">fficient </w:t>
      </w:r>
      <w:r w:rsidR="00B50359" w:rsidRPr="0065414C">
        <w:rPr>
          <w:rFonts w:cs="Arial"/>
        </w:rPr>
        <w:t>c</w:t>
      </w:r>
      <w:r w:rsidR="00DF4954" w:rsidRPr="0065414C">
        <w:rPr>
          <w:rFonts w:cs="Arial"/>
        </w:rPr>
        <w:t>ost</w:t>
      </w:r>
      <w:bookmarkEnd w:id="143"/>
      <w:bookmarkEnd w:id="144"/>
    </w:p>
    <w:p w14:paraId="4C1CD11E" w14:textId="77777777" w:rsidR="00C415F5" w:rsidRPr="0065414C" w:rsidRDefault="00C415F5" w:rsidP="003932A6">
      <w:pPr>
        <w:pStyle w:val="BodyText"/>
        <w:rPr>
          <w:rFonts w:cs="Arial"/>
        </w:rPr>
      </w:pPr>
    </w:p>
    <w:p w14:paraId="088F5CD2" w14:textId="77777777" w:rsidR="00C415F5" w:rsidRPr="0065414C" w:rsidRDefault="00C415F5">
      <w:pPr>
        <w:rPr>
          <w:rFonts w:cs="Arial"/>
          <w:sz w:val="29"/>
        </w:rPr>
        <w:sectPr w:rsidR="00C415F5" w:rsidRPr="0065414C" w:rsidSect="00483549">
          <w:headerReference w:type="default" r:id="rId90"/>
          <w:pgSz w:w="11910" w:h="16840"/>
          <w:pgMar w:top="1440" w:right="1440" w:bottom="1440" w:left="1440" w:header="0" w:footer="656" w:gutter="0"/>
          <w:cols w:space="720"/>
        </w:sectPr>
      </w:pPr>
    </w:p>
    <w:p w14:paraId="7EE88D7F" w14:textId="77777777" w:rsidR="00C415F5" w:rsidRPr="0065414C" w:rsidRDefault="00466DF0" w:rsidP="00B9422E">
      <w:pPr>
        <w:pStyle w:val="Heading2"/>
        <w:spacing w:before="0"/>
        <w:rPr>
          <w:rFonts w:cs="Arial"/>
        </w:rPr>
      </w:pPr>
      <w:bookmarkStart w:id="145" w:name="_Toc49953782"/>
      <w:bookmarkStart w:id="146" w:name="_Toc50532324"/>
      <w:r w:rsidRPr="0065414C">
        <w:rPr>
          <w:rFonts w:cs="Arial"/>
        </w:rPr>
        <w:t>10.1</w:t>
      </w:r>
      <w:r w:rsidR="00EF5D73" w:rsidRPr="0065414C">
        <w:rPr>
          <w:rFonts w:cs="Arial"/>
        </w:rPr>
        <w:t>.</w:t>
      </w:r>
      <w:r w:rsidRPr="0065414C">
        <w:rPr>
          <w:rFonts w:cs="Arial"/>
        </w:rPr>
        <w:t xml:space="preserve"> </w:t>
      </w:r>
      <w:r w:rsidR="00603DEC" w:rsidRPr="0065414C">
        <w:rPr>
          <w:rFonts w:cs="Arial"/>
        </w:rPr>
        <w:t>Overview</w:t>
      </w:r>
      <w:bookmarkEnd w:id="145"/>
      <w:bookmarkEnd w:id="146"/>
    </w:p>
    <w:p w14:paraId="3A893D98" w14:textId="77777777" w:rsidR="00DF4954" w:rsidRPr="0065414C" w:rsidRDefault="00B50359" w:rsidP="00DF4954">
      <w:pPr>
        <w:pStyle w:val="BodyText"/>
        <w:rPr>
          <w:rFonts w:cs="Arial"/>
        </w:rPr>
      </w:pPr>
      <w:r w:rsidRPr="0065414C">
        <w:rPr>
          <w:rFonts w:cs="Arial"/>
        </w:rPr>
        <w:t xml:space="preserve">The Independent Hospital Pricing Authority (IHPA) developed the national efficient cost (NEC) for services that are not suitable for </w:t>
      </w:r>
      <w:proofErr w:type="gramStart"/>
      <w:r w:rsidRPr="0065414C">
        <w:rPr>
          <w:rFonts w:cs="Arial"/>
        </w:rPr>
        <w:t>activity based</w:t>
      </w:r>
      <w:proofErr w:type="gramEnd"/>
      <w:r w:rsidRPr="0065414C">
        <w:rPr>
          <w:rFonts w:cs="Arial"/>
        </w:rPr>
        <w:t xml:space="preserve"> funding (ABF), as provided by the Addendum to the National Health Reform Agreement (NHRA). Such services include small rural hospitals, which are funded by a block allocation based on their size, location and the type of services provided</w:t>
      </w:r>
      <w:r w:rsidR="00DF4954" w:rsidRPr="0065414C">
        <w:rPr>
          <w:rFonts w:cs="Arial"/>
        </w:rPr>
        <w:t>.</w:t>
      </w:r>
    </w:p>
    <w:p w14:paraId="3E0CBED2" w14:textId="77777777" w:rsidR="00DF4954" w:rsidRPr="0065414C" w:rsidRDefault="00B50359" w:rsidP="00DF4954">
      <w:pPr>
        <w:pStyle w:val="BodyText"/>
        <w:rPr>
          <w:rFonts w:cs="Arial"/>
        </w:rPr>
      </w:pPr>
      <w:r w:rsidRPr="0065414C">
        <w:rPr>
          <w:rFonts w:cs="Arial"/>
        </w:rPr>
        <w:t>A low volume threshold is used to determine whether a public hospital is eligible to receive block funding. All hospital activity is included in assessing it against the low volume threshold. This includes admitted acute and subacute, non-admitted and emergency department activity</w:t>
      </w:r>
      <w:r w:rsidR="00DF4954" w:rsidRPr="0065414C">
        <w:rPr>
          <w:rFonts w:cs="Arial"/>
        </w:rPr>
        <w:t xml:space="preserve">. </w:t>
      </w:r>
    </w:p>
    <w:p w14:paraId="0A014686" w14:textId="77777777" w:rsidR="00DF4954" w:rsidRPr="0065414C" w:rsidRDefault="00B50359" w:rsidP="00DF4954">
      <w:pPr>
        <w:pStyle w:val="BodyText"/>
        <w:rPr>
          <w:rFonts w:cs="Arial"/>
          <w:b/>
          <w:bCs/>
        </w:rPr>
      </w:pPr>
      <w:r w:rsidRPr="0065414C">
        <w:rPr>
          <w:rFonts w:cs="Arial"/>
        </w:rPr>
        <w:t>IHPA uses public hospital expenditure as reported in the National Public Hospital Establishments Database to determine the NEC for block funded hospitals. IHPA expects that continued improvements to the data collection will lead to greater accuracy in reflecting the services and activities undertaken by block funded hospitals. In addition, work to price classifications for mental health and teaching and training will result in more services being funded through ABF rather than block funded amounts, increasing transparency of costs</w:t>
      </w:r>
      <w:r w:rsidR="00DF4954" w:rsidRPr="0065414C">
        <w:rPr>
          <w:rFonts w:cs="Arial"/>
        </w:rPr>
        <w:t>.</w:t>
      </w:r>
    </w:p>
    <w:p w14:paraId="6DFB3A0D" w14:textId="77777777" w:rsidR="00C415F5" w:rsidRPr="0065414C" w:rsidRDefault="00603DEC" w:rsidP="002C65AA">
      <w:pPr>
        <w:pStyle w:val="Heading2"/>
        <w:spacing w:before="0"/>
        <w:rPr>
          <w:rFonts w:cs="Arial"/>
        </w:rPr>
      </w:pPr>
      <w:r w:rsidRPr="0065414C">
        <w:rPr>
          <w:rFonts w:cs="Arial"/>
          <w:spacing w:val="-2"/>
        </w:rPr>
        <w:br w:type="column"/>
      </w:r>
      <w:bookmarkStart w:id="147" w:name="_Toc49953783"/>
      <w:bookmarkStart w:id="148" w:name="_Toc50532325"/>
      <w:r w:rsidR="00466DF0" w:rsidRPr="0065414C">
        <w:rPr>
          <w:rFonts w:cs="Arial"/>
          <w:spacing w:val="-2"/>
        </w:rPr>
        <w:t>10.2</w:t>
      </w:r>
      <w:r w:rsidR="00EF5D73" w:rsidRPr="0065414C">
        <w:rPr>
          <w:rFonts w:cs="Arial"/>
          <w:spacing w:val="-2"/>
        </w:rPr>
        <w:t>.</w:t>
      </w:r>
      <w:r w:rsidR="00466DF0" w:rsidRPr="0065414C">
        <w:rPr>
          <w:rFonts w:cs="Arial"/>
          <w:spacing w:val="-2"/>
        </w:rPr>
        <w:t xml:space="preserve"> </w:t>
      </w:r>
      <w:r w:rsidR="00DF4954" w:rsidRPr="0065414C">
        <w:rPr>
          <w:rFonts w:cs="Arial"/>
        </w:rPr>
        <w:t>The ‘</w:t>
      </w:r>
      <w:r w:rsidR="00B50359" w:rsidRPr="0065414C">
        <w:rPr>
          <w:rFonts w:cs="Arial"/>
        </w:rPr>
        <w:t>fixed-plus-variable’ model</w:t>
      </w:r>
      <w:bookmarkEnd w:id="147"/>
      <w:bookmarkEnd w:id="148"/>
    </w:p>
    <w:p w14:paraId="59EEE77A" w14:textId="77777777" w:rsidR="00DF4954" w:rsidRPr="0065414C" w:rsidRDefault="00B50359" w:rsidP="00DF4954">
      <w:pPr>
        <w:pStyle w:val="BodyText"/>
        <w:rPr>
          <w:rFonts w:cs="Arial"/>
        </w:rPr>
      </w:pPr>
      <w:r w:rsidRPr="0065414C">
        <w:rPr>
          <w:rFonts w:cs="Arial"/>
        </w:rPr>
        <w:t>Both ABF and block funding approaches cover services that are within the scope of the NHRA. The key difference is that the ABF model calculates an efficient price per episode of care, while the block funded model calculates an efficient cost for the hospital</w:t>
      </w:r>
      <w:r w:rsidR="00DF4954" w:rsidRPr="0065414C">
        <w:rPr>
          <w:rFonts w:cs="Arial"/>
        </w:rPr>
        <w:t xml:space="preserve">. </w:t>
      </w:r>
    </w:p>
    <w:p w14:paraId="3D331CBF" w14:textId="77777777" w:rsidR="00DF4954" w:rsidRPr="0065414C" w:rsidRDefault="00B50359" w:rsidP="00DF4954">
      <w:pPr>
        <w:pStyle w:val="BodyText"/>
        <w:rPr>
          <w:rFonts w:cs="Arial"/>
        </w:rPr>
      </w:pPr>
      <w:r w:rsidRPr="0065414C">
        <w:rPr>
          <w:rFonts w:cs="Arial"/>
        </w:rPr>
        <w:t>In 2019, IHPA worked with its Small Rural Hospital Working Group to develop a ‘fixed-plus-variable’ model where the total modelled cost of each hospital is based on a fixed component as well as a variable ABF style component. Under this approach, the fixed component decreases while the variable component increases, reflecting volume of activity</w:t>
      </w:r>
      <w:r w:rsidR="00DF4954" w:rsidRPr="0065414C">
        <w:rPr>
          <w:rFonts w:cs="Arial"/>
        </w:rPr>
        <w:t xml:space="preserve">. </w:t>
      </w:r>
    </w:p>
    <w:p w14:paraId="6CE294AA" w14:textId="77777777" w:rsidR="00DF4954" w:rsidRPr="0065414C" w:rsidRDefault="00B50359" w:rsidP="00DF4954">
      <w:pPr>
        <w:pStyle w:val="BodyText"/>
        <w:rPr>
          <w:rFonts w:cs="Arial"/>
        </w:rPr>
      </w:pPr>
      <w:r w:rsidRPr="0065414C">
        <w:rPr>
          <w:rFonts w:cs="Arial"/>
        </w:rPr>
        <w:t>The new model addresses two key objectives. It removes the potential financial disincentive when shifting services from an ABF hospital to one that is block-funded. It is also more responsive to changes in activity levels in block-funded hospitals.</w:t>
      </w:r>
    </w:p>
    <w:p w14:paraId="4B6E3053" w14:textId="77777777" w:rsidR="002531DC" w:rsidRPr="0065414C" w:rsidRDefault="00B50359" w:rsidP="00DF4954">
      <w:pPr>
        <w:pStyle w:val="BodyText"/>
        <w:rPr>
          <w:rFonts w:cs="Arial"/>
        </w:rPr>
      </w:pPr>
      <w:r w:rsidRPr="0065414C">
        <w:rPr>
          <w:rFonts w:cs="Arial"/>
        </w:rPr>
        <w:t xml:space="preserve">IHPA introduced the ‘fixed-plus-variable’ model for the </w:t>
      </w:r>
      <w:r w:rsidRPr="0065414C">
        <w:rPr>
          <w:rFonts w:eastAsia="Arial" w:cs="Arial"/>
          <w:szCs w:val="22"/>
        </w:rPr>
        <w:t>National Efficient Cost Determination 2020–21</w:t>
      </w:r>
      <w:r w:rsidRPr="0065414C">
        <w:rPr>
          <w:rFonts w:cs="Arial"/>
        </w:rPr>
        <w:t xml:space="preserve">. IHPA will continue to use the ‘fixed-plus-variable’ model for </w:t>
      </w:r>
      <w:r w:rsidRPr="0065414C">
        <w:rPr>
          <w:rFonts w:eastAsia="Arial" w:cs="Arial"/>
          <w:szCs w:val="22"/>
        </w:rPr>
        <w:t>National Efficient Cost Determination 2021–22</w:t>
      </w:r>
      <w:r w:rsidR="00DF4954" w:rsidRPr="0065414C">
        <w:rPr>
          <w:rFonts w:cs="Arial"/>
        </w:rPr>
        <w:t>.</w:t>
      </w:r>
    </w:p>
    <w:p w14:paraId="5D40AFA6" w14:textId="77777777" w:rsidR="00B50359" w:rsidRPr="0065414C" w:rsidRDefault="002B7CD8" w:rsidP="00DF4954">
      <w:pPr>
        <w:pStyle w:val="BodyText"/>
        <w:rPr>
          <w:rFonts w:cs="Arial"/>
        </w:rPr>
      </w:pPr>
      <w:r w:rsidRPr="0065414C">
        <w:rPr>
          <w:rFonts w:cs="Arial"/>
          <w:noProof/>
          <w:lang w:eastAsia="en-AU" w:bidi="ar-SA"/>
        </w:rPr>
        <w:drawing>
          <wp:anchor distT="0" distB="0" distL="114300" distR="114300" simplePos="0" relativeHeight="251698176" behindDoc="0" locked="0" layoutInCell="1" allowOverlap="1" wp14:anchorId="1A066259" wp14:editId="52EC0CF0">
            <wp:simplePos x="0" y="0"/>
            <wp:positionH relativeFrom="column">
              <wp:posOffset>129274</wp:posOffset>
            </wp:positionH>
            <wp:positionV relativeFrom="page">
              <wp:posOffset>7476342</wp:posOffset>
            </wp:positionV>
            <wp:extent cx="240158" cy="215900"/>
            <wp:effectExtent l="0" t="0" r="7620" b="0"/>
            <wp:wrapNone/>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0158" cy="215900"/>
                    </a:xfrm>
                    <a:prstGeom prst="rect">
                      <a:avLst/>
                    </a:prstGeom>
                  </pic:spPr>
                </pic:pic>
              </a:graphicData>
            </a:graphic>
            <wp14:sizeRelH relativeFrom="margin">
              <wp14:pctWidth>0</wp14:pctWidth>
            </wp14:sizeRelH>
          </wp:anchor>
        </w:drawing>
      </w:r>
      <w:r w:rsidRPr="0065414C">
        <w:rPr>
          <w:rFonts w:cs="Arial"/>
          <w:noProof/>
          <w:lang w:eastAsia="en-AU" w:bidi="ar-SA"/>
        </w:rPr>
        <mc:AlternateContent>
          <mc:Choice Requires="wps">
            <w:drawing>
              <wp:anchor distT="0" distB="0" distL="0" distR="0" simplePos="0" relativeHeight="251619321" behindDoc="1" locked="0" layoutInCell="1" allowOverlap="1" wp14:anchorId="17A6E798" wp14:editId="44B93259">
                <wp:simplePos x="0" y="0"/>
                <wp:positionH relativeFrom="margin">
                  <wp:align>right</wp:align>
                </wp:positionH>
                <wp:positionV relativeFrom="paragraph">
                  <wp:posOffset>260985</wp:posOffset>
                </wp:positionV>
                <wp:extent cx="2743200" cy="1129030"/>
                <wp:effectExtent l="0" t="0" r="19050" b="13970"/>
                <wp:wrapTopAndBottom/>
                <wp:docPr id="58" name="Text Box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129030"/>
                        </a:xfrm>
                        <a:prstGeom prst="rect">
                          <a:avLst/>
                        </a:prstGeom>
                        <a:noFill/>
                        <a:ln w="9525">
                          <a:solidFill>
                            <a:schemeClr val="tx2">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C4FB433" w14:textId="77777777" w:rsidR="001C5C18" w:rsidRPr="005470B1" w:rsidRDefault="001C5C18" w:rsidP="00B50359">
                            <w:pPr>
                              <w:pStyle w:val="Questionheading"/>
                            </w:pPr>
                            <w:r w:rsidRPr="005470B1">
                              <w:t xml:space="preserve">Consultation </w:t>
                            </w:r>
                            <w:r>
                              <w:t>question</w:t>
                            </w:r>
                          </w:p>
                          <w:p w14:paraId="38C0C7B1" w14:textId="77777777" w:rsidR="001C5C18" w:rsidRDefault="001C5C18" w:rsidP="00B50359">
                            <w:pPr>
                              <w:pStyle w:val="ListParagraph"/>
                              <w:ind w:left="566" w:right="283"/>
                            </w:pPr>
                            <w:r>
                              <w:t>Are there refinements to the ‘fixed-plus-variable’ model that IHPA should consider?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6E798" id="_x0000_s1040" type="#_x0000_t202" alt="&quot;&quot;" style="position:absolute;margin-left:164.8pt;margin-top:20.55pt;width:3in;height:88.9pt;z-index:-251697159;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" filled="f" strokecolor="#003e2d [3215]">
                <v:textbox inset="0,0,0,0">
                  <w:txbxContent>
                    <w:p w14:paraId="1C4FB433" w14:textId="77777777" w:rsidR="001C5C18" w:rsidRPr="005470B1" w:rsidRDefault="001C5C18" w:rsidP="00B50359">
                      <w:pPr>
                        <w:pStyle w:val="Questionheading"/>
                      </w:pPr>
                      <w:r w:rsidRPr="005470B1">
                        <w:t xml:space="preserve">Consultation </w:t>
                      </w:r>
                      <w:r>
                        <w:t>question</w:t>
                      </w:r>
                    </w:p>
                    <w:p w14:paraId="38C0C7B1" w14:textId="77777777" w:rsidR="001C5C18" w:rsidRDefault="001C5C18" w:rsidP="00B50359">
                      <w:pPr>
                        <w:pStyle w:val="ListParagraph"/>
                        <w:ind w:left="566" w:right="283"/>
                      </w:pPr>
                      <w:r>
                        <w:t>Are there refinements to the ‘fixed-plus-variable’ model that IHPA should consider?</w:t>
                      </w:r>
                    </w:p>
                  </w:txbxContent>
                </v:textbox>
                <w10:wrap type="topAndBottom" anchorx="margin"/>
              </v:shape>
            </w:pict>
          </mc:Fallback>
        </mc:AlternateContent>
      </w:r>
    </w:p>
    <w:p w14:paraId="159F68CC" w14:textId="77777777" w:rsidR="00B50359" w:rsidRPr="0065414C" w:rsidRDefault="00B50359" w:rsidP="00DF4954">
      <w:pPr>
        <w:pStyle w:val="BodyText"/>
        <w:rPr>
          <w:rFonts w:cs="Arial"/>
        </w:rPr>
      </w:pPr>
    </w:p>
    <w:p w14:paraId="1F840665" w14:textId="77777777" w:rsidR="00B50359" w:rsidRPr="0065414C" w:rsidRDefault="00B50359" w:rsidP="00DF4954">
      <w:pPr>
        <w:pStyle w:val="BodyText"/>
        <w:rPr>
          <w:rFonts w:cs="Arial"/>
        </w:rPr>
      </w:pPr>
    </w:p>
    <w:p w14:paraId="26F61195" w14:textId="77777777" w:rsidR="00B50359" w:rsidRPr="0065414C" w:rsidRDefault="00B50359" w:rsidP="00DF4954">
      <w:pPr>
        <w:pStyle w:val="BodyText"/>
        <w:rPr>
          <w:rFonts w:cs="Arial"/>
        </w:rPr>
        <w:sectPr w:rsidR="00B50359" w:rsidRPr="0065414C" w:rsidSect="00466DF0">
          <w:type w:val="continuous"/>
          <w:pgSz w:w="11910" w:h="16840"/>
          <w:pgMar w:top="1440" w:right="1440" w:bottom="1440" w:left="1440" w:header="720" w:footer="720" w:gutter="0"/>
          <w:cols w:num="2" w:space="340"/>
        </w:sectPr>
      </w:pPr>
    </w:p>
    <w:p w14:paraId="490D4025" w14:textId="77777777" w:rsidR="002531DC" w:rsidRPr="0065414C" w:rsidRDefault="002531DC" w:rsidP="005B7291">
      <w:pPr>
        <w:pStyle w:val="SectionNumber"/>
      </w:pPr>
      <w:bookmarkStart w:id="149" w:name="_Toc49953784"/>
      <w:r w:rsidRPr="0065414C">
        <w:lastRenderedPageBreak/>
        <w:drawing>
          <wp:anchor distT="0" distB="0" distL="114300" distR="114300" simplePos="0" relativeHeight="251652096" behindDoc="1" locked="0" layoutInCell="1" allowOverlap="1" wp14:anchorId="5FD6F9AA" wp14:editId="5534D14A">
            <wp:simplePos x="0" y="0"/>
            <wp:positionH relativeFrom="margin">
              <wp:posOffset>-914400</wp:posOffset>
            </wp:positionH>
            <wp:positionV relativeFrom="page">
              <wp:posOffset>954157</wp:posOffset>
            </wp:positionV>
            <wp:extent cx="5462269" cy="3577465"/>
            <wp:effectExtent l="0" t="0" r="0" b="0"/>
            <wp:wrapNone/>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5462269" cy="3577465"/>
                    </a:xfrm>
                    <a:prstGeom prst="rect">
                      <a:avLst/>
                    </a:prstGeom>
                    <a:noFill/>
                    <a:ln>
                      <a:noFill/>
                    </a:ln>
                  </pic:spPr>
                </pic:pic>
              </a:graphicData>
            </a:graphic>
          </wp:anchor>
        </w:drawing>
      </w:r>
      <w:r w:rsidRPr="0065414C">
        <w:t>11</w:t>
      </w:r>
      <w:bookmarkEnd w:id="149"/>
    </w:p>
    <w:p w14:paraId="1C629C11" w14:textId="77777777" w:rsidR="00C415F5" w:rsidRPr="0065414C" w:rsidRDefault="002531DC" w:rsidP="005B7291">
      <w:pPr>
        <w:pStyle w:val="Sectionheader"/>
        <w:sectPr w:rsidR="00C415F5" w:rsidRPr="0065414C" w:rsidSect="002531DC">
          <w:pgSz w:w="11910" w:h="16840"/>
          <w:pgMar w:top="3969" w:right="1440" w:bottom="1440" w:left="1440" w:header="720" w:footer="720" w:gutter="0"/>
          <w:cols w:space="340"/>
        </w:sectPr>
      </w:pPr>
      <w:bookmarkStart w:id="150" w:name="_Toc49953785"/>
      <w:bookmarkStart w:id="151" w:name="_Toc50532326"/>
      <w:r w:rsidRPr="0065414C">
        <w:t xml:space="preserve">Alternate </w:t>
      </w:r>
      <w:r w:rsidR="00785B9C" w:rsidRPr="0065414C">
        <w:t>f</w:t>
      </w:r>
      <w:r w:rsidRPr="0065414C">
        <w:t xml:space="preserve">unding </w:t>
      </w:r>
      <w:r w:rsidR="00785B9C" w:rsidRPr="0065414C">
        <w:t>m</w:t>
      </w:r>
      <w:r w:rsidRPr="0065414C">
        <w:t>odels</w:t>
      </w:r>
      <w:bookmarkEnd w:id="150"/>
      <w:bookmarkEnd w:id="151"/>
    </w:p>
    <w:p w14:paraId="0E09FCBD" w14:textId="77777777" w:rsidR="00CA6827" w:rsidRPr="0065414C" w:rsidRDefault="00CA6827" w:rsidP="00CA6827">
      <w:pPr>
        <w:pStyle w:val="Heading1"/>
        <w:ind w:left="1418" w:hanging="1276"/>
        <w:rPr>
          <w:rFonts w:cs="Arial"/>
        </w:rPr>
      </w:pPr>
      <w:bookmarkStart w:id="152" w:name="_bookmark21"/>
      <w:bookmarkStart w:id="153" w:name="_Toc45809635"/>
      <w:bookmarkStart w:id="154" w:name="_Toc49953786"/>
      <w:bookmarkEnd w:id="152"/>
      <w:r w:rsidRPr="0065414C">
        <w:rPr>
          <w:rFonts w:cs="Arial"/>
          <w:noProof/>
          <w:color w:val="FFFFFF" w:themeColor="background1"/>
          <w:lang w:eastAsia="en-AU" w:bidi="ar-SA"/>
        </w:rPr>
        <w:lastRenderedPageBreak/>
        <w:drawing>
          <wp:anchor distT="0" distB="0" distL="114300" distR="114300" simplePos="0" relativeHeight="251657216" behindDoc="1" locked="0" layoutInCell="1" allowOverlap="1" wp14:anchorId="664DD840" wp14:editId="536DFD52">
            <wp:simplePos x="0" y="0"/>
            <wp:positionH relativeFrom="column">
              <wp:posOffset>-914400</wp:posOffset>
            </wp:positionH>
            <wp:positionV relativeFrom="page">
              <wp:posOffset>652007</wp:posOffset>
            </wp:positionV>
            <wp:extent cx="1685422" cy="946149"/>
            <wp:effectExtent l="0" t="0" r="0" b="0"/>
            <wp:wrapNone/>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1685422" cy="946149"/>
                    </a:xfrm>
                    <a:prstGeom prst="rect">
                      <a:avLst/>
                    </a:prstGeom>
                    <a:noFill/>
                    <a:ln>
                      <a:noFill/>
                    </a:ln>
                  </pic:spPr>
                </pic:pic>
              </a:graphicData>
            </a:graphic>
          </wp:anchor>
        </w:drawing>
      </w:r>
      <w:r w:rsidRPr="0065414C">
        <w:rPr>
          <w:rFonts w:cs="Arial"/>
          <w:color w:val="FFFFFF" w:themeColor="background1"/>
        </w:rPr>
        <w:t>11</w:t>
      </w:r>
      <w:r w:rsidRPr="0065414C">
        <w:rPr>
          <w:rFonts w:cs="Arial"/>
        </w:rPr>
        <w:tab/>
      </w:r>
      <w:r w:rsidRPr="0065414C">
        <w:rPr>
          <w:rFonts w:cs="Arial"/>
        </w:rPr>
        <w:tab/>
        <w:t xml:space="preserve">Alternate </w:t>
      </w:r>
      <w:r w:rsidR="00EF5D73" w:rsidRPr="0065414C">
        <w:rPr>
          <w:rFonts w:cs="Arial"/>
        </w:rPr>
        <w:t>f</w:t>
      </w:r>
      <w:r w:rsidRPr="0065414C">
        <w:rPr>
          <w:rFonts w:cs="Arial"/>
        </w:rPr>
        <w:t xml:space="preserve">unding </w:t>
      </w:r>
      <w:r w:rsidR="00EF5D73" w:rsidRPr="0065414C">
        <w:rPr>
          <w:rFonts w:cs="Arial"/>
        </w:rPr>
        <w:t>m</w:t>
      </w:r>
      <w:r w:rsidRPr="0065414C">
        <w:rPr>
          <w:rFonts w:cs="Arial"/>
        </w:rPr>
        <w:t>odels</w:t>
      </w:r>
      <w:bookmarkEnd w:id="153"/>
      <w:bookmarkEnd w:id="154"/>
    </w:p>
    <w:p w14:paraId="303199DB" w14:textId="77777777" w:rsidR="00CA6827" w:rsidRPr="0065414C" w:rsidRDefault="00CA6827" w:rsidP="00CA6827">
      <w:pPr>
        <w:pStyle w:val="BodyText"/>
        <w:rPr>
          <w:rFonts w:cs="Arial"/>
        </w:rPr>
      </w:pPr>
    </w:p>
    <w:p w14:paraId="79E82D10" w14:textId="77777777" w:rsidR="00CA6827" w:rsidRPr="0065414C" w:rsidRDefault="00CA6827" w:rsidP="00DE2ED2">
      <w:pPr>
        <w:pStyle w:val="Heading2"/>
        <w:rPr>
          <w:rFonts w:cs="Arial"/>
        </w:rPr>
        <w:sectPr w:rsidR="00CA6827" w:rsidRPr="0065414C" w:rsidSect="00CA6827">
          <w:headerReference w:type="default" r:id="rId91"/>
          <w:pgSz w:w="11910" w:h="16840"/>
          <w:pgMar w:top="1440" w:right="1440" w:bottom="1440" w:left="1440" w:header="0" w:footer="656" w:gutter="0"/>
          <w:cols w:space="340"/>
        </w:sectPr>
      </w:pPr>
    </w:p>
    <w:p w14:paraId="5B15BC17" w14:textId="77777777" w:rsidR="009D2DEC" w:rsidRPr="0065414C" w:rsidRDefault="009D2DEC" w:rsidP="005A3E64">
      <w:pPr>
        <w:pStyle w:val="Heading2"/>
        <w:spacing w:before="0"/>
        <w:rPr>
          <w:rFonts w:cs="Arial"/>
        </w:rPr>
      </w:pPr>
      <w:bookmarkStart w:id="155" w:name="_Toc49953787"/>
      <w:bookmarkStart w:id="156" w:name="_Toc50532327"/>
      <w:r w:rsidRPr="0065414C">
        <w:rPr>
          <w:rFonts w:cs="Arial"/>
        </w:rPr>
        <w:t>1</w:t>
      </w:r>
      <w:r w:rsidR="00671C3D" w:rsidRPr="0065414C">
        <w:rPr>
          <w:rFonts w:cs="Arial"/>
        </w:rPr>
        <w:t>1</w:t>
      </w:r>
      <w:r w:rsidRPr="0065414C">
        <w:rPr>
          <w:rFonts w:cs="Arial"/>
        </w:rPr>
        <w:t>.</w:t>
      </w:r>
      <w:r w:rsidR="00671C3D" w:rsidRPr="0065414C">
        <w:rPr>
          <w:rFonts w:cs="Arial"/>
        </w:rPr>
        <w:t>1</w:t>
      </w:r>
      <w:r w:rsidR="00EF5D73" w:rsidRPr="0065414C">
        <w:rPr>
          <w:rFonts w:cs="Arial"/>
        </w:rPr>
        <w:t>.</w:t>
      </w:r>
      <w:r w:rsidRPr="0065414C">
        <w:rPr>
          <w:rFonts w:cs="Arial"/>
        </w:rPr>
        <w:t xml:space="preserve"> </w:t>
      </w:r>
      <w:r w:rsidR="00671C3D" w:rsidRPr="0065414C">
        <w:rPr>
          <w:rFonts w:cs="Arial"/>
        </w:rPr>
        <w:t>Overview</w:t>
      </w:r>
      <w:bookmarkEnd w:id="155"/>
      <w:bookmarkEnd w:id="156"/>
    </w:p>
    <w:p w14:paraId="6BDDB32B" w14:textId="77777777" w:rsidR="00671C3D" w:rsidRPr="0065414C" w:rsidRDefault="00B52AD1" w:rsidP="00671C3D">
      <w:pPr>
        <w:pStyle w:val="BodyText"/>
        <w:rPr>
          <w:rFonts w:cs="Arial"/>
        </w:rPr>
      </w:pPr>
      <w:r w:rsidRPr="0065414C">
        <w:rPr>
          <w:rFonts w:cs="Arial"/>
        </w:rPr>
        <w:t>Activity Based Funding (ABF) has proved to be a very effective funding mechanism since it was introduced to Australian public hospitals in 2012. ABF provides transparency of funding and allows the comparison of variation in cost across public hospitals nationally. This has led to improved technical efficiencies in the delivery of public hospital services</w:t>
      </w:r>
      <w:r w:rsidR="00671C3D" w:rsidRPr="0065414C">
        <w:rPr>
          <w:rFonts w:cs="Arial"/>
        </w:rPr>
        <w:t xml:space="preserve">. </w:t>
      </w:r>
    </w:p>
    <w:p w14:paraId="332F5948" w14:textId="77777777" w:rsidR="00671C3D" w:rsidRPr="0065414C" w:rsidRDefault="00EF5D73" w:rsidP="00671C3D">
      <w:pPr>
        <w:pStyle w:val="BodyText"/>
        <w:rPr>
          <w:rFonts w:cs="Arial"/>
        </w:rPr>
      </w:pPr>
      <w:r w:rsidRPr="0065414C">
        <w:rPr>
          <w:rFonts w:cs="Arial"/>
        </w:rPr>
        <w:t>However, Australian governments and health providers are increasingly recognising the need for integrated health care across the entire health system, with a greater focus on hospital admission-avoidance programs and funding that incentivises improving patient outcomes at an efficient cost</w:t>
      </w:r>
      <w:r w:rsidR="00671C3D" w:rsidRPr="0065414C">
        <w:rPr>
          <w:rFonts w:cs="Arial"/>
        </w:rPr>
        <w:t xml:space="preserve">. </w:t>
      </w:r>
    </w:p>
    <w:p w14:paraId="3A80DEEC" w14:textId="77777777" w:rsidR="00671C3D" w:rsidRPr="0065414C" w:rsidRDefault="00EF5D73" w:rsidP="00671C3D">
      <w:pPr>
        <w:pStyle w:val="BodyText"/>
        <w:rPr>
          <w:rFonts w:cs="Arial"/>
        </w:rPr>
      </w:pPr>
      <w:r w:rsidRPr="0065414C">
        <w:rPr>
          <w:rFonts w:cs="Arial"/>
        </w:rPr>
        <w:t>Systemically, this has been difficult due to the non-integrated nature of the primary and secondary health system in Australia. States and territories are adopting their own approaches to patient-centred care through policies focussing on pathways of care and organisational change. This is particularly evident in New South Wales with its leading better value care initiative. However, the key challenge is adaptation of existing funding models that were not designed with flexibility in mind</w:t>
      </w:r>
      <w:r w:rsidR="00671C3D" w:rsidRPr="0065414C">
        <w:rPr>
          <w:rFonts w:cs="Arial"/>
        </w:rPr>
        <w:t>.</w:t>
      </w:r>
    </w:p>
    <w:p w14:paraId="7CF4CD50" w14:textId="77777777" w:rsidR="00671C3D" w:rsidRPr="0065414C" w:rsidRDefault="00EF5D73" w:rsidP="00671C3D">
      <w:pPr>
        <w:pStyle w:val="BodyText"/>
        <w:rPr>
          <w:rFonts w:cs="Arial"/>
        </w:rPr>
      </w:pPr>
      <w:r w:rsidRPr="0065414C">
        <w:rPr>
          <w:rFonts w:cs="Arial"/>
        </w:rPr>
        <w:t xml:space="preserve">As outlined in the </w:t>
      </w:r>
      <w:r w:rsidRPr="0065414C">
        <w:rPr>
          <w:rFonts w:cs="Arial"/>
          <w:i/>
        </w:rPr>
        <w:t>Pricing Framework for Australian Public Hospital Services 2020–21</w:t>
      </w:r>
      <w:r w:rsidRPr="0065414C">
        <w:rPr>
          <w:rFonts w:cs="Arial"/>
        </w:rPr>
        <w:t>, the Independent Hospital Pricing Authority (IHPA) has continued to investigate alternative funding models with a view to explore how the ABF system can incorporate funding options for more innovative patient-centred models of care</w:t>
      </w:r>
      <w:r w:rsidR="00671C3D" w:rsidRPr="0065414C">
        <w:rPr>
          <w:rFonts w:cs="Arial"/>
        </w:rPr>
        <w:t>.</w:t>
      </w:r>
    </w:p>
    <w:p w14:paraId="56755E23" w14:textId="77777777" w:rsidR="00B9422E" w:rsidRPr="0065414C" w:rsidRDefault="00EF5D73" w:rsidP="00B9422E">
      <w:pPr>
        <w:pStyle w:val="BodyText"/>
        <w:rPr>
          <w:rFonts w:cs="Arial"/>
        </w:rPr>
      </w:pPr>
      <w:r w:rsidRPr="0065414C">
        <w:rPr>
          <w:rFonts w:cs="Arial"/>
        </w:rPr>
        <w:t>While IHPA does not propose wide scale change to the current funding arrangements through ABF, there is an opportunity to identify specific areas of care that could potentially benefit from funding and payment mechanisms that incentivise providers to focus on outcomes that matter to patients as opposed to volume of services or procedures performed.</w:t>
      </w:r>
    </w:p>
    <w:p w14:paraId="6FA94A17" w14:textId="77777777" w:rsidR="00EF5D73" w:rsidRPr="0065414C" w:rsidRDefault="005710B8" w:rsidP="00B9422E">
      <w:pPr>
        <w:pStyle w:val="Heading2"/>
        <w:spacing w:before="0"/>
        <w:rPr>
          <w:rFonts w:cs="Arial"/>
        </w:rPr>
      </w:pPr>
      <w:r w:rsidRPr="0065414C">
        <w:rPr>
          <w:rFonts w:eastAsia="Futura PT Book" w:cs="Arial"/>
          <w:b w:val="0"/>
          <w:bCs w:val="0"/>
          <w:color w:val="58595B"/>
          <w:sz w:val="19"/>
          <w:szCs w:val="19"/>
        </w:rPr>
        <w:br w:type="column"/>
      </w:r>
      <w:bookmarkStart w:id="157" w:name="_Toc49953788"/>
      <w:bookmarkStart w:id="158" w:name="_Toc50532328"/>
      <w:r w:rsidR="00EF5D73" w:rsidRPr="0065414C">
        <w:rPr>
          <w:rFonts w:cs="Arial"/>
        </w:rPr>
        <w:t>11.2. Requirements under the Addendum</w:t>
      </w:r>
      <w:bookmarkEnd w:id="157"/>
      <w:bookmarkEnd w:id="158"/>
    </w:p>
    <w:p w14:paraId="4C8C4B57" w14:textId="77777777" w:rsidR="00EF5D73" w:rsidRPr="0065414C" w:rsidRDefault="00EF5D73" w:rsidP="00081B3F">
      <w:pPr>
        <w:pStyle w:val="BodyText"/>
        <w:rPr>
          <w:rFonts w:cs="Arial"/>
        </w:rPr>
      </w:pPr>
      <w:r w:rsidRPr="0065414C">
        <w:rPr>
          <w:rFonts w:cs="Arial"/>
        </w:rPr>
        <w:t>The new Addendum to the National Health Reform Agreement (the Addendum) provides the foundation for IHPA to support work in investigating innovative models of care and trialling new funding arrangements.</w:t>
      </w:r>
    </w:p>
    <w:p w14:paraId="3D333387" w14:textId="77777777" w:rsidR="00EF5D73" w:rsidRPr="0065414C" w:rsidRDefault="00EF5D73" w:rsidP="00081B3F">
      <w:pPr>
        <w:pStyle w:val="BodyText"/>
        <w:rPr>
          <w:rFonts w:cs="Arial"/>
          <w:szCs w:val="22"/>
        </w:rPr>
      </w:pPr>
      <w:r w:rsidRPr="0065414C">
        <w:rPr>
          <w:rFonts w:cs="Arial"/>
          <w:szCs w:val="22"/>
        </w:rPr>
        <w:t xml:space="preserve">The Addendum provides that the Commonwealth, </w:t>
      </w:r>
      <w:proofErr w:type="gramStart"/>
      <w:r w:rsidRPr="0065414C">
        <w:rPr>
          <w:rFonts w:cs="Arial"/>
          <w:szCs w:val="22"/>
        </w:rPr>
        <w:t>states</w:t>
      </w:r>
      <w:proofErr w:type="gramEnd"/>
      <w:r w:rsidRPr="0065414C">
        <w:rPr>
          <w:rFonts w:cs="Arial"/>
          <w:szCs w:val="22"/>
        </w:rPr>
        <w:t xml:space="preserve"> and territory governments will work together to explore trials of new and innovative approaches to public hospital funding, to improve efficiency and health outcomes. Specifically, Australian governments have agreed to:</w:t>
      </w:r>
    </w:p>
    <w:p w14:paraId="704CA399" w14:textId="77777777" w:rsidR="00EF5D73" w:rsidRPr="0065414C" w:rsidRDefault="00EF5D73" w:rsidP="00EF5D73">
      <w:pPr>
        <w:pStyle w:val="ListParagraph"/>
        <w:rPr>
          <w:rFonts w:cs="Arial"/>
        </w:rPr>
      </w:pPr>
      <w:r w:rsidRPr="0065414C">
        <w:rPr>
          <w:rFonts w:cs="Arial"/>
        </w:rPr>
        <w:t>Focus on the outcomes that matter to patients</w:t>
      </w:r>
    </w:p>
    <w:p w14:paraId="472D1174" w14:textId="77777777" w:rsidR="00EF5D73" w:rsidRPr="0065414C" w:rsidRDefault="00EF5D73" w:rsidP="00EF5D73">
      <w:pPr>
        <w:pStyle w:val="ListParagraph"/>
        <w:rPr>
          <w:rFonts w:cs="Arial"/>
        </w:rPr>
      </w:pPr>
      <w:r w:rsidRPr="0065414C">
        <w:rPr>
          <w:rFonts w:cs="Arial"/>
        </w:rPr>
        <w:t>Improve patient equity</w:t>
      </w:r>
    </w:p>
    <w:p w14:paraId="27036622" w14:textId="77777777" w:rsidR="00EF5D73" w:rsidRPr="0065414C" w:rsidRDefault="00EF5D73" w:rsidP="00EF5D73">
      <w:pPr>
        <w:pStyle w:val="ListParagraph"/>
        <w:rPr>
          <w:rFonts w:cs="Arial"/>
        </w:rPr>
      </w:pPr>
      <w:r w:rsidRPr="0065414C">
        <w:rPr>
          <w:rFonts w:cs="Arial"/>
        </w:rPr>
        <w:t>Improve clinical outcomes</w:t>
      </w:r>
    </w:p>
    <w:p w14:paraId="4871FBC5" w14:textId="77777777" w:rsidR="00EF5D73" w:rsidRPr="0065414C" w:rsidRDefault="00EF5D73" w:rsidP="00EF5D73">
      <w:pPr>
        <w:pStyle w:val="ListParagraph"/>
        <w:rPr>
          <w:rFonts w:cs="Arial"/>
        </w:rPr>
      </w:pPr>
      <w:r w:rsidRPr="0065414C">
        <w:rPr>
          <w:rFonts w:cs="Arial"/>
        </w:rPr>
        <w:t>Deliver best-practice clinical care</w:t>
      </w:r>
    </w:p>
    <w:p w14:paraId="57D4911A" w14:textId="77777777" w:rsidR="00EF5D73" w:rsidRPr="0065414C" w:rsidRDefault="00EF5D73" w:rsidP="00EF5D73">
      <w:pPr>
        <w:pStyle w:val="ListParagraph"/>
        <w:rPr>
          <w:rFonts w:cs="Arial"/>
        </w:rPr>
      </w:pPr>
      <w:r w:rsidRPr="0065414C">
        <w:rPr>
          <w:rFonts w:cs="Arial"/>
        </w:rPr>
        <w:t>Focus on the entire patient journey.</w:t>
      </w:r>
    </w:p>
    <w:p w14:paraId="10CF78CD" w14:textId="77777777" w:rsidR="00EF5D73" w:rsidRPr="0065414C" w:rsidRDefault="00EF5D73" w:rsidP="00081B3F">
      <w:pPr>
        <w:pStyle w:val="BodyText"/>
        <w:rPr>
          <w:rFonts w:cs="Arial"/>
        </w:rPr>
      </w:pPr>
      <w:r w:rsidRPr="0065414C">
        <w:rPr>
          <w:rFonts w:cs="Arial"/>
        </w:rPr>
        <w:t>Under clauses A97–A101, states and territories may enter into a bilateral agreement with the Commonwealth to seek a trial of an innovative funding model. The Addendum requires IHPA to develop a funding methodology for the Council of Australian Governments Health Council (CHC) for approval by April 2021 that does not penalise states undertaking trials of innovative models of care.</w:t>
      </w:r>
    </w:p>
    <w:p w14:paraId="025A0899" w14:textId="77777777" w:rsidR="00EF5D73" w:rsidRPr="0065414C" w:rsidRDefault="00EF5D73" w:rsidP="00081B3F">
      <w:pPr>
        <w:pStyle w:val="BodyText"/>
        <w:rPr>
          <w:rFonts w:cs="Arial"/>
          <w:szCs w:val="22"/>
        </w:rPr>
      </w:pPr>
      <w:r w:rsidRPr="0065414C">
        <w:rPr>
          <w:rFonts w:cs="Arial"/>
        </w:rPr>
        <w:t xml:space="preserve">Further, should a trial be proposed, IHPA will be required to advise CHC on the application of the above-mentioned funding methodology and any issues it foresees with the proposed trial </w:t>
      </w:r>
      <w:proofErr w:type="gramStart"/>
      <w:r w:rsidRPr="0065414C">
        <w:rPr>
          <w:rFonts w:cs="Arial"/>
        </w:rPr>
        <w:t>with regard to</w:t>
      </w:r>
      <w:proofErr w:type="gramEnd"/>
      <w:r w:rsidRPr="0065414C">
        <w:rPr>
          <w:rFonts w:cs="Arial"/>
        </w:rPr>
        <w:t xml:space="preserve"> the national funding model. This advice would inform CHC consideration on the trial and any CHC decision on the continuation of the model for a further period of trial or translation as a permanent model of care.</w:t>
      </w:r>
    </w:p>
    <w:p w14:paraId="53088AEE" w14:textId="77777777" w:rsidR="00EF5D73" w:rsidRPr="0065414C" w:rsidRDefault="00EF5D73" w:rsidP="00081B3F">
      <w:pPr>
        <w:pStyle w:val="BodyText"/>
        <w:rPr>
          <w:rFonts w:cs="Arial"/>
        </w:rPr>
      </w:pPr>
    </w:p>
    <w:p w14:paraId="09C6B2E5" w14:textId="77777777" w:rsidR="00081B3F" w:rsidRPr="0065414C" w:rsidRDefault="00081B3F" w:rsidP="00081B3F">
      <w:pPr>
        <w:pStyle w:val="BodyText"/>
        <w:rPr>
          <w:rFonts w:cs="Arial"/>
        </w:rPr>
        <w:sectPr w:rsidR="00081B3F" w:rsidRPr="0065414C" w:rsidSect="00671C3D">
          <w:type w:val="continuous"/>
          <w:pgSz w:w="11910" w:h="16840"/>
          <w:pgMar w:top="1440" w:right="1440" w:bottom="1440" w:left="1440" w:header="0" w:footer="656" w:gutter="0"/>
          <w:cols w:num="2" w:space="340"/>
        </w:sectPr>
      </w:pPr>
    </w:p>
    <w:p w14:paraId="26C9AAEC" w14:textId="77777777" w:rsidR="00C415F5" w:rsidRPr="0065414C" w:rsidRDefault="006851D8" w:rsidP="00DC3FF3">
      <w:pPr>
        <w:pStyle w:val="Heading2"/>
        <w:spacing w:before="0"/>
        <w:rPr>
          <w:rFonts w:cs="Arial"/>
        </w:rPr>
      </w:pPr>
      <w:bookmarkStart w:id="159" w:name="_Toc49953789"/>
      <w:bookmarkStart w:id="160" w:name="_Toc50532329"/>
      <w:r w:rsidRPr="0065414C">
        <w:rPr>
          <w:rFonts w:cs="Arial"/>
        </w:rPr>
        <w:lastRenderedPageBreak/>
        <w:t>1</w:t>
      </w:r>
      <w:r w:rsidR="00081B3F" w:rsidRPr="0065414C">
        <w:rPr>
          <w:rFonts w:cs="Arial"/>
        </w:rPr>
        <w:t>1</w:t>
      </w:r>
      <w:r w:rsidRPr="0065414C">
        <w:rPr>
          <w:rFonts w:cs="Arial"/>
        </w:rPr>
        <w:t>.</w:t>
      </w:r>
      <w:r w:rsidR="00EF5D73" w:rsidRPr="0065414C">
        <w:rPr>
          <w:rFonts w:cs="Arial"/>
        </w:rPr>
        <w:t>3.</w:t>
      </w:r>
      <w:r w:rsidRPr="0065414C">
        <w:rPr>
          <w:rFonts w:cs="Arial"/>
        </w:rPr>
        <w:t xml:space="preserve"> </w:t>
      </w:r>
      <w:r w:rsidR="00081B3F" w:rsidRPr="0065414C">
        <w:rPr>
          <w:rFonts w:cs="Arial"/>
        </w:rPr>
        <w:t>Innovative funding models being explored by IHPA</w:t>
      </w:r>
      <w:bookmarkEnd w:id="159"/>
      <w:bookmarkEnd w:id="160"/>
    </w:p>
    <w:p w14:paraId="21AEEE43" w14:textId="77777777" w:rsidR="00081B3F" w:rsidRPr="0065414C" w:rsidRDefault="009C68D5" w:rsidP="00081B3F">
      <w:pPr>
        <w:pStyle w:val="BodyText"/>
        <w:rPr>
          <w:rFonts w:cs="Arial"/>
        </w:rPr>
      </w:pPr>
      <w:r w:rsidRPr="0065414C">
        <w:rPr>
          <w:rFonts w:cs="Arial"/>
        </w:rPr>
        <w:t xml:space="preserve">In March 2019, IHPA conducted a global horizon scan to identify international best practice and alternative approaches to health care funding that could be applied in the Australian context. Following the global horizon scan and feedback received through the </w:t>
      </w:r>
      <w:r w:rsidRPr="0065414C">
        <w:rPr>
          <w:rFonts w:cs="Arial"/>
          <w:i/>
        </w:rPr>
        <w:t>Consultation Paper for the Pricing Framework for Australian Public Hospital Services 2020–21</w:t>
      </w:r>
      <w:r w:rsidRPr="0065414C">
        <w:rPr>
          <w:rFonts w:cs="Arial"/>
        </w:rPr>
        <w:t xml:space="preserve"> (the Consultation Paper 2020–21), IHPA has developed a roadmap in consultation with its key advisory committees that sets out different funding models and their applicability to different conditions and care pathways</w:t>
      </w:r>
      <w:r w:rsidR="00081B3F" w:rsidRPr="0065414C">
        <w:rPr>
          <w:rFonts w:cs="Arial"/>
        </w:rPr>
        <w:t>.</w:t>
      </w:r>
    </w:p>
    <w:p w14:paraId="4EF7419A" w14:textId="77777777" w:rsidR="00081B3F" w:rsidRPr="0065414C" w:rsidRDefault="009C68D5" w:rsidP="00081B3F">
      <w:pPr>
        <w:pStyle w:val="BodyText"/>
        <w:rPr>
          <w:rFonts w:cs="Arial"/>
        </w:rPr>
      </w:pPr>
      <w:r w:rsidRPr="0065414C">
        <w:rPr>
          <w:rFonts w:cs="Arial"/>
        </w:rPr>
        <w:t>ABF remains the most appropriate funding model for one-off acute episodes of care usually in a hospital setting (for example, a tonsillectomy). The other major funding models under consideration are</w:t>
      </w:r>
      <w:r w:rsidR="00081B3F" w:rsidRPr="0065414C">
        <w:rPr>
          <w:rFonts w:cs="Arial"/>
        </w:rPr>
        <w:t>:</w:t>
      </w:r>
    </w:p>
    <w:p w14:paraId="7E9C92CC" w14:textId="77777777" w:rsidR="009C68D5" w:rsidRPr="0065414C" w:rsidRDefault="00081B3F" w:rsidP="00081B3F">
      <w:pPr>
        <w:pStyle w:val="ListParagraph"/>
        <w:rPr>
          <w:rFonts w:cs="Arial"/>
        </w:rPr>
      </w:pPr>
      <w:r w:rsidRPr="0065414C">
        <w:rPr>
          <w:rFonts w:cs="Arial"/>
        </w:rPr>
        <w:t>Bundled payments</w:t>
      </w:r>
      <w:r w:rsidR="009C68D5" w:rsidRPr="0065414C">
        <w:rPr>
          <w:rFonts w:cs="Arial"/>
        </w:rPr>
        <w:t>/pricing:</w:t>
      </w:r>
    </w:p>
    <w:p w14:paraId="57B8A4DA" w14:textId="77777777" w:rsidR="00081B3F" w:rsidRPr="0065414C" w:rsidRDefault="009C68D5" w:rsidP="009C68D5">
      <w:pPr>
        <w:pStyle w:val="ListParagraph"/>
        <w:numPr>
          <w:ilvl w:val="0"/>
          <w:numId w:val="0"/>
        </w:numPr>
        <w:ind w:left="284"/>
        <w:rPr>
          <w:rFonts w:cs="Arial"/>
        </w:rPr>
      </w:pPr>
      <w:r w:rsidRPr="0065414C">
        <w:rPr>
          <w:rFonts w:cs="Arial"/>
        </w:rPr>
        <w:t xml:space="preserve">When episodes of care are delivered across multiple settings, or over longer periods, bundled payments may provide increased incentives for providers to address efficiency in innovative ways. The main criteria for identifying where bundled payments may be appropriate is a clear, well-defined care pathway that spans multiple care settings (for example maternity care, </w:t>
      </w:r>
      <w:proofErr w:type="gramStart"/>
      <w:r w:rsidRPr="0065414C">
        <w:rPr>
          <w:rFonts w:cs="Arial"/>
        </w:rPr>
        <w:t>stroke</w:t>
      </w:r>
      <w:proofErr w:type="gramEnd"/>
      <w:r w:rsidRPr="0065414C">
        <w:rPr>
          <w:rFonts w:cs="Arial"/>
        </w:rPr>
        <w:t xml:space="preserve"> or hip replacement)</w:t>
      </w:r>
      <w:r w:rsidR="00081B3F" w:rsidRPr="0065414C">
        <w:rPr>
          <w:rFonts w:cs="Arial"/>
        </w:rPr>
        <w:t>.</w:t>
      </w:r>
    </w:p>
    <w:p w14:paraId="61992C10" w14:textId="77777777" w:rsidR="009C68D5" w:rsidRPr="0065414C" w:rsidRDefault="009C68D5" w:rsidP="009C68D5">
      <w:pPr>
        <w:pStyle w:val="ListParagraph"/>
        <w:numPr>
          <w:ilvl w:val="0"/>
          <w:numId w:val="0"/>
        </w:numPr>
        <w:ind w:left="284"/>
        <w:rPr>
          <w:rFonts w:cs="Arial"/>
        </w:rPr>
      </w:pPr>
      <w:r w:rsidRPr="0065414C">
        <w:rPr>
          <w:rFonts w:cs="Arial"/>
        </w:rPr>
        <w:t>Bundled payments for hip and knee replacements has consistently received stakeholder support due to the clear pathway of care and good data already available through Clinical Quality Registries. Developing bundles for specific conditions also provides the opportunity to ‘scale up’ once demonstrated to be effective and paves the way for further analysis and discussion</w:t>
      </w:r>
      <w:r w:rsidR="005A63BA">
        <w:rPr>
          <w:rFonts w:cs="Arial"/>
        </w:rPr>
        <w:t>.</w:t>
      </w:r>
    </w:p>
    <w:p w14:paraId="4C3C5F18" w14:textId="77777777" w:rsidR="009C68D5" w:rsidRPr="0065414C" w:rsidRDefault="00081B3F" w:rsidP="00081B3F">
      <w:pPr>
        <w:pStyle w:val="ListParagraph"/>
        <w:rPr>
          <w:rFonts w:cs="Arial"/>
        </w:rPr>
      </w:pPr>
      <w:r w:rsidRPr="0065414C">
        <w:rPr>
          <w:rFonts w:cs="Arial"/>
        </w:rPr>
        <w:t>Capitation</w:t>
      </w:r>
      <w:r w:rsidR="009C68D5" w:rsidRPr="0065414C">
        <w:rPr>
          <w:rFonts w:cs="Arial"/>
        </w:rPr>
        <w:t xml:space="preserve"> payments:</w:t>
      </w:r>
    </w:p>
    <w:p w14:paraId="4318EA2B" w14:textId="77777777" w:rsidR="00081B3F" w:rsidRPr="0065414C" w:rsidRDefault="009C68D5" w:rsidP="009C68D5">
      <w:pPr>
        <w:pStyle w:val="ListParagraph"/>
        <w:numPr>
          <w:ilvl w:val="0"/>
          <w:numId w:val="0"/>
        </w:numPr>
        <w:ind w:left="284"/>
        <w:rPr>
          <w:rFonts w:cs="Arial"/>
        </w:rPr>
      </w:pPr>
      <w:r w:rsidRPr="0065414C">
        <w:rPr>
          <w:rFonts w:cs="Arial"/>
        </w:rPr>
        <w:t xml:space="preserve">A per-person funding model pays a provider or fund holder for the care of a patient for a defined period, where the provider is accountable for all services consumed by the patient for that period. Capitation models typically work well for chronic conditions where the care </w:t>
      </w:r>
      <w:r w:rsidRPr="0065414C">
        <w:rPr>
          <w:rFonts w:cs="Arial"/>
        </w:rPr>
        <w:t>pathway is not well defined and may extend over many years (for example chronic obstructive pulmonary disease)</w:t>
      </w:r>
      <w:r w:rsidR="00081B3F" w:rsidRPr="0065414C">
        <w:rPr>
          <w:rFonts w:cs="Arial"/>
        </w:rPr>
        <w:t>.</w:t>
      </w:r>
    </w:p>
    <w:p w14:paraId="2DDC5448" w14:textId="77777777" w:rsidR="009C68D5" w:rsidRPr="0065414C" w:rsidRDefault="009C68D5" w:rsidP="009C68D5">
      <w:pPr>
        <w:pStyle w:val="ListParagraph"/>
        <w:numPr>
          <w:ilvl w:val="0"/>
          <w:numId w:val="0"/>
        </w:numPr>
        <w:ind w:left="284"/>
        <w:rPr>
          <w:rFonts w:cs="Arial"/>
        </w:rPr>
      </w:pPr>
      <w:r w:rsidRPr="0065414C">
        <w:rPr>
          <w:rFonts w:cs="Arial"/>
        </w:rPr>
        <w:t xml:space="preserve">IHPA is currently </w:t>
      </w:r>
      <w:r w:rsidR="002117A9">
        <w:rPr>
          <w:rFonts w:cs="Arial"/>
        </w:rPr>
        <w:t>assessing</w:t>
      </w:r>
      <w:r w:rsidR="002117A9" w:rsidRPr="0065414C">
        <w:rPr>
          <w:rFonts w:cs="Arial"/>
        </w:rPr>
        <w:t xml:space="preserve"> </w:t>
      </w:r>
      <w:r w:rsidRPr="0065414C">
        <w:rPr>
          <w:rFonts w:cs="Arial"/>
        </w:rPr>
        <w:t xml:space="preserve">the Victorian </w:t>
      </w:r>
      <w:proofErr w:type="spellStart"/>
      <w:r w:rsidRPr="0065414C">
        <w:rPr>
          <w:rFonts w:cs="Arial"/>
        </w:rPr>
        <w:t>HealthLinks</w:t>
      </w:r>
      <w:proofErr w:type="spellEnd"/>
      <w:r w:rsidRPr="0065414C">
        <w:rPr>
          <w:rFonts w:cs="Arial"/>
        </w:rPr>
        <w:t xml:space="preserve"> program, which uses a capitation model, for inclusion on the </w:t>
      </w:r>
      <w:r w:rsidRPr="0065414C">
        <w:rPr>
          <w:rFonts w:cs="Arial"/>
          <w:i/>
        </w:rPr>
        <w:t>General List of In-Scope Public Hospital Services</w:t>
      </w:r>
      <w:r w:rsidRPr="0065414C">
        <w:rPr>
          <w:rFonts w:cs="Arial"/>
        </w:rPr>
        <w:t>. This program aims to provide an alternative funding model to ABF and promotes innovative ways of funding care pathways such as chronic care.</w:t>
      </w:r>
    </w:p>
    <w:p w14:paraId="789A0DC4" w14:textId="77777777" w:rsidR="009C68D5" w:rsidRPr="0065414C" w:rsidRDefault="009C68D5" w:rsidP="009C68D5">
      <w:pPr>
        <w:pStyle w:val="ListParagraph"/>
        <w:numPr>
          <w:ilvl w:val="0"/>
          <w:numId w:val="0"/>
        </w:numPr>
        <w:ind w:left="284"/>
        <w:rPr>
          <w:rFonts w:cs="Arial"/>
        </w:rPr>
      </w:pPr>
      <w:r w:rsidRPr="0065414C">
        <w:rPr>
          <w:rFonts w:cs="Arial"/>
        </w:rPr>
        <w:t>Key concepts to consider in the development of designing a national capitation model include:</w:t>
      </w:r>
    </w:p>
    <w:p w14:paraId="490F2093" w14:textId="77777777" w:rsidR="009C68D5" w:rsidRPr="0065414C" w:rsidRDefault="009D713B" w:rsidP="009C68D5">
      <w:pPr>
        <w:pStyle w:val="ListL2"/>
        <w:rPr>
          <w:rFonts w:cs="Arial"/>
        </w:rPr>
      </w:pPr>
      <w:r w:rsidRPr="0065414C">
        <w:rPr>
          <w:rFonts w:cs="Arial"/>
        </w:rPr>
        <w:t xml:space="preserve">Classification of patients into clinically relevant, resource homogeneous </w:t>
      </w:r>
      <w:proofErr w:type="gramStart"/>
      <w:r w:rsidRPr="0065414C">
        <w:rPr>
          <w:rFonts w:cs="Arial"/>
        </w:rPr>
        <w:t>groups</w:t>
      </w:r>
      <w:r w:rsidR="009C68D5" w:rsidRPr="0065414C">
        <w:rPr>
          <w:rFonts w:cs="Arial"/>
        </w:rPr>
        <w:t>;</w:t>
      </w:r>
      <w:proofErr w:type="gramEnd"/>
    </w:p>
    <w:p w14:paraId="6461715B" w14:textId="77777777" w:rsidR="009C68D5" w:rsidRPr="0065414C" w:rsidRDefault="009D713B" w:rsidP="009C68D5">
      <w:pPr>
        <w:pStyle w:val="ListL2"/>
        <w:rPr>
          <w:rFonts w:cs="Arial"/>
        </w:rPr>
      </w:pPr>
      <w:r w:rsidRPr="0065414C">
        <w:rPr>
          <w:rFonts w:cs="Arial"/>
        </w:rPr>
        <w:t>Mandatory reporting on programs to ensure patients are not being under-serviced</w:t>
      </w:r>
      <w:r w:rsidR="009C68D5" w:rsidRPr="0065414C">
        <w:rPr>
          <w:rFonts w:cs="Arial"/>
        </w:rPr>
        <w:t>; and</w:t>
      </w:r>
    </w:p>
    <w:p w14:paraId="0946949E" w14:textId="77777777" w:rsidR="009C68D5" w:rsidRPr="0065414C" w:rsidRDefault="009D713B" w:rsidP="009C68D5">
      <w:pPr>
        <w:pStyle w:val="ListL2"/>
        <w:rPr>
          <w:rFonts w:cs="Arial"/>
        </w:rPr>
      </w:pPr>
      <w:r w:rsidRPr="0065414C">
        <w:rPr>
          <w:rFonts w:cs="Arial"/>
        </w:rPr>
        <w:t xml:space="preserve">Mandatory reporting of outcomes to monitor whether patients are improving </w:t>
      </w:r>
      <w:proofErr w:type="gramStart"/>
      <w:r w:rsidRPr="0065414C">
        <w:rPr>
          <w:rFonts w:cs="Arial"/>
        </w:rPr>
        <w:t>as a result of</w:t>
      </w:r>
      <w:proofErr w:type="gramEnd"/>
      <w:r w:rsidRPr="0065414C">
        <w:rPr>
          <w:rFonts w:cs="Arial"/>
        </w:rPr>
        <w:t xml:space="preserve"> these programs</w:t>
      </w:r>
      <w:r w:rsidR="009C68D5" w:rsidRPr="0065414C">
        <w:rPr>
          <w:rFonts w:cs="Arial"/>
        </w:rPr>
        <w:t>.</w:t>
      </w:r>
    </w:p>
    <w:p w14:paraId="73C01BBB" w14:textId="77777777" w:rsidR="00081B3F" w:rsidRPr="0065414C" w:rsidRDefault="009C68D5" w:rsidP="00081B3F">
      <w:pPr>
        <w:pStyle w:val="Heading3"/>
        <w:rPr>
          <w:rFonts w:cs="Arial"/>
        </w:rPr>
      </w:pPr>
      <w:r w:rsidRPr="0065414C">
        <w:rPr>
          <w:rFonts w:cs="Arial"/>
        </w:rPr>
        <w:t>IHPA’s approach and initial finding</w:t>
      </w:r>
      <w:r w:rsidR="00081B3F" w:rsidRPr="0065414C">
        <w:rPr>
          <w:rFonts w:cs="Arial"/>
        </w:rPr>
        <w:t>s</w:t>
      </w:r>
    </w:p>
    <w:p w14:paraId="2BF4C6D3" w14:textId="77777777" w:rsidR="00081B3F" w:rsidRPr="0065414C" w:rsidRDefault="009C68D5" w:rsidP="00081B3F">
      <w:pPr>
        <w:pStyle w:val="BodyText"/>
        <w:rPr>
          <w:rFonts w:cs="Arial"/>
        </w:rPr>
      </w:pPr>
      <w:r w:rsidRPr="0065414C">
        <w:rPr>
          <w:rFonts w:cs="Arial"/>
        </w:rPr>
        <w:t>IHPA has conducted some initial analysis of activity data to identify the patient services that may be suitable under the considered funding models. Selected Adjacent Diagnoses Related Groups (ADRGs) were assigned potential funding models using the following approach</w:t>
      </w:r>
      <w:r w:rsidR="00081B3F" w:rsidRPr="0065414C">
        <w:rPr>
          <w:rFonts w:cs="Arial"/>
        </w:rPr>
        <w:t>:</w:t>
      </w:r>
    </w:p>
    <w:p w14:paraId="687C6A16" w14:textId="77777777" w:rsidR="00081B3F" w:rsidRPr="0065414C" w:rsidRDefault="009D713B" w:rsidP="00081B3F">
      <w:pPr>
        <w:pStyle w:val="ListParagraph"/>
        <w:rPr>
          <w:rFonts w:cs="Arial"/>
        </w:rPr>
      </w:pPr>
      <w:r w:rsidRPr="0065414C">
        <w:rPr>
          <w:rFonts w:cs="Arial"/>
        </w:rPr>
        <w:t xml:space="preserve">A </w:t>
      </w:r>
      <w:proofErr w:type="gramStart"/>
      <w:r w:rsidRPr="0065414C">
        <w:rPr>
          <w:rFonts w:cs="Arial"/>
        </w:rPr>
        <w:t>high level</w:t>
      </w:r>
      <w:proofErr w:type="gramEnd"/>
      <w:r w:rsidRPr="0065414C">
        <w:rPr>
          <w:rFonts w:cs="Arial"/>
        </w:rPr>
        <w:t xml:space="preserve"> literature review was conducted to identify ADRGs where bundling or capitation funding have been applied both within Australia and internationally</w:t>
      </w:r>
      <w:r w:rsidR="009C68D5" w:rsidRPr="0065414C">
        <w:rPr>
          <w:rFonts w:cs="Arial"/>
        </w:rPr>
        <w:t>.</w:t>
      </w:r>
    </w:p>
    <w:p w14:paraId="07FEBB3E" w14:textId="77777777" w:rsidR="00081B3F" w:rsidRPr="0065414C" w:rsidRDefault="009D713B" w:rsidP="00081B3F">
      <w:pPr>
        <w:pStyle w:val="ListParagraph"/>
        <w:rPr>
          <w:rFonts w:cs="Arial"/>
        </w:rPr>
      </w:pPr>
      <w:r w:rsidRPr="0065414C">
        <w:rPr>
          <w:rFonts w:cs="Arial"/>
        </w:rPr>
        <w:t>Findings of the literature review were then supplemented by preliminary advice from classification experts within IHPA to further identify ADRGs where bundling or capitation may be suitable</w:t>
      </w:r>
      <w:r w:rsidR="009C68D5" w:rsidRPr="0065414C">
        <w:rPr>
          <w:rFonts w:cs="Arial"/>
        </w:rPr>
        <w:t>.</w:t>
      </w:r>
    </w:p>
    <w:p w14:paraId="5261E68E" w14:textId="77777777" w:rsidR="009C68D5" w:rsidRPr="0065414C" w:rsidRDefault="009D713B" w:rsidP="00081B3F">
      <w:pPr>
        <w:pStyle w:val="ListParagraph"/>
        <w:rPr>
          <w:rFonts w:cs="Arial"/>
        </w:rPr>
      </w:pPr>
      <w:r w:rsidRPr="0065414C">
        <w:rPr>
          <w:rFonts w:cs="Arial"/>
        </w:rPr>
        <w:t>Analysis of 201</w:t>
      </w:r>
      <w:r w:rsidR="00844DC3">
        <w:rPr>
          <w:rFonts w:cs="Arial"/>
        </w:rPr>
        <w:t>8</w:t>
      </w:r>
      <w:r w:rsidRPr="0065414C">
        <w:rPr>
          <w:rFonts w:cs="Arial"/>
        </w:rPr>
        <w:t>–19 data was undertaken to identify reporting patterns within those ADRGs identified through the literature review and classification advice. These reporting patterns were then used to identify other ADRGs where bundling or capitation may be suitable</w:t>
      </w:r>
      <w:r w:rsidR="009C68D5" w:rsidRPr="0065414C">
        <w:rPr>
          <w:rFonts w:cs="Arial"/>
        </w:rPr>
        <w:t>.</w:t>
      </w:r>
    </w:p>
    <w:p w14:paraId="10D6B5CC" w14:textId="77777777" w:rsidR="009C68D5" w:rsidRPr="0065414C" w:rsidRDefault="009C68D5" w:rsidP="00081B3F">
      <w:pPr>
        <w:pStyle w:val="BodyText"/>
        <w:rPr>
          <w:rFonts w:cs="Arial"/>
          <w:szCs w:val="22"/>
        </w:rPr>
      </w:pPr>
    </w:p>
    <w:p w14:paraId="18090F48" w14:textId="77777777" w:rsidR="00081B3F" w:rsidRPr="0065414C" w:rsidRDefault="009C68D5" w:rsidP="00081B3F">
      <w:pPr>
        <w:pStyle w:val="BodyText"/>
        <w:rPr>
          <w:rFonts w:cs="Arial"/>
        </w:rPr>
      </w:pPr>
      <w:r w:rsidRPr="0065414C">
        <w:rPr>
          <w:rFonts w:cs="Arial"/>
          <w:szCs w:val="22"/>
        </w:rPr>
        <w:lastRenderedPageBreak/>
        <w:t xml:space="preserve">IHPA did not identify a potential funding model for all of the investigated ADRGs, however noted some initial findings </w:t>
      </w:r>
      <w:proofErr w:type="gramStart"/>
      <w:r w:rsidRPr="0065414C">
        <w:rPr>
          <w:rFonts w:cs="Arial"/>
          <w:szCs w:val="22"/>
        </w:rPr>
        <w:t>in regards to</w:t>
      </w:r>
      <w:proofErr w:type="gramEnd"/>
      <w:r w:rsidRPr="0065414C">
        <w:rPr>
          <w:rFonts w:cs="Arial"/>
          <w:szCs w:val="22"/>
        </w:rPr>
        <w:t xml:space="preserve"> the suitability of one of the specified funding models</w:t>
      </w:r>
      <w:r w:rsidR="00081B3F" w:rsidRPr="0065414C">
        <w:rPr>
          <w:rFonts w:cs="Arial"/>
        </w:rPr>
        <w:t>.</w:t>
      </w:r>
    </w:p>
    <w:p w14:paraId="2E9BEB2A" w14:textId="77777777" w:rsidR="009C68D5" w:rsidRPr="0065414C" w:rsidRDefault="009C68D5" w:rsidP="00081B3F">
      <w:pPr>
        <w:pStyle w:val="BodyText"/>
        <w:rPr>
          <w:rFonts w:cs="Arial"/>
        </w:rPr>
      </w:pPr>
      <w:r w:rsidRPr="0065414C">
        <w:rPr>
          <w:rFonts w:cs="Arial"/>
        </w:rPr>
        <w:t xml:space="preserve">As expected, </w:t>
      </w:r>
      <w:proofErr w:type="gramStart"/>
      <w:r w:rsidRPr="0065414C">
        <w:rPr>
          <w:rFonts w:cs="Arial"/>
        </w:rPr>
        <w:t>a large number of</w:t>
      </w:r>
      <w:proofErr w:type="gramEnd"/>
      <w:r w:rsidRPr="0065414C">
        <w:rPr>
          <w:rFonts w:cs="Arial"/>
        </w:rPr>
        <w:t xml:space="preserve"> ADRGs were well suited to ABF. For example, appendectomy was identified as being suited to ABF both by the literature review and advice from classification experts within IHPA, due to the generally urgent, short term, one-off acute care delivered under this ADRG. The predominance of unique patients and minimal activity in other streams were used to identify other ADRGs best suited to ABF.</w:t>
      </w:r>
    </w:p>
    <w:p w14:paraId="2E9971F7" w14:textId="77777777" w:rsidR="009C68D5" w:rsidRPr="0065414C" w:rsidRDefault="009C68D5" w:rsidP="00081B3F">
      <w:pPr>
        <w:pStyle w:val="BodyText"/>
        <w:rPr>
          <w:rFonts w:cs="Arial"/>
          <w:szCs w:val="22"/>
        </w:rPr>
      </w:pPr>
      <w:r w:rsidRPr="0065414C">
        <w:rPr>
          <w:rFonts w:cs="Arial"/>
        </w:rPr>
        <w:t xml:space="preserve">Initial analysis also identified several ADRGs as being potentially suitable for bundled payments or capitation payments, however further </w:t>
      </w:r>
      <w:r w:rsidRPr="0065414C">
        <w:rPr>
          <w:rFonts w:cs="Arial"/>
          <w:szCs w:val="22"/>
        </w:rPr>
        <w:t xml:space="preserve">analysis will need to be undertaken to determine which ADRGs are amenable to which funding options. This will include incorporation of additional years’ data; refinement of which ADRGs, </w:t>
      </w:r>
      <w:r w:rsidRPr="0065414C">
        <w:rPr>
          <w:rFonts w:cs="Arial"/>
        </w:rPr>
        <w:t xml:space="preserve">Australian National Subacute and Non-Acute Patient </w:t>
      </w:r>
      <w:r w:rsidRPr="0065414C">
        <w:rPr>
          <w:rFonts w:cs="Arial"/>
          <w:szCs w:val="22"/>
        </w:rPr>
        <w:t xml:space="preserve">classes, Tier 2 clinics and/or </w:t>
      </w:r>
      <w:r w:rsidRPr="0065414C">
        <w:rPr>
          <w:rFonts w:cs="Arial"/>
        </w:rPr>
        <w:t>Urgency Related Groups</w:t>
      </w:r>
      <w:r w:rsidRPr="0065414C">
        <w:rPr>
          <w:rFonts w:cs="Arial"/>
          <w:szCs w:val="22"/>
        </w:rPr>
        <w:t xml:space="preserve"> are relevant to the primary acute episode; analysis of diagnosis and chronic disease codes; and application of the </w:t>
      </w:r>
      <w:proofErr w:type="spellStart"/>
      <w:r w:rsidRPr="0065414C">
        <w:rPr>
          <w:rFonts w:cs="Arial"/>
          <w:szCs w:val="22"/>
        </w:rPr>
        <w:t>HealthLinks</w:t>
      </w:r>
      <w:proofErr w:type="spellEnd"/>
      <w:r w:rsidRPr="0065414C">
        <w:rPr>
          <w:rFonts w:cs="Arial"/>
          <w:szCs w:val="22"/>
        </w:rPr>
        <w:t xml:space="preserve"> algorithm to the national data set.</w:t>
      </w:r>
    </w:p>
    <w:p w14:paraId="4FB5E40D" w14:textId="77777777" w:rsidR="00081B3F" w:rsidRPr="0065414C" w:rsidRDefault="005710B8" w:rsidP="005710B8">
      <w:pPr>
        <w:pStyle w:val="Heading2"/>
        <w:rPr>
          <w:rFonts w:cs="Arial"/>
        </w:rPr>
      </w:pPr>
      <w:r w:rsidRPr="0065414C">
        <w:rPr>
          <w:rFonts w:cs="Arial"/>
        </w:rPr>
        <w:br w:type="column"/>
      </w:r>
      <w:bookmarkStart w:id="161" w:name="_Toc49953790"/>
      <w:bookmarkStart w:id="162" w:name="_Toc50532330"/>
      <w:r w:rsidRPr="0065414C">
        <w:rPr>
          <w:rFonts w:cs="Arial"/>
        </w:rPr>
        <w:t>11.4. Development of a framework for future funding models</w:t>
      </w:r>
      <w:bookmarkEnd w:id="161"/>
      <w:bookmarkEnd w:id="162"/>
    </w:p>
    <w:p w14:paraId="0FFA9FF7" w14:textId="77777777" w:rsidR="00081B3F" w:rsidRPr="0065414C" w:rsidRDefault="005710B8" w:rsidP="00081B3F">
      <w:pPr>
        <w:pStyle w:val="BodyText"/>
        <w:rPr>
          <w:rFonts w:cs="Arial"/>
        </w:rPr>
      </w:pPr>
      <w:r w:rsidRPr="0065414C">
        <w:rPr>
          <w:rFonts w:cs="Arial"/>
        </w:rPr>
        <w:t xml:space="preserve">IHPA is developing </w:t>
      </w:r>
      <w:r w:rsidR="0018711E">
        <w:rPr>
          <w:rFonts w:cs="Arial"/>
        </w:rPr>
        <w:t xml:space="preserve">a </w:t>
      </w:r>
      <w:r w:rsidRPr="0065414C">
        <w:rPr>
          <w:rFonts w:cs="Arial"/>
        </w:rPr>
        <w:t>framework to guide work to investigate the feasibility of future funding models at a national level. The framework will provide clear guidance to Australian governments as well as the Pricing Authority in determining its approach to trialling different funding models and how IHPA will facilitate this work</w:t>
      </w:r>
      <w:r w:rsidR="00081B3F" w:rsidRPr="0065414C">
        <w:rPr>
          <w:rFonts w:cs="Arial"/>
        </w:rPr>
        <w:t>.</w:t>
      </w:r>
    </w:p>
    <w:p w14:paraId="1CD78705" w14:textId="77777777" w:rsidR="00081B3F" w:rsidRPr="0065414C" w:rsidRDefault="005710B8" w:rsidP="00081B3F">
      <w:pPr>
        <w:pStyle w:val="BodyText"/>
        <w:rPr>
          <w:rFonts w:cs="Arial"/>
        </w:rPr>
      </w:pPr>
      <w:r w:rsidRPr="0065414C">
        <w:rPr>
          <w:rFonts w:cs="Arial"/>
        </w:rPr>
        <w:t>The key objectives of the framework are to:</w:t>
      </w:r>
    </w:p>
    <w:p w14:paraId="13639ED0" w14:textId="77777777" w:rsidR="005710B8" w:rsidRPr="0065414C" w:rsidRDefault="009D713B" w:rsidP="005710B8">
      <w:pPr>
        <w:pStyle w:val="ListParagraph"/>
        <w:rPr>
          <w:rFonts w:cs="Arial"/>
        </w:rPr>
      </w:pPr>
      <w:r w:rsidRPr="0065414C">
        <w:rPr>
          <w:rFonts w:cs="Arial"/>
        </w:rPr>
        <w:t>Promote consideration of different funding models at the national level</w:t>
      </w:r>
    </w:p>
    <w:p w14:paraId="6FD05CCA" w14:textId="77777777" w:rsidR="005710B8" w:rsidRPr="0065414C" w:rsidRDefault="009D713B" w:rsidP="005710B8">
      <w:pPr>
        <w:pStyle w:val="ListParagraph"/>
        <w:rPr>
          <w:rFonts w:cs="Arial"/>
        </w:rPr>
      </w:pPr>
      <w:r w:rsidRPr="0065414C">
        <w:rPr>
          <w:rFonts w:cs="Arial"/>
        </w:rPr>
        <w:t>Determine system design considerations, critical success factors and a pathway to implementation for any proposed funding models under the current ABF framework</w:t>
      </w:r>
    </w:p>
    <w:p w14:paraId="2784994F" w14:textId="77777777" w:rsidR="005710B8" w:rsidRPr="0065414C" w:rsidRDefault="009D713B" w:rsidP="005710B8">
      <w:pPr>
        <w:pStyle w:val="ListParagraph"/>
        <w:rPr>
          <w:rFonts w:cs="Arial"/>
        </w:rPr>
      </w:pPr>
      <w:r w:rsidRPr="0065414C">
        <w:rPr>
          <w:rFonts w:cs="Arial"/>
        </w:rPr>
        <w:t>Build on existing work to progress a national capitation model for complex chronic care and identify clinical cohorts and care types that would be amenable to a bundled pricing model</w:t>
      </w:r>
    </w:p>
    <w:p w14:paraId="24FA4324" w14:textId="77777777" w:rsidR="005710B8" w:rsidRPr="0065414C" w:rsidRDefault="009D713B" w:rsidP="005710B8">
      <w:pPr>
        <w:pStyle w:val="ListParagraph"/>
        <w:rPr>
          <w:rFonts w:cs="Arial"/>
        </w:rPr>
      </w:pPr>
      <w:r w:rsidRPr="0065414C">
        <w:rPr>
          <w:rFonts w:cs="Arial"/>
        </w:rPr>
        <w:t xml:space="preserve">Guide IHPA’s approach in how it works with states, </w:t>
      </w:r>
      <w:proofErr w:type="gramStart"/>
      <w:r w:rsidRPr="0065414C">
        <w:rPr>
          <w:rFonts w:cs="Arial"/>
        </w:rPr>
        <w:t>territories</w:t>
      </w:r>
      <w:proofErr w:type="gramEnd"/>
      <w:r w:rsidRPr="0065414C">
        <w:rPr>
          <w:rFonts w:cs="Arial"/>
        </w:rPr>
        <w:t xml:space="preserve"> and clinicians</w:t>
      </w:r>
    </w:p>
    <w:p w14:paraId="2FEE94F2" w14:textId="77777777" w:rsidR="005710B8" w:rsidRPr="0065414C" w:rsidRDefault="009D713B" w:rsidP="005710B8">
      <w:pPr>
        <w:pStyle w:val="ListParagraph"/>
        <w:rPr>
          <w:rFonts w:cs="Arial"/>
        </w:rPr>
      </w:pPr>
      <w:r w:rsidRPr="0065414C">
        <w:rPr>
          <w:rFonts w:cs="Arial"/>
        </w:rPr>
        <w:t>Establish IHPA’s remit and responsibilities in setting incentives that encourage better health outcomes and patient experiences as outlined in the Addendum</w:t>
      </w:r>
    </w:p>
    <w:p w14:paraId="6ED4CBB9" w14:textId="77777777" w:rsidR="005710B8" w:rsidRPr="0065414C" w:rsidRDefault="009D713B" w:rsidP="005710B8">
      <w:pPr>
        <w:pStyle w:val="ListParagraph"/>
        <w:rPr>
          <w:rFonts w:cs="Arial"/>
        </w:rPr>
      </w:pPr>
      <w:r w:rsidRPr="0065414C">
        <w:rPr>
          <w:rFonts w:cs="Arial"/>
        </w:rPr>
        <w:t>Provide reports to CHC as required regarding the outcomes of trials and their applicability to the national funding model</w:t>
      </w:r>
      <w:r w:rsidR="005710B8" w:rsidRPr="0065414C">
        <w:rPr>
          <w:rFonts w:cs="Arial"/>
        </w:rPr>
        <w:t>.</w:t>
      </w:r>
    </w:p>
    <w:p w14:paraId="749860CE" w14:textId="77777777" w:rsidR="005710B8" w:rsidRPr="0065414C" w:rsidRDefault="005710B8" w:rsidP="005710B8">
      <w:pPr>
        <w:pStyle w:val="Heading2"/>
        <w:rPr>
          <w:rFonts w:cs="Arial"/>
        </w:rPr>
      </w:pPr>
      <w:r w:rsidRPr="0065414C">
        <w:rPr>
          <w:rFonts w:cs="Arial"/>
        </w:rPr>
        <w:br w:type="page"/>
      </w:r>
    </w:p>
    <w:p w14:paraId="14C6AE8F" w14:textId="77777777" w:rsidR="0050196C" w:rsidRPr="0065414C" w:rsidRDefault="002C65AA" w:rsidP="005710B8">
      <w:pPr>
        <w:pStyle w:val="Heading2"/>
        <w:rPr>
          <w:rFonts w:cs="Arial"/>
        </w:rPr>
      </w:pPr>
      <w:bookmarkStart w:id="163" w:name="_Toc49953791"/>
      <w:bookmarkStart w:id="164" w:name="_Toc50532331"/>
      <w:r w:rsidRPr="0065414C">
        <w:rPr>
          <w:rFonts w:cs="Arial"/>
          <w:noProof/>
          <w:lang w:eastAsia="en-AU" w:bidi="ar-SA"/>
        </w:rPr>
        <w:lastRenderedPageBreak/>
        <w:drawing>
          <wp:anchor distT="0" distB="0" distL="114300" distR="114300" simplePos="0" relativeHeight="251667456" behindDoc="0" locked="0" layoutInCell="1" allowOverlap="1" wp14:anchorId="3D9C061C" wp14:editId="0FCD4E09">
            <wp:simplePos x="0" y="0"/>
            <wp:positionH relativeFrom="column">
              <wp:posOffset>3136324</wp:posOffset>
            </wp:positionH>
            <wp:positionV relativeFrom="page">
              <wp:posOffset>1080770</wp:posOffset>
            </wp:positionV>
            <wp:extent cx="239183" cy="215265"/>
            <wp:effectExtent l="0" t="0" r="0" b="0"/>
            <wp:wrapNone/>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39183" cy="215265"/>
                    </a:xfrm>
                    <a:prstGeom prst="rect">
                      <a:avLst/>
                    </a:prstGeom>
                  </pic:spPr>
                </pic:pic>
              </a:graphicData>
            </a:graphic>
          </wp:anchor>
        </w:drawing>
      </w:r>
      <w:r w:rsidRPr="0065414C">
        <w:rPr>
          <w:rFonts w:cs="Arial"/>
          <w:noProof/>
          <w:lang w:eastAsia="en-AU" w:bidi="ar-SA"/>
        </w:rPr>
        <mc:AlternateContent>
          <mc:Choice Requires="wps">
            <w:drawing>
              <wp:anchor distT="0" distB="144145" distL="0" distR="0" simplePos="0" relativeHeight="251618296" behindDoc="1" locked="0" layoutInCell="1" allowOverlap="1" wp14:anchorId="01DE57CD" wp14:editId="5237709B">
                <wp:simplePos x="0" y="0"/>
                <wp:positionH relativeFrom="margin">
                  <wp:align>right</wp:align>
                </wp:positionH>
                <wp:positionV relativeFrom="paragraph">
                  <wp:posOffset>17676</wp:posOffset>
                </wp:positionV>
                <wp:extent cx="2743200" cy="3848100"/>
                <wp:effectExtent l="0" t="0" r="19050" b="19050"/>
                <wp:wrapTopAndBottom/>
                <wp:docPr id="38" name="Text Box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848100"/>
                        </a:xfrm>
                        <a:prstGeom prst="rect">
                          <a:avLst/>
                        </a:prstGeom>
                        <a:noFill/>
                        <a:ln w="9525">
                          <a:solidFill>
                            <a:schemeClr val="accent5">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C9C6D9B" w14:textId="77777777" w:rsidR="001C5C18" w:rsidRPr="00693365" w:rsidRDefault="001C5C18" w:rsidP="002466F4">
                            <w:pPr>
                              <w:pStyle w:val="Questionheading"/>
                            </w:pPr>
                            <w:bookmarkStart w:id="165" w:name="Question40"/>
                            <w:r>
                              <w:t>Consultation questions</w:t>
                            </w:r>
                          </w:p>
                          <w:bookmarkEnd w:id="165"/>
                          <w:p w14:paraId="08258F41" w14:textId="77777777" w:rsidR="001C5C18" w:rsidRDefault="001C5C18" w:rsidP="002466F4">
                            <w:pPr>
                              <w:pStyle w:val="ListParagraph"/>
                              <w:ind w:left="567" w:right="329"/>
                            </w:pPr>
                            <w:r>
                              <w:t>What comments do stakeholders have regarding the innovative funding models being considered by IHPA</w:t>
                            </w:r>
                            <w:r w:rsidRPr="002466F4">
                              <w:t>?</w:t>
                            </w:r>
                          </w:p>
                          <w:p w14:paraId="23F57014" w14:textId="77777777" w:rsidR="001C5C18" w:rsidRDefault="001C5C18" w:rsidP="002466F4">
                            <w:pPr>
                              <w:pStyle w:val="ListParagraph"/>
                              <w:ind w:left="567" w:right="329"/>
                            </w:pPr>
                            <w:r>
                              <w:t>What innovative funding models are states and territories intending to trial through bilateral agreements under the Addendum</w:t>
                            </w:r>
                            <w:r w:rsidRPr="002466F4">
                              <w:t>?</w:t>
                            </w:r>
                          </w:p>
                          <w:p w14:paraId="19D98356" w14:textId="77777777" w:rsidR="001C5C18" w:rsidRDefault="001C5C18" w:rsidP="002466F4">
                            <w:pPr>
                              <w:pStyle w:val="ListParagraph"/>
                              <w:ind w:left="567" w:right="329"/>
                            </w:pPr>
                            <w:r>
                              <w:t>Are there other factors that IHPA should consider in its analysis to determine which patient cohorts or ADRGs are amenable to certain funding models?</w:t>
                            </w:r>
                          </w:p>
                          <w:p w14:paraId="48904C70" w14:textId="77777777" w:rsidR="001C5C18" w:rsidRDefault="001C5C18" w:rsidP="002466F4">
                            <w:pPr>
                              <w:pStyle w:val="ListParagraph"/>
                              <w:ind w:left="567" w:right="329"/>
                            </w:pPr>
                            <w:r>
                              <w:t>What other strategic areas should IHPA consider in developing a framework for future funding models?</w:t>
                            </w:r>
                          </w:p>
                          <w:p w14:paraId="62D1487D" w14:textId="77777777" w:rsidR="001C5C18" w:rsidRDefault="001C5C18" w:rsidP="002466F4">
                            <w:pPr>
                              <w:pStyle w:val="ListParagraph"/>
                              <w:ind w:left="567" w:right="329"/>
                            </w:pPr>
                            <w:r>
                              <w:t>Apart from the IHI, what other critical success factors are required to support the implementation of innovative funding models?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DE57CD" id="Text Box 46" o:spid="_x0000_s1041" type="#_x0000_t202" alt="&quot;&quot;" style="position:absolute;margin-left:164.8pt;margin-top:1.4pt;width:3in;height:303pt;z-index:-251698184;visibility:visible;mso-wrap-style:square;mso-width-percent:0;mso-height-percent:0;mso-wrap-distance-left:0;mso-wrap-distance-top:0;mso-wrap-distance-right:0;mso-wrap-distance-bottom:11.35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" filled="f" strokecolor="#5f2f7e [3208]">
                <v:textbox inset="0,0,0,0">
                  <w:txbxContent>
                    <w:p w14:paraId="2C9C6D9B" w14:textId="77777777" w:rsidR="001C5C18" w:rsidRPr="00693365" w:rsidRDefault="001C5C18" w:rsidP="002466F4">
                      <w:pPr>
                        <w:pStyle w:val="Questionheading"/>
                      </w:pPr>
                      <w:bookmarkStart w:id="166" w:name="Question40"/>
                      <w:r>
                        <w:t>Consultation questions</w:t>
                      </w:r>
                    </w:p>
                    <w:bookmarkEnd w:id="166"/>
                    <w:p w14:paraId="08258F41" w14:textId="77777777" w:rsidR="001C5C18" w:rsidRDefault="001C5C18" w:rsidP="002466F4">
                      <w:pPr>
                        <w:pStyle w:val="ListParagraph"/>
                        <w:ind w:left="567" w:right="329"/>
                      </w:pPr>
                      <w:r>
                        <w:t>What comments do stakeholders have regarding the innovative funding models being considered by IHPA</w:t>
                      </w:r>
                      <w:r w:rsidRPr="002466F4">
                        <w:t>?</w:t>
                      </w:r>
                    </w:p>
                    <w:p w14:paraId="23F57014" w14:textId="77777777" w:rsidR="001C5C18" w:rsidRDefault="001C5C18" w:rsidP="002466F4">
                      <w:pPr>
                        <w:pStyle w:val="ListParagraph"/>
                        <w:ind w:left="567" w:right="329"/>
                      </w:pPr>
                      <w:r>
                        <w:t>What innovative funding models are states and territories intending to trial through bilateral agreements under the Addendum</w:t>
                      </w:r>
                      <w:r w:rsidRPr="002466F4">
                        <w:t>?</w:t>
                      </w:r>
                    </w:p>
                    <w:p w14:paraId="19D98356" w14:textId="77777777" w:rsidR="001C5C18" w:rsidRDefault="001C5C18" w:rsidP="002466F4">
                      <w:pPr>
                        <w:pStyle w:val="ListParagraph"/>
                        <w:ind w:left="567" w:right="329"/>
                      </w:pPr>
                      <w:r>
                        <w:t>Are there other factors that IHPA should consider in its analysis to determine which patient cohorts or ADRGs are amenable to certain funding models?</w:t>
                      </w:r>
                    </w:p>
                    <w:p w14:paraId="48904C70" w14:textId="77777777" w:rsidR="001C5C18" w:rsidRDefault="001C5C18" w:rsidP="002466F4">
                      <w:pPr>
                        <w:pStyle w:val="ListParagraph"/>
                        <w:ind w:left="567" w:right="329"/>
                      </w:pPr>
                      <w:r>
                        <w:t>What other strategic areas should IHPA consider in developing a framework for future funding models?</w:t>
                      </w:r>
                    </w:p>
                    <w:p w14:paraId="62D1487D" w14:textId="77777777" w:rsidR="001C5C18" w:rsidRDefault="001C5C18" w:rsidP="002466F4">
                      <w:pPr>
                        <w:pStyle w:val="ListParagraph"/>
                        <w:ind w:left="567" w:right="329"/>
                      </w:pPr>
                      <w:r>
                        <w:t>Apart from the IHI, what other critical success factors are required to support the implementation of innovative funding models?</w:t>
                      </w:r>
                    </w:p>
                  </w:txbxContent>
                </v:textbox>
                <w10:wrap type="topAndBottom" anchorx="margin"/>
              </v:shape>
            </w:pict>
          </mc:Fallback>
        </mc:AlternateContent>
      </w:r>
      <w:r w:rsidR="0050196C" w:rsidRPr="0065414C">
        <w:rPr>
          <w:rFonts w:cs="Arial"/>
        </w:rPr>
        <w:t>11.</w:t>
      </w:r>
      <w:r w:rsidR="005710B8" w:rsidRPr="0065414C">
        <w:rPr>
          <w:rFonts w:cs="Arial"/>
        </w:rPr>
        <w:t>5</w:t>
      </w:r>
      <w:r w:rsidR="0050196C" w:rsidRPr="0065414C">
        <w:rPr>
          <w:rFonts w:cs="Arial"/>
        </w:rPr>
        <w:t>. Individual Healthcare Identifier</w:t>
      </w:r>
      <w:bookmarkEnd w:id="163"/>
      <w:bookmarkEnd w:id="164"/>
    </w:p>
    <w:p w14:paraId="252350D5" w14:textId="77777777" w:rsidR="0050196C" w:rsidRPr="0065414C" w:rsidRDefault="005710B8" w:rsidP="0050196C">
      <w:pPr>
        <w:pStyle w:val="BodyText"/>
        <w:rPr>
          <w:rFonts w:cs="Arial"/>
        </w:rPr>
      </w:pPr>
      <w:r w:rsidRPr="0065414C">
        <w:rPr>
          <w:rFonts w:cs="Arial"/>
        </w:rPr>
        <w:t>Key barriers to more patient-centred funding models include the way that hospital services are classified and the difficulties in tracking a patient across these different settings (for example, acute care or non-admitted care). In 2016 IHPA undertook a program of work to explore a national bundled pricing model for maternity services (intended to cover antenatal, admission for delivery and postnatal services). However, this model was not able to be implemented due to the absence of a nationally consistent unique patient identifier</w:t>
      </w:r>
      <w:r w:rsidR="0050196C" w:rsidRPr="0065414C">
        <w:rPr>
          <w:rFonts w:cs="Arial"/>
        </w:rPr>
        <w:t xml:space="preserve">. </w:t>
      </w:r>
    </w:p>
    <w:p w14:paraId="56E0CDA6" w14:textId="77777777" w:rsidR="0050196C" w:rsidRPr="0065414C" w:rsidRDefault="005710B8" w:rsidP="0050196C">
      <w:pPr>
        <w:pStyle w:val="BodyText"/>
        <w:rPr>
          <w:rFonts w:cs="Arial"/>
        </w:rPr>
      </w:pPr>
      <w:r w:rsidRPr="0065414C">
        <w:rPr>
          <w:rFonts w:cs="Arial"/>
        </w:rPr>
        <w:t>A unique patient identifier such as the Individual Healthcare Identifier (IHI) is one way to enable a patient to be tracked across the different classification system data sets, and more accurately allow for the pathway of care to be classified and costs attributed accordingly. Further, a patient identifier is a key requirement to ensure that the Commonwealth does not contribute for a patient’s care multiple times under alternate funding models (for example, through both ABF and the Medicare Benefits Schedule)</w:t>
      </w:r>
      <w:r w:rsidR="0050196C" w:rsidRPr="0065414C">
        <w:rPr>
          <w:rFonts w:cs="Arial"/>
        </w:rPr>
        <w:t>.</w:t>
      </w:r>
    </w:p>
    <w:p w14:paraId="093E4415" w14:textId="77777777" w:rsidR="00A81C79" w:rsidRPr="0065414C" w:rsidRDefault="005710B8" w:rsidP="0050196C">
      <w:pPr>
        <w:pStyle w:val="BodyText"/>
        <w:rPr>
          <w:rFonts w:cs="Arial"/>
        </w:rPr>
      </w:pPr>
      <w:r w:rsidRPr="0065414C">
        <w:rPr>
          <w:rFonts w:cs="Arial"/>
        </w:rPr>
        <w:t xml:space="preserve">IHPA has previously sought comment through the Consultation Paper 2020–21 regarding the provision of the IHI as part of national data sets. Jurisdictions </w:t>
      </w:r>
      <w:r w:rsidR="002117A9">
        <w:rPr>
          <w:rFonts w:cs="Arial"/>
        </w:rPr>
        <w:t>are working through</w:t>
      </w:r>
      <w:r w:rsidRPr="0065414C">
        <w:rPr>
          <w:rFonts w:cs="Arial"/>
        </w:rPr>
        <w:t xml:space="preserve"> varying issues relating to the provision of the IHI including privacy concerns, information technology system issues and data accuracy concerns</w:t>
      </w:r>
      <w:r w:rsidR="0050196C" w:rsidRPr="0065414C">
        <w:rPr>
          <w:rFonts w:cs="Arial"/>
        </w:rPr>
        <w:t>.</w:t>
      </w:r>
    </w:p>
    <w:p w14:paraId="34C686E3" w14:textId="77777777" w:rsidR="005710B8" w:rsidRPr="0065414C" w:rsidRDefault="002117A9" w:rsidP="0050196C">
      <w:pPr>
        <w:pStyle w:val="BodyText"/>
        <w:rPr>
          <w:rFonts w:cs="Arial"/>
        </w:rPr>
      </w:pPr>
      <w:r>
        <w:rPr>
          <w:rFonts w:cs="Arial"/>
        </w:rPr>
        <w:t>I</w:t>
      </w:r>
      <w:r w:rsidR="005710B8" w:rsidRPr="0065414C">
        <w:rPr>
          <w:rFonts w:cs="Arial"/>
        </w:rPr>
        <w:t>HPA will continue to work with jurisdictions individually to address concerns in providing the IHI to find a way forward in the collection of this data.</w:t>
      </w:r>
    </w:p>
    <w:p w14:paraId="3F318137" w14:textId="77777777" w:rsidR="00A81C79" w:rsidRPr="0065414C" w:rsidRDefault="00A81C79" w:rsidP="00081B3F">
      <w:pPr>
        <w:pStyle w:val="BodyText"/>
        <w:rPr>
          <w:rFonts w:cs="Arial"/>
        </w:rPr>
      </w:pPr>
    </w:p>
    <w:p w14:paraId="6936F125" w14:textId="77777777" w:rsidR="002466F4" w:rsidRPr="0065414C" w:rsidRDefault="002466F4" w:rsidP="00081B3F">
      <w:pPr>
        <w:pStyle w:val="BodyText"/>
        <w:rPr>
          <w:rFonts w:cs="Arial"/>
        </w:rPr>
      </w:pPr>
    </w:p>
    <w:p w14:paraId="7BCE144B" w14:textId="77777777" w:rsidR="00C415F5" w:rsidRPr="0065414C" w:rsidRDefault="00C415F5">
      <w:pPr>
        <w:spacing w:line="256" w:lineRule="auto"/>
        <w:rPr>
          <w:rFonts w:cs="Arial"/>
        </w:rPr>
        <w:sectPr w:rsidR="00C415F5" w:rsidRPr="0065414C" w:rsidSect="00085021">
          <w:headerReference w:type="default" r:id="rId92"/>
          <w:pgSz w:w="11910" w:h="16840"/>
          <w:pgMar w:top="1440" w:right="1440" w:bottom="1440" w:left="1440" w:header="0" w:footer="656" w:gutter="0"/>
          <w:cols w:num="2" w:space="340"/>
        </w:sectPr>
      </w:pPr>
    </w:p>
    <w:p w14:paraId="2BED8B1E" w14:textId="77777777" w:rsidR="00C82911" w:rsidRPr="0065414C" w:rsidRDefault="00C82911" w:rsidP="005B7291">
      <w:pPr>
        <w:pStyle w:val="SectionNumber"/>
      </w:pPr>
      <w:bookmarkStart w:id="167" w:name="_bookmark22"/>
      <w:bookmarkStart w:id="168" w:name="_Toc49953792"/>
      <w:bookmarkEnd w:id="167"/>
      <w:r w:rsidRPr="0065414C">
        <w:lastRenderedPageBreak/>
        <w:drawing>
          <wp:anchor distT="0" distB="0" distL="114300" distR="114300" simplePos="0" relativeHeight="251660288" behindDoc="1" locked="0" layoutInCell="1" allowOverlap="1" wp14:anchorId="71C63409" wp14:editId="5BC73C32">
            <wp:simplePos x="0" y="0"/>
            <wp:positionH relativeFrom="margin">
              <wp:posOffset>-914399</wp:posOffset>
            </wp:positionH>
            <wp:positionV relativeFrom="page">
              <wp:posOffset>954157</wp:posOffset>
            </wp:positionV>
            <wp:extent cx="5462267" cy="3577465"/>
            <wp:effectExtent l="0" t="0" r="0" b="0"/>
            <wp:wrapNone/>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5462267" cy="3577465"/>
                    </a:xfrm>
                    <a:prstGeom prst="rect">
                      <a:avLst/>
                    </a:prstGeom>
                    <a:noFill/>
                    <a:ln>
                      <a:noFill/>
                    </a:ln>
                  </pic:spPr>
                </pic:pic>
              </a:graphicData>
            </a:graphic>
          </wp:anchor>
        </w:drawing>
      </w:r>
      <w:r w:rsidR="00C972BD" w:rsidRPr="0065414C">
        <w:t>12</w:t>
      </w:r>
      <w:bookmarkEnd w:id="168"/>
    </w:p>
    <w:p w14:paraId="52FEB9C4" w14:textId="77777777" w:rsidR="00586245" w:rsidRPr="0065414C" w:rsidRDefault="00C82911" w:rsidP="005B7291">
      <w:pPr>
        <w:pStyle w:val="Sectionheader"/>
        <w:ind w:right="2934"/>
      </w:pPr>
      <w:bookmarkStart w:id="169" w:name="_Toc49953793"/>
      <w:bookmarkStart w:id="170" w:name="_Toc50532332"/>
      <w:r w:rsidRPr="0065414C">
        <w:t>Pricing and funding for safety and quality</w:t>
      </w:r>
      <w:bookmarkEnd w:id="169"/>
      <w:bookmarkEnd w:id="170"/>
    </w:p>
    <w:p w14:paraId="11297311" w14:textId="77777777" w:rsidR="00C972BD" w:rsidRPr="0065414C" w:rsidRDefault="00C972BD">
      <w:pPr>
        <w:spacing w:line="256" w:lineRule="auto"/>
        <w:rPr>
          <w:rFonts w:cs="Arial"/>
        </w:rPr>
        <w:sectPr w:rsidR="00C972BD" w:rsidRPr="0065414C" w:rsidSect="00C82911">
          <w:headerReference w:type="default" r:id="rId93"/>
          <w:pgSz w:w="11910" w:h="16840"/>
          <w:pgMar w:top="3969" w:right="1440" w:bottom="1440" w:left="1440" w:header="0" w:footer="658" w:gutter="0"/>
          <w:cols w:space="340"/>
        </w:sectPr>
      </w:pPr>
    </w:p>
    <w:p w14:paraId="7E300500" w14:textId="77777777" w:rsidR="00C972BD" w:rsidRPr="0065414C" w:rsidRDefault="00C972BD" w:rsidP="00A24EE9">
      <w:pPr>
        <w:pStyle w:val="Heading1"/>
        <w:ind w:left="1418" w:hanging="1276"/>
        <w:rPr>
          <w:rFonts w:cs="Arial"/>
        </w:rPr>
      </w:pPr>
      <w:bookmarkStart w:id="171" w:name="_Toc45809641"/>
      <w:bookmarkStart w:id="172" w:name="_Toc49953794"/>
      <w:r w:rsidRPr="0065414C">
        <w:rPr>
          <w:rFonts w:cs="Arial"/>
          <w:noProof/>
          <w:color w:val="FFFFFF" w:themeColor="background1"/>
          <w:lang w:eastAsia="en-AU" w:bidi="ar-SA"/>
        </w:rPr>
        <w:lastRenderedPageBreak/>
        <w:drawing>
          <wp:anchor distT="0" distB="0" distL="114300" distR="114300" simplePos="0" relativeHeight="251661312" behindDoc="1" locked="0" layoutInCell="1" allowOverlap="1" wp14:anchorId="055D3EFB" wp14:editId="6545DD7A">
            <wp:simplePos x="0" y="0"/>
            <wp:positionH relativeFrom="column">
              <wp:posOffset>-914400</wp:posOffset>
            </wp:positionH>
            <wp:positionV relativeFrom="page">
              <wp:posOffset>651179</wp:posOffset>
            </wp:positionV>
            <wp:extent cx="1685422" cy="946148"/>
            <wp:effectExtent l="0" t="0" r="0" b="0"/>
            <wp:wrapNone/>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1685422" cy="946148"/>
                    </a:xfrm>
                    <a:prstGeom prst="rect">
                      <a:avLst/>
                    </a:prstGeom>
                    <a:noFill/>
                    <a:ln>
                      <a:noFill/>
                    </a:ln>
                  </pic:spPr>
                </pic:pic>
              </a:graphicData>
            </a:graphic>
          </wp:anchor>
        </w:drawing>
      </w:r>
      <w:r w:rsidRPr="0065414C">
        <w:rPr>
          <w:rFonts w:cs="Arial"/>
          <w:color w:val="FFFFFF" w:themeColor="background1"/>
        </w:rPr>
        <w:t>12</w:t>
      </w:r>
      <w:r w:rsidRPr="0065414C">
        <w:rPr>
          <w:rFonts w:cs="Arial"/>
        </w:rPr>
        <w:tab/>
      </w:r>
      <w:r w:rsidRPr="0065414C">
        <w:rPr>
          <w:rFonts w:cs="Arial"/>
        </w:rPr>
        <w:tab/>
        <w:t>Pricing and funding for safety and quality</w:t>
      </w:r>
      <w:bookmarkEnd w:id="171"/>
      <w:bookmarkEnd w:id="172"/>
    </w:p>
    <w:p w14:paraId="133CC930" w14:textId="77777777" w:rsidR="00C972BD" w:rsidRPr="0065414C" w:rsidRDefault="00C972BD" w:rsidP="00C972BD">
      <w:pPr>
        <w:pStyle w:val="BodyText"/>
        <w:rPr>
          <w:rFonts w:cs="Arial"/>
        </w:rPr>
      </w:pPr>
    </w:p>
    <w:p w14:paraId="1DFEF767" w14:textId="77777777" w:rsidR="00C972BD" w:rsidRPr="0065414C" w:rsidRDefault="00C972BD" w:rsidP="00C972BD">
      <w:pPr>
        <w:pStyle w:val="BodyText"/>
        <w:rPr>
          <w:rFonts w:cs="Arial"/>
        </w:rPr>
        <w:sectPr w:rsidR="00C972BD" w:rsidRPr="0065414C" w:rsidSect="00A24EE9">
          <w:pgSz w:w="11910" w:h="16840"/>
          <w:pgMar w:top="1418" w:right="1440" w:bottom="1440" w:left="1440" w:header="0" w:footer="658" w:gutter="0"/>
          <w:cols w:space="340"/>
        </w:sectPr>
      </w:pPr>
    </w:p>
    <w:p w14:paraId="5965F066" w14:textId="77777777" w:rsidR="00654358" w:rsidRPr="0065414C" w:rsidRDefault="00654358" w:rsidP="00654358">
      <w:pPr>
        <w:pStyle w:val="Heading2"/>
        <w:spacing w:before="0"/>
        <w:rPr>
          <w:rFonts w:cs="Arial"/>
        </w:rPr>
      </w:pPr>
      <w:bookmarkStart w:id="173" w:name="_Toc49953795"/>
      <w:bookmarkStart w:id="174" w:name="_Toc50532333"/>
      <w:r w:rsidRPr="0065414C">
        <w:rPr>
          <w:rFonts w:cs="Arial"/>
        </w:rPr>
        <w:t>12.1.</w:t>
      </w:r>
      <w:r w:rsidR="00F43091" w:rsidRPr="0065414C">
        <w:rPr>
          <w:rFonts w:cs="Arial"/>
        </w:rPr>
        <w:t xml:space="preserve"> </w:t>
      </w:r>
      <w:r w:rsidRPr="0065414C">
        <w:rPr>
          <w:rFonts w:cs="Arial"/>
        </w:rPr>
        <w:t>Overview</w:t>
      </w:r>
      <w:bookmarkEnd w:id="173"/>
      <w:bookmarkEnd w:id="174"/>
    </w:p>
    <w:p w14:paraId="36C46BEC" w14:textId="77777777" w:rsidR="00654358" w:rsidRPr="0065414C" w:rsidRDefault="00CB6ACA" w:rsidP="00654358">
      <w:pPr>
        <w:pStyle w:val="BodyText"/>
        <w:rPr>
          <w:rFonts w:cs="Arial"/>
        </w:rPr>
      </w:pPr>
      <w:r w:rsidRPr="0065414C">
        <w:rPr>
          <w:rFonts w:cs="Arial"/>
        </w:rPr>
        <w:t>The Addendum to the National Health Reform Agreement (the Addendum) sees the Commonwealth and state and territory governments recommit to improving Australian health outcomes and decreasing avoidable demand for public hospital services</w:t>
      </w:r>
      <w:r w:rsidR="00654358" w:rsidRPr="0065414C">
        <w:rPr>
          <w:rFonts w:cs="Arial"/>
        </w:rPr>
        <w:t xml:space="preserve">. </w:t>
      </w:r>
    </w:p>
    <w:p w14:paraId="286D01AC" w14:textId="77777777" w:rsidR="00654358" w:rsidRPr="0065414C" w:rsidRDefault="00CB6ACA" w:rsidP="00654358">
      <w:pPr>
        <w:pStyle w:val="BodyText"/>
        <w:rPr>
          <w:rFonts w:cs="Arial"/>
        </w:rPr>
      </w:pPr>
      <w:r w:rsidRPr="0065414C">
        <w:rPr>
          <w:rFonts w:cs="Arial"/>
        </w:rPr>
        <w:t>The Independent Hospital Pricing Authority (IHPA) and the Australian Commission on Safety and Quality in Health Care (the Commission) have followed a program of collaborative work to consider the incorporation of safety and quality measures into the national efficient price (NEP) Determination</w:t>
      </w:r>
      <w:r w:rsidR="00654358" w:rsidRPr="0065414C">
        <w:rPr>
          <w:rFonts w:cs="Arial"/>
        </w:rPr>
        <w:t>.</w:t>
      </w:r>
    </w:p>
    <w:p w14:paraId="78E5DB27" w14:textId="77777777" w:rsidR="00654358" w:rsidRPr="0065414C" w:rsidRDefault="00CB6ACA" w:rsidP="00654358">
      <w:pPr>
        <w:pStyle w:val="BodyText"/>
        <w:rPr>
          <w:rFonts w:cs="Arial"/>
        </w:rPr>
      </w:pPr>
      <w:r w:rsidRPr="0065414C">
        <w:rPr>
          <w:rFonts w:cs="Arial"/>
        </w:rPr>
        <w:t>IHPA was required to advise on an option or options for a comprehensive and risk adjusted model to determine how funding and pricing could be used to improve patient outcomes across three key areas: sentinel events, hospital acquired complications (HACs) and avoidable hospital readmissions</w:t>
      </w:r>
      <w:r w:rsidR="00654358" w:rsidRPr="0065414C">
        <w:rPr>
          <w:rFonts w:cs="Arial"/>
        </w:rPr>
        <w:t>.</w:t>
      </w:r>
    </w:p>
    <w:p w14:paraId="251565CC" w14:textId="77777777" w:rsidR="00654358" w:rsidRPr="0065414C" w:rsidRDefault="00CB6ACA" w:rsidP="00654358">
      <w:pPr>
        <w:pStyle w:val="BodyText"/>
        <w:rPr>
          <w:rFonts w:cs="Arial"/>
        </w:rPr>
      </w:pPr>
      <w:r w:rsidRPr="0065414C">
        <w:rPr>
          <w:rFonts w:cs="Arial"/>
        </w:rPr>
        <w:t>Funding adjustments related to sentinel events were introduced in July 2017, followed by funding adjustments for HACs in July 2018</w:t>
      </w:r>
      <w:r w:rsidR="00654358" w:rsidRPr="0065414C">
        <w:rPr>
          <w:rFonts w:cs="Arial"/>
        </w:rPr>
        <w:t xml:space="preserve">. </w:t>
      </w:r>
    </w:p>
    <w:p w14:paraId="40EF1C0D" w14:textId="77777777" w:rsidR="00654358" w:rsidRPr="0065414C" w:rsidRDefault="00CB6ACA" w:rsidP="00654358">
      <w:pPr>
        <w:pStyle w:val="BodyText"/>
        <w:rPr>
          <w:rFonts w:cs="Arial"/>
        </w:rPr>
      </w:pPr>
      <w:r w:rsidRPr="0065414C">
        <w:rPr>
          <w:rFonts w:cs="Arial"/>
        </w:rPr>
        <w:t>As per clause A171 of the Addendum, IHPA is required to develop a pricing model for avoidable hospital readmissions for implementation by 1</w:t>
      </w:r>
      <w:r w:rsidR="00B71222">
        <w:rPr>
          <w:rFonts w:cs="Arial"/>
        </w:rPr>
        <w:t> </w:t>
      </w:r>
      <w:r w:rsidRPr="0065414C">
        <w:rPr>
          <w:rFonts w:cs="Arial"/>
        </w:rPr>
        <w:t>July 2021</w:t>
      </w:r>
      <w:r w:rsidR="00654358" w:rsidRPr="0065414C">
        <w:rPr>
          <w:rFonts w:cs="Arial"/>
        </w:rPr>
        <w:t>.</w:t>
      </w:r>
    </w:p>
    <w:p w14:paraId="3013E981" w14:textId="77777777" w:rsidR="00654358" w:rsidRPr="0065414C" w:rsidRDefault="00A3126A" w:rsidP="00766B86">
      <w:pPr>
        <w:pStyle w:val="Heading2"/>
        <w:spacing w:before="0"/>
        <w:rPr>
          <w:rFonts w:cs="Arial"/>
        </w:rPr>
      </w:pPr>
      <w:r w:rsidRPr="0065414C">
        <w:rPr>
          <w:rFonts w:cs="Arial"/>
        </w:rPr>
        <w:br w:type="column"/>
      </w:r>
      <w:bookmarkStart w:id="175" w:name="_Toc49953796"/>
      <w:bookmarkStart w:id="176" w:name="_Toc50532334"/>
      <w:r w:rsidR="00654358" w:rsidRPr="0065414C">
        <w:rPr>
          <w:rFonts w:cs="Arial"/>
        </w:rPr>
        <w:t>12.2. Sentinel events</w:t>
      </w:r>
      <w:bookmarkEnd w:id="175"/>
      <w:bookmarkEnd w:id="176"/>
    </w:p>
    <w:p w14:paraId="06F1B7FC" w14:textId="77777777" w:rsidR="00654358" w:rsidRPr="0065414C" w:rsidRDefault="00CB6ACA" w:rsidP="00654358">
      <w:pPr>
        <w:pStyle w:val="BodyText"/>
        <w:rPr>
          <w:rFonts w:cs="Arial"/>
        </w:rPr>
      </w:pPr>
      <w:r w:rsidRPr="0065414C">
        <w:rPr>
          <w:rFonts w:cs="Arial"/>
        </w:rPr>
        <w:t>In 2002, Australian Health Ministers agreed on the Australian Sentinel Events List, a national set of sentinel events. Sentinel events are defined by the Commission as a subset of adverse patient safety events that are wholly preventable and result in serious harm to, or death of, a patient</w:t>
      </w:r>
      <w:r w:rsidR="00654358" w:rsidRPr="0065414C">
        <w:rPr>
          <w:rFonts w:cs="Arial"/>
        </w:rPr>
        <w:t xml:space="preserve">. </w:t>
      </w:r>
    </w:p>
    <w:p w14:paraId="022BE1EB" w14:textId="77777777" w:rsidR="00654358" w:rsidRPr="0065414C" w:rsidRDefault="00CB6ACA" w:rsidP="00654358">
      <w:pPr>
        <w:pStyle w:val="BodyText"/>
        <w:rPr>
          <w:rFonts w:cs="Arial"/>
        </w:rPr>
      </w:pPr>
      <w:r w:rsidRPr="0065414C">
        <w:rPr>
          <w:rFonts w:cs="Arial"/>
        </w:rPr>
        <w:t>Since 1 July 2017, IHPA has specified that an episode of care including a sentinel event will not be funded. A zero National Weighted Activity Unit (NWAU) is assigned to episodes with a sentinel event. This approach is applied to all hospitals, whether funded on an activity basis or a block funded basis. As sentinel events are not currently reported in national data sets, states and territories submit an additional data file identifying episodes where a sentinel event occurred</w:t>
      </w:r>
      <w:r w:rsidR="00654358" w:rsidRPr="0065414C">
        <w:rPr>
          <w:rFonts w:cs="Arial"/>
        </w:rPr>
        <w:t>.</w:t>
      </w:r>
    </w:p>
    <w:p w14:paraId="68869DA8" w14:textId="77777777" w:rsidR="00C972BD" w:rsidRPr="0065414C" w:rsidRDefault="00CB6ACA" w:rsidP="00654358">
      <w:pPr>
        <w:pStyle w:val="BodyText"/>
        <w:rPr>
          <w:rFonts w:cs="Arial"/>
        </w:rPr>
      </w:pPr>
      <w:r w:rsidRPr="0065414C">
        <w:rPr>
          <w:rFonts w:cs="Arial"/>
        </w:rPr>
        <w:t xml:space="preserve">Per the Addendum (clauses A165–A166), IHPA will continue to assign zero NWAU to episodes with a sentinel event for </w:t>
      </w:r>
      <w:r w:rsidRPr="0065414C">
        <w:rPr>
          <w:rFonts w:eastAsia="Arial" w:cs="Arial"/>
          <w:szCs w:val="22"/>
        </w:rPr>
        <w:t>the National Efficient Price Determination 2021–22 (</w:t>
      </w:r>
      <w:r w:rsidRPr="0065414C">
        <w:rPr>
          <w:rFonts w:cs="Arial"/>
        </w:rPr>
        <w:t xml:space="preserve">NEP21) using Version 2.0 of the Australian Sentinel Events List published on the Commission’s </w:t>
      </w:r>
      <w:hyperlink r:id="rId94" w:history="1">
        <w:r w:rsidR="00654358" w:rsidRPr="0065414C">
          <w:rPr>
            <w:rStyle w:val="Hyperlink"/>
            <w:rFonts w:cs="Arial"/>
            <w:i/>
            <w:iCs/>
          </w:rPr>
          <w:t>website</w:t>
        </w:r>
      </w:hyperlink>
      <w:r w:rsidR="00654358" w:rsidRPr="0065414C">
        <w:rPr>
          <w:rFonts w:cs="Arial"/>
        </w:rPr>
        <w:t>.</w:t>
      </w:r>
    </w:p>
    <w:p w14:paraId="0F5B1319" w14:textId="77777777" w:rsidR="003430A1" w:rsidRPr="0065414C" w:rsidRDefault="00A3126A" w:rsidP="00CB6ACA">
      <w:pPr>
        <w:pStyle w:val="Heading2"/>
        <w:rPr>
          <w:rFonts w:cs="Arial"/>
        </w:rPr>
      </w:pPr>
      <w:r w:rsidRPr="0065414C">
        <w:rPr>
          <w:rFonts w:cs="Arial"/>
        </w:rPr>
        <w:br w:type="column"/>
      </w:r>
      <w:bookmarkStart w:id="177" w:name="_Toc49953797"/>
      <w:bookmarkStart w:id="178" w:name="_Toc50532335"/>
      <w:r w:rsidR="003430A1" w:rsidRPr="0065414C">
        <w:rPr>
          <w:rFonts w:cs="Arial"/>
        </w:rPr>
        <w:lastRenderedPageBreak/>
        <w:t>12.3. Hospital acquired complications</w:t>
      </w:r>
      <w:bookmarkEnd w:id="177"/>
      <w:bookmarkEnd w:id="178"/>
    </w:p>
    <w:p w14:paraId="33F86120" w14:textId="77777777" w:rsidR="003430A1" w:rsidRPr="0065414C" w:rsidRDefault="00CB6ACA" w:rsidP="003430A1">
      <w:pPr>
        <w:pStyle w:val="BodyText"/>
        <w:rPr>
          <w:rFonts w:cs="Arial"/>
        </w:rPr>
      </w:pPr>
      <w:r w:rsidRPr="0065414C">
        <w:rPr>
          <w:rFonts w:cs="Arial"/>
        </w:rPr>
        <w:t>HACs are complications which occur during a hospital stay and for which clinical risk mitigation strategies may reduce (but not necessarily eliminate) the risk of that complication occurring</w:t>
      </w:r>
      <w:r w:rsidR="003430A1" w:rsidRPr="0065414C">
        <w:rPr>
          <w:rFonts w:cs="Arial"/>
        </w:rPr>
        <w:t>.</w:t>
      </w:r>
    </w:p>
    <w:p w14:paraId="5AB2E78F" w14:textId="77777777" w:rsidR="003430A1" w:rsidRPr="0065414C" w:rsidRDefault="00CB6ACA" w:rsidP="003430A1">
      <w:pPr>
        <w:pStyle w:val="BodyText"/>
        <w:rPr>
          <w:rFonts w:cs="Arial"/>
        </w:rPr>
      </w:pPr>
      <w:r w:rsidRPr="0065414C">
        <w:rPr>
          <w:rFonts w:cs="Arial"/>
        </w:rPr>
        <w:t>A list of HACs was developed by a Joint Working Party of the Commission and IHPA.</w:t>
      </w:r>
    </w:p>
    <w:p w14:paraId="1C6A381C" w14:textId="77777777" w:rsidR="00CB6ACA" w:rsidRPr="0065414C" w:rsidRDefault="00CB6ACA" w:rsidP="003430A1">
      <w:pPr>
        <w:pStyle w:val="BodyText"/>
        <w:rPr>
          <w:rFonts w:cs="Arial"/>
        </w:rPr>
      </w:pPr>
      <w:r w:rsidRPr="0065414C">
        <w:rPr>
          <w:rFonts w:cs="Arial"/>
        </w:rPr>
        <w:t>Funding is reduced for any episode of admitted acute care where a HAC occurs. The reduction in funding reflects the incremental cost of the HAC, which is the additional cost of providing hospital care that is attributable to the HAC. This approach recognises that the presence of a HAC increases the complexity of an episode of care or the length of stay, driving an increase in the cost of care.</w:t>
      </w:r>
    </w:p>
    <w:p w14:paraId="31F757E0" w14:textId="77777777" w:rsidR="00CB6ACA" w:rsidRPr="0065414C" w:rsidRDefault="00CB6ACA" w:rsidP="003430A1">
      <w:pPr>
        <w:pStyle w:val="BodyText"/>
        <w:rPr>
          <w:rFonts w:cs="Arial"/>
        </w:rPr>
      </w:pPr>
      <w:r w:rsidRPr="0065414C">
        <w:rPr>
          <w:rFonts w:cs="Arial"/>
        </w:rPr>
        <w:t xml:space="preserve">The HAC funding approach incorporates a risk adjustment model that assigns individual patient episodes with a HAC to a low, </w:t>
      </w:r>
      <w:proofErr w:type="gramStart"/>
      <w:r w:rsidRPr="0065414C">
        <w:rPr>
          <w:rFonts w:cs="Arial"/>
        </w:rPr>
        <w:t>medium</w:t>
      </w:r>
      <w:proofErr w:type="gramEnd"/>
      <w:r w:rsidRPr="0065414C">
        <w:rPr>
          <w:rFonts w:cs="Arial"/>
        </w:rPr>
        <w:t xml:space="preserve"> or high complexity score. This complexity score is used to adjust the funding reduction for an episode containing a HAC </w:t>
      </w:r>
      <w:proofErr w:type="gramStart"/>
      <w:r w:rsidRPr="0065414C">
        <w:rPr>
          <w:rFonts w:cs="Arial"/>
        </w:rPr>
        <w:t>on the basis of</w:t>
      </w:r>
      <w:proofErr w:type="gramEnd"/>
      <w:r w:rsidRPr="0065414C">
        <w:rPr>
          <w:rFonts w:cs="Arial"/>
        </w:rPr>
        <w:t xml:space="preserve"> the risk of that patient acquiring a HAC.</w:t>
      </w:r>
    </w:p>
    <w:p w14:paraId="78F2EDB6" w14:textId="77777777" w:rsidR="003430A1" w:rsidRPr="0065414C" w:rsidRDefault="00CB6ACA" w:rsidP="003430A1">
      <w:pPr>
        <w:pStyle w:val="BodyText"/>
        <w:rPr>
          <w:rFonts w:cs="Arial"/>
        </w:rPr>
      </w:pPr>
      <w:r w:rsidRPr="0065414C">
        <w:rPr>
          <w:rFonts w:cs="Arial"/>
        </w:rPr>
        <w:t>The Commission is responsible for the ongoing curation of the HACs list to ensure it remains clinically relevant. The Commission also has a range of resources to support local monitoring of HACs and quality improvement strategies. The Commission’s</w:t>
      </w:r>
      <w:r w:rsidR="003430A1" w:rsidRPr="0065414C">
        <w:rPr>
          <w:rFonts w:cs="Arial"/>
        </w:rPr>
        <w:t xml:space="preserve"> </w:t>
      </w:r>
      <w:hyperlink r:id="rId95" w:history="1">
        <w:r w:rsidR="003430A1" w:rsidRPr="0065414C">
          <w:rPr>
            <w:rStyle w:val="Hyperlink"/>
            <w:rFonts w:cs="Arial"/>
            <w:i/>
            <w:iCs/>
          </w:rPr>
          <w:t>HACs Information Kit</w:t>
        </w:r>
      </w:hyperlink>
      <w:r w:rsidR="003430A1" w:rsidRPr="0065414C">
        <w:rPr>
          <w:rFonts w:cs="Arial"/>
        </w:rPr>
        <w:t xml:space="preserve"> </w:t>
      </w:r>
      <w:r w:rsidRPr="0065414C">
        <w:rPr>
          <w:rFonts w:cs="Arial"/>
        </w:rPr>
        <w:t>outlines activities that health services can implement in order to minimise the occurrence of HACs. There are also groupers and specifications that health services can download to monitor HACs using their administrative data.</w:t>
      </w:r>
    </w:p>
    <w:p w14:paraId="1A9647F2" w14:textId="77777777" w:rsidR="003430A1" w:rsidRPr="0065414C" w:rsidRDefault="00CB6ACA" w:rsidP="003430A1">
      <w:pPr>
        <w:pStyle w:val="BodyText"/>
        <w:rPr>
          <w:rFonts w:cs="Arial"/>
        </w:rPr>
      </w:pPr>
      <w:r w:rsidRPr="0065414C">
        <w:rPr>
          <w:rFonts w:cs="Arial"/>
        </w:rPr>
        <w:t>IHPA is currently developing a risk adjustment methodology for avoidable hospital readmissions. Following the finalisation of the risk adjustment model for avoidable hospital readmissions, IHPA will consider remodelling the HAC risk adjustment model based on this approach</w:t>
      </w:r>
      <w:r w:rsidR="003430A1" w:rsidRPr="0065414C">
        <w:rPr>
          <w:rFonts w:cs="Arial"/>
        </w:rPr>
        <w:t>.</w:t>
      </w:r>
    </w:p>
    <w:p w14:paraId="1252C6E3" w14:textId="77777777" w:rsidR="00CB6ACA" w:rsidRPr="0065414C" w:rsidRDefault="00CB6ACA" w:rsidP="003430A1">
      <w:pPr>
        <w:pStyle w:val="BodyText"/>
        <w:rPr>
          <w:rFonts w:cs="Arial"/>
        </w:rPr>
      </w:pPr>
      <w:r w:rsidRPr="0065414C">
        <w:rPr>
          <w:rFonts w:cs="Arial"/>
        </w:rPr>
        <w:t xml:space="preserve">As the review of the HAC risk adjustment model is still in early stages, IHPA will provide updates and seek stakeholder feedback in the </w:t>
      </w:r>
      <w:r w:rsidRPr="0065414C">
        <w:rPr>
          <w:rFonts w:cs="Arial"/>
          <w:i/>
        </w:rPr>
        <w:t>Consultation Paper on the Pricing Framework for Australian Public Hospital Services 2022–23</w:t>
      </w:r>
      <w:r w:rsidRPr="0065414C">
        <w:rPr>
          <w:rFonts w:cs="Arial"/>
        </w:rPr>
        <w:t>.</w:t>
      </w:r>
    </w:p>
    <w:p w14:paraId="0CA4C03E" w14:textId="77777777" w:rsidR="00CB6ACA" w:rsidRPr="0065414C" w:rsidRDefault="00CB6ACA" w:rsidP="003430A1">
      <w:pPr>
        <w:pStyle w:val="BodyText"/>
        <w:rPr>
          <w:rFonts w:cs="Arial"/>
        </w:rPr>
      </w:pPr>
      <w:r w:rsidRPr="0065414C">
        <w:rPr>
          <w:rFonts w:cs="Arial"/>
        </w:rPr>
        <w:t xml:space="preserve">The Commission published Version 3.0 of the HAC list in January 2020. The list is available on the Commission’s </w:t>
      </w:r>
      <w:hyperlink r:id="rId96" w:history="1">
        <w:r w:rsidRPr="0065414C">
          <w:rPr>
            <w:rStyle w:val="Hyperlink"/>
            <w:rFonts w:cs="Arial"/>
            <w:i/>
            <w:color w:val="7EC352" w:themeColor="accent1"/>
            <w:lang w:eastAsia="en-AU"/>
          </w:rPr>
          <w:t>website</w:t>
        </w:r>
      </w:hyperlink>
      <w:r w:rsidRPr="0065414C">
        <w:rPr>
          <w:rFonts w:cs="Arial"/>
        </w:rPr>
        <w:t>. IHPA will use Version 3.0 of the HAC list for NEP21.</w:t>
      </w:r>
    </w:p>
    <w:p w14:paraId="276FD2D5" w14:textId="77777777" w:rsidR="00926399" w:rsidRPr="0065414C" w:rsidRDefault="00A3126A" w:rsidP="00926399">
      <w:pPr>
        <w:pStyle w:val="Heading2"/>
        <w:rPr>
          <w:rFonts w:cs="Arial"/>
        </w:rPr>
      </w:pPr>
      <w:r w:rsidRPr="0065414C">
        <w:rPr>
          <w:rFonts w:cs="Arial"/>
        </w:rPr>
        <w:br w:type="column"/>
      </w:r>
      <w:bookmarkStart w:id="179" w:name="_Toc49953798"/>
      <w:bookmarkStart w:id="180" w:name="_Toc50532336"/>
      <w:r w:rsidR="00926399" w:rsidRPr="0065414C">
        <w:rPr>
          <w:rFonts w:cs="Arial"/>
        </w:rPr>
        <w:t>12.4. Avoidable hospital readmissions</w:t>
      </w:r>
      <w:bookmarkEnd w:id="179"/>
      <w:bookmarkEnd w:id="180"/>
    </w:p>
    <w:p w14:paraId="07F7F3B9" w14:textId="77777777" w:rsidR="00926399" w:rsidRPr="0065414C" w:rsidRDefault="00A3126A" w:rsidP="00926399">
      <w:pPr>
        <w:pStyle w:val="BodyText"/>
        <w:rPr>
          <w:rFonts w:cs="Arial"/>
        </w:rPr>
      </w:pPr>
      <w:r w:rsidRPr="0065414C">
        <w:rPr>
          <w:rFonts w:cs="Arial"/>
        </w:rPr>
        <w:t xml:space="preserve">Unplanned hospital readmissions are a measure of potential issues with the quality, continuity and integration of care provided to patients during or </w:t>
      </w:r>
      <w:proofErr w:type="gramStart"/>
      <w:r w:rsidRPr="0065414C">
        <w:rPr>
          <w:rFonts w:cs="Arial"/>
        </w:rPr>
        <w:t>subsequent to</w:t>
      </w:r>
      <w:proofErr w:type="gramEnd"/>
      <w:r w:rsidRPr="0065414C">
        <w:rPr>
          <w:rFonts w:cs="Arial"/>
        </w:rPr>
        <w:t xml:space="preserve"> their initial hospital admission (the index admission). Reducing the number of avoidable hospital readmissions improves patient health outcomes and decreases avoidable demand for public hospital services</w:t>
      </w:r>
      <w:r w:rsidR="00926399" w:rsidRPr="0065414C">
        <w:rPr>
          <w:rFonts w:cs="Arial"/>
        </w:rPr>
        <w:t>.</w:t>
      </w:r>
    </w:p>
    <w:p w14:paraId="4E4DB87A" w14:textId="77777777" w:rsidR="00A3126A" w:rsidRPr="0065414C" w:rsidRDefault="00A3126A" w:rsidP="00A3126A">
      <w:pPr>
        <w:pStyle w:val="BodyText"/>
        <w:rPr>
          <w:rFonts w:cs="Arial"/>
        </w:rPr>
      </w:pPr>
      <w:r w:rsidRPr="0065414C">
        <w:rPr>
          <w:rFonts w:cs="Arial"/>
        </w:rPr>
        <w:t xml:space="preserve">The Commission was tasked with developing and maintaining a list of clinical conditions considered to be avoidable hospital readmissions. In June 2017, the Australian Health Ministers’ Advisory Council approved the list of avoidable hospital readmissions and readmission diagnoses. </w:t>
      </w:r>
      <w:r w:rsidR="006E2628" w:rsidRPr="0065414C">
        <w:rPr>
          <w:rFonts w:cs="Arial"/>
          <w:b/>
        </w:rPr>
        <w:t>Table</w:t>
      </w:r>
      <w:r w:rsidR="006E2628">
        <w:rPr>
          <w:rFonts w:cs="Arial"/>
          <w:b/>
        </w:rPr>
        <w:t> </w:t>
      </w:r>
      <w:r w:rsidR="006E2628" w:rsidRPr="0065414C">
        <w:rPr>
          <w:rFonts w:cs="Arial"/>
          <w:b/>
        </w:rPr>
        <w:t>3</w:t>
      </w:r>
      <w:r w:rsidRPr="0065414C">
        <w:rPr>
          <w:rFonts w:cs="Arial"/>
        </w:rPr>
        <w:t xml:space="preserve"> lists the conditions and condition-specific readmission intervals; further detail can be found on the Commission’s </w:t>
      </w:r>
      <w:hyperlink r:id="rId97" w:history="1">
        <w:r w:rsidR="00926399" w:rsidRPr="0065414C">
          <w:rPr>
            <w:rStyle w:val="Hyperlink"/>
            <w:rFonts w:cs="Arial"/>
            <w:i/>
            <w:iCs/>
          </w:rPr>
          <w:t>website</w:t>
        </w:r>
      </w:hyperlink>
      <w:r w:rsidRPr="0065414C">
        <w:rPr>
          <w:rFonts w:cs="Arial"/>
        </w:rPr>
        <w:t>.</w:t>
      </w:r>
    </w:p>
    <w:p w14:paraId="16AB09F9" w14:textId="77777777" w:rsidR="00A3126A" w:rsidRPr="0065414C" w:rsidRDefault="00A3126A" w:rsidP="00A3126A">
      <w:pPr>
        <w:rPr>
          <w:rFonts w:cs="Arial"/>
          <w:b/>
        </w:rPr>
        <w:sectPr w:rsidR="00A3126A" w:rsidRPr="0065414C" w:rsidSect="00C972BD">
          <w:type w:val="continuous"/>
          <w:pgSz w:w="11910" w:h="16840"/>
          <w:pgMar w:top="1440" w:right="1440" w:bottom="1440" w:left="1440" w:header="0" w:footer="658" w:gutter="0"/>
          <w:cols w:num="2" w:space="340"/>
        </w:sectPr>
      </w:pPr>
    </w:p>
    <w:p w14:paraId="3AAA4D47" w14:textId="77777777" w:rsidR="00A3126A" w:rsidRPr="0065414C" w:rsidRDefault="00A3126A" w:rsidP="00A3126A">
      <w:pPr>
        <w:pStyle w:val="Figureheading"/>
        <w:rPr>
          <w:rFonts w:eastAsiaTheme="minorHAnsi" w:cs="Arial"/>
          <w:lang w:bidi="ar-SA"/>
        </w:rPr>
      </w:pPr>
      <w:r w:rsidRPr="0065414C">
        <w:rPr>
          <w:rFonts w:cs="Arial"/>
        </w:rPr>
        <w:lastRenderedPageBreak/>
        <w:t>Table 3: List of avoidable hospital readmissions and readmission intervals</w:t>
      </w:r>
    </w:p>
    <w:tbl>
      <w:tblPr>
        <w:tblStyle w:val="IHPA"/>
        <w:tblW w:w="9498" w:type="dxa"/>
        <w:tblLook w:val="04A0" w:firstRow="1" w:lastRow="0" w:firstColumn="1" w:lastColumn="0" w:noHBand="0" w:noVBand="1"/>
        <w:tblCaption w:val="Table 3: List of avoidable hospital readmissions and readmission intervals"/>
        <w:tblDescription w:val="Table with 3 columns; lists 11 readmission conditions, readmission diagnosis and readmission intervals"/>
      </w:tblPr>
      <w:tblGrid>
        <w:gridCol w:w="2694"/>
        <w:gridCol w:w="4677"/>
        <w:gridCol w:w="2127"/>
      </w:tblGrid>
      <w:tr w:rsidR="00A3126A" w:rsidRPr="0065414C" w14:paraId="0682CE39" w14:textId="77777777" w:rsidTr="00872610">
        <w:trPr>
          <w:cnfStyle w:val="100000000000" w:firstRow="1" w:lastRow="0" w:firstColumn="0" w:lastColumn="0" w:oddVBand="0" w:evenVBand="0" w:oddHBand="0" w:evenHBand="0" w:firstRowFirstColumn="0" w:firstRowLastColumn="0" w:lastRowFirstColumn="0" w:lastRowLastColumn="0"/>
          <w:trHeight w:val="376"/>
        </w:trPr>
        <w:tc>
          <w:tcPr>
            <w:tcW w:w="2694" w:type="dxa"/>
            <w:shd w:val="clear" w:color="auto" w:fill="009AB8" w:themeFill="accent6"/>
            <w:noWrap/>
            <w:hideMark/>
          </w:tcPr>
          <w:p w14:paraId="326382FF" w14:textId="77777777" w:rsidR="00A3126A" w:rsidRPr="0065414C" w:rsidRDefault="00A3126A">
            <w:pPr>
              <w:keepNext/>
              <w:spacing w:before="60" w:after="60"/>
              <w:rPr>
                <w:rFonts w:cs="Arial"/>
                <w:b/>
                <w:bCs/>
                <w:color w:val="FFFFFF" w:themeColor="background1"/>
                <w:szCs w:val="18"/>
              </w:rPr>
            </w:pPr>
            <w:r w:rsidRPr="0065414C">
              <w:rPr>
                <w:rFonts w:cs="Arial"/>
                <w:b/>
                <w:bCs/>
                <w:color w:val="FFFFFF" w:themeColor="background1"/>
                <w:szCs w:val="18"/>
              </w:rPr>
              <w:t>Readmission condition</w:t>
            </w:r>
          </w:p>
        </w:tc>
        <w:tc>
          <w:tcPr>
            <w:tcW w:w="4677" w:type="dxa"/>
            <w:shd w:val="clear" w:color="auto" w:fill="009AB8" w:themeFill="accent6"/>
            <w:noWrap/>
            <w:hideMark/>
          </w:tcPr>
          <w:p w14:paraId="2EA54130" w14:textId="77777777" w:rsidR="00A3126A" w:rsidRPr="0065414C" w:rsidRDefault="00A3126A">
            <w:pPr>
              <w:keepNext/>
              <w:spacing w:before="60" w:after="60"/>
              <w:rPr>
                <w:rFonts w:cs="Arial"/>
                <w:b/>
                <w:bCs/>
                <w:color w:val="FFFFFF" w:themeColor="background1"/>
                <w:szCs w:val="18"/>
              </w:rPr>
            </w:pPr>
            <w:r w:rsidRPr="0065414C">
              <w:rPr>
                <w:rFonts w:cs="Arial"/>
                <w:b/>
                <w:bCs/>
                <w:color w:val="FFFFFF" w:themeColor="background1"/>
                <w:szCs w:val="18"/>
              </w:rPr>
              <w:t>Readmission diagnosis</w:t>
            </w:r>
          </w:p>
        </w:tc>
        <w:tc>
          <w:tcPr>
            <w:tcW w:w="2127" w:type="dxa"/>
            <w:shd w:val="clear" w:color="auto" w:fill="009AB8" w:themeFill="accent6"/>
            <w:hideMark/>
          </w:tcPr>
          <w:p w14:paraId="14C28C08" w14:textId="77777777" w:rsidR="00A3126A" w:rsidRPr="0065414C" w:rsidRDefault="00A3126A">
            <w:pPr>
              <w:keepNext/>
              <w:spacing w:before="60" w:after="60"/>
              <w:jc w:val="center"/>
              <w:rPr>
                <w:rFonts w:cs="Arial"/>
                <w:b/>
                <w:bCs/>
                <w:color w:val="FFFFFF" w:themeColor="background1"/>
                <w:szCs w:val="18"/>
              </w:rPr>
            </w:pPr>
            <w:r w:rsidRPr="0065414C">
              <w:rPr>
                <w:rFonts w:cs="Arial"/>
                <w:b/>
                <w:bCs/>
                <w:color w:val="FFFFFF" w:themeColor="background1"/>
                <w:szCs w:val="18"/>
              </w:rPr>
              <w:t>Readmission interval</w:t>
            </w:r>
          </w:p>
        </w:tc>
      </w:tr>
      <w:tr w:rsidR="009A6700" w:rsidRPr="0065414C" w14:paraId="51CF5B28" w14:textId="77777777" w:rsidTr="00872610">
        <w:trPr>
          <w:trHeight w:val="283"/>
        </w:trPr>
        <w:tc>
          <w:tcPr>
            <w:tcW w:w="2694" w:type="dxa"/>
            <w:noWrap/>
            <w:vAlign w:val="center"/>
            <w:hideMark/>
          </w:tcPr>
          <w:p w14:paraId="632E26D7" w14:textId="77777777" w:rsidR="009A6700" w:rsidRPr="00CD6FED" w:rsidRDefault="009A6700" w:rsidP="00465E0B">
            <w:pPr>
              <w:pStyle w:val="ListParagraph"/>
              <w:numPr>
                <w:ilvl w:val="0"/>
                <w:numId w:val="15"/>
              </w:numPr>
              <w:tabs>
                <w:tab w:val="clear" w:pos="1418"/>
              </w:tabs>
              <w:spacing w:before="60" w:after="60" w:line="240" w:lineRule="auto"/>
              <w:ind w:left="360" w:right="0"/>
              <w:contextualSpacing/>
              <w:rPr>
                <w:rFonts w:cs="Arial"/>
                <w:color w:val="58595A"/>
                <w:sz w:val="18"/>
                <w:szCs w:val="18"/>
              </w:rPr>
            </w:pPr>
            <w:r w:rsidRPr="00CD6FED">
              <w:rPr>
                <w:rFonts w:cs="Arial"/>
                <w:color w:val="58595A"/>
                <w:sz w:val="18"/>
                <w:szCs w:val="18"/>
              </w:rPr>
              <w:t>Pressure injury</w:t>
            </w:r>
          </w:p>
        </w:tc>
        <w:tc>
          <w:tcPr>
            <w:tcW w:w="4677" w:type="dxa"/>
            <w:tcBorders>
              <w:bottom w:val="single" w:sz="4" w:space="0" w:color="D9D9D9" w:themeColor="background2" w:themeShade="D9"/>
            </w:tcBorders>
            <w:noWrap/>
            <w:vAlign w:val="center"/>
            <w:hideMark/>
          </w:tcPr>
          <w:p w14:paraId="7C94E08A" w14:textId="77777777" w:rsidR="009A6700" w:rsidRPr="00CD6FED" w:rsidRDefault="009A6700" w:rsidP="00530F1A">
            <w:pPr>
              <w:keepNext/>
              <w:spacing w:before="20" w:after="20"/>
              <w:rPr>
                <w:rFonts w:cs="Arial"/>
                <w:color w:val="58595A"/>
                <w:szCs w:val="18"/>
              </w:rPr>
            </w:pPr>
            <w:r w:rsidRPr="00CD6FED">
              <w:rPr>
                <w:rFonts w:cs="Arial"/>
                <w:color w:val="58595A"/>
                <w:szCs w:val="18"/>
              </w:rPr>
              <w:t>Stage III ulcer</w:t>
            </w:r>
          </w:p>
        </w:tc>
        <w:tc>
          <w:tcPr>
            <w:tcW w:w="2127" w:type="dxa"/>
            <w:tcBorders>
              <w:bottom w:val="single" w:sz="4" w:space="0" w:color="D9D9D9" w:themeColor="background2" w:themeShade="D9"/>
            </w:tcBorders>
            <w:vAlign w:val="center"/>
            <w:hideMark/>
          </w:tcPr>
          <w:p w14:paraId="7677178C" w14:textId="77777777" w:rsidR="009A6700" w:rsidRPr="00CD6FED" w:rsidRDefault="009A6700" w:rsidP="00530F1A">
            <w:pPr>
              <w:spacing w:before="20" w:after="20"/>
              <w:jc w:val="center"/>
              <w:rPr>
                <w:rFonts w:cs="Arial"/>
                <w:color w:val="58595A"/>
                <w:szCs w:val="18"/>
              </w:rPr>
            </w:pPr>
            <w:r w:rsidRPr="00CD6FED">
              <w:rPr>
                <w:rFonts w:cs="Arial"/>
                <w:color w:val="58595A"/>
                <w:szCs w:val="18"/>
              </w:rPr>
              <w:t>14 days</w:t>
            </w:r>
          </w:p>
        </w:tc>
      </w:tr>
      <w:tr w:rsidR="009A6700" w:rsidRPr="0065414C" w14:paraId="663F8721" w14:textId="77777777" w:rsidTr="00872610">
        <w:trPr>
          <w:trHeight w:val="283"/>
        </w:trPr>
        <w:tc>
          <w:tcPr>
            <w:tcW w:w="2694" w:type="dxa"/>
            <w:vAlign w:val="center"/>
            <w:hideMark/>
          </w:tcPr>
          <w:p w14:paraId="1AE8ECC5" w14:textId="77777777" w:rsidR="009A6700" w:rsidRPr="00CD6FED" w:rsidRDefault="009A6700" w:rsidP="00465E0B">
            <w:pPr>
              <w:rPr>
                <w:rFonts w:cs="Arial"/>
                <w:color w:val="58595A"/>
                <w:szCs w:val="18"/>
              </w:rPr>
            </w:pPr>
          </w:p>
        </w:tc>
        <w:tc>
          <w:tcPr>
            <w:tcW w:w="4677" w:type="dxa"/>
            <w:tcBorders>
              <w:top w:val="single" w:sz="4" w:space="0" w:color="D9D9D9" w:themeColor="background2" w:themeShade="D9"/>
              <w:bottom w:val="single" w:sz="4" w:space="0" w:color="D9D9D9" w:themeColor="background2" w:themeShade="D9"/>
            </w:tcBorders>
            <w:noWrap/>
            <w:vAlign w:val="center"/>
            <w:hideMark/>
          </w:tcPr>
          <w:p w14:paraId="74CFEFDF" w14:textId="77777777" w:rsidR="009A6700" w:rsidRPr="00CD6FED" w:rsidRDefault="009A6700" w:rsidP="00530F1A">
            <w:pPr>
              <w:keepNext/>
              <w:spacing w:before="20" w:after="20"/>
              <w:rPr>
                <w:rFonts w:cs="Arial"/>
                <w:color w:val="58595A"/>
                <w:szCs w:val="18"/>
              </w:rPr>
            </w:pPr>
            <w:r w:rsidRPr="00CD6FED">
              <w:rPr>
                <w:rFonts w:cs="Arial"/>
                <w:color w:val="58595A"/>
                <w:szCs w:val="18"/>
              </w:rPr>
              <w:t>Stage IV ulcer</w:t>
            </w:r>
          </w:p>
        </w:tc>
        <w:tc>
          <w:tcPr>
            <w:tcW w:w="2127" w:type="dxa"/>
            <w:tcBorders>
              <w:top w:val="single" w:sz="4" w:space="0" w:color="D9D9D9" w:themeColor="background2" w:themeShade="D9"/>
              <w:bottom w:val="single" w:sz="4" w:space="0" w:color="D9D9D9" w:themeColor="background2" w:themeShade="D9"/>
            </w:tcBorders>
            <w:vAlign w:val="center"/>
            <w:hideMark/>
          </w:tcPr>
          <w:p w14:paraId="68322197" w14:textId="77777777" w:rsidR="009A6700" w:rsidRPr="00CD6FED" w:rsidRDefault="009A6700" w:rsidP="00530F1A">
            <w:pPr>
              <w:spacing w:before="20" w:after="20"/>
              <w:jc w:val="center"/>
              <w:rPr>
                <w:rFonts w:cs="Arial"/>
                <w:color w:val="58595A"/>
                <w:szCs w:val="18"/>
              </w:rPr>
            </w:pPr>
            <w:r w:rsidRPr="00CD6FED">
              <w:rPr>
                <w:rFonts w:cs="Arial"/>
                <w:color w:val="58595A"/>
                <w:szCs w:val="18"/>
              </w:rPr>
              <w:t>7 days</w:t>
            </w:r>
          </w:p>
        </w:tc>
      </w:tr>
      <w:tr w:rsidR="009A6700" w:rsidRPr="0065414C" w14:paraId="77FAF32E" w14:textId="77777777" w:rsidTr="00872610">
        <w:trPr>
          <w:trHeight w:val="283"/>
        </w:trPr>
        <w:tc>
          <w:tcPr>
            <w:tcW w:w="2694" w:type="dxa"/>
            <w:tcBorders>
              <w:bottom w:val="single" w:sz="4" w:space="0" w:color="D9D9D9" w:themeColor="background2" w:themeShade="D9"/>
            </w:tcBorders>
            <w:vAlign w:val="center"/>
            <w:hideMark/>
          </w:tcPr>
          <w:p w14:paraId="2E2FDEB2" w14:textId="77777777" w:rsidR="009A6700" w:rsidRPr="00CD6FED" w:rsidRDefault="009A6700" w:rsidP="00465E0B">
            <w:pPr>
              <w:rPr>
                <w:rFonts w:cs="Arial"/>
                <w:color w:val="58595A"/>
                <w:szCs w:val="18"/>
              </w:rPr>
            </w:pPr>
          </w:p>
        </w:tc>
        <w:tc>
          <w:tcPr>
            <w:tcW w:w="4677" w:type="dxa"/>
            <w:tcBorders>
              <w:top w:val="single" w:sz="4" w:space="0" w:color="D9D9D9" w:themeColor="background2" w:themeShade="D9"/>
              <w:bottom w:val="single" w:sz="4" w:space="0" w:color="D9D9D9" w:themeColor="background2" w:themeShade="D9"/>
            </w:tcBorders>
            <w:noWrap/>
            <w:vAlign w:val="center"/>
            <w:hideMark/>
          </w:tcPr>
          <w:p w14:paraId="7D7F271B" w14:textId="77777777" w:rsidR="009A6700" w:rsidRPr="00CD6FED" w:rsidRDefault="009A6700" w:rsidP="00530F1A">
            <w:pPr>
              <w:keepNext/>
              <w:spacing w:before="20" w:after="20"/>
              <w:rPr>
                <w:rFonts w:cs="Arial"/>
                <w:color w:val="58595A"/>
                <w:szCs w:val="18"/>
              </w:rPr>
            </w:pPr>
            <w:r w:rsidRPr="00CD6FED">
              <w:rPr>
                <w:rFonts w:cs="Arial"/>
                <w:color w:val="58595A"/>
                <w:szCs w:val="18"/>
              </w:rPr>
              <w:t>Unspecified decubitus and pressure area</w:t>
            </w:r>
          </w:p>
        </w:tc>
        <w:tc>
          <w:tcPr>
            <w:tcW w:w="2127" w:type="dxa"/>
            <w:tcBorders>
              <w:top w:val="single" w:sz="4" w:space="0" w:color="D9D9D9" w:themeColor="background2" w:themeShade="D9"/>
              <w:bottom w:val="single" w:sz="4" w:space="0" w:color="D9D9D9" w:themeColor="background2" w:themeShade="D9"/>
            </w:tcBorders>
            <w:vAlign w:val="center"/>
            <w:hideMark/>
          </w:tcPr>
          <w:p w14:paraId="120C2BDA" w14:textId="77777777" w:rsidR="009A6700" w:rsidRPr="00CD6FED" w:rsidRDefault="009A6700" w:rsidP="00530F1A">
            <w:pPr>
              <w:spacing w:before="20" w:after="20"/>
              <w:jc w:val="center"/>
              <w:rPr>
                <w:rFonts w:cs="Arial"/>
                <w:color w:val="58595A"/>
                <w:szCs w:val="18"/>
              </w:rPr>
            </w:pPr>
            <w:r w:rsidRPr="00CD6FED">
              <w:rPr>
                <w:rFonts w:cs="Arial"/>
                <w:color w:val="58595A"/>
                <w:szCs w:val="18"/>
              </w:rPr>
              <w:t>14 days</w:t>
            </w:r>
          </w:p>
        </w:tc>
      </w:tr>
      <w:tr w:rsidR="00A3126A" w:rsidRPr="0065414C" w14:paraId="7867881C" w14:textId="77777777" w:rsidTr="00872610">
        <w:trPr>
          <w:trHeight w:val="283"/>
        </w:trPr>
        <w:tc>
          <w:tcPr>
            <w:tcW w:w="2694" w:type="dxa"/>
            <w:tcBorders>
              <w:top w:val="single" w:sz="4" w:space="0" w:color="D9D9D9" w:themeColor="background2" w:themeShade="D9"/>
            </w:tcBorders>
            <w:noWrap/>
            <w:vAlign w:val="center"/>
            <w:hideMark/>
          </w:tcPr>
          <w:p w14:paraId="71501342" w14:textId="77777777" w:rsidR="00A3126A" w:rsidRPr="00CD6FED" w:rsidRDefault="00A3126A" w:rsidP="00465E0B">
            <w:pPr>
              <w:pStyle w:val="ListParagraph"/>
              <w:numPr>
                <w:ilvl w:val="0"/>
                <w:numId w:val="15"/>
              </w:numPr>
              <w:tabs>
                <w:tab w:val="clear" w:pos="1418"/>
              </w:tabs>
              <w:spacing w:before="60" w:after="60" w:line="240" w:lineRule="auto"/>
              <w:ind w:left="360" w:right="0"/>
              <w:contextualSpacing/>
              <w:rPr>
                <w:rFonts w:cs="Arial"/>
                <w:color w:val="58595A"/>
                <w:sz w:val="18"/>
                <w:szCs w:val="18"/>
              </w:rPr>
            </w:pPr>
            <w:r w:rsidRPr="00CD6FED">
              <w:rPr>
                <w:rFonts w:cs="Arial"/>
                <w:color w:val="58595A"/>
                <w:sz w:val="18"/>
                <w:szCs w:val="18"/>
              </w:rPr>
              <w:t>Infections</w:t>
            </w:r>
          </w:p>
        </w:tc>
        <w:tc>
          <w:tcPr>
            <w:tcW w:w="4677" w:type="dxa"/>
            <w:tcBorders>
              <w:top w:val="single" w:sz="4" w:space="0" w:color="D9D9D9" w:themeColor="background2" w:themeShade="D9"/>
              <w:bottom w:val="single" w:sz="4" w:space="0" w:color="D9D9D9" w:themeColor="background2" w:themeShade="D9"/>
            </w:tcBorders>
            <w:noWrap/>
            <w:vAlign w:val="center"/>
            <w:hideMark/>
          </w:tcPr>
          <w:p w14:paraId="27FFCC61" w14:textId="77777777" w:rsidR="00A3126A" w:rsidRPr="00CD6FED" w:rsidRDefault="00A3126A" w:rsidP="00530F1A">
            <w:pPr>
              <w:keepNext/>
              <w:spacing w:before="20" w:after="20"/>
              <w:rPr>
                <w:rFonts w:cs="Arial"/>
                <w:color w:val="58595A"/>
                <w:szCs w:val="18"/>
              </w:rPr>
            </w:pPr>
            <w:r w:rsidRPr="00CD6FED">
              <w:rPr>
                <w:rFonts w:cs="Arial"/>
                <w:color w:val="58595A"/>
                <w:szCs w:val="18"/>
              </w:rPr>
              <w:t>Urinary tract infection</w:t>
            </w:r>
          </w:p>
        </w:tc>
        <w:tc>
          <w:tcPr>
            <w:tcW w:w="2127" w:type="dxa"/>
            <w:tcBorders>
              <w:top w:val="single" w:sz="4" w:space="0" w:color="D9D9D9" w:themeColor="background2" w:themeShade="D9"/>
              <w:bottom w:val="single" w:sz="4" w:space="0" w:color="D9D9D9" w:themeColor="background2" w:themeShade="D9"/>
            </w:tcBorders>
            <w:vAlign w:val="center"/>
            <w:hideMark/>
          </w:tcPr>
          <w:p w14:paraId="1B507364" w14:textId="77777777" w:rsidR="00A3126A" w:rsidRPr="00CD6FED" w:rsidRDefault="00A3126A" w:rsidP="00530F1A">
            <w:pPr>
              <w:spacing w:before="20" w:after="20"/>
              <w:jc w:val="center"/>
              <w:rPr>
                <w:rFonts w:cs="Arial"/>
                <w:color w:val="58595A"/>
                <w:szCs w:val="18"/>
              </w:rPr>
            </w:pPr>
            <w:r w:rsidRPr="00CD6FED">
              <w:rPr>
                <w:rFonts w:cs="Arial"/>
                <w:color w:val="58595A"/>
                <w:szCs w:val="18"/>
              </w:rPr>
              <w:t>7 days</w:t>
            </w:r>
          </w:p>
        </w:tc>
      </w:tr>
      <w:tr w:rsidR="00A3126A" w:rsidRPr="0065414C" w14:paraId="07C1EF03" w14:textId="77777777" w:rsidTr="00872610">
        <w:trPr>
          <w:trHeight w:val="283"/>
        </w:trPr>
        <w:tc>
          <w:tcPr>
            <w:tcW w:w="2694" w:type="dxa"/>
            <w:vAlign w:val="center"/>
            <w:hideMark/>
          </w:tcPr>
          <w:p w14:paraId="36DD90A2" w14:textId="77777777" w:rsidR="00A3126A" w:rsidRPr="00CD6FED" w:rsidRDefault="00A3126A" w:rsidP="00465E0B">
            <w:pPr>
              <w:rPr>
                <w:rFonts w:cs="Arial"/>
                <w:color w:val="58595A"/>
                <w:szCs w:val="18"/>
              </w:rPr>
            </w:pPr>
          </w:p>
        </w:tc>
        <w:tc>
          <w:tcPr>
            <w:tcW w:w="4677" w:type="dxa"/>
            <w:tcBorders>
              <w:top w:val="single" w:sz="4" w:space="0" w:color="D9D9D9" w:themeColor="background2" w:themeShade="D9"/>
              <w:bottom w:val="single" w:sz="4" w:space="0" w:color="D9D9D9" w:themeColor="background2" w:themeShade="D9"/>
            </w:tcBorders>
            <w:noWrap/>
            <w:vAlign w:val="center"/>
            <w:hideMark/>
          </w:tcPr>
          <w:p w14:paraId="6D02776F" w14:textId="77777777" w:rsidR="00A3126A" w:rsidRPr="00CD6FED" w:rsidRDefault="00A3126A" w:rsidP="00530F1A">
            <w:pPr>
              <w:keepNext/>
              <w:spacing w:before="20" w:after="20"/>
              <w:rPr>
                <w:rFonts w:cs="Arial"/>
                <w:color w:val="58595A"/>
                <w:szCs w:val="18"/>
              </w:rPr>
            </w:pPr>
            <w:r w:rsidRPr="00CD6FED">
              <w:rPr>
                <w:rFonts w:cs="Arial"/>
                <w:color w:val="58595A"/>
                <w:szCs w:val="18"/>
              </w:rPr>
              <w:t>Surgical site infection</w:t>
            </w:r>
          </w:p>
        </w:tc>
        <w:tc>
          <w:tcPr>
            <w:tcW w:w="2127" w:type="dxa"/>
            <w:tcBorders>
              <w:top w:val="single" w:sz="4" w:space="0" w:color="D9D9D9" w:themeColor="background2" w:themeShade="D9"/>
              <w:bottom w:val="single" w:sz="4" w:space="0" w:color="D9D9D9" w:themeColor="background2" w:themeShade="D9"/>
            </w:tcBorders>
            <w:vAlign w:val="center"/>
            <w:hideMark/>
          </w:tcPr>
          <w:p w14:paraId="12ACBC56" w14:textId="77777777" w:rsidR="00A3126A" w:rsidRPr="00CD6FED" w:rsidRDefault="00A3126A" w:rsidP="00530F1A">
            <w:pPr>
              <w:spacing w:before="20" w:after="20"/>
              <w:jc w:val="center"/>
              <w:rPr>
                <w:rFonts w:cs="Arial"/>
                <w:color w:val="58595A"/>
                <w:szCs w:val="18"/>
              </w:rPr>
            </w:pPr>
            <w:r w:rsidRPr="00CD6FED">
              <w:rPr>
                <w:rFonts w:cs="Arial"/>
                <w:color w:val="58595A"/>
                <w:szCs w:val="18"/>
              </w:rPr>
              <w:t>30 days</w:t>
            </w:r>
          </w:p>
        </w:tc>
      </w:tr>
      <w:tr w:rsidR="00A3126A" w:rsidRPr="0065414C" w14:paraId="29E0676F" w14:textId="77777777" w:rsidTr="00872610">
        <w:trPr>
          <w:trHeight w:val="283"/>
        </w:trPr>
        <w:tc>
          <w:tcPr>
            <w:tcW w:w="2694" w:type="dxa"/>
            <w:vAlign w:val="center"/>
            <w:hideMark/>
          </w:tcPr>
          <w:p w14:paraId="35FAE94F" w14:textId="77777777" w:rsidR="00A3126A" w:rsidRPr="00CD6FED" w:rsidRDefault="00A3126A" w:rsidP="00465E0B">
            <w:pPr>
              <w:rPr>
                <w:rFonts w:cs="Arial"/>
                <w:color w:val="58595A"/>
                <w:szCs w:val="18"/>
              </w:rPr>
            </w:pPr>
          </w:p>
        </w:tc>
        <w:tc>
          <w:tcPr>
            <w:tcW w:w="4677" w:type="dxa"/>
            <w:tcBorders>
              <w:top w:val="single" w:sz="4" w:space="0" w:color="D9D9D9" w:themeColor="background2" w:themeShade="D9"/>
              <w:bottom w:val="single" w:sz="4" w:space="0" w:color="D9D9D9" w:themeColor="background2" w:themeShade="D9"/>
            </w:tcBorders>
            <w:noWrap/>
            <w:vAlign w:val="center"/>
            <w:hideMark/>
          </w:tcPr>
          <w:p w14:paraId="75D53D69" w14:textId="77777777" w:rsidR="00A3126A" w:rsidRPr="00CD6FED" w:rsidRDefault="00A3126A" w:rsidP="00530F1A">
            <w:pPr>
              <w:keepNext/>
              <w:spacing w:before="20" w:after="20"/>
              <w:rPr>
                <w:rFonts w:cs="Arial"/>
                <w:color w:val="58595A"/>
                <w:szCs w:val="18"/>
              </w:rPr>
            </w:pPr>
            <w:r w:rsidRPr="00CD6FED">
              <w:rPr>
                <w:rFonts w:cs="Arial"/>
                <w:color w:val="58595A"/>
                <w:szCs w:val="18"/>
              </w:rPr>
              <w:t>Pneumonia</w:t>
            </w:r>
          </w:p>
        </w:tc>
        <w:tc>
          <w:tcPr>
            <w:tcW w:w="2127" w:type="dxa"/>
            <w:tcBorders>
              <w:top w:val="single" w:sz="4" w:space="0" w:color="D9D9D9" w:themeColor="background2" w:themeShade="D9"/>
              <w:bottom w:val="single" w:sz="4" w:space="0" w:color="D9D9D9" w:themeColor="background2" w:themeShade="D9"/>
            </w:tcBorders>
            <w:vAlign w:val="center"/>
            <w:hideMark/>
          </w:tcPr>
          <w:p w14:paraId="10A1CA73" w14:textId="77777777" w:rsidR="00A3126A" w:rsidRPr="00CD6FED" w:rsidRDefault="00A3126A" w:rsidP="00530F1A">
            <w:pPr>
              <w:spacing w:before="20" w:after="20"/>
              <w:jc w:val="center"/>
              <w:rPr>
                <w:rFonts w:cs="Arial"/>
                <w:color w:val="58595A"/>
                <w:szCs w:val="18"/>
              </w:rPr>
            </w:pPr>
            <w:r w:rsidRPr="00CD6FED">
              <w:rPr>
                <w:rFonts w:cs="Arial"/>
                <w:color w:val="58595A"/>
                <w:szCs w:val="18"/>
              </w:rPr>
              <w:t>7 days</w:t>
            </w:r>
          </w:p>
        </w:tc>
      </w:tr>
      <w:tr w:rsidR="00A3126A" w:rsidRPr="0065414C" w14:paraId="1BC0D0FD" w14:textId="77777777" w:rsidTr="00872610">
        <w:trPr>
          <w:trHeight w:val="283"/>
        </w:trPr>
        <w:tc>
          <w:tcPr>
            <w:tcW w:w="2694" w:type="dxa"/>
            <w:vAlign w:val="center"/>
            <w:hideMark/>
          </w:tcPr>
          <w:p w14:paraId="20ECD602" w14:textId="77777777" w:rsidR="00A3126A" w:rsidRPr="00CD6FED" w:rsidRDefault="00A3126A" w:rsidP="00465E0B">
            <w:pPr>
              <w:rPr>
                <w:rFonts w:cs="Arial"/>
                <w:color w:val="58595A"/>
                <w:szCs w:val="18"/>
              </w:rPr>
            </w:pPr>
          </w:p>
        </w:tc>
        <w:tc>
          <w:tcPr>
            <w:tcW w:w="4677" w:type="dxa"/>
            <w:tcBorders>
              <w:top w:val="single" w:sz="4" w:space="0" w:color="D9D9D9" w:themeColor="background2" w:themeShade="D9"/>
              <w:bottom w:val="single" w:sz="4" w:space="0" w:color="D9D9D9" w:themeColor="background2" w:themeShade="D9"/>
            </w:tcBorders>
            <w:noWrap/>
            <w:vAlign w:val="center"/>
            <w:hideMark/>
          </w:tcPr>
          <w:p w14:paraId="38DAC58C" w14:textId="77777777" w:rsidR="00A3126A" w:rsidRPr="00CD6FED" w:rsidRDefault="00A3126A" w:rsidP="00530F1A">
            <w:pPr>
              <w:keepNext/>
              <w:spacing w:before="20" w:after="20"/>
              <w:rPr>
                <w:rFonts w:cs="Arial"/>
                <w:color w:val="58595A"/>
                <w:szCs w:val="18"/>
              </w:rPr>
            </w:pPr>
            <w:r w:rsidRPr="00CD6FED">
              <w:rPr>
                <w:rFonts w:cs="Arial"/>
                <w:color w:val="58595A"/>
                <w:szCs w:val="18"/>
              </w:rPr>
              <w:t>Blood stream infection</w:t>
            </w:r>
          </w:p>
        </w:tc>
        <w:tc>
          <w:tcPr>
            <w:tcW w:w="2127" w:type="dxa"/>
            <w:tcBorders>
              <w:top w:val="single" w:sz="4" w:space="0" w:color="D9D9D9" w:themeColor="background2" w:themeShade="D9"/>
              <w:bottom w:val="single" w:sz="4" w:space="0" w:color="D9D9D9" w:themeColor="background2" w:themeShade="D9"/>
            </w:tcBorders>
            <w:vAlign w:val="center"/>
            <w:hideMark/>
          </w:tcPr>
          <w:p w14:paraId="3BD955E4" w14:textId="77777777" w:rsidR="00A3126A" w:rsidRPr="00CD6FED" w:rsidRDefault="00A3126A" w:rsidP="00530F1A">
            <w:pPr>
              <w:spacing w:before="20" w:after="20"/>
              <w:jc w:val="center"/>
              <w:rPr>
                <w:rFonts w:cs="Arial"/>
                <w:color w:val="58595A"/>
                <w:szCs w:val="18"/>
              </w:rPr>
            </w:pPr>
            <w:r w:rsidRPr="00CD6FED">
              <w:rPr>
                <w:rFonts w:cs="Arial"/>
                <w:color w:val="58595A"/>
                <w:szCs w:val="18"/>
              </w:rPr>
              <w:t>2 days</w:t>
            </w:r>
          </w:p>
        </w:tc>
      </w:tr>
      <w:tr w:rsidR="00A3126A" w:rsidRPr="0065414C" w14:paraId="52AF6A76" w14:textId="77777777" w:rsidTr="00872610">
        <w:trPr>
          <w:trHeight w:val="283"/>
        </w:trPr>
        <w:tc>
          <w:tcPr>
            <w:tcW w:w="2694" w:type="dxa"/>
            <w:vAlign w:val="center"/>
            <w:hideMark/>
          </w:tcPr>
          <w:p w14:paraId="4F1E467C" w14:textId="77777777" w:rsidR="00A3126A" w:rsidRPr="00CD6FED" w:rsidRDefault="00A3126A" w:rsidP="00465E0B">
            <w:pPr>
              <w:rPr>
                <w:rFonts w:cs="Arial"/>
                <w:color w:val="58595A"/>
                <w:szCs w:val="18"/>
              </w:rPr>
            </w:pPr>
          </w:p>
        </w:tc>
        <w:tc>
          <w:tcPr>
            <w:tcW w:w="4677" w:type="dxa"/>
            <w:tcBorders>
              <w:top w:val="single" w:sz="4" w:space="0" w:color="D9D9D9" w:themeColor="background2" w:themeShade="D9"/>
              <w:bottom w:val="single" w:sz="4" w:space="0" w:color="D9D9D9" w:themeColor="background2" w:themeShade="D9"/>
            </w:tcBorders>
            <w:noWrap/>
            <w:vAlign w:val="center"/>
            <w:hideMark/>
          </w:tcPr>
          <w:p w14:paraId="5782F550" w14:textId="77777777" w:rsidR="00A3126A" w:rsidRPr="00CD6FED" w:rsidRDefault="00A3126A" w:rsidP="00530F1A">
            <w:pPr>
              <w:keepNext/>
              <w:spacing w:before="20" w:after="20"/>
              <w:rPr>
                <w:rFonts w:cs="Arial"/>
                <w:color w:val="58595A"/>
                <w:szCs w:val="18"/>
              </w:rPr>
            </w:pPr>
            <w:r w:rsidRPr="00CD6FED">
              <w:rPr>
                <w:rFonts w:cs="Arial"/>
                <w:color w:val="58595A"/>
                <w:szCs w:val="18"/>
              </w:rPr>
              <w:t>Central line and peripheral line associated bloodstream infection</w:t>
            </w:r>
          </w:p>
        </w:tc>
        <w:tc>
          <w:tcPr>
            <w:tcW w:w="2127" w:type="dxa"/>
            <w:tcBorders>
              <w:top w:val="single" w:sz="4" w:space="0" w:color="D9D9D9" w:themeColor="background2" w:themeShade="D9"/>
              <w:bottom w:val="single" w:sz="4" w:space="0" w:color="D9D9D9" w:themeColor="background2" w:themeShade="D9"/>
            </w:tcBorders>
            <w:vAlign w:val="center"/>
            <w:hideMark/>
          </w:tcPr>
          <w:p w14:paraId="5609D7FA" w14:textId="77777777" w:rsidR="00A3126A" w:rsidRPr="00CD6FED" w:rsidRDefault="00A3126A" w:rsidP="00530F1A">
            <w:pPr>
              <w:spacing w:before="20" w:after="20"/>
              <w:jc w:val="center"/>
              <w:rPr>
                <w:rFonts w:cs="Arial"/>
                <w:color w:val="58595A"/>
                <w:szCs w:val="18"/>
              </w:rPr>
            </w:pPr>
            <w:r w:rsidRPr="00CD6FED">
              <w:rPr>
                <w:rFonts w:cs="Arial"/>
                <w:color w:val="58595A"/>
                <w:szCs w:val="18"/>
              </w:rPr>
              <w:t>2 days</w:t>
            </w:r>
          </w:p>
        </w:tc>
      </w:tr>
      <w:tr w:rsidR="00A3126A" w:rsidRPr="0065414C" w14:paraId="6D6EBCC4" w14:textId="77777777" w:rsidTr="00872610">
        <w:trPr>
          <w:trHeight w:val="283"/>
        </w:trPr>
        <w:tc>
          <w:tcPr>
            <w:tcW w:w="2694" w:type="dxa"/>
            <w:vAlign w:val="center"/>
            <w:hideMark/>
          </w:tcPr>
          <w:p w14:paraId="2E940623" w14:textId="77777777" w:rsidR="00A3126A" w:rsidRPr="00CD6FED" w:rsidRDefault="00A3126A" w:rsidP="00465E0B">
            <w:pPr>
              <w:rPr>
                <w:rFonts w:cs="Arial"/>
                <w:color w:val="58595A"/>
                <w:szCs w:val="18"/>
              </w:rPr>
            </w:pPr>
          </w:p>
        </w:tc>
        <w:tc>
          <w:tcPr>
            <w:tcW w:w="4677" w:type="dxa"/>
            <w:tcBorders>
              <w:top w:val="single" w:sz="4" w:space="0" w:color="D9D9D9" w:themeColor="background2" w:themeShade="D9"/>
              <w:bottom w:val="single" w:sz="4" w:space="0" w:color="D9D9D9" w:themeColor="background2" w:themeShade="D9"/>
            </w:tcBorders>
            <w:noWrap/>
            <w:vAlign w:val="center"/>
            <w:hideMark/>
          </w:tcPr>
          <w:p w14:paraId="7FBC3B50" w14:textId="77777777" w:rsidR="00A3126A" w:rsidRPr="00CD6FED" w:rsidRDefault="00A3126A" w:rsidP="00530F1A">
            <w:pPr>
              <w:keepNext/>
              <w:spacing w:before="20" w:after="20"/>
              <w:rPr>
                <w:rFonts w:cs="Arial"/>
                <w:color w:val="58595A"/>
                <w:szCs w:val="18"/>
              </w:rPr>
            </w:pPr>
            <w:r w:rsidRPr="00CD6FED">
              <w:rPr>
                <w:rFonts w:cs="Arial"/>
                <w:color w:val="58595A"/>
                <w:szCs w:val="18"/>
              </w:rPr>
              <w:t>Multi-resistant organism</w:t>
            </w:r>
          </w:p>
        </w:tc>
        <w:tc>
          <w:tcPr>
            <w:tcW w:w="2127" w:type="dxa"/>
            <w:tcBorders>
              <w:top w:val="single" w:sz="4" w:space="0" w:color="D9D9D9" w:themeColor="background2" w:themeShade="D9"/>
              <w:bottom w:val="single" w:sz="4" w:space="0" w:color="D9D9D9" w:themeColor="background2" w:themeShade="D9"/>
            </w:tcBorders>
            <w:vAlign w:val="center"/>
            <w:hideMark/>
          </w:tcPr>
          <w:p w14:paraId="733C5AA7" w14:textId="77777777" w:rsidR="00A3126A" w:rsidRPr="00CD6FED" w:rsidRDefault="00A3126A" w:rsidP="00530F1A">
            <w:pPr>
              <w:spacing w:before="20" w:after="20"/>
              <w:jc w:val="center"/>
              <w:rPr>
                <w:rFonts w:cs="Arial"/>
                <w:color w:val="58595A"/>
                <w:szCs w:val="18"/>
              </w:rPr>
            </w:pPr>
            <w:r w:rsidRPr="00CD6FED">
              <w:rPr>
                <w:rFonts w:cs="Arial"/>
                <w:color w:val="58595A"/>
                <w:szCs w:val="18"/>
              </w:rPr>
              <w:t>2 days</w:t>
            </w:r>
          </w:p>
        </w:tc>
      </w:tr>
      <w:tr w:rsidR="00A3126A" w:rsidRPr="0065414C" w14:paraId="41B96F0A" w14:textId="77777777" w:rsidTr="00872610">
        <w:trPr>
          <w:trHeight w:val="283"/>
        </w:trPr>
        <w:tc>
          <w:tcPr>
            <w:tcW w:w="2694" w:type="dxa"/>
            <w:vAlign w:val="center"/>
            <w:hideMark/>
          </w:tcPr>
          <w:p w14:paraId="4C4C8E08" w14:textId="77777777" w:rsidR="00A3126A" w:rsidRPr="00CD6FED" w:rsidRDefault="00A3126A" w:rsidP="00465E0B">
            <w:pPr>
              <w:rPr>
                <w:rFonts w:cs="Arial"/>
                <w:color w:val="58595A"/>
                <w:szCs w:val="18"/>
              </w:rPr>
            </w:pPr>
          </w:p>
        </w:tc>
        <w:tc>
          <w:tcPr>
            <w:tcW w:w="4677" w:type="dxa"/>
            <w:tcBorders>
              <w:top w:val="single" w:sz="4" w:space="0" w:color="D9D9D9" w:themeColor="background2" w:themeShade="D9"/>
              <w:bottom w:val="single" w:sz="4" w:space="0" w:color="D9D9D9" w:themeColor="background2" w:themeShade="D9"/>
            </w:tcBorders>
            <w:noWrap/>
            <w:vAlign w:val="center"/>
            <w:hideMark/>
          </w:tcPr>
          <w:p w14:paraId="2FF1B93A" w14:textId="77777777" w:rsidR="00A3126A" w:rsidRPr="00CD6FED" w:rsidRDefault="00A3126A" w:rsidP="00530F1A">
            <w:pPr>
              <w:keepNext/>
              <w:spacing w:before="20" w:after="20"/>
              <w:rPr>
                <w:rFonts w:cs="Arial"/>
                <w:color w:val="58595A"/>
                <w:szCs w:val="18"/>
              </w:rPr>
            </w:pPr>
            <w:r w:rsidRPr="00CD6FED">
              <w:rPr>
                <w:rFonts w:cs="Arial"/>
                <w:color w:val="58595A"/>
                <w:szCs w:val="18"/>
              </w:rPr>
              <w:t xml:space="preserve">Infection associated with devices, </w:t>
            </w:r>
            <w:proofErr w:type="gramStart"/>
            <w:r w:rsidRPr="00CD6FED">
              <w:rPr>
                <w:rFonts w:cs="Arial"/>
                <w:color w:val="58595A"/>
                <w:szCs w:val="18"/>
              </w:rPr>
              <w:t>implants</w:t>
            </w:r>
            <w:proofErr w:type="gramEnd"/>
            <w:r w:rsidRPr="00CD6FED">
              <w:rPr>
                <w:rFonts w:cs="Arial"/>
                <w:color w:val="58595A"/>
                <w:szCs w:val="18"/>
              </w:rPr>
              <w:t xml:space="preserve"> and grafts</w:t>
            </w:r>
          </w:p>
        </w:tc>
        <w:tc>
          <w:tcPr>
            <w:tcW w:w="2127" w:type="dxa"/>
            <w:tcBorders>
              <w:top w:val="single" w:sz="4" w:space="0" w:color="D9D9D9" w:themeColor="background2" w:themeShade="D9"/>
              <w:bottom w:val="single" w:sz="4" w:space="0" w:color="D9D9D9" w:themeColor="background2" w:themeShade="D9"/>
            </w:tcBorders>
            <w:vAlign w:val="center"/>
            <w:hideMark/>
          </w:tcPr>
          <w:p w14:paraId="675BA442" w14:textId="77777777" w:rsidR="00A3126A" w:rsidRPr="00CD6FED" w:rsidRDefault="00A3126A" w:rsidP="00530F1A">
            <w:pPr>
              <w:spacing w:before="20" w:after="20"/>
              <w:jc w:val="center"/>
              <w:rPr>
                <w:rFonts w:cs="Arial"/>
                <w:color w:val="58595A"/>
                <w:szCs w:val="18"/>
              </w:rPr>
            </w:pPr>
            <w:r w:rsidRPr="00CD6FED">
              <w:rPr>
                <w:rFonts w:cs="Arial"/>
                <w:color w:val="58595A"/>
                <w:szCs w:val="18"/>
              </w:rPr>
              <w:t>90 days</w:t>
            </w:r>
          </w:p>
        </w:tc>
      </w:tr>
      <w:tr w:rsidR="00A3126A" w:rsidRPr="0065414C" w14:paraId="2C33623D" w14:textId="77777777" w:rsidTr="00872610">
        <w:trPr>
          <w:trHeight w:val="283"/>
        </w:trPr>
        <w:tc>
          <w:tcPr>
            <w:tcW w:w="2694" w:type="dxa"/>
            <w:vAlign w:val="center"/>
            <w:hideMark/>
          </w:tcPr>
          <w:p w14:paraId="01E59E2A" w14:textId="77777777" w:rsidR="00A3126A" w:rsidRPr="00CD6FED" w:rsidRDefault="00A3126A" w:rsidP="00465E0B">
            <w:pPr>
              <w:rPr>
                <w:rFonts w:cs="Arial"/>
                <w:color w:val="58595A"/>
                <w:szCs w:val="18"/>
              </w:rPr>
            </w:pPr>
          </w:p>
        </w:tc>
        <w:tc>
          <w:tcPr>
            <w:tcW w:w="4677" w:type="dxa"/>
            <w:tcBorders>
              <w:top w:val="single" w:sz="4" w:space="0" w:color="D9D9D9" w:themeColor="background2" w:themeShade="D9"/>
              <w:bottom w:val="single" w:sz="4" w:space="0" w:color="D9D9D9" w:themeColor="background2" w:themeShade="D9"/>
            </w:tcBorders>
            <w:noWrap/>
            <w:vAlign w:val="center"/>
            <w:hideMark/>
          </w:tcPr>
          <w:p w14:paraId="60F16854" w14:textId="77777777" w:rsidR="00A3126A" w:rsidRPr="00CD6FED" w:rsidRDefault="00A3126A" w:rsidP="00530F1A">
            <w:pPr>
              <w:keepNext/>
              <w:spacing w:before="20" w:after="20"/>
              <w:rPr>
                <w:rFonts w:cs="Arial"/>
                <w:color w:val="58595A"/>
                <w:szCs w:val="18"/>
              </w:rPr>
            </w:pPr>
            <w:r w:rsidRPr="00CD6FED">
              <w:rPr>
                <w:rFonts w:cs="Arial"/>
                <w:color w:val="58595A"/>
                <w:szCs w:val="18"/>
              </w:rPr>
              <w:t>Infection associated with prosthetic devices, implants and grafts in genital tract or urinary system</w:t>
            </w:r>
          </w:p>
        </w:tc>
        <w:tc>
          <w:tcPr>
            <w:tcW w:w="2127" w:type="dxa"/>
            <w:tcBorders>
              <w:top w:val="single" w:sz="4" w:space="0" w:color="D9D9D9" w:themeColor="background2" w:themeShade="D9"/>
              <w:bottom w:val="single" w:sz="4" w:space="0" w:color="D9D9D9" w:themeColor="background2" w:themeShade="D9"/>
            </w:tcBorders>
            <w:vAlign w:val="center"/>
            <w:hideMark/>
          </w:tcPr>
          <w:p w14:paraId="283C4BC4" w14:textId="77777777" w:rsidR="00A3126A" w:rsidRPr="00CD6FED" w:rsidRDefault="00A3126A" w:rsidP="00530F1A">
            <w:pPr>
              <w:spacing w:before="20" w:after="20"/>
              <w:jc w:val="center"/>
              <w:rPr>
                <w:rFonts w:cs="Arial"/>
                <w:color w:val="58595A"/>
                <w:szCs w:val="18"/>
              </w:rPr>
            </w:pPr>
            <w:r w:rsidRPr="00CD6FED">
              <w:rPr>
                <w:rFonts w:cs="Arial"/>
                <w:color w:val="58595A"/>
                <w:szCs w:val="18"/>
              </w:rPr>
              <w:t>30 days</w:t>
            </w:r>
          </w:p>
        </w:tc>
      </w:tr>
      <w:tr w:rsidR="00A3126A" w:rsidRPr="0065414C" w14:paraId="71B0EC5F" w14:textId="77777777" w:rsidTr="00872610">
        <w:trPr>
          <w:trHeight w:val="283"/>
        </w:trPr>
        <w:tc>
          <w:tcPr>
            <w:tcW w:w="2694" w:type="dxa"/>
            <w:vAlign w:val="center"/>
            <w:hideMark/>
          </w:tcPr>
          <w:p w14:paraId="4A4C954D" w14:textId="77777777" w:rsidR="00A3126A" w:rsidRPr="00CD6FED" w:rsidRDefault="00A3126A" w:rsidP="00465E0B">
            <w:pPr>
              <w:rPr>
                <w:rFonts w:cs="Arial"/>
                <w:color w:val="58595A"/>
                <w:szCs w:val="18"/>
              </w:rPr>
            </w:pPr>
          </w:p>
        </w:tc>
        <w:tc>
          <w:tcPr>
            <w:tcW w:w="4677" w:type="dxa"/>
            <w:tcBorders>
              <w:top w:val="single" w:sz="4" w:space="0" w:color="D9D9D9" w:themeColor="background2" w:themeShade="D9"/>
              <w:bottom w:val="single" w:sz="4" w:space="0" w:color="D9D9D9" w:themeColor="background2" w:themeShade="D9"/>
            </w:tcBorders>
            <w:noWrap/>
            <w:vAlign w:val="center"/>
            <w:hideMark/>
          </w:tcPr>
          <w:p w14:paraId="77088E53" w14:textId="77777777" w:rsidR="00A3126A" w:rsidRPr="00CD6FED" w:rsidRDefault="00A3126A" w:rsidP="00530F1A">
            <w:pPr>
              <w:keepNext/>
              <w:spacing w:before="20" w:after="20"/>
              <w:rPr>
                <w:rFonts w:cs="Arial"/>
                <w:color w:val="58595A"/>
                <w:szCs w:val="18"/>
              </w:rPr>
            </w:pPr>
            <w:r w:rsidRPr="00CD6FED">
              <w:rPr>
                <w:rFonts w:cs="Arial"/>
                <w:color w:val="58595A"/>
                <w:szCs w:val="18"/>
              </w:rPr>
              <w:t>Infection associated with peritoneal dialysis catheter</w:t>
            </w:r>
          </w:p>
        </w:tc>
        <w:tc>
          <w:tcPr>
            <w:tcW w:w="2127" w:type="dxa"/>
            <w:tcBorders>
              <w:top w:val="single" w:sz="4" w:space="0" w:color="D9D9D9" w:themeColor="background2" w:themeShade="D9"/>
              <w:bottom w:val="single" w:sz="4" w:space="0" w:color="D9D9D9" w:themeColor="background2" w:themeShade="D9"/>
            </w:tcBorders>
            <w:vAlign w:val="center"/>
            <w:hideMark/>
          </w:tcPr>
          <w:p w14:paraId="1E4900D0" w14:textId="77777777" w:rsidR="00A3126A" w:rsidRPr="00CD6FED" w:rsidRDefault="00A3126A" w:rsidP="00530F1A">
            <w:pPr>
              <w:spacing w:before="20" w:after="20"/>
              <w:jc w:val="center"/>
              <w:rPr>
                <w:rFonts w:cs="Arial"/>
                <w:color w:val="58595A"/>
                <w:szCs w:val="18"/>
              </w:rPr>
            </w:pPr>
            <w:r w:rsidRPr="00CD6FED">
              <w:rPr>
                <w:rFonts w:cs="Arial"/>
                <w:color w:val="58595A"/>
                <w:szCs w:val="18"/>
              </w:rPr>
              <w:t>2 days</w:t>
            </w:r>
          </w:p>
        </w:tc>
      </w:tr>
      <w:tr w:rsidR="00A3126A" w:rsidRPr="0065414C" w14:paraId="0D8D2BB2" w14:textId="77777777" w:rsidTr="00872610">
        <w:trPr>
          <w:trHeight w:val="283"/>
        </w:trPr>
        <w:tc>
          <w:tcPr>
            <w:tcW w:w="2694" w:type="dxa"/>
            <w:tcBorders>
              <w:bottom w:val="single" w:sz="4" w:space="0" w:color="D9D9D9" w:themeColor="background2" w:themeShade="D9"/>
            </w:tcBorders>
            <w:vAlign w:val="center"/>
            <w:hideMark/>
          </w:tcPr>
          <w:p w14:paraId="2B68FD49" w14:textId="77777777" w:rsidR="00A3126A" w:rsidRPr="00CD6FED" w:rsidRDefault="00A3126A" w:rsidP="00465E0B">
            <w:pPr>
              <w:rPr>
                <w:rFonts w:cs="Arial"/>
                <w:color w:val="58595A"/>
                <w:szCs w:val="18"/>
              </w:rPr>
            </w:pPr>
          </w:p>
        </w:tc>
        <w:tc>
          <w:tcPr>
            <w:tcW w:w="4677" w:type="dxa"/>
            <w:tcBorders>
              <w:top w:val="single" w:sz="4" w:space="0" w:color="D9D9D9" w:themeColor="background2" w:themeShade="D9"/>
              <w:bottom w:val="single" w:sz="4" w:space="0" w:color="D9D9D9" w:themeColor="background2" w:themeShade="D9"/>
            </w:tcBorders>
            <w:noWrap/>
            <w:vAlign w:val="center"/>
            <w:hideMark/>
          </w:tcPr>
          <w:p w14:paraId="75C9AE43" w14:textId="77777777" w:rsidR="00A3126A" w:rsidRPr="00CD6FED" w:rsidRDefault="00A3126A" w:rsidP="00530F1A">
            <w:pPr>
              <w:keepNext/>
              <w:spacing w:before="20" w:after="20"/>
              <w:rPr>
                <w:rFonts w:cs="Arial"/>
                <w:color w:val="58595A"/>
                <w:szCs w:val="18"/>
              </w:rPr>
            </w:pPr>
            <w:r w:rsidRPr="00CD6FED">
              <w:rPr>
                <w:rFonts w:cs="Arial"/>
                <w:color w:val="58595A"/>
                <w:szCs w:val="18"/>
              </w:rPr>
              <w:t>Gastrointestinal infections</w:t>
            </w:r>
          </w:p>
        </w:tc>
        <w:tc>
          <w:tcPr>
            <w:tcW w:w="2127" w:type="dxa"/>
            <w:tcBorders>
              <w:top w:val="single" w:sz="4" w:space="0" w:color="D9D9D9" w:themeColor="background2" w:themeShade="D9"/>
              <w:bottom w:val="single" w:sz="4" w:space="0" w:color="D9D9D9" w:themeColor="background2" w:themeShade="D9"/>
            </w:tcBorders>
            <w:vAlign w:val="center"/>
            <w:hideMark/>
          </w:tcPr>
          <w:p w14:paraId="552F2AE3" w14:textId="77777777" w:rsidR="00A3126A" w:rsidRPr="00CD6FED" w:rsidRDefault="00A3126A" w:rsidP="00530F1A">
            <w:pPr>
              <w:spacing w:before="20" w:after="20"/>
              <w:jc w:val="center"/>
              <w:rPr>
                <w:rFonts w:cs="Arial"/>
                <w:color w:val="58595A"/>
                <w:szCs w:val="18"/>
              </w:rPr>
            </w:pPr>
            <w:r w:rsidRPr="00CD6FED">
              <w:rPr>
                <w:rFonts w:cs="Arial"/>
                <w:color w:val="58595A"/>
                <w:szCs w:val="18"/>
              </w:rPr>
              <w:t>28 days</w:t>
            </w:r>
          </w:p>
        </w:tc>
      </w:tr>
      <w:tr w:rsidR="009A6700" w:rsidRPr="0065414C" w14:paraId="68CDD055" w14:textId="77777777" w:rsidTr="00872610">
        <w:trPr>
          <w:trHeight w:val="283"/>
        </w:trPr>
        <w:tc>
          <w:tcPr>
            <w:tcW w:w="2694" w:type="dxa"/>
            <w:tcBorders>
              <w:top w:val="single" w:sz="4" w:space="0" w:color="D9D9D9" w:themeColor="background2" w:themeShade="D9"/>
            </w:tcBorders>
            <w:noWrap/>
            <w:vAlign w:val="center"/>
            <w:hideMark/>
          </w:tcPr>
          <w:p w14:paraId="7BD20E59" w14:textId="77777777" w:rsidR="009A6700" w:rsidRPr="00CD6FED" w:rsidRDefault="009A6700" w:rsidP="00465E0B">
            <w:pPr>
              <w:pStyle w:val="ListParagraph"/>
              <w:numPr>
                <w:ilvl w:val="0"/>
                <w:numId w:val="15"/>
              </w:numPr>
              <w:tabs>
                <w:tab w:val="clear" w:pos="1418"/>
              </w:tabs>
              <w:spacing w:before="60" w:after="60" w:line="240" w:lineRule="auto"/>
              <w:ind w:left="360" w:right="0"/>
              <w:contextualSpacing/>
              <w:rPr>
                <w:rFonts w:cs="Arial"/>
                <w:color w:val="58595A"/>
                <w:sz w:val="18"/>
                <w:szCs w:val="18"/>
              </w:rPr>
            </w:pPr>
            <w:r w:rsidRPr="00CD6FED">
              <w:rPr>
                <w:rFonts w:cs="Arial"/>
                <w:color w:val="58595A"/>
                <w:sz w:val="18"/>
                <w:szCs w:val="18"/>
              </w:rPr>
              <w:t>Surgical complications</w:t>
            </w:r>
          </w:p>
        </w:tc>
        <w:tc>
          <w:tcPr>
            <w:tcW w:w="4677" w:type="dxa"/>
            <w:tcBorders>
              <w:top w:val="single" w:sz="4" w:space="0" w:color="D9D9D9" w:themeColor="background2" w:themeShade="D9"/>
              <w:bottom w:val="single" w:sz="4" w:space="0" w:color="D9D9D9" w:themeColor="background2" w:themeShade="D9"/>
            </w:tcBorders>
            <w:noWrap/>
            <w:vAlign w:val="center"/>
            <w:hideMark/>
          </w:tcPr>
          <w:p w14:paraId="447D5F7F" w14:textId="77777777" w:rsidR="009A6700" w:rsidRPr="00CD6FED" w:rsidRDefault="009A6700" w:rsidP="00530F1A">
            <w:pPr>
              <w:keepNext/>
              <w:spacing w:before="20" w:after="20"/>
              <w:rPr>
                <w:rFonts w:cs="Arial"/>
                <w:color w:val="58595A"/>
                <w:szCs w:val="18"/>
              </w:rPr>
            </w:pPr>
            <w:r w:rsidRPr="00CD6FED">
              <w:rPr>
                <w:rFonts w:cs="Arial"/>
                <w:color w:val="58595A"/>
                <w:szCs w:val="18"/>
              </w:rPr>
              <w:t>Postoperative haemorrhage/haematoma</w:t>
            </w:r>
          </w:p>
        </w:tc>
        <w:tc>
          <w:tcPr>
            <w:tcW w:w="2127" w:type="dxa"/>
            <w:tcBorders>
              <w:top w:val="single" w:sz="4" w:space="0" w:color="D9D9D9" w:themeColor="background2" w:themeShade="D9"/>
              <w:bottom w:val="single" w:sz="4" w:space="0" w:color="D9D9D9" w:themeColor="background2" w:themeShade="D9"/>
            </w:tcBorders>
            <w:vAlign w:val="center"/>
            <w:hideMark/>
          </w:tcPr>
          <w:p w14:paraId="18C56C06" w14:textId="77777777" w:rsidR="009A6700" w:rsidRPr="00CD6FED" w:rsidRDefault="009A6700" w:rsidP="00530F1A">
            <w:pPr>
              <w:spacing w:before="20" w:after="20"/>
              <w:jc w:val="center"/>
              <w:rPr>
                <w:rFonts w:cs="Arial"/>
                <w:color w:val="58595A"/>
                <w:szCs w:val="18"/>
              </w:rPr>
            </w:pPr>
            <w:r w:rsidRPr="00CD6FED">
              <w:rPr>
                <w:rFonts w:cs="Arial"/>
                <w:color w:val="58595A"/>
                <w:szCs w:val="18"/>
              </w:rPr>
              <w:t>28 days</w:t>
            </w:r>
          </w:p>
        </w:tc>
      </w:tr>
      <w:tr w:rsidR="009A6700" w:rsidRPr="0065414C" w14:paraId="73BA99A7" w14:textId="77777777" w:rsidTr="00872610">
        <w:trPr>
          <w:trHeight w:val="283"/>
        </w:trPr>
        <w:tc>
          <w:tcPr>
            <w:tcW w:w="2694" w:type="dxa"/>
            <w:vAlign w:val="center"/>
            <w:hideMark/>
          </w:tcPr>
          <w:p w14:paraId="3ABE48E3" w14:textId="77777777" w:rsidR="009A6700" w:rsidRPr="00CD6FED" w:rsidRDefault="009A6700" w:rsidP="00465E0B">
            <w:pPr>
              <w:rPr>
                <w:rFonts w:cs="Arial"/>
                <w:color w:val="58595A"/>
                <w:szCs w:val="18"/>
              </w:rPr>
            </w:pPr>
          </w:p>
        </w:tc>
        <w:tc>
          <w:tcPr>
            <w:tcW w:w="4677" w:type="dxa"/>
            <w:tcBorders>
              <w:top w:val="single" w:sz="4" w:space="0" w:color="D9D9D9" w:themeColor="background2" w:themeShade="D9"/>
              <w:bottom w:val="single" w:sz="4" w:space="0" w:color="D9D9D9" w:themeColor="background2" w:themeShade="D9"/>
            </w:tcBorders>
            <w:noWrap/>
            <w:vAlign w:val="center"/>
            <w:hideMark/>
          </w:tcPr>
          <w:p w14:paraId="30FEF78B" w14:textId="77777777" w:rsidR="009A6700" w:rsidRPr="00CD6FED" w:rsidRDefault="009A6700" w:rsidP="00530F1A">
            <w:pPr>
              <w:keepNext/>
              <w:spacing w:before="20" w:after="20"/>
              <w:rPr>
                <w:rFonts w:cs="Arial"/>
                <w:color w:val="58595A"/>
                <w:szCs w:val="18"/>
              </w:rPr>
            </w:pPr>
            <w:r w:rsidRPr="00CD6FED">
              <w:rPr>
                <w:rFonts w:cs="Arial"/>
                <w:color w:val="58595A"/>
                <w:szCs w:val="18"/>
              </w:rPr>
              <w:t>Surgical wound dehiscence</w:t>
            </w:r>
          </w:p>
        </w:tc>
        <w:tc>
          <w:tcPr>
            <w:tcW w:w="2127" w:type="dxa"/>
            <w:tcBorders>
              <w:top w:val="single" w:sz="4" w:space="0" w:color="D9D9D9" w:themeColor="background2" w:themeShade="D9"/>
              <w:bottom w:val="single" w:sz="4" w:space="0" w:color="D9D9D9" w:themeColor="background2" w:themeShade="D9"/>
            </w:tcBorders>
            <w:vAlign w:val="center"/>
            <w:hideMark/>
          </w:tcPr>
          <w:p w14:paraId="406B697C" w14:textId="77777777" w:rsidR="009A6700" w:rsidRPr="00CD6FED" w:rsidRDefault="009A6700" w:rsidP="00530F1A">
            <w:pPr>
              <w:spacing w:before="20" w:after="20"/>
              <w:jc w:val="center"/>
              <w:rPr>
                <w:rFonts w:cs="Arial"/>
                <w:color w:val="58595A"/>
                <w:szCs w:val="18"/>
              </w:rPr>
            </w:pPr>
            <w:r w:rsidRPr="00CD6FED">
              <w:rPr>
                <w:rFonts w:cs="Arial"/>
                <w:color w:val="58595A"/>
                <w:szCs w:val="18"/>
              </w:rPr>
              <w:t>28 days</w:t>
            </w:r>
          </w:p>
        </w:tc>
      </w:tr>
      <w:tr w:rsidR="009A6700" w:rsidRPr="0065414C" w14:paraId="4FAE9153" w14:textId="77777777" w:rsidTr="00872610">
        <w:trPr>
          <w:trHeight w:val="283"/>
        </w:trPr>
        <w:tc>
          <w:tcPr>
            <w:tcW w:w="2694" w:type="dxa"/>
            <w:vAlign w:val="center"/>
            <w:hideMark/>
          </w:tcPr>
          <w:p w14:paraId="58A5932D" w14:textId="77777777" w:rsidR="009A6700" w:rsidRPr="00CD6FED" w:rsidRDefault="009A6700" w:rsidP="00465E0B">
            <w:pPr>
              <w:rPr>
                <w:rFonts w:cs="Arial"/>
                <w:color w:val="58595A"/>
                <w:szCs w:val="18"/>
              </w:rPr>
            </w:pPr>
          </w:p>
        </w:tc>
        <w:tc>
          <w:tcPr>
            <w:tcW w:w="4677" w:type="dxa"/>
            <w:tcBorders>
              <w:top w:val="single" w:sz="4" w:space="0" w:color="D9D9D9" w:themeColor="background2" w:themeShade="D9"/>
              <w:bottom w:val="single" w:sz="4" w:space="0" w:color="D9D9D9" w:themeColor="background2" w:themeShade="D9"/>
            </w:tcBorders>
            <w:noWrap/>
            <w:vAlign w:val="center"/>
            <w:hideMark/>
          </w:tcPr>
          <w:p w14:paraId="630C1AC2" w14:textId="77777777" w:rsidR="009A6700" w:rsidRPr="00CD6FED" w:rsidRDefault="009A6700" w:rsidP="00530F1A">
            <w:pPr>
              <w:keepNext/>
              <w:spacing w:before="20" w:after="20"/>
              <w:rPr>
                <w:rFonts w:cs="Arial"/>
                <w:color w:val="58595A"/>
                <w:szCs w:val="18"/>
              </w:rPr>
            </w:pPr>
            <w:r w:rsidRPr="00CD6FED">
              <w:rPr>
                <w:rFonts w:cs="Arial"/>
                <w:color w:val="58595A"/>
                <w:szCs w:val="18"/>
              </w:rPr>
              <w:t>Anastomotic leak</w:t>
            </w:r>
          </w:p>
        </w:tc>
        <w:tc>
          <w:tcPr>
            <w:tcW w:w="2127" w:type="dxa"/>
            <w:tcBorders>
              <w:top w:val="single" w:sz="4" w:space="0" w:color="D9D9D9" w:themeColor="background2" w:themeShade="D9"/>
              <w:bottom w:val="single" w:sz="4" w:space="0" w:color="D9D9D9" w:themeColor="background2" w:themeShade="D9"/>
            </w:tcBorders>
            <w:vAlign w:val="center"/>
            <w:hideMark/>
          </w:tcPr>
          <w:p w14:paraId="626B7684" w14:textId="77777777" w:rsidR="009A6700" w:rsidRPr="00CD6FED" w:rsidRDefault="009A6700" w:rsidP="00530F1A">
            <w:pPr>
              <w:spacing w:before="20" w:after="20"/>
              <w:jc w:val="center"/>
              <w:rPr>
                <w:rFonts w:cs="Arial"/>
                <w:color w:val="58595A"/>
                <w:szCs w:val="18"/>
              </w:rPr>
            </w:pPr>
            <w:r w:rsidRPr="00CD6FED">
              <w:rPr>
                <w:rFonts w:cs="Arial"/>
                <w:color w:val="58595A"/>
                <w:szCs w:val="18"/>
              </w:rPr>
              <w:t>28 days</w:t>
            </w:r>
          </w:p>
        </w:tc>
      </w:tr>
      <w:tr w:rsidR="009A6700" w:rsidRPr="0065414C" w14:paraId="591D0CA5" w14:textId="77777777" w:rsidTr="00872610">
        <w:trPr>
          <w:trHeight w:val="283"/>
        </w:trPr>
        <w:tc>
          <w:tcPr>
            <w:tcW w:w="2694" w:type="dxa"/>
            <w:vAlign w:val="center"/>
            <w:hideMark/>
          </w:tcPr>
          <w:p w14:paraId="770A0227" w14:textId="77777777" w:rsidR="009A6700" w:rsidRPr="00CD6FED" w:rsidRDefault="009A6700" w:rsidP="00465E0B">
            <w:pPr>
              <w:rPr>
                <w:rFonts w:cs="Arial"/>
                <w:color w:val="58595A"/>
                <w:szCs w:val="18"/>
              </w:rPr>
            </w:pPr>
          </w:p>
        </w:tc>
        <w:tc>
          <w:tcPr>
            <w:tcW w:w="4677" w:type="dxa"/>
            <w:tcBorders>
              <w:top w:val="single" w:sz="4" w:space="0" w:color="D9D9D9" w:themeColor="background2" w:themeShade="D9"/>
              <w:bottom w:val="single" w:sz="4" w:space="0" w:color="D9D9D9" w:themeColor="background2" w:themeShade="D9"/>
            </w:tcBorders>
            <w:noWrap/>
            <w:vAlign w:val="center"/>
            <w:hideMark/>
          </w:tcPr>
          <w:p w14:paraId="56018CAD" w14:textId="77777777" w:rsidR="009A6700" w:rsidRPr="00CD6FED" w:rsidRDefault="009A6700" w:rsidP="00530F1A">
            <w:pPr>
              <w:keepNext/>
              <w:spacing w:before="20" w:after="20"/>
              <w:rPr>
                <w:rFonts w:cs="Arial"/>
                <w:color w:val="58595A"/>
                <w:szCs w:val="18"/>
              </w:rPr>
            </w:pPr>
            <w:r w:rsidRPr="00CD6FED">
              <w:rPr>
                <w:rFonts w:cs="Arial"/>
                <w:color w:val="58595A"/>
                <w:szCs w:val="18"/>
              </w:rPr>
              <w:t>Pain following surgery</w:t>
            </w:r>
          </w:p>
        </w:tc>
        <w:tc>
          <w:tcPr>
            <w:tcW w:w="2127" w:type="dxa"/>
            <w:tcBorders>
              <w:top w:val="single" w:sz="4" w:space="0" w:color="D9D9D9" w:themeColor="background2" w:themeShade="D9"/>
              <w:bottom w:val="single" w:sz="4" w:space="0" w:color="D9D9D9" w:themeColor="background2" w:themeShade="D9"/>
            </w:tcBorders>
            <w:vAlign w:val="center"/>
            <w:hideMark/>
          </w:tcPr>
          <w:p w14:paraId="147EA217" w14:textId="77777777" w:rsidR="009A6700" w:rsidRPr="00CD6FED" w:rsidRDefault="009A6700" w:rsidP="00530F1A">
            <w:pPr>
              <w:spacing w:before="20" w:after="20"/>
              <w:jc w:val="center"/>
              <w:rPr>
                <w:rFonts w:cs="Arial"/>
                <w:color w:val="58595A"/>
                <w:szCs w:val="18"/>
              </w:rPr>
            </w:pPr>
            <w:r w:rsidRPr="00CD6FED">
              <w:rPr>
                <w:rFonts w:cs="Arial"/>
                <w:color w:val="58595A"/>
                <w:szCs w:val="18"/>
              </w:rPr>
              <w:t>14 days</w:t>
            </w:r>
          </w:p>
        </w:tc>
      </w:tr>
      <w:tr w:rsidR="009A6700" w:rsidRPr="0065414C" w14:paraId="567FBAB1" w14:textId="77777777" w:rsidTr="00872610">
        <w:trPr>
          <w:trHeight w:val="283"/>
        </w:trPr>
        <w:tc>
          <w:tcPr>
            <w:tcW w:w="2694" w:type="dxa"/>
            <w:tcBorders>
              <w:bottom w:val="single" w:sz="4" w:space="0" w:color="D9D9D9" w:themeColor="background2" w:themeShade="D9"/>
            </w:tcBorders>
            <w:vAlign w:val="center"/>
            <w:hideMark/>
          </w:tcPr>
          <w:p w14:paraId="4A7AE9F0" w14:textId="77777777" w:rsidR="009A6700" w:rsidRPr="00CD6FED" w:rsidRDefault="009A6700" w:rsidP="00465E0B">
            <w:pPr>
              <w:rPr>
                <w:rFonts w:cs="Arial"/>
                <w:color w:val="58595A"/>
                <w:szCs w:val="18"/>
              </w:rPr>
            </w:pPr>
          </w:p>
        </w:tc>
        <w:tc>
          <w:tcPr>
            <w:tcW w:w="4677" w:type="dxa"/>
            <w:tcBorders>
              <w:top w:val="single" w:sz="4" w:space="0" w:color="D9D9D9" w:themeColor="background2" w:themeShade="D9"/>
              <w:bottom w:val="single" w:sz="4" w:space="0" w:color="D9D9D9" w:themeColor="background2" w:themeShade="D9"/>
            </w:tcBorders>
            <w:noWrap/>
            <w:vAlign w:val="center"/>
            <w:hideMark/>
          </w:tcPr>
          <w:p w14:paraId="686D676A" w14:textId="77777777" w:rsidR="009A6700" w:rsidRPr="00CD6FED" w:rsidRDefault="009A6700" w:rsidP="00530F1A">
            <w:pPr>
              <w:keepNext/>
              <w:spacing w:before="20" w:after="20"/>
              <w:rPr>
                <w:rFonts w:cs="Arial"/>
                <w:color w:val="58595A"/>
                <w:szCs w:val="18"/>
              </w:rPr>
            </w:pPr>
            <w:r w:rsidRPr="00CD6FED">
              <w:rPr>
                <w:rFonts w:cs="Arial"/>
                <w:color w:val="58595A"/>
                <w:szCs w:val="18"/>
              </w:rPr>
              <w:t>Other surgical complications</w:t>
            </w:r>
          </w:p>
        </w:tc>
        <w:tc>
          <w:tcPr>
            <w:tcW w:w="2127" w:type="dxa"/>
            <w:tcBorders>
              <w:top w:val="single" w:sz="4" w:space="0" w:color="D9D9D9" w:themeColor="background2" w:themeShade="D9"/>
              <w:bottom w:val="single" w:sz="4" w:space="0" w:color="D9D9D9" w:themeColor="background2" w:themeShade="D9"/>
            </w:tcBorders>
            <w:vAlign w:val="center"/>
            <w:hideMark/>
          </w:tcPr>
          <w:p w14:paraId="4825356F" w14:textId="77777777" w:rsidR="009A6700" w:rsidRPr="00CD6FED" w:rsidRDefault="009A6700" w:rsidP="00530F1A">
            <w:pPr>
              <w:spacing w:before="20" w:after="20"/>
              <w:jc w:val="center"/>
              <w:rPr>
                <w:rFonts w:cs="Arial"/>
                <w:color w:val="58595A"/>
                <w:szCs w:val="18"/>
              </w:rPr>
            </w:pPr>
            <w:r w:rsidRPr="00CD6FED">
              <w:rPr>
                <w:rFonts w:cs="Arial"/>
                <w:color w:val="58595A"/>
                <w:szCs w:val="18"/>
              </w:rPr>
              <w:t>28 days</w:t>
            </w:r>
          </w:p>
        </w:tc>
      </w:tr>
      <w:tr w:rsidR="009A6700" w:rsidRPr="0065414C" w14:paraId="733DE0CF" w14:textId="77777777" w:rsidTr="00872610">
        <w:trPr>
          <w:trHeight w:val="283"/>
        </w:trPr>
        <w:tc>
          <w:tcPr>
            <w:tcW w:w="2694" w:type="dxa"/>
            <w:tcBorders>
              <w:top w:val="single" w:sz="4" w:space="0" w:color="D9D9D9" w:themeColor="background2" w:themeShade="D9"/>
            </w:tcBorders>
            <w:noWrap/>
            <w:vAlign w:val="center"/>
            <w:hideMark/>
          </w:tcPr>
          <w:p w14:paraId="7D29EA32" w14:textId="77777777" w:rsidR="009A6700" w:rsidRPr="00CD6FED" w:rsidRDefault="009A6700" w:rsidP="00465E0B">
            <w:pPr>
              <w:pStyle w:val="ListParagraph"/>
              <w:numPr>
                <w:ilvl w:val="0"/>
                <w:numId w:val="15"/>
              </w:numPr>
              <w:tabs>
                <w:tab w:val="clear" w:pos="1418"/>
              </w:tabs>
              <w:spacing w:before="60" w:after="60" w:line="240" w:lineRule="auto"/>
              <w:ind w:left="360" w:right="0"/>
              <w:contextualSpacing/>
              <w:rPr>
                <w:rFonts w:cs="Arial"/>
                <w:color w:val="58595A"/>
                <w:sz w:val="18"/>
                <w:szCs w:val="18"/>
              </w:rPr>
            </w:pPr>
            <w:r w:rsidRPr="00CD6FED">
              <w:rPr>
                <w:rFonts w:cs="Arial"/>
                <w:color w:val="58595A"/>
                <w:sz w:val="18"/>
                <w:szCs w:val="18"/>
              </w:rPr>
              <w:t>Respiratory complications</w:t>
            </w:r>
          </w:p>
        </w:tc>
        <w:tc>
          <w:tcPr>
            <w:tcW w:w="4677" w:type="dxa"/>
            <w:tcBorders>
              <w:top w:val="single" w:sz="4" w:space="0" w:color="D9D9D9" w:themeColor="background2" w:themeShade="D9"/>
              <w:bottom w:val="single" w:sz="4" w:space="0" w:color="D9D9D9" w:themeColor="background2" w:themeShade="D9"/>
            </w:tcBorders>
            <w:noWrap/>
            <w:vAlign w:val="center"/>
            <w:hideMark/>
          </w:tcPr>
          <w:p w14:paraId="4C0A6E75" w14:textId="77777777" w:rsidR="009A6700" w:rsidRPr="00CD6FED" w:rsidRDefault="009A6700" w:rsidP="00530F1A">
            <w:pPr>
              <w:keepNext/>
              <w:spacing w:before="20" w:after="20"/>
              <w:rPr>
                <w:rFonts w:cs="Arial"/>
                <w:color w:val="58595A"/>
                <w:szCs w:val="18"/>
              </w:rPr>
            </w:pPr>
            <w:r w:rsidRPr="00CD6FED">
              <w:rPr>
                <w:rFonts w:cs="Arial"/>
                <w:color w:val="58595A"/>
                <w:szCs w:val="18"/>
              </w:rPr>
              <w:t xml:space="preserve">Respiratory failure including acute respiratory distress syndromes </w:t>
            </w:r>
          </w:p>
        </w:tc>
        <w:tc>
          <w:tcPr>
            <w:tcW w:w="2127" w:type="dxa"/>
            <w:tcBorders>
              <w:top w:val="single" w:sz="4" w:space="0" w:color="D9D9D9" w:themeColor="background2" w:themeShade="D9"/>
              <w:bottom w:val="single" w:sz="4" w:space="0" w:color="D9D9D9" w:themeColor="background2" w:themeShade="D9"/>
            </w:tcBorders>
            <w:vAlign w:val="center"/>
            <w:hideMark/>
          </w:tcPr>
          <w:p w14:paraId="473C66BB" w14:textId="77777777" w:rsidR="009A6700" w:rsidRPr="00CD6FED" w:rsidRDefault="009A6700" w:rsidP="00530F1A">
            <w:pPr>
              <w:spacing w:before="20" w:after="20"/>
              <w:jc w:val="center"/>
              <w:rPr>
                <w:rFonts w:cs="Arial"/>
                <w:color w:val="58595A"/>
                <w:szCs w:val="18"/>
              </w:rPr>
            </w:pPr>
            <w:r w:rsidRPr="00CD6FED">
              <w:rPr>
                <w:rFonts w:cs="Arial"/>
                <w:color w:val="58595A"/>
                <w:szCs w:val="18"/>
              </w:rPr>
              <w:t>21 days</w:t>
            </w:r>
          </w:p>
        </w:tc>
      </w:tr>
      <w:tr w:rsidR="009A6700" w:rsidRPr="0065414C" w14:paraId="3FE2F667" w14:textId="77777777" w:rsidTr="00872610">
        <w:trPr>
          <w:trHeight w:val="283"/>
        </w:trPr>
        <w:tc>
          <w:tcPr>
            <w:tcW w:w="2694" w:type="dxa"/>
            <w:tcBorders>
              <w:bottom w:val="single" w:sz="4" w:space="0" w:color="D9D9D9" w:themeColor="background2" w:themeShade="D9"/>
            </w:tcBorders>
            <w:vAlign w:val="center"/>
            <w:hideMark/>
          </w:tcPr>
          <w:p w14:paraId="27E64CFA" w14:textId="77777777" w:rsidR="009A6700" w:rsidRPr="00CD6FED" w:rsidRDefault="009A6700" w:rsidP="00465E0B">
            <w:pPr>
              <w:rPr>
                <w:rFonts w:cs="Arial"/>
                <w:color w:val="58595A"/>
                <w:szCs w:val="18"/>
              </w:rPr>
            </w:pPr>
          </w:p>
        </w:tc>
        <w:tc>
          <w:tcPr>
            <w:tcW w:w="4677" w:type="dxa"/>
            <w:tcBorders>
              <w:top w:val="single" w:sz="4" w:space="0" w:color="D9D9D9" w:themeColor="background2" w:themeShade="D9"/>
              <w:bottom w:val="single" w:sz="4" w:space="0" w:color="D9D9D9" w:themeColor="background2" w:themeShade="D9"/>
            </w:tcBorders>
            <w:noWrap/>
            <w:vAlign w:val="center"/>
            <w:hideMark/>
          </w:tcPr>
          <w:p w14:paraId="4923DC53" w14:textId="77777777" w:rsidR="009A6700" w:rsidRPr="00CD6FED" w:rsidRDefault="009A6700" w:rsidP="00530F1A">
            <w:pPr>
              <w:keepNext/>
              <w:spacing w:before="20" w:after="20"/>
              <w:rPr>
                <w:rFonts w:cs="Arial"/>
                <w:color w:val="58595A"/>
                <w:szCs w:val="18"/>
              </w:rPr>
            </w:pPr>
            <w:r w:rsidRPr="00CD6FED">
              <w:rPr>
                <w:rFonts w:cs="Arial"/>
                <w:color w:val="58595A"/>
                <w:szCs w:val="18"/>
              </w:rPr>
              <w:t>Aspiration pneumonia</w:t>
            </w:r>
          </w:p>
        </w:tc>
        <w:tc>
          <w:tcPr>
            <w:tcW w:w="2127" w:type="dxa"/>
            <w:tcBorders>
              <w:top w:val="single" w:sz="4" w:space="0" w:color="D9D9D9" w:themeColor="background2" w:themeShade="D9"/>
              <w:bottom w:val="single" w:sz="4" w:space="0" w:color="D9D9D9" w:themeColor="background2" w:themeShade="D9"/>
            </w:tcBorders>
            <w:vAlign w:val="center"/>
            <w:hideMark/>
          </w:tcPr>
          <w:p w14:paraId="7FC83D41" w14:textId="77777777" w:rsidR="009A6700" w:rsidRPr="00CD6FED" w:rsidRDefault="009A6700" w:rsidP="00530F1A">
            <w:pPr>
              <w:spacing w:before="20" w:after="20"/>
              <w:jc w:val="center"/>
              <w:rPr>
                <w:rFonts w:cs="Arial"/>
                <w:color w:val="58595A"/>
                <w:szCs w:val="18"/>
              </w:rPr>
            </w:pPr>
            <w:r w:rsidRPr="00CD6FED">
              <w:rPr>
                <w:rFonts w:cs="Arial"/>
                <w:color w:val="58595A"/>
                <w:szCs w:val="18"/>
              </w:rPr>
              <w:t>14 days</w:t>
            </w:r>
          </w:p>
        </w:tc>
      </w:tr>
      <w:tr w:rsidR="00A3126A" w:rsidRPr="0065414C" w14:paraId="540C2EBE" w14:textId="77777777" w:rsidTr="00872610">
        <w:trPr>
          <w:trHeight w:val="283"/>
        </w:trPr>
        <w:tc>
          <w:tcPr>
            <w:tcW w:w="2694" w:type="dxa"/>
            <w:tcBorders>
              <w:top w:val="single" w:sz="4" w:space="0" w:color="D9D9D9" w:themeColor="background2" w:themeShade="D9"/>
              <w:bottom w:val="single" w:sz="4" w:space="0" w:color="D9D9D9" w:themeColor="background2" w:themeShade="D9"/>
            </w:tcBorders>
            <w:noWrap/>
            <w:vAlign w:val="center"/>
            <w:hideMark/>
          </w:tcPr>
          <w:p w14:paraId="011396C7" w14:textId="77777777" w:rsidR="00A3126A" w:rsidRPr="00CD6FED" w:rsidRDefault="00A3126A" w:rsidP="00465E0B">
            <w:pPr>
              <w:pStyle w:val="ListParagraph"/>
              <w:numPr>
                <w:ilvl w:val="0"/>
                <w:numId w:val="15"/>
              </w:numPr>
              <w:tabs>
                <w:tab w:val="clear" w:pos="1418"/>
              </w:tabs>
              <w:spacing w:before="60" w:after="60" w:line="240" w:lineRule="auto"/>
              <w:ind w:left="360" w:right="0"/>
              <w:contextualSpacing/>
              <w:rPr>
                <w:rFonts w:cs="Arial"/>
                <w:color w:val="58595A"/>
                <w:sz w:val="18"/>
                <w:szCs w:val="18"/>
              </w:rPr>
            </w:pPr>
            <w:r w:rsidRPr="00CD6FED">
              <w:rPr>
                <w:rFonts w:cs="Arial"/>
                <w:color w:val="58595A"/>
                <w:sz w:val="18"/>
                <w:szCs w:val="18"/>
              </w:rPr>
              <w:t>Venous thromboembolism</w:t>
            </w:r>
          </w:p>
        </w:tc>
        <w:tc>
          <w:tcPr>
            <w:tcW w:w="4677" w:type="dxa"/>
            <w:tcBorders>
              <w:top w:val="single" w:sz="4" w:space="0" w:color="D9D9D9" w:themeColor="background2" w:themeShade="D9"/>
              <w:bottom w:val="single" w:sz="4" w:space="0" w:color="D9D9D9" w:themeColor="background2" w:themeShade="D9"/>
            </w:tcBorders>
            <w:noWrap/>
            <w:vAlign w:val="center"/>
            <w:hideMark/>
          </w:tcPr>
          <w:p w14:paraId="678BFD19" w14:textId="77777777" w:rsidR="00A3126A" w:rsidRPr="00CD6FED" w:rsidRDefault="00A3126A" w:rsidP="00530F1A">
            <w:pPr>
              <w:keepNext/>
              <w:spacing w:before="20" w:after="20"/>
              <w:rPr>
                <w:rFonts w:cs="Arial"/>
                <w:color w:val="58595A"/>
                <w:szCs w:val="18"/>
              </w:rPr>
            </w:pPr>
            <w:r w:rsidRPr="00CD6FED">
              <w:rPr>
                <w:rFonts w:cs="Arial"/>
                <w:color w:val="58595A"/>
                <w:szCs w:val="18"/>
              </w:rPr>
              <w:t>Venous thromboembolism</w:t>
            </w:r>
          </w:p>
        </w:tc>
        <w:tc>
          <w:tcPr>
            <w:tcW w:w="2127" w:type="dxa"/>
            <w:tcBorders>
              <w:top w:val="single" w:sz="4" w:space="0" w:color="D9D9D9" w:themeColor="background2" w:themeShade="D9"/>
              <w:bottom w:val="single" w:sz="4" w:space="0" w:color="D9D9D9" w:themeColor="background2" w:themeShade="D9"/>
            </w:tcBorders>
            <w:vAlign w:val="center"/>
            <w:hideMark/>
          </w:tcPr>
          <w:p w14:paraId="007999C1" w14:textId="77777777" w:rsidR="00A3126A" w:rsidRPr="00CD6FED" w:rsidRDefault="00A3126A" w:rsidP="00530F1A">
            <w:pPr>
              <w:spacing w:before="20" w:after="20"/>
              <w:jc w:val="center"/>
              <w:rPr>
                <w:rFonts w:cs="Arial"/>
                <w:color w:val="58595A"/>
                <w:szCs w:val="18"/>
              </w:rPr>
            </w:pPr>
            <w:r w:rsidRPr="00CD6FED">
              <w:rPr>
                <w:rFonts w:cs="Arial"/>
                <w:color w:val="58595A"/>
                <w:szCs w:val="18"/>
              </w:rPr>
              <w:t>90 days</w:t>
            </w:r>
          </w:p>
        </w:tc>
      </w:tr>
      <w:tr w:rsidR="00A3126A" w:rsidRPr="0065414C" w14:paraId="10E7A98B" w14:textId="77777777" w:rsidTr="00872610">
        <w:trPr>
          <w:trHeight w:val="283"/>
        </w:trPr>
        <w:tc>
          <w:tcPr>
            <w:tcW w:w="2694" w:type="dxa"/>
            <w:tcBorders>
              <w:top w:val="single" w:sz="4" w:space="0" w:color="D9D9D9" w:themeColor="background2" w:themeShade="D9"/>
              <w:bottom w:val="single" w:sz="4" w:space="0" w:color="D9D9D9" w:themeColor="background2" w:themeShade="D9"/>
            </w:tcBorders>
            <w:noWrap/>
            <w:vAlign w:val="center"/>
            <w:hideMark/>
          </w:tcPr>
          <w:p w14:paraId="726A209D" w14:textId="77777777" w:rsidR="00A3126A" w:rsidRPr="00CD6FED" w:rsidRDefault="00A3126A" w:rsidP="00465E0B">
            <w:pPr>
              <w:pStyle w:val="ListParagraph"/>
              <w:numPr>
                <w:ilvl w:val="0"/>
                <w:numId w:val="15"/>
              </w:numPr>
              <w:tabs>
                <w:tab w:val="clear" w:pos="1418"/>
              </w:tabs>
              <w:spacing w:before="60" w:after="60" w:line="240" w:lineRule="auto"/>
              <w:ind w:left="360" w:right="0"/>
              <w:contextualSpacing/>
              <w:rPr>
                <w:rFonts w:cs="Arial"/>
                <w:color w:val="58595A"/>
                <w:sz w:val="18"/>
                <w:szCs w:val="18"/>
              </w:rPr>
            </w:pPr>
            <w:r w:rsidRPr="00CD6FED">
              <w:rPr>
                <w:rFonts w:cs="Arial"/>
                <w:color w:val="58595A"/>
                <w:sz w:val="18"/>
                <w:szCs w:val="18"/>
              </w:rPr>
              <w:t>Renal failure</w:t>
            </w:r>
          </w:p>
        </w:tc>
        <w:tc>
          <w:tcPr>
            <w:tcW w:w="4677" w:type="dxa"/>
            <w:tcBorders>
              <w:top w:val="single" w:sz="4" w:space="0" w:color="D9D9D9" w:themeColor="background2" w:themeShade="D9"/>
              <w:bottom w:val="single" w:sz="4" w:space="0" w:color="D9D9D9" w:themeColor="background2" w:themeShade="D9"/>
            </w:tcBorders>
            <w:noWrap/>
            <w:vAlign w:val="center"/>
            <w:hideMark/>
          </w:tcPr>
          <w:p w14:paraId="6C721A6C" w14:textId="77777777" w:rsidR="00A3126A" w:rsidRPr="00CD6FED" w:rsidRDefault="00A3126A" w:rsidP="00530F1A">
            <w:pPr>
              <w:keepNext/>
              <w:spacing w:before="20" w:after="20"/>
              <w:rPr>
                <w:rFonts w:cs="Arial"/>
                <w:color w:val="58595A"/>
                <w:szCs w:val="18"/>
              </w:rPr>
            </w:pPr>
            <w:r w:rsidRPr="00CD6FED">
              <w:rPr>
                <w:rFonts w:cs="Arial"/>
                <w:color w:val="58595A"/>
                <w:szCs w:val="18"/>
              </w:rPr>
              <w:t>Renal failure</w:t>
            </w:r>
          </w:p>
        </w:tc>
        <w:tc>
          <w:tcPr>
            <w:tcW w:w="2127" w:type="dxa"/>
            <w:tcBorders>
              <w:top w:val="single" w:sz="4" w:space="0" w:color="D9D9D9" w:themeColor="background2" w:themeShade="D9"/>
              <w:bottom w:val="single" w:sz="4" w:space="0" w:color="D9D9D9" w:themeColor="background2" w:themeShade="D9"/>
            </w:tcBorders>
            <w:vAlign w:val="center"/>
            <w:hideMark/>
          </w:tcPr>
          <w:p w14:paraId="706C96F2" w14:textId="77777777" w:rsidR="00A3126A" w:rsidRPr="00CD6FED" w:rsidRDefault="00A3126A" w:rsidP="00530F1A">
            <w:pPr>
              <w:spacing w:before="20" w:after="20"/>
              <w:jc w:val="center"/>
              <w:rPr>
                <w:rFonts w:cs="Arial"/>
                <w:color w:val="58595A"/>
                <w:szCs w:val="18"/>
              </w:rPr>
            </w:pPr>
            <w:r w:rsidRPr="00CD6FED">
              <w:rPr>
                <w:rFonts w:cs="Arial"/>
                <w:color w:val="58595A"/>
                <w:szCs w:val="18"/>
              </w:rPr>
              <w:t>21 days</w:t>
            </w:r>
          </w:p>
        </w:tc>
      </w:tr>
      <w:tr w:rsidR="00A3126A" w:rsidRPr="0065414C" w14:paraId="549C3A5C" w14:textId="77777777" w:rsidTr="00872610">
        <w:trPr>
          <w:trHeight w:val="283"/>
        </w:trPr>
        <w:tc>
          <w:tcPr>
            <w:tcW w:w="2694" w:type="dxa"/>
            <w:tcBorders>
              <w:top w:val="single" w:sz="4" w:space="0" w:color="D9D9D9" w:themeColor="background2" w:themeShade="D9"/>
              <w:bottom w:val="single" w:sz="4" w:space="0" w:color="D9D9D9" w:themeColor="background2" w:themeShade="D9"/>
            </w:tcBorders>
            <w:noWrap/>
            <w:vAlign w:val="center"/>
            <w:hideMark/>
          </w:tcPr>
          <w:p w14:paraId="225FF511" w14:textId="77777777" w:rsidR="00A3126A" w:rsidRPr="00CD6FED" w:rsidRDefault="00A3126A" w:rsidP="00465E0B">
            <w:pPr>
              <w:pStyle w:val="ListParagraph"/>
              <w:numPr>
                <w:ilvl w:val="0"/>
                <w:numId w:val="15"/>
              </w:numPr>
              <w:tabs>
                <w:tab w:val="clear" w:pos="1418"/>
              </w:tabs>
              <w:spacing w:before="60" w:after="60" w:line="240" w:lineRule="auto"/>
              <w:ind w:left="360" w:right="0"/>
              <w:contextualSpacing/>
              <w:rPr>
                <w:rFonts w:cs="Arial"/>
                <w:color w:val="58595A"/>
                <w:sz w:val="18"/>
                <w:szCs w:val="18"/>
              </w:rPr>
            </w:pPr>
            <w:r w:rsidRPr="00CD6FED">
              <w:rPr>
                <w:rFonts w:cs="Arial"/>
                <w:color w:val="58595A"/>
                <w:sz w:val="18"/>
                <w:szCs w:val="18"/>
              </w:rPr>
              <w:t>Gastrointestinal bleeding</w:t>
            </w:r>
          </w:p>
        </w:tc>
        <w:tc>
          <w:tcPr>
            <w:tcW w:w="4677" w:type="dxa"/>
            <w:tcBorders>
              <w:top w:val="single" w:sz="4" w:space="0" w:color="D9D9D9" w:themeColor="background2" w:themeShade="D9"/>
              <w:bottom w:val="single" w:sz="4" w:space="0" w:color="D9D9D9" w:themeColor="background2" w:themeShade="D9"/>
            </w:tcBorders>
            <w:noWrap/>
            <w:vAlign w:val="center"/>
            <w:hideMark/>
          </w:tcPr>
          <w:p w14:paraId="56495029" w14:textId="77777777" w:rsidR="00A3126A" w:rsidRPr="00CD6FED" w:rsidRDefault="00A3126A" w:rsidP="00530F1A">
            <w:pPr>
              <w:keepNext/>
              <w:spacing w:before="20" w:after="20"/>
              <w:rPr>
                <w:rFonts w:cs="Arial"/>
                <w:color w:val="58595A"/>
                <w:szCs w:val="18"/>
              </w:rPr>
            </w:pPr>
            <w:r w:rsidRPr="00CD6FED">
              <w:rPr>
                <w:rFonts w:cs="Arial"/>
                <w:color w:val="58595A"/>
                <w:szCs w:val="18"/>
              </w:rPr>
              <w:t>Gastrointestinal bleeding</w:t>
            </w:r>
          </w:p>
        </w:tc>
        <w:tc>
          <w:tcPr>
            <w:tcW w:w="2127" w:type="dxa"/>
            <w:tcBorders>
              <w:top w:val="single" w:sz="4" w:space="0" w:color="D9D9D9" w:themeColor="background2" w:themeShade="D9"/>
              <w:bottom w:val="single" w:sz="4" w:space="0" w:color="D9D9D9" w:themeColor="background2" w:themeShade="D9"/>
            </w:tcBorders>
            <w:vAlign w:val="center"/>
            <w:hideMark/>
          </w:tcPr>
          <w:p w14:paraId="55951D92" w14:textId="77777777" w:rsidR="00A3126A" w:rsidRPr="00CD6FED" w:rsidRDefault="00A3126A" w:rsidP="00530F1A">
            <w:pPr>
              <w:spacing w:before="20" w:after="20"/>
              <w:jc w:val="center"/>
              <w:rPr>
                <w:rFonts w:cs="Arial"/>
                <w:color w:val="58595A"/>
                <w:szCs w:val="18"/>
              </w:rPr>
            </w:pPr>
            <w:r w:rsidRPr="00CD6FED">
              <w:rPr>
                <w:rFonts w:cs="Arial"/>
                <w:color w:val="58595A"/>
                <w:szCs w:val="18"/>
              </w:rPr>
              <w:t>2 days</w:t>
            </w:r>
          </w:p>
        </w:tc>
      </w:tr>
      <w:tr w:rsidR="009A6700" w:rsidRPr="0065414C" w14:paraId="4E0C689A" w14:textId="77777777" w:rsidTr="00872610">
        <w:trPr>
          <w:trHeight w:val="283"/>
        </w:trPr>
        <w:tc>
          <w:tcPr>
            <w:tcW w:w="2694" w:type="dxa"/>
            <w:tcBorders>
              <w:top w:val="single" w:sz="4" w:space="0" w:color="D9D9D9" w:themeColor="background2" w:themeShade="D9"/>
            </w:tcBorders>
            <w:noWrap/>
            <w:vAlign w:val="center"/>
            <w:hideMark/>
          </w:tcPr>
          <w:p w14:paraId="0877D0D7" w14:textId="77777777" w:rsidR="009A6700" w:rsidRPr="00CD6FED" w:rsidRDefault="009A6700" w:rsidP="00465E0B">
            <w:pPr>
              <w:pStyle w:val="ListParagraph"/>
              <w:numPr>
                <w:ilvl w:val="0"/>
                <w:numId w:val="15"/>
              </w:numPr>
              <w:tabs>
                <w:tab w:val="clear" w:pos="1418"/>
              </w:tabs>
              <w:spacing w:before="60" w:after="60" w:line="240" w:lineRule="auto"/>
              <w:ind w:left="360" w:right="0"/>
              <w:contextualSpacing/>
              <w:rPr>
                <w:rFonts w:cs="Arial"/>
                <w:color w:val="58595A"/>
                <w:sz w:val="18"/>
                <w:szCs w:val="18"/>
              </w:rPr>
            </w:pPr>
            <w:r w:rsidRPr="00CD6FED">
              <w:rPr>
                <w:rFonts w:cs="Arial"/>
                <w:color w:val="58595A"/>
                <w:sz w:val="18"/>
                <w:szCs w:val="18"/>
              </w:rPr>
              <w:t>Medication complications</w:t>
            </w:r>
          </w:p>
        </w:tc>
        <w:tc>
          <w:tcPr>
            <w:tcW w:w="4677" w:type="dxa"/>
            <w:tcBorders>
              <w:top w:val="single" w:sz="4" w:space="0" w:color="D9D9D9" w:themeColor="background2" w:themeShade="D9"/>
              <w:bottom w:val="single" w:sz="4" w:space="0" w:color="D9D9D9" w:themeColor="background2" w:themeShade="D9"/>
            </w:tcBorders>
            <w:noWrap/>
            <w:vAlign w:val="center"/>
            <w:hideMark/>
          </w:tcPr>
          <w:p w14:paraId="77936D6B" w14:textId="77777777" w:rsidR="009A6700" w:rsidRPr="00CD6FED" w:rsidRDefault="009A6700" w:rsidP="00530F1A">
            <w:pPr>
              <w:keepNext/>
              <w:spacing w:before="20" w:after="20"/>
              <w:rPr>
                <w:rFonts w:cs="Arial"/>
                <w:color w:val="58595A"/>
                <w:szCs w:val="18"/>
              </w:rPr>
            </w:pPr>
            <w:r w:rsidRPr="00CD6FED">
              <w:rPr>
                <w:rFonts w:cs="Arial"/>
                <w:color w:val="58595A"/>
                <w:szCs w:val="18"/>
              </w:rPr>
              <w:t>Drug related respiratory complications/depression</w:t>
            </w:r>
          </w:p>
        </w:tc>
        <w:tc>
          <w:tcPr>
            <w:tcW w:w="2127" w:type="dxa"/>
            <w:tcBorders>
              <w:top w:val="single" w:sz="4" w:space="0" w:color="D9D9D9" w:themeColor="background2" w:themeShade="D9"/>
              <w:bottom w:val="single" w:sz="4" w:space="0" w:color="D9D9D9" w:themeColor="background2" w:themeShade="D9"/>
            </w:tcBorders>
            <w:vAlign w:val="center"/>
            <w:hideMark/>
          </w:tcPr>
          <w:p w14:paraId="6DD98D3E" w14:textId="77777777" w:rsidR="009A6700" w:rsidRPr="00CD6FED" w:rsidRDefault="009A6700" w:rsidP="00530F1A">
            <w:pPr>
              <w:spacing w:before="20" w:after="20"/>
              <w:jc w:val="center"/>
              <w:rPr>
                <w:rFonts w:cs="Arial"/>
                <w:color w:val="58595A"/>
                <w:szCs w:val="18"/>
              </w:rPr>
            </w:pPr>
            <w:r w:rsidRPr="00CD6FED">
              <w:rPr>
                <w:rFonts w:cs="Arial"/>
                <w:color w:val="58595A"/>
                <w:szCs w:val="18"/>
              </w:rPr>
              <w:t>2 days</w:t>
            </w:r>
          </w:p>
        </w:tc>
      </w:tr>
      <w:tr w:rsidR="009A6700" w:rsidRPr="0065414C" w14:paraId="49A7742D" w14:textId="77777777" w:rsidTr="00872610">
        <w:trPr>
          <w:trHeight w:val="283"/>
        </w:trPr>
        <w:tc>
          <w:tcPr>
            <w:tcW w:w="2694" w:type="dxa"/>
            <w:tcBorders>
              <w:bottom w:val="single" w:sz="4" w:space="0" w:color="D9D9D9" w:themeColor="background2" w:themeShade="D9"/>
            </w:tcBorders>
            <w:vAlign w:val="center"/>
            <w:hideMark/>
          </w:tcPr>
          <w:p w14:paraId="4D15B722" w14:textId="77777777" w:rsidR="009A6700" w:rsidRPr="00CD6FED" w:rsidRDefault="009A6700" w:rsidP="00465E0B">
            <w:pPr>
              <w:rPr>
                <w:rFonts w:cs="Arial"/>
                <w:color w:val="58595A"/>
                <w:szCs w:val="18"/>
              </w:rPr>
            </w:pPr>
          </w:p>
        </w:tc>
        <w:tc>
          <w:tcPr>
            <w:tcW w:w="4677" w:type="dxa"/>
            <w:tcBorders>
              <w:top w:val="single" w:sz="4" w:space="0" w:color="D9D9D9" w:themeColor="background2" w:themeShade="D9"/>
              <w:bottom w:val="single" w:sz="4" w:space="0" w:color="D9D9D9" w:themeColor="background2" w:themeShade="D9"/>
            </w:tcBorders>
            <w:noWrap/>
            <w:vAlign w:val="center"/>
            <w:hideMark/>
          </w:tcPr>
          <w:p w14:paraId="551F6F5D" w14:textId="77777777" w:rsidR="009A6700" w:rsidRPr="00CD6FED" w:rsidRDefault="009A6700" w:rsidP="00530F1A">
            <w:pPr>
              <w:keepNext/>
              <w:spacing w:before="20" w:after="20"/>
              <w:rPr>
                <w:rFonts w:cs="Arial"/>
                <w:color w:val="58595A"/>
                <w:szCs w:val="18"/>
              </w:rPr>
            </w:pPr>
            <w:r w:rsidRPr="00CD6FED">
              <w:rPr>
                <w:rFonts w:cs="Arial"/>
                <w:color w:val="58595A"/>
                <w:szCs w:val="18"/>
              </w:rPr>
              <w:t>Hypoglycaemia</w:t>
            </w:r>
          </w:p>
        </w:tc>
        <w:tc>
          <w:tcPr>
            <w:tcW w:w="2127" w:type="dxa"/>
            <w:tcBorders>
              <w:top w:val="single" w:sz="4" w:space="0" w:color="D9D9D9" w:themeColor="background2" w:themeShade="D9"/>
              <w:bottom w:val="single" w:sz="4" w:space="0" w:color="D9D9D9" w:themeColor="background2" w:themeShade="D9"/>
            </w:tcBorders>
            <w:vAlign w:val="center"/>
            <w:hideMark/>
          </w:tcPr>
          <w:p w14:paraId="32001EB9" w14:textId="77777777" w:rsidR="009A6700" w:rsidRPr="00CD6FED" w:rsidRDefault="009A6700" w:rsidP="00530F1A">
            <w:pPr>
              <w:spacing w:before="20" w:after="20"/>
              <w:jc w:val="center"/>
              <w:rPr>
                <w:rFonts w:cs="Arial"/>
                <w:color w:val="58595A"/>
                <w:szCs w:val="18"/>
              </w:rPr>
            </w:pPr>
            <w:r w:rsidRPr="00CD6FED">
              <w:rPr>
                <w:rFonts w:cs="Arial"/>
                <w:color w:val="58595A"/>
                <w:szCs w:val="18"/>
              </w:rPr>
              <w:t>4 days</w:t>
            </w:r>
          </w:p>
        </w:tc>
      </w:tr>
      <w:tr w:rsidR="00A3126A" w:rsidRPr="0065414C" w14:paraId="3C6B4683" w14:textId="77777777" w:rsidTr="00872610">
        <w:trPr>
          <w:trHeight w:val="283"/>
        </w:trPr>
        <w:tc>
          <w:tcPr>
            <w:tcW w:w="2694" w:type="dxa"/>
            <w:tcBorders>
              <w:top w:val="single" w:sz="4" w:space="0" w:color="D9D9D9" w:themeColor="background2" w:themeShade="D9"/>
              <w:bottom w:val="single" w:sz="4" w:space="0" w:color="D9D9D9" w:themeColor="background2" w:themeShade="D9"/>
            </w:tcBorders>
            <w:noWrap/>
            <w:vAlign w:val="center"/>
            <w:hideMark/>
          </w:tcPr>
          <w:p w14:paraId="3820BB70" w14:textId="77777777" w:rsidR="00A3126A" w:rsidRPr="00CD6FED" w:rsidRDefault="00A3126A" w:rsidP="00465E0B">
            <w:pPr>
              <w:pStyle w:val="ListParagraph"/>
              <w:numPr>
                <w:ilvl w:val="0"/>
                <w:numId w:val="15"/>
              </w:numPr>
              <w:tabs>
                <w:tab w:val="clear" w:pos="1418"/>
              </w:tabs>
              <w:spacing w:before="60" w:after="60" w:line="240" w:lineRule="auto"/>
              <w:ind w:left="360" w:right="0"/>
              <w:contextualSpacing/>
              <w:rPr>
                <w:rFonts w:cs="Arial"/>
                <w:color w:val="58595A"/>
                <w:sz w:val="18"/>
                <w:szCs w:val="18"/>
              </w:rPr>
            </w:pPr>
            <w:r w:rsidRPr="00CD6FED">
              <w:rPr>
                <w:rFonts w:cs="Arial"/>
                <w:color w:val="58595A"/>
                <w:sz w:val="18"/>
                <w:szCs w:val="18"/>
              </w:rPr>
              <w:t>Delirium</w:t>
            </w:r>
          </w:p>
        </w:tc>
        <w:tc>
          <w:tcPr>
            <w:tcW w:w="4677" w:type="dxa"/>
            <w:tcBorders>
              <w:top w:val="single" w:sz="4" w:space="0" w:color="D9D9D9" w:themeColor="background2" w:themeShade="D9"/>
              <w:bottom w:val="single" w:sz="4" w:space="0" w:color="D9D9D9" w:themeColor="background2" w:themeShade="D9"/>
            </w:tcBorders>
            <w:noWrap/>
            <w:vAlign w:val="center"/>
            <w:hideMark/>
          </w:tcPr>
          <w:p w14:paraId="5AC39067" w14:textId="77777777" w:rsidR="00A3126A" w:rsidRPr="00CD6FED" w:rsidRDefault="00A3126A" w:rsidP="00530F1A">
            <w:pPr>
              <w:keepNext/>
              <w:spacing w:before="20" w:after="20"/>
              <w:rPr>
                <w:rFonts w:cs="Arial"/>
                <w:color w:val="58595A"/>
                <w:szCs w:val="18"/>
              </w:rPr>
            </w:pPr>
            <w:r w:rsidRPr="00CD6FED">
              <w:rPr>
                <w:rFonts w:cs="Arial"/>
                <w:color w:val="58595A"/>
                <w:szCs w:val="18"/>
              </w:rPr>
              <w:t>Delirium</w:t>
            </w:r>
          </w:p>
        </w:tc>
        <w:tc>
          <w:tcPr>
            <w:tcW w:w="2127" w:type="dxa"/>
            <w:tcBorders>
              <w:top w:val="single" w:sz="4" w:space="0" w:color="D9D9D9" w:themeColor="background2" w:themeShade="D9"/>
              <w:bottom w:val="single" w:sz="4" w:space="0" w:color="D9D9D9" w:themeColor="background2" w:themeShade="D9"/>
            </w:tcBorders>
            <w:vAlign w:val="center"/>
            <w:hideMark/>
          </w:tcPr>
          <w:p w14:paraId="1B879BA8" w14:textId="77777777" w:rsidR="00A3126A" w:rsidRPr="00CD6FED" w:rsidRDefault="00A3126A" w:rsidP="00530F1A">
            <w:pPr>
              <w:spacing w:before="20" w:after="20"/>
              <w:jc w:val="center"/>
              <w:rPr>
                <w:rFonts w:cs="Arial"/>
                <w:color w:val="58595A"/>
                <w:szCs w:val="18"/>
              </w:rPr>
            </w:pPr>
            <w:r w:rsidRPr="00CD6FED">
              <w:rPr>
                <w:rFonts w:cs="Arial"/>
                <w:color w:val="58595A"/>
                <w:szCs w:val="18"/>
              </w:rPr>
              <w:t>10 days</w:t>
            </w:r>
          </w:p>
        </w:tc>
      </w:tr>
      <w:tr w:rsidR="009A6700" w:rsidRPr="0065414C" w14:paraId="6815AC1C" w14:textId="77777777" w:rsidTr="00872610">
        <w:trPr>
          <w:trHeight w:val="283"/>
        </w:trPr>
        <w:tc>
          <w:tcPr>
            <w:tcW w:w="2694" w:type="dxa"/>
            <w:tcBorders>
              <w:top w:val="single" w:sz="4" w:space="0" w:color="D9D9D9" w:themeColor="background2" w:themeShade="D9"/>
            </w:tcBorders>
            <w:noWrap/>
            <w:vAlign w:val="center"/>
            <w:hideMark/>
          </w:tcPr>
          <w:p w14:paraId="7A7CD831" w14:textId="77777777" w:rsidR="009A6700" w:rsidRPr="00CD6FED" w:rsidRDefault="009A6700" w:rsidP="00465E0B">
            <w:pPr>
              <w:pStyle w:val="ListParagraph"/>
              <w:numPr>
                <w:ilvl w:val="0"/>
                <w:numId w:val="15"/>
              </w:numPr>
              <w:tabs>
                <w:tab w:val="clear" w:pos="1418"/>
              </w:tabs>
              <w:spacing w:before="60" w:after="60" w:line="240" w:lineRule="auto"/>
              <w:ind w:left="360" w:right="0"/>
              <w:contextualSpacing/>
              <w:rPr>
                <w:rFonts w:cs="Arial"/>
                <w:color w:val="58595A"/>
                <w:sz w:val="18"/>
                <w:szCs w:val="18"/>
              </w:rPr>
            </w:pPr>
            <w:r w:rsidRPr="00CD6FED">
              <w:rPr>
                <w:rFonts w:cs="Arial"/>
                <w:color w:val="58595A"/>
                <w:sz w:val="18"/>
                <w:szCs w:val="18"/>
              </w:rPr>
              <w:t>Cardiac complications</w:t>
            </w:r>
          </w:p>
        </w:tc>
        <w:tc>
          <w:tcPr>
            <w:tcW w:w="4677" w:type="dxa"/>
            <w:tcBorders>
              <w:top w:val="single" w:sz="4" w:space="0" w:color="D9D9D9" w:themeColor="background2" w:themeShade="D9"/>
              <w:bottom w:val="single" w:sz="4" w:space="0" w:color="D9D9D9" w:themeColor="background2" w:themeShade="D9"/>
            </w:tcBorders>
            <w:noWrap/>
            <w:vAlign w:val="center"/>
            <w:hideMark/>
          </w:tcPr>
          <w:p w14:paraId="227ED061" w14:textId="77777777" w:rsidR="009A6700" w:rsidRPr="00CD6FED" w:rsidRDefault="009A6700" w:rsidP="00530F1A">
            <w:pPr>
              <w:keepNext/>
              <w:spacing w:before="20" w:after="20"/>
              <w:rPr>
                <w:rFonts w:cs="Arial"/>
                <w:color w:val="58595A"/>
                <w:szCs w:val="18"/>
              </w:rPr>
            </w:pPr>
            <w:r w:rsidRPr="00CD6FED">
              <w:rPr>
                <w:rFonts w:cs="Arial"/>
                <w:color w:val="58595A"/>
                <w:szCs w:val="18"/>
              </w:rPr>
              <w:t>Heart failure and pulmonary oedema</w:t>
            </w:r>
          </w:p>
        </w:tc>
        <w:tc>
          <w:tcPr>
            <w:tcW w:w="2127" w:type="dxa"/>
            <w:tcBorders>
              <w:top w:val="single" w:sz="4" w:space="0" w:color="D9D9D9" w:themeColor="background2" w:themeShade="D9"/>
              <w:bottom w:val="single" w:sz="4" w:space="0" w:color="D9D9D9" w:themeColor="background2" w:themeShade="D9"/>
            </w:tcBorders>
            <w:vAlign w:val="center"/>
            <w:hideMark/>
          </w:tcPr>
          <w:p w14:paraId="760CE763" w14:textId="77777777" w:rsidR="009A6700" w:rsidRPr="00CD6FED" w:rsidRDefault="009A6700" w:rsidP="00530F1A">
            <w:pPr>
              <w:spacing w:before="20" w:after="20"/>
              <w:jc w:val="center"/>
              <w:rPr>
                <w:rFonts w:cs="Arial"/>
                <w:color w:val="58595A"/>
                <w:szCs w:val="18"/>
              </w:rPr>
            </w:pPr>
            <w:r w:rsidRPr="00CD6FED">
              <w:rPr>
                <w:rFonts w:cs="Arial"/>
                <w:color w:val="58595A"/>
                <w:szCs w:val="18"/>
              </w:rPr>
              <w:t>30 days</w:t>
            </w:r>
          </w:p>
        </w:tc>
      </w:tr>
      <w:tr w:rsidR="009A6700" w:rsidRPr="0065414C" w14:paraId="5DBB8985" w14:textId="77777777" w:rsidTr="00872610">
        <w:trPr>
          <w:trHeight w:val="283"/>
        </w:trPr>
        <w:tc>
          <w:tcPr>
            <w:tcW w:w="2694" w:type="dxa"/>
            <w:vAlign w:val="center"/>
            <w:hideMark/>
          </w:tcPr>
          <w:p w14:paraId="2278A4C9" w14:textId="77777777" w:rsidR="009A6700" w:rsidRPr="00CD6FED" w:rsidRDefault="009A6700" w:rsidP="00465E0B">
            <w:pPr>
              <w:rPr>
                <w:rFonts w:cs="Arial"/>
                <w:color w:val="58595A"/>
                <w:szCs w:val="18"/>
              </w:rPr>
            </w:pPr>
          </w:p>
        </w:tc>
        <w:tc>
          <w:tcPr>
            <w:tcW w:w="4677" w:type="dxa"/>
            <w:tcBorders>
              <w:top w:val="single" w:sz="4" w:space="0" w:color="D9D9D9" w:themeColor="background2" w:themeShade="D9"/>
              <w:bottom w:val="single" w:sz="4" w:space="0" w:color="D9D9D9" w:themeColor="background2" w:themeShade="D9"/>
            </w:tcBorders>
            <w:noWrap/>
            <w:vAlign w:val="center"/>
            <w:hideMark/>
          </w:tcPr>
          <w:p w14:paraId="09567B1B" w14:textId="77777777" w:rsidR="009A6700" w:rsidRPr="00CD6FED" w:rsidRDefault="009A6700" w:rsidP="00530F1A">
            <w:pPr>
              <w:keepNext/>
              <w:spacing w:before="20" w:after="20"/>
              <w:rPr>
                <w:rFonts w:cs="Arial"/>
                <w:color w:val="58595A"/>
                <w:szCs w:val="18"/>
              </w:rPr>
            </w:pPr>
            <w:r w:rsidRPr="00CD6FED">
              <w:rPr>
                <w:rFonts w:cs="Arial"/>
                <w:color w:val="58595A"/>
                <w:szCs w:val="18"/>
              </w:rPr>
              <w:t>Ventricular arrhythmias and cardiac arrest</w:t>
            </w:r>
          </w:p>
        </w:tc>
        <w:tc>
          <w:tcPr>
            <w:tcW w:w="2127" w:type="dxa"/>
            <w:tcBorders>
              <w:top w:val="single" w:sz="4" w:space="0" w:color="D9D9D9" w:themeColor="background2" w:themeShade="D9"/>
              <w:bottom w:val="single" w:sz="4" w:space="0" w:color="D9D9D9" w:themeColor="background2" w:themeShade="D9"/>
            </w:tcBorders>
            <w:vAlign w:val="center"/>
            <w:hideMark/>
          </w:tcPr>
          <w:p w14:paraId="55BD643E" w14:textId="77777777" w:rsidR="009A6700" w:rsidRPr="00CD6FED" w:rsidRDefault="009A6700" w:rsidP="00530F1A">
            <w:pPr>
              <w:spacing w:before="20" w:after="20"/>
              <w:jc w:val="center"/>
              <w:rPr>
                <w:rFonts w:cs="Arial"/>
                <w:color w:val="58595A"/>
                <w:szCs w:val="18"/>
              </w:rPr>
            </w:pPr>
            <w:r w:rsidRPr="00CD6FED">
              <w:rPr>
                <w:rFonts w:cs="Arial"/>
                <w:color w:val="58595A"/>
                <w:szCs w:val="18"/>
              </w:rPr>
              <w:t>30 days</w:t>
            </w:r>
          </w:p>
        </w:tc>
      </w:tr>
      <w:tr w:rsidR="009A6700" w:rsidRPr="0065414C" w14:paraId="73D564DD" w14:textId="77777777" w:rsidTr="00872610">
        <w:trPr>
          <w:trHeight w:val="283"/>
        </w:trPr>
        <w:tc>
          <w:tcPr>
            <w:tcW w:w="2694" w:type="dxa"/>
            <w:vAlign w:val="center"/>
            <w:hideMark/>
          </w:tcPr>
          <w:p w14:paraId="7E979BD6" w14:textId="77777777" w:rsidR="009A6700" w:rsidRPr="00CD6FED" w:rsidRDefault="009A6700" w:rsidP="00465E0B">
            <w:pPr>
              <w:rPr>
                <w:rFonts w:cs="Arial"/>
                <w:color w:val="58595A"/>
                <w:szCs w:val="18"/>
              </w:rPr>
            </w:pPr>
          </w:p>
        </w:tc>
        <w:tc>
          <w:tcPr>
            <w:tcW w:w="4677" w:type="dxa"/>
            <w:tcBorders>
              <w:top w:val="single" w:sz="4" w:space="0" w:color="D9D9D9" w:themeColor="background2" w:themeShade="D9"/>
              <w:bottom w:val="single" w:sz="4" w:space="0" w:color="D9D9D9" w:themeColor="background2" w:themeShade="D9"/>
            </w:tcBorders>
            <w:noWrap/>
            <w:vAlign w:val="center"/>
            <w:hideMark/>
          </w:tcPr>
          <w:p w14:paraId="19426FDC" w14:textId="77777777" w:rsidR="009A6700" w:rsidRPr="00CD6FED" w:rsidRDefault="009A6700" w:rsidP="00530F1A">
            <w:pPr>
              <w:keepNext/>
              <w:spacing w:before="20" w:after="20"/>
              <w:rPr>
                <w:rFonts w:cs="Arial"/>
                <w:color w:val="58595A"/>
                <w:szCs w:val="18"/>
              </w:rPr>
            </w:pPr>
            <w:r w:rsidRPr="00CD6FED">
              <w:rPr>
                <w:rFonts w:cs="Arial"/>
                <w:color w:val="58595A"/>
                <w:szCs w:val="18"/>
              </w:rPr>
              <w:t>Atrial tachycardia</w:t>
            </w:r>
          </w:p>
        </w:tc>
        <w:tc>
          <w:tcPr>
            <w:tcW w:w="2127" w:type="dxa"/>
            <w:tcBorders>
              <w:top w:val="single" w:sz="4" w:space="0" w:color="D9D9D9" w:themeColor="background2" w:themeShade="D9"/>
              <w:bottom w:val="single" w:sz="4" w:space="0" w:color="D9D9D9" w:themeColor="background2" w:themeShade="D9"/>
            </w:tcBorders>
            <w:vAlign w:val="center"/>
            <w:hideMark/>
          </w:tcPr>
          <w:p w14:paraId="24C9FC00" w14:textId="77777777" w:rsidR="009A6700" w:rsidRPr="00CD6FED" w:rsidRDefault="009A6700" w:rsidP="00530F1A">
            <w:pPr>
              <w:spacing w:before="20" w:after="20"/>
              <w:jc w:val="center"/>
              <w:rPr>
                <w:rFonts w:cs="Arial"/>
                <w:color w:val="58595A"/>
                <w:szCs w:val="18"/>
              </w:rPr>
            </w:pPr>
            <w:r w:rsidRPr="00CD6FED">
              <w:rPr>
                <w:rFonts w:cs="Arial"/>
                <w:color w:val="58595A"/>
                <w:szCs w:val="18"/>
              </w:rPr>
              <w:t>14 days</w:t>
            </w:r>
          </w:p>
        </w:tc>
      </w:tr>
      <w:tr w:rsidR="009A6700" w:rsidRPr="0065414C" w14:paraId="74016E51" w14:textId="77777777" w:rsidTr="00872610">
        <w:trPr>
          <w:trHeight w:val="283"/>
        </w:trPr>
        <w:tc>
          <w:tcPr>
            <w:tcW w:w="2694" w:type="dxa"/>
            <w:tcBorders>
              <w:bottom w:val="single" w:sz="4" w:space="0" w:color="D9D9D9" w:themeColor="background2" w:themeShade="D9"/>
            </w:tcBorders>
            <w:vAlign w:val="center"/>
            <w:hideMark/>
          </w:tcPr>
          <w:p w14:paraId="5C8B5C75" w14:textId="77777777" w:rsidR="009A6700" w:rsidRPr="00CD6FED" w:rsidRDefault="009A6700" w:rsidP="00465E0B">
            <w:pPr>
              <w:rPr>
                <w:rFonts w:cs="Arial"/>
                <w:color w:val="58595A"/>
                <w:szCs w:val="18"/>
              </w:rPr>
            </w:pPr>
          </w:p>
        </w:tc>
        <w:tc>
          <w:tcPr>
            <w:tcW w:w="4677" w:type="dxa"/>
            <w:tcBorders>
              <w:top w:val="single" w:sz="4" w:space="0" w:color="D9D9D9" w:themeColor="background2" w:themeShade="D9"/>
              <w:bottom w:val="single" w:sz="4" w:space="0" w:color="D9D9D9" w:themeColor="background2" w:themeShade="D9"/>
            </w:tcBorders>
            <w:noWrap/>
            <w:vAlign w:val="center"/>
            <w:hideMark/>
          </w:tcPr>
          <w:p w14:paraId="6966DD2D" w14:textId="77777777" w:rsidR="009A6700" w:rsidRPr="00CD6FED" w:rsidRDefault="009A6700" w:rsidP="00530F1A">
            <w:pPr>
              <w:keepNext/>
              <w:spacing w:before="20" w:after="20"/>
              <w:rPr>
                <w:rFonts w:cs="Arial"/>
                <w:color w:val="58595A"/>
                <w:szCs w:val="18"/>
              </w:rPr>
            </w:pPr>
            <w:r w:rsidRPr="00CD6FED">
              <w:rPr>
                <w:rFonts w:cs="Arial"/>
                <w:color w:val="58595A"/>
                <w:szCs w:val="18"/>
              </w:rPr>
              <w:t>Acute coronary syndrome including unstable angina, STEMI and NSTEMI</w:t>
            </w:r>
          </w:p>
        </w:tc>
        <w:tc>
          <w:tcPr>
            <w:tcW w:w="2127" w:type="dxa"/>
            <w:tcBorders>
              <w:top w:val="single" w:sz="4" w:space="0" w:color="D9D9D9" w:themeColor="background2" w:themeShade="D9"/>
              <w:bottom w:val="single" w:sz="4" w:space="0" w:color="D9D9D9" w:themeColor="background2" w:themeShade="D9"/>
            </w:tcBorders>
            <w:vAlign w:val="center"/>
            <w:hideMark/>
          </w:tcPr>
          <w:p w14:paraId="2A3FFE09" w14:textId="77777777" w:rsidR="009A6700" w:rsidRPr="00CD6FED" w:rsidRDefault="009A6700" w:rsidP="00530F1A">
            <w:pPr>
              <w:spacing w:before="20" w:after="20"/>
              <w:jc w:val="center"/>
              <w:rPr>
                <w:rFonts w:cs="Arial"/>
                <w:color w:val="58595A"/>
                <w:szCs w:val="18"/>
              </w:rPr>
            </w:pPr>
            <w:r w:rsidRPr="00CD6FED">
              <w:rPr>
                <w:rFonts w:cs="Arial"/>
                <w:color w:val="58595A"/>
                <w:szCs w:val="18"/>
              </w:rPr>
              <w:t>30 days</w:t>
            </w:r>
          </w:p>
        </w:tc>
      </w:tr>
      <w:tr w:rsidR="00A3126A" w:rsidRPr="0065414C" w14:paraId="60D90112" w14:textId="77777777" w:rsidTr="00872610">
        <w:trPr>
          <w:trHeight w:val="283"/>
        </w:trPr>
        <w:tc>
          <w:tcPr>
            <w:tcW w:w="2694" w:type="dxa"/>
            <w:tcBorders>
              <w:top w:val="single" w:sz="4" w:space="0" w:color="D9D9D9" w:themeColor="background2" w:themeShade="D9"/>
            </w:tcBorders>
            <w:noWrap/>
            <w:vAlign w:val="center"/>
            <w:hideMark/>
          </w:tcPr>
          <w:p w14:paraId="75F20B77" w14:textId="77777777" w:rsidR="00A3126A" w:rsidRPr="00CD6FED" w:rsidRDefault="00A3126A" w:rsidP="00465E0B">
            <w:pPr>
              <w:rPr>
                <w:rFonts w:cs="Arial"/>
                <w:color w:val="58595A"/>
                <w:szCs w:val="18"/>
              </w:rPr>
            </w:pPr>
            <w:r w:rsidRPr="00CD6FED">
              <w:rPr>
                <w:rFonts w:cs="Arial"/>
                <w:color w:val="58595A"/>
                <w:szCs w:val="18"/>
              </w:rPr>
              <w:t>Other</w:t>
            </w:r>
          </w:p>
        </w:tc>
        <w:tc>
          <w:tcPr>
            <w:tcW w:w="4677" w:type="dxa"/>
            <w:tcBorders>
              <w:top w:val="single" w:sz="4" w:space="0" w:color="D9D9D9" w:themeColor="background2" w:themeShade="D9"/>
              <w:bottom w:val="single" w:sz="4" w:space="0" w:color="D9D9D9" w:themeColor="background2" w:themeShade="D9"/>
            </w:tcBorders>
            <w:noWrap/>
            <w:vAlign w:val="center"/>
            <w:hideMark/>
          </w:tcPr>
          <w:p w14:paraId="61AEBFC0" w14:textId="77777777" w:rsidR="00A3126A" w:rsidRPr="00CD6FED" w:rsidRDefault="00A3126A" w:rsidP="00872610">
            <w:pPr>
              <w:pStyle w:val="ListParagraph"/>
              <w:keepNext/>
              <w:numPr>
                <w:ilvl w:val="0"/>
                <w:numId w:val="15"/>
              </w:numPr>
              <w:tabs>
                <w:tab w:val="clear" w:pos="1418"/>
              </w:tabs>
              <w:spacing w:before="20" w:after="20" w:line="240" w:lineRule="auto"/>
              <w:ind w:left="360" w:right="0"/>
              <w:contextualSpacing/>
              <w:rPr>
                <w:rFonts w:cs="Arial"/>
                <w:color w:val="58595A"/>
                <w:sz w:val="18"/>
                <w:szCs w:val="18"/>
              </w:rPr>
            </w:pPr>
            <w:r w:rsidRPr="00CD6FED">
              <w:rPr>
                <w:rFonts w:cs="Arial"/>
                <w:color w:val="58595A"/>
                <w:sz w:val="18"/>
                <w:szCs w:val="18"/>
              </w:rPr>
              <w:t>Constipation</w:t>
            </w:r>
          </w:p>
        </w:tc>
        <w:tc>
          <w:tcPr>
            <w:tcW w:w="2127" w:type="dxa"/>
            <w:tcBorders>
              <w:top w:val="single" w:sz="4" w:space="0" w:color="D9D9D9" w:themeColor="background2" w:themeShade="D9"/>
              <w:bottom w:val="single" w:sz="4" w:space="0" w:color="D9D9D9" w:themeColor="background2" w:themeShade="D9"/>
            </w:tcBorders>
            <w:vAlign w:val="center"/>
            <w:hideMark/>
          </w:tcPr>
          <w:p w14:paraId="07FF1BC5" w14:textId="77777777" w:rsidR="00A3126A" w:rsidRPr="00CD6FED" w:rsidRDefault="00A3126A" w:rsidP="00530F1A">
            <w:pPr>
              <w:spacing w:before="20" w:after="20"/>
              <w:jc w:val="center"/>
              <w:rPr>
                <w:rFonts w:cs="Arial"/>
                <w:color w:val="58595A"/>
                <w:szCs w:val="18"/>
              </w:rPr>
            </w:pPr>
            <w:r w:rsidRPr="00CD6FED">
              <w:rPr>
                <w:rFonts w:cs="Arial"/>
                <w:color w:val="58595A"/>
                <w:szCs w:val="18"/>
              </w:rPr>
              <w:t>14 days</w:t>
            </w:r>
          </w:p>
        </w:tc>
      </w:tr>
      <w:tr w:rsidR="00A3126A" w:rsidRPr="0065414C" w14:paraId="2A321D00" w14:textId="77777777" w:rsidTr="00872610">
        <w:trPr>
          <w:trHeight w:val="283"/>
        </w:trPr>
        <w:tc>
          <w:tcPr>
            <w:tcW w:w="2694" w:type="dxa"/>
            <w:tcBorders>
              <w:bottom w:val="single" w:sz="4" w:space="0" w:color="D9D9D9" w:themeColor="background2" w:themeShade="D9"/>
            </w:tcBorders>
            <w:vAlign w:val="center"/>
            <w:hideMark/>
          </w:tcPr>
          <w:p w14:paraId="000B0BB3" w14:textId="77777777" w:rsidR="00A3126A" w:rsidRPr="00CD6FED" w:rsidRDefault="00A3126A" w:rsidP="00465E0B">
            <w:pPr>
              <w:rPr>
                <w:rFonts w:cs="Arial"/>
                <w:color w:val="58595A"/>
                <w:szCs w:val="18"/>
              </w:rPr>
            </w:pPr>
          </w:p>
        </w:tc>
        <w:tc>
          <w:tcPr>
            <w:tcW w:w="4677" w:type="dxa"/>
            <w:tcBorders>
              <w:top w:val="single" w:sz="4" w:space="0" w:color="D9D9D9" w:themeColor="background2" w:themeShade="D9"/>
              <w:bottom w:val="single" w:sz="4" w:space="0" w:color="D9D9D9" w:themeColor="background2" w:themeShade="D9"/>
            </w:tcBorders>
            <w:noWrap/>
            <w:vAlign w:val="center"/>
            <w:hideMark/>
          </w:tcPr>
          <w:p w14:paraId="42CC84AE" w14:textId="77777777" w:rsidR="00A3126A" w:rsidRPr="00CD6FED" w:rsidRDefault="00A3126A" w:rsidP="00872610">
            <w:pPr>
              <w:pStyle w:val="ListParagraph"/>
              <w:keepNext/>
              <w:numPr>
                <w:ilvl w:val="0"/>
                <w:numId w:val="15"/>
              </w:numPr>
              <w:tabs>
                <w:tab w:val="clear" w:pos="1418"/>
              </w:tabs>
              <w:spacing w:before="20" w:after="20" w:line="240" w:lineRule="auto"/>
              <w:ind w:left="360" w:right="0"/>
              <w:contextualSpacing/>
              <w:rPr>
                <w:rFonts w:cs="Arial"/>
                <w:color w:val="58595A"/>
                <w:sz w:val="18"/>
                <w:szCs w:val="18"/>
              </w:rPr>
            </w:pPr>
            <w:r w:rsidRPr="00CD6FED">
              <w:rPr>
                <w:rFonts w:cs="Arial"/>
                <w:color w:val="58595A"/>
                <w:sz w:val="18"/>
                <w:szCs w:val="18"/>
              </w:rPr>
              <w:t>Nausea and vomiting</w:t>
            </w:r>
          </w:p>
        </w:tc>
        <w:tc>
          <w:tcPr>
            <w:tcW w:w="2127" w:type="dxa"/>
            <w:tcBorders>
              <w:top w:val="single" w:sz="4" w:space="0" w:color="D9D9D9" w:themeColor="background2" w:themeShade="D9"/>
              <w:bottom w:val="single" w:sz="4" w:space="0" w:color="D9D9D9" w:themeColor="background2" w:themeShade="D9"/>
            </w:tcBorders>
            <w:vAlign w:val="center"/>
            <w:hideMark/>
          </w:tcPr>
          <w:p w14:paraId="3B0AD8F6" w14:textId="77777777" w:rsidR="00A3126A" w:rsidRPr="00CD6FED" w:rsidRDefault="00A3126A" w:rsidP="00530F1A">
            <w:pPr>
              <w:keepNext/>
              <w:spacing w:before="20" w:after="20"/>
              <w:ind w:left="77"/>
              <w:jc w:val="center"/>
              <w:rPr>
                <w:rFonts w:cs="Arial"/>
                <w:color w:val="58595A"/>
                <w:szCs w:val="18"/>
              </w:rPr>
            </w:pPr>
            <w:r w:rsidRPr="00CD6FED">
              <w:rPr>
                <w:rFonts w:cs="Arial"/>
                <w:color w:val="58595A"/>
                <w:szCs w:val="18"/>
              </w:rPr>
              <w:t>7 days</w:t>
            </w:r>
          </w:p>
        </w:tc>
      </w:tr>
    </w:tbl>
    <w:p w14:paraId="6D7C10A0" w14:textId="77777777" w:rsidR="00D80215" w:rsidRDefault="00D80215" w:rsidP="00A3126A">
      <w:pPr>
        <w:pStyle w:val="BodyText"/>
        <w:spacing w:before="0"/>
        <w:rPr>
          <w:rFonts w:cs="Arial"/>
        </w:rPr>
        <w:sectPr w:rsidR="00D80215" w:rsidSect="00CF2090">
          <w:type w:val="continuous"/>
          <w:pgSz w:w="11910" w:h="16840"/>
          <w:pgMar w:top="1440" w:right="1440" w:bottom="1440" w:left="1440" w:header="0" w:footer="658" w:gutter="0"/>
          <w:cols w:space="340"/>
        </w:sectPr>
      </w:pPr>
    </w:p>
    <w:p w14:paraId="18CA3B0F" w14:textId="44AE4AE5" w:rsidR="00A3126A" w:rsidRPr="0065414C" w:rsidRDefault="00A3126A" w:rsidP="00A3126A">
      <w:pPr>
        <w:pStyle w:val="BodyText"/>
        <w:spacing w:before="0"/>
        <w:rPr>
          <w:rFonts w:cs="Arial"/>
        </w:rPr>
      </w:pPr>
      <w:r w:rsidRPr="0065414C">
        <w:rPr>
          <w:rFonts w:cs="Arial"/>
        </w:rPr>
        <w:lastRenderedPageBreak/>
        <w:t xml:space="preserve">Under the Addendum, IHPA is required to develop a pricing model for avoidable hospital readmissions, for implementation from </w:t>
      </w:r>
      <w:r w:rsidR="006E2628" w:rsidRPr="0065414C">
        <w:rPr>
          <w:rFonts w:cs="Arial"/>
        </w:rPr>
        <w:t>1</w:t>
      </w:r>
      <w:r w:rsidR="006E2628">
        <w:rPr>
          <w:rFonts w:cs="Arial"/>
        </w:rPr>
        <w:t> </w:t>
      </w:r>
      <w:r w:rsidR="006E2628" w:rsidRPr="0065414C">
        <w:rPr>
          <w:rFonts w:cs="Arial"/>
        </w:rPr>
        <w:t>July</w:t>
      </w:r>
      <w:r w:rsidR="006E2628">
        <w:rPr>
          <w:rFonts w:cs="Arial"/>
        </w:rPr>
        <w:t> </w:t>
      </w:r>
      <w:r w:rsidR="006E2628" w:rsidRPr="0065414C">
        <w:rPr>
          <w:rFonts w:cs="Arial"/>
        </w:rPr>
        <w:t>2021</w:t>
      </w:r>
      <w:r w:rsidRPr="0065414C">
        <w:rPr>
          <w:rFonts w:cs="Arial"/>
        </w:rPr>
        <w:t>, following approval from the Council of Australian Governments Health Council (CHC).</w:t>
      </w:r>
    </w:p>
    <w:p w14:paraId="21486E5E" w14:textId="77777777" w:rsidR="00A3126A" w:rsidRPr="0065414C" w:rsidRDefault="00A3126A" w:rsidP="00A3126A">
      <w:pPr>
        <w:pStyle w:val="BodyText"/>
        <w:rPr>
          <w:rFonts w:cs="Arial"/>
        </w:rPr>
      </w:pPr>
      <w:r w:rsidRPr="0065414C">
        <w:rPr>
          <w:rFonts w:cs="Arial"/>
        </w:rPr>
        <w:t xml:space="preserve">The Addendum requires the use of transitional arrangements when developing new costing methodologies, including shadow pricing and reporting for two years or a period agreed upon by the Commonwealth and </w:t>
      </w:r>
      <w:proofErr w:type="gramStart"/>
      <w:r w:rsidRPr="0065414C">
        <w:rPr>
          <w:rFonts w:cs="Arial"/>
        </w:rPr>
        <w:t>a majority of</w:t>
      </w:r>
      <w:proofErr w:type="gramEnd"/>
      <w:r w:rsidRPr="0065414C">
        <w:rPr>
          <w:rFonts w:cs="Arial"/>
        </w:rPr>
        <w:t xml:space="preserve"> states. The shadow period for avoidable hospital readmissions commenced on </w:t>
      </w:r>
      <w:proofErr w:type="gramStart"/>
      <w:r w:rsidRPr="0065414C">
        <w:rPr>
          <w:rFonts w:cs="Arial"/>
        </w:rPr>
        <w:t>1 July 2019, and</w:t>
      </w:r>
      <w:proofErr w:type="gramEnd"/>
      <w:r w:rsidRPr="0065414C">
        <w:rPr>
          <w:rFonts w:cs="Arial"/>
        </w:rPr>
        <w:t xml:space="preserve"> will be completed by the required implementation date of 1 July 2021.</w:t>
      </w:r>
    </w:p>
    <w:p w14:paraId="72BEBD4C" w14:textId="77777777" w:rsidR="00A3126A" w:rsidRPr="0065414C" w:rsidRDefault="00A3126A" w:rsidP="00A3126A">
      <w:pPr>
        <w:pStyle w:val="BodyText"/>
        <w:rPr>
          <w:rFonts w:cs="Arial"/>
        </w:rPr>
      </w:pPr>
      <w:r w:rsidRPr="0065414C">
        <w:rPr>
          <w:rFonts w:cs="Arial"/>
        </w:rPr>
        <w:t>IHPA intends to make avoidable hospital readmission rates available in the National Benchmarking Portal to allow hospitals to access and compare cost and activity data relating to readmissions.</w:t>
      </w:r>
    </w:p>
    <w:p w14:paraId="1A7112CF" w14:textId="77777777" w:rsidR="00A3126A" w:rsidRPr="0065414C" w:rsidRDefault="00A3126A" w:rsidP="00A3126A">
      <w:pPr>
        <w:pStyle w:val="BodyText"/>
        <w:rPr>
          <w:rFonts w:cs="Arial"/>
        </w:rPr>
      </w:pPr>
      <w:r w:rsidRPr="0065414C">
        <w:rPr>
          <w:rFonts w:cs="Arial"/>
        </w:rPr>
        <w:t>IHPA also notes that the funding adjustment for avoidable hospital readmissions is subject to back-casting at implementation, as outlined in the Addendum. In future years, if the number of recorded avoidable hospital readmissions increases compared to the previous year, this will result in a decrease to Commonwealth growth funding, and vice versa.</w:t>
      </w:r>
    </w:p>
    <w:p w14:paraId="7EEB4EF6" w14:textId="77777777" w:rsidR="00926399" w:rsidRPr="0065414C" w:rsidRDefault="00926399" w:rsidP="00C64233">
      <w:pPr>
        <w:pStyle w:val="Heading3"/>
        <w:rPr>
          <w:rFonts w:cs="Arial"/>
        </w:rPr>
      </w:pPr>
      <w:r w:rsidRPr="0065414C">
        <w:rPr>
          <w:rFonts w:cs="Arial"/>
        </w:rPr>
        <w:t>Funding options</w:t>
      </w:r>
    </w:p>
    <w:p w14:paraId="24412350" w14:textId="77777777" w:rsidR="00926399" w:rsidRPr="0065414C" w:rsidRDefault="00A3126A" w:rsidP="00926399">
      <w:pPr>
        <w:pStyle w:val="BodyText"/>
        <w:rPr>
          <w:rFonts w:cs="Arial"/>
        </w:rPr>
      </w:pPr>
      <w:r w:rsidRPr="0065414C">
        <w:rPr>
          <w:rFonts w:cs="Arial"/>
        </w:rPr>
        <w:t>In July 2019, IHPA commenced a shadow period to analyse funding options intended to assist in preventing avoidable hospital readmissions. The shadow period allowed IHPA to assess the activity and funding impacts of the proposed funding options for avoidable hospital readmissions</w:t>
      </w:r>
      <w:r w:rsidR="00926399" w:rsidRPr="0065414C">
        <w:rPr>
          <w:rFonts w:cs="Arial"/>
        </w:rPr>
        <w:t>.</w:t>
      </w:r>
    </w:p>
    <w:p w14:paraId="71F475EC" w14:textId="77777777" w:rsidR="00926399" w:rsidRPr="0065414C" w:rsidRDefault="00A3126A" w:rsidP="00926399">
      <w:pPr>
        <w:pStyle w:val="BodyText"/>
        <w:rPr>
          <w:rFonts w:cs="Arial"/>
        </w:rPr>
      </w:pPr>
      <w:r w:rsidRPr="0065414C">
        <w:rPr>
          <w:rFonts w:cs="Arial"/>
        </w:rPr>
        <w:t>The shadow period incorporated the following funding options</w:t>
      </w:r>
      <w:r w:rsidR="00926399" w:rsidRPr="0065414C">
        <w:rPr>
          <w:rFonts w:cs="Arial"/>
        </w:rPr>
        <w:t>:</w:t>
      </w:r>
    </w:p>
    <w:p w14:paraId="4A5CD1F9" w14:textId="77777777" w:rsidR="00926399" w:rsidRPr="0065414C" w:rsidRDefault="00926399" w:rsidP="00DC379A">
      <w:pPr>
        <w:pStyle w:val="ListParagraph"/>
        <w:rPr>
          <w:rFonts w:cs="Arial"/>
        </w:rPr>
      </w:pPr>
      <w:r w:rsidRPr="0065414C">
        <w:rPr>
          <w:rFonts w:cs="Arial"/>
          <w:b/>
          <w:bCs/>
        </w:rPr>
        <w:t>Option one:</w:t>
      </w:r>
      <w:r w:rsidRPr="0065414C">
        <w:rPr>
          <w:rFonts w:cs="Arial"/>
        </w:rPr>
        <w:t xml:space="preserve"> Deduct the cost of the readmission episode from the index</w:t>
      </w:r>
      <w:r w:rsidR="00DC379A" w:rsidRPr="0065414C">
        <w:rPr>
          <w:rFonts w:cs="Arial"/>
        </w:rPr>
        <w:t> </w:t>
      </w:r>
      <w:r w:rsidRPr="0065414C">
        <w:rPr>
          <w:rFonts w:cs="Arial"/>
        </w:rPr>
        <w:t>episode.</w:t>
      </w:r>
    </w:p>
    <w:p w14:paraId="65F02561" w14:textId="77777777" w:rsidR="00926399" w:rsidRPr="0065414C" w:rsidRDefault="00926399" w:rsidP="00DC379A">
      <w:pPr>
        <w:pStyle w:val="ListParagraph"/>
        <w:rPr>
          <w:rFonts w:cs="Arial"/>
        </w:rPr>
      </w:pPr>
      <w:r w:rsidRPr="0065414C">
        <w:rPr>
          <w:rFonts w:cs="Arial"/>
          <w:b/>
          <w:bCs/>
        </w:rPr>
        <w:t xml:space="preserve">Option two: </w:t>
      </w:r>
      <w:r w:rsidRPr="0065414C">
        <w:rPr>
          <w:rFonts w:cs="Arial"/>
        </w:rPr>
        <w:t>Combine the index and readmission episodes and recalculate the</w:t>
      </w:r>
      <w:r w:rsidR="00DC379A" w:rsidRPr="0065414C">
        <w:rPr>
          <w:rFonts w:cs="Arial"/>
        </w:rPr>
        <w:t> </w:t>
      </w:r>
      <w:r w:rsidRPr="0065414C">
        <w:rPr>
          <w:rFonts w:cs="Arial"/>
        </w:rPr>
        <w:t>funding of the combined episode.</w:t>
      </w:r>
    </w:p>
    <w:p w14:paraId="48D6F7F8" w14:textId="77777777" w:rsidR="00926399" w:rsidRPr="0065414C" w:rsidRDefault="00926399" w:rsidP="00DC379A">
      <w:pPr>
        <w:pStyle w:val="ListParagraph"/>
        <w:rPr>
          <w:rFonts w:cs="Arial"/>
        </w:rPr>
      </w:pPr>
      <w:r w:rsidRPr="0065414C">
        <w:rPr>
          <w:rFonts w:cs="Arial"/>
          <w:b/>
          <w:bCs/>
        </w:rPr>
        <w:t>Option three:</w:t>
      </w:r>
      <w:r w:rsidRPr="0065414C">
        <w:rPr>
          <w:rFonts w:cs="Arial"/>
        </w:rPr>
        <w:t xml:space="preserve"> Adjust funding at the hospital level where actual rates of avoidable readmissions exceed expected rates of avoidable readmissions.</w:t>
      </w:r>
    </w:p>
    <w:p w14:paraId="79F3B6FD" w14:textId="77777777" w:rsidR="00766B86" w:rsidRPr="0065414C" w:rsidRDefault="00766B86" w:rsidP="00766B86">
      <w:pPr>
        <w:pStyle w:val="BodyText"/>
        <w:rPr>
          <w:rFonts w:cs="Arial"/>
        </w:rPr>
      </w:pPr>
      <w:r w:rsidRPr="0065414C">
        <w:rPr>
          <w:rFonts w:cs="Arial"/>
        </w:rPr>
        <w:t xml:space="preserve">IHPA has </w:t>
      </w:r>
      <w:r w:rsidR="002F3BF7" w:rsidRPr="0065414C">
        <w:rPr>
          <w:rFonts w:cs="Arial"/>
        </w:rPr>
        <w:t>developed the following example</w:t>
      </w:r>
      <w:r w:rsidRPr="0065414C">
        <w:rPr>
          <w:rFonts w:cs="Arial"/>
        </w:rPr>
        <w:t xml:space="preserve"> to assist stakeholders in understanding the three funding options.</w:t>
      </w:r>
    </w:p>
    <w:p w14:paraId="15BFF635" w14:textId="77777777" w:rsidR="00A3126A" w:rsidRPr="0065414C" w:rsidRDefault="00A3126A" w:rsidP="00A3126A">
      <w:pPr>
        <w:rPr>
          <w:rFonts w:cs="Arial"/>
        </w:rPr>
      </w:pPr>
    </w:p>
    <w:p w14:paraId="0055111F" w14:textId="77777777" w:rsidR="00766B86" w:rsidRPr="0065414C" w:rsidRDefault="00DC379A" w:rsidP="00766B86">
      <w:pPr>
        <w:pStyle w:val="BodyText"/>
        <w:rPr>
          <w:rFonts w:cs="Arial"/>
        </w:rPr>
      </w:pPr>
      <w:r w:rsidRPr="0065414C">
        <w:rPr>
          <w:rFonts w:cs="Arial"/>
        </w:rPr>
        <w:br w:type="column"/>
      </w:r>
      <w:r w:rsidR="00766B86" w:rsidRPr="0065414C">
        <w:rPr>
          <w:rFonts w:eastAsiaTheme="minorHAnsi" w:cs="Arial"/>
          <w:noProof/>
          <w:lang w:eastAsia="en-AU" w:bidi="ar-SA"/>
        </w:rPr>
        <mc:AlternateContent>
          <mc:Choice Requires="wps">
            <w:drawing>
              <wp:inline distT="0" distB="0" distL="0" distR="0" wp14:anchorId="444E774C" wp14:editId="0143F540">
                <wp:extent cx="2990850" cy="5955527"/>
                <wp:effectExtent l="0" t="0" r="19050" b="26670"/>
                <wp:docPr id="64" name="Text Box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5955527"/>
                        </a:xfrm>
                        <a:prstGeom prst="rect">
                          <a:avLst/>
                        </a:prstGeom>
                        <a:solidFill>
                          <a:srgbClr val="FFFFFF"/>
                        </a:solidFill>
                        <a:ln w="9525">
                          <a:solidFill>
                            <a:schemeClr val="accent6"/>
                          </a:solidFill>
                          <a:miter lim="800000"/>
                          <a:headEnd/>
                          <a:tailEnd/>
                        </a:ln>
                      </wps:spPr>
                      <wps:txbx>
                        <w:txbxContent>
                          <w:p w14:paraId="7B965353" w14:textId="77777777" w:rsidR="001C5C18" w:rsidRDefault="001C5C18" w:rsidP="004B7808">
                            <w:pPr>
                              <w:adjustRightInd w:val="0"/>
                              <w:spacing w:before="120" w:after="120" w:line="259" w:lineRule="auto"/>
                              <w:ind w:left="57" w:right="57"/>
                              <w:contextualSpacing/>
                              <w:rPr>
                                <w:color w:val="58595A"/>
                                <w:sz w:val="16"/>
                                <w:szCs w:val="16"/>
                              </w:rPr>
                            </w:pPr>
                            <w:r w:rsidRPr="00925C8B">
                              <w:rPr>
                                <w:rFonts w:cs="Arial"/>
                                <w:b/>
                                <w:color w:val="58595A"/>
                                <w:sz w:val="16"/>
                                <w:szCs w:val="16"/>
                                <w:u w:val="single"/>
                              </w:rPr>
                              <w:t>Case study:</w:t>
                            </w:r>
                          </w:p>
                          <w:p w14:paraId="51079734" w14:textId="77777777" w:rsidR="001C5C18" w:rsidRDefault="001C5C18" w:rsidP="004B7808">
                            <w:pPr>
                              <w:adjustRightInd w:val="0"/>
                              <w:spacing w:before="120" w:after="120" w:line="259" w:lineRule="auto"/>
                              <w:ind w:left="57" w:right="57"/>
                              <w:contextualSpacing/>
                              <w:rPr>
                                <w:color w:val="58595A"/>
                                <w:sz w:val="16"/>
                                <w:szCs w:val="16"/>
                              </w:rPr>
                            </w:pPr>
                          </w:p>
                          <w:p w14:paraId="2B409011" w14:textId="77777777" w:rsidR="001C5C18" w:rsidRDefault="001C5C18" w:rsidP="004B7808">
                            <w:pPr>
                              <w:adjustRightInd w:val="0"/>
                              <w:spacing w:before="120" w:after="120" w:line="259" w:lineRule="auto"/>
                              <w:ind w:left="57" w:right="57"/>
                              <w:contextualSpacing/>
                              <w:rPr>
                                <w:color w:val="58595A"/>
                                <w:sz w:val="16"/>
                                <w:szCs w:val="16"/>
                              </w:rPr>
                            </w:pPr>
                            <w:r w:rsidRPr="00925C8B">
                              <w:rPr>
                                <w:color w:val="58595A"/>
                                <w:sz w:val="16"/>
                                <w:szCs w:val="16"/>
                              </w:rPr>
                              <w:t>Joan is a 54 year old woman who underwent an emergency appendicectomy</w:t>
                            </w:r>
                            <w:r w:rsidRPr="00925C8B" w:rsidDel="00973A60">
                              <w:rPr>
                                <w:color w:val="58595A"/>
                                <w:sz w:val="16"/>
                                <w:szCs w:val="16"/>
                              </w:rPr>
                              <w:t xml:space="preserve"> </w:t>
                            </w:r>
                            <w:r w:rsidRPr="00925C8B">
                              <w:rPr>
                                <w:color w:val="58595A"/>
                                <w:sz w:val="16"/>
                                <w:szCs w:val="16"/>
                              </w:rPr>
                              <w:t>following a diagnosis of appendicitis. Joan is otherwise fit and healthy, with no comorbidities. At the index admission, Joan was assigned to the Diagnosis Related Group (DRG) G07B (Appendicectomy, Minor Complexity) and the hospital received 1.2502 NWAU.</w:t>
                            </w:r>
                          </w:p>
                          <w:p w14:paraId="66E39E69" w14:textId="77777777" w:rsidR="001C5C18" w:rsidRPr="00925C8B" w:rsidRDefault="001C5C18" w:rsidP="004B7808">
                            <w:pPr>
                              <w:adjustRightInd w:val="0"/>
                              <w:spacing w:before="120" w:after="120" w:line="259" w:lineRule="auto"/>
                              <w:ind w:left="57" w:right="57"/>
                              <w:contextualSpacing/>
                              <w:rPr>
                                <w:color w:val="58595A"/>
                                <w:sz w:val="16"/>
                                <w:szCs w:val="16"/>
                              </w:rPr>
                            </w:pPr>
                          </w:p>
                          <w:p w14:paraId="454111DD" w14:textId="77777777" w:rsidR="001C5C18" w:rsidRPr="00925C8B" w:rsidRDefault="001C5C18" w:rsidP="004B7808">
                            <w:pPr>
                              <w:spacing w:before="120" w:after="120" w:line="259" w:lineRule="auto"/>
                              <w:ind w:left="57" w:right="57"/>
                              <w:rPr>
                                <w:color w:val="58595A"/>
                                <w:sz w:val="16"/>
                                <w:szCs w:val="16"/>
                              </w:rPr>
                            </w:pPr>
                            <w:r w:rsidRPr="00925C8B">
                              <w:rPr>
                                <w:color w:val="58595A"/>
                                <w:sz w:val="16"/>
                                <w:szCs w:val="16"/>
                              </w:rPr>
                              <w:t>Seven days after Joan was discharged, she presented at the emergency department at the same hospital, as she was experiencing acute pain to her lower right abdomen. As a result, she was readmitted. As this meets the definition of an avoidable readmission, there is a funding impact to the hospital. The price weight for the readmission is 0.8316.</w:t>
                            </w:r>
                          </w:p>
                          <w:p w14:paraId="6C571E74" w14:textId="77777777" w:rsidR="001C5C18" w:rsidRPr="00925C8B" w:rsidRDefault="001C5C18" w:rsidP="004B7808">
                            <w:pPr>
                              <w:spacing w:before="120" w:after="120" w:line="259" w:lineRule="auto"/>
                              <w:ind w:left="57" w:right="57"/>
                              <w:rPr>
                                <w:color w:val="58595A"/>
                                <w:sz w:val="16"/>
                                <w:szCs w:val="16"/>
                              </w:rPr>
                            </w:pPr>
                            <w:r w:rsidRPr="00925C8B">
                              <w:rPr>
                                <w:color w:val="58595A"/>
                                <w:sz w:val="16"/>
                                <w:szCs w:val="16"/>
                              </w:rPr>
                              <w:t>Under option one, a NWAU adjustment is applied to the index episode, based on the total NWAU of the readmission episode. As Joan was considered a low complexity patient, the NWAU for the index episode is reduced by the total NWAU of the readmission episode.</w:t>
                            </w:r>
                          </w:p>
                          <w:p w14:paraId="653839CE" w14:textId="77777777" w:rsidR="001C5C18" w:rsidRPr="00925C8B" w:rsidRDefault="001C5C18" w:rsidP="004B7808">
                            <w:pPr>
                              <w:spacing w:before="120" w:after="120" w:line="259" w:lineRule="auto"/>
                              <w:ind w:left="57" w:right="57"/>
                              <w:rPr>
                                <w:color w:val="58595A"/>
                                <w:sz w:val="16"/>
                                <w:szCs w:val="16"/>
                              </w:rPr>
                            </w:pPr>
                            <w:r w:rsidRPr="00F93BCE">
                              <w:rPr>
                                <w:color w:val="58595A"/>
                                <w:sz w:val="16"/>
                                <w:szCs w:val="16"/>
                              </w:rPr>
                              <w:t>Under option two, the funding adjustment is also applied to the index episode. Firstly, a ‘combined episode’ is created from the index and readmission episodes for the purpose of calculating the funding adjustment. The ‘combined episode’ retains the DRG of the index episode but has the total length of stay of the combined index and readmission episodes. The ‘combined episode’ has an NWAU calculated using the index DRG and the combined length of stay. The NWAU of the index admission is then reduced by the amount equal to the NWAU of the index and readmission episode less the NWAU of the ‘combined episode’. As Joan was considered a low complexity patient, the NWAU for the index episode is reduced by the full amount.</w:t>
                            </w:r>
                          </w:p>
                          <w:p w14:paraId="390E82CE" w14:textId="77777777" w:rsidR="001C5C18" w:rsidRPr="00925C8B" w:rsidRDefault="001C5C18" w:rsidP="004B7808">
                            <w:pPr>
                              <w:spacing w:before="120" w:after="120" w:line="259" w:lineRule="auto"/>
                              <w:ind w:left="57" w:right="57"/>
                              <w:rPr>
                                <w:color w:val="58595A"/>
                                <w:sz w:val="16"/>
                                <w:szCs w:val="16"/>
                              </w:rPr>
                            </w:pPr>
                            <w:r w:rsidRPr="00925C8B">
                              <w:rPr>
                                <w:color w:val="58595A"/>
                                <w:sz w:val="16"/>
                                <w:szCs w:val="16"/>
                              </w:rPr>
                              <w:t>Under option three, the hospital’s readmission rate for the entire year is calculated and compared to the expected rate of readmissions based on the probabilities output by the risk model. If the actual readmission rate for the hospital is lower than the expected rate (that is, the hospital performed better than expected), then there is no funding adjustment applied to the index episode (it is funded in full). If the actual readmission rate for the hospital is higher than the expected rate, then there is a funding adjustment applied to the index episode based on the ratio between the number of actual and expected readmissions.</w:t>
                            </w:r>
                          </w:p>
                        </w:txbxContent>
                      </wps:txbx>
                      <wps:bodyPr rot="0" vert="horz" wrap="square" lIns="91440" tIns="45720" rIns="91440" bIns="45720" anchor="t" anchorCtr="0" upright="1">
                        <a:noAutofit/>
                      </wps:bodyPr>
                    </wps:wsp>
                  </a:graphicData>
                </a:graphic>
              </wp:inline>
            </w:drawing>
          </mc:Choice>
          <mc:Fallback>
            <w:pict>
              <v:shape w14:anchorId="444E774C" id="Text Box 64" o:spid="_x0000_s1042" type="#_x0000_t202" alt="&quot;&quot;" style="width:235.5pt;height:46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" strokecolor="#009ab8 [3209]">
                <v:textbox>
                  <w:txbxContent>
                    <w:p w14:paraId="7B965353" w14:textId="77777777" w:rsidR="001C5C18" w:rsidRDefault="001C5C18" w:rsidP="004B7808">
                      <w:pPr>
                        <w:adjustRightInd w:val="0"/>
                        <w:spacing w:before="120" w:after="120" w:line="259" w:lineRule="auto"/>
                        <w:ind w:left="57" w:right="57"/>
                        <w:contextualSpacing/>
                        <w:rPr>
                          <w:color w:val="58595A"/>
                          <w:sz w:val="16"/>
                          <w:szCs w:val="16"/>
                        </w:rPr>
                      </w:pPr>
                      <w:r w:rsidRPr="00925C8B">
                        <w:rPr>
                          <w:rFonts w:cs="Arial"/>
                          <w:b/>
                          <w:color w:val="58595A"/>
                          <w:sz w:val="16"/>
                          <w:szCs w:val="16"/>
                          <w:u w:val="single"/>
                        </w:rPr>
                        <w:t>Case study:</w:t>
                      </w:r>
                    </w:p>
                    <w:p w14:paraId="51079734" w14:textId="77777777" w:rsidR="001C5C18" w:rsidRDefault="001C5C18" w:rsidP="004B7808">
                      <w:pPr>
                        <w:adjustRightInd w:val="0"/>
                        <w:spacing w:before="120" w:after="120" w:line="259" w:lineRule="auto"/>
                        <w:ind w:left="57" w:right="57"/>
                        <w:contextualSpacing/>
                        <w:rPr>
                          <w:color w:val="58595A"/>
                          <w:sz w:val="16"/>
                          <w:szCs w:val="16"/>
                        </w:rPr>
                      </w:pPr>
                    </w:p>
                    <w:p w14:paraId="2B409011" w14:textId="77777777" w:rsidR="001C5C18" w:rsidRDefault="001C5C18" w:rsidP="004B7808">
                      <w:pPr>
                        <w:adjustRightInd w:val="0"/>
                        <w:spacing w:before="120" w:after="120" w:line="259" w:lineRule="auto"/>
                        <w:ind w:left="57" w:right="57"/>
                        <w:contextualSpacing/>
                        <w:rPr>
                          <w:color w:val="58595A"/>
                          <w:sz w:val="16"/>
                          <w:szCs w:val="16"/>
                        </w:rPr>
                      </w:pPr>
                      <w:r w:rsidRPr="00925C8B">
                        <w:rPr>
                          <w:color w:val="58595A"/>
                          <w:sz w:val="16"/>
                          <w:szCs w:val="16"/>
                        </w:rPr>
                        <w:t>Joan is a 54 year old woman who underwent an emergency appendicectomy</w:t>
                      </w:r>
                      <w:r w:rsidRPr="00925C8B" w:rsidDel="00973A60">
                        <w:rPr>
                          <w:color w:val="58595A"/>
                          <w:sz w:val="16"/>
                          <w:szCs w:val="16"/>
                        </w:rPr>
                        <w:t xml:space="preserve"> </w:t>
                      </w:r>
                      <w:r w:rsidRPr="00925C8B">
                        <w:rPr>
                          <w:color w:val="58595A"/>
                          <w:sz w:val="16"/>
                          <w:szCs w:val="16"/>
                        </w:rPr>
                        <w:t>following a diagnosis of appendicitis. Joan is otherwise fit and healthy, with no comorbidities. At the index admission, Joan was assigned to the Diagnosis Related Group (DRG) G07B (Appendicectomy, Minor Complexity) and the hospital received 1.2502 NWAU.</w:t>
                      </w:r>
                    </w:p>
                    <w:p w14:paraId="66E39E69" w14:textId="77777777" w:rsidR="001C5C18" w:rsidRPr="00925C8B" w:rsidRDefault="001C5C18" w:rsidP="004B7808">
                      <w:pPr>
                        <w:adjustRightInd w:val="0"/>
                        <w:spacing w:before="120" w:after="120" w:line="259" w:lineRule="auto"/>
                        <w:ind w:left="57" w:right="57"/>
                        <w:contextualSpacing/>
                        <w:rPr>
                          <w:color w:val="58595A"/>
                          <w:sz w:val="16"/>
                          <w:szCs w:val="16"/>
                        </w:rPr>
                      </w:pPr>
                    </w:p>
                    <w:p w14:paraId="454111DD" w14:textId="77777777" w:rsidR="001C5C18" w:rsidRPr="00925C8B" w:rsidRDefault="001C5C18" w:rsidP="004B7808">
                      <w:pPr>
                        <w:spacing w:before="120" w:after="120" w:line="259" w:lineRule="auto"/>
                        <w:ind w:left="57" w:right="57"/>
                        <w:rPr>
                          <w:color w:val="58595A"/>
                          <w:sz w:val="16"/>
                          <w:szCs w:val="16"/>
                        </w:rPr>
                      </w:pPr>
                      <w:r w:rsidRPr="00925C8B">
                        <w:rPr>
                          <w:color w:val="58595A"/>
                          <w:sz w:val="16"/>
                          <w:szCs w:val="16"/>
                        </w:rPr>
                        <w:t>Seven days after Joan was discharged, she presented at the emergency department at the same hospital, as she was experiencing acute pain to her lower right abdomen. As a result, she was readmitted. As this meets the definition of an avoidable readmission, there is a funding impact to the hospital. The price weight for the readmission is 0.8316.</w:t>
                      </w:r>
                    </w:p>
                    <w:p w14:paraId="6C571E74" w14:textId="77777777" w:rsidR="001C5C18" w:rsidRPr="00925C8B" w:rsidRDefault="001C5C18" w:rsidP="004B7808">
                      <w:pPr>
                        <w:spacing w:before="120" w:after="120" w:line="259" w:lineRule="auto"/>
                        <w:ind w:left="57" w:right="57"/>
                        <w:rPr>
                          <w:color w:val="58595A"/>
                          <w:sz w:val="16"/>
                          <w:szCs w:val="16"/>
                        </w:rPr>
                      </w:pPr>
                      <w:r w:rsidRPr="00925C8B">
                        <w:rPr>
                          <w:color w:val="58595A"/>
                          <w:sz w:val="16"/>
                          <w:szCs w:val="16"/>
                        </w:rPr>
                        <w:t>Under option one, a NWAU adjustment is applied to the index episode, based on the total NWAU of the readmission episode. As Joan was considered a low complexity patient, the NWAU for the index episode is reduced by the total NWAU of the readmission episode.</w:t>
                      </w:r>
                    </w:p>
                    <w:p w14:paraId="653839CE" w14:textId="77777777" w:rsidR="001C5C18" w:rsidRPr="00925C8B" w:rsidRDefault="001C5C18" w:rsidP="004B7808">
                      <w:pPr>
                        <w:spacing w:before="120" w:after="120" w:line="259" w:lineRule="auto"/>
                        <w:ind w:left="57" w:right="57"/>
                        <w:rPr>
                          <w:color w:val="58595A"/>
                          <w:sz w:val="16"/>
                          <w:szCs w:val="16"/>
                        </w:rPr>
                      </w:pPr>
                      <w:r w:rsidRPr="00F93BCE">
                        <w:rPr>
                          <w:color w:val="58595A"/>
                          <w:sz w:val="16"/>
                          <w:szCs w:val="16"/>
                        </w:rPr>
                        <w:t>Under option two, the funding adjustment is also applied to the index episode. Firstly, a ‘combined episode’ is created from the index and readmission episodes for the purpose of calculating the funding adjustment. The ‘combined episode’ retains the DRG of the index episode but has the total length of stay of the combined index and readmission episodes. The ‘combined episode’ has an NWAU calculated using the index DRG and the combined length of stay. The NWAU of the index admission is then reduced by the amount equal to the NWAU of the index and readmission episode less the NWAU of the ‘combined episode’. As Joan was considered a low complexity patient, the NWAU for the index episode is reduced by the full amount.</w:t>
                      </w:r>
                    </w:p>
                    <w:p w14:paraId="390E82CE" w14:textId="77777777" w:rsidR="001C5C18" w:rsidRPr="00925C8B" w:rsidRDefault="001C5C18" w:rsidP="004B7808">
                      <w:pPr>
                        <w:spacing w:before="120" w:after="120" w:line="259" w:lineRule="auto"/>
                        <w:ind w:left="57" w:right="57"/>
                        <w:rPr>
                          <w:color w:val="58595A"/>
                          <w:sz w:val="16"/>
                          <w:szCs w:val="16"/>
                        </w:rPr>
                      </w:pPr>
                      <w:r w:rsidRPr="00925C8B">
                        <w:rPr>
                          <w:color w:val="58595A"/>
                          <w:sz w:val="16"/>
                          <w:szCs w:val="16"/>
                        </w:rPr>
                        <w:t>Under option three, the hospital’s readmission rate for the entire year is calculated and compared to the expected rate of readmissions based on the probabilities output by the risk model. If the actual readmission rate for the hospital is lower than the expected rate (that is, the hospital performed better than expected), then there is no funding adjustment applied to the index episode (it is funded in full). If the actual readmission rate for the hospital is higher than the expected rate, then there is a funding adjustment applied to the index episode based on the ratio between the number of actual and expected readmissions.</w:t>
                      </w:r>
                    </w:p>
                  </w:txbxContent>
                </v:textbox>
                <w10:anchorlock/>
              </v:shape>
            </w:pict>
          </mc:Fallback>
        </mc:AlternateContent>
      </w:r>
    </w:p>
    <w:p w14:paraId="5A7E78C6" w14:textId="77777777" w:rsidR="00926399" w:rsidRPr="0065414C" w:rsidRDefault="00766B86" w:rsidP="0000133A">
      <w:pPr>
        <w:pStyle w:val="BodyText"/>
        <w:spacing w:before="240"/>
        <w:rPr>
          <w:rFonts w:cs="Arial"/>
        </w:rPr>
      </w:pPr>
      <w:r w:rsidRPr="0065414C">
        <w:rPr>
          <w:rFonts w:cs="Arial"/>
        </w:rPr>
        <w:t>The funding options were analysed using activity data from 2015–16, 2016–17, 2017–18 and 2018–19. The funding impact on total Commonwealth funding across all three funding options was shown to be relatively small at 0.15 per cent for funding option three, 0.63 per cent for funding option two and 0.64 per cent for funding option one</w:t>
      </w:r>
      <w:r w:rsidR="00926399" w:rsidRPr="0065414C">
        <w:rPr>
          <w:rFonts w:cs="Arial"/>
        </w:rPr>
        <w:t>.</w:t>
      </w:r>
    </w:p>
    <w:p w14:paraId="40EC2BB5" w14:textId="77777777" w:rsidR="00926399" w:rsidRPr="0065414C" w:rsidRDefault="00766B86" w:rsidP="00926399">
      <w:pPr>
        <w:pStyle w:val="BodyText"/>
        <w:rPr>
          <w:rFonts w:cs="Arial"/>
        </w:rPr>
      </w:pPr>
      <w:r w:rsidRPr="0065414C">
        <w:rPr>
          <w:rFonts w:cs="Arial"/>
        </w:rPr>
        <w:t>At the completion of the shadow period, IHPA intends to implement the avoidable hospital readmissions funding adjustment under funding option one due to its ease of application, similarity to the HACs methodology, and less disproportionate impact across jurisdictions, particularly smaller states and territories with fewer Local Hospital Networks (LHNs)</w:t>
      </w:r>
      <w:r w:rsidR="00926399" w:rsidRPr="0065414C">
        <w:rPr>
          <w:rFonts w:cs="Arial"/>
        </w:rPr>
        <w:t>.</w:t>
      </w:r>
    </w:p>
    <w:p w14:paraId="3F559692" w14:textId="77777777" w:rsidR="00766B86" w:rsidRPr="0065414C" w:rsidRDefault="00337557" w:rsidP="00766B86">
      <w:pPr>
        <w:pStyle w:val="Heading3"/>
        <w:rPr>
          <w:rFonts w:cs="Arial"/>
        </w:rPr>
      </w:pPr>
      <w:r>
        <w:rPr>
          <w:rFonts w:cs="Arial"/>
        </w:rPr>
        <w:br w:type="column"/>
      </w:r>
      <w:r w:rsidR="00766B86" w:rsidRPr="0065414C">
        <w:rPr>
          <w:rFonts w:cs="Arial"/>
        </w:rPr>
        <w:lastRenderedPageBreak/>
        <w:t>Scope options</w:t>
      </w:r>
    </w:p>
    <w:p w14:paraId="517E3462" w14:textId="77777777" w:rsidR="00926399" w:rsidRPr="0065414C" w:rsidRDefault="00766B86" w:rsidP="00926399">
      <w:pPr>
        <w:pStyle w:val="BodyText"/>
        <w:rPr>
          <w:rFonts w:cs="Arial"/>
        </w:rPr>
      </w:pPr>
      <w:r w:rsidRPr="0065414C">
        <w:rPr>
          <w:rFonts w:eastAsia="Times New Roman" w:cs="Arial"/>
          <w:iCs/>
          <w:lang w:eastAsia="en-AU"/>
        </w:rPr>
        <w:t xml:space="preserve">A patient’s readmission episode may not always occur at the same hospital where they had their original (index) admission episode. The patient may be readmitted to a different hospital in the same LHN or they may be readmitted to a different hospital </w:t>
      </w:r>
      <w:r w:rsidR="00844DC3">
        <w:rPr>
          <w:rFonts w:eastAsia="Times New Roman" w:cs="Arial"/>
          <w:iCs/>
          <w:lang w:eastAsia="en-AU"/>
        </w:rPr>
        <w:t>in a different</w:t>
      </w:r>
      <w:r w:rsidRPr="0065414C">
        <w:rPr>
          <w:rFonts w:eastAsia="Times New Roman" w:cs="Arial"/>
          <w:iCs/>
          <w:lang w:eastAsia="en-AU"/>
        </w:rPr>
        <w:t xml:space="preserve"> LHN. Throughout the shadow period, IHPA has undertaken analysis of the three funding options under three scope options (readmissions limited to the same hospital, same LHN or same jurisdiction).</w:t>
      </w:r>
      <w:r w:rsidRPr="0065414C">
        <w:rPr>
          <w:rFonts w:cs="Arial"/>
        </w:rPr>
        <w:t xml:space="preserve"> The analysis of avoidable hospital readmission episodes by location over the </w:t>
      </w:r>
      <w:proofErr w:type="gramStart"/>
      <w:r w:rsidRPr="0065414C">
        <w:rPr>
          <w:rFonts w:cs="Arial"/>
        </w:rPr>
        <w:t>four year</w:t>
      </w:r>
      <w:proofErr w:type="gramEnd"/>
      <w:r w:rsidRPr="0065414C">
        <w:rPr>
          <w:rFonts w:cs="Arial"/>
        </w:rPr>
        <w:t xml:space="preserve"> period indicated that</w:t>
      </w:r>
      <w:r w:rsidR="00926399" w:rsidRPr="0065414C">
        <w:rPr>
          <w:rFonts w:cs="Arial"/>
        </w:rPr>
        <w:t>:</w:t>
      </w:r>
    </w:p>
    <w:p w14:paraId="71AC692B" w14:textId="77777777" w:rsidR="00926399" w:rsidRPr="0065414C" w:rsidRDefault="00766B86" w:rsidP="00B61294">
      <w:pPr>
        <w:pStyle w:val="ListParagraph"/>
        <w:rPr>
          <w:rFonts w:cs="Arial"/>
        </w:rPr>
      </w:pPr>
      <w:r w:rsidRPr="0065414C">
        <w:rPr>
          <w:rFonts w:cs="Arial"/>
        </w:rPr>
        <w:t>Almost half of all avoidable hospital readmissions (48 per cent) occurred when patients presented to the same hospital within the same LHN</w:t>
      </w:r>
      <w:r w:rsidR="00926399" w:rsidRPr="0065414C">
        <w:rPr>
          <w:rFonts w:cs="Arial"/>
        </w:rPr>
        <w:t>.</w:t>
      </w:r>
    </w:p>
    <w:p w14:paraId="7E4B8117" w14:textId="77777777" w:rsidR="00926399" w:rsidRPr="0065414C" w:rsidRDefault="00766B86" w:rsidP="00B61294">
      <w:pPr>
        <w:pStyle w:val="ListParagraph"/>
        <w:rPr>
          <w:rFonts w:cs="Arial"/>
        </w:rPr>
      </w:pPr>
      <w:r w:rsidRPr="0065414C">
        <w:rPr>
          <w:rFonts w:cs="Arial"/>
        </w:rPr>
        <w:t>26.0 per cent of readmissions occurred in a different hospital in the same LHN</w:t>
      </w:r>
      <w:r w:rsidR="00926399" w:rsidRPr="0065414C">
        <w:rPr>
          <w:rFonts w:cs="Arial"/>
        </w:rPr>
        <w:t>.</w:t>
      </w:r>
    </w:p>
    <w:p w14:paraId="31A453E8" w14:textId="77777777" w:rsidR="00926399" w:rsidRPr="0065414C" w:rsidRDefault="002F3BF7" w:rsidP="002F3BF7">
      <w:pPr>
        <w:pStyle w:val="ListParagraph"/>
        <w:rPr>
          <w:rFonts w:cs="Arial"/>
        </w:rPr>
      </w:pPr>
      <w:r w:rsidRPr="0065414C">
        <w:rPr>
          <w:rFonts w:cs="Arial"/>
        </w:rPr>
        <w:t>12.3 per cent of readmissions occurred in a different LHN in the same state or territory</w:t>
      </w:r>
      <w:r w:rsidR="00926399" w:rsidRPr="0065414C">
        <w:rPr>
          <w:rFonts w:cs="Arial"/>
        </w:rPr>
        <w:t>.</w:t>
      </w:r>
    </w:p>
    <w:p w14:paraId="0833AB33" w14:textId="77777777" w:rsidR="002F3BF7" w:rsidRPr="0065414C" w:rsidRDefault="002F3BF7" w:rsidP="002F3BF7">
      <w:pPr>
        <w:pStyle w:val="ListParagraph"/>
        <w:rPr>
          <w:rFonts w:cs="Arial"/>
        </w:rPr>
      </w:pPr>
      <w:r w:rsidRPr="0065414C">
        <w:rPr>
          <w:rFonts w:cs="Arial"/>
        </w:rPr>
        <w:t>1.5 per cent of readmissions occurred in a different state or territory.</w:t>
      </w:r>
    </w:p>
    <w:p w14:paraId="413B74AE" w14:textId="77777777" w:rsidR="002F3BF7" w:rsidRPr="0065414C" w:rsidRDefault="002F3BF7" w:rsidP="002F3BF7">
      <w:pPr>
        <w:pStyle w:val="BodyText"/>
        <w:rPr>
          <w:rFonts w:cs="Arial"/>
        </w:rPr>
      </w:pPr>
      <w:r w:rsidRPr="0065414C">
        <w:rPr>
          <w:rFonts w:cs="Arial"/>
        </w:rPr>
        <w:t>At the completion of the shadow period, IHPA intends to implement the avoidable hospital readmissions funding adjustment to apply where there is a readmission to any hospital within the same jurisdiction.</w:t>
      </w:r>
    </w:p>
    <w:p w14:paraId="20F8170C" w14:textId="77777777" w:rsidR="002F3BF7" w:rsidRPr="0065414C" w:rsidRDefault="002F3BF7" w:rsidP="002F3BF7">
      <w:pPr>
        <w:rPr>
          <w:rFonts w:cs="Arial"/>
        </w:rPr>
      </w:pPr>
    </w:p>
    <w:p w14:paraId="6898E70C" w14:textId="77777777" w:rsidR="00926399" w:rsidRPr="0065414C" w:rsidRDefault="00766B86" w:rsidP="001E1083">
      <w:pPr>
        <w:pStyle w:val="Heading3"/>
        <w:spacing w:before="0"/>
        <w:rPr>
          <w:rFonts w:cs="Arial"/>
        </w:rPr>
      </w:pPr>
      <w:r w:rsidRPr="0065414C">
        <w:rPr>
          <w:rFonts w:cs="Arial"/>
        </w:rPr>
        <w:t>Exclusion of transfer</w:t>
      </w:r>
      <w:r w:rsidR="00A914D5">
        <w:rPr>
          <w:rFonts w:cs="Arial"/>
        </w:rPr>
        <w:t xml:space="preserve"> episodes</w:t>
      </w:r>
    </w:p>
    <w:p w14:paraId="4CE4A055" w14:textId="77777777" w:rsidR="00926399" w:rsidRPr="0065414C" w:rsidRDefault="002F3BF7" w:rsidP="00926399">
      <w:pPr>
        <w:pStyle w:val="BodyText"/>
        <w:rPr>
          <w:rFonts w:cs="Arial"/>
        </w:rPr>
      </w:pPr>
      <w:r w:rsidRPr="0065414C">
        <w:rPr>
          <w:rFonts w:cs="Arial"/>
        </w:rPr>
        <w:t xml:space="preserve">In addition to the exclusion criteria and specifications developed by the Commission, available on the Commission’s </w:t>
      </w:r>
      <w:hyperlink r:id="rId98" w:history="1">
        <w:r w:rsidRPr="0065414C">
          <w:rPr>
            <w:rStyle w:val="Hyperlink"/>
            <w:rFonts w:cs="Arial"/>
            <w:i/>
            <w:color w:val="7EC352" w:themeColor="accent1"/>
          </w:rPr>
          <w:t>website</w:t>
        </w:r>
      </w:hyperlink>
      <w:r w:rsidRPr="0065414C">
        <w:rPr>
          <w:rFonts w:cs="Arial"/>
        </w:rPr>
        <w:t>, IHPA has made the decision to exclude transfer episodes from being classed as a readmission, that is, a transfer from the index admission facility to a secondary facility within the same course of care</w:t>
      </w:r>
      <w:r w:rsidR="00926399" w:rsidRPr="0065414C">
        <w:rPr>
          <w:rFonts w:cs="Arial"/>
        </w:rPr>
        <w:t>.</w:t>
      </w:r>
    </w:p>
    <w:p w14:paraId="79E7C912" w14:textId="77777777" w:rsidR="00926399" w:rsidRPr="0065414C" w:rsidRDefault="002F3BF7" w:rsidP="00926399">
      <w:pPr>
        <w:pStyle w:val="BodyText"/>
        <w:rPr>
          <w:rFonts w:cs="Arial"/>
        </w:rPr>
      </w:pPr>
      <w:r w:rsidRPr="0065414C">
        <w:rPr>
          <w:rFonts w:cs="Arial"/>
        </w:rPr>
        <w:t xml:space="preserve">The readmissions criteria provided by the Commission includes transfer episodes, as the specifications were initially developed for a hospital-level approach that did not account for transfers between facilities. Keeping </w:t>
      </w:r>
      <w:proofErr w:type="gramStart"/>
      <w:r w:rsidRPr="0065414C">
        <w:rPr>
          <w:rFonts w:cs="Arial"/>
        </w:rPr>
        <w:t>this criteria</w:t>
      </w:r>
      <w:proofErr w:type="gramEnd"/>
      <w:r w:rsidRPr="0065414C">
        <w:rPr>
          <w:rFonts w:cs="Arial"/>
        </w:rPr>
        <w:t xml:space="preserve"> to identify readmissions at the jurisdiction scope artificially inflates the number of readmissions</w:t>
      </w:r>
      <w:r w:rsidR="00926399" w:rsidRPr="0065414C">
        <w:rPr>
          <w:rFonts w:cs="Arial"/>
        </w:rPr>
        <w:t>.</w:t>
      </w:r>
    </w:p>
    <w:p w14:paraId="4C19C2D5" w14:textId="4B96B75F" w:rsidR="00926399" w:rsidRPr="0065414C" w:rsidRDefault="00D80215" w:rsidP="00EB5043">
      <w:pPr>
        <w:pStyle w:val="Heading3"/>
        <w:rPr>
          <w:rFonts w:cs="Arial"/>
        </w:rPr>
      </w:pPr>
      <w:r>
        <w:rPr>
          <w:rFonts w:cs="Arial"/>
        </w:rPr>
        <w:br w:type="column"/>
      </w:r>
      <w:r w:rsidR="00926399" w:rsidRPr="0065414C">
        <w:rPr>
          <w:rFonts w:cs="Arial"/>
        </w:rPr>
        <w:t>Approach to risk adjustment</w:t>
      </w:r>
    </w:p>
    <w:p w14:paraId="135432A2" w14:textId="77777777" w:rsidR="00926399" w:rsidRPr="0065414C" w:rsidRDefault="002F3BF7" w:rsidP="00926399">
      <w:pPr>
        <w:pStyle w:val="BodyText"/>
        <w:rPr>
          <w:rFonts w:cs="Arial"/>
        </w:rPr>
      </w:pPr>
      <w:r w:rsidRPr="0065414C">
        <w:rPr>
          <w:rFonts w:cs="Arial"/>
        </w:rPr>
        <w:t>The risk adjustment model is constructed on the premise that a patient’s likelihood of experiencing a potentially avoidable hospital readmission is the same regardless of the funding option considered. A risk adjustment model has been derived for each readmission condition, which assigns the risk of being readmitted for each episode of care, based on the most statistically significant and best performing risk factors</w:t>
      </w:r>
      <w:r w:rsidR="00926399" w:rsidRPr="0065414C">
        <w:rPr>
          <w:rFonts w:cs="Arial"/>
        </w:rPr>
        <w:t>.</w:t>
      </w:r>
    </w:p>
    <w:p w14:paraId="588731DF" w14:textId="77777777" w:rsidR="00D80215" w:rsidRDefault="00844DC3" w:rsidP="00D80215">
      <w:pPr>
        <w:pStyle w:val="BodyText"/>
        <w:rPr>
          <w:rFonts w:cs="Arial"/>
        </w:rPr>
      </w:pPr>
      <w:r w:rsidRPr="00844DC3">
        <w:rPr>
          <w:rFonts w:cs="Arial"/>
        </w:rPr>
        <w:t>IHPA has finalised the risk factors in response to stakeholder feedback, recommendations from the Clinical Advisory Committee (CAC) and advice from the University of Melbourne. A discrete set of risk factors has been developed for the risk adjustment model of each readmission category, using the top performing risk factors based on statistical importance and model contribution. This approach captures the statistically important risk factors, while trimming insignificant risk factors by not adhering to an arbitrary number of included risk factors for each readmission category</w:t>
      </w:r>
      <w:r w:rsidR="00926399" w:rsidRPr="0065414C">
        <w:rPr>
          <w:rFonts w:cs="Arial"/>
        </w:rPr>
        <w:t>.</w:t>
      </w:r>
      <w:r w:rsidR="00337557">
        <w:rPr>
          <w:rFonts w:cs="Arial"/>
          <w:b/>
        </w:rPr>
        <w:t xml:space="preserve"> </w:t>
      </w:r>
      <w:r w:rsidR="002F3BF7" w:rsidRPr="0065414C">
        <w:rPr>
          <w:rFonts w:cs="Arial"/>
          <w:b/>
        </w:rPr>
        <w:t>Table 4</w:t>
      </w:r>
      <w:r w:rsidR="002F3BF7" w:rsidRPr="0065414C">
        <w:rPr>
          <w:rFonts w:cs="Arial"/>
        </w:rPr>
        <w:t xml:space="preserve"> below lists the risk factors used in each readmission mode</w:t>
      </w:r>
      <w:r>
        <w:rPr>
          <w:rFonts w:cs="Arial"/>
        </w:rPr>
        <w:t>l.</w:t>
      </w:r>
    </w:p>
    <w:p w14:paraId="3A9FFBC5" w14:textId="77777777" w:rsidR="00D80215" w:rsidRDefault="00D80215" w:rsidP="00D80215">
      <w:pPr>
        <w:pStyle w:val="BodyText"/>
        <w:rPr>
          <w:rFonts w:cs="Arial"/>
        </w:rPr>
      </w:pPr>
    </w:p>
    <w:p w14:paraId="2E210AF6" w14:textId="77777777" w:rsidR="00D80215" w:rsidRDefault="00D80215" w:rsidP="002F3BF7">
      <w:pPr>
        <w:pStyle w:val="Figureheading"/>
        <w:rPr>
          <w:rFonts w:cs="Arial"/>
        </w:rPr>
        <w:sectPr w:rsidR="00D80215" w:rsidSect="00D80215">
          <w:pgSz w:w="11910" w:h="16840"/>
          <w:pgMar w:top="1440" w:right="1440" w:bottom="1440" w:left="1440" w:header="0" w:footer="658" w:gutter="0"/>
          <w:cols w:num="2" w:space="340"/>
        </w:sectPr>
      </w:pPr>
    </w:p>
    <w:p w14:paraId="6A23A6E5" w14:textId="268A991F" w:rsidR="002F3BF7" w:rsidRPr="0065414C" w:rsidRDefault="002F3BF7" w:rsidP="002F3BF7">
      <w:pPr>
        <w:pStyle w:val="Figureheading"/>
        <w:rPr>
          <w:rFonts w:eastAsiaTheme="minorHAnsi" w:cs="Arial"/>
          <w:lang w:bidi="ar-SA"/>
        </w:rPr>
      </w:pPr>
      <w:r w:rsidRPr="0065414C">
        <w:rPr>
          <w:rFonts w:cs="Arial"/>
        </w:rPr>
        <w:lastRenderedPageBreak/>
        <w:t>Table 4: Risk factor</w:t>
      </w:r>
      <w:r w:rsidR="005A63BA">
        <w:rPr>
          <w:rFonts w:cs="Arial"/>
        </w:rPr>
        <w:t>s for each readmission category</w:t>
      </w:r>
    </w:p>
    <w:tbl>
      <w:tblPr>
        <w:tblStyle w:val="TableGrid"/>
        <w:tblW w:w="0" w:type="auto"/>
        <w:tblBorders>
          <w:top w:val="none" w:sz="0" w:space="0" w:color="auto"/>
          <w:left w:val="none" w:sz="0" w:space="0" w:color="auto"/>
          <w:bottom w:val="single" w:sz="8" w:space="0" w:color="D9D9D9" w:themeColor="background1" w:themeShade="D9"/>
          <w:right w:val="none" w:sz="0" w:space="0" w:color="auto"/>
        </w:tblBorders>
        <w:tblLayout w:type="fixed"/>
        <w:tblLook w:val="04A0" w:firstRow="1" w:lastRow="0" w:firstColumn="1" w:lastColumn="0" w:noHBand="0" w:noVBand="1"/>
        <w:tblCaption w:val="Risk factors for each readmission category"/>
        <w:tblDescription w:val="Tabel with 13 columns lists the risk factors used in each readmission condition within the readmission risk adjustment model"/>
      </w:tblPr>
      <w:tblGrid>
        <w:gridCol w:w="2981"/>
        <w:gridCol w:w="537"/>
        <w:gridCol w:w="538"/>
        <w:gridCol w:w="538"/>
        <w:gridCol w:w="538"/>
        <w:gridCol w:w="538"/>
        <w:gridCol w:w="538"/>
        <w:gridCol w:w="537"/>
        <w:gridCol w:w="538"/>
        <w:gridCol w:w="538"/>
        <w:gridCol w:w="538"/>
        <w:gridCol w:w="538"/>
        <w:gridCol w:w="538"/>
      </w:tblGrid>
      <w:tr w:rsidR="00EF131C" w:rsidRPr="0065414C" w14:paraId="6FB49057" w14:textId="77777777" w:rsidTr="00EF131C">
        <w:trPr>
          <w:cantSplit/>
          <w:trHeight w:val="2721"/>
          <w:tblHeader/>
        </w:trPr>
        <w:tc>
          <w:tcPr>
            <w:tcW w:w="2981" w:type="dxa"/>
            <w:tcBorders>
              <w:top w:val="nil"/>
              <w:bottom w:val="nil"/>
              <w:right w:val="single" w:sz="4" w:space="0" w:color="007289" w:themeColor="accent6" w:themeShade="BF"/>
            </w:tcBorders>
            <w:shd w:val="clear" w:color="auto" w:fill="009AB8" w:themeFill="accent6"/>
            <w:vAlign w:val="center"/>
            <w:hideMark/>
          </w:tcPr>
          <w:p w14:paraId="74C68AC9" w14:textId="77777777" w:rsidR="002F3BF7" w:rsidRPr="0065414C" w:rsidRDefault="002F3BF7">
            <w:pPr>
              <w:spacing w:before="50" w:after="50"/>
              <w:rPr>
                <w:rFonts w:cs="Arial"/>
                <w:b/>
                <w:color w:val="FFFFFF" w:themeColor="background1"/>
                <w:sz w:val="18"/>
                <w:szCs w:val="18"/>
              </w:rPr>
            </w:pPr>
            <w:r w:rsidRPr="0065414C">
              <w:rPr>
                <w:rFonts w:cs="Arial"/>
                <w:b/>
                <w:color w:val="FFFFFF" w:themeColor="background1"/>
                <w:sz w:val="18"/>
                <w:szCs w:val="18"/>
              </w:rPr>
              <w:t>Readmission category</w:t>
            </w:r>
          </w:p>
        </w:tc>
        <w:tc>
          <w:tcPr>
            <w:tcW w:w="537" w:type="dxa"/>
            <w:tcBorders>
              <w:top w:val="nil"/>
              <w:left w:val="single" w:sz="4" w:space="0" w:color="007289" w:themeColor="accent6" w:themeShade="BF"/>
              <w:bottom w:val="nil"/>
              <w:right w:val="single" w:sz="4" w:space="0" w:color="007289" w:themeColor="accent6" w:themeShade="BF"/>
            </w:tcBorders>
            <w:shd w:val="clear" w:color="auto" w:fill="009AB8" w:themeFill="accent6"/>
            <w:textDirection w:val="btLr"/>
            <w:hideMark/>
          </w:tcPr>
          <w:p w14:paraId="7FC73AED" w14:textId="77777777" w:rsidR="002F3BF7" w:rsidRPr="0065414C" w:rsidRDefault="002F3BF7">
            <w:pPr>
              <w:spacing w:before="50" w:after="50"/>
              <w:ind w:left="113" w:right="113"/>
              <w:rPr>
                <w:rFonts w:cs="Arial"/>
                <w:b/>
                <w:color w:val="FFFFFF" w:themeColor="background1"/>
                <w:sz w:val="18"/>
                <w:szCs w:val="18"/>
              </w:rPr>
            </w:pPr>
            <w:r w:rsidRPr="0065414C">
              <w:rPr>
                <w:rFonts w:cs="Arial"/>
                <w:b/>
                <w:color w:val="FFFFFF" w:themeColor="background1"/>
                <w:sz w:val="18"/>
                <w:szCs w:val="18"/>
              </w:rPr>
              <w:t>1. Pressure injury</w:t>
            </w:r>
          </w:p>
        </w:tc>
        <w:tc>
          <w:tcPr>
            <w:tcW w:w="538" w:type="dxa"/>
            <w:tcBorders>
              <w:top w:val="nil"/>
              <w:left w:val="single" w:sz="4" w:space="0" w:color="007289" w:themeColor="accent6" w:themeShade="BF"/>
              <w:bottom w:val="nil"/>
              <w:right w:val="single" w:sz="4" w:space="0" w:color="007289" w:themeColor="accent6" w:themeShade="BF"/>
            </w:tcBorders>
            <w:shd w:val="clear" w:color="auto" w:fill="009AB8" w:themeFill="accent6"/>
            <w:textDirection w:val="btLr"/>
            <w:hideMark/>
          </w:tcPr>
          <w:p w14:paraId="192C8452" w14:textId="77777777" w:rsidR="002F3BF7" w:rsidRPr="0065414C" w:rsidRDefault="002F3BF7">
            <w:pPr>
              <w:spacing w:before="50" w:after="50"/>
              <w:ind w:left="113" w:right="113"/>
              <w:rPr>
                <w:rFonts w:cs="Arial"/>
                <w:b/>
                <w:color w:val="FFFFFF" w:themeColor="background1"/>
                <w:sz w:val="18"/>
                <w:szCs w:val="18"/>
              </w:rPr>
            </w:pPr>
            <w:r w:rsidRPr="0065414C">
              <w:rPr>
                <w:rFonts w:cs="Arial"/>
                <w:b/>
                <w:color w:val="FFFFFF" w:themeColor="background1"/>
                <w:sz w:val="18"/>
                <w:szCs w:val="18"/>
              </w:rPr>
              <w:t>2. infections</w:t>
            </w:r>
          </w:p>
        </w:tc>
        <w:tc>
          <w:tcPr>
            <w:tcW w:w="538" w:type="dxa"/>
            <w:tcBorders>
              <w:top w:val="nil"/>
              <w:left w:val="single" w:sz="4" w:space="0" w:color="007289" w:themeColor="accent6" w:themeShade="BF"/>
              <w:bottom w:val="nil"/>
              <w:right w:val="single" w:sz="4" w:space="0" w:color="007289" w:themeColor="accent6" w:themeShade="BF"/>
            </w:tcBorders>
            <w:shd w:val="clear" w:color="auto" w:fill="009AB8" w:themeFill="accent6"/>
            <w:textDirection w:val="btLr"/>
            <w:hideMark/>
          </w:tcPr>
          <w:p w14:paraId="5BDCF8C2" w14:textId="77777777" w:rsidR="002F3BF7" w:rsidRPr="0065414C" w:rsidRDefault="002F3BF7">
            <w:pPr>
              <w:spacing w:before="50" w:after="50"/>
              <w:ind w:left="113" w:right="113"/>
              <w:rPr>
                <w:rFonts w:cs="Arial"/>
                <w:b/>
                <w:color w:val="FFFFFF" w:themeColor="background1"/>
                <w:sz w:val="18"/>
                <w:szCs w:val="18"/>
              </w:rPr>
            </w:pPr>
            <w:r w:rsidRPr="0065414C">
              <w:rPr>
                <w:rFonts w:cs="Arial"/>
                <w:b/>
                <w:color w:val="FFFFFF" w:themeColor="background1"/>
                <w:sz w:val="18"/>
                <w:szCs w:val="18"/>
              </w:rPr>
              <w:t>3. Surgical complications</w:t>
            </w:r>
          </w:p>
        </w:tc>
        <w:tc>
          <w:tcPr>
            <w:tcW w:w="538" w:type="dxa"/>
            <w:tcBorders>
              <w:top w:val="nil"/>
              <w:left w:val="single" w:sz="4" w:space="0" w:color="007289" w:themeColor="accent6" w:themeShade="BF"/>
              <w:bottom w:val="nil"/>
              <w:right w:val="single" w:sz="4" w:space="0" w:color="007289" w:themeColor="accent6" w:themeShade="BF"/>
            </w:tcBorders>
            <w:shd w:val="clear" w:color="auto" w:fill="009AB8" w:themeFill="accent6"/>
            <w:textDirection w:val="btLr"/>
            <w:hideMark/>
          </w:tcPr>
          <w:p w14:paraId="47400271" w14:textId="77777777" w:rsidR="002F3BF7" w:rsidRPr="0065414C" w:rsidRDefault="002F3BF7">
            <w:pPr>
              <w:spacing w:before="50" w:after="50"/>
              <w:ind w:left="113" w:right="113"/>
              <w:rPr>
                <w:rFonts w:cs="Arial"/>
                <w:b/>
                <w:color w:val="FFFFFF" w:themeColor="background1"/>
                <w:sz w:val="18"/>
                <w:szCs w:val="18"/>
              </w:rPr>
            </w:pPr>
            <w:r w:rsidRPr="0065414C">
              <w:rPr>
                <w:rFonts w:cs="Arial"/>
                <w:b/>
                <w:color w:val="FFFFFF" w:themeColor="background1"/>
                <w:sz w:val="18"/>
                <w:szCs w:val="18"/>
              </w:rPr>
              <w:t>4. Respiratory complications</w:t>
            </w:r>
          </w:p>
        </w:tc>
        <w:tc>
          <w:tcPr>
            <w:tcW w:w="538" w:type="dxa"/>
            <w:tcBorders>
              <w:top w:val="nil"/>
              <w:left w:val="single" w:sz="4" w:space="0" w:color="007289" w:themeColor="accent6" w:themeShade="BF"/>
              <w:bottom w:val="nil"/>
              <w:right w:val="single" w:sz="4" w:space="0" w:color="007289" w:themeColor="accent6" w:themeShade="BF"/>
            </w:tcBorders>
            <w:shd w:val="clear" w:color="auto" w:fill="009AB8" w:themeFill="accent6"/>
            <w:textDirection w:val="btLr"/>
            <w:hideMark/>
          </w:tcPr>
          <w:p w14:paraId="7DAA8C54" w14:textId="77777777" w:rsidR="002F3BF7" w:rsidRPr="0065414C" w:rsidRDefault="002F3BF7">
            <w:pPr>
              <w:spacing w:before="50" w:after="50"/>
              <w:ind w:left="113" w:right="113"/>
              <w:rPr>
                <w:rFonts w:cs="Arial"/>
                <w:b/>
                <w:color w:val="FFFFFF" w:themeColor="background1"/>
                <w:sz w:val="18"/>
                <w:szCs w:val="18"/>
              </w:rPr>
            </w:pPr>
            <w:r w:rsidRPr="0065414C">
              <w:rPr>
                <w:rFonts w:cs="Arial"/>
                <w:b/>
                <w:color w:val="FFFFFF" w:themeColor="background1"/>
                <w:sz w:val="18"/>
                <w:szCs w:val="18"/>
              </w:rPr>
              <w:t>5. Venous thromboembolism</w:t>
            </w:r>
          </w:p>
        </w:tc>
        <w:tc>
          <w:tcPr>
            <w:tcW w:w="538" w:type="dxa"/>
            <w:tcBorders>
              <w:top w:val="nil"/>
              <w:left w:val="single" w:sz="4" w:space="0" w:color="007289" w:themeColor="accent6" w:themeShade="BF"/>
              <w:bottom w:val="nil"/>
              <w:right w:val="single" w:sz="4" w:space="0" w:color="007289" w:themeColor="accent6" w:themeShade="BF"/>
            </w:tcBorders>
            <w:shd w:val="clear" w:color="auto" w:fill="009AB8" w:themeFill="accent6"/>
            <w:textDirection w:val="btLr"/>
            <w:hideMark/>
          </w:tcPr>
          <w:p w14:paraId="12D66635" w14:textId="77777777" w:rsidR="002F3BF7" w:rsidRPr="0065414C" w:rsidRDefault="002F3BF7">
            <w:pPr>
              <w:spacing w:before="50" w:after="50"/>
              <w:ind w:left="113" w:right="113"/>
              <w:rPr>
                <w:rFonts w:cs="Arial"/>
                <w:b/>
                <w:color w:val="FFFFFF" w:themeColor="background1"/>
                <w:sz w:val="18"/>
                <w:szCs w:val="18"/>
              </w:rPr>
            </w:pPr>
            <w:r w:rsidRPr="0065414C">
              <w:rPr>
                <w:rFonts w:cs="Arial"/>
                <w:b/>
                <w:color w:val="FFFFFF" w:themeColor="background1"/>
                <w:sz w:val="18"/>
                <w:szCs w:val="18"/>
              </w:rPr>
              <w:t>6. Renal failure</w:t>
            </w:r>
          </w:p>
        </w:tc>
        <w:tc>
          <w:tcPr>
            <w:tcW w:w="537" w:type="dxa"/>
            <w:tcBorders>
              <w:top w:val="nil"/>
              <w:left w:val="single" w:sz="4" w:space="0" w:color="007289" w:themeColor="accent6" w:themeShade="BF"/>
              <w:bottom w:val="nil"/>
              <w:right w:val="single" w:sz="4" w:space="0" w:color="007289" w:themeColor="accent6" w:themeShade="BF"/>
            </w:tcBorders>
            <w:shd w:val="clear" w:color="auto" w:fill="009AB8" w:themeFill="accent6"/>
            <w:textDirection w:val="btLr"/>
            <w:hideMark/>
          </w:tcPr>
          <w:p w14:paraId="461BC41D" w14:textId="77777777" w:rsidR="002F3BF7" w:rsidRPr="0065414C" w:rsidRDefault="002F3BF7">
            <w:pPr>
              <w:spacing w:before="50" w:after="50"/>
              <w:ind w:left="113" w:right="113"/>
              <w:rPr>
                <w:rFonts w:cs="Arial"/>
                <w:b/>
                <w:color w:val="FFFFFF" w:themeColor="background1"/>
                <w:sz w:val="18"/>
                <w:szCs w:val="18"/>
              </w:rPr>
            </w:pPr>
            <w:r w:rsidRPr="0065414C">
              <w:rPr>
                <w:rFonts w:cs="Arial"/>
                <w:b/>
                <w:color w:val="FFFFFF" w:themeColor="background1"/>
                <w:sz w:val="18"/>
                <w:szCs w:val="18"/>
              </w:rPr>
              <w:t>7. Gastrointestinal bleeding</w:t>
            </w:r>
          </w:p>
        </w:tc>
        <w:tc>
          <w:tcPr>
            <w:tcW w:w="538" w:type="dxa"/>
            <w:tcBorders>
              <w:top w:val="nil"/>
              <w:left w:val="single" w:sz="4" w:space="0" w:color="007289" w:themeColor="accent6" w:themeShade="BF"/>
              <w:bottom w:val="nil"/>
              <w:right w:val="single" w:sz="4" w:space="0" w:color="007289" w:themeColor="accent6" w:themeShade="BF"/>
            </w:tcBorders>
            <w:shd w:val="clear" w:color="auto" w:fill="009AB8" w:themeFill="accent6"/>
            <w:textDirection w:val="btLr"/>
            <w:hideMark/>
          </w:tcPr>
          <w:p w14:paraId="323F639A" w14:textId="77777777" w:rsidR="002F3BF7" w:rsidRPr="0065414C" w:rsidRDefault="002F3BF7">
            <w:pPr>
              <w:spacing w:before="50" w:after="50"/>
              <w:ind w:left="113" w:right="113"/>
              <w:rPr>
                <w:rFonts w:cs="Arial"/>
                <w:b/>
                <w:color w:val="FFFFFF" w:themeColor="background1"/>
                <w:sz w:val="18"/>
                <w:szCs w:val="18"/>
              </w:rPr>
            </w:pPr>
            <w:r w:rsidRPr="0065414C">
              <w:rPr>
                <w:rFonts w:cs="Arial"/>
                <w:b/>
                <w:color w:val="FFFFFF" w:themeColor="background1"/>
                <w:sz w:val="18"/>
                <w:szCs w:val="18"/>
              </w:rPr>
              <w:t>8. Medical complications</w:t>
            </w:r>
          </w:p>
        </w:tc>
        <w:tc>
          <w:tcPr>
            <w:tcW w:w="538" w:type="dxa"/>
            <w:tcBorders>
              <w:top w:val="nil"/>
              <w:left w:val="single" w:sz="4" w:space="0" w:color="007289" w:themeColor="accent6" w:themeShade="BF"/>
              <w:bottom w:val="nil"/>
              <w:right w:val="single" w:sz="4" w:space="0" w:color="007289" w:themeColor="accent6" w:themeShade="BF"/>
            </w:tcBorders>
            <w:shd w:val="clear" w:color="auto" w:fill="009AB8" w:themeFill="accent6"/>
            <w:textDirection w:val="btLr"/>
            <w:hideMark/>
          </w:tcPr>
          <w:p w14:paraId="44DCE755" w14:textId="77777777" w:rsidR="002F3BF7" w:rsidRPr="0065414C" w:rsidRDefault="002F3BF7">
            <w:pPr>
              <w:spacing w:before="50" w:after="50"/>
              <w:ind w:left="113" w:right="113"/>
              <w:rPr>
                <w:rFonts w:cs="Arial"/>
                <w:b/>
                <w:color w:val="FFFFFF" w:themeColor="background1"/>
                <w:sz w:val="18"/>
                <w:szCs w:val="18"/>
              </w:rPr>
            </w:pPr>
            <w:r w:rsidRPr="0065414C">
              <w:rPr>
                <w:rFonts w:cs="Arial"/>
                <w:b/>
                <w:color w:val="FFFFFF" w:themeColor="background1"/>
                <w:sz w:val="18"/>
                <w:szCs w:val="18"/>
              </w:rPr>
              <w:t>9. Delirium</w:t>
            </w:r>
          </w:p>
        </w:tc>
        <w:tc>
          <w:tcPr>
            <w:tcW w:w="538" w:type="dxa"/>
            <w:tcBorders>
              <w:top w:val="nil"/>
              <w:left w:val="single" w:sz="4" w:space="0" w:color="007289" w:themeColor="accent6" w:themeShade="BF"/>
              <w:bottom w:val="nil"/>
              <w:right w:val="single" w:sz="4" w:space="0" w:color="007289" w:themeColor="accent6" w:themeShade="BF"/>
            </w:tcBorders>
            <w:shd w:val="clear" w:color="auto" w:fill="009AB8" w:themeFill="accent6"/>
            <w:textDirection w:val="btLr"/>
            <w:hideMark/>
          </w:tcPr>
          <w:p w14:paraId="69A3804B" w14:textId="77777777" w:rsidR="002F3BF7" w:rsidRPr="0065414C" w:rsidRDefault="002F3BF7">
            <w:pPr>
              <w:spacing w:before="50" w:after="50"/>
              <w:ind w:left="113" w:right="113"/>
              <w:rPr>
                <w:rFonts w:cs="Arial"/>
                <w:b/>
                <w:color w:val="FFFFFF" w:themeColor="background1"/>
                <w:sz w:val="18"/>
                <w:szCs w:val="18"/>
              </w:rPr>
            </w:pPr>
            <w:r w:rsidRPr="0065414C">
              <w:rPr>
                <w:rFonts w:cs="Arial"/>
                <w:b/>
                <w:color w:val="FFFFFF" w:themeColor="background1"/>
                <w:sz w:val="18"/>
                <w:szCs w:val="18"/>
              </w:rPr>
              <w:t>10. Cardiac complications</w:t>
            </w:r>
          </w:p>
        </w:tc>
        <w:tc>
          <w:tcPr>
            <w:tcW w:w="538" w:type="dxa"/>
            <w:tcBorders>
              <w:top w:val="nil"/>
              <w:left w:val="single" w:sz="4" w:space="0" w:color="007289" w:themeColor="accent6" w:themeShade="BF"/>
              <w:bottom w:val="nil"/>
              <w:right w:val="single" w:sz="4" w:space="0" w:color="007289" w:themeColor="accent6" w:themeShade="BF"/>
            </w:tcBorders>
            <w:shd w:val="clear" w:color="auto" w:fill="009AB8" w:themeFill="accent6"/>
            <w:textDirection w:val="btLr"/>
            <w:hideMark/>
          </w:tcPr>
          <w:p w14:paraId="407DA3F9" w14:textId="77777777" w:rsidR="002F3BF7" w:rsidRPr="0065414C" w:rsidRDefault="002F3BF7">
            <w:pPr>
              <w:spacing w:before="50" w:after="50"/>
              <w:ind w:left="113" w:right="113"/>
              <w:rPr>
                <w:rFonts w:cs="Arial"/>
                <w:b/>
                <w:color w:val="FFFFFF" w:themeColor="background1"/>
                <w:sz w:val="18"/>
                <w:szCs w:val="18"/>
              </w:rPr>
            </w:pPr>
            <w:r w:rsidRPr="0065414C">
              <w:rPr>
                <w:rFonts w:cs="Arial"/>
                <w:b/>
                <w:color w:val="FFFFFF" w:themeColor="background1"/>
                <w:sz w:val="18"/>
                <w:szCs w:val="18"/>
              </w:rPr>
              <w:t>11. Constipation</w:t>
            </w:r>
          </w:p>
        </w:tc>
        <w:tc>
          <w:tcPr>
            <w:tcW w:w="538" w:type="dxa"/>
            <w:tcBorders>
              <w:top w:val="nil"/>
              <w:left w:val="single" w:sz="4" w:space="0" w:color="007289" w:themeColor="accent6" w:themeShade="BF"/>
              <w:bottom w:val="nil"/>
            </w:tcBorders>
            <w:shd w:val="clear" w:color="auto" w:fill="009AB8" w:themeFill="accent6"/>
            <w:textDirection w:val="btLr"/>
            <w:hideMark/>
          </w:tcPr>
          <w:p w14:paraId="2F08626C" w14:textId="77777777" w:rsidR="002F3BF7" w:rsidRPr="0065414C" w:rsidRDefault="002F3BF7">
            <w:pPr>
              <w:spacing w:before="50" w:after="50"/>
              <w:ind w:left="113" w:right="113"/>
              <w:rPr>
                <w:rFonts w:cs="Arial"/>
                <w:b/>
                <w:color w:val="FFFFFF" w:themeColor="background1"/>
                <w:sz w:val="18"/>
                <w:szCs w:val="18"/>
              </w:rPr>
            </w:pPr>
            <w:r w:rsidRPr="0065414C">
              <w:rPr>
                <w:rFonts w:cs="Arial"/>
                <w:b/>
                <w:color w:val="FFFFFF" w:themeColor="background1"/>
                <w:sz w:val="18"/>
                <w:szCs w:val="18"/>
              </w:rPr>
              <w:t>12. Nausea and vomiting</w:t>
            </w:r>
          </w:p>
        </w:tc>
      </w:tr>
      <w:tr w:rsidR="002F3BF7" w:rsidRPr="0065414C" w14:paraId="651D756D" w14:textId="77777777" w:rsidTr="00EF131C">
        <w:tc>
          <w:tcPr>
            <w:tcW w:w="2981" w:type="dxa"/>
            <w:tcBorders>
              <w:top w:val="nil"/>
              <w:bottom w:val="single" w:sz="4" w:space="0" w:color="D9D9D9" w:themeColor="background1" w:themeShade="D9"/>
              <w:right w:val="single" w:sz="4" w:space="0" w:color="D9D9D9" w:themeColor="background1" w:themeShade="D9"/>
            </w:tcBorders>
            <w:vAlign w:val="center"/>
            <w:hideMark/>
          </w:tcPr>
          <w:p w14:paraId="7D1241E7" w14:textId="77777777" w:rsidR="002F3BF7" w:rsidRPr="00EF131C" w:rsidRDefault="002F3BF7" w:rsidP="00EF131C">
            <w:pPr>
              <w:spacing w:before="50" w:after="50"/>
              <w:rPr>
                <w:rFonts w:cs="Arial"/>
                <w:color w:val="58595A"/>
                <w:sz w:val="18"/>
                <w:szCs w:val="18"/>
              </w:rPr>
            </w:pPr>
            <w:r w:rsidRPr="00EF131C">
              <w:rPr>
                <w:rFonts w:cs="Arial"/>
                <w:color w:val="58595A"/>
                <w:sz w:val="18"/>
                <w:szCs w:val="18"/>
              </w:rPr>
              <w:t>Age group</w:t>
            </w:r>
          </w:p>
        </w:tc>
        <w:tc>
          <w:tcPr>
            <w:tcW w:w="537"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0773520" w14:textId="77777777" w:rsidR="002F3BF7" w:rsidRPr="00EF131C" w:rsidRDefault="002F3BF7" w:rsidP="00EF131C">
            <w:pPr>
              <w:spacing w:before="50" w:after="50"/>
              <w:jc w:val="center"/>
              <w:rPr>
                <w:rFonts w:cs="Arial"/>
                <w:color w:val="58595A"/>
                <w:sz w:val="18"/>
                <w:szCs w:val="18"/>
              </w:rPr>
            </w:pPr>
          </w:p>
        </w:tc>
        <w:tc>
          <w:tcPr>
            <w:tcW w:w="538"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383DF05B"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3B3AA3D5"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3ABF4E0"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06DE0EB1"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0FE66390"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7"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48634D3" w14:textId="77777777" w:rsidR="002F3BF7" w:rsidRPr="00EF131C" w:rsidRDefault="002F3BF7" w:rsidP="00EF131C">
            <w:pPr>
              <w:spacing w:before="50" w:after="50"/>
              <w:jc w:val="center"/>
              <w:rPr>
                <w:rFonts w:cs="Arial"/>
                <w:color w:val="58595A"/>
                <w:sz w:val="18"/>
                <w:szCs w:val="18"/>
              </w:rPr>
            </w:pPr>
          </w:p>
        </w:tc>
        <w:tc>
          <w:tcPr>
            <w:tcW w:w="538"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7BA54E40"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0FB7F805"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1FB29A94"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21E0F38A"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nil"/>
              <w:left w:val="single" w:sz="4" w:space="0" w:color="D9D9D9" w:themeColor="background1" w:themeShade="D9"/>
              <w:bottom w:val="single" w:sz="4" w:space="0" w:color="D9D9D9" w:themeColor="background1" w:themeShade="D9"/>
            </w:tcBorders>
            <w:vAlign w:val="center"/>
          </w:tcPr>
          <w:p w14:paraId="4DEBAB75" w14:textId="77777777" w:rsidR="002F3BF7" w:rsidRPr="00EF131C" w:rsidRDefault="002F3BF7" w:rsidP="00EF131C">
            <w:pPr>
              <w:spacing w:before="50" w:after="50"/>
              <w:jc w:val="center"/>
              <w:rPr>
                <w:rFonts w:cs="Arial"/>
                <w:color w:val="58595A"/>
                <w:sz w:val="18"/>
                <w:szCs w:val="18"/>
              </w:rPr>
            </w:pPr>
          </w:p>
        </w:tc>
      </w:tr>
      <w:tr w:rsidR="002F3BF7" w:rsidRPr="0065414C" w14:paraId="0391B97B" w14:textId="77777777" w:rsidTr="00EF131C">
        <w:tc>
          <w:tcPr>
            <w:tcW w:w="2981"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362ED334" w14:textId="77777777" w:rsidR="002F3BF7" w:rsidRPr="00EF131C" w:rsidRDefault="002F3BF7" w:rsidP="00EF131C">
            <w:pPr>
              <w:spacing w:before="50" w:after="50"/>
              <w:rPr>
                <w:rFonts w:cs="Arial"/>
                <w:color w:val="58595A"/>
                <w:sz w:val="18"/>
                <w:szCs w:val="18"/>
              </w:rPr>
            </w:pPr>
            <w:r w:rsidRPr="00EF131C">
              <w:rPr>
                <w:rFonts w:cs="Arial"/>
                <w:color w:val="58595A"/>
                <w:sz w:val="18"/>
                <w:szCs w:val="18"/>
              </w:rPr>
              <w:t>Major diagnostic category (MDC)</w:t>
            </w: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D694E5A"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0BEFB215"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058F8BE0"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6EF5C559"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65A0D147"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65898B00"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8A662A7"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522390D6"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3978385C"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5416FA5C"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108F8C91"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hideMark/>
          </w:tcPr>
          <w:p w14:paraId="6E1054CA"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r>
      <w:tr w:rsidR="002F3BF7" w:rsidRPr="0065414C" w14:paraId="64AEAD27" w14:textId="77777777" w:rsidTr="00EF131C">
        <w:tc>
          <w:tcPr>
            <w:tcW w:w="2981"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08854CF9" w14:textId="77777777" w:rsidR="002F3BF7" w:rsidRPr="00EF131C" w:rsidRDefault="002F3BF7" w:rsidP="00EF131C">
            <w:pPr>
              <w:spacing w:before="50" w:after="50"/>
              <w:rPr>
                <w:rFonts w:cs="Arial"/>
                <w:color w:val="58595A"/>
                <w:sz w:val="18"/>
                <w:szCs w:val="18"/>
              </w:rPr>
            </w:pPr>
            <w:r w:rsidRPr="00EF131C">
              <w:rPr>
                <w:rFonts w:cs="Arial"/>
                <w:color w:val="58595A"/>
                <w:sz w:val="18"/>
                <w:szCs w:val="18"/>
              </w:rPr>
              <w:t>Emergency admission flag</w:t>
            </w: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CE6A327"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370DFFF0"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2F205BE7"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7726BDD"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4BA0A093"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C3D1672" w14:textId="77777777" w:rsidR="002F3BF7" w:rsidRPr="00EF131C" w:rsidRDefault="002F3BF7" w:rsidP="00EF131C">
            <w:pPr>
              <w:spacing w:before="50" w:after="50"/>
              <w:jc w:val="center"/>
              <w:rPr>
                <w:rFonts w:cs="Arial"/>
                <w:color w:val="58595A"/>
                <w:sz w:val="18"/>
                <w:szCs w:val="18"/>
              </w:rPr>
            </w:pP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E92F498"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66BE5BAF"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2FD03B24"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6279A380"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6F825404"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hideMark/>
          </w:tcPr>
          <w:p w14:paraId="75DE1A95"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r>
      <w:tr w:rsidR="002F3BF7" w:rsidRPr="0065414C" w14:paraId="4DFFC846" w14:textId="77777777" w:rsidTr="00EF131C">
        <w:tc>
          <w:tcPr>
            <w:tcW w:w="2981"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1C35A815" w14:textId="77777777" w:rsidR="002F3BF7" w:rsidRPr="00EF131C" w:rsidRDefault="002F3BF7" w:rsidP="00EF131C">
            <w:pPr>
              <w:spacing w:before="50" w:after="50"/>
              <w:rPr>
                <w:rFonts w:cs="Arial"/>
                <w:color w:val="58595A"/>
                <w:sz w:val="18"/>
                <w:szCs w:val="18"/>
              </w:rPr>
            </w:pPr>
            <w:r w:rsidRPr="00EF131C">
              <w:rPr>
                <w:rFonts w:cs="Arial"/>
                <w:color w:val="58595A"/>
                <w:sz w:val="18"/>
                <w:szCs w:val="18"/>
              </w:rPr>
              <w:t>Diagnosis-related group (DRG) type</w:t>
            </w: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17DEB38"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66B5A905"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62221150"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4FFF0480"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55C858F"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97C775F" w14:textId="77777777" w:rsidR="002F3BF7" w:rsidRPr="00EF131C" w:rsidRDefault="002F3BF7" w:rsidP="00EF131C">
            <w:pPr>
              <w:spacing w:before="50" w:after="50"/>
              <w:jc w:val="center"/>
              <w:rPr>
                <w:rFonts w:cs="Arial"/>
                <w:color w:val="58595A"/>
                <w:sz w:val="18"/>
                <w:szCs w:val="18"/>
              </w:rPr>
            </w:pP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6FC48BC"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577F2A3D"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44844D1D"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228F1B0B"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670D2FBD"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7FED4F15" w14:textId="77777777" w:rsidR="002F3BF7" w:rsidRPr="00EF131C" w:rsidRDefault="002F3BF7" w:rsidP="00EF131C">
            <w:pPr>
              <w:spacing w:before="50" w:after="50"/>
              <w:jc w:val="center"/>
              <w:rPr>
                <w:rFonts w:cs="Arial"/>
                <w:color w:val="58595A"/>
                <w:sz w:val="18"/>
                <w:szCs w:val="18"/>
              </w:rPr>
            </w:pPr>
          </w:p>
        </w:tc>
      </w:tr>
      <w:tr w:rsidR="002F3BF7" w:rsidRPr="0065414C" w14:paraId="615BA5C7" w14:textId="77777777" w:rsidTr="00EF131C">
        <w:tc>
          <w:tcPr>
            <w:tcW w:w="2981"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68B2F1C8" w14:textId="77777777" w:rsidR="002F3BF7" w:rsidRPr="00EF131C" w:rsidRDefault="002F3BF7" w:rsidP="00EF131C">
            <w:pPr>
              <w:spacing w:before="50" w:after="50"/>
              <w:rPr>
                <w:rFonts w:cs="Arial"/>
                <w:color w:val="58595A"/>
                <w:sz w:val="18"/>
                <w:szCs w:val="18"/>
              </w:rPr>
            </w:pPr>
            <w:r w:rsidRPr="00EF131C">
              <w:rPr>
                <w:rFonts w:cs="Arial"/>
                <w:color w:val="58595A"/>
                <w:sz w:val="18"/>
                <w:szCs w:val="18"/>
              </w:rPr>
              <w:t>Gender</w:t>
            </w: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3F26305"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4CD76BA"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950BB74"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79340A9C"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5C87E8B9"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4F7EA54" w14:textId="77777777" w:rsidR="002F3BF7" w:rsidRPr="00EF131C" w:rsidRDefault="002F3BF7" w:rsidP="00EF131C">
            <w:pPr>
              <w:spacing w:before="50" w:after="50"/>
              <w:jc w:val="center"/>
              <w:rPr>
                <w:rFonts w:cs="Arial"/>
                <w:color w:val="58595A"/>
                <w:sz w:val="18"/>
                <w:szCs w:val="18"/>
              </w:rPr>
            </w:pP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15E592A7"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337C6FE"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DD9CC33"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77B96C6"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7B53E006"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hideMark/>
          </w:tcPr>
          <w:p w14:paraId="5BC64BED"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r>
      <w:tr w:rsidR="002F3BF7" w:rsidRPr="0065414C" w14:paraId="38100FD2" w14:textId="77777777" w:rsidTr="00EF131C">
        <w:tc>
          <w:tcPr>
            <w:tcW w:w="2981"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13F3A59A" w14:textId="77777777" w:rsidR="002F3BF7" w:rsidRPr="00EF131C" w:rsidRDefault="002F3BF7" w:rsidP="00EF131C">
            <w:pPr>
              <w:spacing w:before="50" w:after="50"/>
              <w:rPr>
                <w:rFonts w:cs="Arial"/>
                <w:color w:val="58595A"/>
                <w:sz w:val="18"/>
                <w:szCs w:val="18"/>
              </w:rPr>
            </w:pPr>
            <w:r w:rsidRPr="00EF131C">
              <w:rPr>
                <w:rFonts w:cs="Arial"/>
                <w:color w:val="58595A"/>
                <w:sz w:val="18"/>
                <w:szCs w:val="18"/>
              </w:rPr>
              <w:t>Transfer status</w:t>
            </w: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524C46A"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E8FC436"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C67442E"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0AF563A"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18BCDC8"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B623BEA" w14:textId="77777777" w:rsidR="002F3BF7" w:rsidRPr="00EF131C" w:rsidRDefault="002F3BF7" w:rsidP="00EF131C">
            <w:pPr>
              <w:spacing w:before="50" w:after="50"/>
              <w:jc w:val="center"/>
              <w:rPr>
                <w:rFonts w:cs="Arial"/>
                <w:color w:val="58595A"/>
                <w:sz w:val="18"/>
                <w:szCs w:val="18"/>
              </w:rPr>
            </w:pP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2A133B5"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D498D56"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9BFC2E7"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CA50DA2"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308C10A"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11E27786" w14:textId="77777777" w:rsidR="002F3BF7" w:rsidRPr="00EF131C" w:rsidRDefault="002F3BF7" w:rsidP="00EF131C">
            <w:pPr>
              <w:spacing w:before="50" w:after="50"/>
              <w:jc w:val="center"/>
              <w:rPr>
                <w:rFonts w:cs="Arial"/>
                <w:color w:val="58595A"/>
                <w:sz w:val="18"/>
                <w:szCs w:val="18"/>
              </w:rPr>
            </w:pPr>
          </w:p>
        </w:tc>
      </w:tr>
      <w:tr w:rsidR="002F3BF7" w:rsidRPr="0065414C" w14:paraId="4B98B266" w14:textId="77777777" w:rsidTr="00EF131C">
        <w:tc>
          <w:tcPr>
            <w:tcW w:w="2981"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5B3BB158" w14:textId="77777777" w:rsidR="002F3BF7" w:rsidRPr="00EF131C" w:rsidRDefault="002F3BF7" w:rsidP="00EF131C">
            <w:pPr>
              <w:spacing w:before="50" w:after="50"/>
              <w:rPr>
                <w:rFonts w:cs="Arial"/>
                <w:color w:val="58595A"/>
                <w:sz w:val="18"/>
                <w:szCs w:val="18"/>
              </w:rPr>
            </w:pPr>
            <w:r w:rsidRPr="00EF131C">
              <w:rPr>
                <w:rFonts w:cs="Arial"/>
                <w:color w:val="58595A"/>
                <w:sz w:val="18"/>
                <w:szCs w:val="18"/>
              </w:rPr>
              <w:t>Patient remoteness</w:t>
            </w: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1C0F76CE"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184D7DA7"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FDA27B6"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F326C3A"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6C6EB154"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6D95CF8F"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27489E75"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7F3AB92"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A09DB4D"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72EFBF3"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60849774"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hideMark/>
          </w:tcPr>
          <w:p w14:paraId="59B338D9"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r>
      <w:tr w:rsidR="002F3BF7" w:rsidRPr="0065414C" w14:paraId="28EC1C33" w14:textId="77777777" w:rsidTr="00EF131C">
        <w:tc>
          <w:tcPr>
            <w:tcW w:w="2981"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3C00DD87" w14:textId="77777777" w:rsidR="002F3BF7" w:rsidRPr="00EF131C" w:rsidRDefault="002F3BF7" w:rsidP="00EF131C">
            <w:pPr>
              <w:spacing w:before="50" w:after="50"/>
              <w:rPr>
                <w:rFonts w:cs="Arial"/>
                <w:color w:val="58595A"/>
                <w:sz w:val="18"/>
                <w:szCs w:val="18"/>
              </w:rPr>
            </w:pPr>
            <w:r w:rsidRPr="00EF131C">
              <w:rPr>
                <w:rFonts w:cs="Arial"/>
                <w:color w:val="58595A"/>
                <w:sz w:val="18"/>
                <w:szCs w:val="18"/>
              </w:rPr>
              <w:t>Indigenous status</w:t>
            </w: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83F6228"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02A55168"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B30B117"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6067C93"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1E5ED3E"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CCB3532" w14:textId="77777777" w:rsidR="002F3BF7" w:rsidRPr="00EF131C" w:rsidRDefault="002F3BF7" w:rsidP="00EF131C">
            <w:pPr>
              <w:spacing w:before="50" w:after="50"/>
              <w:jc w:val="center"/>
              <w:rPr>
                <w:rFonts w:cs="Arial"/>
                <w:color w:val="58595A"/>
                <w:sz w:val="18"/>
                <w:szCs w:val="18"/>
              </w:rPr>
            </w:pP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AC4988D"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631D4DCF"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63EF050"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7961F67"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53F9374"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7308853B" w14:textId="77777777" w:rsidR="002F3BF7" w:rsidRPr="00EF131C" w:rsidRDefault="002F3BF7" w:rsidP="00EF131C">
            <w:pPr>
              <w:spacing w:before="50" w:after="50"/>
              <w:jc w:val="center"/>
              <w:rPr>
                <w:rFonts w:cs="Arial"/>
                <w:color w:val="58595A"/>
                <w:sz w:val="18"/>
                <w:szCs w:val="18"/>
              </w:rPr>
            </w:pPr>
          </w:p>
        </w:tc>
      </w:tr>
      <w:tr w:rsidR="002F3BF7" w:rsidRPr="0065414C" w14:paraId="348E3906" w14:textId="77777777" w:rsidTr="00EF131C">
        <w:tc>
          <w:tcPr>
            <w:tcW w:w="2981"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05029C6F" w14:textId="77777777" w:rsidR="002F3BF7" w:rsidRPr="00EF131C" w:rsidRDefault="002F3BF7" w:rsidP="00EF131C">
            <w:pPr>
              <w:spacing w:before="50" w:after="50"/>
              <w:rPr>
                <w:rFonts w:cs="Arial"/>
                <w:color w:val="58595A"/>
                <w:sz w:val="18"/>
                <w:szCs w:val="18"/>
              </w:rPr>
            </w:pPr>
            <w:r w:rsidRPr="00EF131C">
              <w:rPr>
                <w:rFonts w:cs="Arial"/>
                <w:color w:val="58595A"/>
                <w:sz w:val="18"/>
                <w:szCs w:val="18"/>
              </w:rPr>
              <w:t>Obesity</w:t>
            </w: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03801E0"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FACC705"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25BB9B8"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43F0BCCF"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05881982"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1474E91" w14:textId="77777777" w:rsidR="002F3BF7" w:rsidRPr="00EF131C" w:rsidRDefault="002F3BF7" w:rsidP="00EF131C">
            <w:pPr>
              <w:spacing w:before="50" w:after="50"/>
              <w:jc w:val="center"/>
              <w:rPr>
                <w:rFonts w:cs="Arial"/>
                <w:color w:val="58595A"/>
                <w:sz w:val="18"/>
                <w:szCs w:val="18"/>
              </w:rPr>
            </w:pP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79DEF50"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0F29359"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50B9B85"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959FD28"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C51B815"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560FBB38" w14:textId="77777777" w:rsidR="002F3BF7" w:rsidRPr="00EF131C" w:rsidRDefault="002F3BF7" w:rsidP="00EF131C">
            <w:pPr>
              <w:spacing w:before="50" w:after="50"/>
              <w:jc w:val="center"/>
              <w:rPr>
                <w:rFonts w:cs="Arial"/>
                <w:color w:val="58595A"/>
                <w:sz w:val="18"/>
                <w:szCs w:val="18"/>
              </w:rPr>
            </w:pPr>
          </w:p>
        </w:tc>
      </w:tr>
      <w:tr w:rsidR="002F3BF7" w:rsidRPr="0065414C" w14:paraId="58EC4517" w14:textId="77777777" w:rsidTr="00EF131C">
        <w:tc>
          <w:tcPr>
            <w:tcW w:w="2981"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4F2E6150" w14:textId="77777777" w:rsidR="002F3BF7" w:rsidRPr="00EF131C" w:rsidRDefault="002F3BF7" w:rsidP="00EF131C">
            <w:pPr>
              <w:spacing w:before="50" w:after="50"/>
              <w:rPr>
                <w:rFonts w:cs="Arial"/>
                <w:color w:val="58595A"/>
                <w:sz w:val="18"/>
                <w:szCs w:val="18"/>
              </w:rPr>
            </w:pPr>
            <w:r w:rsidRPr="00EF131C">
              <w:rPr>
                <w:rFonts w:cs="Arial"/>
                <w:color w:val="58595A"/>
                <w:sz w:val="18"/>
                <w:szCs w:val="18"/>
              </w:rPr>
              <w:t>Hospital Acquired Complication flag</w:t>
            </w: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1581480"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B17558E"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93A075E"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423998CF"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6A81A30"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A0166DF" w14:textId="77777777" w:rsidR="002F3BF7" w:rsidRPr="00EF131C" w:rsidRDefault="002F3BF7" w:rsidP="00EF131C">
            <w:pPr>
              <w:spacing w:before="50" w:after="50"/>
              <w:jc w:val="center"/>
              <w:rPr>
                <w:rFonts w:cs="Arial"/>
                <w:color w:val="58595A"/>
                <w:sz w:val="18"/>
                <w:szCs w:val="18"/>
              </w:rPr>
            </w:pP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2D46522"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3938A750"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D77795C"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B779B54"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68EEEB6"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24688613" w14:textId="77777777" w:rsidR="002F3BF7" w:rsidRPr="00EF131C" w:rsidRDefault="002F3BF7" w:rsidP="00EF131C">
            <w:pPr>
              <w:spacing w:before="50" w:after="50"/>
              <w:jc w:val="center"/>
              <w:rPr>
                <w:rFonts w:cs="Arial"/>
                <w:color w:val="58595A"/>
                <w:sz w:val="18"/>
                <w:szCs w:val="18"/>
              </w:rPr>
            </w:pPr>
          </w:p>
        </w:tc>
      </w:tr>
      <w:tr w:rsidR="002F3BF7" w:rsidRPr="0065414C" w14:paraId="6B78FC91" w14:textId="77777777" w:rsidTr="00EF131C">
        <w:tc>
          <w:tcPr>
            <w:tcW w:w="2981"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7B237A6A" w14:textId="77777777" w:rsidR="002F3BF7" w:rsidRPr="00EF131C" w:rsidRDefault="002F3BF7" w:rsidP="00EF131C">
            <w:pPr>
              <w:spacing w:before="50" w:after="50"/>
              <w:rPr>
                <w:rFonts w:cs="Arial"/>
                <w:color w:val="58595A"/>
                <w:sz w:val="18"/>
                <w:szCs w:val="18"/>
              </w:rPr>
            </w:pPr>
            <w:r w:rsidRPr="00EF131C">
              <w:rPr>
                <w:rFonts w:cs="Arial"/>
                <w:color w:val="58595A"/>
                <w:sz w:val="18"/>
                <w:szCs w:val="18"/>
              </w:rPr>
              <w:t>ICU hours flag</w:t>
            </w: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B1C2667"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1F9F47E"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D254CA9"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AFA9C6D"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B4FE1CF"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2967E5E" w14:textId="77777777" w:rsidR="002F3BF7" w:rsidRPr="00EF131C" w:rsidRDefault="002F3BF7" w:rsidP="00EF131C">
            <w:pPr>
              <w:spacing w:before="50" w:after="50"/>
              <w:jc w:val="center"/>
              <w:rPr>
                <w:rFonts w:cs="Arial"/>
                <w:color w:val="58595A"/>
                <w:sz w:val="18"/>
                <w:szCs w:val="18"/>
              </w:rPr>
            </w:pP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27AB084"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47D2A606"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738077F"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B8492BD"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7FE4362"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206C07EE" w14:textId="77777777" w:rsidR="002F3BF7" w:rsidRPr="00EF131C" w:rsidRDefault="002F3BF7" w:rsidP="00EF131C">
            <w:pPr>
              <w:spacing w:before="50" w:after="50"/>
              <w:jc w:val="center"/>
              <w:rPr>
                <w:rFonts w:cs="Arial"/>
                <w:color w:val="58595A"/>
                <w:sz w:val="18"/>
                <w:szCs w:val="18"/>
              </w:rPr>
            </w:pPr>
          </w:p>
        </w:tc>
      </w:tr>
      <w:tr w:rsidR="002F3BF7" w:rsidRPr="0065414C" w14:paraId="7078E955" w14:textId="77777777" w:rsidTr="00EF131C">
        <w:tc>
          <w:tcPr>
            <w:tcW w:w="2981"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1B7E2EFB" w14:textId="77777777" w:rsidR="002F3BF7" w:rsidRPr="00EF131C" w:rsidRDefault="002F3BF7" w:rsidP="00EF131C">
            <w:pPr>
              <w:spacing w:before="50" w:after="50"/>
              <w:rPr>
                <w:rFonts w:cs="Arial"/>
                <w:color w:val="58595A"/>
                <w:sz w:val="18"/>
                <w:szCs w:val="18"/>
              </w:rPr>
            </w:pPr>
            <w:r w:rsidRPr="00EF131C">
              <w:rPr>
                <w:rFonts w:cs="Arial"/>
                <w:color w:val="58595A"/>
                <w:sz w:val="18"/>
                <w:szCs w:val="18"/>
              </w:rPr>
              <w:t>Malnutrition</w:t>
            </w: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2DD00AA"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36F5D6B"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25F754F"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032454AF"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3D17027"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4C852F3" w14:textId="77777777" w:rsidR="002F3BF7" w:rsidRPr="00EF131C" w:rsidRDefault="002F3BF7" w:rsidP="00EF131C">
            <w:pPr>
              <w:spacing w:before="50" w:after="50"/>
              <w:jc w:val="center"/>
              <w:rPr>
                <w:rFonts w:cs="Arial"/>
                <w:color w:val="58595A"/>
                <w:sz w:val="18"/>
                <w:szCs w:val="18"/>
              </w:rPr>
            </w:pP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4230966"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F2C4EB8"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1D4B950"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8D6356A"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CCBE705"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556A778B" w14:textId="77777777" w:rsidR="002F3BF7" w:rsidRPr="00EF131C" w:rsidRDefault="002F3BF7" w:rsidP="00EF131C">
            <w:pPr>
              <w:spacing w:before="50" w:after="50"/>
              <w:jc w:val="center"/>
              <w:rPr>
                <w:rFonts w:cs="Arial"/>
                <w:color w:val="58595A"/>
                <w:sz w:val="18"/>
                <w:szCs w:val="18"/>
              </w:rPr>
            </w:pPr>
          </w:p>
        </w:tc>
      </w:tr>
      <w:tr w:rsidR="002F3BF7" w:rsidRPr="0065414C" w14:paraId="30C2C5C9" w14:textId="77777777" w:rsidTr="00EF131C">
        <w:tc>
          <w:tcPr>
            <w:tcW w:w="2981"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699C59E9" w14:textId="77777777" w:rsidR="002F3BF7" w:rsidRPr="00EF131C" w:rsidRDefault="002F3BF7" w:rsidP="00EF131C">
            <w:pPr>
              <w:spacing w:before="50" w:after="50"/>
              <w:rPr>
                <w:rFonts w:cs="Arial"/>
                <w:color w:val="58595A"/>
                <w:sz w:val="18"/>
                <w:szCs w:val="18"/>
              </w:rPr>
            </w:pPr>
            <w:r w:rsidRPr="00EF131C">
              <w:rPr>
                <w:rFonts w:cs="Arial"/>
                <w:color w:val="58595A"/>
                <w:sz w:val="18"/>
                <w:szCs w:val="18"/>
              </w:rPr>
              <w:t>Short stay outlier flag</w:t>
            </w: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E323F8C"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58BCBA05"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B393BB0"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DB3C207"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34276062"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5A96145" w14:textId="77777777" w:rsidR="002F3BF7" w:rsidRPr="00EF131C" w:rsidRDefault="002F3BF7" w:rsidP="00EF131C">
            <w:pPr>
              <w:spacing w:before="50" w:after="50"/>
              <w:jc w:val="center"/>
              <w:rPr>
                <w:rFonts w:cs="Arial"/>
                <w:color w:val="58595A"/>
                <w:sz w:val="18"/>
                <w:szCs w:val="18"/>
              </w:rPr>
            </w:pP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E0593D2"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704AD84"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79816CB4"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53427BA"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CE511F7"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2AEF1343" w14:textId="77777777" w:rsidR="002F3BF7" w:rsidRPr="00EF131C" w:rsidRDefault="002F3BF7" w:rsidP="00EF131C">
            <w:pPr>
              <w:spacing w:before="50" w:after="50"/>
              <w:jc w:val="center"/>
              <w:rPr>
                <w:rFonts w:cs="Arial"/>
                <w:color w:val="58595A"/>
                <w:sz w:val="18"/>
                <w:szCs w:val="18"/>
              </w:rPr>
            </w:pPr>
          </w:p>
        </w:tc>
      </w:tr>
      <w:tr w:rsidR="002F3BF7" w:rsidRPr="0065414C" w14:paraId="3C18B9F3" w14:textId="77777777" w:rsidTr="00EF131C">
        <w:tc>
          <w:tcPr>
            <w:tcW w:w="2981"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3B2A7EB2" w14:textId="77777777" w:rsidR="002F3BF7" w:rsidRPr="00EF131C" w:rsidRDefault="002F3BF7" w:rsidP="00EF131C">
            <w:pPr>
              <w:spacing w:before="50" w:after="50"/>
              <w:rPr>
                <w:rFonts w:cs="Arial"/>
                <w:color w:val="58595A"/>
                <w:sz w:val="18"/>
                <w:szCs w:val="18"/>
              </w:rPr>
            </w:pPr>
            <w:r w:rsidRPr="00EF131C">
              <w:rPr>
                <w:rFonts w:cs="Arial"/>
                <w:color w:val="58595A"/>
                <w:sz w:val="18"/>
                <w:szCs w:val="18"/>
              </w:rPr>
              <w:t>Number of procedures in the index episode</w:t>
            </w: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84B41DC"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2A2A94E7"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3E9F1EAF"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9690553"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4CFE349E"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F3567CA" w14:textId="77777777" w:rsidR="002F3BF7" w:rsidRPr="00EF131C" w:rsidRDefault="002F3BF7" w:rsidP="00EF131C">
            <w:pPr>
              <w:spacing w:before="50" w:after="50"/>
              <w:jc w:val="center"/>
              <w:rPr>
                <w:rFonts w:cs="Arial"/>
                <w:color w:val="58595A"/>
                <w:sz w:val="18"/>
                <w:szCs w:val="18"/>
              </w:rPr>
            </w:pP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EDB9AC8"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9CDC1CC"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5909277"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64FB386"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4AA702C8"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04228A1A" w14:textId="77777777" w:rsidR="002F3BF7" w:rsidRPr="00EF131C" w:rsidRDefault="002F3BF7" w:rsidP="00EF131C">
            <w:pPr>
              <w:spacing w:before="50" w:after="50"/>
              <w:jc w:val="center"/>
              <w:rPr>
                <w:rFonts w:cs="Arial"/>
                <w:color w:val="58595A"/>
                <w:sz w:val="18"/>
                <w:szCs w:val="18"/>
              </w:rPr>
            </w:pPr>
          </w:p>
        </w:tc>
      </w:tr>
      <w:tr w:rsidR="002F3BF7" w:rsidRPr="0065414C" w14:paraId="739260B7" w14:textId="77777777" w:rsidTr="00EF131C">
        <w:tc>
          <w:tcPr>
            <w:tcW w:w="2981"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1BA26317" w14:textId="77777777" w:rsidR="002F3BF7" w:rsidRPr="00EF131C" w:rsidRDefault="002F3BF7" w:rsidP="00EF131C">
            <w:pPr>
              <w:spacing w:before="50" w:after="50"/>
              <w:rPr>
                <w:rFonts w:cs="Arial"/>
                <w:color w:val="58595A"/>
                <w:sz w:val="18"/>
                <w:szCs w:val="18"/>
              </w:rPr>
            </w:pPr>
            <w:r w:rsidRPr="00EF131C">
              <w:rPr>
                <w:rFonts w:cs="Arial"/>
                <w:color w:val="58595A"/>
                <w:sz w:val="18"/>
                <w:szCs w:val="18"/>
              </w:rPr>
              <w:t>Number of admissions in the past year</w:t>
            </w: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FC02B98"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4A552F93"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10EED93"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4BCEBB4"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EAB474A"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BDA8EC3" w14:textId="77777777" w:rsidR="002F3BF7" w:rsidRPr="00EF131C" w:rsidRDefault="002F3BF7" w:rsidP="00EF131C">
            <w:pPr>
              <w:spacing w:before="50" w:after="50"/>
              <w:jc w:val="center"/>
              <w:rPr>
                <w:rFonts w:cs="Arial"/>
                <w:color w:val="58595A"/>
                <w:sz w:val="18"/>
                <w:szCs w:val="18"/>
              </w:rPr>
            </w:pP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AA3C779"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82857BB"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EBA748E"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2163A56"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69C8CB68"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573050A3" w14:textId="77777777" w:rsidR="002F3BF7" w:rsidRPr="00EF131C" w:rsidRDefault="002F3BF7" w:rsidP="00EF131C">
            <w:pPr>
              <w:spacing w:before="50" w:after="50"/>
              <w:jc w:val="center"/>
              <w:rPr>
                <w:rFonts w:cs="Arial"/>
                <w:color w:val="58595A"/>
                <w:sz w:val="18"/>
                <w:szCs w:val="18"/>
              </w:rPr>
            </w:pPr>
          </w:p>
        </w:tc>
      </w:tr>
      <w:tr w:rsidR="002F3BF7" w:rsidRPr="0065414C" w14:paraId="61DCB80E" w14:textId="77777777" w:rsidTr="00EF131C">
        <w:tc>
          <w:tcPr>
            <w:tcW w:w="2981"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51955513" w14:textId="77777777" w:rsidR="002F3BF7" w:rsidRPr="00EF131C" w:rsidRDefault="002F3BF7" w:rsidP="00EF131C">
            <w:pPr>
              <w:spacing w:before="50" w:after="50"/>
              <w:rPr>
                <w:rFonts w:cs="Arial"/>
                <w:b/>
                <w:color w:val="58595A"/>
                <w:sz w:val="18"/>
                <w:szCs w:val="18"/>
              </w:rPr>
            </w:pPr>
            <w:proofErr w:type="spellStart"/>
            <w:r w:rsidRPr="00EF131C">
              <w:rPr>
                <w:rFonts w:cs="Arial"/>
                <w:b/>
                <w:color w:val="58595A"/>
                <w:sz w:val="18"/>
                <w:szCs w:val="18"/>
              </w:rPr>
              <w:t>Charlson</w:t>
            </w:r>
            <w:proofErr w:type="spellEnd"/>
            <w:r w:rsidRPr="00EF131C">
              <w:rPr>
                <w:rFonts w:cs="Arial"/>
                <w:b/>
                <w:color w:val="58595A"/>
                <w:sz w:val="18"/>
                <w:szCs w:val="18"/>
              </w:rPr>
              <w:t xml:space="preserve"> comorbidity flags:</w:t>
            </w: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8ED98D6"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E0D28E6"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9E6F39E"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C1CDC2D"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A3773C7"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C61736E" w14:textId="77777777" w:rsidR="002F3BF7" w:rsidRPr="00EF131C" w:rsidRDefault="002F3BF7" w:rsidP="00EF131C">
            <w:pPr>
              <w:spacing w:before="50" w:after="50"/>
              <w:jc w:val="center"/>
              <w:rPr>
                <w:rFonts w:cs="Arial"/>
                <w:color w:val="58595A"/>
                <w:sz w:val="18"/>
                <w:szCs w:val="18"/>
              </w:rPr>
            </w:pP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1963081"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9CFB423"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03E4C14"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0F958EE"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8D58F1C"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23DFF592" w14:textId="77777777" w:rsidR="002F3BF7" w:rsidRPr="00EF131C" w:rsidRDefault="002F3BF7" w:rsidP="00EF131C">
            <w:pPr>
              <w:spacing w:before="50" w:after="50"/>
              <w:jc w:val="center"/>
              <w:rPr>
                <w:rFonts w:cs="Arial"/>
                <w:color w:val="58595A"/>
                <w:sz w:val="18"/>
                <w:szCs w:val="18"/>
              </w:rPr>
            </w:pPr>
          </w:p>
        </w:tc>
      </w:tr>
      <w:tr w:rsidR="002F3BF7" w:rsidRPr="0065414C" w14:paraId="10D582CC" w14:textId="77777777" w:rsidTr="00EF131C">
        <w:tc>
          <w:tcPr>
            <w:tcW w:w="2981"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6B8DDF01" w14:textId="77777777" w:rsidR="002F3BF7" w:rsidRPr="00EF131C" w:rsidRDefault="002F3BF7" w:rsidP="00EF131C">
            <w:pPr>
              <w:spacing w:before="50" w:after="50"/>
              <w:ind w:left="315"/>
              <w:rPr>
                <w:rFonts w:cs="Arial"/>
                <w:color w:val="58595A"/>
                <w:sz w:val="18"/>
                <w:szCs w:val="18"/>
              </w:rPr>
            </w:pPr>
            <w:r w:rsidRPr="00EF131C">
              <w:rPr>
                <w:rFonts w:cs="Arial"/>
                <w:color w:val="58595A"/>
                <w:sz w:val="18"/>
                <w:szCs w:val="18"/>
              </w:rPr>
              <w:t>Acute myocardial infarction</w:t>
            </w: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CB1151C"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083B4CD"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7BC1051"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4CAA002"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C69497C"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E35154D" w14:textId="77777777" w:rsidR="002F3BF7" w:rsidRPr="00EF131C" w:rsidRDefault="002F3BF7" w:rsidP="00EF131C">
            <w:pPr>
              <w:spacing w:before="50" w:after="50"/>
              <w:jc w:val="center"/>
              <w:rPr>
                <w:rFonts w:cs="Arial"/>
                <w:color w:val="58595A"/>
                <w:sz w:val="18"/>
                <w:szCs w:val="18"/>
              </w:rPr>
            </w:pP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57F2389"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982FC48"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1155B3B"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1B59B0B1"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ADC2A00"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4B442894" w14:textId="77777777" w:rsidR="002F3BF7" w:rsidRPr="00EF131C" w:rsidRDefault="002F3BF7" w:rsidP="00EF131C">
            <w:pPr>
              <w:spacing w:before="50" w:after="50"/>
              <w:jc w:val="center"/>
              <w:rPr>
                <w:rFonts w:cs="Arial"/>
                <w:color w:val="58595A"/>
                <w:sz w:val="18"/>
                <w:szCs w:val="18"/>
              </w:rPr>
            </w:pPr>
          </w:p>
        </w:tc>
      </w:tr>
      <w:tr w:rsidR="002F3BF7" w:rsidRPr="0065414C" w14:paraId="3A5C1754" w14:textId="77777777" w:rsidTr="00EF131C">
        <w:tc>
          <w:tcPr>
            <w:tcW w:w="2981"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6A077518" w14:textId="77777777" w:rsidR="002F3BF7" w:rsidRPr="00EF131C" w:rsidRDefault="002F3BF7" w:rsidP="00EF131C">
            <w:pPr>
              <w:spacing w:before="50" w:after="50"/>
              <w:ind w:left="315"/>
              <w:rPr>
                <w:rFonts w:cs="Arial"/>
                <w:color w:val="58595A"/>
                <w:sz w:val="18"/>
                <w:szCs w:val="18"/>
              </w:rPr>
            </w:pPr>
            <w:r w:rsidRPr="00EF131C">
              <w:rPr>
                <w:rFonts w:cs="Arial"/>
                <w:color w:val="58595A"/>
                <w:sz w:val="18"/>
                <w:szCs w:val="18"/>
              </w:rPr>
              <w:t>Cerebral vascular accident</w:t>
            </w: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B240145"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F518EF4"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6E60D25"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2930A7F"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E06A3F8"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FCD4846" w14:textId="77777777" w:rsidR="002F3BF7" w:rsidRPr="00EF131C" w:rsidRDefault="002F3BF7" w:rsidP="00EF131C">
            <w:pPr>
              <w:spacing w:before="50" w:after="50"/>
              <w:jc w:val="center"/>
              <w:rPr>
                <w:rFonts w:cs="Arial"/>
                <w:color w:val="58595A"/>
                <w:sz w:val="18"/>
                <w:szCs w:val="18"/>
              </w:rPr>
            </w:pP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15A5D7A"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2C0E611"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5D46DE5C"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2CD5481"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A2F8D9E"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2D589515" w14:textId="77777777" w:rsidR="002F3BF7" w:rsidRPr="00EF131C" w:rsidRDefault="002F3BF7" w:rsidP="00EF131C">
            <w:pPr>
              <w:spacing w:before="50" w:after="50"/>
              <w:jc w:val="center"/>
              <w:rPr>
                <w:rFonts w:cs="Arial"/>
                <w:color w:val="58595A"/>
                <w:sz w:val="18"/>
                <w:szCs w:val="18"/>
              </w:rPr>
            </w:pPr>
          </w:p>
        </w:tc>
      </w:tr>
      <w:tr w:rsidR="002F3BF7" w:rsidRPr="0065414C" w14:paraId="40D90D5C" w14:textId="77777777" w:rsidTr="00EF131C">
        <w:tc>
          <w:tcPr>
            <w:tcW w:w="2981"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79F7BD0A" w14:textId="77777777" w:rsidR="002F3BF7" w:rsidRPr="00EF131C" w:rsidRDefault="002F3BF7" w:rsidP="00EF131C">
            <w:pPr>
              <w:spacing w:before="50" w:after="50"/>
              <w:ind w:left="315"/>
              <w:rPr>
                <w:rFonts w:cs="Arial"/>
                <w:color w:val="58595A"/>
                <w:sz w:val="18"/>
                <w:szCs w:val="18"/>
              </w:rPr>
            </w:pPr>
            <w:r w:rsidRPr="00EF131C">
              <w:rPr>
                <w:rFonts w:cs="Arial"/>
                <w:color w:val="58595A"/>
                <w:sz w:val="18"/>
                <w:szCs w:val="18"/>
              </w:rPr>
              <w:t>Congestive heart failure</w:t>
            </w: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01C2C6F"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3E16548"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8F75585"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398AB68"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2F47154"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6AC4E00" w14:textId="77777777" w:rsidR="002F3BF7" w:rsidRPr="00EF131C" w:rsidRDefault="002F3BF7" w:rsidP="00EF131C">
            <w:pPr>
              <w:spacing w:before="50" w:after="50"/>
              <w:jc w:val="center"/>
              <w:rPr>
                <w:rFonts w:cs="Arial"/>
                <w:color w:val="58595A"/>
                <w:sz w:val="18"/>
                <w:szCs w:val="18"/>
              </w:rPr>
            </w:pP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B392F77"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BDEBD6D"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B15C63A"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3D6291C9"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97FA975"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0194B464" w14:textId="77777777" w:rsidR="002F3BF7" w:rsidRPr="00EF131C" w:rsidRDefault="002F3BF7" w:rsidP="00EF131C">
            <w:pPr>
              <w:spacing w:before="50" w:after="50"/>
              <w:jc w:val="center"/>
              <w:rPr>
                <w:rFonts w:cs="Arial"/>
                <w:color w:val="58595A"/>
                <w:sz w:val="18"/>
                <w:szCs w:val="18"/>
              </w:rPr>
            </w:pPr>
          </w:p>
        </w:tc>
      </w:tr>
      <w:tr w:rsidR="002F3BF7" w:rsidRPr="0065414C" w14:paraId="481B5548" w14:textId="77777777" w:rsidTr="00EF131C">
        <w:tc>
          <w:tcPr>
            <w:tcW w:w="2981"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61E262A1" w14:textId="77777777" w:rsidR="002F3BF7" w:rsidRPr="00EF131C" w:rsidRDefault="002F3BF7" w:rsidP="00EF131C">
            <w:pPr>
              <w:spacing w:before="50" w:after="50"/>
              <w:ind w:left="315"/>
              <w:rPr>
                <w:rFonts w:cs="Arial"/>
                <w:color w:val="58595A"/>
                <w:sz w:val="18"/>
                <w:szCs w:val="18"/>
              </w:rPr>
            </w:pPr>
            <w:r w:rsidRPr="00EF131C">
              <w:rPr>
                <w:rFonts w:cs="Arial"/>
                <w:color w:val="58595A"/>
                <w:sz w:val="18"/>
                <w:szCs w:val="18"/>
              </w:rPr>
              <w:t>Dementia</w:t>
            </w: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4EEA87C"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2C26967"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7524B6A"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3B2407C9"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04B8188"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BB5449B" w14:textId="77777777" w:rsidR="002F3BF7" w:rsidRPr="00EF131C" w:rsidRDefault="002F3BF7" w:rsidP="00EF131C">
            <w:pPr>
              <w:spacing w:before="50" w:after="50"/>
              <w:jc w:val="center"/>
              <w:rPr>
                <w:rFonts w:cs="Arial"/>
                <w:color w:val="58595A"/>
                <w:sz w:val="18"/>
                <w:szCs w:val="18"/>
              </w:rPr>
            </w:pP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415AE13"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EC3D87C"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5A54CEC2"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28CCDC9"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EBF3B4F"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395334BF" w14:textId="77777777" w:rsidR="002F3BF7" w:rsidRPr="00EF131C" w:rsidRDefault="002F3BF7" w:rsidP="00EF131C">
            <w:pPr>
              <w:spacing w:before="50" w:after="50"/>
              <w:jc w:val="center"/>
              <w:rPr>
                <w:rFonts w:cs="Arial"/>
                <w:color w:val="58595A"/>
                <w:sz w:val="18"/>
                <w:szCs w:val="18"/>
              </w:rPr>
            </w:pPr>
          </w:p>
        </w:tc>
      </w:tr>
      <w:tr w:rsidR="002F3BF7" w:rsidRPr="0065414C" w14:paraId="3CDBBFC3" w14:textId="77777777" w:rsidTr="00EF131C">
        <w:tc>
          <w:tcPr>
            <w:tcW w:w="2981"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5BA39973" w14:textId="77777777" w:rsidR="002F3BF7" w:rsidRPr="00EF131C" w:rsidRDefault="002F3BF7" w:rsidP="00EF131C">
            <w:pPr>
              <w:spacing w:before="50" w:after="50"/>
              <w:ind w:left="315"/>
              <w:rPr>
                <w:rFonts w:cs="Arial"/>
                <w:color w:val="58595A"/>
                <w:sz w:val="18"/>
                <w:szCs w:val="18"/>
              </w:rPr>
            </w:pPr>
            <w:r w:rsidRPr="00EF131C">
              <w:rPr>
                <w:rFonts w:cs="Arial"/>
                <w:color w:val="58595A"/>
                <w:sz w:val="18"/>
                <w:szCs w:val="18"/>
              </w:rPr>
              <w:t>Diabetes</w:t>
            </w: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2E42B901"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50C0283D"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76D493EF"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543C279E"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22C8B28A"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08761F52" w14:textId="77777777" w:rsidR="002F3BF7" w:rsidRPr="00EF131C" w:rsidRDefault="002F3BF7" w:rsidP="00EF131C">
            <w:pPr>
              <w:spacing w:before="50" w:after="50"/>
              <w:jc w:val="center"/>
              <w:rPr>
                <w:rFonts w:cs="Arial"/>
                <w:color w:val="58595A"/>
                <w:sz w:val="18"/>
                <w:szCs w:val="18"/>
              </w:rPr>
            </w:pP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369C2F55"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0D09F9B"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E87BAF9"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81CCF1B"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44200F8"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332C12D8" w14:textId="77777777" w:rsidR="002F3BF7" w:rsidRPr="00EF131C" w:rsidRDefault="002F3BF7" w:rsidP="00EF131C">
            <w:pPr>
              <w:spacing w:before="50" w:after="50"/>
              <w:jc w:val="center"/>
              <w:rPr>
                <w:rFonts w:cs="Arial"/>
                <w:color w:val="58595A"/>
                <w:sz w:val="18"/>
                <w:szCs w:val="18"/>
              </w:rPr>
            </w:pPr>
          </w:p>
        </w:tc>
      </w:tr>
      <w:tr w:rsidR="002F3BF7" w:rsidRPr="0065414C" w14:paraId="0D089CA8" w14:textId="77777777" w:rsidTr="00EF131C">
        <w:tc>
          <w:tcPr>
            <w:tcW w:w="2981"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555866C4" w14:textId="77777777" w:rsidR="002F3BF7" w:rsidRPr="00EF131C" w:rsidRDefault="002F3BF7" w:rsidP="00EF131C">
            <w:pPr>
              <w:spacing w:before="50" w:after="50"/>
              <w:ind w:left="315"/>
              <w:rPr>
                <w:rFonts w:cs="Arial"/>
                <w:color w:val="58595A"/>
                <w:sz w:val="18"/>
                <w:szCs w:val="18"/>
              </w:rPr>
            </w:pPr>
            <w:r w:rsidRPr="00EF131C">
              <w:rPr>
                <w:rFonts w:cs="Arial"/>
                <w:color w:val="58595A"/>
                <w:sz w:val="18"/>
                <w:szCs w:val="18"/>
              </w:rPr>
              <w:t>Diabetes complications</w:t>
            </w: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3B6B5F9F"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1401840"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32EF1FA6"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1A9DF953"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3972ACB6"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F58877F"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02531AFC"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93EF529"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F5007E8"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0C4C09E1"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C23B1DC"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hideMark/>
          </w:tcPr>
          <w:p w14:paraId="606B3CCE"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r>
      <w:tr w:rsidR="002F3BF7" w:rsidRPr="0065414C" w14:paraId="21447547" w14:textId="77777777" w:rsidTr="00EF131C">
        <w:tc>
          <w:tcPr>
            <w:tcW w:w="2981"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1E6E8923" w14:textId="77777777" w:rsidR="002F3BF7" w:rsidRPr="00EF131C" w:rsidRDefault="002F3BF7" w:rsidP="00EF131C">
            <w:pPr>
              <w:spacing w:before="50" w:after="50"/>
              <w:ind w:left="315"/>
              <w:rPr>
                <w:rFonts w:cs="Arial"/>
                <w:color w:val="58595A"/>
                <w:sz w:val="18"/>
                <w:szCs w:val="18"/>
              </w:rPr>
            </w:pPr>
            <w:r w:rsidRPr="00EF131C">
              <w:rPr>
                <w:rFonts w:cs="Arial"/>
                <w:color w:val="58595A"/>
                <w:sz w:val="18"/>
                <w:szCs w:val="18"/>
              </w:rPr>
              <w:t>Peptic ulcer</w:t>
            </w: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118FCEB9"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54FA3BDD"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1ED77104"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4A17773A"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0145BE92"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BAC99FD" w14:textId="77777777" w:rsidR="002F3BF7" w:rsidRPr="00EF131C" w:rsidRDefault="002F3BF7" w:rsidP="00EF131C">
            <w:pPr>
              <w:spacing w:before="50" w:after="50"/>
              <w:jc w:val="center"/>
              <w:rPr>
                <w:rFonts w:cs="Arial"/>
                <w:color w:val="58595A"/>
                <w:sz w:val="18"/>
                <w:szCs w:val="18"/>
              </w:rPr>
            </w:pP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79C6C88"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26FC78E5"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EB6BAB7"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325C9F0"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BC0AC4A"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099E8441" w14:textId="77777777" w:rsidR="002F3BF7" w:rsidRPr="00EF131C" w:rsidRDefault="002F3BF7" w:rsidP="00EF131C">
            <w:pPr>
              <w:spacing w:before="50" w:after="50"/>
              <w:jc w:val="center"/>
              <w:rPr>
                <w:rFonts w:cs="Arial"/>
                <w:color w:val="58595A"/>
                <w:sz w:val="18"/>
                <w:szCs w:val="18"/>
              </w:rPr>
            </w:pPr>
          </w:p>
        </w:tc>
      </w:tr>
      <w:tr w:rsidR="002F3BF7" w:rsidRPr="0065414C" w14:paraId="5A9DD6C5" w14:textId="77777777" w:rsidTr="00EF131C">
        <w:tc>
          <w:tcPr>
            <w:tcW w:w="2981"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5A53D917" w14:textId="77777777" w:rsidR="002F3BF7" w:rsidRPr="00EF131C" w:rsidRDefault="002F3BF7" w:rsidP="00EF131C">
            <w:pPr>
              <w:spacing w:before="50" w:after="50"/>
              <w:ind w:left="315"/>
              <w:rPr>
                <w:rFonts w:cs="Arial"/>
                <w:color w:val="58595A"/>
                <w:sz w:val="18"/>
                <w:szCs w:val="18"/>
              </w:rPr>
            </w:pPr>
            <w:r w:rsidRPr="00EF131C">
              <w:rPr>
                <w:rFonts w:cs="Arial"/>
                <w:color w:val="58595A"/>
                <w:sz w:val="18"/>
                <w:szCs w:val="18"/>
              </w:rPr>
              <w:t>Pulmonary disease</w:t>
            </w: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DBC3F50"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9D5D8D9"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3BECCF2E"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06D4E318"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018B8DB"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F7878AF"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0BBAA439"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123ADF99"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7A0AF98"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A7D5134"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4A122D0"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14C1671F" w14:textId="77777777" w:rsidR="002F3BF7" w:rsidRPr="00EF131C" w:rsidRDefault="002F3BF7" w:rsidP="00EF131C">
            <w:pPr>
              <w:spacing w:before="50" w:after="50"/>
              <w:jc w:val="center"/>
              <w:rPr>
                <w:rFonts w:cs="Arial"/>
                <w:color w:val="58595A"/>
                <w:sz w:val="18"/>
                <w:szCs w:val="18"/>
              </w:rPr>
            </w:pPr>
          </w:p>
        </w:tc>
      </w:tr>
      <w:tr w:rsidR="002F3BF7" w:rsidRPr="0065414C" w14:paraId="0E8AD052" w14:textId="77777777" w:rsidTr="00EF131C">
        <w:tc>
          <w:tcPr>
            <w:tcW w:w="2981"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74451A7B" w14:textId="77777777" w:rsidR="002F3BF7" w:rsidRPr="00EF131C" w:rsidRDefault="002F3BF7" w:rsidP="00EF131C">
            <w:pPr>
              <w:spacing w:before="50" w:after="50"/>
              <w:ind w:left="315"/>
              <w:rPr>
                <w:rFonts w:cs="Arial"/>
                <w:color w:val="58595A"/>
                <w:sz w:val="18"/>
                <w:szCs w:val="18"/>
              </w:rPr>
            </w:pPr>
            <w:r w:rsidRPr="00EF131C">
              <w:rPr>
                <w:rFonts w:cs="Arial"/>
                <w:color w:val="58595A"/>
                <w:sz w:val="18"/>
                <w:szCs w:val="18"/>
              </w:rPr>
              <w:t>Renal disease</w:t>
            </w: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1A15D580"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52AC49DE"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369AB698"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85BC31A"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2358AD24"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BF6F8C0"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CB199D7"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7467C0DE"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B5EF6EA"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5334900"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B843E3E"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4B54C809" w14:textId="77777777" w:rsidR="002F3BF7" w:rsidRPr="00EF131C" w:rsidRDefault="002F3BF7" w:rsidP="00EF131C">
            <w:pPr>
              <w:spacing w:before="50" w:after="50"/>
              <w:jc w:val="center"/>
              <w:rPr>
                <w:rFonts w:cs="Arial"/>
                <w:color w:val="58595A"/>
                <w:sz w:val="18"/>
                <w:szCs w:val="18"/>
              </w:rPr>
            </w:pPr>
          </w:p>
        </w:tc>
      </w:tr>
      <w:tr w:rsidR="002F3BF7" w:rsidRPr="0065414C" w14:paraId="21273CE2" w14:textId="77777777" w:rsidTr="00EF131C">
        <w:tc>
          <w:tcPr>
            <w:tcW w:w="2981"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7E66A577" w14:textId="77777777" w:rsidR="002F3BF7" w:rsidRPr="00EF131C" w:rsidRDefault="002F3BF7" w:rsidP="00EF131C">
            <w:pPr>
              <w:spacing w:before="50" w:after="50"/>
              <w:rPr>
                <w:rFonts w:cs="Arial"/>
                <w:b/>
                <w:color w:val="58595A"/>
                <w:sz w:val="18"/>
                <w:szCs w:val="18"/>
              </w:rPr>
            </w:pPr>
            <w:r w:rsidRPr="00EF131C">
              <w:rPr>
                <w:rFonts w:cs="Arial"/>
                <w:b/>
                <w:color w:val="58595A"/>
                <w:sz w:val="18"/>
                <w:szCs w:val="18"/>
              </w:rPr>
              <w:t>Chronic condition flags:</w:t>
            </w: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42E6B19A"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27384607"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34E32F4B"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0A9A254B"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569567F1"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3CC15D25" w14:textId="77777777" w:rsidR="002F3BF7" w:rsidRPr="00EF131C" w:rsidRDefault="002F3BF7" w:rsidP="00EF131C">
            <w:pPr>
              <w:spacing w:before="50" w:after="50"/>
              <w:jc w:val="center"/>
              <w:rPr>
                <w:rFonts w:cs="Arial"/>
                <w:color w:val="58595A"/>
                <w:sz w:val="18"/>
                <w:szCs w:val="18"/>
              </w:rPr>
            </w:pP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11F310D"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04A9AD0C"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C60595B"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750FA83"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8A73036"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60F13911" w14:textId="77777777" w:rsidR="002F3BF7" w:rsidRPr="00EF131C" w:rsidRDefault="002F3BF7" w:rsidP="00EF131C">
            <w:pPr>
              <w:spacing w:before="50" w:after="50"/>
              <w:jc w:val="center"/>
              <w:rPr>
                <w:rFonts w:cs="Arial"/>
                <w:color w:val="58595A"/>
                <w:sz w:val="18"/>
                <w:szCs w:val="18"/>
              </w:rPr>
            </w:pPr>
          </w:p>
        </w:tc>
      </w:tr>
      <w:tr w:rsidR="002F3BF7" w:rsidRPr="0065414C" w14:paraId="18D23C13" w14:textId="77777777" w:rsidTr="00EF131C">
        <w:tc>
          <w:tcPr>
            <w:tcW w:w="2981"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79577FAB" w14:textId="77777777" w:rsidR="002F3BF7" w:rsidRPr="00EF131C" w:rsidRDefault="002F3BF7" w:rsidP="00EF131C">
            <w:pPr>
              <w:tabs>
                <w:tab w:val="left" w:pos="354"/>
              </w:tabs>
              <w:spacing w:before="50" w:after="50"/>
              <w:ind w:left="315"/>
              <w:rPr>
                <w:rFonts w:cs="Arial"/>
                <w:color w:val="58595A"/>
                <w:sz w:val="18"/>
                <w:szCs w:val="18"/>
              </w:rPr>
            </w:pPr>
            <w:r w:rsidRPr="00EF131C">
              <w:rPr>
                <w:rFonts w:cs="Arial"/>
                <w:color w:val="58595A"/>
                <w:sz w:val="18"/>
                <w:szCs w:val="18"/>
              </w:rPr>
              <w:t>Arthritis and osteoarthritis</w:t>
            </w: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CC9AD98"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50157E67"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39F1B9E"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9F3734F"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3B9B81A7"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57C9C958" w14:textId="77777777" w:rsidR="002F3BF7" w:rsidRPr="00EF131C" w:rsidRDefault="002F3BF7" w:rsidP="00EF131C">
            <w:pPr>
              <w:spacing w:before="50" w:after="50"/>
              <w:jc w:val="center"/>
              <w:rPr>
                <w:rFonts w:cs="Arial"/>
                <w:color w:val="58595A"/>
                <w:sz w:val="18"/>
                <w:szCs w:val="18"/>
              </w:rPr>
            </w:pP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33E2176"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3196ACAC"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C6AFF3F"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FCF2001"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80B939D"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2F2AD24A" w14:textId="77777777" w:rsidR="002F3BF7" w:rsidRPr="00EF131C" w:rsidRDefault="002F3BF7" w:rsidP="00EF131C">
            <w:pPr>
              <w:spacing w:before="50" w:after="50"/>
              <w:jc w:val="center"/>
              <w:rPr>
                <w:rFonts w:cs="Arial"/>
                <w:color w:val="58595A"/>
                <w:sz w:val="18"/>
                <w:szCs w:val="18"/>
              </w:rPr>
            </w:pPr>
          </w:p>
        </w:tc>
      </w:tr>
      <w:tr w:rsidR="002F3BF7" w:rsidRPr="0065414C" w14:paraId="464B60F2" w14:textId="77777777" w:rsidTr="00EF131C">
        <w:tc>
          <w:tcPr>
            <w:tcW w:w="2981"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54575A8D" w14:textId="77777777" w:rsidR="002F3BF7" w:rsidRPr="00EF131C" w:rsidRDefault="002F3BF7" w:rsidP="00EF131C">
            <w:pPr>
              <w:tabs>
                <w:tab w:val="left" w:pos="354"/>
              </w:tabs>
              <w:spacing w:before="50" w:after="50"/>
              <w:ind w:left="315"/>
              <w:rPr>
                <w:rFonts w:cs="Arial"/>
                <w:color w:val="58595A"/>
                <w:sz w:val="18"/>
                <w:szCs w:val="18"/>
              </w:rPr>
            </w:pPr>
            <w:r w:rsidRPr="00EF131C">
              <w:rPr>
                <w:rFonts w:cs="Arial"/>
                <w:color w:val="58595A"/>
                <w:sz w:val="18"/>
                <w:szCs w:val="18"/>
              </w:rPr>
              <w:t>Asthma without COPD</w:t>
            </w: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3639AF29"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5E018CDD"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7C85D35F"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350AE297"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7DA39717"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7E83E34"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73A6F348"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6CFF94E"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39C11C2"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56212F3"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E7DB517"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779911C3" w14:textId="77777777" w:rsidR="002F3BF7" w:rsidRPr="00EF131C" w:rsidRDefault="002F3BF7" w:rsidP="00EF131C">
            <w:pPr>
              <w:spacing w:before="50" w:after="50"/>
              <w:jc w:val="center"/>
              <w:rPr>
                <w:rFonts w:cs="Arial"/>
                <w:color w:val="58595A"/>
                <w:sz w:val="18"/>
                <w:szCs w:val="18"/>
              </w:rPr>
            </w:pPr>
          </w:p>
        </w:tc>
      </w:tr>
      <w:tr w:rsidR="002F3BF7" w:rsidRPr="0065414C" w14:paraId="3A4AC384" w14:textId="77777777" w:rsidTr="00EF131C">
        <w:tc>
          <w:tcPr>
            <w:tcW w:w="2981"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54D30E89" w14:textId="77777777" w:rsidR="002F3BF7" w:rsidRPr="00EF131C" w:rsidRDefault="002F3BF7" w:rsidP="00EF131C">
            <w:pPr>
              <w:tabs>
                <w:tab w:val="left" w:pos="354"/>
              </w:tabs>
              <w:spacing w:before="50" w:after="50"/>
              <w:ind w:left="315"/>
              <w:rPr>
                <w:rFonts w:cs="Arial"/>
                <w:color w:val="58595A"/>
                <w:sz w:val="18"/>
                <w:szCs w:val="18"/>
              </w:rPr>
            </w:pPr>
            <w:r w:rsidRPr="00EF131C">
              <w:rPr>
                <w:rFonts w:cs="Arial"/>
                <w:color w:val="58595A"/>
                <w:sz w:val="18"/>
                <w:szCs w:val="18"/>
              </w:rPr>
              <w:lastRenderedPageBreak/>
              <w:t>Cerebral palsy</w:t>
            </w: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FE189D1"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A70EDEB"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96425CA"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420A92EB"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AB327BA"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607C2B1" w14:textId="77777777" w:rsidR="002F3BF7" w:rsidRPr="00EF131C" w:rsidRDefault="002F3BF7" w:rsidP="00EF131C">
            <w:pPr>
              <w:spacing w:before="50" w:after="50"/>
              <w:jc w:val="center"/>
              <w:rPr>
                <w:rFonts w:cs="Arial"/>
                <w:color w:val="58595A"/>
                <w:sz w:val="18"/>
                <w:szCs w:val="18"/>
              </w:rPr>
            </w:pP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2C4DC03"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5394585"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12CBE67"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C91735F"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5303EA63"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5843C0DD" w14:textId="77777777" w:rsidR="002F3BF7" w:rsidRPr="00EF131C" w:rsidRDefault="002F3BF7" w:rsidP="00EF131C">
            <w:pPr>
              <w:spacing w:before="50" w:after="50"/>
              <w:jc w:val="center"/>
              <w:rPr>
                <w:rFonts w:cs="Arial"/>
                <w:color w:val="58595A"/>
                <w:sz w:val="18"/>
                <w:szCs w:val="18"/>
              </w:rPr>
            </w:pPr>
          </w:p>
        </w:tc>
      </w:tr>
      <w:tr w:rsidR="002F3BF7" w:rsidRPr="0065414C" w14:paraId="291BFD0B" w14:textId="77777777" w:rsidTr="00EF131C">
        <w:tc>
          <w:tcPr>
            <w:tcW w:w="2981"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613B61A3" w14:textId="77777777" w:rsidR="002F3BF7" w:rsidRPr="00EF131C" w:rsidRDefault="002F3BF7" w:rsidP="00EF131C">
            <w:pPr>
              <w:tabs>
                <w:tab w:val="left" w:pos="354"/>
              </w:tabs>
              <w:spacing w:before="50" w:after="50"/>
              <w:ind w:left="315"/>
              <w:rPr>
                <w:rFonts w:cs="Arial"/>
                <w:color w:val="58595A"/>
                <w:sz w:val="18"/>
                <w:szCs w:val="18"/>
              </w:rPr>
            </w:pPr>
            <w:r w:rsidRPr="00EF131C">
              <w:rPr>
                <w:rFonts w:cs="Arial"/>
                <w:color w:val="58595A"/>
                <w:sz w:val="18"/>
                <w:szCs w:val="18"/>
              </w:rPr>
              <w:t>Chronic heart failure</w:t>
            </w: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3E1D9D61"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112B730C"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4AE960E9"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7637A468"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4FAB1AD9"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7231D46A" w14:textId="77777777" w:rsidR="002F3BF7" w:rsidRPr="00EF131C" w:rsidRDefault="002F3BF7" w:rsidP="00EF131C">
            <w:pPr>
              <w:spacing w:before="50" w:after="50"/>
              <w:jc w:val="center"/>
              <w:rPr>
                <w:rFonts w:cs="Arial"/>
                <w:color w:val="58595A"/>
                <w:sz w:val="18"/>
                <w:szCs w:val="18"/>
              </w:rPr>
            </w:pP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7CAEE1B0"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5C150E74"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2ED8592D"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CE1CF71"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DDFEF74"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52F200F8" w14:textId="77777777" w:rsidR="002F3BF7" w:rsidRPr="00EF131C" w:rsidRDefault="002F3BF7" w:rsidP="00EF131C">
            <w:pPr>
              <w:spacing w:before="50" w:after="50"/>
              <w:jc w:val="center"/>
              <w:rPr>
                <w:rFonts w:cs="Arial"/>
                <w:color w:val="58595A"/>
                <w:sz w:val="18"/>
                <w:szCs w:val="18"/>
              </w:rPr>
            </w:pPr>
          </w:p>
        </w:tc>
      </w:tr>
      <w:tr w:rsidR="002F3BF7" w:rsidRPr="0065414C" w14:paraId="2FC29235" w14:textId="77777777" w:rsidTr="00EF131C">
        <w:tc>
          <w:tcPr>
            <w:tcW w:w="2981"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31C74565" w14:textId="77777777" w:rsidR="002F3BF7" w:rsidRPr="00EF131C" w:rsidRDefault="002F3BF7" w:rsidP="00EF131C">
            <w:pPr>
              <w:tabs>
                <w:tab w:val="left" w:pos="354"/>
              </w:tabs>
              <w:spacing w:before="50" w:after="50"/>
              <w:ind w:left="315"/>
              <w:rPr>
                <w:rFonts w:cs="Arial"/>
                <w:color w:val="58595A"/>
                <w:sz w:val="18"/>
                <w:szCs w:val="18"/>
              </w:rPr>
            </w:pPr>
            <w:r w:rsidRPr="00EF131C">
              <w:rPr>
                <w:rFonts w:cs="Arial"/>
                <w:color w:val="58595A"/>
                <w:sz w:val="18"/>
                <w:szCs w:val="18"/>
              </w:rPr>
              <w:t>Chronic kidney disease</w:t>
            </w: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4BE0896"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495C349D"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715B47DE"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55E111DF"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36778C87"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2356DBD4" w14:textId="77777777" w:rsidR="002F3BF7" w:rsidRPr="00EF131C" w:rsidRDefault="002F3BF7" w:rsidP="00EF131C">
            <w:pPr>
              <w:spacing w:before="50" w:after="50"/>
              <w:jc w:val="center"/>
              <w:rPr>
                <w:rFonts w:cs="Arial"/>
                <w:color w:val="58595A"/>
                <w:sz w:val="18"/>
                <w:szCs w:val="18"/>
              </w:rPr>
            </w:pP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63C241D"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5C424D0B"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76927709"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BED7E84"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11B7DAD"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66B102BA" w14:textId="77777777" w:rsidR="002F3BF7" w:rsidRPr="00EF131C" w:rsidRDefault="002F3BF7" w:rsidP="00EF131C">
            <w:pPr>
              <w:spacing w:before="50" w:after="50"/>
              <w:jc w:val="center"/>
              <w:rPr>
                <w:rFonts w:cs="Arial"/>
                <w:color w:val="58595A"/>
                <w:sz w:val="18"/>
                <w:szCs w:val="18"/>
              </w:rPr>
            </w:pPr>
          </w:p>
        </w:tc>
      </w:tr>
      <w:tr w:rsidR="002F3BF7" w:rsidRPr="0065414C" w14:paraId="2658444A" w14:textId="77777777" w:rsidTr="00EF131C">
        <w:tc>
          <w:tcPr>
            <w:tcW w:w="2981"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566FBFAA" w14:textId="77777777" w:rsidR="002F3BF7" w:rsidRPr="00EF131C" w:rsidRDefault="002F3BF7" w:rsidP="00EF131C">
            <w:pPr>
              <w:tabs>
                <w:tab w:val="left" w:pos="354"/>
              </w:tabs>
              <w:spacing w:before="50" w:after="50"/>
              <w:ind w:left="315"/>
              <w:rPr>
                <w:rFonts w:cs="Arial"/>
                <w:color w:val="58595A"/>
                <w:sz w:val="18"/>
                <w:szCs w:val="18"/>
              </w:rPr>
            </w:pPr>
            <w:r w:rsidRPr="00EF131C">
              <w:rPr>
                <w:rFonts w:cs="Arial"/>
                <w:color w:val="58595A"/>
                <w:sz w:val="18"/>
                <w:szCs w:val="18"/>
              </w:rPr>
              <w:t>Chronic respiratory failure</w:t>
            </w: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1818B061"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063347FE"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785D8B13"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7AD53C2"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0F731D0F"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4E2E8B49" w14:textId="77777777" w:rsidR="002F3BF7" w:rsidRPr="00EF131C" w:rsidRDefault="002F3BF7" w:rsidP="00EF131C">
            <w:pPr>
              <w:spacing w:before="50" w:after="50"/>
              <w:jc w:val="center"/>
              <w:rPr>
                <w:rFonts w:cs="Arial"/>
                <w:color w:val="58595A"/>
                <w:sz w:val="18"/>
                <w:szCs w:val="18"/>
              </w:rPr>
            </w:pP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AA24A41"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F079E8A"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125A08CD"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23104CE8"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3632F1B"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4F12FBF2" w14:textId="77777777" w:rsidR="002F3BF7" w:rsidRPr="00EF131C" w:rsidRDefault="002F3BF7" w:rsidP="00EF131C">
            <w:pPr>
              <w:spacing w:before="50" w:after="50"/>
              <w:jc w:val="center"/>
              <w:rPr>
                <w:rFonts w:cs="Arial"/>
                <w:color w:val="58595A"/>
                <w:sz w:val="18"/>
                <w:szCs w:val="18"/>
              </w:rPr>
            </w:pPr>
          </w:p>
        </w:tc>
      </w:tr>
      <w:tr w:rsidR="002F3BF7" w:rsidRPr="0065414C" w14:paraId="10BE7BF1" w14:textId="77777777" w:rsidTr="00EF131C">
        <w:tc>
          <w:tcPr>
            <w:tcW w:w="2981"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23408867" w14:textId="77777777" w:rsidR="002F3BF7" w:rsidRPr="00EF131C" w:rsidRDefault="002F3BF7" w:rsidP="00EF131C">
            <w:pPr>
              <w:tabs>
                <w:tab w:val="left" w:pos="354"/>
              </w:tabs>
              <w:spacing w:before="50" w:after="50"/>
              <w:ind w:left="315"/>
              <w:rPr>
                <w:rFonts w:cs="Arial"/>
                <w:color w:val="58595A"/>
                <w:sz w:val="18"/>
                <w:szCs w:val="18"/>
              </w:rPr>
            </w:pPr>
            <w:r w:rsidRPr="00EF131C">
              <w:rPr>
                <w:rFonts w:cs="Arial"/>
                <w:color w:val="58595A"/>
                <w:sz w:val="18"/>
                <w:szCs w:val="18"/>
              </w:rPr>
              <w:t>Emphysema without COPD</w:t>
            </w: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7DBD8FC3"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C411C74"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18ED8EA5"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C861732"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F34CF66"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58056E2B" w14:textId="77777777" w:rsidR="002F3BF7" w:rsidRPr="00EF131C" w:rsidRDefault="002F3BF7" w:rsidP="00EF131C">
            <w:pPr>
              <w:spacing w:before="50" w:after="50"/>
              <w:jc w:val="center"/>
              <w:rPr>
                <w:rFonts w:cs="Arial"/>
                <w:color w:val="58595A"/>
                <w:sz w:val="18"/>
                <w:szCs w:val="18"/>
              </w:rPr>
            </w:pP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3605A09"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026AF320"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BFDBCA9"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303B756A"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4144211"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483768DB" w14:textId="77777777" w:rsidR="002F3BF7" w:rsidRPr="00EF131C" w:rsidRDefault="002F3BF7" w:rsidP="00EF131C">
            <w:pPr>
              <w:spacing w:before="50" w:after="50"/>
              <w:jc w:val="center"/>
              <w:rPr>
                <w:rFonts w:cs="Arial"/>
                <w:color w:val="58595A"/>
                <w:sz w:val="18"/>
                <w:szCs w:val="18"/>
              </w:rPr>
            </w:pPr>
          </w:p>
        </w:tc>
      </w:tr>
      <w:tr w:rsidR="002F3BF7" w:rsidRPr="0065414C" w14:paraId="44A9BED7" w14:textId="77777777" w:rsidTr="00EF131C">
        <w:tc>
          <w:tcPr>
            <w:tcW w:w="2981"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76A592FB" w14:textId="77777777" w:rsidR="002F3BF7" w:rsidRPr="00EF131C" w:rsidRDefault="002F3BF7" w:rsidP="00EF131C">
            <w:pPr>
              <w:tabs>
                <w:tab w:val="left" w:pos="354"/>
              </w:tabs>
              <w:spacing w:before="50" w:after="50"/>
              <w:ind w:left="315"/>
              <w:rPr>
                <w:rFonts w:cs="Arial"/>
                <w:color w:val="58595A"/>
                <w:sz w:val="18"/>
                <w:szCs w:val="18"/>
              </w:rPr>
            </w:pPr>
            <w:r w:rsidRPr="00EF131C">
              <w:rPr>
                <w:rFonts w:cs="Arial"/>
                <w:color w:val="58595A"/>
                <w:sz w:val="18"/>
                <w:szCs w:val="18"/>
              </w:rPr>
              <w:t>Epilepsy</w:t>
            </w: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49049D7F"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511AE3C8"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0FA156E9"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B8FE7A9"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1AB70F05"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7BC7F75F" w14:textId="77777777" w:rsidR="002F3BF7" w:rsidRPr="00EF131C" w:rsidRDefault="002F3BF7" w:rsidP="00EF131C">
            <w:pPr>
              <w:spacing w:before="50" w:after="50"/>
              <w:jc w:val="center"/>
              <w:rPr>
                <w:rFonts w:cs="Arial"/>
                <w:color w:val="58595A"/>
                <w:sz w:val="18"/>
                <w:szCs w:val="18"/>
              </w:rPr>
            </w:pP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169FF6F"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1A790BFC"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30CD810A"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56DC22D7"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6317383"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42294786" w14:textId="77777777" w:rsidR="002F3BF7" w:rsidRPr="00EF131C" w:rsidRDefault="002F3BF7" w:rsidP="00EF131C">
            <w:pPr>
              <w:spacing w:before="50" w:after="50"/>
              <w:jc w:val="center"/>
              <w:rPr>
                <w:rFonts w:cs="Arial"/>
                <w:color w:val="58595A"/>
                <w:sz w:val="18"/>
                <w:szCs w:val="18"/>
              </w:rPr>
            </w:pPr>
          </w:p>
        </w:tc>
      </w:tr>
      <w:tr w:rsidR="002F3BF7" w:rsidRPr="0065414C" w14:paraId="5AD53F5A" w14:textId="77777777" w:rsidTr="00EF131C">
        <w:tc>
          <w:tcPr>
            <w:tcW w:w="2981"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3F0B0BCE" w14:textId="77777777" w:rsidR="002F3BF7" w:rsidRPr="00EF131C" w:rsidRDefault="002F3BF7" w:rsidP="00EF131C">
            <w:pPr>
              <w:tabs>
                <w:tab w:val="left" w:pos="354"/>
              </w:tabs>
              <w:spacing w:before="50" w:after="50"/>
              <w:ind w:left="315"/>
              <w:rPr>
                <w:rFonts w:cs="Arial"/>
                <w:color w:val="58595A"/>
                <w:sz w:val="18"/>
                <w:szCs w:val="18"/>
              </w:rPr>
            </w:pPr>
            <w:r w:rsidRPr="00EF131C">
              <w:rPr>
                <w:rFonts w:cs="Arial"/>
                <w:color w:val="58595A"/>
                <w:sz w:val="18"/>
                <w:szCs w:val="18"/>
              </w:rPr>
              <w:t>Hypertension</w:t>
            </w: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5D0C58A"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55370198"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3A45027B"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047CEF7F"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47FC8133"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CF565DB"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D5164B7"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26919860"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3A8F50D3"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271C801A"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B6B29EF"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hideMark/>
          </w:tcPr>
          <w:p w14:paraId="29346A0D"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r>
      <w:tr w:rsidR="002F3BF7" w:rsidRPr="0065414C" w14:paraId="212403E5" w14:textId="77777777" w:rsidTr="00EF131C">
        <w:tc>
          <w:tcPr>
            <w:tcW w:w="2981"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41EC363D" w14:textId="77777777" w:rsidR="002F3BF7" w:rsidRPr="00EF131C" w:rsidRDefault="002F3BF7" w:rsidP="00EF131C">
            <w:pPr>
              <w:tabs>
                <w:tab w:val="left" w:pos="354"/>
              </w:tabs>
              <w:spacing w:before="50" w:after="50"/>
              <w:ind w:left="315"/>
              <w:rPr>
                <w:rFonts w:cs="Arial"/>
                <w:color w:val="58595A"/>
                <w:sz w:val="18"/>
                <w:szCs w:val="18"/>
              </w:rPr>
            </w:pPr>
            <w:r w:rsidRPr="00EF131C">
              <w:rPr>
                <w:rFonts w:cs="Arial"/>
                <w:color w:val="58595A"/>
                <w:sz w:val="18"/>
                <w:szCs w:val="18"/>
              </w:rPr>
              <w:t>Intellectual disorder</w:t>
            </w: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1DE99422"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24E4AB41"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738A9A5A"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27506250"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51D85507"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7342CFB2" w14:textId="77777777" w:rsidR="002F3BF7" w:rsidRPr="00EF131C" w:rsidRDefault="002F3BF7" w:rsidP="00EF131C">
            <w:pPr>
              <w:spacing w:before="50" w:after="50"/>
              <w:jc w:val="center"/>
              <w:rPr>
                <w:rFonts w:cs="Arial"/>
                <w:color w:val="58595A"/>
                <w:sz w:val="18"/>
                <w:szCs w:val="18"/>
              </w:rPr>
            </w:pP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526DDEB"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1F1C5CC3"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1E1F56E5"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33554F8E"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6AD9D58C"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41E24954" w14:textId="77777777" w:rsidR="002F3BF7" w:rsidRPr="00EF131C" w:rsidRDefault="002F3BF7" w:rsidP="00EF131C">
            <w:pPr>
              <w:spacing w:before="50" w:after="50"/>
              <w:jc w:val="center"/>
              <w:rPr>
                <w:rFonts w:cs="Arial"/>
                <w:color w:val="58595A"/>
                <w:sz w:val="18"/>
                <w:szCs w:val="18"/>
              </w:rPr>
            </w:pPr>
          </w:p>
        </w:tc>
      </w:tr>
      <w:tr w:rsidR="002F3BF7" w:rsidRPr="0065414C" w14:paraId="1DD1583C" w14:textId="77777777" w:rsidTr="00EF131C">
        <w:tc>
          <w:tcPr>
            <w:tcW w:w="2981"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7DB61CA3" w14:textId="77777777" w:rsidR="002F3BF7" w:rsidRPr="00EF131C" w:rsidRDefault="002F3BF7" w:rsidP="00EF131C">
            <w:pPr>
              <w:tabs>
                <w:tab w:val="left" w:pos="354"/>
              </w:tabs>
              <w:spacing w:before="50" w:after="50"/>
              <w:ind w:left="315"/>
              <w:rPr>
                <w:rFonts w:cs="Arial"/>
                <w:color w:val="58595A"/>
                <w:sz w:val="18"/>
                <w:szCs w:val="18"/>
              </w:rPr>
            </w:pPr>
            <w:r w:rsidRPr="00EF131C">
              <w:rPr>
                <w:rFonts w:cs="Arial"/>
                <w:color w:val="58595A"/>
                <w:sz w:val="18"/>
                <w:szCs w:val="18"/>
              </w:rPr>
              <w:t>Ischaemic heart disease</w:t>
            </w: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4E759F1C"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1165E5CB"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0D2D5073"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1E740BFE"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4FCDC4C"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39C4552"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2D1C4257"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3029DE7F"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51496E46"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9185FDB"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72201AB"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3EA6BDEF" w14:textId="77777777" w:rsidR="002F3BF7" w:rsidRPr="00EF131C" w:rsidRDefault="002F3BF7" w:rsidP="00EF131C">
            <w:pPr>
              <w:spacing w:before="50" w:after="50"/>
              <w:jc w:val="center"/>
              <w:rPr>
                <w:rFonts w:cs="Arial"/>
                <w:color w:val="58595A"/>
                <w:sz w:val="18"/>
                <w:szCs w:val="18"/>
              </w:rPr>
            </w:pPr>
          </w:p>
        </w:tc>
      </w:tr>
      <w:tr w:rsidR="002F3BF7" w:rsidRPr="0065414C" w14:paraId="58955C1D" w14:textId="77777777" w:rsidTr="00EF131C">
        <w:tc>
          <w:tcPr>
            <w:tcW w:w="2981"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0332CA8B" w14:textId="77777777" w:rsidR="002F3BF7" w:rsidRPr="00EF131C" w:rsidRDefault="002F3BF7" w:rsidP="00EF131C">
            <w:pPr>
              <w:spacing w:before="50" w:after="50"/>
              <w:ind w:left="315"/>
              <w:rPr>
                <w:rFonts w:cs="Arial"/>
                <w:color w:val="58595A"/>
                <w:sz w:val="18"/>
                <w:szCs w:val="18"/>
              </w:rPr>
            </w:pPr>
            <w:r w:rsidRPr="00EF131C">
              <w:rPr>
                <w:rFonts w:cs="Arial"/>
                <w:color w:val="58595A"/>
                <w:sz w:val="18"/>
                <w:szCs w:val="18"/>
              </w:rPr>
              <w:t>Osteoporosis</w:t>
            </w: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4E90FAAE"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2AEDCA4B"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7F766AFF"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7CF3AAF9"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2AF319DB"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4B33A2BA" w14:textId="77777777" w:rsidR="002F3BF7" w:rsidRPr="00EF131C" w:rsidRDefault="002F3BF7" w:rsidP="00EF131C">
            <w:pPr>
              <w:spacing w:before="50" w:after="50"/>
              <w:jc w:val="center"/>
              <w:rPr>
                <w:rFonts w:cs="Arial"/>
                <w:color w:val="58595A"/>
                <w:sz w:val="18"/>
                <w:szCs w:val="18"/>
              </w:rPr>
            </w:pP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6F68DF1"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0BB01E43"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7E859D4B"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6F045D9"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AB47C8F"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691B54E9" w14:textId="77777777" w:rsidR="002F3BF7" w:rsidRPr="00EF131C" w:rsidRDefault="002F3BF7" w:rsidP="00EF131C">
            <w:pPr>
              <w:spacing w:before="50" w:after="50"/>
              <w:jc w:val="center"/>
              <w:rPr>
                <w:rFonts w:cs="Arial"/>
                <w:color w:val="58595A"/>
                <w:sz w:val="18"/>
                <w:szCs w:val="18"/>
              </w:rPr>
            </w:pPr>
          </w:p>
        </w:tc>
      </w:tr>
      <w:tr w:rsidR="002F3BF7" w:rsidRPr="0065414C" w14:paraId="28AE1AAC" w14:textId="77777777" w:rsidTr="00EF131C">
        <w:tc>
          <w:tcPr>
            <w:tcW w:w="2981"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74FBACD5" w14:textId="77777777" w:rsidR="002F3BF7" w:rsidRPr="00EF131C" w:rsidRDefault="002F3BF7" w:rsidP="00EF131C">
            <w:pPr>
              <w:spacing w:before="50" w:after="50"/>
              <w:ind w:left="315"/>
              <w:rPr>
                <w:rFonts w:cs="Arial"/>
                <w:color w:val="58595A"/>
                <w:sz w:val="18"/>
                <w:szCs w:val="18"/>
              </w:rPr>
            </w:pPr>
            <w:r w:rsidRPr="00EF131C">
              <w:rPr>
                <w:rFonts w:cs="Arial"/>
                <w:color w:val="58595A"/>
                <w:sz w:val="18"/>
                <w:szCs w:val="18"/>
              </w:rPr>
              <w:t>Paralysis conditions</w:t>
            </w: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6226195"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20069B39"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387DAA8E"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4804E30D"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7E873EEA"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25858501" w14:textId="77777777" w:rsidR="002F3BF7" w:rsidRPr="00EF131C" w:rsidRDefault="002F3BF7" w:rsidP="00EF131C">
            <w:pPr>
              <w:spacing w:before="50" w:after="50"/>
              <w:jc w:val="center"/>
              <w:rPr>
                <w:rFonts w:cs="Arial"/>
                <w:color w:val="58595A"/>
                <w:sz w:val="18"/>
                <w:szCs w:val="18"/>
              </w:rPr>
            </w:pP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0E4C43B8"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1ECEA0D8"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7FD3E61"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494F0D1E"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8B717BB"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231646FD" w14:textId="77777777" w:rsidR="002F3BF7" w:rsidRPr="00EF131C" w:rsidRDefault="002F3BF7" w:rsidP="00EF131C">
            <w:pPr>
              <w:spacing w:before="50" w:after="50"/>
              <w:jc w:val="center"/>
              <w:rPr>
                <w:rFonts w:cs="Arial"/>
                <w:color w:val="58595A"/>
                <w:sz w:val="18"/>
                <w:szCs w:val="18"/>
              </w:rPr>
            </w:pPr>
          </w:p>
        </w:tc>
      </w:tr>
      <w:tr w:rsidR="002F3BF7" w:rsidRPr="0065414C" w14:paraId="1F6404F8" w14:textId="77777777" w:rsidTr="00EF131C">
        <w:tc>
          <w:tcPr>
            <w:tcW w:w="2981"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3A420C41" w14:textId="77777777" w:rsidR="002F3BF7" w:rsidRPr="00EF131C" w:rsidRDefault="002F3BF7" w:rsidP="00EF131C">
            <w:pPr>
              <w:spacing w:before="50" w:after="50"/>
              <w:ind w:left="315"/>
              <w:rPr>
                <w:rFonts w:cs="Arial"/>
                <w:color w:val="58595A"/>
                <w:sz w:val="18"/>
                <w:szCs w:val="18"/>
              </w:rPr>
            </w:pPr>
            <w:r w:rsidRPr="00EF131C">
              <w:rPr>
                <w:rFonts w:cs="Arial"/>
                <w:color w:val="58595A"/>
                <w:sz w:val="18"/>
                <w:szCs w:val="18"/>
              </w:rPr>
              <w:t>Severe liver disease</w:t>
            </w: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12DCF64D"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41E1B5E6"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0B0C0ECD"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8A08492"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710AB46C"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42B875D7" w14:textId="77777777" w:rsidR="002F3BF7" w:rsidRPr="00EF131C" w:rsidRDefault="002F3BF7" w:rsidP="00EF131C">
            <w:pPr>
              <w:spacing w:before="50" w:after="50"/>
              <w:jc w:val="center"/>
              <w:rPr>
                <w:rFonts w:cs="Arial"/>
                <w:color w:val="58595A"/>
                <w:sz w:val="18"/>
                <w:szCs w:val="18"/>
              </w:rPr>
            </w:pP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398D9472"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07849D01"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587DCB3"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482A6E62"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ED977A7"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17CFF12D" w14:textId="77777777" w:rsidR="002F3BF7" w:rsidRPr="00EF131C" w:rsidRDefault="002F3BF7" w:rsidP="00EF131C">
            <w:pPr>
              <w:spacing w:before="50" w:after="50"/>
              <w:jc w:val="center"/>
              <w:rPr>
                <w:rFonts w:cs="Arial"/>
                <w:color w:val="58595A"/>
                <w:sz w:val="18"/>
                <w:szCs w:val="18"/>
              </w:rPr>
            </w:pPr>
          </w:p>
        </w:tc>
      </w:tr>
      <w:tr w:rsidR="002F3BF7" w:rsidRPr="0065414C" w14:paraId="4BA03C43" w14:textId="77777777" w:rsidTr="00EF131C">
        <w:tc>
          <w:tcPr>
            <w:tcW w:w="2981"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5B1F6BB8" w14:textId="77777777" w:rsidR="002F3BF7" w:rsidRPr="00EF131C" w:rsidRDefault="002F3BF7" w:rsidP="00EF131C">
            <w:pPr>
              <w:spacing w:before="50" w:after="50"/>
              <w:ind w:left="315"/>
              <w:rPr>
                <w:rFonts w:cs="Arial"/>
                <w:color w:val="58595A"/>
                <w:sz w:val="18"/>
                <w:szCs w:val="18"/>
              </w:rPr>
            </w:pPr>
            <w:r w:rsidRPr="00EF131C">
              <w:rPr>
                <w:rFonts w:cs="Arial"/>
                <w:color w:val="58595A"/>
                <w:sz w:val="18"/>
                <w:szCs w:val="18"/>
              </w:rPr>
              <w:t>Systemic lupus erythematosus</w:t>
            </w: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F745293"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0C90BE5A"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27E33A38"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533D40AC"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FE6E784"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084C956A" w14:textId="77777777" w:rsidR="002F3BF7" w:rsidRPr="00EF131C" w:rsidRDefault="002F3BF7" w:rsidP="00EF131C">
            <w:pPr>
              <w:spacing w:before="50" w:after="50"/>
              <w:jc w:val="center"/>
              <w:rPr>
                <w:rFonts w:cs="Arial"/>
                <w:color w:val="58595A"/>
                <w:sz w:val="18"/>
                <w:szCs w:val="18"/>
              </w:rPr>
            </w:pP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7D0CAAB1"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9FD486D"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34D06ED1"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3B380D03"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057F1B2"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78E0300C" w14:textId="77777777" w:rsidR="002F3BF7" w:rsidRPr="00EF131C" w:rsidRDefault="002F3BF7" w:rsidP="00EF131C">
            <w:pPr>
              <w:spacing w:before="50" w:after="50"/>
              <w:jc w:val="center"/>
              <w:rPr>
                <w:rFonts w:cs="Arial"/>
                <w:color w:val="58595A"/>
                <w:sz w:val="18"/>
                <w:szCs w:val="18"/>
              </w:rPr>
            </w:pPr>
          </w:p>
        </w:tc>
      </w:tr>
      <w:tr w:rsidR="002F3BF7" w:rsidRPr="0065414C" w14:paraId="07A5C144" w14:textId="77777777" w:rsidTr="00EF131C">
        <w:tc>
          <w:tcPr>
            <w:tcW w:w="2981"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5D34B293" w14:textId="77777777" w:rsidR="002F3BF7" w:rsidRPr="00EF131C" w:rsidRDefault="002F3BF7" w:rsidP="00EF131C">
            <w:pPr>
              <w:spacing w:before="50" w:after="50"/>
              <w:ind w:left="315"/>
              <w:rPr>
                <w:rFonts w:cs="Arial"/>
                <w:color w:val="58595A"/>
                <w:sz w:val="18"/>
                <w:szCs w:val="18"/>
              </w:rPr>
            </w:pPr>
            <w:r w:rsidRPr="00EF131C">
              <w:rPr>
                <w:rFonts w:cs="Arial"/>
                <w:color w:val="58595A"/>
                <w:sz w:val="18"/>
                <w:szCs w:val="18"/>
              </w:rPr>
              <w:t>Ulcerative colitis</w:t>
            </w: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9B3A23E"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B64137F"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94CA2FD"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C159210"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2913499"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279BA1AF"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89670B9"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E6F1AE2"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7673A59"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E3657E6"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5D6FE28"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23E0F1B7" w14:textId="77777777" w:rsidR="002F3BF7" w:rsidRPr="00EF131C" w:rsidRDefault="002F3BF7" w:rsidP="00EF131C">
            <w:pPr>
              <w:spacing w:before="50" w:after="50"/>
              <w:jc w:val="center"/>
              <w:rPr>
                <w:rFonts w:cs="Arial"/>
                <w:color w:val="58595A"/>
                <w:sz w:val="18"/>
                <w:szCs w:val="18"/>
              </w:rPr>
            </w:pPr>
          </w:p>
        </w:tc>
      </w:tr>
      <w:tr w:rsidR="002F3BF7" w:rsidRPr="0065414C" w14:paraId="2B85820A" w14:textId="77777777" w:rsidTr="00EF131C">
        <w:tc>
          <w:tcPr>
            <w:tcW w:w="2981" w:type="dxa"/>
            <w:tcBorders>
              <w:top w:val="single" w:sz="4" w:space="0" w:color="D9D9D9" w:themeColor="background1" w:themeShade="D9"/>
              <w:bottom w:val="single" w:sz="8" w:space="0" w:color="D9D9D9" w:themeColor="background1" w:themeShade="D9"/>
              <w:right w:val="single" w:sz="4" w:space="0" w:color="D9D9D9" w:themeColor="background1" w:themeShade="D9"/>
            </w:tcBorders>
            <w:vAlign w:val="center"/>
            <w:hideMark/>
          </w:tcPr>
          <w:p w14:paraId="7CF401A0" w14:textId="77777777" w:rsidR="002F3BF7" w:rsidRPr="00EF131C" w:rsidRDefault="002F3BF7" w:rsidP="00EF131C">
            <w:pPr>
              <w:spacing w:before="50" w:after="50"/>
              <w:rPr>
                <w:rFonts w:cs="Arial"/>
                <w:b/>
                <w:color w:val="58595A"/>
                <w:sz w:val="18"/>
                <w:szCs w:val="18"/>
              </w:rPr>
            </w:pPr>
            <w:r w:rsidRPr="00EF131C">
              <w:rPr>
                <w:rFonts w:cs="Arial"/>
                <w:b/>
                <w:color w:val="58595A"/>
                <w:sz w:val="18"/>
                <w:szCs w:val="18"/>
              </w:rPr>
              <w:t>Total number of risk factors:</w:t>
            </w:r>
          </w:p>
        </w:tc>
        <w:tc>
          <w:tcPr>
            <w:tcW w:w="537" w:type="dxa"/>
            <w:tcBorders>
              <w:top w:val="single" w:sz="4" w:space="0" w:color="D9D9D9" w:themeColor="background1" w:themeShade="D9"/>
              <w:left w:val="single" w:sz="4" w:space="0" w:color="D9D9D9" w:themeColor="background1" w:themeShade="D9"/>
              <w:bottom w:val="single" w:sz="8" w:space="0" w:color="D9D9D9" w:themeColor="background1" w:themeShade="D9"/>
              <w:right w:val="single" w:sz="4" w:space="0" w:color="D9D9D9" w:themeColor="background1" w:themeShade="D9"/>
            </w:tcBorders>
            <w:vAlign w:val="center"/>
            <w:hideMark/>
          </w:tcPr>
          <w:p w14:paraId="37EF529C" w14:textId="77777777" w:rsidR="002F3BF7" w:rsidRPr="00EF131C" w:rsidRDefault="002F3BF7" w:rsidP="00EF131C">
            <w:pPr>
              <w:spacing w:before="50" w:after="50"/>
              <w:jc w:val="center"/>
              <w:rPr>
                <w:rFonts w:cs="Arial"/>
                <w:color w:val="58595A"/>
                <w:sz w:val="18"/>
                <w:szCs w:val="18"/>
              </w:rPr>
            </w:pPr>
            <w:r w:rsidRPr="00EF131C">
              <w:rPr>
                <w:rFonts w:cs="Arial"/>
                <w:color w:val="58595A"/>
                <w:sz w:val="18"/>
                <w:szCs w:val="18"/>
              </w:rPr>
              <w:t>7</w:t>
            </w:r>
          </w:p>
        </w:tc>
        <w:tc>
          <w:tcPr>
            <w:tcW w:w="538" w:type="dxa"/>
            <w:tcBorders>
              <w:top w:val="single" w:sz="4" w:space="0" w:color="D9D9D9" w:themeColor="background1" w:themeShade="D9"/>
              <w:left w:val="single" w:sz="4" w:space="0" w:color="D9D9D9" w:themeColor="background1" w:themeShade="D9"/>
              <w:bottom w:val="single" w:sz="8" w:space="0" w:color="D9D9D9" w:themeColor="background1" w:themeShade="D9"/>
              <w:right w:val="single" w:sz="4" w:space="0" w:color="D9D9D9" w:themeColor="background1" w:themeShade="D9"/>
            </w:tcBorders>
            <w:vAlign w:val="center"/>
            <w:hideMark/>
          </w:tcPr>
          <w:p w14:paraId="7340EB55" w14:textId="77777777" w:rsidR="002F3BF7" w:rsidRPr="00EF131C" w:rsidRDefault="002F3BF7" w:rsidP="00EF131C">
            <w:pPr>
              <w:spacing w:before="50" w:after="50"/>
              <w:jc w:val="center"/>
              <w:rPr>
                <w:rFonts w:cs="Arial"/>
                <w:color w:val="58595A"/>
                <w:sz w:val="18"/>
                <w:szCs w:val="18"/>
              </w:rPr>
            </w:pPr>
            <w:r w:rsidRPr="00EF131C">
              <w:rPr>
                <w:rFonts w:cs="Arial"/>
                <w:color w:val="58595A"/>
                <w:sz w:val="18"/>
                <w:szCs w:val="18"/>
              </w:rPr>
              <w:t>11</w:t>
            </w:r>
          </w:p>
        </w:tc>
        <w:tc>
          <w:tcPr>
            <w:tcW w:w="538" w:type="dxa"/>
            <w:tcBorders>
              <w:top w:val="single" w:sz="4" w:space="0" w:color="D9D9D9" w:themeColor="background1" w:themeShade="D9"/>
              <w:left w:val="single" w:sz="4" w:space="0" w:color="D9D9D9" w:themeColor="background1" w:themeShade="D9"/>
              <w:bottom w:val="single" w:sz="8" w:space="0" w:color="D9D9D9" w:themeColor="background1" w:themeShade="D9"/>
              <w:right w:val="single" w:sz="4" w:space="0" w:color="D9D9D9" w:themeColor="background1" w:themeShade="D9"/>
            </w:tcBorders>
            <w:vAlign w:val="center"/>
            <w:hideMark/>
          </w:tcPr>
          <w:p w14:paraId="1C9112B8" w14:textId="77777777" w:rsidR="002F3BF7" w:rsidRPr="00EF131C" w:rsidRDefault="002F3BF7" w:rsidP="00EF131C">
            <w:pPr>
              <w:spacing w:before="50" w:after="50"/>
              <w:jc w:val="center"/>
              <w:rPr>
                <w:rFonts w:cs="Arial"/>
                <w:color w:val="58595A"/>
                <w:sz w:val="18"/>
                <w:szCs w:val="18"/>
              </w:rPr>
            </w:pPr>
            <w:r w:rsidRPr="00EF131C">
              <w:rPr>
                <w:rFonts w:cs="Arial"/>
                <w:color w:val="58595A"/>
                <w:sz w:val="18"/>
                <w:szCs w:val="18"/>
              </w:rPr>
              <w:t>5</w:t>
            </w:r>
          </w:p>
        </w:tc>
        <w:tc>
          <w:tcPr>
            <w:tcW w:w="538" w:type="dxa"/>
            <w:tcBorders>
              <w:top w:val="single" w:sz="4" w:space="0" w:color="D9D9D9" w:themeColor="background1" w:themeShade="D9"/>
              <w:left w:val="single" w:sz="4" w:space="0" w:color="D9D9D9" w:themeColor="background1" w:themeShade="D9"/>
              <w:bottom w:val="single" w:sz="8" w:space="0" w:color="D9D9D9" w:themeColor="background1" w:themeShade="D9"/>
              <w:right w:val="single" w:sz="4" w:space="0" w:color="D9D9D9" w:themeColor="background1" w:themeShade="D9"/>
            </w:tcBorders>
            <w:vAlign w:val="center"/>
            <w:hideMark/>
          </w:tcPr>
          <w:p w14:paraId="0487D39F" w14:textId="77777777" w:rsidR="002F3BF7" w:rsidRPr="00EF131C" w:rsidRDefault="002F3BF7" w:rsidP="00EF131C">
            <w:pPr>
              <w:spacing w:before="50" w:after="50"/>
              <w:jc w:val="center"/>
              <w:rPr>
                <w:rFonts w:cs="Arial"/>
                <w:color w:val="58595A"/>
                <w:sz w:val="18"/>
                <w:szCs w:val="18"/>
              </w:rPr>
            </w:pPr>
            <w:r w:rsidRPr="00EF131C">
              <w:rPr>
                <w:rFonts w:cs="Arial"/>
                <w:color w:val="58595A"/>
                <w:sz w:val="18"/>
                <w:szCs w:val="18"/>
              </w:rPr>
              <w:t>11</w:t>
            </w:r>
          </w:p>
        </w:tc>
        <w:tc>
          <w:tcPr>
            <w:tcW w:w="538" w:type="dxa"/>
            <w:tcBorders>
              <w:top w:val="single" w:sz="4" w:space="0" w:color="D9D9D9" w:themeColor="background1" w:themeShade="D9"/>
              <w:left w:val="single" w:sz="4" w:space="0" w:color="D9D9D9" w:themeColor="background1" w:themeShade="D9"/>
              <w:bottom w:val="single" w:sz="8" w:space="0" w:color="D9D9D9" w:themeColor="background1" w:themeShade="D9"/>
              <w:right w:val="single" w:sz="4" w:space="0" w:color="D9D9D9" w:themeColor="background1" w:themeShade="D9"/>
            </w:tcBorders>
            <w:vAlign w:val="center"/>
            <w:hideMark/>
          </w:tcPr>
          <w:p w14:paraId="69CE25C5" w14:textId="77777777" w:rsidR="002F3BF7" w:rsidRPr="00EF131C" w:rsidRDefault="002F3BF7" w:rsidP="00EF131C">
            <w:pPr>
              <w:spacing w:before="50" w:after="50"/>
              <w:jc w:val="center"/>
              <w:rPr>
                <w:rFonts w:cs="Arial"/>
                <w:color w:val="58595A"/>
                <w:sz w:val="18"/>
                <w:szCs w:val="18"/>
              </w:rPr>
            </w:pPr>
            <w:r w:rsidRPr="00EF131C">
              <w:rPr>
                <w:rFonts w:cs="Arial"/>
                <w:color w:val="58595A"/>
                <w:sz w:val="18"/>
                <w:szCs w:val="18"/>
              </w:rPr>
              <w:t>9</w:t>
            </w:r>
          </w:p>
        </w:tc>
        <w:tc>
          <w:tcPr>
            <w:tcW w:w="538" w:type="dxa"/>
            <w:tcBorders>
              <w:top w:val="single" w:sz="4" w:space="0" w:color="D9D9D9" w:themeColor="background1" w:themeShade="D9"/>
              <w:left w:val="single" w:sz="4" w:space="0" w:color="D9D9D9" w:themeColor="background1" w:themeShade="D9"/>
              <w:bottom w:val="single" w:sz="8" w:space="0" w:color="D9D9D9" w:themeColor="background1" w:themeShade="D9"/>
              <w:right w:val="single" w:sz="4" w:space="0" w:color="D9D9D9" w:themeColor="background1" w:themeShade="D9"/>
            </w:tcBorders>
            <w:vAlign w:val="center"/>
            <w:hideMark/>
          </w:tcPr>
          <w:p w14:paraId="248BDA73" w14:textId="77777777" w:rsidR="002F3BF7" w:rsidRPr="00EF131C" w:rsidRDefault="002F3BF7" w:rsidP="00EF131C">
            <w:pPr>
              <w:spacing w:before="50" w:after="50"/>
              <w:jc w:val="center"/>
              <w:rPr>
                <w:rFonts w:cs="Arial"/>
                <w:color w:val="58595A"/>
                <w:sz w:val="18"/>
                <w:szCs w:val="18"/>
              </w:rPr>
            </w:pPr>
            <w:r w:rsidRPr="00EF131C">
              <w:rPr>
                <w:rFonts w:cs="Arial"/>
                <w:color w:val="58595A"/>
                <w:sz w:val="18"/>
                <w:szCs w:val="18"/>
              </w:rPr>
              <w:t>10</w:t>
            </w:r>
          </w:p>
        </w:tc>
        <w:tc>
          <w:tcPr>
            <w:tcW w:w="537" w:type="dxa"/>
            <w:tcBorders>
              <w:top w:val="single" w:sz="4" w:space="0" w:color="D9D9D9" w:themeColor="background1" w:themeShade="D9"/>
              <w:left w:val="single" w:sz="4" w:space="0" w:color="D9D9D9" w:themeColor="background1" w:themeShade="D9"/>
              <w:bottom w:val="single" w:sz="8" w:space="0" w:color="D9D9D9" w:themeColor="background1" w:themeShade="D9"/>
              <w:right w:val="single" w:sz="4" w:space="0" w:color="D9D9D9" w:themeColor="background1" w:themeShade="D9"/>
            </w:tcBorders>
            <w:vAlign w:val="center"/>
            <w:hideMark/>
          </w:tcPr>
          <w:p w14:paraId="24482620" w14:textId="77777777" w:rsidR="002F3BF7" w:rsidRPr="00EF131C" w:rsidRDefault="002F3BF7" w:rsidP="00EF131C">
            <w:pPr>
              <w:spacing w:before="50" w:after="50"/>
              <w:jc w:val="center"/>
              <w:rPr>
                <w:rFonts w:cs="Arial"/>
                <w:color w:val="58595A"/>
                <w:sz w:val="18"/>
                <w:szCs w:val="18"/>
              </w:rPr>
            </w:pPr>
            <w:r w:rsidRPr="00EF131C">
              <w:rPr>
                <w:rFonts w:cs="Arial"/>
                <w:color w:val="58595A"/>
                <w:sz w:val="18"/>
                <w:szCs w:val="18"/>
              </w:rPr>
              <w:t>8</w:t>
            </w:r>
          </w:p>
        </w:tc>
        <w:tc>
          <w:tcPr>
            <w:tcW w:w="538" w:type="dxa"/>
            <w:tcBorders>
              <w:top w:val="single" w:sz="4" w:space="0" w:color="D9D9D9" w:themeColor="background1" w:themeShade="D9"/>
              <w:left w:val="single" w:sz="4" w:space="0" w:color="D9D9D9" w:themeColor="background1" w:themeShade="D9"/>
              <w:bottom w:val="single" w:sz="8" w:space="0" w:color="D9D9D9" w:themeColor="background1" w:themeShade="D9"/>
              <w:right w:val="single" w:sz="4" w:space="0" w:color="D9D9D9" w:themeColor="background1" w:themeShade="D9"/>
            </w:tcBorders>
            <w:vAlign w:val="center"/>
            <w:hideMark/>
          </w:tcPr>
          <w:p w14:paraId="7EEB63E0" w14:textId="77777777" w:rsidR="002F3BF7" w:rsidRPr="00EF131C" w:rsidRDefault="002F3BF7" w:rsidP="00EF131C">
            <w:pPr>
              <w:spacing w:before="50" w:after="50"/>
              <w:jc w:val="center"/>
              <w:rPr>
                <w:rFonts w:cs="Arial"/>
                <w:color w:val="58595A"/>
                <w:sz w:val="18"/>
                <w:szCs w:val="18"/>
              </w:rPr>
            </w:pPr>
            <w:r w:rsidRPr="00EF131C">
              <w:rPr>
                <w:rFonts w:cs="Arial"/>
                <w:color w:val="58595A"/>
                <w:sz w:val="18"/>
                <w:szCs w:val="18"/>
              </w:rPr>
              <w:t>9</w:t>
            </w:r>
          </w:p>
        </w:tc>
        <w:tc>
          <w:tcPr>
            <w:tcW w:w="538" w:type="dxa"/>
            <w:tcBorders>
              <w:top w:val="single" w:sz="4" w:space="0" w:color="D9D9D9" w:themeColor="background1" w:themeShade="D9"/>
              <w:left w:val="single" w:sz="4" w:space="0" w:color="D9D9D9" w:themeColor="background1" w:themeShade="D9"/>
              <w:bottom w:val="single" w:sz="8" w:space="0" w:color="D9D9D9" w:themeColor="background1" w:themeShade="D9"/>
              <w:right w:val="single" w:sz="4" w:space="0" w:color="D9D9D9" w:themeColor="background1" w:themeShade="D9"/>
            </w:tcBorders>
            <w:vAlign w:val="center"/>
            <w:hideMark/>
          </w:tcPr>
          <w:p w14:paraId="276388CE" w14:textId="77777777" w:rsidR="002F3BF7" w:rsidRPr="00EF131C" w:rsidRDefault="002F3BF7" w:rsidP="00EF131C">
            <w:pPr>
              <w:spacing w:before="50" w:after="50"/>
              <w:jc w:val="center"/>
              <w:rPr>
                <w:rFonts w:cs="Arial"/>
                <w:color w:val="58595A"/>
                <w:sz w:val="18"/>
                <w:szCs w:val="18"/>
              </w:rPr>
            </w:pPr>
            <w:r w:rsidRPr="00EF131C">
              <w:rPr>
                <w:rFonts w:cs="Arial"/>
                <w:color w:val="58595A"/>
                <w:sz w:val="18"/>
                <w:szCs w:val="18"/>
              </w:rPr>
              <w:t>10</w:t>
            </w:r>
          </w:p>
        </w:tc>
        <w:tc>
          <w:tcPr>
            <w:tcW w:w="538" w:type="dxa"/>
            <w:tcBorders>
              <w:top w:val="single" w:sz="4" w:space="0" w:color="D9D9D9" w:themeColor="background1" w:themeShade="D9"/>
              <w:left w:val="single" w:sz="4" w:space="0" w:color="D9D9D9" w:themeColor="background1" w:themeShade="D9"/>
              <w:bottom w:val="single" w:sz="8" w:space="0" w:color="D9D9D9" w:themeColor="background1" w:themeShade="D9"/>
              <w:right w:val="single" w:sz="4" w:space="0" w:color="D9D9D9" w:themeColor="background1" w:themeShade="D9"/>
            </w:tcBorders>
            <w:vAlign w:val="center"/>
            <w:hideMark/>
          </w:tcPr>
          <w:p w14:paraId="30840733" w14:textId="77777777" w:rsidR="002F3BF7" w:rsidRPr="00EF131C" w:rsidRDefault="002F3BF7" w:rsidP="00EF131C">
            <w:pPr>
              <w:spacing w:before="50" w:after="50"/>
              <w:jc w:val="center"/>
              <w:rPr>
                <w:rFonts w:cs="Arial"/>
                <w:color w:val="58595A"/>
                <w:sz w:val="18"/>
                <w:szCs w:val="18"/>
              </w:rPr>
            </w:pPr>
            <w:r w:rsidRPr="00EF131C">
              <w:rPr>
                <w:rFonts w:cs="Arial"/>
                <w:color w:val="58595A"/>
                <w:sz w:val="18"/>
                <w:szCs w:val="18"/>
              </w:rPr>
              <w:t>9</w:t>
            </w:r>
          </w:p>
        </w:tc>
        <w:tc>
          <w:tcPr>
            <w:tcW w:w="538" w:type="dxa"/>
            <w:tcBorders>
              <w:top w:val="single" w:sz="4" w:space="0" w:color="D9D9D9" w:themeColor="background1" w:themeShade="D9"/>
              <w:left w:val="single" w:sz="4" w:space="0" w:color="D9D9D9" w:themeColor="background1" w:themeShade="D9"/>
              <w:bottom w:val="single" w:sz="8" w:space="0" w:color="D9D9D9" w:themeColor="background1" w:themeShade="D9"/>
              <w:right w:val="single" w:sz="4" w:space="0" w:color="D9D9D9" w:themeColor="background1" w:themeShade="D9"/>
            </w:tcBorders>
            <w:vAlign w:val="center"/>
            <w:hideMark/>
          </w:tcPr>
          <w:p w14:paraId="54150A7D" w14:textId="77777777" w:rsidR="002F3BF7" w:rsidRPr="00EF131C" w:rsidRDefault="002F3BF7" w:rsidP="00EF131C">
            <w:pPr>
              <w:spacing w:before="50" w:after="50"/>
              <w:jc w:val="center"/>
              <w:rPr>
                <w:rFonts w:cs="Arial"/>
                <w:color w:val="58595A"/>
                <w:sz w:val="18"/>
                <w:szCs w:val="18"/>
              </w:rPr>
            </w:pPr>
            <w:r w:rsidRPr="00EF131C">
              <w:rPr>
                <w:rFonts w:cs="Arial"/>
                <w:color w:val="58595A"/>
                <w:sz w:val="18"/>
                <w:szCs w:val="18"/>
              </w:rPr>
              <w:t>10</w:t>
            </w:r>
          </w:p>
        </w:tc>
        <w:tc>
          <w:tcPr>
            <w:tcW w:w="538" w:type="dxa"/>
            <w:tcBorders>
              <w:top w:val="single" w:sz="4" w:space="0" w:color="D9D9D9" w:themeColor="background1" w:themeShade="D9"/>
              <w:left w:val="single" w:sz="4" w:space="0" w:color="D9D9D9" w:themeColor="background1" w:themeShade="D9"/>
              <w:bottom w:val="single" w:sz="8" w:space="0" w:color="D9D9D9" w:themeColor="background1" w:themeShade="D9"/>
            </w:tcBorders>
            <w:vAlign w:val="center"/>
            <w:hideMark/>
          </w:tcPr>
          <w:p w14:paraId="46404AE1" w14:textId="77777777" w:rsidR="002F3BF7" w:rsidRPr="00EF131C" w:rsidRDefault="002F3BF7" w:rsidP="00EF131C">
            <w:pPr>
              <w:spacing w:before="50" w:after="50"/>
              <w:jc w:val="center"/>
              <w:rPr>
                <w:rFonts w:cs="Arial"/>
                <w:color w:val="58595A"/>
                <w:sz w:val="18"/>
                <w:szCs w:val="18"/>
              </w:rPr>
            </w:pPr>
            <w:r w:rsidRPr="00EF131C">
              <w:rPr>
                <w:rFonts w:cs="Arial"/>
                <w:color w:val="58595A"/>
                <w:sz w:val="18"/>
                <w:szCs w:val="18"/>
              </w:rPr>
              <w:t>6</w:t>
            </w:r>
          </w:p>
        </w:tc>
      </w:tr>
    </w:tbl>
    <w:p w14:paraId="3BDA8D7A" w14:textId="77777777" w:rsidR="002F3BF7" w:rsidRPr="0065414C" w:rsidRDefault="002F3BF7" w:rsidP="00926399">
      <w:pPr>
        <w:pStyle w:val="BodyText"/>
        <w:rPr>
          <w:rFonts w:cs="Arial"/>
        </w:rPr>
        <w:sectPr w:rsidR="002F3BF7" w:rsidRPr="0065414C" w:rsidSect="00D80215">
          <w:pgSz w:w="11910" w:h="16840"/>
          <w:pgMar w:top="1440" w:right="1440" w:bottom="1440" w:left="1440" w:header="0" w:footer="658" w:gutter="0"/>
          <w:cols w:space="340"/>
        </w:sectPr>
      </w:pPr>
    </w:p>
    <w:p w14:paraId="4A7264FA" w14:textId="77777777" w:rsidR="003430A1" w:rsidRPr="0065414C" w:rsidRDefault="002F3BF7" w:rsidP="002F3BF7">
      <w:pPr>
        <w:pStyle w:val="BodyText"/>
        <w:spacing w:before="0"/>
        <w:rPr>
          <w:rFonts w:cs="Arial"/>
        </w:rPr>
      </w:pPr>
      <w:r w:rsidRPr="0065414C">
        <w:rPr>
          <w:rFonts w:cs="Arial"/>
        </w:rPr>
        <w:t>IHPA proposes to implement the avoidable hospital readmissions funding adjustment using the finalised sets of risk factors for the risk adjustment model of each readmission category.</w:t>
      </w:r>
    </w:p>
    <w:p w14:paraId="219894A0" w14:textId="77777777" w:rsidR="00EB5043" w:rsidRPr="0065414C" w:rsidRDefault="002F3BF7" w:rsidP="002F3BF7">
      <w:pPr>
        <w:pStyle w:val="Heading3"/>
        <w:rPr>
          <w:rFonts w:cs="Arial"/>
        </w:rPr>
      </w:pPr>
      <w:r w:rsidRPr="0065414C">
        <w:rPr>
          <w:rFonts w:cs="Arial"/>
        </w:rPr>
        <w:t>Individual Healthcare Identifier</w:t>
      </w:r>
    </w:p>
    <w:p w14:paraId="758A94BD" w14:textId="77777777" w:rsidR="00EB5043" w:rsidRPr="0065414C" w:rsidRDefault="00170601" w:rsidP="00EB5043">
      <w:pPr>
        <w:pStyle w:val="BodyText"/>
        <w:rPr>
          <w:rFonts w:cs="Arial"/>
        </w:rPr>
      </w:pPr>
      <w:r w:rsidRPr="00170601">
        <w:rPr>
          <w:rFonts w:cs="Arial"/>
        </w:rPr>
        <w:t>Throughout the shadow period, IHPA has evaluated the feasibility of implementing the assessed scope and funding options, with the understanding that currently there is not a national patient identifier available in national data sets used by IHPA</w:t>
      </w:r>
      <w:r w:rsidR="00EB5043" w:rsidRPr="0065414C">
        <w:rPr>
          <w:rFonts w:cs="Arial"/>
        </w:rPr>
        <w:t>.</w:t>
      </w:r>
    </w:p>
    <w:p w14:paraId="607915F6" w14:textId="77777777" w:rsidR="00EB5043" w:rsidRPr="0065414C" w:rsidRDefault="00170601" w:rsidP="00EB5043">
      <w:pPr>
        <w:pStyle w:val="BodyText"/>
        <w:rPr>
          <w:rFonts w:cs="Arial"/>
        </w:rPr>
      </w:pPr>
      <w:r w:rsidRPr="00170601">
        <w:rPr>
          <w:rFonts w:cs="Arial"/>
        </w:rPr>
        <w:t>As such</w:t>
      </w:r>
      <w:r>
        <w:rPr>
          <w:rFonts w:cs="Arial"/>
        </w:rPr>
        <w:t>,</w:t>
      </w:r>
      <w:r w:rsidRPr="00170601">
        <w:rPr>
          <w:rFonts w:cs="Arial"/>
        </w:rPr>
        <w:t xml:space="preserve"> IHPA will use the Medicare PIN in the short term to implement the adjustment for avoidable hospital readmissions, with a view to using the Individual Healthcare Identifier in the long term</w:t>
      </w:r>
      <w:r w:rsidR="00EB5043" w:rsidRPr="0065414C">
        <w:rPr>
          <w:rFonts w:cs="Arial"/>
        </w:rPr>
        <w:t>.</w:t>
      </w:r>
    </w:p>
    <w:p w14:paraId="204C6F96" w14:textId="77777777" w:rsidR="002F3BF7" w:rsidRPr="0065414C" w:rsidRDefault="002F3BF7" w:rsidP="002F3BF7">
      <w:pPr>
        <w:pStyle w:val="Heading3"/>
        <w:spacing w:before="0"/>
        <w:rPr>
          <w:rFonts w:cs="Arial"/>
        </w:rPr>
      </w:pPr>
      <w:r w:rsidRPr="0065414C">
        <w:rPr>
          <w:rFonts w:cs="Arial"/>
        </w:rPr>
        <w:br w:type="column"/>
      </w:r>
      <w:r w:rsidRPr="0065414C">
        <w:rPr>
          <w:rFonts w:cs="Arial"/>
        </w:rPr>
        <w:t>Readmissions across financial</w:t>
      </w:r>
      <w:r w:rsidR="005B7291">
        <w:rPr>
          <w:rFonts w:cs="Arial"/>
        </w:rPr>
        <w:t> </w:t>
      </w:r>
      <w:r w:rsidRPr="0065414C">
        <w:rPr>
          <w:rFonts w:cs="Arial"/>
        </w:rPr>
        <w:t>years</w:t>
      </w:r>
    </w:p>
    <w:p w14:paraId="2F619294" w14:textId="77777777" w:rsidR="00EB5043" w:rsidRPr="0065414C" w:rsidRDefault="002F3BF7" w:rsidP="00EB5043">
      <w:pPr>
        <w:pStyle w:val="BodyText"/>
        <w:rPr>
          <w:rFonts w:cs="Arial"/>
        </w:rPr>
      </w:pPr>
      <w:r w:rsidRPr="0065414C">
        <w:rPr>
          <w:rFonts w:cs="Arial"/>
        </w:rPr>
        <w:t>IHPA recognises the need to accurately capture and adjust for readmission episodes that occur across financial years. In reviewing 2015–16, 2016–17, 2017–18 and 2018–19 data of all avoidable hospital readmissions within or across financial years, the analysis revealed that while the majority of readmissions occurred within the same financial year, approximately 2.8 per cent occurred across financial years</w:t>
      </w:r>
      <w:r w:rsidR="00EB5043" w:rsidRPr="0065414C">
        <w:rPr>
          <w:rFonts w:cs="Arial"/>
        </w:rPr>
        <w:t>.</w:t>
      </w:r>
    </w:p>
    <w:p w14:paraId="4D40FD60" w14:textId="77777777" w:rsidR="002F3BF7" w:rsidRPr="0065414C" w:rsidRDefault="002F3BF7" w:rsidP="00EB5043">
      <w:pPr>
        <w:pStyle w:val="BodyText"/>
        <w:rPr>
          <w:rFonts w:cs="Arial"/>
        </w:rPr>
      </w:pPr>
      <w:r w:rsidRPr="0065414C">
        <w:rPr>
          <w:rFonts w:cs="Arial"/>
        </w:rPr>
        <w:t>Therefore, as part of the implementation of a funding adjustment for readmissions, IHPA notes that it may be necessary for the Administrator of the National Health Funding Pool to make minor funding adjustments post-reconciliation to account for any newly identified readmissions with index episodes in the previous financial year.</w:t>
      </w:r>
    </w:p>
    <w:p w14:paraId="51451BE6" w14:textId="77777777" w:rsidR="002F3BF7" w:rsidRPr="0065414C" w:rsidRDefault="002F3BF7" w:rsidP="002F3BF7">
      <w:pPr>
        <w:pStyle w:val="Heading3"/>
        <w:rPr>
          <w:rFonts w:cs="Arial"/>
        </w:rPr>
      </w:pPr>
      <w:r w:rsidRPr="0065414C">
        <w:rPr>
          <w:rFonts w:cs="Arial"/>
        </w:rPr>
        <w:br w:type="column"/>
      </w:r>
      <w:r w:rsidRPr="0065414C">
        <w:rPr>
          <w:rFonts w:cs="Arial"/>
        </w:rPr>
        <w:lastRenderedPageBreak/>
        <w:t>Implementation of the readmissions funding adjustment</w:t>
      </w:r>
    </w:p>
    <w:p w14:paraId="634C2018" w14:textId="77777777" w:rsidR="002F3BF7" w:rsidRPr="0065414C" w:rsidRDefault="002F3BF7" w:rsidP="002F3BF7">
      <w:pPr>
        <w:pStyle w:val="BodyText"/>
        <w:rPr>
          <w:rFonts w:cs="Arial"/>
        </w:rPr>
      </w:pPr>
      <w:r w:rsidRPr="0065414C">
        <w:rPr>
          <w:rFonts w:cs="Arial"/>
        </w:rPr>
        <w:t>Following feedback to the consultation process and ahead of the 1 July 2021 implementation, IHPA will seek final approval for all aspects of the proposed pricing model from the CHC, as stipulated by the Addendum.</w:t>
      </w:r>
    </w:p>
    <w:p w14:paraId="7A7814E1" w14:textId="77777777" w:rsidR="00EB5043" w:rsidRPr="0065414C" w:rsidRDefault="00EB5043" w:rsidP="002F3BF7">
      <w:pPr>
        <w:pStyle w:val="Heading3"/>
        <w:rPr>
          <w:rFonts w:cs="Arial"/>
        </w:rPr>
      </w:pPr>
      <w:r w:rsidRPr="0065414C">
        <w:rPr>
          <w:rFonts w:cs="Arial"/>
        </w:rPr>
        <w:t>Commercial readmissions software</w:t>
      </w:r>
    </w:p>
    <w:p w14:paraId="6BC5E59C" w14:textId="77777777" w:rsidR="00EB5043" w:rsidRPr="0065414C" w:rsidRDefault="002F3BF7" w:rsidP="00EB5043">
      <w:pPr>
        <w:pStyle w:val="BodyText"/>
        <w:rPr>
          <w:rFonts w:cs="Arial"/>
        </w:rPr>
      </w:pPr>
      <w:r w:rsidRPr="0065414C">
        <w:rPr>
          <w:rFonts w:cs="Arial"/>
        </w:rPr>
        <w:t>IHPA has engaged 3M Australia Pty Ltd to develop a readmissions software tool, based on their existing Potentially Preventable Readmissions software. The software tool will be applicable to the nationally admitted patient data set to identify and link avoidable hospital readmissions, and will be used to determine whether a readmission is clinically related to a prior admission based on the patient’s diagnosis and procedures in the index admission and the reason for readmission. This will allow investigation of a broader scope of avoidable hospital readmission conditions than the current list</w:t>
      </w:r>
      <w:r w:rsidR="00EB5043" w:rsidRPr="0065414C">
        <w:rPr>
          <w:rFonts w:cs="Arial"/>
        </w:rPr>
        <w:t>.</w:t>
      </w:r>
    </w:p>
    <w:p w14:paraId="220684D7" w14:textId="77777777" w:rsidR="00EB5043" w:rsidRPr="0065414C" w:rsidRDefault="002F3BF7" w:rsidP="00EB5043">
      <w:pPr>
        <w:pStyle w:val="BodyText"/>
        <w:rPr>
          <w:rFonts w:cs="Arial"/>
        </w:rPr>
      </w:pPr>
      <w:r w:rsidRPr="0065414C">
        <w:rPr>
          <w:rFonts w:cs="Arial"/>
        </w:rPr>
        <w:t xml:space="preserve">The project is scheduled for completion at the end of 2021. IHPA will provide updates and seek stakeholder feedback in the </w:t>
      </w:r>
      <w:r w:rsidRPr="0065414C">
        <w:rPr>
          <w:rFonts w:cs="Arial"/>
          <w:i/>
        </w:rPr>
        <w:t>Consultation Paper on the Pricing Framework for Australian Public Hospital Services 2022–23</w:t>
      </w:r>
      <w:r w:rsidR="00EB5043" w:rsidRPr="0065414C">
        <w:rPr>
          <w:rFonts w:cs="Arial"/>
          <w:i/>
          <w:iCs/>
        </w:rPr>
        <w:t>.</w:t>
      </w:r>
    </w:p>
    <w:p w14:paraId="6F22E69F" w14:textId="77777777" w:rsidR="00EB5043" w:rsidRPr="0065414C" w:rsidRDefault="002F3BF7" w:rsidP="003430A1">
      <w:pPr>
        <w:pStyle w:val="BodyText"/>
        <w:rPr>
          <w:rFonts w:cs="Arial"/>
        </w:rPr>
      </w:pPr>
      <w:r w:rsidRPr="0065414C">
        <w:rPr>
          <w:rFonts w:cs="Arial"/>
          <w:noProof/>
          <w:lang w:eastAsia="en-AU" w:bidi="ar-SA"/>
        </w:rPr>
        <w:drawing>
          <wp:anchor distT="0" distB="0" distL="114300" distR="114300" simplePos="0" relativeHeight="251668480" behindDoc="0" locked="0" layoutInCell="1" allowOverlap="1" wp14:anchorId="65A9F75A" wp14:editId="33E7D322">
            <wp:simplePos x="0" y="0"/>
            <wp:positionH relativeFrom="column">
              <wp:posOffset>160932</wp:posOffset>
            </wp:positionH>
            <wp:positionV relativeFrom="page">
              <wp:posOffset>6347404</wp:posOffset>
            </wp:positionV>
            <wp:extent cx="236791" cy="215265"/>
            <wp:effectExtent l="0" t="0" r="0" b="0"/>
            <wp:wrapNone/>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36791" cy="215265"/>
                    </a:xfrm>
                    <a:prstGeom prst="rect">
                      <a:avLst/>
                    </a:prstGeom>
                  </pic:spPr>
                </pic:pic>
              </a:graphicData>
            </a:graphic>
          </wp:anchor>
        </w:drawing>
      </w:r>
      <w:r w:rsidRPr="0065414C">
        <w:rPr>
          <w:rFonts w:cs="Arial"/>
          <w:noProof/>
          <w:lang w:eastAsia="en-AU" w:bidi="ar-SA"/>
        </w:rPr>
        <mc:AlternateContent>
          <mc:Choice Requires="wps">
            <w:drawing>
              <wp:anchor distT="0" distB="144145" distL="0" distR="0" simplePos="0" relativeHeight="251617271" behindDoc="1" locked="0" layoutInCell="1" allowOverlap="1" wp14:anchorId="74DF93F2" wp14:editId="5F9B9D9C">
                <wp:simplePos x="0" y="0"/>
                <wp:positionH relativeFrom="margin">
                  <wp:align>left</wp:align>
                </wp:positionH>
                <wp:positionV relativeFrom="paragraph">
                  <wp:posOffset>250190</wp:posOffset>
                </wp:positionV>
                <wp:extent cx="2688590" cy="2592070"/>
                <wp:effectExtent l="0" t="0" r="16510" b="17780"/>
                <wp:wrapTopAndBottom/>
                <wp:docPr id="37" name="Text Box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8590" cy="2592070"/>
                        </a:xfrm>
                        <a:prstGeom prst="rect">
                          <a:avLst/>
                        </a:prstGeom>
                        <a:noFill/>
                        <a:ln w="9525">
                          <a:solidFill>
                            <a:schemeClr val="accent6">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7C507DF" w14:textId="77777777" w:rsidR="001C5C18" w:rsidRPr="00693365" w:rsidRDefault="001C5C18" w:rsidP="0057671C">
                            <w:pPr>
                              <w:pStyle w:val="Questionheading"/>
                            </w:pPr>
                            <w:bookmarkStart w:id="181" w:name="Question46"/>
                            <w:r>
                              <w:t>Consultation questions</w:t>
                            </w:r>
                          </w:p>
                          <w:bookmarkEnd w:id="181"/>
                          <w:p w14:paraId="5CCBE13C" w14:textId="77777777" w:rsidR="001C5C18" w:rsidRDefault="001C5C18" w:rsidP="0057671C">
                            <w:pPr>
                              <w:pStyle w:val="ListParagraph"/>
                              <w:ind w:left="567" w:right="329"/>
                            </w:pPr>
                            <w:r>
                              <w:t>Do you support IHPA’s proposed pricing model for avoidable hospital readmissions, under funding option one at a jurisdiction scope level</w:t>
                            </w:r>
                            <w:r w:rsidRPr="00604A4A">
                              <w:t>?</w:t>
                            </w:r>
                          </w:p>
                          <w:p w14:paraId="148C91F1" w14:textId="77777777" w:rsidR="001C5C18" w:rsidRDefault="001C5C18" w:rsidP="0057671C">
                            <w:pPr>
                              <w:pStyle w:val="ListParagraph"/>
                              <w:ind w:left="567" w:right="329"/>
                            </w:pPr>
                            <w:r>
                              <w:t>Are there any refinements to the risk adjustment model and risk factors that IHPA should consider</w:t>
                            </w:r>
                            <w:r w:rsidRPr="00604A4A">
                              <w:t>?</w:t>
                            </w:r>
                          </w:p>
                          <w:p w14:paraId="6FC7878A" w14:textId="77777777" w:rsidR="001C5C18" w:rsidRDefault="001C5C18" w:rsidP="0057671C">
                            <w:pPr>
                              <w:pStyle w:val="ListParagraph"/>
                              <w:ind w:left="567" w:right="329"/>
                            </w:pPr>
                            <w:r>
                              <w:t>What additional aspects does IHPA need to consider when implementing a funding adjustment for avoidable hospital readmissions?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F93F2" id="Text Box 47" o:spid="_x0000_s1043" type="#_x0000_t202" alt="&quot;&quot;" style="position:absolute;margin-left:0;margin-top:19.7pt;width:211.7pt;height:204.1pt;z-index:-251699209;visibility:visible;mso-wrap-style:square;mso-width-percent:0;mso-height-percent:0;mso-wrap-distance-left:0;mso-wrap-distance-top:0;mso-wrap-distance-right:0;mso-wrap-distance-bottom:11.35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" filled="f" strokecolor="#009ab8 [3209]">
                <v:textbox inset="0,0,0,0">
                  <w:txbxContent>
                    <w:p w14:paraId="77C507DF" w14:textId="77777777" w:rsidR="001C5C18" w:rsidRPr="00693365" w:rsidRDefault="001C5C18" w:rsidP="0057671C">
                      <w:pPr>
                        <w:pStyle w:val="Questionheading"/>
                      </w:pPr>
                      <w:bookmarkStart w:id="182" w:name="Question46"/>
                      <w:r>
                        <w:t>Consultation questions</w:t>
                      </w:r>
                    </w:p>
                    <w:bookmarkEnd w:id="182"/>
                    <w:p w14:paraId="5CCBE13C" w14:textId="77777777" w:rsidR="001C5C18" w:rsidRDefault="001C5C18" w:rsidP="0057671C">
                      <w:pPr>
                        <w:pStyle w:val="ListParagraph"/>
                        <w:ind w:left="567" w:right="329"/>
                      </w:pPr>
                      <w:r>
                        <w:t>Do you support IHPA’s proposed pricing model for avoidable hospital readmissions, under funding option one at a jurisdiction scope level</w:t>
                      </w:r>
                      <w:r w:rsidRPr="00604A4A">
                        <w:t>?</w:t>
                      </w:r>
                    </w:p>
                    <w:p w14:paraId="148C91F1" w14:textId="77777777" w:rsidR="001C5C18" w:rsidRDefault="001C5C18" w:rsidP="0057671C">
                      <w:pPr>
                        <w:pStyle w:val="ListParagraph"/>
                        <w:ind w:left="567" w:right="329"/>
                      </w:pPr>
                      <w:r>
                        <w:t>Are there any refinements to the risk adjustment model and risk factors that IHPA should consider</w:t>
                      </w:r>
                      <w:r w:rsidRPr="00604A4A">
                        <w:t>?</w:t>
                      </w:r>
                    </w:p>
                    <w:p w14:paraId="6FC7878A" w14:textId="77777777" w:rsidR="001C5C18" w:rsidRDefault="001C5C18" w:rsidP="0057671C">
                      <w:pPr>
                        <w:pStyle w:val="ListParagraph"/>
                        <w:ind w:left="567" w:right="329"/>
                      </w:pPr>
                      <w:r>
                        <w:t>What additional aspects does IHPA need to consider when implementing a funding adjustment for avoidable hospital readmissions?</w:t>
                      </w:r>
                    </w:p>
                  </w:txbxContent>
                </v:textbox>
                <w10:wrap type="topAndBottom" anchorx="margin"/>
              </v:shape>
            </w:pict>
          </mc:Fallback>
        </mc:AlternateContent>
      </w:r>
    </w:p>
    <w:p w14:paraId="28F65CA5" w14:textId="77777777" w:rsidR="007A574D" w:rsidRPr="0065414C" w:rsidRDefault="007A574D" w:rsidP="003430A1">
      <w:pPr>
        <w:pStyle w:val="BodyText"/>
        <w:rPr>
          <w:rFonts w:cs="Arial"/>
        </w:rPr>
      </w:pPr>
    </w:p>
    <w:p w14:paraId="0E4CFB96" w14:textId="77777777" w:rsidR="003430A1" w:rsidRPr="0065414C" w:rsidRDefault="003430A1" w:rsidP="003430A1">
      <w:pPr>
        <w:pStyle w:val="BodyText"/>
        <w:rPr>
          <w:rFonts w:cs="Arial"/>
        </w:rPr>
        <w:sectPr w:rsidR="003430A1" w:rsidRPr="0065414C" w:rsidSect="00C972BD">
          <w:type w:val="continuous"/>
          <w:pgSz w:w="11910" w:h="16840"/>
          <w:pgMar w:top="1440" w:right="1440" w:bottom="1440" w:left="1440" w:header="0" w:footer="658" w:gutter="0"/>
          <w:cols w:num="2" w:space="340"/>
        </w:sectPr>
      </w:pPr>
    </w:p>
    <w:p w14:paraId="3A5C7492" w14:textId="77777777" w:rsidR="00C415F5" w:rsidRPr="0065414C" w:rsidRDefault="00603DEC" w:rsidP="00A20ED3">
      <w:pPr>
        <w:pStyle w:val="Sectionheader"/>
        <w:spacing w:after="480"/>
      </w:pPr>
      <w:bookmarkStart w:id="183" w:name="Appendix_A_—_List_of_consultation_questi"/>
      <w:bookmarkStart w:id="184" w:name="_bookmark23"/>
      <w:bookmarkStart w:id="185" w:name="_Toc49953799"/>
      <w:bookmarkStart w:id="186" w:name="_Toc50532337"/>
      <w:bookmarkEnd w:id="183"/>
      <w:bookmarkEnd w:id="184"/>
      <w:r w:rsidRPr="0065414C">
        <w:lastRenderedPageBreak/>
        <w:t xml:space="preserve">Appendix </w:t>
      </w:r>
      <w:r w:rsidR="00E34F49" w:rsidRPr="0065414C">
        <w:t>1</w:t>
      </w:r>
      <w:r w:rsidRPr="0065414C">
        <w:t xml:space="preserve"> — List of consultation questions</w:t>
      </w:r>
      <w:bookmarkEnd w:id="185"/>
      <w:bookmarkEnd w:id="186"/>
    </w:p>
    <w:tbl>
      <w:tblPr>
        <w:tblStyle w:val="IHPA"/>
        <w:tblW w:w="8931" w:type="dxa"/>
        <w:tblCellMar>
          <w:top w:w="57" w:type="dxa"/>
          <w:left w:w="0" w:type="dxa"/>
          <w:bottom w:w="57" w:type="dxa"/>
          <w:right w:w="0" w:type="dxa"/>
        </w:tblCellMar>
        <w:tblLook w:val="0620" w:firstRow="1" w:lastRow="0" w:firstColumn="0" w:lastColumn="0" w:noHBand="1" w:noVBand="1"/>
        <w:tblCaption w:val="Appendix 1"/>
        <w:tblDescription w:val="Table with 2 columns; list of questions and page numbers"/>
      </w:tblPr>
      <w:tblGrid>
        <w:gridCol w:w="7513"/>
        <w:gridCol w:w="1418"/>
      </w:tblGrid>
      <w:tr w:rsidR="00053037" w:rsidRPr="0065414C" w14:paraId="71EB7C50" w14:textId="77777777" w:rsidTr="00B22772">
        <w:trPr>
          <w:cnfStyle w:val="100000000000" w:firstRow="1" w:lastRow="0" w:firstColumn="0" w:lastColumn="0" w:oddVBand="0" w:evenVBand="0" w:oddHBand="0" w:evenHBand="0" w:firstRowFirstColumn="0" w:firstRowLastColumn="0" w:lastRowFirstColumn="0" w:lastRowLastColumn="0"/>
          <w:trHeight w:val="531"/>
          <w:tblHeader/>
        </w:trPr>
        <w:tc>
          <w:tcPr>
            <w:tcW w:w="7513" w:type="dxa"/>
            <w:tcBorders>
              <w:bottom w:val="single" w:sz="2" w:space="0" w:color="636466"/>
            </w:tcBorders>
            <w:shd w:val="clear" w:color="auto" w:fill="003E2C"/>
          </w:tcPr>
          <w:p w14:paraId="07F0DF08" w14:textId="77777777" w:rsidR="00053037" w:rsidRPr="005A63BA" w:rsidRDefault="00053037" w:rsidP="0096661B">
            <w:pPr>
              <w:pStyle w:val="TableParagraph"/>
              <w:spacing w:before="0"/>
              <w:ind w:left="113" w:right="340"/>
              <w:rPr>
                <w:rFonts w:cs="Arial"/>
                <w:b/>
                <w:color w:val="FFFFFF" w:themeColor="background1"/>
              </w:rPr>
            </w:pPr>
            <w:r w:rsidRPr="005A63BA">
              <w:rPr>
                <w:rFonts w:cs="Arial"/>
                <w:b/>
                <w:color w:val="FFFFFF" w:themeColor="background1"/>
              </w:rPr>
              <w:t>Questions</w:t>
            </w:r>
          </w:p>
        </w:tc>
        <w:tc>
          <w:tcPr>
            <w:tcW w:w="1418" w:type="dxa"/>
            <w:tcBorders>
              <w:bottom w:val="single" w:sz="2" w:space="0" w:color="636466"/>
            </w:tcBorders>
            <w:shd w:val="clear" w:color="auto" w:fill="003E2C"/>
          </w:tcPr>
          <w:p w14:paraId="3EA8EF27" w14:textId="77777777" w:rsidR="00053037" w:rsidRPr="005A63BA" w:rsidRDefault="00053037" w:rsidP="00A2204F">
            <w:pPr>
              <w:pStyle w:val="TableParagraph"/>
              <w:spacing w:before="0"/>
              <w:jc w:val="center"/>
              <w:rPr>
                <w:rFonts w:cs="Arial"/>
                <w:b/>
                <w:color w:val="FFFFFF" w:themeColor="background1"/>
              </w:rPr>
            </w:pPr>
            <w:r w:rsidRPr="005A63BA">
              <w:rPr>
                <w:rFonts w:cs="Arial"/>
                <w:b/>
                <w:color w:val="FFFFFF" w:themeColor="background1"/>
              </w:rPr>
              <w:t>Page number</w:t>
            </w:r>
          </w:p>
        </w:tc>
      </w:tr>
      <w:tr w:rsidR="007450F4" w:rsidRPr="0065414C" w14:paraId="49C7CCEF" w14:textId="77777777" w:rsidTr="00B22772">
        <w:trPr>
          <w:trHeight w:val="20"/>
        </w:trPr>
        <w:tc>
          <w:tcPr>
            <w:tcW w:w="7513" w:type="dxa"/>
            <w:tcBorders>
              <w:top w:val="single" w:sz="2" w:space="0" w:color="636466"/>
              <w:bottom w:val="single" w:sz="4" w:space="0" w:color="D9D9D9" w:themeColor="background1" w:themeShade="D9"/>
            </w:tcBorders>
            <w:shd w:val="clear" w:color="auto" w:fill="FFFFFF" w:themeFill="background1"/>
          </w:tcPr>
          <w:p w14:paraId="720CFE66" w14:textId="77777777" w:rsidR="007450F4" w:rsidRPr="0065414C" w:rsidRDefault="007450F4" w:rsidP="007450F4">
            <w:pPr>
              <w:pStyle w:val="TableParagraph"/>
              <w:spacing w:before="60" w:after="60"/>
              <w:ind w:left="113" w:right="340"/>
              <w:rPr>
                <w:rFonts w:cs="Arial"/>
                <w:color w:val="008F54" w:themeColor="accent2"/>
              </w:rPr>
            </w:pPr>
            <w:r w:rsidRPr="0065414C">
              <w:rPr>
                <w:rFonts w:cs="Arial"/>
                <w:color w:val="008F54" w:themeColor="accent2"/>
              </w:rPr>
              <w:t xml:space="preserve">What changes have occurred to service delivery, activity levels and models of care </w:t>
            </w:r>
            <w:proofErr w:type="gramStart"/>
            <w:r w:rsidRPr="0065414C">
              <w:rPr>
                <w:rFonts w:cs="Arial"/>
                <w:color w:val="008F54" w:themeColor="accent2"/>
              </w:rPr>
              <w:t>as a result of</w:t>
            </w:r>
            <w:proofErr w:type="gramEnd"/>
            <w:r w:rsidRPr="0065414C">
              <w:rPr>
                <w:rFonts w:cs="Arial"/>
                <w:color w:val="008F54" w:themeColor="accent2"/>
              </w:rPr>
              <w:t xml:space="preserve"> COVID-19?</w:t>
            </w:r>
          </w:p>
        </w:tc>
        <w:tc>
          <w:tcPr>
            <w:tcW w:w="1418" w:type="dxa"/>
            <w:tcBorders>
              <w:top w:val="single" w:sz="2" w:space="0" w:color="636466"/>
              <w:bottom w:val="single" w:sz="4" w:space="0" w:color="D9D9D9" w:themeColor="background1" w:themeShade="D9"/>
            </w:tcBorders>
            <w:shd w:val="clear" w:color="auto" w:fill="FFFFFF" w:themeFill="background1"/>
          </w:tcPr>
          <w:p w14:paraId="77887A46" w14:textId="77777777" w:rsidR="007450F4" w:rsidRPr="0065414C" w:rsidRDefault="007450F4" w:rsidP="007450F4">
            <w:pPr>
              <w:pStyle w:val="TableParagraph"/>
              <w:spacing w:before="60" w:after="60"/>
              <w:jc w:val="center"/>
              <w:rPr>
                <w:rFonts w:cs="Arial"/>
                <w:color w:val="008F54" w:themeColor="accent2"/>
              </w:rPr>
            </w:pPr>
            <w:r w:rsidRPr="0065414C">
              <w:rPr>
                <w:rFonts w:cs="Arial"/>
                <w:color w:val="008F54" w:themeColor="accent2"/>
              </w:rPr>
              <w:t>9</w:t>
            </w:r>
          </w:p>
        </w:tc>
      </w:tr>
      <w:tr w:rsidR="007450F4" w:rsidRPr="0065414C" w14:paraId="135BFC5C" w14:textId="77777777" w:rsidTr="00B22772">
        <w:trPr>
          <w:trHeight w:val="20"/>
        </w:trPr>
        <w:tc>
          <w:tcPr>
            <w:tcW w:w="7513" w:type="dxa"/>
            <w:tcBorders>
              <w:top w:val="single" w:sz="4" w:space="0" w:color="D9D9D9" w:themeColor="background1" w:themeShade="D9"/>
              <w:bottom w:val="single" w:sz="4" w:space="0" w:color="D9D9D9" w:themeColor="background1" w:themeShade="D9"/>
            </w:tcBorders>
            <w:shd w:val="clear" w:color="auto" w:fill="FFFFFF" w:themeFill="background1"/>
          </w:tcPr>
          <w:p w14:paraId="110DD042" w14:textId="77777777" w:rsidR="007450F4" w:rsidRPr="0065414C" w:rsidRDefault="007450F4" w:rsidP="007450F4">
            <w:pPr>
              <w:pStyle w:val="TableParagraph"/>
              <w:spacing w:before="60" w:after="60"/>
              <w:ind w:left="113" w:right="340"/>
              <w:rPr>
                <w:rFonts w:cs="Arial"/>
                <w:color w:val="008F54" w:themeColor="accent2"/>
              </w:rPr>
            </w:pPr>
            <w:r w:rsidRPr="0065414C">
              <w:rPr>
                <w:rFonts w:cs="Arial"/>
                <w:color w:val="008F54" w:themeColor="accent2"/>
              </w:rPr>
              <w:t>How will these changes affect the costs of these services in the short and long term?</w:t>
            </w:r>
          </w:p>
        </w:tc>
        <w:tc>
          <w:tcPr>
            <w:tcW w:w="1418" w:type="dxa"/>
            <w:tcBorders>
              <w:top w:val="single" w:sz="4" w:space="0" w:color="D9D9D9" w:themeColor="background1" w:themeShade="D9"/>
              <w:bottom w:val="single" w:sz="4" w:space="0" w:color="D9D9D9" w:themeColor="background1" w:themeShade="D9"/>
            </w:tcBorders>
            <w:shd w:val="clear" w:color="auto" w:fill="FFFFFF" w:themeFill="background1"/>
          </w:tcPr>
          <w:p w14:paraId="59FB28E0" w14:textId="77777777" w:rsidR="007450F4" w:rsidRPr="0065414C" w:rsidRDefault="007450F4" w:rsidP="007450F4">
            <w:pPr>
              <w:pStyle w:val="TableParagraph"/>
              <w:spacing w:before="60" w:after="60"/>
              <w:jc w:val="center"/>
              <w:rPr>
                <w:rFonts w:cs="Arial"/>
                <w:color w:val="008F54" w:themeColor="accent2"/>
              </w:rPr>
            </w:pPr>
            <w:r w:rsidRPr="0065414C">
              <w:rPr>
                <w:rFonts w:cs="Arial"/>
                <w:color w:val="008F54" w:themeColor="accent2"/>
              </w:rPr>
              <w:t>9</w:t>
            </w:r>
          </w:p>
        </w:tc>
      </w:tr>
      <w:tr w:rsidR="007450F4" w:rsidRPr="0065414C" w14:paraId="29AF2C6A" w14:textId="77777777" w:rsidTr="00B22772">
        <w:trPr>
          <w:trHeight w:val="20"/>
        </w:trPr>
        <w:tc>
          <w:tcPr>
            <w:tcW w:w="7513" w:type="dxa"/>
            <w:tcBorders>
              <w:top w:val="single" w:sz="4" w:space="0" w:color="D9D9D9" w:themeColor="background1" w:themeShade="D9"/>
              <w:bottom w:val="single" w:sz="4" w:space="0" w:color="D9D9D9" w:themeColor="background1" w:themeShade="D9"/>
            </w:tcBorders>
            <w:shd w:val="clear" w:color="auto" w:fill="FFFFFF" w:themeFill="background1"/>
          </w:tcPr>
          <w:p w14:paraId="4AED06E0" w14:textId="77777777" w:rsidR="007450F4" w:rsidRPr="0065414C" w:rsidRDefault="007450F4" w:rsidP="007450F4">
            <w:pPr>
              <w:pStyle w:val="TableParagraph"/>
              <w:spacing w:before="60" w:after="60"/>
              <w:ind w:left="113" w:right="340"/>
              <w:rPr>
                <w:rFonts w:cs="Arial"/>
                <w:color w:val="008F54" w:themeColor="accent2"/>
              </w:rPr>
            </w:pPr>
            <w:r w:rsidRPr="0065414C">
              <w:rPr>
                <w:rFonts w:cs="Arial"/>
                <w:color w:val="008F54" w:themeColor="accent2"/>
              </w:rPr>
              <w:t>What aspects of the national pricing model will IHPA need to consider adapting to reflect changes in service delivery and models of care?</w:t>
            </w:r>
          </w:p>
        </w:tc>
        <w:tc>
          <w:tcPr>
            <w:tcW w:w="1418" w:type="dxa"/>
            <w:tcBorders>
              <w:top w:val="single" w:sz="4" w:space="0" w:color="D9D9D9" w:themeColor="background1" w:themeShade="D9"/>
              <w:bottom w:val="single" w:sz="4" w:space="0" w:color="D9D9D9" w:themeColor="background1" w:themeShade="D9"/>
            </w:tcBorders>
            <w:shd w:val="clear" w:color="auto" w:fill="FFFFFF" w:themeFill="background1"/>
          </w:tcPr>
          <w:p w14:paraId="022D94B9" w14:textId="77777777" w:rsidR="007450F4" w:rsidRPr="0065414C" w:rsidRDefault="007450F4" w:rsidP="007450F4">
            <w:pPr>
              <w:pStyle w:val="TableParagraph"/>
              <w:spacing w:before="60" w:after="60"/>
              <w:jc w:val="center"/>
              <w:rPr>
                <w:rFonts w:cs="Arial"/>
                <w:color w:val="008F54" w:themeColor="accent2"/>
              </w:rPr>
            </w:pPr>
            <w:r w:rsidRPr="0065414C">
              <w:rPr>
                <w:rFonts w:cs="Arial"/>
                <w:color w:val="008F54" w:themeColor="accent2"/>
              </w:rPr>
              <w:t>9</w:t>
            </w:r>
          </w:p>
        </w:tc>
      </w:tr>
      <w:tr w:rsidR="007450F4" w:rsidRPr="0065414C" w14:paraId="205383C2" w14:textId="77777777" w:rsidTr="00B22772">
        <w:trPr>
          <w:trHeight w:val="20"/>
        </w:trPr>
        <w:tc>
          <w:tcPr>
            <w:tcW w:w="7513" w:type="dxa"/>
            <w:tcBorders>
              <w:top w:val="single" w:sz="4" w:space="0" w:color="D9D9D9" w:themeColor="background1" w:themeShade="D9"/>
              <w:bottom w:val="single" w:sz="4" w:space="0" w:color="D9D9D9" w:themeColor="background1" w:themeShade="D9"/>
            </w:tcBorders>
            <w:shd w:val="clear" w:color="auto" w:fill="FFFFFF" w:themeFill="background1"/>
          </w:tcPr>
          <w:p w14:paraId="4047A29F" w14:textId="77777777" w:rsidR="007450F4" w:rsidRPr="0065414C" w:rsidRDefault="007450F4" w:rsidP="007450F4">
            <w:pPr>
              <w:pStyle w:val="TableParagraph"/>
              <w:spacing w:before="60" w:after="60"/>
              <w:ind w:left="113" w:right="340"/>
              <w:rPr>
                <w:rFonts w:cs="Arial"/>
                <w:color w:val="008F54" w:themeColor="accent2"/>
              </w:rPr>
            </w:pPr>
            <w:r w:rsidRPr="0065414C">
              <w:rPr>
                <w:rFonts w:cs="Arial"/>
                <w:color w:val="008F54" w:themeColor="accent2"/>
              </w:rPr>
              <w:t>Are the Pricing Guidelines still relevant in providing guidance on IHPA’s role in pricing Australian public hospital services?</w:t>
            </w:r>
          </w:p>
        </w:tc>
        <w:tc>
          <w:tcPr>
            <w:tcW w:w="1418" w:type="dxa"/>
            <w:tcBorders>
              <w:top w:val="single" w:sz="4" w:space="0" w:color="D9D9D9" w:themeColor="background1" w:themeShade="D9"/>
              <w:bottom w:val="single" w:sz="4" w:space="0" w:color="D9D9D9" w:themeColor="background1" w:themeShade="D9"/>
            </w:tcBorders>
            <w:shd w:val="clear" w:color="auto" w:fill="FFFFFF" w:themeFill="background1"/>
          </w:tcPr>
          <w:p w14:paraId="17367C84" w14:textId="77777777" w:rsidR="007450F4" w:rsidRPr="0065414C" w:rsidRDefault="007450F4" w:rsidP="007450F4">
            <w:pPr>
              <w:pStyle w:val="TableParagraph"/>
              <w:spacing w:before="60" w:after="60"/>
              <w:jc w:val="center"/>
              <w:rPr>
                <w:rFonts w:cs="Arial"/>
                <w:color w:val="008F54" w:themeColor="accent2"/>
              </w:rPr>
            </w:pPr>
            <w:r w:rsidRPr="0065414C">
              <w:rPr>
                <w:rFonts w:cs="Arial"/>
                <w:color w:val="008F54" w:themeColor="accent2"/>
              </w:rPr>
              <w:t>11</w:t>
            </w:r>
          </w:p>
        </w:tc>
      </w:tr>
      <w:tr w:rsidR="007450F4" w:rsidRPr="0065414C" w14:paraId="5FAB76D0" w14:textId="77777777" w:rsidTr="00B22772">
        <w:trPr>
          <w:trHeight w:val="20"/>
        </w:trPr>
        <w:tc>
          <w:tcPr>
            <w:tcW w:w="7513" w:type="dxa"/>
            <w:tcBorders>
              <w:top w:val="single" w:sz="4" w:space="0" w:color="D9D9D9" w:themeColor="background1" w:themeShade="D9"/>
              <w:bottom w:val="single" w:sz="4" w:space="0" w:color="D9D9D9" w:themeColor="background1" w:themeShade="D9"/>
            </w:tcBorders>
            <w:shd w:val="clear" w:color="auto" w:fill="FFFFFF" w:themeFill="background1"/>
          </w:tcPr>
          <w:p w14:paraId="3EF27EF8" w14:textId="77777777" w:rsidR="007450F4" w:rsidRPr="0065414C" w:rsidRDefault="007450F4" w:rsidP="007450F4">
            <w:pPr>
              <w:pStyle w:val="TableParagraph"/>
              <w:spacing w:before="60" w:after="60"/>
              <w:ind w:left="113" w:right="340"/>
              <w:rPr>
                <w:rFonts w:cs="Arial"/>
                <w:color w:val="008F54" w:themeColor="accent2"/>
              </w:rPr>
            </w:pPr>
            <w:r w:rsidRPr="0065414C">
              <w:rPr>
                <w:rFonts w:cs="Arial"/>
                <w:color w:val="008F54" w:themeColor="accent2"/>
              </w:rPr>
              <w:t>Does the change to the public-private neutrality pricing guideline accurately reflect the intent of the Addendum?</w:t>
            </w:r>
          </w:p>
        </w:tc>
        <w:tc>
          <w:tcPr>
            <w:tcW w:w="1418" w:type="dxa"/>
            <w:tcBorders>
              <w:top w:val="single" w:sz="4" w:space="0" w:color="D9D9D9" w:themeColor="background1" w:themeShade="D9"/>
              <w:bottom w:val="single" w:sz="4" w:space="0" w:color="D9D9D9" w:themeColor="background1" w:themeShade="D9"/>
            </w:tcBorders>
            <w:shd w:val="clear" w:color="auto" w:fill="FFFFFF" w:themeFill="background1"/>
          </w:tcPr>
          <w:p w14:paraId="77FDD398" w14:textId="77777777" w:rsidR="007450F4" w:rsidRPr="0065414C" w:rsidRDefault="007450F4" w:rsidP="007450F4">
            <w:pPr>
              <w:pStyle w:val="TableParagraph"/>
              <w:spacing w:before="60" w:after="60"/>
              <w:jc w:val="center"/>
              <w:rPr>
                <w:rFonts w:cs="Arial"/>
                <w:color w:val="008F54" w:themeColor="accent2"/>
              </w:rPr>
            </w:pPr>
            <w:r w:rsidRPr="0065414C">
              <w:rPr>
                <w:rFonts w:cs="Arial"/>
                <w:color w:val="008F54" w:themeColor="accent2"/>
              </w:rPr>
              <w:t>11</w:t>
            </w:r>
          </w:p>
        </w:tc>
      </w:tr>
      <w:tr w:rsidR="007450F4" w:rsidRPr="0065414C" w14:paraId="15784450" w14:textId="77777777" w:rsidTr="00B22772">
        <w:trPr>
          <w:trHeight w:val="20"/>
        </w:trPr>
        <w:tc>
          <w:tcPr>
            <w:tcW w:w="7513" w:type="dxa"/>
            <w:tcBorders>
              <w:top w:val="single" w:sz="4" w:space="0" w:color="D9D9D9" w:themeColor="background1" w:themeShade="D9"/>
              <w:bottom w:val="single" w:sz="4" w:space="0" w:color="D9D9D9" w:themeColor="background1" w:themeShade="D9"/>
            </w:tcBorders>
            <w:shd w:val="clear" w:color="auto" w:fill="FFFFFF" w:themeFill="background1"/>
          </w:tcPr>
          <w:p w14:paraId="4FF9E87F" w14:textId="77777777" w:rsidR="007450F4" w:rsidRPr="0065414C" w:rsidRDefault="007450F4" w:rsidP="007450F4">
            <w:pPr>
              <w:pStyle w:val="TableParagraph"/>
              <w:spacing w:before="60" w:after="60"/>
              <w:ind w:left="113" w:right="340"/>
              <w:rPr>
                <w:rFonts w:cs="Arial"/>
                <w:color w:val="008F54" w:themeColor="accent2"/>
              </w:rPr>
            </w:pPr>
            <w:r w:rsidRPr="0065414C">
              <w:rPr>
                <w:rFonts w:cs="Arial"/>
                <w:color w:val="008F54" w:themeColor="accent2"/>
              </w:rPr>
              <w:t xml:space="preserve">What should be included in online education for new editions of </w:t>
            </w:r>
            <w:r w:rsidR="005A63BA" w:rsidRPr="0065414C">
              <w:rPr>
                <w:rFonts w:cs="Arial"/>
                <w:color w:val="008F54" w:themeColor="accent2"/>
              </w:rPr>
              <w:t>ICD</w:t>
            </w:r>
            <w:r w:rsidR="005A63BA">
              <w:rPr>
                <w:rFonts w:cs="Arial"/>
                <w:color w:val="008F54" w:themeColor="accent2"/>
              </w:rPr>
              <w:t>-</w:t>
            </w:r>
            <w:r w:rsidR="005A63BA" w:rsidRPr="0065414C">
              <w:rPr>
                <w:rFonts w:cs="Arial"/>
                <w:color w:val="008F54" w:themeColor="accent2"/>
              </w:rPr>
              <w:t>10</w:t>
            </w:r>
            <w:r w:rsidR="005A63BA">
              <w:rPr>
                <w:rFonts w:cs="Arial"/>
                <w:color w:val="008F54" w:themeColor="accent2"/>
              </w:rPr>
              <w:t>-</w:t>
            </w:r>
            <w:r w:rsidR="005A63BA" w:rsidRPr="0065414C">
              <w:rPr>
                <w:rFonts w:cs="Arial"/>
                <w:color w:val="008F54" w:themeColor="accent2"/>
              </w:rPr>
              <w:t>AM/ACHI/ACS</w:t>
            </w:r>
            <w:r w:rsidRPr="0065414C">
              <w:rPr>
                <w:rFonts w:cs="Arial"/>
                <w:color w:val="008F54" w:themeColor="accent2"/>
              </w:rPr>
              <w:t>?</w:t>
            </w:r>
          </w:p>
        </w:tc>
        <w:tc>
          <w:tcPr>
            <w:tcW w:w="1418" w:type="dxa"/>
            <w:tcBorders>
              <w:top w:val="single" w:sz="4" w:space="0" w:color="D9D9D9" w:themeColor="background1" w:themeShade="D9"/>
              <w:bottom w:val="single" w:sz="4" w:space="0" w:color="D9D9D9" w:themeColor="background1" w:themeShade="D9"/>
            </w:tcBorders>
            <w:shd w:val="clear" w:color="auto" w:fill="FFFFFF" w:themeFill="background1"/>
          </w:tcPr>
          <w:p w14:paraId="41592F4C" w14:textId="77777777" w:rsidR="007450F4" w:rsidRPr="0065414C" w:rsidRDefault="007450F4" w:rsidP="007450F4">
            <w:pPr>
              <w:pStyle w:val="TableParagraph"/>
              <w:spacing w:before="60" w:after="60"/>
              <w:jc w:val="center"/>
              <w:rPr>
                <w:rFonts w:cs="Arial"/>
                <w:color w:val="008F54" w:themeColor="accent2"/>
              </w:rPr>
            </w:pPr>
            <w:r w:rsidRPr="0065414C">
              <w:rPr>
                <w:rFonts w:cs="Arial"/>
                <w:color w:val="008F54" w:themeColor="accent2"/>
              </w:rPr>
              <w:t>18</w:t>
            </w:r>
          </w:p>
        </w:tc>
      </w:tr>
      <w:tr w:rsidR="007450F4" w:rsidRPr="0065414C" w14:paraId="5CDEE4FF" w14:textId="77777777" w:rsidTr="00B22772">
        <w:trPr>
          <w:trHeight w:val="20"/>
        </w:trPr>
        <w:tc>
          <w:tcPr>
            <w:tcW w:w="7513" w:type="dxa"/>
            <w:tcBorders>
              <w:top w:val="single" w:sz="4" w:space="0" w:color="D9D9D9" w:themeColor="background1" w:themeShade="D9"/>
              <w:bottom w:val="single" w:sz="4" w:space="0" w:color="D9D9D9" w:themeColor="background1" w:themeShade="D9"/>
            </w:tcBorders>
            <w:shd w:val="clear" w:color="auto" w:fill="FFFFFF" w:themeFill="background1"/>
          </w:tcPr>
          <w:p w14:paraId="41E17266" w14:textId="77777777" w:rsidR="007450F4" w:rsidRPr="0065414C" w:rsidRDefault="007450F4" w:rsidP="007450F4">
            <w:pPr>
              <w:pStyle w:val="TableParagraph"/>
              <w:spacing w:before="60" w:after="60"/>
              <w:ind w:left="113" w:right="340"/>
              <w:rPr>
                <w:rFonts w:cs="Arial"/>
                <w:color w:val="008F54" w:themeColor="accent2"/>
              </w:rPr>
            </w:pPr>
            <w:r w:rsidRPr="0065414C">
              <w:rPr>
                <w:rFonts w:cs="Arial"/>
                <w:color w:val="008F54" w:themeColor="accent2"/>
              </w:rPr>
              <w:t>How should AR-DRG education be delivered and what should it include?</w:t>
            </w:r>
          </w:p>
        </w:tc>
        <w:tc>
          <w:tcPr>
            <w:tcW w:w="1418" w:type="dxa"/>
            <w:tcBorders>
              <w:top w:val="single" w:sz="4" w:space="0" w:color="D9D9D9" w:themeColor="background1" w:themeShade="D9"/>
              <w:bottom w:val="single" w:sz="4" w:space="0" w:color="D9D9D9" w:themeColor="background1" w:themeShade="D9"/>
            </w:tcBorders>
            <w:shd w:val="clear" w:color="auto" w:fill="FFFFFF" w:themeFill="background1"/>
          </w:tcPr>
          <w:p w14:paraId="00EE9BE2" w14:textId="77777777" w:rsidR="007450F4" w:rsidRPr="0065414C" w:rsidRDefault="007450F4" w:rsidP="007450F4">
            <w:pPr>
              <w:pStyle w:val="TableParagraph"/>
              <w:spacing w:before="60" w:after="60"/>
              <w:jc w:val="center"/>
              <w:rPr>
                <w:rFonts w:cs="Arial"/>
                <w:color w:val="008F54" w:themeColor="accent2"/>
              </w:rPr>
            </w:pPr>
            <w:r w:rsidRPr="0065414C">
              <w:rPr>
                <w:rFonts w:cs="Arial"/>
                <w:color w:val="008F54" w:themeColor="accent2"/>
              </w:rPr>
              <w:t>18</w:t>
            </w:r>
          </w:p>
        </w:tc>
      </w:tr>
      <w:tr w:rsidR="007450F4" w:rsidRPr="0065414C" w14:paraId="144586BF" w14:textId="77777777" w:rsidTr="00B22772">
        <w:trPr>
          <w:trHeight w:val="20"/>
        </w:trPr>
        <w:tc>
          <w:tcPr>
            <w:tcW w:w="7513" w:type="dxa"/>
            <w:tcBorders>
              <w:top w:val="single" w:sz="4" w:space="0" w:color="D9D9D9" w:themeColor="background1" w:themeShade="D9"/>
              <w:bottom w:val="single" w:sz="4" w:space="0" w:color="D9D9D9" w:themeColor="background1" w:themeShade="D9"/>
            </w:tcBorders>
            <w:shd w:val="clear" w:color="auto" w:fill="FFFFFF" w:themeFill="background1"/>
          </w:tcPr>
          <w:p w14:paraId="6E03F7CE" w14:textId="77777777" w:rsidR="007450F4" w:rsidRPr="0065414C" w:rsidRDefault="007450F4" w:rsidP="007450F4">
            <w:pPr>
              <w:pStyle w:val="TableParagraph"/>
              <w:spacing w:before="60" w:after="60"/>
              <w:ind w:left="113" w:right="340"/>
              <w:rPr>
                <w:rFonts w:cs="Arial"/>
                <w:color w:val="008F54" w:themeColor="accent2"/>
              </w:rPr>
            </w:pPr>
            <w:r w:rsidRPr="0065414C">
              <w:rPr>
                <w:rFonts w:cs="Arial"/>
                <w:color w:val="008F54" w:themeColor="accent2"/>
              </w:rPr>
              <w:t>What improvements to the content and format of the electronic code lists could be made to enhance their utility?</w:t>
            </w:r>
          </w:p>
        </w:tc>
        <w:tc>
          <w:tcPr>
            <w:tcW w:w="1418" w:type="dxa"/>
            <w:tcBorders>
              <w:top w:val="single" w:sz="4" w:space="0" w:color="D9D9D9" w:themeColor="background1" w:themeShade="D9"/>
              <w:bottom w:val="single" w:sz="4" w:space="0" w:color="D9D9D9" w:themeColor="background1" w:themeShade="D9"/>
            </w:tcBorders>
            <w:shd w:val="clear" w:color="auto" w:fill="FFFFFF" w:themeFill="background1"/>
          </w:tcPr>
          <w:p w14:paraId="29469818" w14:textId="77777777" w:rsidR="007450F4" w:rsidRPr="0065414C" w:rsidRDefault="007450F4" w:rsidP="007450F4">
            <w:pPr>
              <w:pStyle w:val="TableParagraph"/>
              <w:spacing w:before="60" w:after="60"/>
              <w:jc w:val="center"/>
              <w:rPr>
                <w:rFonts w:cs="Arial"/>
                <w:color w:val="008F54" w:themeColor="accent2"/>
              </w:rPr>
            </w:pPr>
            <w:r w:rsidRPr="0065414C">
              <w:rPr>
                <w:rFonts w:cs="Arial"/>
                <w:color w:val="008F54" w:themeColor="accent2"/>
              </w:rPr>
              <w:t>18</w:t>
            </w:r>
          </w:p>
        </w:tc>
      </w:tr>
      <w:tr w:rsidR="007450F4" w:rsidRPr="0065414C" w14:paraId="48288778" w14:textId="77777777" w:rsidTr="00B22772">
        <w:trPr>
          <w:trHeight w:val="20"/>
        </w:trPr>
        <w:tc>
          <w:tcPr>
            <w:tcW w:w="7513" w:type="dxa"/>
            <w:tcBorders>
              <w:top w:val="single" w:sz="4" w:space="0" w:color="D9D9D9" w:themeColor="background1" w:themeShade="D9"/>
              <w:bottom w:val="single" w:sz="4" w:space="0" w:color="D9D9D9" w:themeColor="background1" w:themeShade="D9"/>
            </w:tcBorders>
            <w:shd w:val="clear" w:color="auto" w:fill="FFFFFF" w:themeFill="background1"/>
          </w:tcPr>
          <w:p w14:paraId="4A4EFF70" w14:textId="77777777" w:rsidR="007450F4" w:rsidRPr="0065414C" w:rsidRDefault="007450F4" w:rsidP="002117A9">
            <w:pPr>
              <w:pStyle w:val="TableParagraph"/>
              <w:spacing w:before="60" w:after="60"/>
              <w:ind w:left="113" w:right="340"/>
              <w:rPr>
                <w:rFonts w:cs="Arial"/>
                <w:color w:val="008F54" w:themeColor="accent2"/>
              </w:rPr>
            </w:pPr>
            <w:r w:rsidRPr="0065414C">
              <w:rPr>
                <w:rFonts w:cs="Arial"/>
                <w:color w:val="008F54" w:themeColor="accent2"/>
              </w:rPr>
              <w:t>Is there support to replace the hard copies of the AR-DRG Definitions Manual and ICD</w:t>
            </w:r>
            <w:r w:rsidR="002117A9">
              <w:rPr>
                <w:rFonts w:cs="Arial"/>
                <w:color w:val="008F54" w:themeColor="accent2"/>
              </w:rPr>
              <w:noBreakHyphen/>
            </w:r>
            <w:r w:rsidRPr="0065414C">
              <w:rPr>
                <w:rFonts w:cs="Arial"/>
                <w:color w:val="008F54" w:themeColor="accent2"/>
              </w:rPr>
              <w:t>10-AM/ACHI/ACS with electronic versions?</w:t>
            </w:r>
          </w:p>
        </w:tc>
        <w:tc>
          <w:tcPr>
            <w:tcW w:w="1418" w:type="dxa"/>
            <w:tcBorders>
              <w:top w:val="single" w:sz="4" w:space="0" w:color="D9D9D9" w:themeColor="background1" w:themeShade="D9"/>
              <w:bottom w:val="single" w:sz="4" w:space="0" w:color="D9D9D9" w:themeColor="background1" w:themeShade="D9"/>
            </w:tcBorders>
            <w:shd w:val="clear" w:color="auto" w:fill="FFFFFF" w:themeFill="background1"/>
          </w:tcPr>
          <w:p w14:paraId="53AA526A" w14:textId="77777777" w:rsidR="007450F4" w:rsidRPr="0065414C" w:rsidRDefault="007450F4" w:rsidP="007450F4">
            <w:pPr>
              <w:pStyle w:val="TableParagraph"/>
              <w:spacing w:before="60" w:after="60"/>
              <w:jc w:val="center"/>
              <w:rPr>
                <w:rFonts w:cs="Arial"/>
                <w:color w:val="008F54" w:themeColor="accent2"/>
              </w:rPr>
            </w:pPr>
            <w:r w:rsidRPr="0065414C">
              <w:rPr>
                <w:rFonts w:cs="Arial"/>
                <w:color w:val="008F54" w:themeColor="accent2"/>
              </w:rPr>
              <w:t>18</w:t>
            </w:r>
          </w:p>
        </w:tc>
      </w:tr>
      <w:tr w:rsidR="007450F4" w:rsidRPr="0065414C" w14:paraId="00C11662" w14:textId="77777777" w:rsidTr="00B22772">
        <w:trPr>
          <w:trHeight w:val="20"/>
        </w:trPr>
        <w:tc>
          <w:tcPr>
            <w:tcW w:w="7513" w:type="dxa"/>
            <w:tcBorders>
              <w:top w:val="single" w:sz="4" w:space="0" w:color="D9D9D9" w:themeColor="background1" w:themeShade="D9"/>
              <w:bottom w:val="single" w:sz="4" w:space="0" w:color="D9D9D9" w:themeColor="background1" w:themeShade="D9"/>
            </w:tcBorders>
            <w:shd w:val="clear" w:color="auto" w:fill="FFFFFF" w:themeFill="background1"/>
          </w:tcPr>
          <w:p w14:paraId="55E1F410" w14:textId="77777777" w:rsidR="007450F4" w:rsidRPr="0065414C" w:rsidRDefault="007450F4" w:rsidP="007450F4">
            <w:pPr>
              <w:pStyle w:val="TableParagraph"/>
              <w:spacing w:before="60" w:after="60"/>
              <w:ind w:left="113" w:right="340"/>
              <w:rPr>
                <w:rFonts w:cs="Arial"/>
                <w:color w:val="008F54" w:themeColor="accent2"/>
              </w:rPr>
            </w:pPr>
            <w:r w:rsidRPr="0065414C">
              <w:rPr>
                <w:rFonts w:cs="Arial"/>
                <w:color w:val="008F54" w:themeColor="accent2"/>
              </w:rPr>
              <w:t>Are there other suggestions for approaches or measures to assess impact and readiness of ICD-11 for use in the classifications used in admitted care, or more widely?</w:t>
            </w:r>
          </w:p>
        </w:tc>
        <w:tc>
          <w:tcPr>
            <w:tcW w:w="1418" w:type="dxa"/>
            <w:tcBorders>
              <w:top w:val="single" w:sz="4" w:space="0" w:color="D9D9D9" w:themeColor="background1" w:themeShade="D9"/>
              <w:bottom w:val="single" w:sz="4" w:space="0" w:color="D9D9D9" w:themeColor="background1" w:themeShade="D9"/>
            </w:tcBorders>
            <w:shd w:val="clear" w:color="auto" w:fill="FFFFFF" w:themeFill="background1"/>
          </w:tcPr>
          <w:p w14:paraId="585CF21D" w14:textId="77777777" w:rsidR="007450F4" w:rsidRPr="0065414C" w:rsidRDefault="007450F4" w:rsidP="007450F4">
            <w:pPr>
              <w:pStyle w:val="TableParagraph"/>
              <w:spacing w:before="60" w:after="60"/>
              <w:jc w:val="center"/>
              <w:rPr>
                <w:rFonts w:cs="Arial"/>
                <w:color w:val="008F54" w:themeColor="accent2"/>
              </w:rPr>
            </w:pPr>
            <w:r w:rsidRPr="0065414C">
              <w:rPr>
                <w:rFonts w:cs="Arial"/>
                <w:color w:val="008F54" w:themeColor="accent2"/>
              </w:rPr>
              <w:t>19</w:t>
            </w:r>
          </w:p>
        </w:tc>
      </w:tr>
      <w:tr w:rsidR="007450F4" w:rsidRPr="0065414C" w14:paraId="1364C4C2" w14:textId="77777777" w:rsidTr="00B22772">
        <w:trPr>
          <w:trHeight w:val="20"/>
        </w:trPr>
        <w:tc>
          <w:tcPr>
            <w:tcW w:w="7513" w:type="dxa"/>
            <w:tcBorders>
              <w:top w:val="single" w:sz="4" w:space="0" w:color="D9D9D9" w:themeColor="background1" w:themeShade="D9"/>
              <w:bottom w:val="single" w:sz="4" w:space="0" w:color="D9D9D9" w:themeColor="background1" w:themeShade="D9"/>
            </w:tcBorders>
            <w:shd w:val="clear" w:color="auto" w:fill="FFFFFF" w:themeFill="background1"/>
          </w:tcPr>
          <w:p w14:paraId="0A846AE6" w14:textId="77777777" w:rsidR="007450F4" w:rsidRPr="0065414C" w:rsidRDefault="007450F4" w:rsidP="007450F4">
            <w:pPr>
              <w:pStyle w:val="TableParagraph"/>
              <w:spacing w:before="60" w:after="60"/>
              <w:ind w:left="113" w:right="340"/>
              <w:rPr>
                <w:rFonts w:cs="Arial"/>
                <w:color w:val="008F54" w:themeColor="accent2"/>
              </w:rPr>
            </w:pPr>
            <w:r w:rsidRPr="0065414C">
              <w:rPr>
                <w:rFonts w:cs="Arial"/>
                <w:color w:val="008F54" w:themeColor="accent2"/>
              </w:rPr>
              <w:t xml:space="preserve">Are there any other factors that should be considered for the addition of pain management and exercise physiology classes in the clinic nurse specialist/allied health </w:t>
            </w:r>
            <w:r w:rsidR="002117A9">
              <w:rPr>
                <w:rFonts w:cs="Arial"/>
                <w:color w:val="008F54" w:themeColor="accent2"/>
              </w:rPr>
              <w:t xml:space="preserve">led </w:t>
            </w:r>
            <w:r w:rsidRPr="0065414C">
              <w:rPr>
                <w:rFonts w:cs="Arial"/>
                <w:color w:val="008F54" w:themeColor="accent2"/>
              </w:rPr>
              <w:t>services of classes in the Tier 2 Non-Admitted Services Classification?</w:t>
            </w:r>
          </w:p>
        </w:tc>
        <w:tc>
          <w:tcPr>
            <w:tcW w:w="1418" w:type="dxa"/>
            <w:tcBorders>
              <w:top w:val="single" w:sz="4" w:space="0" w:color="D9D9D9" w:themeColor="background1" w:themeShade="D9"/>
              <w:bottom w:val="single" w:sz="4" w:space="0" w:color="D9D9D9" w:themeColor="background1" w:themeShade="D9"/>
            </w:tcBorders>
            <w:shd w:val="clear" w:color="auto" w:fill="FFFFFF" w:themeFill="background1"/>
          </w:tcPr>
          <w:p w14:paraId="15059D00" w14:textId="77777777" w:rsidR="007450F4" w:rsidRPr="0065414C" w:rsidRDefault="007450F4" w:rsidP="007450F4">
            <w:pPr>
              <w:pStyle w:val="TableParagraph"/>
              <w:spacing w:before="60" w:after="60"/>
              <w:jc w:val="center"/>
              <w:rPr>
                <w:rFonts w:cs="Arial"/>
                <w:color w:val="008F54" w:themeColor="accent2"/>
              </w:rPr>
            </w:pPr>
            <w:r w:rsidRPr="0065414C">
              <w:rPr>
                <w:rFonts w:cs="Arial"/>
                <w:color w:val="008F54" w:themeColor="accent2"/>
              </w:rPr>
              <w:t>20</w:t>
            </w:r>
          </w:p>
        </w:tc>
      </w:tr>
      <w:tr w:rsidR="007450F4" w:rsidRPr="0065414C" w14:paraId="2762D864" w14:textId="77777777" w:rsidTr="00B22772">
        <w:trPr>
          <w:trHeight w:val="20"/>
        </w:trPr>
        <w:tc>
          <w:tcPr>
            <w:tcW w:w="7513" w:type="dxa"/>
            <w:tcBorders>
              <w:top w:val="single" w:sz="4" w:space="0" w:color="D9D9D9" w:themeColor="background1" w:themeShade="D9"/>
              <w:bottom w:val="single" w:sz="4" w:space="0" w:color="D9D9D9" w:themeColor="background1" w:themeShade="D9"/>
            </w:tcBorders>
            <w:shd w:val="clear" w:color="auto" w:fill="FFFFFF" w:themeFill="background1"/>
          </w:tcPr>
          <w:p w14:paraId="1BDD07B4" w14:textId="77777777" w:rsidR="007450F4" w:rsidRPr="0065414C" w:rsidRDefault="007450F4" w:rsidP="007450F4">
            <w:pPr>
              <w:pStyle w:val="TableParagraph"/>
              <w:spacing w:before="60" w:after="60"/>
              <w:ind w:left="113" w:right="340"/>
              <w:rPr>
                <w:rFonts w:cs="Arial"/>
                <w:color w:val="008F54" w:themeColor="accent2"/>
              </w:rPr>
            </w:pPr>
            <w:r w:rsidRPr="0065414C">
              <w:rPr>
                <w:rFonts w:cs="Arial"/>
                <w:color w:val="008F54" w:themeColor="accent2"/>
              </w:rPr>
              <w:t>How would activity that falls under these proposed new classes previously have been classified?</w:t>
            </w:r>
          </w:p>
        </w:tc>
        <w:tc>
          <w:tcPr>
            <w:tcW w:w="1418" w:type="dxa"/>
            <w:tcBorders>
              <w:top w:val="single" w:sz="4" w:space="0" w:color="D9D9D9" w:themeColor="background1" w:themeShade="D9"/>
              <w:bottom w:val="single" w:sz="4" w:space="0" w:color="D9D9D9" w:themeColor="background1" w:themeShade="D9"/>
            </w:tcBorders>
            <w:shd w:val="clear" w:color="auto" w:fill="FFFFFF" w:themeFill="background1"/>
          </w:tcPr>
          <w:p w14:paraId="097D4F96" w14:textId="77777777" w:rsidR="007450F4" w:rsidRPr="0065414C" w:rsidRDefault="007450F4" w:rsidP="007450F4">
            <w:pPr>
              <w:pStyle w:val="TableParagraph"/>
              <w:spacing w:before="60" w:after="60"/>
              <w:jc w:val="center"/>
              <w:rPr>
                <w:rFonts w:cs="Arial"/>
                <w:color w:val="008F54" w:themeColor="accent2"/>
              </w:rPr>
            </w:pPr>
            <w:r w:rsidRPr="0065414C">
              <w:rPr>
                <w:rFonts w:cs="Arial"/>
                <w:color w:val="008F54" w:themeColor="accent2"/>
              </w:rPr>
              <w:t>20</w:t>
            </w:r>
          </w:p>
        </w:tc>
      </w:tr>
      <w:tr w:rsidR="007450F4" w:rsidRPr="0065414C" w14:paraId="2DA3813B" w14:textId="77777777" w:rsidTr="00B22772">
        <w:trPr>
          <w:trHeight w:val="20"/>
        </w:trPr>
        <w:tc>
          <w:tcPr>
            <w:tcW w:w="7513" w:type="dxa"/>
            <w:tcBorders>
              <w:top w:val="single" w:sz="4" w:space="0" w:color="D9D9D9" w:themeColor="background1" w:themeShade="D9"/>
              <w:bottom w:val="single" w:sz="4" w:space="0" w:color="D9D9D9" w:themeColor="background1" w:themeShade="D9"/>
            </w:tcBorders>
            <w:shd w:val="clear" w:color="auto" w:fill="FFFFFF" w:themeFill="background1"/>
          </w:tcPr>
          <w:p w14:paraId="16143A94" w14:textId="77777777" w:rsidR="007450F4" w:rsidRPr="0065414C" w:rsidRDefault="007450F4" w:rsidP="007450F4">
            <w:pPr>
              <w:pStyle w:val="TableParagraph"/>
              <w:spacing w:before="60" w:after="60"/>
              <w:ind w:left="113" w:right="340"/>
              <w:rPr>
                <w:rFonts w:cs="Arial"/>
                <w:color w:val="008F54" w:themeColor="accent2"/>
              </w:rPr>
            </w:pPr>
            <w:r w:rsidRPr="0065414C">
              <w:rPr>
                <w:rFonts w:cs="Arial"/>
                <w:color w:val="008F54" w:themeColor="accent2"/>
              </w:rPr>
              <w:t>What has been the impact on emergency department data since IHPA commenced shadow pricing using the AECC Version 1.0?</w:t>
            </w:r>
          </w:p>
        </w:tc>
        <w:tc>
          <w:tcPr>
            <w:tcW w:w="1418" w:type="dxa"/>
            <w:tcBorders>
              <w:top w:val="single" w:sz="4" w:space="0" w:color="D9D9D9" w:themeColor="background1" w:themeShade="D9"/>
              <w:bottom w:val="single" w:sz="4" w:space="0" w:color="D9D9D9" w:themeColor="background1" w:themeShade="D9"/>
            </w:tcBorders>
            <w:shd w:val="clear" w:color="auto" w:fill="FFFFFF" w:themeFill="background1"/>
          </w:tcPr>
          <w:p w14:paraId="2117EB1D" w14:textId="77777777" w:rsidR="007450F4" w:rsidRPr="0065414C" w:rsidRDefault="007450F4" w:rsidP="007450F4">
            <w:pPr>
              <w:pStyle w:val="TableParagraph"/>
              <w:spacing w:before="60" w:after="60"/>
              <w:jc w:val="center"/>
              <w:rPr>
                <w:rFonts w:cs="Arial"/>
                <w:color w:val="008F54" w:themeColor="accent2"/>
              </w:rPr>
            </w:pPr>
            <w:r w:rsidRPr="0065414C">
              <w:rPr>
                <w:rFonts w:cs="Arial"/>
                <w:color w:val="008F54" w:themeColor="accent2"/>
              </w:rPr>
              <w:t>2</w:t>
            </w:r>
            <w:r>
              <w:rPr>
                <w:rFonts w:cs="Arial"/>
                <w:color w:val="008F54" w:themeColor="accent2"/>
              </w:rPr>
              <w:t>0</w:t>
            </w:r>
          </w:p>
        </w:tc>
      </w:tr>
      <w:tr w:rsidR="007450F4" w:rsidRPr="0065414C" w14:paraId="4F548ED1" w14:textId="77777777" w:rsidTr="00B22772">
        <w:trPr>
          <w:trHeight w:val="20"/>
        </w:trPr>
        <w:tc>
          <w:tcPr>
            <w:tcW w:w="7513" w:type="dxa"/>
            <w:tcBorders>
              <w:top w:val="single" w:sz="4" w:space="0" w:color="D9D9D9" w:themeColor="background1" w:themeShade="D9"/>
              <w:bottom w:val="single" w:sz="4" w:space="0" w:color="D9D9D9" w:themeColor="background1" w:themeShade="D9"/>
            </w:tcBorders>
            <w:shd w:val="clear" w:color="auto" w:fill="FFFFFF" w:themeFill="background1"/>
          </w:tcPr>
          <w:p w14:paraId="74A16D6A" w14:textId="77777777" w:rsidR="007450F4" w:rsidRPr="0065414C" w:rsidRDefault="007450F4" w:rsidP="007450F4">
            <w:pPr>
              <w:pStyle w:val="TableParagraph"/>
              <w:spacing w:before="60" w:after="60"/>
              <w:ind w:left="113" w:right="340"/>
              <w:rPr>
                <w:rFonts w:cs="Arial"/>
                <w:color w:val="008F54" w:themeColor="accent2"/>
              </w:rPr>
            </w:pPr>
            <w:r w:rsidRPr="0065414C">
              <w:rPr>
                <w:rFonts w:cs="Arial"/>
                <w:color w:val="008F54" w:themeColor="accent2"/>
              </w:rPr>
              <w:t>Are there any barriers to implementing pricing using the AECC Version 1.0 for emergency departments for NEP21?</w:t>
            </w:r>
          </w:p>
        </w:tc>
        <w:tc>
          <w:tcPr>
            <w:tcW w:w="1418" w:type="dxa"/>
            <w:tcBorders>
              <w:top w:val="single" w:sz="4" w:space="0" w:color="D9D9D9" w:themeColor="background1" w:themeShade="D9"/>
              <w:bottom w:val="single" w:sz="4" w:space="0" w:color="D9D9D9" w:themeColor="background1" w:themeShade="D9"/>
            </w:tcBorders>
            <w:shd w:val="clear" w:color="auto" w:fill="FFFFFF" w:themeFill="background1"/>
          </w:tcPr>
          <w:p w14:paraId="6FEF6DCF" w14:textId="77777777" w:rsidR="007450F4" w:rsidRPr="0065414C" w:rsidRDefault="007450F4" w:rsidP="007450F4">
            <w:pPr>
              <w:pStyle w:val="TableParagraph"/>
              <w:spacing w:before="60" w:after="60"/>
              <w:jc w:val="center"/>
              <w:rPr>
                <w:rFonts w:cs="Arial"/>
                <w:color w:val="008F54" w:themeColor="accent2"/>
              </w:rPr>
            </w:pPr>
            <w:r w:rsidRPr="0065414C">
              <w:rPr>
                <w:rFonts w:cs="Arial"/>
                <w:color w:val="008F54" w:themeColor="accent2"/>
              </w:rPr>
              <w:t>2</w:t>
            </w:r>
            <w:r>
              <w:rPr>
                <w:rFonts w:cs="Arial"/>
                <w:color w:val="008F54" w:themeColor="accent2"/>
              </w:rPr>
              <w:t>0</w:t>
            </w:r>
          </w:p>
        </w:tc>
      </w:tr>
      <w:tr w:rsidR="007450F4" w:rsidRPr="0065414C" w14:paraId="21BF0B7B" w14:textId="77777777" w:rsidTr="00B22772">
        <w:trPr>
          <w:trHeight w:val="20"/>
        </w:trPr>
        <w:tc>
          <w:tcPr>
            <w:tcW w:w="7513" w:type="dxa"/>
            <w:tcBorders>
              <w:top w:val="single" w:sz="4" w:space="0" w:color="D9D9D9" w:themeColor="background1" w:themeShade="D9"/>
              <w:bottom w:val="single" w:sz="4" w:space="0" w:color="D9D9D9" w:themeColor="background1" w:themeShade="D9"/>
            </w:tcBorders>
            <w:shd w:val="clear" w:color="auto" w:fill="FFFFFF" w:themeFill="background1"/>
          </w:tcPr>
          <w:p w14:paraId="79F7C210" w14:textId="77777777" w:rsidR="007450F4" w:rsidRPr="0065414C" w:rsidRDefault="007450F4" w:rsidP="007450F4">
            <w:pPr>
              <w:pStyle w:val="TableParagraph"/>
              <w:spacing w:before="60" w:after="60"/>
              <w:ind w:left="113" w:right="340"/>
              <w:rPr>
                <w:rFonts w:cs="Arial"/>
                <w:color w:val="008F54" w:themeColor="accent2"/>
              </w:rPr>
            </w:pPr>
            <w:r w:rsidRPr="0065414C">
              <w:rPr>
                <w:rFonts w:cs="Arial"/>
                <w:color w:val="008F54" w:themeColor="accent2"/>
              </w:rPr>
              <w:t>How can IHPA further support development of pricing for community mental health services using AMHCC Version 1.0 to transition to shadow pricing?</w:t>
            </w:r>
          </w:p>
        </w:tc>
        <w:tc>
          <w:tcPr>
            <w:tcW w:w="1418" w:type="dxa"/>
            <w:tcBorders>
              <w:top w:val="single" w:sz="4" w:space="0" w:color="D9D9D9" w:themeColor="background1" w:themeShade="D9"/>
              <w:bottom w:val="single" w:sz="4" w:space="0" w:color="D9D9D9" w:themeColor="background1" w:themeShade="D9"/>
            </w:tcBorders>
            <w:shd w:val="clear" w:color="auto" w:fill="FFFFFF" w:themeFill="background1"/>
          </w:tcPr>
          <w:p w14:paraId="30DCCD5C" w14:textId="77777777" w:rsidR="007450F4" w:rsidRPr="0065414C" w:rsidRDefault="007450F4" w:rsidP="007450F4">
            <w:pPr>
              <w:pStyle w:val="TableParagraph"/>
              <w:spacing w:before="60" w:after="60"/>
              <w:jc w:val="center"/>
              <w:rPr>
                <w:rFonts w:cs="Arial"/>
                <w:color w:val="008F54" w:themeColor="accent2"/>
              </w:rPr>
            </w:pPr>
            <w:r w:rsidRPr="0065414C">
              <w:rPr>
                <w:rFonts w:cs="Arial"/>
                <w:color w:val="008F54" w:themeColor="accent2"/>
              </w:rPr>
              <w:t>2</w:t>
            </w:r>
            <w:r>
              <w:rPr>
                <w:rFonts w:cs="Arial"/>
                <w:color w:val="008F54" w:themeColor="accent2"/>
              </w:rPr>
              <w:t>1</w:t>
            </w:r>
          </w:p>
        </w:tc>
      </w:tr>
      <w:tr w:rsidR="007450F4" w:rsidRPr="0065414C" w14:paraId="596FF37D" w14:textId="77777777" w:rsidTr="00B22772">
        <w:trPr>
          <w:trHeight w:val="20"/>
        </w:trPr>
        <w:tc>
          <w:tcPr>
            <w:tcW w:w="7513" w:type="dxa"/>
            <w:tcBorders>
              <w:top w:val="single" w:sz="4" w:space="0" w:color="D9D9D9" w:themeColor="background1" w:themeShade="D9"/>
              <w:bottom w:val="single" w:sz="4" w:space="0" w:color="D9D9D9" w:themeColor="background1" w:themeShade="D9"/>
            </w:tcBorders>
            <w:shd w:val="clear" w:color="auto" w:fill="FFFFFF" w:themeFill="background1"/>
          </w:tcPr>
          <w:p w14:paraId="392824FB" w14:textId="77777777" w:rsidR="007450F4" w:rsidRPr="0065414C" w:rsidRDefault="007450F4" w:rsidP="007450F4">
            <w:pPr>
              <w:pStyle w:val="TableParagraph"/>
              <w:spacing w:before="60" w:after="60"/>
              <w:ind w:left="113" w:right="340"/>
              <w:rPr>
                <w:rFonts w:cs="Arial"/>
                <w:color w:val="008F54" w:themeColor="accent2"/>
              </w:rPr>
            </w:pPr>
            <w:r w:rsidRPr="0065414C">
              <w:rPr>
                <w:rFonts w:cs="Arial"/>
                <w:color w:val="008F54" w:themeColor="accent2"/>
              </w:rPr>
              <w:t>Are there any impediments to pricing admitted mental health care using AMHCC Version 1.0 for NEP21?</w:t>
            </w:r>
          </w:p>
        </w:tc>
        <w:tc>
          <w:tcPr>
            <w:tcW w:w="1418" w:type="dxa"/>
            <w:tcBorders>
              <w:top w:val="single" w:sz="4" w:space="0" w:color="D9D9D9" w:themeColor="background1" w:themeShade="D9"/>
              <w:bottom w:val="single" w:sz="4" w:space="0" w:color="D9D9D9" w:themeColor="background1" w:themeShade="D9"/>
            </w:tcBorders>
            <w:shd w:val="clear" w:color="auto" w:fill="FFFFFF" w:themeFill="background1"/>
          </w:tcPr>
          <w:p w14:paraId="541F8CF8" w14:textId="77777777" w:rsidR="007450F4" w:rsidRPr="0065414C" w:rsidRDefault="007450F4" w:rsidP="007450F4">
            <w:pPr>
              <w:pStyle w:val="TableParagraph"/>
              <w:spacing w:before="60" w:after="60"/>
              <w:jc w:val="center"/>
              <w:rPr>
                <w:rFonts w:cs="Arial"/>
                <w:color w:val="008F54" w:themeColor="accent2"/>
              </w:rPr>
            </w:pPr>
            <w:r w:rsidRPr="0065414C">
              <w:rPr>
                <w:rFonts w:cs="Arial"/>
                <w:color w:val="008F54" w:themeColor="accent2"/>
              </w:rPr>
              <w:t>2</w:t>
            </w:r>
            <w:r>
              <w:rPr>
                <w:rFonts w:cs="Arial"/>
                <w:color w:val="008F54" w:themeColor="accent2"/>
              </w:rPr>
              <w:t>1</w:t>
            </w:r>
          </w:p>
        </w:tc>
      </w:tr>
      <w:tr w:rsidR="007450F4" w:rsidRPr="0065414C" w14:paraId="1F1A1831" w14:textId="77777777" w:rsidTr="00B22772">
        <w:trPr>
          <w:trHeight w:val="20"/>
        </w:trPr>
        <w:tc>
          <w:tcPr>
            <w:tcW w:w="7513" w:type="dxa"/>
            <w:tcBorders>
              <w:top w:val="single" w:sz="4" w:space="0" w:color="D9D9D9" w:themeColor="background1" w:themeShade="D9"/>
              <w:bottom w:val="single" w:sz="4" w:space="0" w:color="D9D9D9" w:themeColor="background1" w:themeShade="D9"/>
            </w:tcBorders>
            <w:shd w:val="clear" w:color="auto" w:fill="FFFFFF" w:themeFill="background1"/>
          </w:tcPr>
          <w:p w14:paraId="36DCE3BE" w14:textId="77777777" w:rsidR="007450F4" w:rsidRPr="0065414C" w:rsidRDefault="007450F4" w:rsidP="007450F4">
            <w:pPr>
              <w:pStyle w:val="TableParagraph"/>
              <w:spacing w:before="60" w:after="60"/>
              <w:ind w:left="113" w:right="340"/>
              <w:rPr>
                <w:rFonts w:cs="Arial"/>
                <w:color w:val="008F54" w:themeColor="accent2"/>
              </w:rPr>
            </w:pPr>
            <w:r w:rsidRPr="0065414C">
              <w:rPr>
                <w:rFonts w:cs="Arial"/>
                <w:color w:val="008F54" w:themeColor="accent2"/>
              </w:rPr>
              <w:t>Do you support the adjustment IHPA has proposed for NEP21?</w:t>
            </w:r>
          </w:p>
        </w:tc>
        <w:tc>
          <w:tcPr>
            <w:tcW w:w="1418" w:type="dxa"/>
            <w:tcBorders>
              <w:top w:val="single" w:sz="4" w:space="0" w:color="D9D9D9" w:themeColor="background1" w:themeShade="D9"/>
              <w:bottom w:val="single" w:sz="4" w:space="0" w:color="D9D9D9" w:themeColor="background1" w:themeShade="D9"/>
            </w:tcBorders>
            <w:shd w:val="clear" w:color="auto" w:fill="FFFFFF" w:themeFill="background1"/>
          </w:tcPr>
          <w:p w14:paraId="5319C7FD" w14:textId="77777777" w:rsidR="007450F4" w:rsidRPr="0065414C" w:rsidRDefault="002117A9" w:rsidP="007450F4">
            <w:pPr>
              <w:pStyle w:val="TableParagraph"/>
              <w:spacing w:before="60" w:after="60"/>
              <w:jc w:val="center"/>
              <w:rPr>
                <w:rFonts w:cs="Arial"/>
                <w:color w:val="008F54" w:themeColor="accent2"/>
              </w:rPr>
            </w:pPr>
            <w:r>
              <w:rPr>
                <w:rFonts w:cs="Arial"/>
                <w:color w:val="008F54" w:themeColor="accent2"/>
              </w:rPr>
              <w:t>24</w:t>
            </w:r>
          </w:p>
        </w:tc>
      </w:tr>
      <w:tr w:rsidR="007450F4" w:rsidRPr="0065414C" w14:paraId="1504FEE7" w14:textId="77777777" w:rsidTr="00B22772">
        <w:trPr>
          <w:trHeight w:val="20"/>
        </w:trPr>
        <w:tc>
          <w:tcPr>
            <w:tcW w:w="7513" w:type="dxa"/>
            <w:tcBorders>
              <w:top w:val="single" w:sz="4" w:space="0" w:color="D9D9D9" w:themeColor="background1" w:themeShade="D9"/>
              <w:bottom w:val="single" w:sz="4" w:space="0" w:color="D9D9D9" w:themeColor="background1" w:themeShade="D9"/>
            </w:tcBorders>
            <w:shd w:val="clear" w:color="auto" w:fill="FFFFFF" w:themeFill="background1"/>
          </w:tcPr>
          <w:p w14:paraId="471EDD20" w14:textId="77777777" w:rsidR="007450F4" w:rsidRPr="0065414C" w:rsidRDefault="007450F4" w:rsidP="007450F4">
            <w:pPr>
              <w:pStyle w:val="TableParagraph"/>
              <w:spacing w:before="60" w:after="60"/>
              <w:ind w:left="113" w:right="340"/>
              <w:rPr>
                <w:rFonts w:cs="Arial"/>
                <w:color w:val="008F54" w:themeColor="accent2"/>
              </w:rPr>
            </w:pPr>
            <w:r w:rsidRPr="0065414C">
              <w:rPr>
                <w:rFonts w:cs="Arial"/>
                <w:color w:val="008F54" w:themeColor="accent2"/>
              </w:rPr>
              <w:t>What evidence can be provided to support any additional adjustments that IHPA should consider for NEP21?</w:t>
            </w:r>
          </w:p>
        </w:tc>
        <w:tc>
          <w:tcPr>
            <w:tcW w:w="1418" w:type="dxa"/>
            <w:tcBorders>
              <w:top w:val="single" w:sz="4" w:space="0" w:color="D9D9D9" w:themeColor="background1" w:themeShade="D9"/>
              <w:bottom w:val="single" w:sz="4" w:space="0" w:color="D9D9D9" w:themeColor="background1" w:themeShade="D9"/>
            </w:tcBorders>
            <w:shd w:val="clear" w:color="auto" w:fill="FFFFFF" w:themeFill="background1"/>
          </w:tcPr>
          <w:p w14:paraId="0615FFDA" w14:textId="77777777" w:rsidR="007450F4" w:rsidRPr="0065414C" w:rsidRDefault="002117A9" w:rsidP="007450F4">
            <w:pPr>
              <w:pStyle w:val="TableParagraph"/>
              <w:spacing w:before="60" w:after="60"/>
              <w:jc w:val="center"/>
              <w:rPr>
                <w:rFonts w:cs="Arial"/>
                <w:color w:val="008F54" w:themeColor="accent2"/>
              </w:rPr>
            </w:pPr>
            <w:r>
              <w:rPr>
                <w:rFonts w:cs="Arial"/>
                <w:color w:val="008F54" w:themeColor="accent2"/>
              </w:rPr>
              <w:t>24</w:t>
            </w:r>
          </w:p>
        </w:tc>
      </w:tr>
      <w:tr w:rsidR="007450F4" w:rsidRPr="0065414C" w14:paraId="1F510C76" w14:textId="77777777" w:rsidTr="00B22772">
        <w:trPr>
          <w:trHeight w:val="20"/>
        </w:trPr>
        <w:tc>
          <w:tcPr>
            <w:tcW w:w="7513" w:type="dxa"/>
            <w:tcBorders>
              <w:top w:val="single" w:sz="4" w:space="0" w:color="D9D9D9" w:themeColor="background1" w:themeShade="D9"/>
              <w:bottom w:val="single" w:sz="4" w:space="0" w:color="D9D9D9" w:themeColor="background1" w:themeShade="D9"/>
            </w:tcBorders>
            <w:shd w:val="clear" w:color="auto" w:fill="FFFFFF" w:themeFill="background1"/>
          </w:tcPr>
          <w:p w14:paraId="7BB399F0" w14:textId="77777777" w:rsidR="007450F4" w:rsidRPr="0065414C" w:rsidRDefault="007450F4" w:rsidP="007450F4">
            <w:pPr>
              <w:pStyle w:val="TableParagraph"/>
              <w:spacing w:before="60" w:after="60"/>
              <w:ind w:left="113" w:right="340"/>
              <w:rPr>
                <w:rFonts w:cs="Arial"/>
                <w:color w:val="008F54" w:themeColor="accent2"/>
              </w:rPr>
            </w:pPr>
            <w:r w:rsidRPr="0065414C">
              <w:rPr>
                <w:rFonts w:cs="Arial"/>
                <w:color w:val="008F54" w:themeColor="accent2"/>
              </w:rPr>
              <w:lastRenderedPageBreak/>
              <w:t>Are there any obstacles to implementing the proposed harmonisation of prices for dialysis and chemotherapy for NEP21?</w:t>
            </w:r>
          </w:p>
        </w:tc>
        <w:tc>
          <w:tcPr>
            <w:tcW w:w="1418" w:type="dxa"/>
            <w:tcBorders>
              <w:top w:val="single" w:sz="4" w:space="0" w:color="D9D9D9" w:themeColor="background1" w:themeShade="D9"/>
              <w:bottom w:val="single" w:sz="4" w:space="0" w:color="D9D9D9" w:themeColor="background1" w:themeShade="D9"/>
            </w:tcBorders>
            <w:shd w:val="clear" w:color="auto" w:fill="FFFFFF" w:themeFill="background1"/>
          </w:tcPr>
          <w:p w14:paraId="34258AF8" w14:textId="77777777" w:rsidR="007450F4" w:rsidRPr="0065414C" w:rsidRDefault="002117A9" w:rsidP="007450F4">
            <w:pPr>
              <w:pStyle w:val="TableParagraph"/>
              <w:spacing w:before="60" w:after="60"/>
              <w:jc w:val="center"/>
              <w:rPr>
                <w:rFonts w:cs="Arial"/>
                <w:color w:val="008F54" w:themeColor="accent2"/>
              </w:rPr>
            </w:pPr>
            <w:r>
              <w:rPr>
                <w:rFonts w:cs="Arial"/>
                <w:color w:val="008F54" w:themeColor="accent2"/>
              </w:rPr>
              <w:t>25</w:t>
            </w:r>
          </w:p>
        </w:tc>
      </w:tr>
      <w:tr w:rsidR="007450F4" w:rsidRPr="0065414C" w14:paraId="6F082C53" w14:textId="77777777" w:rsidTr="00B22772">
        <w:trPr>
          <w:trHeight w:val="20"/>
        </w:trPr>
        <w:tc>
          <w:tcPr>
            <w:tcW w:w="7513" w:type="dxa"/>
            <w:tcBorders>
              <w:top w:val="single" w:sz="4" w:space="0" w:color="D9D9D9" w:themeColor="background1" w:themeShade="D9"/>
              <w:bottom w:val="single" w:sz="4" w:space="0" w:color="D9D9D9" w:themeColor="background1" w:themeShade="D9"/>
            </w:tcBorders>
            <w:shd w:val="clear" w:color="auto" w:fill="FFFFFF" w:themeFill="background1"/>
          </w:tcPr>
          <w:p w14:paraId="0357BF79" w14:textId="77777777" w:rsidR="007450F4" w:rsidRPr="0065414C" w:rsidRDefault="007450F4" w:rsidP="007450F4">
            <w:pPr>
              <w:pStyle w:val="TableParagraph"/>
              <w:spacing w:before="60" w:after="60"/>
              <w:ind w:left="113" w:right="340"/>
              <w:rPr>
                <w:rFonts w:cs="Arial"/>
                <w:color w:val="008F54" w:themeColor="accent2"/>
              </w:rPr>
            </w:pPr>
            <w:r w:rsidRPr="0065414C">
              <w:rPr>
                <w:rFonts w:cs="Arial"/>
                <w:color w:val="008F54" w:themeColor="accent2"/>
              </w:rPr>
              <w:t>Are there other clinical areas where introducing price harmonisation should be considered?</w:t>
            </w:r>
          </w:p>
        </w:tc>
        <w:tc>
          <w:tcPr>
            <w:tcW w:w="1418" w:type="dxa"/>
            <w:tcBorders>
              <w:top w:val="single" w:sz="4" w:space="0" w:color="D9D9D9" w:themeColor="background1" w:themeShade="D9"/>
              <w:bottom w:val="single" w:sz="4" w:space="0" w:color="D9D9D9" w:themeColor="background1" w:themeShade="D9"/>
            </w:tcBorders>
            <w:shd w:val="clear" w:color="auto" w:fill="FFFFFF" w:themeFill="background1"/>
          </w:tcPr>
          <w:p w14:paraId="585925B3" w14:textId="77777777" w:rsidR="007450F4" w:rsidRPr="0065414C" w:rsidRDefault="002117A9" w:rsidP="007450F4">
            <w:pPr>
              <w:pStyle w:val="TableParagraph"/>
              <w:spacing w:before="60" w:after="60"/>
              <w:jc w:val="center"/>
              <w:rPr>
                <w:rFonts w:cs="Arial"/>
                <w:color w:val="008F54" w:themeColor="accent2"/>
              </w:rPr>
            </w:pPr>
            <w:r>
              <w:rPr>
                <w:rFonts w:cs="Arial"/>
                <w:color w:val="008F54" w:themeColor="accent2"/>
              </w:rPr>
              <w:t>25</w:t>
            </w:r>
          </w:p>
        </w:tc>
      </w:tr>
      <w:tr w:rsidR="007450F4" w:rsidRPr="0065414C" w14:paraId="5B3097F0" w14:textId="77777777" w:rsidTr="00B22772">
        <w:trPr>
          <w:trHeight w:val="20"/>
        </w:trPr>
        <w:tc>
          <w:tcPr>
            <w:tcW w:w="7513" w:type="dxa"/>
            <w:tcBorders>
              <w:top w:val="single" w:sz="4" w:space="0" w:color="D9D9D9" w:themeColor="background1" w:themeShade="D9"/>
              <w:bottom w:val="single" w:sz="4" w:space="0" w:color="D9D9D9" w:themeColor="background1" w:themeShade="D9"/>
            </w:tcBorders>
            <w:shd w:val="clear" w:color="auto" w:fill="FFFFFF" w:themeFill="background1"/>
          </w:tcPr>
          <w:p w14:paraId="2799665D" w14:textId="77777777" w:rsidR="007450F4" w:rsidRPr="0065414C" w:rsidRDefault="007450F4" w:rsidP="007450F4">
            <w:pPr>
              <w:pStyle w:val="TableParagraph"/>
              <w:spacing w:before="60" w:after="60"/>
              <w:ind w:left="113" w:right="340"/>
              <w:rPr>
                <w:rFonts w:cs="Arial"/>
                <w:color w:val="008F54" w:themeColor="accent2"/>
              </w:rPr>
            </w:pPr>
            <w:r w:rsidRPr="0065414C">
              <w:rPr>
                <w:rFonts w:cs="Arial"/>
                <w:color w:val="008F54" w:themeColor="accent2"/>
              </w:rPr>
              <w:t>Is there any objection to IHPA phasing out the private patient correction factor for NEP21?</w:t>
            </w:r>
          </w:p>
        </w:tc>
        <w:tc>
          <w:tcPr>
            <w:tcW w:w="1418" w:type="dxa"/>
            <w:tcBorders>
              <w:top w:val="single" w:sz="4" w:space="0" w:color="D9D9D9" w:themeColor="background1" w:themeShade="D9"/>
              <w:bottom w:val="single" w:sz="4" w:space="0" w:color="D9D9D9" w:themeColor="background1" w:themeShade="D9"/>
            </w:tcBorders>
            <w:shd w:val="clear" w:color="auto" w:fill="FFFFFF" w:themeFill="background1"/>
          </w:tcPr>
          <w:p w14:paraId="42F8BB27" w14:textId="77777777" w:rsidR="007450F4" w:rsidRPr="0065414C" w:rsidRDefault="002117A9" w:rsidP="00C92EDA">
            <w:pPr>
              <w:pStyle w:val="TableParagraph"/>
              <w:spacing w:before="60" w:after="60"/>
              <w:jc w:val="center"/>
              <w:rPr>
                <w:rFonts w:cs="Arial"/>
                <w:color w:val="008F54" w:themeColor="accent2"/>
              </w:rPr>
            </w:pPr>
            <w:r>
              <w:rPr>
                <w:rFonts w:cs="Arial"/>
                <w:color w:val="008F54" w:themeColor="accent2"/>
              </w:rPr>
              <w:t>26</w:t>
            </w:r>
          </w:p>
        </w:tc>
      </w:tr>
      <w:tr w:rsidR="007450F4" w:rsidRPr="0065414C" w14:paraId="597E081A" w14:textId="77777777" w:rsidTr="00B22772">
        <w:trPr>
          <w:trHeight w:val="20"/>
        </w:trPr>
        <w:tc>
          <w:tcPr>
            <w:tcW w:w="7513" w:type="dxa"/>
            <w:tcBorders>
              <w:top w:val="single" w:sz="4" w:space="0" w:color="D9D9D9" w:themeColor="background1" w:themeShade="D9"/>
              <w:bottom w:val="single" w:sz="4" w:space="0" w:color="D9D9D9" w:themeColor="background1" w:themeShade="D9"/>
            </w:tcBorders>
            <w:shd w:val="clear" w:color="auto" w:fill="FFFFFF" w:themeFill="background1"/>
          </w:tcPr>
          <w:p w14:paraId="7241CB0B" w14:textId="77777777" w:rsidR="007450F4" w:rsidRPr="0065414C" w:rsidRDefault="007450F4" w:rsidP="007450F4">
            <w:pPr>
              <w:pStyle w:val="TableParagraph"/>
              <w:spacing w:before="60" w:after="60"/>
              <w:ind w:left="113" w:right="340"/>
              <w:rPr>
                <w:rFonts w:cs="Arial"/>
                <w:color w:val="008F54" w:themeColor="accent2"/>
              </w:rPr>
            </w:pPr>
            <w:r w:rsidRPr="0065414C">
              <w:rPr>
                <w:rFonts w:cs="Arial"/>
                <w:color w:val="008F54" w:themeColor="accent2"/>
              </w:rPr>
              <w:t>Are there refinements to the ‘fixed-plus-variable’ model that IHPA should consider?</w:t>
            </w:r>
          </w:p>
        </w:tc>
        <w:tc>
          <w:tcPr>
            <w:tcW w:w="1418" w:type="dxa"/>
            <w:tcBorders>
              <w:top w:val="single" w:sz="4" w:space="0" w:color="D9D9D9" w:themeColor="background1" w:themeShade="D9"/>
              <w:bottom w:val="single" w:sz="4" w:space="0" w:color="D9D9D9" w:themeColor="background1" w:themeShade="D9"/>
            </w:tcBorders>
            <w:shd w:val="clear" w:color="auto" w:fill="FFFFFF" w:themeFill="background1"/>
          </w:tcPr>
          <w:p w14:paraId="611764AC" w14:textId="77777777" w:rsidR="007450F4" w:rsidRPr="0065414C" w:rsidRDefault="002117A9" w:rsidP="007450F4">
            <w:pPr>
              <w:pStyle w:val="TableParagraph"/>
              <w:spacing w:before="60" w:after="60"/>
              <w:jc w:val="center"/>
              <w:rPr>
                <w:rFonts w:cs="Arial"/>
                <w:color w:val="008F54" w:themeColor="accent2"/>
              </w:rPr>
            </w:pPr>
            <w:r>
              <w:rPr>
                <w:rFonts w:cs="Arial"/>
                <w:color w:val="008F54" w:themeColor="accent2"/>
              </w:rPr>
              <w:t>33</w:t>
            </w:r>
          </w:p>
        </w:tc>
      </w:tr>
      <w:tr w:rsidR="007450F4" w:rsidRPr="0065414C" w14:paraId="279F8EC1" w14:textId="77777777" w:rsidTr="00B22772">
        <w:trPr>
          <w:trHeight w:val="20"/>
        </w:trPr>
        <w:tc>
          <w:tcPr>
            <w:tcW w:w="7513" w:type="dxa"/>
            <w:tcBorders>
              <w:top w:val="single" w:sz="4" w:space="0" w:color="D9D9D9" w:themeColor="background1" w:themeShade="D9"/>
              <w:bottom w:val="single" w:sz="4" w:space="0" w:color="D9D9D9" w:themeColor="background1" w:themeShade="D9"/>
            </w:tcBorders>
            <w:shd w:val="clear" w:color="auto" w:fill="FFFFFF" w:themeFill="background1"/>
          </w:tcPr>
          <w:p w14:paraId="5309C3AE" w14:textId="77777777" w:rsidR="007450F4" w:rsidRPr="0065414C" w:rsidRDefault="007450F4" w:rsidP="007450F4">
            <w:pPr>
              <w:pStyle w:val="TableParagraph"/>
              <w:spacing w:before="60" w:after="60"/>
              <w:ind w:left="113" w:right="340"/>
              <w:rPr>
                <w:rFonts w:cs="Arial"/>
                <w:color w:val="008F54" w:themeColor="accent2"/>
              </w:rPr>
            </w:pPr>
            <w:r w:rsidRPr="0065414C">
              <w:rPr>
                <w:rFonts w:cs="Arial"/>
                <w:color w:val="008F54" w:themeColor="accent2"/>
              </w:rPr>
              <w:t>What comments do stakeholders have regarding the innovative funding models being considered by IHPA?</w:t>
            </w:r>
          </w:p>
        </w:tc>
        <w:tc>
          <w:tcPr>
            <w:tcW w:w="1418" w:type="dxa"/>
            <w:tcBorders>
              <w:top w:val="single" w:sz="4" w:space="0" w:color="D9D9D9" w:themeColor="background1" w:themeShade="D9"/>
              <w:bottom w:val="single" w:sz="4" w:space="0" w:color="D9D9D9" w:themeColor="background1" w:themeShade="D9"/>
            </w:tcBorders>
            <w:shd w:val="clear" w:color="auto" w:fill="FFFFFF" w:themeFill="background1"/>
          </w:tcPr>
          <w:p w14:paraId="38A4DC2D" w14:textId="77777777" w:rsidR="007450F4" w:rsidRPr="0065414C" w:rsidRDefault="002117A9" w:rsidP="007450F4">
            <w:pPr>
              <w:pStyle w:val="TableParagraph"/>
              <w:spacing w:before="60" w:after="60"/>
              <w:jc w:val="center"/>
              <w:rPr>
                <w:rFonts w:cs="Arial"/>
                <w:color w:val="008F54" w:themeColor="accent2"/>
              </w:rPr>
            </w:pPr>
            <w:r>
              <w:rPr>
                <w:rFonts w:cs="Arial"/>
                <w:color w:val="008F54" w:themeColor="accent2"/>
              </w:rPr>
              <w:t>38</w:t>
            </w:r>
          </w:p>
        </w:tc>
      </w:tr>
      <w:tr w:rsidR="007450F4" w:rsidRPr="0065414C" w14:paraId="40287D21" w14:textId="77777777" w:rsidTr="00B22772">
        <w:trPr>
          <w:trHeight w:val="20"/>
        </w:trPr>
        <w:tc>
          <w:tcPr>
            <w:tcW w:w="7513" w:type="dxa"/>
            <w:tcBorders>
              <w:top w:val="single" w:sz="4" w:space="0" w:color="D9D9D9" w:themeColor="background1" w:themeShade="D9"/>
              <w:bottom w:val="single" w:sz="4" w:space="0" w:color="D9D9D9" w:themeColor="background1" w:themeShade="D9"/>
            </w:tcBorders>
            <w:shd w:val="clear" w:color="auto" w:fill="FFFFFF" w:themeFill="background1"/>
          </w:tcPr>
          <w:p w14:paraId="2F3444E0" w14:textId="77777777" w:rsidR="007450F4" w:rsidRPr="0065414C" w:rsidRDefault="007450F4" w:rsidP="007450F4">
            <w:pPr>
              <w:pStyle w:val="TableParagraph"/>
              <w:spacing w:before="60" w:after="60"/>
              <w:ind w:left="113" w:right="340"/>
              <w:rPr>
                <w:rFonts w:cs="Arial"/>
                <w:color w:val="008F54" w:themeColor="accent2"/>
              </w:rPr>
            </w:pPr>
            <w:r w:rsidRPr="0065414C">
              <w:rPr>
                <w:rFonts w:cs="Arial"/>
                <w:color w:val="008F54" w:themeColor="accent2"/>
              </w:rPr>
              <w:t>What innovative funding models are states and territories intending to trial through bilateral agreements under the Addendum?</w:t>
            </w:r>
          </w:p>
        </w:tc>
        <w:tc>
          <w:tcPr>
            <w:tcW w:w="1418" w:type="dxa"/>
            <w:tcBorders>
              <w:top w:val="single" w:sz="4" w:space="0" w:color="D9D9D9" w:themeColor="background1" w:themeShade="D9"/>
              <w:bottom w:val="single" w:sz="4" w:space="0" w:color="D9D9D9" w:themeColor="background1" w:themeShade="D9"/>
            </w:tcBorders>
            <w:shd w:val="clear" w:color="auto" w:fill="FFFFFF" w:themeFill="background1"/>
          </w:tcPr>
          <w:p w14:paraId="03431926" w14:textId="77777777" w:rsidR="007450F4" w:rsidRPr="0065414C" w:rsidRDefault="002117A9" w:rsidP="002117A9">
            <w:pPr>
              <w:pStyle w:val="TableParagraph"/>
              <w:spacing w:before="60" w:after="60"/>
              <w:jc w:val="center"/>
              <w:rPr>
                <w:rFonts w:cs="Arial"/>
                <w:color w:val="008F54" w:themeColor="accent2"/>
              </w:rPr>
            </w:pPr>
            <w:r>
              <w:rPr>
                <w:rFonts w:cs="Arial"/>
                <w:color w:val="008F54" w:themeColor="accent2"/>
              </w:rPr>
              <w:t>38</w:t>
            </w:r>
          </w:p>
        </w:tc>
      </w:tr>
      <w:tr w:rsidR="007450F4" w:rsidRPr="0065414C" w14:paraId="609E3F28" w14:textId="77777777" w:rsidTr="00B22772">
        <w:trPr>
          <w:trHeight w:val="20"/>
        </w:trPr>
        <w:tc>
          <w:tcPr>
            <w:tcW w:w="7513" w:type="dxa"/>
            <w:tcBorders>
              <w:top w:val="single" w:sz="4" w:space="0" w:color="D9D9D9" w:themeColor="background1" w:themeShade="D9"/>
              <w:bottom w:val="single" w:sz="4" w:space="0" w:color="D9D9D9" w:themeColor="background1" w:themeShade="D9"/>
            </w:tcBorders>
            <w:shd w:val="clear" w:color="auto" w:fill="FFFFFF" w:themeFill="background1"/>
          </w:tcPr>
          <w:p w14:paraId="6C5528EA" w14:textId="77777777" w:rsidR="007450F4" w:rsidRPr="0065414C" w:rsidRDefault="007450F4" w:rsidP="007450F4">
            <w:pPr>
              <w:pStyle w:val="TableParagraph"/>
              <w:spacing w:before="60" w:after="60"/>
              <w:ind w:left="113" w:right="340"/>
              <w:rPr>
                <w:rFonts w:cs="Arial"/>
                <w:color w:val="008F54" w:themeColor="accent2"/>
              </w:rPr>
            </w:pPr>
            <w:r w:rsidRPr="0065414C">
              <w:rPr>
                <w:rFonts w:cs="Arial"/>
                <w:color w:val="008F54" w:themeColor="accent2"/>
              </w:rPr>
              <w:t>Are there other factors that IHPA should consider in its analysis to determine which patient cohorts or ADRGs are amenable to certain funding models?</w:t>
            </w:r>
          </w:p>
        </w:tc>
        <w:tc>
          <w:tcPr>
            <w:tcW w:w="1418" w:type="dxa"/>
            <w:tcBorders>
              <w:top w:val="single" w:sz="4" w:space="0" w:color="D9D9D9" w:themeColor="background1" w:themeShade="D9"/>
              <w:bottom w:val="single" w:sz="4" w:space="0" w:color="D9D9D9" w:themeColor="background1" w:themeShade="D9"/>
            </w:tcBorders>
            <w:shd w:val="clear" w:color="auto" w:fill="FFFFFF" w:themeFill="background1"/>
          </w:tcPr>
          <w:p w14:paraId="1A0F8642" w14:textId="77777777" w:rsidR="007450F4" w:rsidRPr="0065414C" w:rsidRDefault="002117A9" w:rsidP="002117A9">
            <w:pPr>
              <w:pStyle w:val="TableParagraph"/>
              <w:spacing w:before="60" w:after="60"/>
              <w:jc w:val="center"/>
              <w:rPr>
                <w:rFonts w:cs="Arial"/>
                <w:color w:val="008F54" w:themeColor="accent2"/>
              </w:rPr>
            </w:pPr>
            <w:r>
              <w:rPr>
                <w:rFonts w:cs="Arial"/>
                <w:color w:val="008F54" w:themeColor="accent2"/>
              </w:rPr>
              <w:t>38</w:t>
            </w:r>
          </w:p>
        </w:tc>
      </w:tr>
      <w:tr w:rsidR="007450F4" w:rsidRPr="0065414C" w14:paraId="7918E5D5" w14:textId="77777777" w:rsidTr="00B22772">
        <w:trPr>
          <w:trHeight w:val="20"/>
        </w:trPr>
        <w:tc>
          <w:tcPr>
            <w:tcW w:w="7513" w:type="dxa"/>
            <w:tcBorders>
              <w:top w:val="single" w:sz="4" w:space="0" w:color="D9D9D9" w:themeColor="background1" w:themeShade="D9"/>
              <w:bottom w:val="single" w:sz="4" w:space="0" w:color="D9D9D9" w:themeColor="background1" w:themeShade="D9"/>
            </w:tcBorders>
            <w:shd w:val="clear" w:color="auto" w:fill="FFFFFF" w:themeFill="background1"/>
          </w:tcPr>
          <w:p w14:paraId="31E9CFAD" w14:textId="77777777" w:rsidR="007450F4" w:rsidRPr="0065414C" w:rsidRDefault="007450F4" w:rsidP="007450F4">
            <w:pPr>
              <w:pStyle w:val="TableParagraph"/>
              <w:spacing w:before="60" w:after="60"/>
              <w:ind w:left="113" w:right="340"/>
              <w:rPr>
                <w:rFonts w:cs="Arial"/>
                <w:color w:val="008F54" w:themeColor="accent2"/>
              </w:rPr>
            </w:pPr>
            <w:r w:rsidRPr="0065414C">
              <w:rPr>
                <w:rFonts w:cs="Arial"/>
                <w:color w:val="008F54" w:themeColor="accent2"/>
              </w:rPr>
              <w:t>What other strategic areas should IHPA consider in developing a framework for future funding models?</w:t>
            </w:r>
          </w:p>
        </w:tc>
        <w:tc>
          <w:tcPr>
            <w:tcW w:w="1418" w:type="dxa"/>
            <w:tcBorders>
              <w:top w:val="single" w:sz="4" w:space="0" w:color="D9D9D9" w:themeColor="background1" w:themeShade="D9"/>
              <w:bottom w:val="single" w:sz="4" w:space="0" w:color="D9D9D9" w:themeColor="background1" w:themeShade="D9"/>
            </w:tcBorders>
            <w:shd w:val="clear" w:color="auto" w:fill="FFFFFF" w:themeFill="background1"/>
          </w:tcPr>
          <w:p w14:paraId="71D0FA22" w14:textId="77777777" w:rsidR="007450F4" w:rsidRPr="0065414C" w:rsidRDefault="002117A9" w:rsidP="002117A9">
            <w:pPr>
              <w:pStyle w:val="TableParagraph"/>
              <w:spacing w:before="60" w:after="60"/>
              <w:jc w:val="center"/>
              <w:rPr>
                <w:rFonts w:cs="Arial"/>
                <w:color w:val="008F54" w:themeColor="accent2"/>
              </w:rPr>
            </w:pPr>
            <w:r>
              <w:rPr>
                <w:rFonts w:cs="Arial"/>
                <w:color w:val="008F54" w:themeColor="accent2"/>
              </w:rPr>
              <w:t>38</w:t>
            </w:r>
          </w:p>
        </w:tc>
      </w:tr>
      <w:tr w:rsidR="007450F4" w:rsidRPr="0065414C" w14:paraId="562DE378" w14:textId="77777777" w:rsidTr="00B22772">
        <w:trPr>
          <w:trHeight w:val="20"/>
        </w:trPr>
        <w:tc>
          <w:tcPr>
            <w:tcW w:w="7513" w:type="dxa"/>
            <w:tcBorders>
              <w:top w:val="single" w:sz="4" w:space="0" w:color="D9D9D9" w:themeColor="background1" w:themeShade="D9"/>
              <w:bottom w:val="single" w:sz="4" w:space="0" w:color="D9D9D9" w:themeColor="background1" w:themeShade="D9"/>
            </w:tcBorders>
            <w:shd w:val="clear" w:color="auto" w:fill="FFFFFF" w:themeFill="background1"/>
          </w:tcPr>
          <w:p w14:paraId="4B360368" w14:textId="77777777" w:rsidR="007450F4" w:rsidRPr="0065414C" w:rsidRDefault="007450F4" w:rsidP="007450F4">
            <w:pPr>
              <w:pStyle w:val="TableParagraph"/>
              <w:spacing w:before="60" w:after="60"/>
              <w:ind w:left="113" w:right="340"/>
              <w:rPr>
                <w:rFonts w:cs="Arial"/>
                <w:color w:val="008F54" w:themeColor="accent2"/>
              </w:rPr>
            </w:pPr>
            <w:r w:rsidRPr="0065414C">
              <w:rPr>
                <w:rFonts w:cs="Arial"/>
                <w:color w:val="008F54" w:themeColor="accent2"/>
              </w:rPr>
              <w:t>Apart from the IHI, what other critical success factors are required to support the implementation of innovative funding models?</w:t>
            </w:r>
          </w:p>
        </w:tc>
        <w:tc>
          <w:tcPr>
            <w:tcW w:w="1418" w:type="dxa"/>
            <w:tcBorders>
              <w:top w:val="single" w:sz="4" w:space="0" w:color="D9D9D9" w:themeColor="background1" w:themeShade="D9"/>
              <w:bottom w:val="single" w:sz="4" w:space="0" w:color="D9D9D9" w:themeColor="background1" w:themeShade="D9"/>
            </w:tcBorders>
            <w:shd w:val="clear" w:color="auto" w:fill="FFFFFF" w:themeFill="background1"/>
          </w:tcPr>
          <w:p w14:paraId="722D7D54" w14:textId="77777777" w:rsidR="007450F4" w:rsidRPr="0065414C" w:rsidRDefault="002117A9" w:rsidP="002117A9">
            <w:pPr>
              <w:pStyle w:val="TableParagraph"/>
              <w:spacing w:before="60" w:after="60"/>
              <w:jc w:val="center"/>
              <w:rPr>
                <w:rFonts w:cs="Arial"/>
                <w:color w:val="008F54" w:themeColor="accent2"/>
              </w:rPr>
            </w:pPr>
            <w:r>
              <w:rPr>
                <w:rFonts w:cs="Arial"/>
                <w:color w:val="008F54" w:themeColor="accent2"/>
              </w:rPr>
              <w:t>38</w:t>
            </w:r>
          </w:p>
        </w:tc>
      </w:tr>
      <w:tr w:rsidR="007450F4" w:rsidRPr="0065414C" w14:paraId="5AADB188" w14:textId="77777777" w:rsidTr="00B22772">
        <w:trPr>
          <w:trHeight w:val="20"/>
        </w:trPr>
        <w:tc>
          <w:tcPr>
            <w:tcW w:w="7513" w:type="dxa"/>
            <w:tcBorders>
              <w:top w:val="single" w:sz="4" w:space="0" w:color="D9D9D9" w:themeColor="background1" w:themeShade="D9"/>
              <w:bottom w:val="single" w:sz="4" w:space="0" w:color="D9D9D9" w:themeColor="background1" w:themeShade="D9"/>
            </w:tcBorders>
            <w:shd w:val="clear" w:color="auto" w:fill="FFFFFF" w:themeFill="background1"/>
          </w:tcPr>
          <w:p w14:paraId="397C586C" w14:textId="77777777" w:rsidR="007450F4" w:rsidRPr="0065414C" w:rsidRDefault="007450F4" w:rsidP="007450F4">
            <w:pPr>
              <w:pStyle w:val="TableParagraph"/>
              <w:spacing w:before="60" w:after="60"/>
              <w:ind w:left="113" w:right="340"/>
              <w:rPr>
                <w:rFonts w:cs="Arial"/>
                <w:color w:val="008F54" w:themeColor="accent2"/>
              </w:rPr>
            </w:pPr>
            <w:r w:rsidRPr="0065414C">
              <w:rPr>
                <w:rFonts w:cs="Arial"/>
                <w:color w:val="008F54" w:themeColor="accent2"/>
              </w:rPr>
              <w:t>Do you support IHPA’s proposed pricing model for avoidable hospital readmissions, under funding option one at a jurisdiction scope level?</w:t>
            </w:r>
          </w:p>
        </w:tc>
        <w:tc>
          <w:tcPr>
            <w:tcW w:w="1418" w:type="dxa"/>
            <w:tcBorders>
              <w:top w:val="single" w:sz="4" w:space="0" w:color="D9D9D9" w:themeColor="background1" w:themeShade="D9"/>
              <w:bottom w:val="single" w:sz="4" w:space="0" w:color="D9D9D9" w:themeColor="background1" w:themeShade="D9"/>
            </w:tcBorders>
            <w:shd w:val="clear" w:color="auto" w:fill="FFFFFF" w:themeFill="background1"/>
          </w:tcPr>
          <w:p w14:paraId="7258FB4D" w14:textId="77777777" w:rsidR="007450F4" w:rsidRPr="0065414C" w:rsidRDefault="002117A9" w:rsidP="002117A9">
            <w:pPr>
              <w:pStyle w:val="TableParagraph"/>
              <w:spacing w:before="60" w:after="60"/>
              <w:jc w:val="center"/>
              <w:rPr>
                <w:rFonts w:cs="Arial"/>
                <w:color w:val="008F54" w:themeColor="accent2"/>
              </w:rPr>
            </w:pPr>
            <w:r>
              <w:rPr>
                <w:rFonts w:cs="Arial"/>
                <w:color w:val="008F54" w:themeColor="accent2"/>
              </w:rPr>
              <w:t>47</w:t>
            </w:r>
          </w:p>
        </w:tc>
      </w:tr>
      <w:tr w:rsidR="007450F4" w:rsidRPr="0065414C" w14:paraId="2E3276B0" w14:textId="77777777" w:rsidTr="00B22772">
        <w:trPr>
          <w:trHeight w:val="20"/>
        </w:trPr>
        <w:tc>
          <w:tcPr>
            <w:tcW w:w="7513" w:type="dxa"/>
            <w:tcBorders>
              <w:top w:val="single" w:sz="4" w:space="0" w:color="D9D9D9" w:themeColor="background1" w:themeShade="D9"/>
              <w:bottom w:val="single" w:sz="4" w:space="0" w:color="D9D9D9" w:themeColor="background1" w:themeShade="D9"/>
            </w:tcBorders>
            <w:shd w:val="clear" w:color="auto" w:fill="FFFFFF" w:themeFill="background1"/>
          </w:tcPr>
          <w:p w14:paraId="54809249" w14:textId="77777777" w:rsidR="007450F4" w:rsidRPr="0065414C" w:rsidRDefault="007450F4" w:rsidP="007450F4">
            <w:pPr>
              <w:pStyle w:val="TableParagraph"/>
              <w:spacing w:before="60" w:after="60"/>
              <w:ind w:left="113" w:right="340"/>
              <w:rPr>
                <w:rFonts w:cs="Arial"/>
                <w:color w:val="008F54" w:themeColor="accent2"/>
              </w:rPr>
            </w:pPr>
            <w:r w:rsidRPr="0065414C">
              <w:rPr>
                <w:rFonts w:cs="Arial"/>
                <w:color w:val="008F54" w:themeColor="accent2"/>
              </w:rPr>
              <w:t>Are there any refinements to the risk adjustment model and risk factors that IHPA should consider?</w:t>
            </w:r>
          </w:p>
        </w:tc>
        <w:tc>
          <w:tcPr>
            <w:tcW w:w="1418" w:type="dxa"/>
            <w:tcBorders>
              <w:top w:val="single" w:sz="4" w:space="0" w:color="D9D9D9" w:themeColor="background1" w:themeShade="D9"/>
              <w:bottom w:val="single" w:sz="4" w:space="0" w:color="D9D9D9" w:themeColor="background1" w:themeShade="D9"/>
            </w:tcBorders>
            <w:shd w:val="clear" w:color="auto" w:fill="FFFFFF" w:themeFill="background1"/>
          </w:tcPr>
          <w:p w14:paraId="6378D93A" w14:textId="77777777" w:rsidR="007450F4" w:rsidRPr="0065414C" w:rsidRDefault="002117A9" w:rsidP="002117A9">
            <w:pPr>
              <w:pStyle w:val="TableParagraph"/>
              <w:spacing w:before="60" w:after="60"/>
              <w:jc w:val="center"/>
              <w:rPr>
                <w:rFonts w:cs="Arial"/>
                <w:color w:val="008F54" w:themeColor="accent2"/>
              </w:rPr>
            </w:pPr>
            <w:r>
              <w:rPr>
                <w:rFonts w:cs="Arial"/>
                <w:color w:val="008F54" w:themeColor="accent2"/>
              </w:rPr>
              <w:t>47</w:t>
            </w:r>
          </w:p>
        </w:tc>
      </w:tr>
      <w:tr w:rsidR="007450F4" w:rsidRPr="0065414C" w14:paraId="7BC160CA" w14:textId="77777777" w:rsidTr="00B22772">
        <w:trPr>
          <w:trHeight w:val="20"/>
        </w:trPr>
        <w:tc>
          <w:tcPr>
            <w:tcW w:w="7513" w:type="dxa"/>
            <w:tcBorders>
              <w:top w:val="single" w:sz="4" w:space="0" w:color="D9D9D9" w:themeColor="background1" w:themeShade="D9"/>
              <w:bottom w:val="single" w:sz="4" w:space="0" w:color="D9D9D9" w:themeColor="background1" w:themeShade="D9"/>
            </w:tcBorders>
            <w:shd w:val="clear" w:color="auto" w:fill="FFFFFF" w:themeFill="background1"/>
          </w:tcPr>
          <w:p w14:paraId="61001800" w14:textId="77777777" w:rsidR="007450F4" w:rsidRPr="0065414C" w:rsidRDefault="007450F4" w:rsidP="007450F4">
            <w:pPr>
              <w:pStyle w:val="TableParagraph"/>
              <w:spacing w:before="60" w:after="60"/>
              <w:ind w:left="113" w:right="340"/>
              <w:rPr>
                <w:rFonts w:cs="Arial"/>
                <w:color w:val="008F54" w:themeColor="accent2"/>
              </w:rPr>
            </w:pPr>
            <w:r w:rsidRPr="0065414C">
              <w:rPr>
                <w:rFonts w:cs="Arial"/>
                <w:color w:val="008F54" w:themeColor="accent2"/>
              </w:rPr>
              <w:t>What additional aspects does IHPA need to consider when implementing a funding adjustment for avoidable hospital readmissions?</w:t>
            </w:r>
          </w:p>
        </w:tc>
        <w:tc>
          <w:tcPr>
            <w:tcW w:w="1418" w:type="dxa"/>
            <w:tcBorders>
              <w:top w:val="single" w:sz="4" w:space="0" w:color="D9D9D9" w:themeColor="background1" w:themeShade="D9"/>
              <w:bottom w:val="single" w:sz="4" w:space="0" w:color="D9D9D9" w:themeColor="background1" w:themeShade="D9"/>
            </w:tcBorders>
            <w:shd w:val="clear" w:color="auto" w:fill="FFFFFF" w:themeFill="background1"/>
          </w:tcPr>
          <w:p w14:paraId="5BA59E93" w14:textId="77777777" w:rsidR="007450F4" w:rsidRPr="0065414C" w:rsidRDefault="002117A9" w:rsidP="002117A9">
            <w:pPr>
              <w:pStyle w:val="TableParagraph"/>
              <w:spacing w:before="60" w:after="60"/>
              <w:jc w:val="center"/>
              <w:rPr>
                <w:rFonts w:cs="Arial"/>
                <w:color w:val="008F54" w:themeColor="accent2"/>
              </w:rPr>
            </w:pPr>
            <w:r>
              <w:rPr>
                <w:rFonts w:cs="Arial"/>
                <w:color w:val="008F54" w:themeColor="accent2"/>
              </w:rPr>
              <w:t>47</w:t>
            </w:r>
          </w:p>
        </w:tc>
      </w:tr>
    </w:tbl>
    <w:p w14:paraId="44AB1B18" w14:textId="77777777" w:rsidR="00C415F5" w:rsidRPr="0065414C" w:rsidRDefault="00C415F5" w:rsidP="006E364C">
      <w:pPr>
        <w:pStyle w:val="BodyText"/>
        <w:spacing w:after="240"/>
        <w:rPr>
          <w:rFonts w:cs="Arial"/>
        </w:rPr>
      </w:pPr>
    </w:p>
    <w:p w14:paraId="733B4F57" w14:textId="77777777" w:rsidR="00053037" w:rsidRPr="0065414C" w:rsidRDefault="00053037" w:rsidP="006E364C">
      <w:pPr>
        <w:pStyle w:val="BodyText"/>
        <w:spacing w:after="240"/>
        <w:rPr>
          <w:rFonts w:cs="Arial"/>
        </w:rPr>
      </w:pPr>
    </w:p>
    <w:p w14:paraId="455FC4D3" w14:textId="77777777" w:rsidR="00C415F5" w:rsidRPr="0065414C" w:rsidRDefault="00C415F5">
      <w:pPr>
        <w:jc w:val="center"/>
        <w:rPr>
          <w:rFonts w:cs="Arial"/>
          <w:sz w:val="16"/>
        </w:rPr>
        <w:sectPr w:rsidR="00C415F5" w:rsidRPr="0065414C" w:rsidSect="00B6238A">
          <w:headerReference w:type="default" r:id="rId100"/>
          <w:pgSz w:w="11910" w:h="16840"/>
          <w:pgMar w:top="1440" w:right="1440" w:bottom="1276" w:left="1440" w:header="0" w:footer="656" w:gutter="0"/>
          <w:cols w:space="720"/>
        </w:sectPr>
      </w:pPr>
    </w:p>
    <w:p w14:paraId="64CB0EB7" w14:textId="77777777" w:rsidR="00D3193A" w:rsidRDefault="003F223E" w:rsidP="00A617A7">
      <w:pPr>
        <w:pStyle w:val="BodyText"/>
        <w:rPr>
          <w:rFonts w:cs="Arial"/>
          <w:color w:val="FFFFFF" w:themeColor="background1"/>
        </w:rPr>
      </w:pPr>
      <w:r w:rsidRPr="0065414C">
        <w:rPr>
          <w:rFonts w:cs="Arial"/>
          <w:noProof/>
          <w:color w:val="FFFFFF" w:themeColor="background1"/>
          <w:sz w:val="20"/>
          <w:lang w:eastAsia="en-AU" w:bidi="ar-SA"/>
        </w:rPr>
        <w:lastRenderedPageBreak/>
        <w:drawing>
          <wp:anchor distT="0" distB="0" distL="114300" distR="114300" simplePos="0" relativeHeight="251639808" behindDoc="1" locked="0" layoutInCell="1" allowOverlap="1" wp14:anchorId="49FB6845" wp14:editId="0FD83676">
            <wp:simplePos x="0" y="0"/>
            <wp:positionH relativeFrom="column">
              <wp:posOffset>-914400</wp:posOffset>
            </wp:positionH>
            <wp:positionV relativeFrom="page">
              <wp:posOffset>0</wp:posOffset>
            </wp:positionV>
            <wp:extent cx="7562850" cy="10697845"/>
            <wp:effectExtent l="0" t="0" r="0" b="825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7562850" cy="10697845"/>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sz w:val="36"/>
        </w:rPr>
        <w:drawing>
          <wp:inline distT="0" distB="0" distL="0" distR="0" wp14:anchorId="12CC17E9" wp14:editId="15DEFD86">
            <wp:extent cx="667385" cy="1011555"/>
            <wp:effectExtent l="0" t="0" r="0" b="0"/>
            <wp:docPr id="30" name="Picture 30" descr="IH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HPA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7385" cy="1011555"/>
                    </a:xfrm>
                    <a:prstGeom prst="rect">
                      <a:avLst/>
                    </a:prstGeom>
                  </pic:spPr>
                </pic:pic>
              </a:graphicData>
            </a:graphic>
          </wp:inline>
        </w:drawing>
      </w:r>
    </w:p>
    <w:p w14:paraId="060EB530" w14:textId="26B0B98D" w:rsidR="00C415F5" w:rsidRPr="0065414C" w:rsidRDefault="00603DEC" w:rsidP="00D3193A">
      <w:pPr>
        <w:pStyle w:val="BodyText"/>
        <w:spacing w:before="9720"/>
        <w:rPr>
          <w:rFonts w:cs="Arial"/>
          <w:color w:val="FFFFFF" w:themeColor="background1"/>
        </w:rPr>
      </w:pPr>
      <w:r w:rsidRPr="0065414C">
        <w:rPr>
          <w:rFonts w:cs="Arial"/>
          <w:color w:val="FFFFFF" w:themeColor="background1"/>
        </w:rPr>
        <w:t>Independent Hospital Pricing Authority</w:t>
      </w:r>
    </w:p>
    <w:p w14:paraId="7D49A071" w14:textId="77777777" w:rsidR="00C415F5" w:rsidRPr="0065414C" w:rsidRDefault="00603DEC" w:rsidP="00A617A7">
      <w:pPr>
        <w:pStyle w:val="BodyText"/>
        <w:rPr>
          <w:rFonts w:cs="Arial"/>
          <w:color w:val="FFFFFF" w:themeColor="background1"/>
        </w:rPr>
      </w:pPr>
      <w:r w:rsidRPr="0065414C">
        <w:rPr>
          <w:rFonts w:cs="Arial"/>
          <w:color w:val="FFFFFF" w:themeColor="background1"/>
        </w:rPr>
        <w:t>Level 6, 1 Oxford Street</w:t>
      </w:r>
    </w:p>
    <w:p w14:paraId="0C9CFD20" w14:textId="77777777" w:rsidR="00C415F5" w:rsidRPr="0065414C" w:rsidRDefault="00603DEC" w:rsidP="00A617A7">
      <w:pPr>
        <w:pStyle w:val="BodyText"/>
        <w:rPr>
          <w:rFonts w:cs="Arial"/>
          <w:color w:val="FFFFFF" w:themeColor="background1"/>
        </w:rPr>
      </w:pPr>
      <w:r w:rsidRPr="0065414C">
        <w:rPr>
          <w:rFonts w:cs="Arial"/>
          <w:color w:val="FFFFFF" w:themeColor="background1"/>
        </w:rPr>
        <w:t>Sydney NSW 2000</w:t>
      </w:r>
    </w:p>
    <w:p w14:paraId="7DA761A7" w14:textId="77777777" w:rsidR="00C415F5" w:rsidRPr="0065414C" w:rsidRDefault="00603DEC" w:rsidP="00A617A7">
      <w:pPr>
        <w:pStyle w:val="BodyText"/>
        <w:rPr>
          <w:rFonts w:cs="Arial"/>
          <w:color w:val="FFFFFF" w:themeColor="background1"/>
        </w:rPr>
      </w:pPr>
      <w:r w:rsidRPr="0065414C">
        <w:rPr>
          <w:rFonts w:cs="Arial"/>
          <w:b/>
          <w:color w:val="FFFFFF" w:themeColor="background1"/>
        </w:rPr>
        <w:t>Phone</w:t>
      </w:r>
      <w:r w:rsidR="00A617A7" w:rsidRPr="0065414C">
        <w:rPr>
          <w:rFonts w:cs="Arial"/>
          <w:b/>
          <w:color w:val="FFFFFF" w:themeColor="background1"/>
        </w:rPr>
        <w:tab/>
      </w:r>
      <w:r w:rsidRPr="0065414C">
        <w:rPr>
          <w:rFonts w:cs="Arial"/>
          <w:color w:val="FFFFFF" w:themeColor="background1"/>
        </w:rPr>
        <w:t>02 8215 1100</w:t>
      </w:r>
    </w:p>
    <w:p w14:paraId="195A4A3E" w14:textId="77777777" w:rsidR="00C415F5" w:rsidRPr="0065414C" w:rsidRDefault="00603DEC" w:rsidP="00A617A7">
      <w:pPr>
        <w:pStyle w:val="BodyText"/>
        <w:rPr>
          <w:rFonts w:cs="Arial"/>
          <w:color w:val="FFFFFF" w:themeColor="background1"/>
        </w:rPr>
      </w:pPr>
      <w:r w:rsidRPr="0065414C">
        <w:rPr>
          <w:rFonts w:cs="Arial"/>
          <w:b/>
          <w:color w:val="FFFFFF" w:themeColor="background1"/>
        </w:rPr>
        <w:t>Email</w:t>
      </w:r>
      <w:r w:rsidRPr="0065414C">
        <w:rPr>
          <w:rFonts w:cs="Arial"/>
          <w:b/>
          <w:color w:val="FFFFFF" w:themeColor="background1"/>
        </w:rPr>
        <w:tab/>
      </w:r>
      <w:hyperlink r:id="rId102" w:history="1">
        <w:r w:rsidR="004B213F" w:rsidRPr="00F36701">
          <w:rPr>
            <w:rStyle w:val="Hyperlink"/>
            <w:rFonts w:cs="Arial"/>
            <w:color w:val="7EC352" w:themeColor="accent1"/>
          </w:rPr>
          <w:t>enquiries.ihpa@ihpa.gov.au</w:t>
        </w:r>
      </w:hyperlink>
    </w:p>
    <w:p w14:paraId="37DEE8B1" w14:textId="77777777" w:rsidR="00A617A7" w:rsidRPr="0065414C" w:rsidRDefault="00603DEC" w:rsidP="00A617A7">
      <w:pPr>
        <w:pStyle w:val="BodyText"/>
        <w:rPr>
          <w:rFonts w:cs="Arial"/>
          <w:color w:val="FFFFFF" w:themeColor="background1"/>
        </w:rPr>
      </w:pPr>
      <w:r w:rsidRPr="0065414C">
        <w:rPr>
          <w:rFonts w:cs="Arial"/>
          <w:b/>
          <w:color w:val="FFFFFF" w:themeColor="background1"/>
        </w:rPr>
        <w:t>Twitter</w:t>
      </w:r>
      <w:r w:rsidR="00A617A7" w:rsidRPr="0065414C">
        <w:rPr>
          <w:rFonts w:cs="Arial"/>
          <w:b/>
          <w:color w:val="FFFFFF" w:themeColor="background1"/>
        </w:rPr>
        <w:tab/>
      </w:r>
      <w:hyperlink r:id="rId103">
        <w:r w:rsidRPr="0065414C">
          <w:rPr>
            <w:rFonts w:cs="Arial"/>
            <w:color w:val="FFFFFF" w:themeColor="background1"/>
          </w:rPr>
          <w:t>@IHPAnews</w:t>
        </w:r>
      </w:hyperlink>
      <w:r w:rsidRPr="0065414C">
        <w:rPr>
          <w:rFonts w:cs="Arial"/>
          <w:color w:val="FFFFFF" w:themeColor="background1"/>
        </w:rPr>
        <w:t xml:space="preserve"> </w:t>
      </w:r>
    </w:p>
    <w:p w14:paraId="7D91A2AB" w14:textId="4CCC247E" w:rsidR="00C415F5" w:rsidRPr="00F36701" w:rsidRDefault="00AE1ECC" w:rsidP="00A617A7">
      <w:pPr>
        <w:pStyle w:val="BodyText"/>
        <w:rPr>
          <w:rFonts w:cs="Arial"/>
          <w:color w:val="7EC352" w:themeColor="accent1"/>
        </w:rPr>
      </w:pPr>
      <w:hyperlink r:id="rId104" w:history="1">
        <w:r w:rsidR="00A617A7" w:rsidRPr="00F36701">
          <w:rPr>
            <w:rStyle w:val="Hyperlink"/>
            <w:rFonts w:cs="Arial"/>
            <w:color w:val="7EC352" w:themeColor="accent1"/>
          </w:rPr>
          <w:t>www.ihpa.gov.au</w:t>
        </w:r>
      </w:hyperlink>
    </w:p>
    <w:sectPr w:rsidR="00C415F5" w:rsidRPr="00F36701" w:rsidSect="00D3193A">
      <w:headerReference w:type="default" r:id="rId105"/>
      <w:footerReference w:type="default" r:id="rId106"/>
      <w:pgSz w:w="11910" w:h="16840"/>
      <w:pgMar w:top="1135" w:right="1440" w:bottom="1440" w:left="14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112FB8" w14:textId="77777777" w:rsidR="00AE1ECC" w:rsidRDefault="00AE1ECC">
      <w:r>
        <w:separator/>
      </w:r>
    </w:p>
  </w:endnote>
  <w:endnote w:type="continuationSeparator" w:id="0">
    <w:p w14:paraId="434959B3" w14:textId="77777777" w:rsidR="00AE1ECC" w:rsidRDefault="00AE1E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otham Book">
    <w:altName w:val="Times New Roman"/>
    <w:panose1 w:val="00000000000000000000"/>
    <w:charset w:val="00"/>
    <w:family w:val="auto"/>
    <w:pitch w:val="variable"/>
    <w:sig w:usb0="A10002FF" w:usb1="4000005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PT Book">
    <w:altName w:val="MS Gothic"/>
    <w:panose1 w:val="020B0502020204020303"/>
    <w:charset w:val="00"/>
    <w:family w:val="swiss"/>
    <w:notTrueType/>
    <w:pitch w:val="variable"/>
    <w:sig w:usb0="A00002FF" w:usb1="5000204B" w:usb2="00000000" w:usb3="00000000" w:csb0="000000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utura PT Heavy">
    <w:altName w:val="Segoe UI Semibold"/>
    <w:panose1 w:val="020B0802020204020303"/>
    <w:charset w:val="00"/>
    <w:family w:val="swiss"/>
    <w:notTrueType/>
    <w:pitch w:val="variable"/>
    <w:sig w:usb0="A00002FF" w:usb1="5000204A" w:usb2="00000000" w:usb3="00000000" w:csb0="00000097" w:csb1="00000000"/>
  </w:font>
  <w:font w:name="Futura PT Bold">
    <w:altName w:val="Segoe UI Black"/>
    <w:panose1 w:val="020B0902020204020203"/>
    <w:charset w:val="00"/>
    <w:family w:val="swiss"/>
    <w:notTrueType/>
    <w:pitch w:val="variable"/>
    <w:sig w:usb0="A00002FF" w:usb1="5000204A" w:usb2="00000000" w:usb3="00000000" w:csb0="00000097"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AE0368" w14:textId="77777777" w:rsidR="001C5C18" w:rsidRDefault="001C5C18" w:rsidP="00460625">
    <w:pPr>
      <w:tabs>
        <w:tab w:val="left" w:pos="638"/>
      </w:tabs>
      <w:spacing w:before="16"/>
      <w:ind w:left="20"/>
      <w:rPr>
        <w:sz w:val="20"/>
      </w:rPr>
    </w:pPr>
    <w:r w:rsidRPr="00460625">
      <w:rPr>
        <w:rFonts w:cs="Arial"/>
        <w:b/>
        <w:color w:val="003E2D"/>
        <w:spacing w:val="-3"/>
        <w:sz w:val="18"/>
      </w:rPr>
      <w:t>IHPA</w:t>
    </w:r>
    <w:r w:rsidRPr="00460625">
      <w:rPr>
        <w:rFonts w:cs="Arial"/>
        <w:b/>
        <w:color w:val="003E2D"/>
        <w:spacing w:val="-3"/>
        <w:sz w:val="18"/>
      </w:rPr>
      <w:tab/>
    </w:r>
    <w:r w:rsidRPr="00460625">
      <w:rPr>
        <w:rFonts w:cs="Arial"/>
        <w:color w:val="003E2D"/>
        <w:sz w:val="18"/>
      </w:rPr>
      <w:t>Consultation Paper on the Pricing Framework for Australian Public Hospital Services</w:t>
    </w:r>
    <w:r w:rsidRPr="00460625">
      <w:rPr>
        <w:rFonts w:cs="Arial"/>
        <w:color w:val="003E2D"/>
        <w:spacing w:val="-10"/>
        <w:sz w:val="18"/>
      </w:rPr>
      <w:t xml:space="preserve"> </w:t>
    </w:r>
    <w:r w:rsidRPr="00460625">
      <w:rPr>
        <w:rFonts w:cs="Arial"/>
        <w:color w:val="003E2D"/>
        <w:spacing w:val="-6"/>
        <w:sz w:val="18"/>
      </w:rPr>
      <w:t>202</w:t>
    </w:r>
    <w:r>
      <w:rPr>
        <w:rFonts w:cs="Arial"/>
        <w:color w:val="003E2D"/>
        <w:spacing w:val="-6"/>
        <w:sz w:val="18"/>
      </w:rPr>
      <w:t>1</w:t>
    </w:r>
    <w:r w:rsidRPr="00460625">
      <w:rPr>
        <w:rFonts w:cs="Arial"/>
        <w:color w:val="003E2D"/>
        <w:spacing w:val="-6"/>
        <w:sz w:val="18"/>
      </w:rPr>
      <w:t>–2</w:t>
    </w:r>
    <w:r>
      <w:rPr>
        <w:rFonts w:cs="Arial"/>
        <w:color w:val="003E2D"/>
        <w:spacing w:val="-6"/>
        <w:sz w:val="18"/>
      </w:rPr>
      <w:t>2</w:t>
    </w:r>
    <w:r>
      <w:rPr>
        <w:rFonts w:cs="Arial"/>
        <w:color w:val="003E2D"/>
        <w:spacing w:val="-6"/>
        <w:sz w:val="18"/>
      </w:rPr>
      <w:tab/>
    </w:r>
    <w:r w:rsidRPr="00460625">
      <w:rPr>
        <w:color w:val="003E2D" w:themeColor="text1"/>
        <w:sz w:val="18"/>
        <w:szCs w:val="18"/>
      </w:rPr>
      <w:fldChar w:fldCharType="begin"/>
    </w:r>
    <w:r w:rsidRPr="00460625">
      <w:rPr>
        <w:color w:val="003E2D" w:themeColor="text1"/>
        <w:sz w:val="18"/>
        <w:szCs w:val="18"/>
      </w:rPr>
      <w:instrText xml:space="preserve"> PAGE   \* MERGEFORMAT </w:instrText>
    </w:r>
    <w:r w:rsidRPr="00460625">
      <w:rPr>
        <w:color w:val="003E2D" w:themeColor="text1"/>
        <w:sz w:val="18"/>
        <w:szCs w:val="18"/>
      </w:rPr>
      <w:fldChar w:fldCharType="separate"/>
    </w:r>
    <w:r>
      <w:rPr>
        <w:noProof/>
        <w:color w:val="003E2D" w:themeColor="text1"/>
        <w:sz w:val="18"/>
        <w:szCs w:val="18"/>
      </w:rPr>
      <w:t>1</w:t>
    </w:r>
    <w:r w:rsidRPr="00460625">
      <w:rPr>
        <w:noProof/>
        <w:color w:val="003E2D" w:themeColor="text1"/>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ECBF7A" w14:textId="77777777" w:rsidR="001C5C18" w:rsidRDefault="001C5C18" w:rsidP="00460625">
    <w:pPr>
      <w:tabs>
        <w:tab w:val="left" w:pos="638"/>
      </w:tabs>
      <w:spacing w:before="16"/>
      <w:ind w:left="20"/>
      <w:rPr>
        <w:sz w:val="20"/>
      </w:rPr>
    </w:pPr>
    <w:r w:rsidRPr="00460625">
      <w:rPr>
        <w:rFonts w:cs="Arial"/>
        <w:b/>
        <w:color w:val="003E2D"/>
        <w:spacing w:val="-3"/>
        <w:sz w:val="18"/>
      </w:rPr>
      <w:t>IHPA</w:t>
    </w:r>
    <w:r w:rsidRPr="00460625">
      <w:rPr>
        <w:rFonts w:cs="Arial"/>
        <w:b/>
        <w:color w:val="003E2D"/>
        <w:spacing w:val="-3"/>
        <w:sz w:val="18"/>
      </w:rPr>
      <w:tab/>
    </w:r>
    <w:r w:rsidRPr="00460625">
      <w:rPr>
        <w:rFonts w:cs="Arial"/>
        <w:color w:val="003E2D"/>
        <w:sz w:val="18"/>
      </w:rPr>
      <w:t>Consultation Paper on the Pricing Framework for Australian Public Hospital Services</w:t>
    </w:r>
    <w:r w:rsidRPr="00460625">
      <w:rPr>
        <w:rFonts w:cs="Arial"/>
        <w:color w:val="003E2D"/>
        <w:spacing w:val="-10"/>
        <w:sz w:val="18"/>
      </w:rPr>
      <w:t xml:space="preserve"> </w:t>
    </w:r>
    <w:r w:rsidRPr="00460625">
      <w:rPr>
        <w:rFonts w:cs="Arial"/>
        <w:color w:val="003E2D"/>
        <w:spacing w:val="-6"/>
        <w:sz w:val="18"/>
      </w:rPr>
      <w:t>202</w:t>
    </w:r>
    <w:r>
      <w:rPr>
        <w:rFonts w:cs="Arial"/>
        <w:color w:val="003E2D"/>
        <w:spacing w:val="-6"/>
        <w:sz w:val="18"/>
      </w:rPr>
      <w:t>1</w:t>
    </w:r>
    <w:r w:rsidRPr="00460625">
      <w:rPr>
        <w:rFonts w:cs="Arial"/>
        <w:color w:val="003E2D"/>
        <w:spacing w:val="-6"/>
        <w:sz w:val="18"/>
      </w:rPr>
      <w:t>–2</w:t>
    </w:r>
    <w:r>
      <w:rPr>
        <w:rFonts w:cs="Arial"/>
        <w:color w:val="003E2D"/>
        <w:spacing w:val="-6"/>
        <w:sz w:val="18"/>
      </w:rPr>
      <w:t>2</w:t>
    </w:r>
    <w:r>
      <w:rPr>
        <w:rFonts w:cs="Arial"/>
        <w:color w:val="003E2D"/>
        <w:spacing w:val="-6"/>
        <w:sz w:val="18"/>
      </w:rPr>
      <w:tab/>
    </w:r>
    <w:r w:rsidRPr="001142D0">
      <w:rPr>
        <w:rFonts w:cs="Arial"/>
        <w:color w:val="003E2D"/>
        <w:spacing w:val="-6"/>
        <w:sz w:val="18"/>
      </w:rPr>
      <w:fldChar w:fldCharType="begin"/>
    </w:r>
    <w:r w:rsidRPr="001142D0">
      <w:rPr>
        <w:rFonts w:cs="Arial"/>
        <w:color w:val="003E2D"/>
        <w:spacing w:val="-6"/>
        <w:sz w:val="18"/>
      </w:rPr>
      <w:instrText xml:space="preserve"> PAGE   \* MERGEFORMAT </w:instrText>
    </w:r>
    <w:r w:rsidRPr="001142D0">
      <w:rPr>
        <w:rFonts w:cs="Arial"/>
        <w:color w:val="003E2D"/>
        <w:spacing w:val="-6"/>
        <w:sz w:val="18"/>
      </w:rPr>
      <w:fldChar w:fldCharType="separate"/>
    </w:r>
    <w:r>
      <w:rPr>
        <w:rFonts w:cs="Arial"/>
        <w:noProof/>
        <w:color w:val="003E2D"/>
        <w:spacing w:val="-6"/>
        <w:sz w:val="18"/>
      </w:rPr>
      <w:t>2</w:t>
    </w:r>
    <w:r w:rsidRPr="001142D0">
      <w:rPr>
        <w:rFonts w:cs="Arial"/>
        <w:noProof/>
        <w:color w:val="003E2D"/>
        <w:spacing w:val="-6"/>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DC30FF" w14:textId="77777777" w:rsidR="001C5C18" w:rsidRDefault="001C5C18" w:rsidP="00460625">
    <w:pPr>
      <w:tabs>
        <w:tab w:val="left" w:pos="638"/>
      </w:tabs>
      <w:spacing w:before="16"/>
      <w:ind w:left="20"/>
      <w:rPr>
        <w:sz w:val="20"/>
      </w:rPr>
    </w:pPr>
    <w:r w:rsidRPr="00460625">
      <w:rPr>
        <w:rFonts w:cs="Arial"/>
        <w:b/>
        <w:color w:val="003E2D"/>
        <w:spacing w:val="-3"/>
        <w:sz w:val="18"/>
      </w:rPr>
      <w:t>IHPA</w:t>
    </w:r>
    <w:r w:rsidRPr="00460625">
      <w:rPr>
        <w:rFonts w:cs="Arial"/>
        <w:b/>
        <w:color w:val="003E2D"/>
        <w:spacing w:val="-3"/>
        <w:sz w:val="18"/>
      </w:rPr>
      <w:tab/>
    </w:r>
    <w:r w:rsidRPr="00460625">
      <w:rPr>
        <w:rFonts w:cs="Arial"/>
        <w:color w:val="003E2D"/>
        <w:sz w:val="18"/>
      </w:rPr>
      <w:t>Consultation Paper on the Pricing Framework for Australian Public Hospital Services</w:t>
    </w:r>
    <w:r w:rsidRPr="00460625">
      <w:rPr>
        <w:rFonts w:cs="Arial"/>
        <w:color w:val="003E2D"/>
        <w:spacing w:val="-10"/>
        <w:sz w:val="18"/>
      </w:rPr>
      <w:t xml:space="preserve"> </w:t>
    </w:r>
    <w:r w:rsidRPr="00460625">
      <w:rPr>
        <w:rFonts w:cs="Arial"/>
        <w:color w:val="003E2D"/>
        <w:spacing w:val="-6"/>
        <w:sz w:val="18"/>
      </w:rPr>
      <w:t>202</w:t>
    </w:r>
    <w:r>
      <w:rPr>
        <w:rFonts w:cs="Arial"/>
        <w:color w:val="003E2D"/>
        <w:spacing w:val="-6"/>
        <w:sz w:val="18"/>
      </w:rPr>
      <w:t>1</w:t>
    </w:r>
    <w:r w:rsidRPr="00460625">
      <w:rPr>
        <w:rFonts w:cs="Arial"/>
        <w:color w:val="003E2D"/>
        <w:spacing w:val="-6"/>
        <w:sz w:val="18"/>
      </w:rPr>
      <w:t>–2</w:t>
    </w:r>
    <w:r>
      <w:rPr>
        <w:rFonts w:cs="Arial"/>
        <w:color w:val="003E2D"/>
        <w:spacing w:val="-6"/>
        <w:sz w:val="18"/>
      </w:rPr>
      <w:t>2</w:t>
    </w:r>
    <w:r>
      <w:rPr>
        <w:rFonts w:cs="Arial"/>
        <w:color w:val="003E2D"/>
        <w:spacing w:val="-6"/>
        <w:sz w:val="18"/>
      </w:rPr>
      <w:tab/>
    </w:r>
    <w:r w:rsidRPr="001142D0">
      <w:rPr>
        <w:rFonts w:cs="Arial"/>
        <w:color w:val="003E2D"/>
        <w:spacing w:val="-6"/>
        <w:sz w:val="18"/>
      </w:rPr>
      <w:fldChar w:fldCharType="begin"/>
    </w:r>
    <w:r w:rsidRPr="001142D0">
      <w:rPr>
        <w:rFonts w:cs="Arial"/>
        <w:color w:val="003E2D"/>
        <w:spacing w:val="-6"/>
        <w:sz w:val="18"/>
      </w:rPr>
      <w:instrText xml:space="preserve"> PAGE   \* MERGEFORMAT </w:instrText>
    </w:r>
    <w:r w:rsidRPr="001142D0">
      <w:rPr>
        <w:rFonts w:cs="Arial"/>
        <w:color w:val="003E2D"/>
        <w:spacing w:val="-6"/>
        <w:sz w:val="18"/>
      </w:rPr>
      <w:fldChar w:fldCharType="separate"/>
    </w:r>
    <w:r>
      <w:rPr>
        <w:rFonts w:cs="Arial"/>
        <w:noProof/>
        <w:color w:val="003E2D"/>
        <w:spacing w:val="-6"/>
        <w:sz w:val="18"/>
      </w:rPr>
      <w:t>7</w:t>
    </w:r>
    <w:r w:rsidRPr="001142D0">
      <w:rPr>
        <w:rFonts w:cs="Arial"/>
        <w:noProof/>
        <w:color w:val="003E2D"/>
        <w:spacing w:val="-6"/>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BE123D" w14:textId="0A9D9AD0" w:rsidR="001C5C18" w:rsidRDefault="001C5C18" w:rsidP="00460625">
    <w:pPr>
      <w:tabs>
        <w:tab w:val="left" w:pos="638"/>
      </w:tabs>
      <w:spacing w:before="16"/>
      <w:ind w:left="20"/>
      <w:rPr>
        <w:sz w:val="20"/>
      </w:rPr>
    </w:pPr>
    <w:r w:rsidRPr="00460625">
      <w:rPr>
        <w:rFonts w:cs="Arial"/>
        <w:b/>
        <w:color w:val="003E2D"/>
        <w:spacing w:val="-3"/>
        <w:sz w:val="18"/>
      </w:rPr>
      <w:t>IHPA</w:t>
    </w:r>
    <w:r w:rsidRPr="00460625">
      <w:rPr>
        <w:rFonts w:cs="Arial"/>
        <w:b/>
        <w:color w:val="003E2D"/>
        <w:spacing w:val="-3"/>
        <w:sz w:val="18"/>
      </w:rPr>
      <w:tab/>
    </w:r>
    <w:r w:rsidRPr="00460625">
      <w:rPr>
        <w:rFonts w:cs="Arial"/>
        <w:color w:val="003E2D"/>
        <w:sz w:val="18"/>
      </w:rPr>
      <w:t>Consultation Paper on the Pricing Framework for Australian Public Hospital Services</w:t>
    </w:r>
    <w:r w:rsidRPr="00460625">
      <w:rPr>
        <w:rFonts w:cs="Arial"/>
        <w:color w:val="003E2D"/>
        <w:spacing w:val="-10"/>
        <w:sz w:val="18"/>
      </w:rPr>
      <w:t xml:space="preserve"> </w:t>
    </w:r>
    <w:r w:rsidRPr="00460625">
      <w:rPr>
        <w:rFonts w:cs="Arial"/>
        <w:color w:val="003E2D"/>
        <w:spacing w:val="-6"/>
        <w:sz w:val="18"/>
      </w:rPr>
      <w:t>202</w:t>
    </w:r>
    <w:r>
      <w:rPr>
        <w:rFonts w:cs="Arial"/>
        <w:color w:val="003E2D"/>
        <w:spacing w:val="-6"/>
        <w:sz w:val="18"/>
      </w:rPr>
      <w:t>1</w:t>
    </w:r>
    <w:r w:rsidRPr="00460625">
      <w:rPr>
        <w:rFonts w:cs="Arial"/>
        <w:color w:val="003E2D"/>
        <w:spacing w:val="-6"/>
        <w:sz w:val="18"/>
      </w:rPr>
      <w:t>–2</w:t>
    </w:r>
    <w:r>
      <w:rPr>
        <w:rFonts w:cs="Arial"/>
        <w:color w:val="003E2D"/>
        <w:spacing w:val="-6"/>
        <w:sz w:val="18"/>
      </w:rPr>
      <w:t>2</w:t>
    </w:r>
    <w:r>
      <w:rPr>
        <w:rFonts w:cs="Arial"/>
        <w:color w:val="003E2D"/>
        <w:spacing w:val="-6"/>
        <w:sz w:val="18"/>
      </w:rPr>
      <w:tab/>
    </w:r>
    <w:r w:rsidRPr="001142D0">
      <w:rPr>
        <w:rFonts w:cs="Arial"/>
        <w:color w:val="003E2D"/>
        <w:spacing w:val="-6"/>
        <w:sz w:val="18"/>
      </w:rPr>
      <w:fldChar w:fldCharType="begin"/>
    </w:r>
    <w:r w:rsidRPr="001142D0">
      <w:rPr>
        <w:rFonts w:cs="Arial"/>
        <w:color w:val="003E2D"/>
        <w:spacing w:val="-6"/>
        <w:sz w:val="18"/>
      </w:rPr>
      <w:instrText xml:space="preserve"> PAGE   \* MERGEFORMAT </w:instrText>
    </w:r>
    <w:r w:rsidRPr="001142D0">
      <w:rPr>
        <w:rFonts w:cs="Arial"/>
        <w:color w:val="003E2D"/>
        <w:spacing w:val="-6"/>
        <w:sz w:val="18"/>
      </w:rPr>
      <w:fldChar w:fldCharType="separate"/>
    </w:r>
    <w:r>
      <w:rPr>
        <w:rFonts w:cs="Arial"/>
        <w:noProof/>
        <w:color w:val="003E2D"/>
        <w:spacing w:val="-6"/>
        <w:sz w:val="18"/>
      </w:rPr>
      <w:t>9</w:t>
    </w:r>
    <w:r w:rsidRPr="001142D0">
      <w:rPr>
        <w:rFonts w:cs="Arial"/>
        <w:noProof/>
        <w:color w:val="003E2D"/>
        <w:spacing w:val="-6"/>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8C492F" w14:textId="0899BAF9" w:rsidR="001C5C18" w:rsidRDefault="001C5C18" w:rsidP="00460625">
    <w:pPr>
      <w:tabs>
        <w:tab w:val="left" w:pos="638"/>
      </w:tabs>
      <w:spacing w:before="16"/>
      <w:ind w:left="20"/>
      <w:rPr>
        <w:sz w:val="20"/>
      </w:rPr>
    </w:pPr>
    <w:r w:rsidRPr="00460625">
      <w:rPr>
        <w:rFonts w:cs="Arial"/>
        <w:b/>
        <w:color w:val="003E2D"/>
        <w:spacing w:val="-3"/>
        <w:sz w:val="18"/>
      </w:rPr>
      <w:t>IHPA</w:t>
    </w:r>
    <w:r w:rsidRPr="00460625">
      <w:rPr>
        <w:rFonts w:cs="Arial"/>
        <w:b/>
        <w:color w:val="003E2D"/>
        <w:spacing w:val="-3"/>
        <w:sz w:val="18"/>
      </w:rPr>
      <w:tab/>
    </w:r>
    <w:r w:rsidRPr="00460625">
      <w:rPr>
        <w:rFonts w:cs="Arial"/>
        <w:color w:val="003E2D"/>
        <w:sz w:val="18"/>
      </w:rPr>
      <w:t>Consultation Paper on the Pricing Framework for Australian Public Hospital Services</w:t>
    </w:r>
    <w:r w:rsidRPr="00460625">
      <w:rPr>
        <w:rFonts w:cs="Arial"/>
        <w:color w:val="003E2D"/>
        <w:spacing w:val="-10"/>
        <w:sz w:val="18"/>
      </w:rPr>
      <w:t xml:space="preserve"> </w:t>
    </w:r>
    <w:r w:rsidRPr="00460625">
      <w:rPr>
        <w:rFonts w:cs="Arial"/>
        <w:color w:val="003E2D"/>
        <w:spacing w:val="-6"/>
        <w:sz w:val="18"/>
      </w:rPr>
      <w:t>202</w:t>
    </w:r>
    <w:r>
      <w:rPr>
        <w:rFonts w:cs="Arial"/>
        <w:color w:val="003E2D"/>
        <w:spacing w:val="-6"/>
        <w:sz w:val="18"/>
      </w:rPr>
      <w:t>1</w:t>
    </w:r>
    <w:r w:rsidRPr="00460625">
      <w:rPr>
        <w:rFonts w:cs="Arial"/>
        <w:color w:val="003E2D"/>
        <w:spacing w:val="-6"/>
        <w:sz w:val="18"/>
      </w:rPr>
      <w:t>–2</w:t>
    </w:r>
    <w:r>
      <w:rPr>
        <w:rFonts w:cs="Arial"/>
        <w:color w:val="003E2D"/>
        <w:spacing w:val="-6"/>
        <w:sz w:val="18"/>
      </w:rPr>
      <w:t>2</w:t>
    </w:r>
    <w:r>
      <w:rPr>
        <w:rFonts w:cs="Arial"/>
        <w:color w:val="003E2D"/>
        <w:spacing w:val="-6"/>
        <w:sz w:val="18"/>
      </w:rPr>
      <w:tab/>
    </w:r>
    <w:r w:rsidRPr="001142D0">
      <w:rPr>
        <w:rFonts w:cs="Arial"/>
        <w:color w:val="003E2D"/>
        <w:spacing w:val="-6"/>
        <w:sz w:val="18"/>
      </w:rPr>
      <w:fldChar w:fldCharType="begin"/>
    </w:r>
    <w:r w:rsidRPr="001142D0">
      <w:rPr>
        <w:rFonts w:cs="Arial"/>
        <w:color w:val="003E2D"/>
        <w:spacing w:val="-6"/>
        <w:sz w:val="18"/>
      </w:rPr>
      <w:instrText xml:space="preserve"> PAGE   \* MERGEFORMAT </w:instrText>
    </w:r>
    <w:r w:rsidRPr="001142D0">
      <w:rPr>
        <w:rFonts w:cs="Arial"/>
        <w:color w:val="003E2D"/>
        <w:spacing w:val="-6"/>
        <w:sz w:val="18"/>
      </w:rPr>
      <w:fldChar w:fldCharType="separate"/>
    </w:r>
    <w:r>
      <w:rPr>
        <w:rFonts w:cs="Arial"/>
        <w:noProof/>
        <w:color w:val="003E2D"/>
        <w:spacing w:val="-6"/>
        <w:sz w:val="18"/>
      </w:rPr>
      <w:t>10</w:t>
    </w:r>
    <w:r w:rsidRPr="001142D0">
      <w:rPr>
        <w:rFonts w:cs="Arial"/>
        <w:noProof/>
        <w:color w:val="003E2D"/>
        <w:spacing w:val="-6"/>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5D780A" w14:textId="3C110B43" w:rsidR="001C5C18" w:rsidRDefault="001C5C18" w:rsidP="00460625">
    <w:pPr>
      <w:tabs>
        <w:tab w:val="left" w:pos="638"/>
      </w:tabs>
      <w:spacing w:before="16"/>
      <w:ind w:left="20"/>
      <w:rPr>
        <w:sz w:val="20"/>
      </w:rPr>
    </w:pPr>
    <w:r w:rsidRPr="00460625">
      <w:rPr>
        <w:rFonts w:cs="Arial"/>
        <w:b/>
        <w:color w:val="003E2D"/>
        <w:spacing w:val="-3"/>
        <w:sz w:val="18"/>
      </w:rPr>
      <w:t>IHPA</w:t>
    </w:r>
    <w:r w:rsidRPr="00460625">
      <w:rPr>
        <w:rFonts w:cs="Arial"/>
        <w:b/>
        <w:color w:val="003E2D"/>
        <w:spacing w:val="-3"/>
        <w:sz w:val="18"/>
      </w:rPr>
      <w:tab/>
    </w:r>
    <w:r w:rsidRPr="00460625">
      <w:rPr>
        <w:rFonts w:cs="Arial"/>
        <w:color w:val="003E2D"/>
        <w:sz w:val="18"/>
      </w:rPr>
      <w:t>Consultation Paper on the Pricing Framework for Australian Public Hospital Services</w:t>
    </w:r>
    <w:r w:rsidRPr="00460625">
      <w:rPr>
        <w:rFonts w:cs="Arial"/>
        <w:color w:val="003E2D"/>
        <w:spacing w:val="-10"/>
        <w:sz w:val="18"/>
      </w:rPr>
      <w:t xml:space="preserve"> </w:t>
    </w:r>
    <w:r w:rsidRPr="00460625">
      <w:rPr>
        <w:rFonts w:cs="Arial"/>
        <w:color w:val="003E2D"/>
        <w:spacing w:val="-6"/>
        <w:sz w:val="18"/>
      </w:rPr>
      <w:t>202</w:t>
    </w:r>
    <w:r>
      <w:rPr>
        <w:rFonts w:cs="Arial"/>
        <w:color w:val="003E2D"/>
        <w:spacing w:val="-6"/>
        <w:sz w:val="18"/>
      </w:rPr>
      <w:t>1</w:t>
    </w:r>
    <w:r w:rsidRPr="00460625">
      <w:rPr>
        <w:rFonts w:cs="Arial"/>
        <w:color w:val="003E2D"/>
        <w:spacing w:val="-6"/>
        <w:sz w:val="18"/>
      </w:rPr>
      <w:t>–2</w:t>
    </w:r>
    <w:r>
      <w:rPr>
        <w:rFonts w:cs="Arial"/>
        <w:color w:val="003E2D"/>
        <w:spacing w:val="-6"/>
        <w:sz w:val="18"/>
      </w:rPr>
      <w:t>2</w:t>
    </w:r>
    <w:r>
      <w:rPr>
        <w:rFonts w:cs="Arial"/>
        <w:color w:val="003E2D"/>
        <w:spacing w:val="-6"/>
        <w:sz w:val="18"/>
      </w:rPr>
      <w:tab/>
    </w:r>
    <w:r w:rsidRPr="001142D0">
      <w:rPr>
        <w:rFonts w:cs="Arial"/>
        <w:color w:val="003E2D"/>
        <w:spacing w:val="-6"/>
        <w:sz w:val="18"/>
      </w:rPr>
      <w:fldChar w:fldCharType="begin"/>
    </w:r>
    <w:r w:rsidRPr="001142D0">
      <w:rPr>
        <w:rFonts w:cs="Arial"/>
        <w:color w:val="003E2D"/>
        <w:spacing w:val="-6"/>
        <w:sz w:val="18"/>
      </w:rPr>
      <w:instrText xml:space="preserve"> PAGE   \* MERGEFORMAT </w:instrText>
    </w:r>
    <w:r w:rsidRPr="001142D0">
      <w:rPr>
        <w:rFonts w:cs="Arial"/>
        <w:color w:val="003E2D"/>
        <w:spacing w:val="-6"/>
        <w:sz w:val="18"/>
      </w:rPr>
      <w:fldChar w:fldCharType="separate"/>
    </w:r>
    <w:r>
      <w:rPr>
        <w:rFonts w:cs="Arial"/>
        <w:noProof/>
        <w:color w:val="003E2D"/>
        <w:spacing w:val="-6"/>
        <w:sz w:val="18"/>
      </w:rPr>
      <w:t>14</w:t>
    </w:r>
    <w:r w:rsidRPr="001142D0">
      <w:rPr>
        <w:rFonts w:cs="Arial"/>
        <w:noProof/>
        <w:color w:val="003E2D"/>
        <w:spacing w:val="-6"/>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6D2E15" w14:textId="77777777" w:rsidR="001C5C18" w:rsidRDefault="001C5C18" w:rsidP="003932A6">
    <w:pPr>
      <w:pStyle w:val="BodyTex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9C2C83" w14:textId="77777777" w:rsidR="00AE1ECC" w:rsidRDefault="00AE1ECC">
      <w:r>
        <w:separator/>
      </w:r>
    </w:p>
  </w:footnote>
  <w:footnote w:type="continuationSeparator" w:id="0">
    <w:p w14:paraId="10551380" w14:textId="77777777" w:rsidR="00AE1ECC" w:rsidRDefault="00AE1ECC">
      <w:r>
        <w:continuationSeparator/>
      </w:r>
    </w:p>
  </w:footnote>
  <w:footnote w:id="1">
    <w:p w14:paraId="1344D884" w14:textId="77777777" w:rsidR="001C5C18" w:rsidRPr="006C38DE" w:rsidRDefault="001C5C18" w:rsidP="006C38DE">
      <w:pPr>
        <w:pStyle w:val="Footnote"/>
        <w:keepLines/>
      </w:pPr>
      <w:r w:rsidRPr="00BB2570">
        <w:rPr>
          <w:rStyle w:val="FootnoteReference"/>
        </w:rPr>
        <w:footnoteRef/>
      </w:r>
      <w:r w:rsidRPr="006C38DE">
        <w:t xml:space="preserve"> </w:t>
      </w:r>
      <w:r w:rsidRPr="006C38DE">
        <w:rPr>
          <w:rStyle w:val="FootnoteChar"/>
        </w:rPr>
        <w:t>The Council of Australian Governments has been disbanded, and the ongoing status of CHC is to be determined at a future time.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89CAD7" w14:textId="2BAC1D2F" w:rsidR="001C5C18" w:rsidRDefault="001C5C18">
    <w:pPr>
      <w:pStyle w:val="Header"/>
    </w:pPr>
    <w:r>
      <w:rPr>
        <w:noProof/>
      </w:rPr>
      <mc:AlternateContent>
        <mc:Choice Requires="wps">
          <w:drawing>
            <wp:anchor distT="0" distB="0" distL="114300" distR="114300" simplePos="0" relativeHeight="251659264" behindDoc="0" locked="0" layoutInCell="1" allowOverlap="1" wp14:anchorId="04E870C4" wp14:editId="52003E64">
              <wp:simplePos x="0" y="0"/>
              <wp:positionH relativeFrom="column">
                <wp:posOffset>-914400</wp:posOffset>
              </wp:positionH>
              <wp:positionV relativeFrom="paragraph">
                <wp:posOffset>-9525</wp:posOffset>
              </wp:positionV>
              <wp:extent cx="7553325" cy="10687050"/>
              <wp:effectExtent l="0" t="0" r="9525" b="0"/>
              <wp:wrapNone/>
              <wp:docPr id="66" name="Rectangle 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3325" cy="1068705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DB237" id="Rectangle 66" o:spid="_x0000_s1026" alt="&quot;&quot;" style="position:absolute;margin-left:-1in;margin-top:-.75pt;width:594.75pt;height:8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" fillcolor="#003e2d [3215]" stroked="f" strokeweight="2p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59AA09" w14:textId="77777777" w:rsidR="001C5C18" w:rsidRDefault="001C5C18" w:rsidP="003932A6">
    <w:pPr>
      <w:pStyle w:val="BodyTex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4BDC2C" w14:textId="77777777" w:rsidR="001C5C18" w:rsidRDefault="001C5C18" w:rsidP="003932A6">
    <w:pPr>
      <w:pStyle w:val="BodyTex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B41639" w14:textId="77777777" w:rsidR="001C5C18" w:rsidRDefault="001C5C18" w:rsidP="003932A6">
    <w:pPr>
      <w:pStyle w:val="BodyTex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F019BF" w14:textId="77777777" w:rsidR="001C5C18" w:rsidRDefault="001C5C18" w:rsidP="003932A6">
    <w:pPr>
      <w:pStyle w:val="BodyTex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6F81A9" w14:textId="77777777" w:rsidR="001C5C18" w:rsidRDefault="001C5C18" w:rsidP="003932A6">
    <w:pPr>
      <w:pStyle w:val="BodyTex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4AF96B" w14:textId="77777777" w:rsidR="001C5C18" w:rsidRDefault="001C5C18" w:rsidP="003932A6">
    <w:pPr>
      <w:pStyle w:val="BodyTex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B21384" w14:textId="77777777" w:rsidR="001C5C18" w:rsidRDefault="001C5C18" w:rsidP="003932A6">
    <w:pPr>
      <w:pStyle w:val="BodyTex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0DB404" w14:textId="77777777" w:rsidR="001C5C18" w:rsidRDefault="001C5C18" w:rsidP="003932A6">
    <w:pPr>
      <w:pStyle w:val="BodyTex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6E2D06" w14:textId="77777777" w:rsidR="001C5C18" w:rsidRDefault="001C5C18" w:rsidP="003932A6">
    <w:pPr>
      <w:pStyle w:val="BodyTex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C89A33" w14:textId="77777777" w:rsidR="001C5C18" w:rsidRDefault="001C5C18" w:rsidP="003932A6">
    <w:pPr>
      <w:pStyle w:val="BodyTex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AA8A0E" w14:textId="77777777" w:rsidR="001C5C18" w:rsidRDefault="001C5C18" w:rsidP="003932A6">
    <w:pPr>
      <w:pStyle w:val="BodyTex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070BAF" w14:textId="77777777" w:rsidR="001C5C18" w:rsidRDefault="001C5C18" w:rsidP="003932A6">
    <w:pPr>
      <w:pStyle w:val="BodyTex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F404F" w14:textId="77777777" w:rsidR="001C5C18" w:rsidRDefault="001C5C18" w:rsidP="003932A6">
    <w:pPr>
      <w:pStyle w:val="BodyText"/>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82C683" w14:textId="77777777" w:rsidR="001C5C18" w:rsidRDefault="001C5C18" w:rsidP="003932A6">
    <w:pPr>
      <w:pStyle w:val="BodyText"/>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C01866" w14:textId="77777777" w:rsidR="001C5C18" w:rsidRDefault="001C5C18" w:rsidP="003932A6">
    <w:pPr>
      <w:pStyle w:val="BodyText"/>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D80728" w14:textId="77777777" w:rsidR="001C5C18" w:rsidRDefault="001C5C18" w:rsidP="003932A6">
    <w:pPr>
      <w:pStyle w:val="BodyText"/>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1E87E3" w14:textId="77777777" w:rsidR="001C5C18" w:rsidRDefault="001C5C18" w:rsidP="003932A6">
    <w:pPr>
      <w:pStyle w:val="BodyText"/>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DE492" w14:textId="77777777" w:rsidR="001C5C18" w:rsidRDefault="001C5C18" w:rsidP="003932A6">
    <w:pPr>
      <w:pStyle w:val="BodyText"/>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2A32E5" w14:textId="77777777" w:rsidR="001C5C18" w:rsidRDefault="001C5C18" w:rsidP="003932A6">
    <w:pPr>
      <w:pStyle w:val="BodyText"/>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C2C171" w14:textId="77777777" w:rsidR="001C5C18" w:rsidRDefault="001C5C18" w:rsidP="003932A6">
    <w:pPr>
      <w:pStyle w:val="BodyText"/>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9E476D" w14:textId="77777777" w:rsidR="001C5C18" w:rsidRDefault="001C5C18" w:rsidP="003932A6">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F69DE8" w14:textId="77777777" w:rsidR="001C5C18" w:rsidRDefault="001C5C18" w:rsidP="003932A6">
    <w:pPr>
      <w:pStyle w:val="BodyTex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499294" w14:textId="77777777" w:rsidR="001C5C18" w:rsidRDefault="001C5C18" w:rsidP="003932A6">
    <w:pPr>
      <w:pStyle w:val="BodyText"/>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0981D7" w14:textId="77777777" w:rsidR="001C5C18" w:rsidRDefault="001C5C18" w:rsidP="003932A6">
    <w:pPr>
      <w:pStyle w:val="BodyText"/>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20F847" w14:textId="237B03F5" w:rsidR="001C5C18" w:rsidRDefault="001C5C18" w:rsidP="003932A6">
    <w:pPr>
      <w:pStyle w:val="BodyText"/>
      <w:rPr>
        <w:sz w:val="2"/>
      </w:rPr>
    </w:pPr>
    <w:r>
      <w:rPr>
        <w:noProof/>
      </w:rPr>
      <mc:AlternateContent>
        <mc:Choice Requires="wps">
          <w:drawing>
            <wp:anchor distT="0" distB="0" distL="114300" distR="114300" simplePos="0" relativeHeight="251661312" behindDoc="0" locked="0" layoutInCell="1" allowOverlap="1" wp14:anchorId="41539FE7" wp14:editId="761B0046">
              <wp:simplePos x="0" y="0"/>
              <wp:positionH relativeFrom="column">
                <wp:posOffset>-914400</wp:posOffset>
              </wp:positionH>
              <wp:positionV relativeFrom="paragraph">
                <wp:posOffset>0</wp:posOffset>
              </wp:positionV>
              <wp:extent cx="7553325" cy="10687050"/>
              <wp:effectExtent l="0" t="0" r="9525" b="0"/>
              <wp:wrapNone/>
              <wp:docPr id="71" name="Rectangle 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3325" cy="1068705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1C9286" id="Rectangle 71" o:spid="_x0000_s1026" alt="&quot;&quot;" style="position:absolute;margin-left:-1in;margin-top:0;width:594.75pt;height:84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" fillcolor="#003e2d [3215]" stroked="f" strokeweight="2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CEC5BE" w14:textId="77777777" w:rsidR="001C5C18" w:rsidRDefault="001C5C18" w:rsidP="003932A6">
    <w:pPr>
      <w:pStyle w:val="BodyTex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622A20" w14:textId="77777777" w:rsidR="001C5C18" w:rsidRDefault="001C5C18" w:rsidP="003932A6">
    <w:pPr>
      <w:pStyle w:val="BodyTex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9CD3A2" w14:textId="77777777" w:rsidR="001C5C18" w:rsidRDefault="001C5C18" w:rsidP="003932A6">
    <w:pPr>
      <w:pStyle w:val="BodyTex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B0F63F" w14:textId="77777777" w:rsidR="001C5C18" w:rsidRDefault="001C5C18" w:rsidP="003932A6">
    <w:pPr>
      <w:pStyle w:val="BodyTex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5223DD" w14:textId="77777777" w:rsidR="001C5C18" w:rsidRDefault="001C5C18" w:rsidP="003932A6">
    <w:pPr>
      <w:pStyle w:val="BodyTex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F6F42E" w14:textId="77777777" w:rsidR="001C5C18" w:rsidRDefault="001C5C18" w:rsidP="003932A6">
    <w:pPr>
      <w:pStyle w:val="BodyTex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alt="Question mark to left of Consultation questions title" style="width:18.75pt;height:17.25pt;visibility:visible;mso-wrap-style:square" o:bullet="t">
        <v:imagedata r:id="rId1" o:title="Question mark to left of Consultation questions title"/>
      </v:shape>
    </w:pict>
  </w:numPicBullet>
  <w:abstractNum w:abstractNumId="0" w15:restartNumberingAfterBreak="0">
    <w:nsid w:val="FFFFFF7C"/>
    <w:multiLevelType w:val="singleLevel"/>
    <w:tmpl w:val="7314409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19E849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708E23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D1A314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1AA910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8C04A5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EEABF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FA8EA5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870AA1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17C889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A37F22"/>
    <w:multiLevelType w:val="hybridMultilevel"/>
    <w:tmpl w:val="5BAE936C"/>
    <w:lvl w:ilvl="0" w:tplc="42B6AB7C">
      <w:start w:val="1"/>
      <w:numFmt w:val="bullet"/>
      <w:pStyle w:val="BulletsL2"/>
      <w:lvlText w:val="–"/>
      <w:lvlJc w:val="left"/>
      <w:pPr>
        <w:ind w:left="770" w:hanging="360"/>
      </w:pPr>
      <w:rPr>
        <w:rFonts w:ascii="Gotham Book" w:hAnsi="Gotham Book" w:hint="default"/>
      </w:rPr>
    </w:lvl>
    <w:lvl w:ilvl="1" w:tplc="34090003" w:tentative="1">
      <w:start w:val="1"/>
      <w:numFmt w:val="bullet"/>
      <w:lvlText w:val="o"/>
      <w:lvlJc w:val="left"/>
      <w:pPr>
        <w:ind w:left="1490" w:hanging="360"/>
      </w:pPr>
      <w:rPr>
        <w:rFonts w:ascii="Courier New" w:hAnsi="Courier New" w:cs="Courier New" w:hint="default"/>
      </w:rPr>
    </w:lvl>
    <w:lvl w:ilvl="2" w:tplc="34090005" w:tentative="1">
      <w:start w:val="1"/>
      <w:numFmt w:val="bullet"/>
      <w:lvlText w:val=""/>
      <w:lvlJc w:val="left"/>
      <w:pPr>
        <w:ind w:left="2210" w:hanging="360"/>
      </w:pPr>
      <w:rPr>
        <w:rFonts w:ascii="Wingdings" w:hAnsi="Wingdings" w:hint="default"/>
      </w:rPr>
    </w:lvl>
    <w:lvl w:ilvl="3" w:tplc="34090001" w:tentative="1">
      <w:start w:val="1"/>
      <w:numFmt w:val="bullet"/>
      <w:lvlText w:val=""/>
      <w:lvlJc w:val="left"/>
      <w:pPr>
        <w:ind w:left="2930" w:hanging="360"/>
      </w:pPr>
      <w:rPr>
        <w:rFonts w:ascii="Symbol" w:hAnsi="Symbol" w:hint="default"/>
      </w:rPr>
    </w:lvl>
    <w:lvl w:ilvl="4" w:tplc="34090003" w:tentative="1">
      <w:start w:val="1"/>
      <w:numFmt w:val="bullet"/>
      <w:lvlText w:val="o"/>
      <w:lvlJc w:val="left"/>
      <w:pPr>
        <w:ind w:left="3650" w:hanging="360"/>
      </w:pPr>
      <w:rPr>
        <w:rFonts w:ascii="Courier New" w:hAnsi="Courier New" w:cs="Courier New" w:hint="default"/>
      </w:rPr>
    </w:lvl>
    <w:lvl w:ilvl="5" w:tplc="34090005" w:tentative="1">
      <w:start w:val="1"/>
      <w:numFmt w:val="bullet"/>
      <w:lvlText w:val=""/>
      <w:lvlJc w:val="left"/>
      <w:pPr>
        <w:ind w:left="4370" w:hanging="360"/>
      </w:pPr>
      <w:rPr>
        <w:rFonts w:ascii="Wingdings" w:hAnsi="Wingdings" w:hint="default"/>
      </w:rPr>
    </w:lvl>
    <w:lvl w:ilvl="6" w:tplc="34090001" w:tentative="1">
      <w:start w:val="1"/>
      <w:numFmt w:val="bullet"/>
      <w:lvlText w:val=""/>
      <w:lvlJc w:val="left"/>
      <w:pPr>
        <w:ind w:left="5090" w:hanging="360"/>
      </w:pPr>
      <w:rPr>
        <w:rFonts w:ascii="Symbol" w:hAnsi="Symbol" w:hint="default"/>
      </w:rPr>
    </w:lvl>
    <w:lvl w:ilvl="7" w:tplc="34090003" w:tentative="1">
      <w:start w:val="1"/>
      <w:numFmt w:val="bullet"/>
      <w:lvlText w:val="o"/>
      <w:lvlJc w:val="left"/>
      <w:pPr>
        <w:ind w:left="5810" w:hanging="360"/>
      </w:pPr>
      <w:rPr>
        <w:rFonts w:ascii="Courier New" w:hAnsi="Courier New" w:cs="Courier New" w:hint="default"/>
      </w:rPr>
    </w:lvl>
    <w:lvl w:ilvl="8" w:tplc="34090005" w:tentative="1">
      <w:start w:val="1"/>
      <w:numFmt w:val="bullet"/>
      <w:lvlText w:val=""/>
      <w:lvlJc w:val="left"/>
      <w:pPr>
        <w:ind w:left="6530" w:hanging="360"/>
      </w:pPr>
      <w:rPr>
        <w:rFonts w:ascii="Wingdings" w:hAnsi="Wingdings" w:hint="default"/>
      </w:rPr>
    </w:lvl>
  </w:abstractNum>
  <w:abstractNum w:abstractNumId="11" w15:restartNumberingAfterBreak="0">
    <w:nsid w:val="11756037"/>
    <w:multiLevelType w:val="hybridMultilevel"/>
    <w:tmpl w:val="CC207986"/>
    <w:lvl w:ilvl="0" w:tplc="FFEE13E2">
      <w:numFmt w:val="bullet"/>
      <w:pStyle w:val="ListWhite"/>
      <w:lvlText w:val="–"/>
      <w:lvlJc w:val="left"/>
      <w:pPr>
        <w:ind w:left="644" w:hanging="360"/>
      </w:pPr>
      <w:rPr>
        <w:rFonts w:ascii="Futura PT Book" w:hAnsi="Futura PT Book" w:cs="Futura PT Book" w:hint="default"/>
        <w:color w:val="FFFFFF" w:themeColor="background1"/>
        <w:spacing w:val="-4"/>
        <w:w w:val="100"/>
        <w:sz w:val="19"/>
        <w:szCs w:val="19"/>
      </w:rPr>
    </w:lvl>
    <w:lvl w:ilvl="1" w:tplc="34090003" w:tentative="1">
      <w:start w:val="1"/>
      <w:numFmt w:val="bullet"/>
      <w:lvlText w:val="o"/>
      <w:lvlJc w:val="left"/>
      <w:pPr>
        <w:ind w:left="1364" w:hanging="360"/>
      </w:pPr>
      <w:rPr>
        <w:rFonts w:ascii="Courier New" w:hAnsi="Courier New" w:cs="Courier New" w:hint="default"/>
      </w:rPr>
    </w:lvl>
    <w:lvl w:ilvl="2" w:tplc="34090005" w:tentative="1">
      <w:start w:val="1"/>
      <w:numFmt w:val="bullet"/>
      <w:lvlText w:val=""/>
      <w:lvlJc w:val="left"/>
      <w:pPr>
        <w:ind w:left="2084" w:hanging="360"/>
      </w:pPr>
      <w:rPr>
        <w:rFonts w:ascii="Wingdings" w:hAnsi="Wingdings" w:hint="default"/>
      </w:rPr>
    </w:lvl>
    <w:lvl w:ilvl="3" w:tplc="34090001" w:tentative="1">
      <w:start w:val="1"/>
      <w:numFmt w:val="bullet"/>
      <w:lvlText w:val=""/>
      <w:lvlJc w:val="left"/>
      <w:pPr>
        <w:ind w:left="2804" w:hanging="360"/>
      </w:pPr>
      <w:rPr>
        <w:rFonts w:ascii="Symbol" w:hAnsi="Symbol" w:hint="default"/>
      </w:rPr>
    </w:lvl>
    <w:lvl w:ilvl="4" w:tplc="34090003" w:tentative="1">
      <w:start w:val="1"/>
      <w:numFmt w:val="bullet"/>
      <w:lvlText w:val="o"/>
      <w:lvlJc w:val="left"/>
      <w:pPr>
        <w:ind w:left="3524" w:hanging="360"/>
      </w:pPr>
      <w:rPr>
        <w:rFonts w:ascii="Courier New" w:hAnsi="Courier New" w:cs="Courier New" w:hint="default"/>
      </w:rPr>
    </w:lvl>
    <w:lvl w:ilvl="5" w:tplc="34090005" w:tentative="1">
      <w:start w:val="1"/>
      <w:numFmt w:val="bullet"/>
      <w:lvlText w:val=""/>
      <w:lvlJc w:val="left"/>
      <w:pPr>
        <w:ind w:left="4244" w:hanging="360"/>
      </w:pPr>
      <w:rPr>
        <w:rFonts w:ascii="Wingdings" w:hAnsi="Wingdings" w:hint="default"/>
      </w:rPr>
    </w:lvl>
    <w:lvl w:ilvl="6" w:tplc="34090001" w:tentative="1">
      <w:start w:val="1"/>
      <w:numFmt w:val="bullet"/>
      <w:lvlText w:val=""/>
      <w:lvlJc w:val="left"/>
      <w:pPr>
        <w:ind w:left="4964" w:hanging="360"/>
      </w:pPr>
      <w:rPr>
        <w:rFonts w:ascii="Symbol" w:hAnsi="Symbol" w:hint="default"/>
      </w:rPr>
    </w:lvl>
    <w:lvl w:ilvl="7" w:tplc="34090003" w:tentative="1">
      <w:start w:val="1"/>
      <w:numFmt w:val="bullet"/>
      <w:lvlText w:val="o"/>
      <w:lvlJc w:val="left"/>
      <w:pPr>
        <w:ind w:left="5684" w:hanging="360"/>
      </w:pPr>
      <w:rPr>
        <w:rFonts w:ascii="Courier New" w:hAnsi="Courier New" w:cs="Courier New" w:hint="default"/>
      </w:rPr>
    </w:lvl>
    <w:lvl w:ilvl="8" w:tplc="34090005" w:tentative="1">
      <w:start w:val="1"/>
      <w:numFmt w:val="bullet"/>
      <w:lvlText w:val=""/>
      <w:lvlJc w:val="left"/>
      <w:pPr>
        <w:ind w:left="6404" w:hanging="360"/>
      </w:pPr>
      <w:rPr>
        <w:rFonts w:ascii="Wingdings" w:hAnsi="Wingdings" w:hint="default"/>
      </w:rPr>
    </w:lvl>
  </w:abstractNum>
  <w:abstractNum w:abstractNumId="12" w15:restartNumberingAfterBreak="0">
    <w:nsid w:val="2BE06A58"/>
    <w:multiLevelType w:val="hybridMultilevel"/>
    <w:tmpl w:val="541E6232"/>
    <w:lvl w:ilvl="0" w:tplc="0C09000F">
      <w:start w:val="1"/>
      <w:numFmt w:val="decimal"/>
      <w:lvlText w:val="%1."/>
      <w:lvlJc w:val="left"/>
      <w:pPr>
        <w:ind w:left="720" w:hanging="360"/>
      </w:p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3F7B1620"/>
    <w:multiLevelType w:val="hybridMultilevel"/>
    <w:tmpl w:val="3DCAE9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48371B81"/>
    <w:multiLevelType w:val="hybridMultilevel"/>
    <w:tmpl w:val="B128EF88"/>
    <w:lvl w:ilvl="0" w:tplc="F886F9AC">
      <w:numFmt w:val="bullet"/>
      <w:lvlText w:val="–"/>
      <w:lvlJc w:val="left"/>
      <w:pPr>
        <w:ind w:left="1984" w:hanging="284"/>
      </w:pPr>
      <w:rPr>
        <w:rFonts w:ascii="Futura PT Book" w:eastAsia="Futura PT Book" w:hAnsi="Futura PT Book" w:cs="Futura PT Book" w:hint="default"/>
        <w:color w:val="58595B"/>
        <w:spacing w:val="-4"/>
        <w:w w:val="100"/>
        <w:sz w:val="19"/>
        <w:szCs w:val="19"/>
        <w:lang w:val="en-US" w:eastAsia="en-US" w:bidi="en-US"/>
      </w:rPr>
    </w:lvl>
    <w:lvl w:ilvl="1" w:tplc="D74C10E2">
      <w:numFmt w:val="bullet"/>
      <w:lvlText w:val="•"/>
      <w:lvlJc w:val="left"/>
      <w:pPr>
        <w:ind w:left="2344" w:hanging="284"/>
      </w:pPr>
      <w:rPr>
        <w:rFonts w:hint="default"/>
        <w:lang w:val="en-US" w:eastAsia="en-US" w:bidi="en-US"/>
      </w:rPr>
    </w:lvl>
    <w:lvl w:ilvl="2" w:tplc="3544BABC">
      <w:numFmt w:val="bullet"/>
      <w:lvlText w:val="•"/>
      <w:lvlJc w:val="left"/>
      <w:pPr>
        <w:ind w:left="2709" w:hanging="284"/>
      </w:pPr>
      <w:rPr>
        <w:rFonts w:hint="default"/>
        <w:lang w:val="en-US" w:eastAsia="en-US" w:bidi="en-US"/>
      </w:rPr>
    </w:lvl>
    <w:lvl w:ilvl="3" w:tplc="68340610">
      <w:numFmt w:val="bullet"/>
      <w:lvlText w:val="•"/>
      <w:lvlJc w:val="left"/>
      <w:pPr>
        <w:ind w:left="3074" w:hanging="284"/>
      </w:pPr>
      <w:rPr>
        <w:rFonts w:hint="default"/>
        <w:lang w:val="en-US" w:eastAsia="en-US" w:bidi="en-US"/>
      </w:rPr>
    </w:lvl>
    <w:lvl w:ilvl="4" w:tplc="0816A262">
      <w:numFmt w:val="bullet"/>
      <w:lvlText w:val="•"/>
      <w:lvlJc w:val="left"/>
      <w:pPr>
        <w:ind w:left="3438" w:hanging="284"/>
      </w:pPr>
      <w:rPr>
        <w:rFonts w:hint="default"/>
        <w:lang w:val="en-US" w:eastAsia="en-US" w:bidi="en-US"/>
      </w:rPr>
    </w:lvl>
    <w:lvl w:ilvl="5" w:tplc="3C6EA28C">
      <w:numFmt w:val="bullet"/>
      <w:lvlText w:val="•"/>
      <w:lvlJc w:val="left"/>
      <w:pPr>
        <w:ind w:left="3803" w:hanging="284"/>
      </w:pPr>
      <w:rPr>
        <w:rFonts w:hint="default"/>
        <w:lang w:val="en-US" w:eastAsia="en-US" w:bidi="en-US"/>
      </w:rPr>
    </w:lvl>
    <w:lvl w:ilvl="6" w:tplc="5AEC9F46">
      <w:numFmt w:val="bullet"/>
      <w:lvlText w:val="•"/>
      <w:lvlJc w:val="left"/>
      <w:pPr>
        <w:ind w:left="4168" w:hanging="284"/>
      </w:pPr>
      <w:rPr>
        <w:rFonts w:hint="default"/>
        <w:lang w:val="en-US" w:eastAsia="en-US" w:bidi="en-US"/>
      </w:rPr>
    </w:lvl>
    <w:lvl w:ilvl="7" w:tplc="E2FC8516">
      <w:numFmt w:val="bullet"/>
      <w:lvlText w:val="•"/>
      <w:lvlJc w:val="left"/>
      <w:pPr>
        <w:ind w:left="4532" w:hanging="284"/>
      </w:pPr>
      <w:rPr>
        <w:rFonts w:hint="default"/>
        <w:lang w:val="en-US" w:eastAsia="en-US" w:bidi="en-US"/>
      </w:rPr>
    </w:lvl>
    <w:lvl w:ilvl="8" w:tplc="199851A0">
      <w:numFmt w:val="bullet"/>
      <w:lvlText w:val="•"/>
      <w:lvlJc w:val="left"/>
      <w:pPr>
        <w:ind w:left="4897" w:hanging="284"/>
      </w:pPr>
      <w:rPr>
        <w:rFonts w:hint="default"/>
        <w:lang w:val="en-US" w:eastAsia="en-US" w:bidi="en-US"/>
      </w:rPr>
    </w:lvl>
  </w:abstractNum>
  <w:abstractNum w:abstractNumId="15" w15:restartNumberingAfterBreak="0">
    <w:nsid w:val="5BDE1B4E"/>
    <w:multiLevelType w:val="hybridMultilevel"/>
    <w:tmpl w:val="5CCA4352"/>
    <w:lvl w:ilvl="0" w:tplc="6372677E">
      <w:numFmt w:val="bullet"/>
      <w:pStyle w:val="Listparagraphwhite"/>
      <w:lvlText w:val="–"/>
      <w:lvlJc w:val="left"/>
      <w:pPr>
        <w:ind w:left="721" w:hanging="360"/>
      </w:pPr>
      <w:rPr>
        <w:rFonts w:ascii="Futura PT Book" w:hAnsi="Futura PT Book" w:cs="Futura PT Book" w:hint="default"/>
        <w:color w:val="FFFFFF" w:themeColor="background1"/>
        <w:spacing w:val="-4"/>
        <w:w w:val="100"/>
        <w:sz w:val="19"/>
        <w:szCs w:val="19"/>
      </w:rPr>
    </w:lvl>
    <w:lvl w:ilvl="1" w:tplc="34090003" w:tentative="1">
      <w:start w:val="1"/>
      <w:numFmt w:val="bullet"/>
      <w:lvlText w:val="o"/>
      <w:lvlJc w:val="left"/>
      <w:pPr>
        <w:ind w:left="1441" w:hanging="360"/>
      </w:pPr>
      <w:rPr>
        <w:rFonts w:ascii="Courier New" w:hAnsi="Courier New" w:cs="Courier New" w:hint="default"/>
      </w:rPr>
    </w:lvl>
    <w:lvl w:ilvl="2" w:tplc="34090005" w:tentative="1">
      <w:start w:val="1"/>
      <w:numFmt w:val="bullet"/>
      <w:lvlText w:val=""/>
      <w:lvlJc w:val="left"/>
      <w:pPr>
        <w:ind w:left="2161" w:hanging="360"/>
      </w:pPr>
      <w:rPr>
        <w:rFonts w:ascii="Wingdings" w:hAnsi="Wingdings" w:hint="default"/>
      </w:rPr>
    </w:lvl>
    <w:lvl w:ilvl="3" w:tplc="34090001" w:tentative="1">
      <w:start w:val="1"/>
      <w:numFmt w:val="bullet"/>
      <w:lvlText w:val=""/>
      <w:lvlJc w:val="left"/>
      <w:pPr>
        <w:ind w:left="2881" w:hanging="360"/>
      </w:pPr>
      <w:rPr>
        <w:rFonts w:ascii="Symbol" w:hAnsi="Symbol" w:hint="default"/>
      </w:rPr>
    </w:lvl>
    <w:lvl w:ilvl="4" w:tplc="34090003" w:tentative="1">
      <w:start w:val="1"/>
      <w:numFmt w:val="bullet"/>
      <w:lvlText w:val="o"/>
      <w:lvlJc w:val="left"/>
      <w:pPr>
        <w:ind w:left="3601" w:hanging="360"/>
      </w:pPr>
      <w:rPr>
        <w:rFonts w:ascii="Courier New" w:hAnsi="Courier New" w:cs="Courier New" w:hint="default"/>
      </w:rPr>
    </w:lvl>
    <w:lvl w:ilvl="5" w:tplc="34090005" w:tentative="1">
      <w:start w:val="1"/>
      <w:numFmt w:val="bullet"/>
      <w:lvlText w:val=""/>
      <w:lvlJc w:val="left"/>
      <w:pPr>
        <w:ind w:left="4321" w:hanging="360"/>
      </w:pPr>
      <w:rPr>
        <w:rFonts w:ascii="Wingdings" w:hAnsi="Wingdings" w:hint="default"/>
      </w:rPr>
    </w:lvl>
    <w:lvl w:ilvl="6" w:tplc="34090001" w:tentative="1">
      <w:start w:val="1"/>
      <w:numFmt w:val="bullet"/>
      <w:lvlText w:val=""/>
      <w:lvlJc w:val="left"/>
      <w:pPr>
        <w:ind w:left="5041" w:hanging="360"/>
      </w:pPr>
      <w:rPr>
        <w:rFonts w:ascii="Symbol" w:hAnsi="Symbol" w:hint="default"/>
      </w:rPr>
    </w:lvl>
    <w:lvl w:ilvl="7" w:tplc="34090003" w:tentative="1">
      <w:start w:val="1"/>
      <w:numFmt w:val="bullet"/>
      <w:lvlText w:val="o"/>
      <w:lvlJc w:val="left"/>
      <w:pPr>
        <w:ind w:left="5761" w:hanging="360"/>
      </w:pPr>
      <w:rPr>
        <w:rFonts w:ascii="Courier New" w:hAnsi="Courier New" w:cs="Courier New" w:hint="default"/>
      </w:rPr>
    </w:lvl>
    <w:lvl w:ilvl="8" w:tplc="34090005" w:tentative="1">
      <w:start w:val="1"/>
      <w:numFmt w:val="bullet"/>
      <w:lvlText w:val=""/>
      <w:lvlJc w:val="left"/>
      <w:pPr>
        <w:ind w:left="6481" w:hanging="360"/>
      </w:pPr>
      <w:rPr>
        <w:rFonts w:ascii="Wingdings" w:hAnsi="Wingdings" w:hint="default"/>
      </w:rPr>
    </w:lvl>
  </w:abstractNum>
  <w:abstractNum w:abstractNumId="16" w15:restartNumberingAfterBreak="0">
    <w:nsid w:val="63FA3A38"/>
    <w:multiLevelType w:val="hybridMultilevel"/>
    <w:tmpl w:val="1E76E948"/>
    <w:lvl w:ilvl="0" w:tplc="EC7E4C0C">
      <w:numFmt w:val="bullet"/>
      <w:lvlText w:val="–"/>
      <w:lvlJc w:val="left"/>
      <w:pPr>
        <w:ind w:left="825" w:hanging="284"/>
      </w:pPr>
      <w:rPr>
        <w:rFonts w:hint="default"/>
        <w:spacing w:val="-13"/>
        <w:w w:val="100"/>
        <w:lang w:val="en-US" w:eastAsia="en-US" w:bidi="en-US"/>
      </w:rPr>
    </w:lvl>
    <w:lvl w:ilvl="1" w:tplc="22929BDE">
      <w:numFmt w:val="bullet"/>
      <w:pStyle w:val="ListParagraph"/>
      <w:lvlText w:val="–"/>
      <w:lvlJc w:val="left"/>
      <w:pPr>
        <w:ind w:left="1700" w:hanging="284"/>
      </w:pPr>
      <w:rPr>
        <w:rFonts w:ascii="Futura PT Book" w:eastAsia="Futura PT Book" w:hAnsi="Futura PT Book" w:cs="Futura PT Book" w:hint="default"/>
        <w:color w:val="58595B"/>
        <w:spacing w:val="-4"/>
        <w:w w:val="100"/>
        <w:sz w:val="19"/>
        <w:szCs w:val="19"/>
        <w:lang w:val="en-US" w:eastAsia="en-US" w:bidi="en-US"/>
      </w:rPr>
    </w:lvl>
    <w:lvl w:ilvl="2" w:tplc="49B8A18A">
      <w:numFmt w:val="bullet"/>
      <w:pStyle w:val="ListL2"/>
      <w:lvlText w:val="•"/>
      <w:lvlJc w:val="left"/>
      <w:pPr>
        <w:ind w:left="1700" w:hanging="284"/>
      </w:pPr>
      <w:rPr>
        <w:rFonts w:hint="default"/>
        <w:lang w:val="en-US" w:eastAsia="en-US" w:bidi="en-US"/>
      </w:rPr>
    </w:lvl>
    <w:lvl w:ilvl="3" w:tplc="501475AE">
      <w:numFmt w:val="bullet"/>
      <w:lvlText w:val="•"/>
      <w:lvlJc w:val="left"/>
      <w:pPr>
        <w:ind w:left="1471" w:hanging="284"/>
      </w:pPr>
      <w:rPr>
        <w:rFonts w:hint="default"/>
        <w:lang w:val="en-US" w:eastAsia="en-US" w:bidi="en-US"/>
      </w:rPr>
    </w:lvl>
    <w:lvl w:ilvl="4" w:tplc="160E9848">
      <w:numFmt w:val="bullet"/>
      <w:lvlText w:val="•"/>
      <w:lvlJc w:val="left"/>
      <w:pPr>
        <w:ind w:left="1242" w:hanging="284"/>
      </w:pPr>
      <w:rPr>
        <w:rFonts w:hint="default"/>
        <w:lang w:val="en-US" w:eastAsia="en-US" w:bidi="en-US"/>
      </w:rPr>
    </w:lvl>
    <w:lvl w:ilvl="5" w:tplc="906607C8">
      <w:numFmt w:val="bullet"/>
      <w:lvlText w:val="•"/>
      <w:lvlJc w:val="left"/>
      <w:pPr>
        <w:ind w:left="1013" w:hanging="284"/>
      </w:pPr>
      <w:rPr>
        <w:rFonts w:hint="default"/>
        <w:lang w:val="en-US" w:eastAsia="en-US" w:bidi="en-US"/>
      </w:rPr>
    </w:lvl>
    <w:lvl w:ilvl="6" w:tplc="C6042CA4">
      <w:numFmt w:val="bullet"/>
      <w:lvlText w:val="•"/>
      <w:lvlJc w:val="left"/>
      <w:pPr>
        <w:ind w:left="784" w:hanging="284"/>
      </w:pPr>
      <w:rPr>
        <w:rFonts w:hint="default"/>
        <w:lang w:val="en-US" w:eastAsia="en-US" w:bidi="en-US"/>
      </w:rPr>
    </w:lvl>
    <w:lvl w:ilvl="7" w:tplc="DAF2FF04">
      <w:numFmt w:val="bullet"/>
      <w:lvlText w:val="•"/>
      <w:lvlJc w:val="left"/>
      <w:pPr>
        <w:ind w:left="556" w:hanging="284"/>
      </w:pPr>
      <w:rPr>
        <w:rFonts w:hint="default"/>
        <w:lang w:val="en-US" w:eastAsia="en-US" w:bidi="en-US"/>
      </w:rPr>
    </w:lvl>
    <w:lvl w:ilvl="8" w:tplc="EC40FE74">
      <w:numFmt w:val="bullet"/>
      <w:lvlText w:val="•"/>
      <w:lvlJc w:val="left"/>
      <w:pPr>
        <w:ind w:left="327" w:hanging="284"/>
      </w:pPr>
      <w:rPr>
        <w:rFonts w:hint="default"/>
        <w:lang w:val="en-US" w:eastAsia="en-US" w:bidi="en-US"/>
      </w:rPr>
    </w:lvl>
  </w:abstractNum>
  <w:abstractNum w:abstractNumId="17" w15:restartNumberingAfterBreak="0">
    <w:nsid w:val="728073C1"/>
    <w:multiLevelType w:val="hybridMultilevel"/>
    <w:tmpl w:val="195A11EA"/>
    <w:lvl w:ilvl="0" w:tplc="B5FC1454">
      <w:start w:val="1"/>
      <w:numFmt w:val="decimal"/>
      <w:pStyle w:val="TOC1"/>
      <w:lvlText w:val="%1"/>
      <w:lvlJc w:val="left"/>
      <w:pPr>
        <w:ind w:left="717" w:hanging="360"/>
      </w:pPr>
      <w:rPr>
        <w:rFonts w:hint="default"/>
        <w:b/>
        <w:i w:val="0"/>
        <w:color w:val="58595A"/>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4"/>
  </w:num>
  <w:num w:numId="2">
    <w:abstractNumId w:val="16"/>
  </w:num>
  <w:num w:numId="3">
    <w:abstractNumId w:val="10"/>
  </w:num>
  <w:num w:numId="4">
    <w:abstractNumId w:val="11"/>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2"/>
    <w:lvlOverride w:ilvl="0">
      <w:startOverride w:val="1"/>
    </w:lvlOverride>
    <w:lvlOverride w:ilvl="1"/>
    <w:lvlOverride w:ilvl="2"/>
    <w:lvlOverride w:ilvl="3"/>
    <w:lvlOverride w:ilvl="4"/>
    <w:lvlOverride w:ilvl="5"/>
    <w:lvlOverride w:ilvl="6"/>
    <w:lvlOverride w:ilvl="7"/>
    <w:lvlOverride w:ilvl="8"/>
  </w:num>
  <w:num w:numId="16">
    <w:abstractNumId w:val="12"/>
  </w:num>
  <w:num w:numId="17">
    <w:abstractNumId w:val="13"/>
  </w:num>
  <w:num w:numId="18">
    <w:abstractNumId w:val="15"/>
  </w:num>
  <w:num w:numId="19">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drawingGridHorizontalSpacing w:val="110"/>
  <w:displayHorizontalDrawingGridEvery w:val="2"/>
  <w:characterSpacingControl w:val="doNotCompress"/>
  <w:hdrShapeDefaults>
    <o:shapedefaults v:ext="edit" spidmax="2049">
      <o:colormru v:ext="edit" colors="#f37a21"/>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15F5"/>
    <w:rsid w:val="000000D5"/>
    <w:rsid w:val="0000133A"/>
    <w:rsid w:val="00004438"/>
    <w:rsid w:val="00004D42"/>
    <w:rsid w:val="00011A81"/>
    <w:rsid w:val="000213D0"/>
    <w:rsid w:val="0002557D"/>
    <w:rsid w:val="00031882"/>
    <w:rsid w:val="00032268"/>
    <w:rsid w:val="0003549A"/>
    <w:rsid w:val="000367EA"/>
    <w:rsid w:val="00052900"/>
    <w:rsid w:val="00053037"/>
    <w:rsid w:val="000532FD"/>
    <w:rsid w:val="00055369"/>
    <w:rsid w:val="00055D6E"/>
    <w:rsid w:val="00061F0E"/>
    <w:rsid w:val="00062330"/>
    <w:rsid w:val="000655B0"/>
    <w:rsid w:val="00066FBA"/>
    <w:rsid w:val="00071E45"/>
    <w:rsid w:val="00073029"/>
    <w:rsid w:val="0007598B"/>
    <w:rsid w:val="000800FF"/>
    <w:rsid w:val="00081B3F"/>
    <w:rsid w:val="00083531"/>
    <w:rsid w:val="00085021"/>
    <w:rsid w:val="000872A9"/>
    <w:rsid w:val="00092753"/>
    <w:rsid w:val="00092838"/>
    <w:rsid w:val="00092A17"/>
    <w:rsid w:val="00092EEE"/>
    <w:rsid w:val="000957E2"/>
    <w:rsid w:val="000961D7"/>
    <w:rsid w:val="000A14FA"/>
    <w:rsid w:val="000A51F9"/>
    <w:rsid w:val="000A64EE"/>
    <w:rsid w:val="000A65F1"/>
    <w:rsid w:val="000D1E90"/>
    <w:rsid w:val="000E1534"/>
    <w:rsid w:val="000E5FBE"/>
    <w:rsid w:val="000E6ED4"/>
    <w:rsid w:val="001031CF"/>
    <w:rsid w:val="00103FBF"/>
    <w:rsid w:val="00104482"/>
    <w:rsid w:val="00110D57"/>
    <w:rsid w:val="001115FE"/>
    <w:rsid w:val="00111C89"/>
    <w:rsid w:val="0011392B"/>
    <w:rsid w:val="001142D0"/>
    <w:rsid w:val="001153DD"/>
    <w:rsid w:val="00120DFD"/>
    <w:rsid w:val="001254E6"/>
    <w:rsid w:val="001268FC"/>
    <w:rsid w:val="00130AC5"/>
    <w:rsid w:val="001311FF"/>
    <w:rsid w:val="0014198E"/>
    <w:rsid w:val="001422F1"/>
    <w:rsid w:val="001445EA"/>
    <w:rsid w:val="00145199"/>
    <w:rsid w:val="00151012"/>
    <w:rsid w:val="0016039E"/>
    <w:rsid w:val="00170601"/>
    <w:rsid w:val="00172D34"/>
    <w:rsid w:val="00173189"/>
    <w:rsid w:val="00176FCE"/>
    <w:rsid w:val="00181BBB"/>
    <w:rsid w:val="001846F4"/>
    <w:rsid w:val="0018711E"/>
    <w:rsid w:val="00194354"/>
    <w:rsid w:val="00196BF9"/>
    <w:rsid w:val="001A111A"/>
    <w:rsid w:val="001A38F5"/>
    <w:rsid w:val="001A4606"/>
    <w:rsid w:val="001B2C5D"/>
    <w:rsid w:val="001C2185"/>
    <w:rsid w:val="001C5C18"/>
    <w:rsid w:val="001C5F9D"/>
    <w:rsid w:val="001D24BF"/>
    <w:rsid w:val="001E1083"/>
    <w:rsid w:val="001E25A4"/>
    <w:rsid w:val="001E4266"/>
    <w:rsid w:val="001F0A91"/>
    <w:rsid w:val="00203458"/>
    <w:rsid w:val="00206CEB"/>
    <w:rsid w:val="00210661"/>
    <w:rsid w:val="00210AB3"/>
    <w:rsid w:val="002117A9"/>
    <w:rsid w:val="00216997"/>
    <w:rsid w:val="00234851"/>
    <w:rsid w:val="00235055"/>
    <w:rsid w:val="00237BBC"/>
    <w:rsid w:val="00241E9D"/>
    <w:rsid w:val="00245E05"/>
    <w:rsid w:val="002466F4"/>
    <w:rsid w:val="00247ED8"/>
    <w:rsid w:val="00250B41"/>
    <w:rsid w:val="002531DC"/>
    <w:rsid w:val="00261F23"/>
    <w:rsid w:val="00267951"/>
    <w:rsid w:val="00271FD4"/>
    <w:rsid w:val="00277AD9"/>
    <w:rsid w:val="00290C67"/>
    <w:rsid w:val="00291377"/>
    <w:rsid w:val="002958E3"/>
    <w:rsid w:val="002973BD"/>
    <w:rsid w:val="002A04D3"/>
    <w:rsid w:val="002A1FE5"/>
    <w:rsid w:val="002A636F"/>
    <w:rsid w:val="002B548B"/>
    <w:rsid w:val="002B7CD8"/>
    <w:rsid w:val="002C14FB"/>
    <w:rsid w:val="002C1539"/>
    <w:rsid w:val="002C1C84"/>
    <w:rsid w:val="002C65AA"/>
    <w:rsid w:val="002D0AB6"/>
    <w:rsid w:val="002D5002"/>
    <w:rsid w:val="002E3887"/>
    <w:rsid w:val="002E5500"/>
    <w:rsid w:val="002F0C2D"/>
    <w:rsid w:val="002F3BF7"/>
    <w:rsid w:val="00307DCD"/>
    <w:rsid w:val="003117C5"/>
    <w:rsid w:val="00316737"/>
    <w:rsid w:val="00316CEA"/>
    <w:rsid w:val="003171E4"/>
    <w:rsid w:val="003175FB"/>
    <w:rsid w:val="0033209F"/>
    <w:rsid w:val="00335888"/>
    <w:rsid w:val="00336A11"/>
    <w:rsid w:val="00337557"/>
    <w:rsid w:val="0034122F"/>
    <w:rsid w:val="00342612"/>
    <w:rsid w:val="003430A1"/>
    <w:rsid w:val="00346C0C"/>
    <w:rsid w:val="00350641"/>
    <w:rsid w:val="00353279"/>
    <w:rsid w:val="00354CA1"/>
    <w:rsid w:val="0036071A"/>
    <w:rsid w:val="00363642"/>
    <w:rsid w:val="003643C2"/>
    <w:rsid w:val="0036671B"/>
    <w:rsid w:val="00372311"/>
    <w:rsid w:val="003821A2"/>
    <w:rsid w:val="00382CDF"/>
    <w:rsid w:val="00382D02"/>
    <w:rsid w:val="0039124F"/>
    <w:rsid w:val="00391837"/>
    <w:rsid w:val="00391CF0"/>
    <w:rsid w:val="00392586"/>
    <w:rsid w:val="003932A6"/>
    <w:rsid w:val="00393EC9"/>
    <w:rsid w:val="00395A1D"/>
    <w:rsid w:val="003B32FC"/>
    <w:rsid w:val="003B4291"/>
    <w:rsid w:val="003C1208"/>
    <w:rsid w:val="003D2632"/>
    <w:rsid w:val="003D6550"/>
    <w:rsid w:val="003E0305"/>
    <w:rsid w:val="003E0D91"/>
    <w:rsid w:val="003E3A07"/>
    <w:rsid w:val="003E629D"/>
    <w:rsid w:val="003E7A8F"/>
    <w:rsid w:val="003F223E"/>
    <w:rsid w:val="00411C6A"/>
    <w:rsid w:val="0041717A"/>
    <w:rsid w:val="00434B8B"/>
    <w:rsid w:val="004362BC"/>
    <w:rsid w:val="00437BB3"/>
    <w:rsid w:val="004458C7"/>
    <w:rsid w:val="00451BB9"/>
    <w:rsid w:val="00451BDF"/>
    <w:rsid w:val="00451DA5"/>
    <w:rsid w:val="00456016"/>
    <w:rsid w:val="0045686F"/>
    <w:rsid w:val="00456DE9"/>
    <w:rsid w:val="00460625"/>
    <w:rsid w:val="00461B89"/>
    <w:rsid w:val="00462A55"/>
    <w:rsid w:val="00465E0B"/>
    <w:rsid w:val="00466C58"/>
    <w:rsid w:val="00466DF0"/>
    <w:rsid w:val="00466FDD"/>
    <w:rsid w:val="00471C14"/>
    <w:rsid w:val="00483549"/>
    <w:rsid w:val="00483670"/>
    <w:rsid w:val="0048475E"/>
    <w:rsid w:val="00485759"/>
    <w:rsid w:val="00485FA3"/>
    <w:rsid w:val="00487B16"/>
    <w:rsid w:val="00487D44"/>
    <w:rsid w:val="0049377B"/>
    <w:rsid w:val="004957DB"/>
    <w:rsid w:val="004A0BEE"/>
    <w:rsid w:val="004A32F6"/>
    <w:rsid w:val="004B213F"/>
    <w:rsid w:val="004B7808"/>
    <w:rsid w:val="004B7AE4"/>
    <w:rsid w:val="004C16C2"/>
    <w:rsid w:val="004C553D"/>
    <w:rsid w:val="004D161C"/>
    <w:rsid w:val="004D5FB9"/>
    <w:rsid w:val="004E6519"/>
    <w:rsid w:val="004F0384"/>
    <w:rsid w:val="0050196C"/>
    <w:rsid w:val="00502B71"/>
    <w:rsid w:val="00502E75"/>
    <w:rsid w:val="00510BE2"/>
    <w:rsid w:val="0051182E"/>
    <w:rsid w:val="00515EF2"/>
    <w:rsid w:val="005206BB"/>
    <w:rsid w:val="00521325"/>
    <w:rsid w:val="00521BAC"/>
    <w:rsid w:val="00530F1A"/>
    <w:rsid w:val="005315B0"/>
    <w:rsid w:val="005413B6"/>
    <w:rsid w:val="00544ADD"/>
    <w:rsid w:val="0054645A"/>
    <w:rsid w:val="005470B1"/>
    <w:rsid w:val="0055006F"/>
    <w:rsid w:val="005504A5"/>
    <w:rsid w:val="00552EA0"/>
    <w:rsid w:val="00554858"/>
    <w:rsid w:val="00565212"/>
    <w:rsid w:val="005710B8"/>
    <w:rsid w:val="005744DD"/>
    <w:rsid w:val="00575A98"/>
    <w:rsid w:val="0057671C"/>
    <w:rsid w:val="00580880"/>
    <w:rsid w:val="005813D3"/>
    <w:rsid w:val="00581833"/>
    <w:rsid w:val="00586245"/>
    <w:rsid w:val="005907C8"/>
    <w:rsid w:val="00592035"/>
    <w:rsid w:val="005A02E6"/>
    <w:rsid w:val="005A02F4"/>
    <w:rsid w:val="005A10FB"/>
    <w:rsid w:val="005A3E64"/>
    <w:rsid w:val="005A4492"/>
    <w:rsid w:val="005A63BA"/>
    <w:rsid w:val="005A7829"/>
    <w:rsid w:val="005B18E2"/>
    <w:rsid w:val="005B637D"/>
    <w:rsid w:val="005B7291"/>
    <w:rsid w:val="005C05C7"/>
    <w:rsid w:val="005C3B62"/>
    <w:rsid w:val="005C526E"/>
    <w:rsid w:val="005C62B2"/>
    <w:rsid w:val="005D0AA1"/>
    <w:rsid w:val="005E0247"/>
    <w:rsid w:val="005E07D0"/>
    <w:rsid w:val="005E60F1"/>
    <w:rsid w:val="005E758E"/>
    <w:rsid w:val="005F35B3"/>
    <w:rsid w:val="006007E6"/>
    <w:rsid w:val="006013F3"/>
    <w:rsid w:val="006027EE"/>
    <w:rsid w:val="006035E0"/>
    <w:rsid w:val="00603DEC"/>
    <w:rsid w:val="006043DB"/>
    <w:rsid w:val="00604A4A"/>
    <w:rsid w:val="006062C8"/>
    <w:rsid w:val="0061606F"/>
    <w:rsid w:val="00622C52"/>
    <w:rsid w:val="00625158"/>
    <w:rsid w:val="00626152"/>
    <w:rsid w:val="006261A2"/>
    <w:rsid w:val="00637B6E"/>
    <w:rsid w:val="006500A1"/>
    <w:rsid w:val="0065414C"/>
    <w:rsid w:val="00654358"/>
    <w:rsid w:val="00654399"/>
    <w:rsid w:val="006673D9"/>
    <w:rsid w:val="00671C3D"/>
    <w:rsid w:val="00675279"/>
    <w:rsid w:val="006765B9"/>
    <w:rsid w:val="006813E0"/>
    <w:rsid w:val="006824B5"/>
    <w:rsid w:val="006851D8"/>
    <w:rsid w:val="00693365"/>
    <w:rsid w:val="006A0034"/>
    <w:rsid w:val="006A55CA"/>
    <w:rsid w:val="006A63C7"/>
    <w:rsid w:val="006B1EF9"/>
    <w:rsid w:val="006B5059"/>
    <w:rsid w:val="006C03EC"/>
    <w:rsid w:val="006C181D"/>
    <w:rsid w:val="006C1EE2"/>
    <w:rsid w:val="006C38DE"/>
    <w:rsid w:val="006C7DE8"/>
    <w:rsid w:val="006D53C3"/>
    <w:rsid w:val="006D6A77"/>
    <w:rsid w:val="006D7011"/>
    <w:rsid w:val="006D742D"/>
    <w:rsid w:val="006E0657"/>
    <w:rsid w:val="006E2628"/>
    <w:rsid w:val="006E364C"/>
    <w:rsid w:val="006E73E5"/>
    <w:rsid w:val="006F4825"/>
    <w:rsid w:val="006F7F9C"/>
    <w:rsid w:val="007004F3"/>
    <w:rsid w:val="007053EF"/>
    <w:rsid w:val="00733DAE"/>
    <w:rsid w:val="00734D00"/>
    <w:rsid w:val="00737171"/>
    <w:rsid w:val="007424D5"/>
    <w:rsid w:val="007450F4"/>
    <w:rsid w:val="0075255F"/>
    <w:rsid w:val="0075392B"/>
    <w:rsid w:val="00765BCD"/>
    <w:rsid w:val="00766B86"/>
    <w:rsid w:val="00773885"/>
    <w:rsid w:val="00773B63"/>
    <w:rsid w:val="00775A65"/>
    <w:rsid w:val="00784FE2"/>
    <w:rsid w:val="00785B9C"/>
    <w:rsid w:val="00796C77"/>
    <w:rsid w:val="007A1BB9"/>
    <w:rsid w:val="007A31BD"/>
    <w:rsid w:val="007A574D"/>
    <w:rsid w:val="007A655F"/>
    <w:rsid w:val="007B2A99"/>
    <w:rsid w:val="007B53B8"/>
    <w:rsid w:val="007B651B"/>
    <w:rsid w:val="007C1C22"/>
    <w:rsid w:val="007C6A5E"/>
    <w:rsid w:val="007D158C"/>
    <w:rsid w:val="007D7009"/>
    <w:rsid w:val="007E1BCE"/>
    <w:rsid w:val="007F200C"/>
    <w:rsid w:val="0081421D"/>
    <w:rsid w:val="008245FD"/>
    <w:rsid w:val="00836E78"/>
    <w:rsid w:val="008419B7"/>
    <w:rsid w:val="00842063"/>
    <w:rsid w:val="00842554"/>
    <w:rsid w:val="00844DC3"/>
    <w:rsid w:val="00847364"/>
    <w:rsid w:val="00847A1D"/>
    <w:rsid w:val="00860863"/>
    <w:rsid w:val="008613E1"/>
    <w:rsid w:val="00863E94"/>
    <w:rsid w:val="008659C2"/>
    <w:rsid w:val="00866A44"/>
    <w:rsid w:val="00872387"/>
    <w:rsid w:val="00872610"/>
    <w:rsid w:val="00876F74"/>
    <w:rsid w:val="008843AB"/>
    <w:rsid w:val="008854BF"/>
    <w:rsid w:val="0088552B"/>
    <w:rsid w:val="008920DA"/>
    <w:rsid w:val="00892CBD"/>
    <w:rsid w:val="00896233"/>
    <w:rsid w:val="00896433"/>
    <w:rsid w:val="008970C2"/>
    <w:rsid w:val="008A071B"/>
    <w:rsid w:val="008A42EE"/>
    <w:rsid w:val="008B279A"/>
    <w:rsid w:val="008C32CC"/>
    <w:rsid w:val="008C3683"/>
    <w:rsid w:val="008C4FFB"/>
    <w:rsid w:val="008D3AE5"/>
    <w:rsid w:val="008D7E01"/>
    <w:rsid w:val="008F007F"/>
    <w:rsid w:val="008F1F57"/>
    <w:rsid w:val="008F2C0D"/>
    <w:rsid w:val="008F4A1C"/>
    <w:rsid w:val="0090015E"/>
    <w:rsid w:val="009015DE"/>
    <w:rsid w:val="00902023"/>
    <w:rsid w:val="00903F28"/>
    <w:rsid w:val="00904AB4"/>
    <w:rsid w:val="00905DA0"/>
    <w:rsid w:val="0091055E"/>
    <w:rsid w:val="00911DF7"/>
    <w:rsid w:val="00913201"/>
    <w:rsid w:val="00925C8B"/>
    <w:rsid w:val="00926399"/>
    <w:rsid w:val="009314EC"/>
    <w:rsid w:val="00931E8F"/>
    <w:rsid w:val="00936F6B"/>
    <w:rsid w:val="00940B98"/>
    <w:rsid w:val="00941602"/>
    <w:rsid w:val="0094308A"/>
    <w:rsid w:val="00944DA4"/>
    <w:rsid w:val="0095450E"/>
    <w:rsid w:val="009638C2"/>
    <w:rsid w:val="0096661B"/>
    <w:rsid w:val="00971899"/>
    <w:rsid w:val="00971D0E"/>
    <w:rsid w:val="00973A60"/>
    <w:rsid w:val="009749C7"/>
    <w:rsid w:val="00977B7B"/>
    <w:rsid w:val="00977E6C"/>
    <w:rsid w:val="00983BD0"/>
    <w:rsid w:val="00985EB9"/>
    <w:rsid w:val="00991937"/>
    <w:rsid w:val="0099204A"/>
    <w:rsid w:val="009948E5"/>
    <w:rsid w:val="009A40EF"/>
    <w:rsid w:val="009A6700"/>
    <w:rsid w:val="009A6CF9"/>
    <w:rsid w:val="009C68D5"/>
    <w:rsid w:val="009D2CA5"/>
    <w:rsid w:val="009D2DEC"/>
    <w:rsid w:val="009D713B"/>
    <w:rsid w:val="009E12C3"/>
    <w:rsid w:val="009E18BA"/>
    <w:rsid w:val="009E23A6"/>
    <w:rsid w:val="009E3F98"/>
    <w:rsid w:val="009E5E65"/>
    <w:rsid w:val="009F04E4"/>
    <w:rsid w:val="009F0DC9"/>
    <w:rsid w:val="009F0F1F"/>
    <w:rsid w:val="009F24E1"/>
    <w:rsid w:val="009F4D5D"/>
    <w:rsid w:val="00A00E05"/>
    <w:rsid w:val="00A0212B"/>
    <w:rsid w:val="00A0719B"/>
    <w:rsid w:val="00A07AEB"/>
    <w:rsid w:val="00A13963"/>
    <w:rsid w:val="00A20ED3"/>
    <w:rsid w:val="00A2204F"/>
    <w:rsid w:val="00A2241A"/>
    <w:rsid w:val="00A23AAB"/>
    <w:rsid w:val="00A24EE9"/>
    <w:rsid w:val="00A266AF"/>
    <w:rsid w:val="00A3126A"/>
    <w:rsid w:val="00A44F64"/>
    <w:rsid w:val="00A54416"/>
    <w:rsid w:val="00A54DBB"/>
    <w:rsid w:val="00A605AD"/>
    <w:rsid w:val="00A617A7"/>
    <w:rsid w:val="00A6405D"/>
    <w:rsid w:val="00A71013"/>
    <w:rsid w:val="00A75D61"/>
    <w:rsid w:val="00A80F85"/>
    <w:rsid w:val="00A81C79"/>
    <w:rsid w:val="00A8798D"/>
    <w:rsid w:val="00A914D5"/>
    <w:rsid w:val="00A938F7"/>
    <w:rsid w:val="00A94A2D"/>
    <w:rsid w:val="00AA1554"/>
    <w:rsid w:val="00AA266A"/>
    <w:rsid w:val="00AB028F"/>
    <w:rsid w:val="00AB1495"/>
    <w:rsid w:val="00AC22C8"/>
    <w:rsid w:val="00AD3676"/>
    <w:rsid w:val="00AD4FC5"/>
    <w:rsid w:val="00AE0084"/>
    <w:rsid w:val="00AE1ECC"/>
    <w:rsid w:val="00AE6553"/>
    <w:rsid w:val="00AF2431"/>
    <w:rsid w:val="00B0206B"/>
    <w:rsid w:val="00B02240"/>
    <w:rsid w:val="00B10F05"/>
    <w:rsid w:val="00B1180C"/>
    <w:rsid w:val="00B14BC9"/>
    <w:rsid w:val="00B17301"/>
    <w:rsid w:val="00B222AE"/>
    <w:rsid w:val="00B22772"/>
    <w:rsid w:val="00B23364"/>
    <w:rsid w:val="00B256FA"/>
    <w:rsid w:val="00B260CF"/>
    <w:rsid w:val="00B2611D"/>
    <w:rsid w:val="00B27105"/>
    <w:rsid w:val="00B35CEF"/>
    <w:rsid w:val="00B41F85"/>
    <w:rsid w:val="00B50359"/>
    <w:rsid w:val="00B52AD1"/>
    <w:rsid w:val="00B55D42"/>
    <w:rsid w:val="00B55E0C"/>
    <w:rsid w:val="00B56514"/>
    <w:rsid w:val="00B609E1"/>
    <w:rsid w:val="00B61294"/>
    <w:rsid w:val="00B6185B"/>
    <w:rsid w:val="00B6238A"/>
    <w:rsid w:val="00B643B1"/>
    <w:rsid w:val="00B6721F"/>
    <w:rsid w:val="00B71222"/>
    <w:rsid w:val="00B9422E"/>
    <w:rsid w:val="00B95834"/>
    <w:rsid w:val="00B96CC8"/>
    <w:rsid w:val="00B97176"/>
    <w:rsid w:val="00BA1222"/>
    <w:rsid w:val="00BA4D19"/>
    <w:rsid w:val="00BB2570"/>
    <w:rsid w:val="00BB62E8"/>
    <w:rsid w:val="00BC52DA"/>
    <w:rsid w:val="00BD414E"/>
    <w:rsid w:val="00BD4E90"/>
    <w:rsid w:val="00BE0CB4"/>
    <w:rsid w:val="00BE25FA"/>
    <w:rsid w:val="00BE27D4"/>
    <w:rsid w:val="00BE6C3C"/>
    <w:rsid w:val="00BF18D0"/>
    <w:rsid w:val="00C00A81"/>
    <w:rsid w:val="00C02414"/>
    <w:rsid w:val="00C0452D"/>
    <w:rsid w:val="00C0792E"/>
    <w:rsid w:val="00C415F5"/>
    <w:rsid w:val="00C45203"/>
    <w:rsid w:val="00C47934"/>
    <w:rsid w:val="00C57678"/>
    <w:rsid w:val="00C6270B"/>
    <w:rsid w:val="00C64233"/>
    <w:rsid w:val="00C658F7"/>
    <w:rsid w:val="00C761B3"/>
    <w:rsid w:val="00C82911"/>
    <w:rsid w:val="00C84D82"/>
    <w:rsid w:val="00C850EC"/>
    <w:rsid w:val="00C92EDA"/>
    <w:rsid w:val="00C972BD"/>
    <w:rsid w:val="00CA0EA6"/>
    <w:rsid w:val="00CA1531"/>
    <w:rsid w:val="00CA6827"/>
    <w:rsid w:val="00CB00F0"/>
    <w:rsid w:val="00CB12E3"/>
    <w:rsid w:val="00CB6ACA"/>
    <w:rsid w:val="00CC14D3"/>
    <w:rsid w:val="00CC5903"/>
    <w:rsid w:val="00CD13AA"/>
    <w:rsid w:val="00CD6FED"/>
    <w:rsid w:val="00CE0C57"/>
    <w:rsid w:val="00CE3160"/>
    <w:rsid w:val="00CF158E"/>
    <w:rsid w:val="00CF1B45"/>
    <w:rsid w:val="00CF2090"/>
    <w:rsid w:val="00D021D5"/>
    <w:rsid w:val="00D055E1"/>
    <w:rsid w:val="00D06176"/>
    <w:rsid w:val="00D101B4"/>
    <w:rsid w:val="00D141FD"/>
    <w:rsid w:val="00D27903"/>
    <w:rsid w:val="00D3193A"/>
    <w:rsid w:val="00D32313"/>
    <w:rsid w:val="00D34A4C"/>
    <w:rsid w:val="00D442EF"/>
    <w:rsid w:val="00D5434D"/>
    <w:rsid w:val="00D61D8E"/>
    <w:rsid w:val="00D66EDB"/>
    <w:rsid w:val="00D73CE8"/>
    <w:rsid w:val="00D769DB"/>
    <w:rsid w:val="00D80215"/>
    <w:rsid w:val="00D946E5"/>
    <w:rsid w:val="00DB15D7"/>
    <w:rsid w:val="00DB6474"/>
    <w:rsid w:val="00DC379A"/>
    <w:rsid w:val="00DC3AB3"/>
    <w:rsid w:val="00DC3FF3"/>
    <w:rsid w:val="00DC7289"/>
    <w:rsid w:val="00DC7857"/>
    <w:rsid w:val="00DD4F60"/>
    <w:rsid w:val="00DD5CA2"/>
    <w:rsid w:val="00DE22E8"/>
    <w:rsid w:val="00DE2ED2"/>
    <w:rsid w:val="00DE578F"/>
    <w:rsid w:val="00DE7C4D"/>
    <w:rsid w:val="00DF4660"/>
    <w:rsid w:val="00DF4954"/>
    <w:rsid w:val="00E01EDD"/>
    <w:rsid w:val="00E14119"/>
    <w:rsid w:val="00E15F92"/>
    <w:rsid w:val="00E2107E"/>
    <w:rsid w:val="00E263FA"/>
    <w:rsid w:val="00E314EE"/>
    <w:rsid w:val="00E31F89"/>
    <w:rsid w:val="00E32FB4"/>
    <w:rsid w:val="00E34F49"/>
    <w:rsid w:val="00E37FD6"/>
    <w:rsid w:val="00E4260D"/>
    <w:rsid w:val="00E51C81"/>
    <w:rsid w:val="00E564DC"/>
    <w:rsid w:val="00E574AF"/>
    <w:rsid w:val="00E65CE7"/>
    <w:rsid w:val="00E72457"/>
    <w:rsid w:val="00E74C51"/>
    <w:rsid w:val="00E7785D"/>
    <w:rsid w:val="00E80FAE"/>
    <w:rsid w:val="00E8398A"/>
    <w:rsid w:val="00E853B9"/>
    <w:rsid w:val="00E916D8"/>
    <w:rsid w:val="00E941CF"/>
    <w:rsid w:val="00EA1F97"/>
    <w:rsid w:val="00EB4CDF"/>
    <w:rsid w:val="00EB5043"/>
    <w:rsid w:val="00EB7EB7"/>
    <w:rsid w:val="00EC74B9"/>
    <w:rsid w:val="00ED4F4C"/>
    <w:rsid w:val="00EE1BDC"/>
    <w:rsid w:val="00EE269D"/>
    <w:rsid w:val="00EF131C"/>
    <w:rsid w:val="00EF5D73"/>
    <w:rsid w:val="00EF63A7"/>
    <w:rsid w:val="00F012E7"/>
    <w:rsid w:val="00F0205B"/>
    <w:rsid w:val="00F02A36"/>
    <w:rsid w:val="00F03ABE"/>
    <w:rsid w:val="00F34E6D"/>
    <w:rsid w:val="00F36701"/>
    <w:rsid w:val="00F42929"/>
    <w:rsid w:val="00F43091"/>
    <w:rsid w:val="00F57333"/>
    <w:rsid w:val="00F601BD"/>
    <w:rsid w:val="00F601DF"/>
    <w:rsid w:val="00F61D95"/>
    <w:rsid w:val="00F62597"/>
    <w:rsid w:val="00F67277"/>
    <w:rsid w:val="00F72B49"/>
    <w:rsid w:val="00F75A56"/>
    <w:rsid w:val="00F77943"/>
    <w:rsid w:val="00F8026E"/>
    <w:rsid w:val="00F83327"/>
    <w:rsid w:val="00F855FD"/>
    <w:rsid w:val="00F90618"/>
    <w:rsid w:val="00F93BCE"/>
    <w:rsid w:val="00FB7586"/>
    <w:rsid w:val="00FB76C3"/>
    <w:rsid w:val="00FC0098"/>
    <w:rsid w:val="00FC15E6"/>
    <w:rsid w:val="00FC2BB6"/>
    <w:rsid w:val="00FC2D2A"/>
    <w:rsid w:val="00FC3E95"/>
    <w:rsid w:val="00FD16F8"/>
    <w:rsid w:val="00FE6E7E"/>
    <w:rsid w:val="00FF0D92"/>
    <w:rsid w:val="00FF4A2A"/>
    <w:rsid w:val="00FF4F1F"/>
    <w:rsid w:val="00FF5FF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37a21"/>
    </o:shapedefaults>
    <o:shapelayout v:ext="edit">
      <o:idmap v:ext="edit" data="1"/>
    </o:shapelayout>
  </w:shapeDefaults>
  <w:decimalSymbol w:val="."/>
  <w:listSeparator w:val=","/>
  <w14:docId w14:val="4A58452A"/>
  <w15:docId w15:val="{1B18190E-754B-4B1B-B032-14F097A7B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1D8E"/>
    <w:rPr>
      <w:rFonts w:ascii="Arial" w:eastAsia="Futura PT Book" w:hAnsi="Arial" w:cs="Futura PT Book"/>
      <w:lang w:val="en-AU" w:bidi="en-US"/>
    </w:rPr>
  </w:style>
  <w:style w:type="paragraph" w:styleId="Heading1">
    <w:name w:val="heading 1"/>
    <w:next w:val="Normal"/>
    <w:link w:val="Heading1Char"/>
    <w:uiPriority w:val="9"/>
    <w:qFormat/>
    <w:rsid w:val="006765B9"/>
    <w:pPr>
      <w:spacing w:before="58" w:after="840"/>
      <w:outlineLvl w:val="0"/>
    </w:pPr>
    <w:rPr>
      <w:rFonts w:ascii="Arial" w:eastAsia="Futura PT Heavy" w:hAnsi="Arial" w:cs="Futura PT Heavy"/>
      <w:b/>
      <w:color w:val="003E2D"/>
      <w:sz w:val="56"/>
      <w:szCs w:val="70"/>
      <w:lang w:val="en-AU" w:bidi="en-US"/>
    </w:rPr>
  </w:style>
  <w:style w:type="paragraph" w:styleId="Heading2">
    <w:name w:val="heading 2"/>
    <w:basedOn w:val="Normal"/>
    <w:uiPriority w:val="9"/>
    <w:unhideWhenUsed/>
    <w:qFormat/>
    <w:rsid w:val="00DE2ED2"/>
    <w:pPr>
      <w:spacing w:before="240"/>
      <w:outlineLvl w:val="1"/>
    </w:pPr>
    <w:rPr>
      <w:rFonts w:eastAsia="Futura PT Bold" w:cs="Futura PT Bold"/>
      <w:b/>
      <w:bCs/>
      <w:color w:val="003E2D" w:themeColor="text1"/>
      <w:sz w:val="36"/>
      <w:szCs w:val="36"/>
    </w:rPr>
  </w:style>
  <w:style w:type="paragraph" w:styleId="Heading3">
    <w:name w:val="heading 3"/>
    <w:link w:val="Heading3Char"/>
    <w:uiPriority w:val="9"/>
    <w:unhideWhenUsed/>
    <w:qFormat/>
    <w:rsid w:val="0075255F"/>
    <w:pPr>
      <w:spacing w:before="240"/>
      <w:outlineLvl w:val="2"/>
    </w:pPr>
    <w:rPr>
      <w:rFonts w:ascii="Arial" w:eastAsia="Tahoma" w:hAnsi="Arial" w:cs="Tahoma"/>
      <w:b/>
      <w:color w:val="003E2D" w:themeColor="text1"/>
      <w:sz w:val="28"/>
      <w:szCs w:val="28"/>
      <w:lang w:val="en-AU" w:bidi="en-US"/>
    </w:rPr>
  </w:style>
  <w:style w:type="paragraph" w:styleId="Heading4">
    <w:name w:val="heading 4"/>
    <w:link w:val="Heading4Char"/>
    <w:uiPriority w:val="9"/>
    <w:unhideWhenUsed/>
    <w:qFormat/>
    <w:rsid w:val="0075255F"/>
    <w:pPr>
      <w:spacing w:before="240" w:after="240"/>
      <w:outlineLvl w:val="3"/>
    </w:pPr>
    <w:rPr>
      <w:rFonts w:ascii="Arial" w:eastAsia="Futura PT Bold" w:hAnsi="Arial" w:cs="Futura PT Bold"/>
      <w:b/>
      <w:bCs/>
      <w:color w:val="003E2D" w:themeColor="text1"/>
      <w:szCs w:val="19"/>
      <w:lang w:val="en-AU" w:bidi="en-US"/>
    </w:rPr>
  </w:style>
  <w:style w:type="paragraph" w:styleId="Heading5">
    <w:name w:val="heading 5"/>
    <w:basedOn w:val="Normal"/>
    <w:next w:val="Normal"/>
    <w:link w:val="Heading5Char"/>
    <w:uiPriority w:val="9"/>
    <w:semiHidden/>
    <w:unhideWhenUsed/>
    <w:rsid w:val="00DB6474"/>
    <w:pPr>
      <w:keepNext/>
      <w:keepLines/>
      <w:spacing w:before="40"/>
      <w:outlineLvl w:val="4"/>
    </w:pPr>
    <w:rPr>
      <w:rFonts w:asciiTheme="majorHAnsi" w:eastAsiaTheme="majorEastAsia" w:hAnsiTheme="majorHAnsi" w:cstheme="majorBidi"/>
      <w:color w:val="5C9935" w:themeColor="accent1" w:themeShade="BF"/>
    </w:rPr>
  </w:style>
  <w:style w:type="paragraph" w:styleId="Heading6">
    <w:name w:val="heading 6"/>
    <w:basedOn w:val="Normal"/>
    <w:next w:val="Normal"/>
    <w:link w:val="Heading6Char"/>
    <w:uiPriority w:val="9"/>
    <w:semiHidden/>
    <w:unhideWhenUsed/>
    <w:qFormat/>
    <w:rsid w:val="00DB6474"/>
    <w:pPr>
      <w:keepNext/>
      <w:keepLines/>
      <w:spacing w:before="40"/>
      <w:outlineLvl w:val="5"/>
    </w:pPr>
    <w:rPr>
      <w:rFonts w:asciiTheme="majorHAnsi" w:eastAsiaTheme="majorEastAsia" w:hAnsiTheme="majorHAnsi" w:cstheme="majorBidi"/>
      <w:color w:val="3D6623" w:themeColor="accent1" w:themeShade="7F"/>
    </w:rPr>
  </w:style>
  <w:style w:type="paragraph" w:styleId="Heading7">
    <w:name w:val="heading 7"/>
    <w:basedOn w:val="Normal"/>
    <w:next w:val="Normal"/>
    <w:link w:val="Heading7Char"/>
    <w:uiPriority w:val="9"/>
    <w:semiHidden/>
    <w:unhideWhenUsed/>
    <w:qFormat/>
    <w:rsid w:val="00DB6474"/>
    <w:pPr>
      <w:keepNext/>
      <w:keepLines/>
      <w:spacing w:before="40"/>
      <w:outlineLvl w:val="6"/>
    </w:pPr>
    <w:rPr>
      <w:rFonts w:asciiTheme="majorHAnsi" w:eastAsiaTheme="majorEastAsia" w:hAnsiTheme="majorHAnsi" w:cstheme="majorBidi"/>
      <w:i/>
      <w:iCs/>
      <w:color w:val="3D6623" w:themeColor="accent1" w:themeShade="7F"/>
    </w:rPr>
  </w:style>
  <w:style w:type="paragraph" w:styleId="Heading8">
    <w:name w:val="heading 8"/>
    <w:basedOn w:val="Normal"/>
    <w:next w:val="Normal"/>
    <w:link w:val="Heading8Char"/>
    <w:uiPriority w:val="9"/>
    <w:semiHidden/>
    <w:unhideWhenUsed/>
    <w:qFormat/>
    <w:rsid w:val="00DB6474"/>
    <w:pPr>
      <w:keepNext/>
      <w:keepLines/>
      <w:spacing w:before="40"/>
      <w:outlineLvl w:val="7"/>
    </w:pPr>
    <w:rPr>
      <w:rFonts w:asciiTheme="majorHAnsi" w:eastAsiaTheme="majorEastAsia" w:hAnsiTheme="majorHAnsi" w:cstheme="majorBidi"/>
      <w:color w:val="00825E" w:themeColor="text1" w:themeTint="D8"/>
      <w:sz w:val="21"/>
      <w:szCs w:val="21"/>
    </w:rPr>
  </w:style>
  <w:style w:type="paragraph" w:styleId="Heading9">
    <w:name w:val="heading 9"/>
    <w:basedOn w:val="Normal"/>
    <w:next w:val="Normal"/>
    <w:link w:val="Heading9Char"/>
    <w:uiPriority w:val="9"/>
    <w:semiHidden/>
    <w:unhideWhenUsed/>
    <w:qFormat/>
    <w:rsid w:val="00DB6474"/>
    <w:pPr>
      <w:keepNext/>
      <w:keepLines/>
      <w:spacing w:before="40"/>
      <w:outlineLvl w:val="8"/>
    </w:pPr>
    <w:rPr>
      <w:rFonts w:asciiTheme="majorHAnsi" w:eastAsiaTheme="majorEastAsia" w:hAnsiTheme="majorHAnsi" w:cstheme="majorBidi"/>
      <w:i/>
      <w:iCs/>
      <w:color w:val="00825E"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TOCHeader"/>
    <w:link w:val="TOC1Char"/>
    <w:uiPriority w:val="39"/>
    <w:qFormat/>
    <w:rsid w:val="007A1BB9"/>
    <w:pPr>
      <w:numPr>
        <w:numId w:val="19"/>
      </w:numPr>
      <w:spacing w:after="120"/>
    </w:pPr>
    <w:rPr>
      <w:rFonts w:eastAsia="Tahoma" w:cs="Tahoma"/>
      <w:b/>
      <w:color w:val="58595A"/>
      <w:sz w:val="18"/>
      <w:szCs w:val="28"/>
    </w:rPr>
  </w:style>
  <w:style w:type="paragraph" w:styleId="TOC2">
    <w:name w:val="toc 2"/>
    <w:basedOn w:val="Normal"/>
    <w:next w:val="TOCHeader"/>
    <w:link w:val="TOC2Char"/>
    <w:uiPriority w:val="39"/>
    <w:qFormat/>
    <w:rsid w:val="007A1BB9"/>
    <w:pPr>
      <w:tabs>
        <w:tab w:val="right" w:leader="dot" w:pos="9020"/>
      </w:tabs>
      <w:spacing w:after="120"/>
      <w:ind w:left="964" w:hanging="255"/>
    </w:pPr>
    <w:rPr>
      <w:rFonts w:eastAsia="Tahoma" w:cs="Tahoma"/>
      <w:noProof/>
      <w:color w:val="58595A"/>
      <w:sz w:val="18"/>
      <w:szCs w:val="28"/>
    </w:rPr>
  </w:style>
  <w:style w:type="paragraph" w:styleId="TOC3">
    <w:name w:val="toc 3"/>
    <w:basedOn w:val="Normal"/>
    <w:uiPriority w:val="1"/>
    <w:qFormat/>
    <w:rsid w:val="00847364"/>
    <w:pPr>
      <w:spacing w:before="22"/>
    </w:pPr>
    <w:rPr>
      <w:rFonts w:eastAsia="Tahoma" w:cs="Tahoma"/>
      <w:b/>
      <w:sz w:val="28"/>
      <w:szCs w:val="28"/>
    </w:rPr>
  </w:style>
  <w:style w:type="paragraph" w:styleId="BodyText">
    <w:name w:val="Body Text"/>
    <w:basedOn w:val="Normal"/>
    <w:link w:val="BodyTextChar"/>
    <w:uiPriority w:val="1"/>
    <w:qFormat/>
    <w:rsid w:val="003932A6"/>
    <w:pPr>
      <w:spacing w:before="163" w:line="256" w:lineRule="auto"/>
      <w:ind w:right="143"/>
    </w:pPr>
    <w:rPr>
      <w:color w:val="58595B"/>
      <w:sz w:val="19"/>
      <w:szCs w:val="19"/>
    </w:rPr>
  </w:style>
  <w:style w:type="paragraph" w:styleId="ListParagraph">
    <w:name w:val="List Paragraph"/>
    <w:aliases w:val="List Paragraph1,Recommendation,Bullet table,Bullet L1,dot point 1"/>
    <w:basedOn w:val="Normal"/>
    <w:link w:val="ListParagraphChar"/>
    <w:uiPriority w:val="34"/>
    <w:qFormat/>
    <w:rsid w:val="00066FBA"/>
    <w:pPr>
      <w:numPr>
        <w:ilvl w:val="1"/>
        <w:numId w:val="2"/>
      </w:numPr>
      <w:tabs>
        <w:tab w:val="left" w:pos="1418"/>
      </w:tabs>
      <w:spacing w:before="186" w:line="256" w:lineRule="auto"/>
      <w:ind w:left="284" w:right="501" w:hanging="283"/>
    </w:pPr>
    <w:rPr>
      <w:color w:val="58595B"/>
      <w:sz w:val="19"/>
    </w:rPr>
  </w:style>
  <w:style w:type="paragraph" w:customStyle="1" w:styleId="TableParagraph">
    <w:name w:val="Table Paragraph"/>
    <w:basedOn w:val="Normal"/>
    <w:uiPriority w:val="1"/>
    <w:qFormat/>
    <w:rsid w:val="007A655F"/>
    <w:pPr>
      <w:spacing w:before="62"/>
      <w:ind w:left="50"/>
    </w:pPr>
    <w:rPr>
      <w:color w:val="58595A"/>
      <w:sz w:val="18"/>
      <w:szCs w:val="18"/>
    </w:rPr>
  </w:style>
  <w:style w:type="paragraph" w:styleId="Header">
    <w:name w:val="header"/>
    <w:basedOn w:val="Normal"/>
    <w:link w:val="HeaderChar"/>
    <w:uiPriority w:val="99"/>
    <w:unhideWhenUsed/>
    <w:rsid w:val="00D141FD"/>
    <w:pPr>
      <w:tabs>
        <w:tab w:val="center" w:pos="4680"/>
        <w:tab w:val="right" w:pos="9360"/>
      </w:tabs>
    </w:pPr>
  </w:style>
  <w:style w:type="character" w:customStyle="1" w:styleId="HeaderChar">
    <w:name w:val="Header Char"/>
    <w:basedOn w:val="DefaultParagraphFont"/>
    <w:link w:val="Header"/>
    <w:uiPriority w:val="99"/>
    <w:rsid w:val="00D141FD"/>
    <w:rPr>
      <w:rFonts w:ascii="Futura PT Book" w:eastAsia="Futura PT Book" w:hAnsi="Futura PT Book" w:cs="Futura PT Book"/>
      <w:lang w:bidi="en-US"/>
    </w:rPr>
  </w:style>
  <w:style w:type="paragraph" w:styleId="Footer">
    <w:name w:val="footer"/>
    <w:basedOn w:val="Normal"/>
    <w:link w:val="FooterChar"/>
    <w:uiPriority w:val="99"/>
    <w:unhideWhenUsed/>
    <w:rsid w:val="00D141FD"/>
    <w:pPr>
      <w:tabs>
        <w:tab w:val="center" w:pos="4680"/>
        <w:tab w:val="right" w:pos="9360"/>
      </w:tabs>
    </w:pPr>
  </w:style>
  <w:style w:type="character" w:customStyle="1" w:styleId="FooterChar">
    <w:name w:val="Footer Char"/>
    <w:basedOn w:val="DefaultParagraphFont"/>
    <w:link w:val="Footer"/>
    <w:uiPriority w:val="99"/>
    <w:rsid w:val="00D141FD"/>
    <w:rPr>
      <w:rFonts w:ascii="Futura PT Book" w:eastAsia="Futura PT Book" w:hAnsi="Futura PT Book" w:cs="Futura PT Book"/>
      <w:lang w:bidi="en-US"/>
    </w:rPr>
  </w:style>
  <w:style w:type="paragraph" w:styleId="NoSpacing">
    <w:name w:val="No Spacing"/>
    <w:uiPriority w:val="1"/>
    <w:qFormat/>
    <w:rsid w:val="00D61D8E"/>
    <w:rPr>
      <w:rFonts w:ascii="Arial" w:eastAsia="Futura PT Book" w:hAnsi="Arial" w:cs="Futura PT Book"/>
      <w:lang w:bidi="en-US"/>
    </w:rPr>
  </w:style>
  <w:style w:type="character" w:customStyle="1" w:styleId="Heading3Char">
    <w:name w:val="Heading 3 Char"/>
    <w:basedOn w:val="DefaultParagraphFont"/>
    <w:link w:val="Heading3"/>
    <w:uiPriority w:val="9"/>
    <w:rsid w:val="0075255F"/>
    <w:rPr>
      <w:rFonts w:ascii="Arial" w:eastAsia="Tahoma" w:hAnsi="Arial" w:cs="Tahoma"/>
      <w:b/>
      <w:color w:val="003E2D" w:themeColor="text1"/>
      <w:sz w:val="28"/>
      <w:szCs w:val="28"/>
      <w:lang w:val="en-AU" w:bidi="en-US"/>
    </w:rPr>
  </w:style>
  <w:style w:type="character" w:customStyle="1" w:styleId="BodyTextChar">
    <w:name w:val="Body Text Char"/>
    <w:basedOn w:val="DefaultParagraphFont"/>
    <w:link w:val="BodyText"/>
    <w:uiPriority w:val="1"/>
    <w:rsid w:val="00C658F7"/>
    <w:rPr>
      <w:rFonts w:ascii="Arial" w:eastAsia="Futura PT Book" w:hAnsi="Arial" w:cs="Futura PT Book"/>
      <w:color w:val="58595B"/>
      <w:sz w:val="19"/>
      <w:szCs w:val="19"/>
      <w:lang w:bidi="en-US"/>
    </w:rPr>
  </w:style>
  <w:style w:type="paragraph" w:styleId="FootnoteText">
    <w:name w:val="footnote text"/>
    <w:basedOn w:val="Normal"/>
    <w:link w:val="FootnoteTextChar"/>
    <w:uiPriority w:val="99"/>
    <w:semiHidden/>
    <w:unhideWhenUsed/>
    <w:rsid w:val="00554858"/>
    <w:rPr>
      <w:sz w:val="20"/>
      <w:szCs w:val="20"/>
    </w:rPr>
  </w:style>
  <w:style w:type="character" w:customStyle="1" w:styleId="FootnoteTextChar">
    <w:name w:val="Footnote Text Char"/>
    <w:basedOn w:val="DefaultParagraphFont"/>
    <w:link w:val="FootnoteText"/>
    <w:uiPriority w:val="99"/>
    <w:semiHidden/>
    <w:rsid w:val="00554858"/>
    <w:rPr>
      <w:rFonts w:ascii="Arial" w:eastAsia="Futura PT Book" w:hAnsi="Arial" w:cs="Futura PT Book"/>
      <w:sz w:val="20"/>
      <w:szCs w:val="20"/>
      <w:lang w:bidi="en-US"/>
    </w:rPr>
  </w:style>
  <w:style w:type="character" w:styleId="FootnoteReference">
    <w:name w:val="footnote reference"/>
    <w:basedOn w:val="DefaultParagraphFont"/>
    <w:uiPriority w:val="99"/>
    <w:semiHidden/>
    <w:unhideWhenUsed/>
    <w:rsid w:val="00554858"/>
    <w:rPr>
      <w:vertAlign w:val="superscript"/>
    </w:rPr>
  </w:style>
  <w:style w:type="paragraph" w:customStyle="1" w:styleId="Footnote">
    <w:name w:val="Footnote"/>
    <w:basedOn w:val="FootnoteText"/>
    <w:link w:val="FootnoteChar"/>
    <w:qFormat/>
    <w:rsid w:val="00554858"/>
    <w:rPr>
      <w:color w:val="58595A"/>
      <w:sz w:val="16"/>
      <w:szCs w:val="16"/>
    </w:rPr>
  </w:style>
  <w:style w:type="character" w:styleId="Hyperlink">
    <w:name w:val="Hyperlink"/>
    <w:basedOn w:val="DefaultParagraphFont"/>
    <w:uiPriority w:val="99"/>
    <w:unhideWhenUsed/>
    <w:rsid w:val="001E4266"/>
    <w:rPr>
      <w:color w:val="008F54" w:themeColor="accent2"/>
      <w:u w:val="single"/>
    </w:rPr>
  </w:style>
  <w:style w:type="character" w:customStyle="1" w:styleId="FootnoteChar">
    <w:name w:val="Footnote Char"/>
    <w:basedOn w:val="FootnoteTextChar"/>
    <w:link w:val="Footnote"/>
    <w:rsid w:val="00554858"/>
    <w:rPr>
      <w:rFonts w:ascii="Arial" w:eastAsia="Futura PT Book" w:hAnsi="Arial" w:cs="Futura PT Book"/>
      <w:color w:val="58595A"/>
      <w:sz w:val="16"/>
      <w:szCs w:val="16"/>
      <w:lang w:bidi="en-US"/>
    </w:rPr>
  </w:style>
  <w:style w:type="character" w:customStyle="1" w:styleId="UnresolvedMention1">
    <w:name w:val="Unresolved Mention1"/>
    <w:basedOn w:val="DefaultParagraphFont"/>
    <w:uiPriority w:val="99"/>
    <w:semiHidden/>
    <w:unhideWhenUsed/>
    <w:rsid w:val="009D2DEC"/>
    <w:rPr>
      <w:color w:val="605E5C"/>
      <w:shd w:val="clear" w:color="auto" w:fill="E1DFDD"/>
    </w:rPr>
  </w:style>
  <w:style w:type="table" w:styleId="TableGrid">
    <w:name w:val="Table Grid"/>
    <w:basedOn w:val="TableNormal"/>
    <w:uiPriority w:val="39"/>
    <w:rsid w:val="00AC22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BodyText"/>
    <w:link w:val="TableHeadingChar"/>
    <w:qFormat/>
    <w:rsid w:val="007A655F"/>
    <w:pPr>
      <w:spacing w:before="0"/>
    </w:pPr>
    <w:rPr>
      <w:b/>
      <w:bCs/>
      <w:color w:val="FFFFFF" w:themeColor="background1"/>
      <w:sz w:val="18"/>
      <w:szCs w:val="18"/>
    </w:rPr>
  </w:style>
  <w:style w:type="paragraph" w:customStyle="1" w:styleId="BulletsL2">
    <w:name w:val="Bullets L2"/>
    <w:basedOn w:val="Normal"/>
    <w:link w:val="BulletsL2Char"/>
    <w:rsid w:val="007A655F"/>
    <w:pPr>
      <w:numPr>
        <w:numId w:val="3"/>
      </w:numPr>
    </w:pPr>
  </w:style>
  <w:style w:type="character" w:customStyle="1" w:styleId="TableHeadingChar">
    <w:name w:val="Table Heading Char"/>
    <w:basedOn w:val="BodyTextChar"/>
    <w:link w:val="TableHeading"/>
    <w:rsid w:val="007A655F"/>
    <w:rPr>
      <w:rFonts w:ascii="Arial" w:eastAsia="Futura PT Book" w:hAnsi="Arial" w:cs="Futura PT Book"/>
      <w:b/>
      <w:bCs/>
      <w:color w:val="FFFFFF" w:themeColor="background1"/>
      <w:sz w:val="18"/>
      <w:szCs w:val="18"/>
      <w:lang w:bidi="en-US"/>
    </w:rPr>
  </w:style>
  <w:style w:type="paragraph" w:customStyle="1" w:styleId="TableList">
    <w:name w:val="Table List"/>
    <w:basedOn w:val="BulletsL2"/>
    <w:link w:val="TableListChar"/>
    <w:qFormat/>
    <w:rsid w:val="007A655F"/>
    <w:pPr>
      <w:ind w:left="453"/>
    </w:pPr>
    <w:rPr>
      <w:color w:val="58595A"/>
      <w:sz w:val="18"/>
      <w:szCs w:val="18"/>
    </w:rPr>
  </w:style>
  <w:style w:type="character" w:styleId="FollowedHyperlink">
    <w:name w:val="FollowedHyperlink"/>
    <w:basedOn w:val="DefaultParagraphFont"/>
    <w:uiPriority w:val="99"/>
    <w:semiHidden/>
    <w:unhideWhenUsed/>
    <w:rsid w:val="00F42929"/>
    <w:rPr>
      <w:color w:val="008F54" w:themeColor="followedHyperlink"/>
      <w:u w:val="single"/>
    </w:rPr>
  </w:style>
  <w:style w:type="character" w:customStyle="1" w:styleId="BulletsL2Char">
    <w:name w:val="Bullets L2 Char"/>
    <w:basedOn w:val="DefaultParagraphFont"/>
    <w:link w:val="BulletsL2"/>
    <w:rsid w:val="007A655F"/>
    <w:rPr>
      <w:rFonts w:ascii="Arial" w:eastAsia="Futura PT Book" w:hAnsi="Arial" w:cs="Futura PT Book"/>
      <w:lang w:val="en-AU" w:bidi="en-US"/>
    </w:rPr>
  </w:style>
  <w:style w:type="character" w:customStyle="1" w:styleId="TableListChar">
    <w:name w:val="Table List Char"/>
    <w:basedOn w:val="BulletsL2Char"/>
    <w:link w:val="TableList"/>
    <w:rsid w:val="007A655F"/>
    <w:rPr>
      <w:rFonts w:ascii="Arial" w:eastAsia="Futura PT Book" w:hAnsi="Arial" w:cs="Futura PT Book"/>
      <w:color w:val="58595A"/>
      <w:sz w:val="18"/>
      <w:szCs w:val="18"/>
      <w:lang w:val="en-AU" w:bidi="en-US"/>
    </w:rPr>
  </w:style>
  <w:style w:type="character" w:customStyle="1" w:styleId="Heading4Char">
    <w:name w:val="Heading 4 Char"/>
    <w:basedOn w:val="DefaultParagraphFont"/>
    <w:link w:val="Heading4"/>
    <w:uiPriority w:val="9"/>
    <w:rsid w:val="0075255F"/>
    <w:rPr>
      <w:rFonts w:ascii="Arial" w:eastAsia="Futura PT Bold" w:hAnsi="Arial" w:cs="Futura PT Bold"/>
      <w:b/>
      <w:bCs/>
      <w:color w:val="003E2D" w:themeColor="text1"/>
      <w:szCs w:val="19"/>
      <w:lang w:val="en-AU" w:bidi="en-US"/>
    </w:rPr>
  </w:style>
  <w:style w:type="paragraph" w:customStyle="1" w:styleId="Questionheading">
    <w:name w:val="Question heading"/>
    <w:link w:val="QuestionheadingChar"/>
    <w:qFormat/>
    <w:rsid w:val="00483670"/>
    <w:pPr>
      <w:spacing w:before="280"/>
      <w:ind w:left="737" w:right="246"/>
    </w:pPr>
    <w:rPr>
      <w:rFonts w:ascii="Arial" w:eastAsia="Tahoma" w:hAnsi="Arial" w:cs="Tahoma"/>
      <w:b/>
      <w:color w:val="003E2D" w:themeColor="text1"/>
      <w:sz w:val="24"/>
      <w:szCs w:val="24"/>
      <w:lang w:val="en-AU" w:bidi="en-US"/>
    </w:rPr>
  </w:style>
  <w:style w:type="character" w:customStyle="1" w:styleId="QuestionheadingChar">
    <w:name w:val="Question heading Char"/>
    <w:basedOn w:val="Heading3Char"/>
    <w:link w:val="Questionheading"/>
    <w:rsid w:val="00483670"/>
    <w:rPr>
      <w:rFonts w:ascii="Arial" w:eastAsia="Tahoma" w:hAnsi="Arial" w:cs="Tahoma"/>
      <w:b/>
      <w:color w:val="003E2D" w:themeColor="text1"/>
      <w:sz w:val="24"/>
      <w:szCs w:val="24"/>
      <w:lang w:val="en-AU" w:bidi="en-US"/>
    </w:rPr>
  </w:style>
  <w:style w:type="paragraph" w:customStyle="1" w:styleId="ListL2">
    <w:name w:val="List L2"/>
    <w:basedOn w:val="ListParagraph"/>
    <w:link w:val="ListL2Char"/>
    <w:qFormat/>
    <w:rsid w:val="00DE2ED2"/>
    <w:pPr>
      <w:numPr>
        <w:ilvl w:val="2"/>
      </w:numPr>
      <w:ind w:left="567" w:hanging="283"/>
    </w:pPr>
  </w:style>
  <w:style w:type="paragraph" w:customStyle="1" w:styleId="ListWhite">
    <w:name w:val="List White"/>
    <w:basedOn w:val="ListParagraph"/>
    <w:link w:val="ListWhiteChar"/>
    <w:qFormat/>
    <w:rsid w:val="001031CF"/>
    <w:pPr>
      <w:numPr>
        <w:ilvl w:val="0"/>
        <w:numId w:val="4"/>
      </w:numPr>
      <w:spacing w:line="257" w:lineRule="auto"/>
      <w:ind w:left="284" w:right="499" w:hanging="284"/>
    </w:pPr>
    <w:rPr>
      <w:color w:val="FFFFFF" w:themeColor="background1"/>
    </w:rPr>
  </w:style>
  <w:style w:type="character" w:customStyle="1" w:styleId="ListParagraphChar">
    <w:name w:val="List Paragraph Char"/>
    <w:aliases w:val="List Paragraph1 Char,Recommendation Char,Bullet table Char,Bullet L1 Char,dot point 1 Char"/>
    <w:basedOn w:val="DefaultParagraphFont"/>
    <w:link w:val="ListParagraph"/>
    <w:uiPriority w:val="34"/>
    <w:rsid w:val="00DE2ED2"/>
    <w:rPr>
      <w:rFonts w:ascii="Arial" w:eastAsia="Futura PT Book" w:hAnsi="Arial" w:cs="Futura PT Book"/>
      <w:color w:val="58595B"/>
      <w:sz w:val="19"/>
      <w:lang w:val="en-AU" w:bidi="en-US"/>
    </w:rPr>
  </w:style>
  <w:style w:type="character" w:customStyle="1" w:styleId="ListL2Char">
    <w:name w:val="List L2 Char"/>
    <w:basedOn w:val="ListParagraphChar"/>
    <w:link w:val="ListL2"/>
    <w:rsid w:val="00DE2ED2"/>
    <w:rPr>
      <w:rFonts w:ascii="Arial" w:eastAsia="Futura PT Book" w:hAnsi="Arial" w:cs="Futura PT Book"/>
      <w:color w:val="58595B"/>
      <w:sz w:val="19"/>
      <w:lang w:val="en-AU" w:bidi="en-US"/>
    </w:rPr>
  </w:style>
  <w:style w:type="paragraph" w:customStyle="1" w:styleId="Figureheading">
    <w:name w:val="Figure heading"/>
    <w:basedOn w:val="BodyText"/>
    <w:link w:val="FigureheadingChar"/>
    <w:qFormat/>
    <w:rsid w:val="00AE6553"/>
    <w:pPr>
      <w:spacing w:after="240" w:line="257" w:lineRule="auto"/>
      <w:ind w:right="142"/>
    </w:pPr>
    <w:rPr>
      <w:b/>
      <w:color w:val="003E2D" w:themeColor="text2"/>
    </w:rPr>
  </w:style>
  <w:style w:type="character" w:customStyle="1" w:styleId="ListWhiteChar">
    <w:name w:val="List White Char"/>
    <w:basedOn w:val="ListParagraphChar"/>
    <w:link w:val="ListWhite"/>
    <w:rsid w:val="001031CF"/>
    <w:rPr>
      <w:rFonts w:ascii="Arial" w:eastAsia="Futura PT Book" w:hAnsi="Arial" w:cs="Futura PT Book"/>
      <w:color w:val="FFFFFF" w:themeColor="background1"/>
      <w:sz w:val="19"/>
      <w:lang w:val="en-AU" w:bidi="en-US"/>
    </w:rPr>
  </w:style>
  <w:style w:type="paragraph" w:customStyle="1" w:styleId="TOCHeader">
    <w:name w:val="TOC Header"/>
    <w:basedOn w:val="TOC1"/>
    <w:link w:val="TOCHeaderChar"/>
    <w:rsid w:val="00F855FD"/>
    <w:pPr>
      <w:tabs>
        <w:tab w:val="right" w:leader="dot" w:pos="9020"/>
      </w:tabs>
    </w:pPr>
    <w:rPr>
      <w:b w:val="0"/>
      <w:bCs/>
      <w:noProof/>
      <w:szCs w:val="18"/>
    </w:rPr>
  </w:style>
  <w:style w:type="character" w:customStyle="1" w:styleId="FigureheadingChar">
    <w:name w:val="Figure heading Char"/>
    <w:basedOn w:val="BodyTextChar"/>
    <w:link w:val="Figureheading"/>
    <w:rsid w:val="00AE6553"/>
    <w:rPr>
      <w:rFonts w:ascii="Arial" w:eastAsia="Futura PT Book" w:hAnsi="Arial" w:cs="Futura PT Book"/>
      <w:b/>
      <w:color w:val="003E2D" w:themeColor="text2"/>
      <w:sz w:val="19"/>
      <w:szCs w:val="19"/>
      <w:lang w:bidi="en-US"/>
    </w:rPr>
  </w:style>
  <w:style w:type="paragraph" w:customStyle="1" w:styleId="TOCBody">
    <w:name w:val="TOC Body"/>
    <w:basedOn w:val="TOC2"/>
    <w:link w:val="TOCBodyChar"/>
    <w:rsid w:val="00B55D42"/>
    <w:rPr>
      <w:szCs w:val="18"/>
    </w:rPr>
  </w:style>
  <w:style w:type="character" w:customStyle="1" w:styleId="TOC1Char">
    <w:name w:val="TOC 1 Char"/>
    <w:basedOn w:val="DefaultParagraphFont"/>
    <w:link w:val="TOC1"/>
    <w:uiPriority w:val="39"/>
    <w:rsid w:val="00173189"/>
    <w:rPr>
      <w:rFonts w:ascii="Arial" w:eastAsia="Tahoma" w:hAnsi="Arial" w:cs="Tahoma"/>
      <w:b/>
      <w:color w:val="58595A"/>
      <w:sz w:val="18"/>
      <w:szCs w:val="28"/>
      <w:lang w:val="en-AU" w:bidi="en-US"/>
    </w:rPr>
  </w:style>
  <w:style w:type="character" w:customStyle="1" w:styleId="TOCHeaderChar">
    <w:name w:val="TOC Header Char"/>
    <w:basedOn w:val="TOC1Char"/>
    <w:link w:val="TOCHeader"/>
    <w:rsid w:val="00F855FD"/>
    <w:rPr>
      <w:rFonts w:ascii="Arial" w:eastAsia="Tahoma" w:hAnsi="Arial" w:cs="Tahoma"/>
      <w:b w:val="0"/>
      <w:bCs/>
      <w:noProof/>
      <w:color w:val="58595A"/>
      <w:sz w:val="18"/>
      <w:szCs w:val="18"/>
      <w:lang w:val="en-AU" w:bidi="en-US"/>
    </w:rPr>
  </w:style>
  <w:style w:type="character" w:customStyle="1" w:styleId="TOC2Char">
    <w:name w:val="TOC 2 Char"/>
    <w:basedOn w:val="DefaultParagraphFont"/>
    <w:link w:val="TOC2"/>
    <w:uiPriority w:val="39"/>
    <w:rsid w:val="007A1BB9"/>
    <w:rPr>
      <w:rFonts w:ascii="Arial" w:eastAsia="Tahoma" w:hAnsi="Arial" w:cs="Tahoma"/>
      <w:noProof/>
      <w:color w:val="58595A"/>
      <w:sz w:val="18"/>
      <w:szCs w:val="28"/>
      <w:lang w:val="en-AU" w:bidi="en-US"/>
    </w:rPr>
  </w:style>
  <w:style w:type="character" w:customStyle="1" w:styleId="TOCBodyChar">
    <w:name w:val="TOC Body Char"/>
    <w:basedOn w:val="TOC2Char"/>
    <w:link w:val="TOCBody"/>
    <w:rsid w:val="00B55D42"/>
    <w:rPr>
      <w:rFonts w:ascii="Arial" w:eastAsia="Tahoma" w:hAnsi="Arial" w:cs="Tahoma"/>
      <w:noProof/>
      <w:color w:val="58595A"/>
      <w:sz w:val="18"/>
      <w:szCs w:val="18"/>
      <w:lang w:val="en-AU" w:bidi="en-US"/>
    </w:rPr>
  </w:style>
  <w:style w:type="character" w:styleId="LineNumber">
    <w:name w:val="line number"/>
    <w:basedOn w:val="DefaultParagraphFont"/>
    <w:uiPriority w:val="99"/>
    <w:semiHidden/>
    <w:unhideWhenUsed/>
    <w:rsid w:val="00055D6E"/>
  </w:style>
  <w:style w:type="paragraph" w:styleId="BalloonText">
    <w:name w:val="Balloon Text"/>
    <w:basedOn w:val="Normal"/>
    <w:link w:val="BalloonTextChar"/>
    <w:uiPriority w:val="99"/>
    <w:semiHidden/>
    <w:unhideWhenUsed/>
    <w:rsid w:val="00DB64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6474"/>
    <w:rPr>
      <w:rFonts w:ascii="Segoe UI" w:eastAsia="Futura PT Book" w:hAnsi="Segoe UI" w:cs="Segoe UI"/>
      <w:sz w:val="18"/>
      <w:szCs w:val="18"/>
      <w:lang w:bidi="en-US"/>
    </w:rPr>
  </w:style>
  <w:style w:type="paragraph" w:styleId="Bibliography">
    <w:name w:val="Bibliography"/>
    <w:basedOn w:val="Normal"/>
    <w:next w:val="Normal"/>
    <w:uiPriority w:val="37"/>
    <w:semiHidden/>
    <w:unhideWhenUsed/>
    <w:rsid w:val="00DB6474"/>
  </w:style>
  <w:style w:type="paragraph" w:styleId="BlockText">
    <w:name w:val="Block Text"/>
    <w:basedOn w:val="Normal"/>
    <w:uiPriority w:val="99"/>
    <w:semiHidden/>
    <w:unhideWhenUsed/>
    <w:rsid w:val="00DB6474"/>
    <w:pPr>
      <w:pBdr>
        <w:top w:val="single" w:sz="2" w:space="10" w:color="7EC352" w:themeColor="accent1"/>
        <w:left w:val="single" w:sz="2" w:space="10" w:color="7EC352" w:themeColor="accent1"/>
        <w:bottom w:val="single" w:sz="2" w:space="10" w:color="7EC352" w:themeColor="accent1"/>
        <w:right w:val="single" w:sz="2" w:space="10" w:color="7EC352" w:themeColor="accent1"/>
      </w:pBdr>
      <w:ind w:left="1152" w:right="1152"/>
    </w:pPr>
    <w:rPr>
      <w:rFonts w:asciiTheme="minorHAnsi" w:eastAsiaTheme="minorEastAsia" w:hAnsiTheme="minorHAnsi" w:cstheme="minorBidi"/>
      <w:i/>
      <w:iCs/>
      <w:color w:val="7EC352" w:themeColor="accent1"/>
    </w:rPr>
  </w:style>
  <w:style w:type="paragraph" w:styleId="BodyText2">
    <w:name w:val="Body Text 2"/>
    <w:basedOn w:val="Normal"/>
    <w:link w:val="BodyText2Char"/>
    <w:uiPriority w:val="99"/>
    <w:semiHidden/>
    <w:unhideWhenUsed/>
    <w:rsid w:val="00DB6474"/>
    <w:pPr>
      <w:spacing w:after="120" w:line="480" w:lineRule="auto"/>
    </w:pPr>
  </w:style>
  <w:style w:type="character" w:customStyle="1" w:styleId="BodyText2Char">
    <w:name w:val="Body Text 2 Char"/>
    <w:basedOn w:val="DefaultParagraphFont"/>
    <w:link w:val="BodyText2"/>
    <w:uiPriority w:val="99"/>
    <w:semiHidden/>
    <w:rsid w:val="00DB6474"/>
    <w:rPr>
      <w:rFonts w:ascii="Arial" w:eastAsia="Futura PT Book" w:hAnsi="Arial" w:cs="Futura PT Book"/>
      <w:lang w:bidi="en-US"/>
    </w:rPr>
  </w:style>
  <w:style w:type="paragraph" w:styleId="BodyText3">
    <w:name w:val="Body Text 3"/>
    <w:basedOn w:val="Normal"/>
    <w:link w:val="BodyText3Char"/>
    <w:uiPriority w:val="99"/>
    <w:semiHidden/>
    <w:unhideWhenUsed/>
    <w:rsid w:val="00DB6474"/>
    <w:pPr>
      <w:spacing w:after="120"/>
    </w:pPr>
    <w:rPr>
      <w:sz w:val="16"/>
      <w:szCs w:val="16"/>
    </w:rPr>
  </w:style>
  <w:style w:type="character" w:customStyle="1" w:styleId="BodyText3Char">
    <w:name w:val="Body Text 3 Char"/>
    <w:basedOn w:val="DefaultParagraphFont"/>
    <w:link w:val="BodyText3"/>
    <w:uiPriority w:val="99"/>
    <w:semiHidden/>
    <w:rsid w:val="00DB6474"/>
    <w:rPr>
      <w:rFonts w:ascii="Arial" w:eastAsia="Futura PT Book" w:hAnsi="Arial" w:cs="Futura PT Book"/>
      <w:sz w:val="16"/>
      <w:szCs w:val="16"/>
      <w:lang w:bidi="en-US"/>
    </w:rPr>
  </w:style>
  <w:style w:type="paragraph" w:styleId="BodyTextFirstIndent">
    <w:name w:val="Body Text First Indent"/>
    <w:basedOn w:val="BodyText"/>
    <w:link w:val="BodyTextFirstIndentChar"/>
    <w:uiPriority w:val="99"/>
    <w:semiHidden/>
    <w:unhideWhenUsed/>
    <w:rsid w:val="00DB6474"/>
    <w:pPr>
      <w:spacing w:before="0" w:line="240" w:lineRule="auto"/>
      <w:ind w:right="0" w:firstLine="360"/>
    </w:pPr>
    <w:rPr>
      <w:color w:val="auto"/>
      <w:sz w:val="22"/>
      <w:szCs w:val="22"/>
    </w:rPr>
  </w:style>
  <w:style w:type="character" w:customStyle="1" w:styleId="BodyTextFirstIndentChar">
    <w:name w:val="Body Text First Indent Char"/>
    <w:basedOn w:val="BodyTextChar"/>
    <w:link w:val="BodyTextFirstIndent"/>
    <w:uiPriority w:val="99"/>
    <w:semiHidden/>
    <w:rsid w:val="00DB6474"/>
    <w:rPr>
      <w:rFonts w:ascii="Arial" w:eastAsia="Futura PT Book" w:hAnsi="Arial" w:cs="Futura PT Book"/>
      <w:color w:val="58595B"/>
      <w:sz w:val="19"/>
      <w:szCs w:val="19"/>
      <w:lang w:bidi="en-US"/>
    </w:rPr>
  </w:style>
  <w:style w:type="paragraph" w:styleId="BodyTextIndent">
    <w:name w:val="Body Text Indent"/>
    <w:basedOn w:val="Normal"/>
    <w:link w:val="BodyTextIndentChar"/>
    <w:uiPriority w:val="99"/>
    <w:semiHidden/>
    <w:unhideWhenUsed/>
    <w:rsid w:val="00DB6474"/>
    <w:pPr>
      <w:spacing w:after="120"/>
      <w:ind w:left="283"/>
    </w:pPr>
  </w:style>
  <w:style w:type="character" w:customStyle="1" w:styleId="BodyTextIndentChar">
    <w:name w:val="Body Text Indent Char"/>
    <w:basedOn w:val="DefaultParagraphFont"/>
    <w:link w:val="BodyTextIndent"/>
    <w:uiPriority w:val="99"/>
    <w:semiHidden/>
    <w:rsid w:val="00DB6474"/>
    <w:rPr>
      <w:rFonts w:ascii="Arial" w:eastAsia="Futura PT Book" w:hAnsi="Arial" w:cs="Futura PT Book"/>
      <w:lang w:bidi="en-US"/>
    </w:rPr>
  </w:style>
  <w:style w:type="paragraph" w:styleId="BodyTextFirstIndent2">
    <w:name w:val="Body Text First Indent 2"/>
    <w:basedOn w:val="BodyTextIndent"/>
    <w:link w:val="BodyTextFirstIndent2Char"/>
    <w:uiPriority w:val="99"/>
    <w:semiHidden/>
    <w:unhideWhenUsed/>
    <w:rsid w:val="00DB6474"/>
    <w:pPr>
      <w:spacing w:after="0"/>
      <w:ind w:left="360" w:firstLine="360"/>
    </w:pPr>
  </w:style>
  <w:style w:type="character" w:customStyle="1" w:styleId="BodyTextFirstIndent2Char">
    <w:name w:val="Body Text First Indent 2 Char"/>
    <w:basedOn w:val="BodyTextIndentChar"/>
    <w:link w:val="BodyTextFirstIndent2"/>
    <w:uiPriority w:val="99"/>
    <w:semiHidden/>
    <w:rsid w:val="00DB6474"/>
    <w:rPr>
      <w:rFonts w:ascii="Arial" w:eastAsia="Futura PT Book" w:hAnsi="Arial" w:cs="Futura PT Book"/>
      <w:lang w:bidi="en-US"/>
    </w:rPr>
  </w:style>
  <w:style w:type="paragraph" w:styleId="BodyTextIndent2">
    <w:name w:val="Body Text Indent 2"/>
    <w:basedOn w:val="Normal"/>
    <w:link w:val="BodyTextIndent2Char"/>
    <w:uiPriority w:val="99"/>
    <w:semiHidden/>
    <w:unhideWhenUsed/>
    <w:rsid w:val="00DB6474"/>
    <w:pPr>
      <w:spacing w:after="120" w:line="480" w:lineRule="auto"/>
      <w:ind w:left="283"/>
    </w:pPr>
  </w:style>
  <w:style w:type="character" w:customStyle="1" w:styleId="BodyTextIndent2Char">
    <w:name w:val="Body Text Indent 2 Char"/>
    <w:basedOn w:val="DefaultParagraphFont"/>
    <w:link w:val="BodyTextIndent2"/>
    <w:uiPriority w:val="99"/>
    <w:semiHidden/>
    <w:rsid w:val="00DB6474"/>
    <w:rPr>
      <w:rFonts w:ascii="Arial" w:eastAsia="Futura PT Book" w:hAnsi="Arial" w:cs="Futura PT Book"/>
      <w:lang w:bidi="en-US"/>
    </w:rPr>
  </w:style>
  <w:style w:type="paragraph" w:styleId="BodyTextIndent3">
    <w:name w:val="Body Text Indent 3"/>
    <w:basedOn w:val="Normal"/>
    <w:link w:val="BodyTextIndent3Char"/>
    <w:uiPriority w:val="99"/>
    <w:semiHidden/>
    <w:unhideWhenUsed/>
    <w:rsid w:val="00DB647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DB6474"/>
    <w:rPr>
      <w:rFonts w:ascii="Arial" w:eastAsia="Futura PT Book" w:hAnsi="Arial" w:cs="Futura PT Book"/>
      <w:sz w:val="16"/>
      <w:szCs w:val="16"/>
      <w:lang w:bidi="en-US"/>
    </w:rPr>
  </w:style>
  <w:style w:type="paragraph" w:styleId="Caption">
    <w:name w:val="caption"/>
    <w:basedOn w:val="Normal"/>
    <w:next w:val="Normal"/>
    <w:uiPriority w:val="35"/>
    <w:semiHidden/>
    <w:unhideWhenUsed/>
    <w:qFormat/>
    <w:rsid w:val="00DB6474"/>
    <w:pPr>
      <w:spacing w:after="200"/>
    </w:pPr>
    <w:rPr>
      <w:i/>
      <w:iCs/>
      <w:color w:val="003E2D" w:themeColor="text2"/>
      <w:sz w:val="18"/>
      <w:szCs w:val="18"/>
    </w:rPr>
  </w:style>
  <w:style w:type="paragraph" w:styleId="Closing">
    <w:name w:val="Closing"/>
    <w:basedOn w:val="Normal"/>
    <w:link w:val="ClosingChar"/>
    <w:uiPriority w:val="99"/>
    <w:semiHidden/>
    <w:unhideWhenUsed/>
    <w:rsid w:val="00DB6474"/>
    <w:pPr>
      <w:ind w:left="4252"/>
    </w:pPr>
  </w:style>
  <w:style w:type="character" w:customStyle="1" w:styleId="ClosingChar">
    <w:name w:val="Closing Char"/>
    <w:basedOn w:val="DefaultParagraphFont"/>
    <w:link w:val="Closing"/>
    <w:uiPriority w:val="99"/>
    <w:semiHidden/>
    <w:rsid w:val="00DB6474"/>
    <w:rPr>
      <w:rFonts w:ascii="Arial" w:eastAsia="Futura PT Book" w:hAnsi="Arial" w:cs="Futura PT Book"/>
      <w:lang w:bidi="en-US"/>
    </w:rPr>
  </w:style>
  <w:style w:type="paragraph" w:styleId="CommentText">
    <w:name w:val="annotation text"/>
    <w:basedOn w:val="Normal"/>
    <w:link w:val="CommentTextChar"/>
    <w:uiPriority w:val="99"/>
    <w:semiHidden/>
    <w:unhideWhenUsed/>
    <w:rsid w:val="00DB6474"/>
    <w:rPr>
      <w:sz w:val="20"/>
      <w:szCs w:val="20"/>
    </w:rPr>
  </w:style>
  <w:style w:type="character" w:customStyle="1" w:styleId="CommentTextChar">
    <w:name w:val="Comment Text Char"/>
    <w:basedOn w:val="DefaultParagraphFont"/>
    <w:link w:val="CommentText"/>
    <w:uiPriority w:val="99"/>
    <w:semiHidden/>
    <w:rsid w:val="00DB6474"/>
    <w:rPr>
      <w:rFonts w:ascii="Arial" w:eastAsia="Futura PT Book" w:hAnsi="Arial" w:cs="Futura PT Book"/>
      <w:sz w:val="20"/>
      <w:szCs w:val="20"/>
      <w:lang w:bidi="en-US"/>
    </w:rPr>
  </w:style>
  <w:style w:type="paragraph" w:styleId="CommentSubject">
    <w:name w:val="annotation subject"/>
    <w:basedOn w:val="CommentText"/>
    <w:next w:val="CommentText"/>
    <w:link w:val="CommentSubjectChar"/>
    <w:uiPriority w:val="99"/>
    <w:semiHidden/>
    <w:unhideWhenUsed/>
    <w:rsid w:val="00DB6474"/>
    <w:rPr>
      <w:b/>
      <w:bCs/>
    </w:rPr>
  </w:style>
  <w:style w:type="character" w:customStyle="1" w:styleId="CommentSubjectChar">
    <w:name w:val="Comment Subject Char"/>
    <w:basedOn w:val="CommentTextChar"/>
    <w:link w:val="CommentSubject"/>
    <w:uiPriority w:val="99"/>
    <w:semiHidden/>
    <w:rsid w:val="00DB6474"/>
    <w:rPr>
      <w:rFonts w:ascii="Arial" w:eastAsia="Futura PT Book" w:hAnsi="Arial" w:cs="Futura PT Book"/>
      <w:b/>
      <w:bCs/>
      <w:sz w:val="20"/>
      <w:szCs w:val="20"/>
      <w:lang w:bidi="en-US"/>
    </w:rPr>
  </w:style>
  <w:style w:type="paragraph" w:styleId="Date">
    <w:name w:val="Date"/>
    <w:basedOn w:val="Normal"/>
    <w:next w:val="Normal"/>
    <w:link w:val="DateChar"/>
    <w:uiPriority w:val="99"/>
    <w:semiHidden/>
    <w:unhideWhenUsed/>
    <w:rsid w:val="00DB6474"/>
  </w:style>
  <w:style w:type="character" w:customStyle="1" w:styleId="DateChar">
    <w:name w:val="Date Char"/>
    <w:basedOn w:val="DefaultParagraphFont"/>
    <w:link w:val="Date"/>
    <w:uiPriority w:val="99"/>
    <w:semiHidden/>
    <w:rsid w:val="00DB6474"/>
    <w:rPr>
      <w:rFonts w:ascii="Arial" w:eastAsia="Futura PT Book" w:hAnsi="Arial" w:cs="Futura PT Book"/>
      <w:lang w:bidi="en-US"/>
    </w:rPr>
  </w:style>
  <w:style w:type="paragraph" w:styleId="DocumentMap">
    <w:name w:val="Document Map"/>
    <w:basedOn w:val="Normal"/>
    <w:link w:val="DocumentMapChar"/>
    <w:uiPriority w:val="99"/>
    <w:semiHidden/>
    <w:unhideWhenUsed/>
    <w:rsid w:val="00DB6474"/>
    <w:rPr>
      <w:rFonts w:ascii="Segoe UI" w:hAnsi="Segoe UI" w:cs="Segoe UI"/>
      <w:sz w:val="16"/>
      <w:szCs w:val="16"/>
    </w:rPr>
  </w:style>
  <w:style w:type="character" w:customStyle="1" w:styleId="DocumentMapChar">
    <w:name w:val="Document Map Char"/>
    <w:basedOn w:val="DefaultParagraphFont"/>
    <w:link w:val="DocumentMap"/>
    <w:uiPriority w:val="99"/>
    <w:semiHidden/>
    <w:rsid w:val="00DB6474"/>
    <w:rPr>
      <w:rFonts w:ascii="Segoe UI" w:eastAsia="Futura PT Book" w:hAnsi="Segoe UI" w:cs="Segoe UI"/>
      <w:sz w:val="16"/>
      <w:szCs w:val="16"/>
      <w:lang w:bidi="en-US"/>
    </w:rPr>
  </w:style>
  <w:style w:type="paragraph" w:styleId="E-mailSignature">
    <w:name w:val="E-mail Signature"/>
    <w:basedOn w:val="Normal"/>
    <w:link w:val="E-mailSignatureChar"/>
    <w:uiPriority w:val="99"/>
    <w:semiHidden/>
    <w:unhideWhenUsed/>
    <w:rsid w:val="00DB6474"/>
  </w:style>
  <w:style w:type="character" w:customStyle="1" w:styleId="E-mailSignatureChar">
    <w:name w:val="E-mail Signature Char"/>
    <w:basedOn w:val="DefaultParagraphFont"/>
    <w:link w:val="E-mailSignature"/>
    <w:uiPriority w:val="99"/>
    <w:semiHidden/>
    <w:rsid w:val="00DB6474"/>
    <w:rPr>
      <w:rFonts w:ascii="Arial" w:eastAsia="Futura PT Book" w:hAnsi="Arial" w:cs="Futura PT Book"/>
      <w:lang w:bidi="en-US"/>
    </w:rPr>
  </w:style>
  <w:style w:type="paragraph" w:styleId="EndnoteText">
    <w:name w:val="endnote text"/>
    <w:basedOn w:val="Normal"/>
    <w:link w:val="EndnoteTextChar"/>
    <w:uiPriority w:val="99"/>
    <w:semiHidden/>
    <w:unhideWhenUsed/>
    <w:rsid w:val="00DB6474"/>
    <w:rPr>
      <w:sz w:val="20"/>
      <w:szCs w:val="20"/>
    </w:rPr>
  </w:style>
  <w:style w:type="character" w:customStyle="1" w:styleId="EndnoteTextChar">
    <w:name w:val="Endnote Text Char"/>
    <w:basedOn w:val="DefaultParagraphFont"/>
    <w:link w:val="EndnoteText"/>
    <w:uiPriority w:val="99"/>
    <w:semiHidden/>
    <w:rsid w:val="00DB6474"/>
    <w:rPr>
      <w:rFonts w:ascii="Arial" w:eastAsia="Futura PT Book" w:hAnsi="Arial" w:cs="Futura PT Book"/>
      <w:sz w:val="20"/>
      <w:szCs w:val="20"/>
      <w:lang w:bidi="en-US"/>
    </w:rPr>
  </w:style>
  <w:style w:type="paragraph" w:styleId="EnvelopeAddress">
    <w:name w:val="envelope address"/>
    <w:basedOn w:val="Normal"/>
    <w:uiPriority w:val="99"/>
    <w:semiHidden/>
    <w:unhideWhenUsed/>
    <w:rsid w:val="00DB6474"/>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DB6474"/>
    <w:rPr>
      <w:rFonts w:asciiTheme="majorHAnsi" w:eastAsiaTheme="majorEastAsia" w:hAnsiTheme="majorHAnsi" w:cstheme="majorBidi"/>
      <w:sz w:val="20"/>
      <w:szCs w:val="20"/>
    </w:rPr>
  </w:style>
  <w:style w:type="character" w:customStyle="1" w:styleId="Heading5Char">
    <w:name w:val="Heading 5 Char"/>
    <w:basedOn w:val="DefaultParagraphFont"/>
    <w:link w:val="Heading5"/>
    <w:uiPriority w:val="9"/>
    <w:semiHidden/>
    <w:rsid w:val="00DB6474"/>
    <w:rPr>
      <w:rFonts w:asciiTheme="majorHAnsi" w:eastAsiaTheme="majorEastAsia" w:hAnsiTheme="majorHAnsi" w:cstheme="majorBidi"/>
      <w:color w:val="5C9935" w:themeColor="accent1" w:themeShade="BF"/>
      <w:lang w:bidi="en-US"/>
    </w:rPr>
  </w:style>
  <w:style w:type="character" w:customStyle="1" w:styleId="Heading6Char">
    <w:name w:val="Heading 6 Char"/>
    <w:basedOn w:val="DefaultParagraphFont"/>
    <w:link w:val="Heading6"/>
    <w:uiPriority w:val="9"/>
    <w:semiHidden/>
    <w:rsid w:val="00DB6474"/>
    <w:rPr>
      <w:rFonts w:asciiTheme="majorHAnsi" w:eastAsiaTheme="majorEastAsia" w:hAnsiTheme="majorHAnsi" w:cstheme="majorBidi"/>
      <w:color w:val="3D6623" w:themeColor="accent1" w:themeShade="7F"/>
      <w:lang w:bidi="en-US"/>
    </w:rPr>
  </w:style>
  <w:style w:type="character" w:customStyle="1" w:styleId="Heading7Char">
    <w:name w:val="Heading 7 Char"/>
    <w:basedOn w:val="DefaultParagraphFont"/>
    <w:link w:val="Heading7"/>
    <w:uiPriority w:val="9"/>
    <w:semiHidden/>
    <w:rsid w:val="00DB6474"/>
    <w:rPr>
      <w:rFonts w:asciiTheme="majorHAnsi" w:eastAsiaTheme="majorEastAsia" w:hAnsiTheme="majorHAnsi" w:cstheme="majorBidi"/>
      <w:i/>
      <w:iCs/>
      <w:color w:val="3D6623" w:themeColor="accent1" w:themeShade="7F"/>
      <w:lang w:bidi="en-US"/>
    </w:rPr>
  </w:style>
  <w:style w:type="character" w:customStyle="1" w:styleId="Heading8Char">
    <w:name w:val="Heading 8 Char"/>
    <w:basedOn w:val="DefaultParagraphFont"/>
    <w:link w:val="Heading8"/>
    <w:uiPriority w:val="9"/>
    <w:semiHidden/>
    <w:rsid w:val="00DB6474"/>
    <w:rPr>
      <w:rFonts w:asciiTheme="majorHAnsi" w:eastAsiaTheme="majorEastAsia" w:hAnsiTheme="majorHAnsi" w:cstheme="majorBidi"/>
      <w:color w:val="00825E" w:themeColor="text1" w:themeTint="D8"/>
      <w:sz w:val="21"/>
      <w:szCs w:val="21"/>
      <w:lang w:bidi="en-US"/>
    </w:rPr>
  </w:style>
  <w:style w:type="character" w:customStyle="1" w:styleId="Heading9Char">
    <w:name w:val="Heading 9 Char"/>
    <w:basedOn w:val="DefaultParagraphFont"/>
    <w:link w:val="Heading9"/>
    <w:uiPriority w:val="9"/>
    <w:semiHidden/>
    <w:rsid w:val="00DB6474"/>
    <w:rPr>
      <w:rFonts w:asciiTheme="majorHAnsi" w:eastAsiaTheme="majorEastAsia" w:hAnsiTheme="majorHAnsi" w:cstheme="majorBidi"/>
      <w:i/>
      <w:iCs/>
      <w:color w:val="00825E" w:themeColor="text1" w:themeTint="D8"/>
      <w:sz w:val="21"/>
      <w:szCs w:val="21"/>
      <w:lang w:bidi="en-US"/>
    </w:rPr>
  </w:style>
  <w:style w:type="paragraph" w:styleId="HTMLAddress">
    <w:name w:val="HTML Address"/>
    <w:basedOn w:val="Normal"/>
    <w:link w:val="HTMLAddressChar"/>
    <w:uiPriority w:val="99"/>
    <w:semiHidden/>
    <w:unhideWhenUsed/>
    <w:rsid w:val="00DB6474"/>
    <w:rPr>
      <w:i/>
      <w:iCs/>
    </w:rPr>
  </w:style>
  <w:style w:type="character" w:customStyle="1" w:styleId="HTMLAddressChar">
    <w:name w:val="HTML Address Char"/>
    <w:basedOn w:val="DefaultParagraphFont"/>
    <w:link w:val="HTMLAddress"/>
    <w:uiPriority w:val="99"/>
    <w:semiHidden/>
    <w:rsid w:val="00DB6474"/>
    <w:rPr>
      <w:rFonts w:ascii="Arial" w:eastAsia="Futura PT Book" w:hAnsi="Arial" w:cs="Futura PT Book"/>
      <w:i/>
      <w:iCs/>
      <w:lang w:bidi="en-US"/>
    </w:rPr>
  </w:style>
  <w:style w:type="paragraph" w:styleId="HTMLPreformatted">
    <w:name w:val="HTML Preformatted"/>
    <w:basedOn w:val="Normal"/>
    <w:link w:val="HTMLPreformattedChar"/>
    <w:uiPriority w:val="99"/>
    <w:semiHidden/>
    <w:unhideWhenUsed/>
    <w:rsid w:val="00DB6474"/>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DB6474"/>
    <w:rPr>
      <w:rFonts w:ascii="Consolas" w:eastAsia="Futura PT Book" w:hAnsi="Consolas" w:cs="Futura PT Book"/>
      <w:sz w:val="20"/>
      <w:szCs w:val="20"/>
      <w:lang w:bidi="en-US"/>
    </w:rPr>
  </w:style>
  <w:style w:type="paragraph" w:styleId="Index1">
    <w:name w:val="index 1"/>
    <w:basedOn w:val="Normal"/>
    <w:next w:val="Normal"/>
    <w:autoRedefine/>
    <w:uiPriority w:val="99"/>
    <w:semiHidden/>
    <w:unhideWhenUsed/>
    <w:rsid w:val="00DB6474"/>
    <w:pPr>
      <w:ind w:left="220" w:hanging="220"/>
    </w:pPr>
  </w:style>
  <w:style w:type="paragraph" w:styleId="Index2">
    <w:name w:val="index 2"/>
    <w:basedOn w:val="Normal"/>
    <w:next w:val="Normal"/>
    <w:autoRedefine/>
    <w:uiPriority w:val="99"/>
    <w:semiHidden/>
    <w:unhideWhenUsed/>
    <w:rsid w:val="00DB6474"/>
    <w:pPr>
      <w:ind w:left="440" w:hanging="220"/>
    </w:pPr>
  </w:style>
  <w:style w:type="paragraph" w:styleId="Index3">
    <w:name w:val="index 3"/>
    <w:basedOn w:val="Normal"/>
    <w:next w:val="Normal"/>
    <w:autoRedefine/>
    <w:uiPriority w:val="99"/>
    <w:semiHidden/>
    <w:unhideWhenUsed/>
    <w:rsid w:val="00DB6474"/>
    <w:pPr>
      <w:ind w:left="660" w:hanging="220"/>
    </w:pPr>
  </w:style>
  <w:style w:type="paragraph" w:styleId="Index4">
    <w:name w:val="index 4"/>
    <w:basedOn w:val="Normal"/>
    <w:next w:val="Normal"/>
    <w:autoRedefine/>
    <w:uiPriority w:val="99"/>
    <w:semiHidden/>
    <w:unhideWhenUsed/>
    <w:rsid w:val="00DB6474"/>
    <w:pPr>
      <w:ind w:left="880" w:hanging="220"/>
    </w:pPr>
  </w:style>
  <w:style w:type="paragraph" w:styleId="Index5">
    <w:name w:val="index 5"/>
    <w:basedOn w:val="Normal"/>
    <w:next w:val="Normal"/>
    <w:autoRedefine/>
    <w:uiPriority w:val="99"/>
    <w:semiHidden/>
    <w:unhideWhenUsed/>
    <w:rsid w:val="00DB6474"/>
    <w:pPr>
      <w:ind w:left="1100" w:hanging="220"/>
    </w:pPr>
  </w:style>
  <w:style w:type="paragraph" w:styleId="Index6">
    <w:name w:val="index 6"/>
    <w:basedOn w:val="Normal"/>
    <w:next w:val="Normal"/>
    <w:autoRedefine/>
    <w:uiPriority w:val="99"/>
    <w:semiHidden/>
    <w:unhideWhenUsed/>
    <w:rsid w:val="00DB6474"/>
    <w:pPr>
      <w:ind w:left="1320" w:hanging="220"/>
    </w:pPr>
  </w:style>
  <w:style w:type="paragraph" w:styleId="Index7">
    <w:name w:val="index 7"/>
    <w:basedOn w:val="Normal"/>
    <w:next w:val="Normal"/>
    <w:autoRedefine/>
    <w:uiPriority w:val="99"/>
    <w:semiHidden/>
    <w:unhideWhenUsed/>
    <w:rsid w:val="00DB6474"/>
    <w:pPr>
      <w:ind w:left="1540" w:hanging="220"/>
    </w:pPr>
  </w:style>
  <w:style w:type="paragraph" w:styleId="Index8">
    <w:name w:val="index 8"/>
    <w:basedOn w:val="Normal"/>
    <w:next w:val="Normal"/>
    <w:autoRedefine/>
    <w:uiPriority w:val="99"/>
    <w:semiHidden/>
    <w:unhideWhenUsed/>
    <w:rsid w:val="00DB6474"/>
    <w:pPr>
      <w:ind w:left="1760" w:hanging="220"/>
    </w:pPr>
  </w:style>
  <w:style w:type="paragraph" w:styleId="Index9">
    <w:name w:val="index 9"/>
    <w:basedOn w:val="Normal"/>
    <w:next w:val="Normal"/>
    <w:autoRedefine/>
    <w:uiPriority w:val="99"/>
    <w:semiHidden/>
    <w:unhideWhenUsed/>
    <w:rsid w:val="00DB6474"/>
    <w:pPr>
      <w:ind w:left="1980" w:hanging="220"/>
    </w:pPr>
  </w:style>
  <w:style w:type="paragraph" w:styleId="IndexHeading">
    <w:name w:val="index heading"/>
    <w:basedOn w:val="Normal"/>
    <w:next w:val="Index1"/>
    <w:uiPriority w:val="99"/>
    <w:semiHidden/>
    <w:unhideWhenUsed/>
    <w:rsid w:val="00DB6474"/>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DB6474"/>
    <w:pPr>
      <w:pBdr>
        <w:top w:val="single" w:sz="4" w:space="10" w:color="7EC352" w:themeColor="accent1"/>
        <w:bottom w:val="single" w:sz="4" w:space="10" w:color="7EC352" w:themeColor="accent1"/>
      </w:pBdr>
      <w:spacing w:before="360" w:after="360"/>
      <w:ind w:left="864" w:right="864"/>
      <w:jc w:val="center"/>
    </w:pPr>
    <w:rPr>
      <w:i/>
      <w:iCs/>
      <w:color w:val="7EC352" w:themeColor="accent1"/>
    </w:rPr>
  </w:style>
  <w:style w:type="character" w:customStyle="1" w:styleId="IntenseQuoteChar">
    <w:name w:val="Intense Quote Char"/>
    <w:basedOn w:val="DefaultParagraphFont"/>
    <w:link w:val="IntenseQuote"/>
    <w:uiPriority w:val="30"/>
    <w:rsid w:val="00DB6474"/>
    <w:rPr>
      <w:rFonts w:ascii="Arial" w:eastAsia="Futura PT Book" w:hAnsi="Arial" w:cs="Futura PT Book"/>
      <w:i/>
      <w:iCs/>
      <w:color w:val="7EC352" w:themeColor="accent1"/>
      <w:lang w:bidi="en-US"/>
    </w:rPr>
  </w:style>
  <w:style w:type="paragraph" w:styleId="List">
    <w:name w:val="List"/>
    <w:basedOn w:val="Normal"/>
    <w:uiPriority w:val="99"/>
    <w:semiHidden/>
    <w:unhideWhenUsed/>
    <w:rsid w:val="00DB6474"/>
    <w:pPr>
      <w:ind w:left="283" w:hanging="283"/>
      <w:contextualSpacing/>
    </w:pPr>
  </w:style>
  <w:style w:type="paragraph" w:styleId="List2">
    <w:name w:val="List 2"/>
    <w:basedOn w:val="Normal"/>
    <w:uiPriority w:val="99"/>
    <w:semiHidden/>
    <w:unhideWhenUsed/>
    <w:rsid w:val="00DB6474"/>
    <w:pPr>
      <w:ind w:left="566" w:hanging="283"/>
      <w:contextualSpacing/>
    </w:pPr>
  </w:style>
  <w:style w:type="paragraph" w:styleId="List3">
    <w:name w:val="List 3"/>
    <w:basedOn w:val="Normal"/>
    <w:uiPriority w:val="99"/>
    <w:semiHidden/>
    <w:unhideWhenUsed/>
    <w:rsid w:val="00DB6474"/>
    <w:pPr>
      <w:ind w:left="849" w:hanging="283"/>
      <w:contextualSpacing/>
    </w:pPr>
  </w:style>
  <w:style w:type="paragraph" w:styleId="List4">
    <w:name w:val="List 4"/>
    <w:basedOn w:val="Normal"/>
    <w:uiPriority w:val="99"/>
    <w:semiHidden/>
    <w:unhideWhenUsed/>
    <w:rsid w:val="00DB6474"/>
    <w:pPr>
      <w:ind w:left="1132" w:hanging="283"/>
      <w:contextualSpacing/>
    </w:pPr>
  </w:style>
  <w:style w:type="paragraph" w:styleId="List5">
    <w:name w:val="List 5"/>
    <w:basedOn w:val="Normal"/>
    <w:uiPriority w:val="99"/>
    <w:semiHidden/>
    <w:unhideWhenUsed/>
    <w:rsid w:val="00DB6474"/>
    <w:pPr>
      <w:ind w:left="1415" w:hanging="283"/>
      <w:contextualSpacing/>
    </w:pPr>
  </w:style>
  <w:style w:type="paragraph" w:styleId="ListBullet">
    <w:name w:val="List Bullet"/>
    <w:basedOn w:val="Normal"/>
    <w:uiPriority w:val="99"/>
    <w:semiHidden/>
    <w:unhideWhenUsed/>
    <w:rsid w:val="00DB6474"/>
    <w:pPr>
      <w:numPr>
        <w:numId w:val="5"/>
      </w:numPr>
      <w:contextualSpacing/>
    </w:pPr>
  </w:style>
  <w:style w:type="paragraph" w:styleId="ListBullet2">
    <w:name w:val="List Bullet 2"/>
    <w:basedOn w:val="Normal"/>
    <w:uiPriority w:val="99"/>
    <w:semiHidden/>
    <w:unhideWhenUsed/>
    <w:rsid w:val="00DB6474"/>
    <w:pPr>
      <w:numPr>
        <w:numId w:val="6"/>
      </w:numPr>
      <w:contextualSpacing/>
    </w:pPr>
  </w:style>
  <w:style w:type="paragraph" w:styleId="ListBullet3">
    <w:name w:val="List Bullet 3"/>
    <w:basedOn w:val="Normal"/>
    <w:uiPriority w:val="99"/>
    <w:semiHidden/>
    <w:unhideWhenUsed/>
    <w:rsid w:val="00DB6474"/>
    <w:pPr>
      <w:numPr>
        <w:numId w:val="7"/>
      </w:numPr>
      <w:contextualSpacing/>
    </w:pPr>
  </w:style>
  <w:style w:type="paragraph" w:styleId="ListBullet4">
    <w:name w:val="List Bullet 4"/>
    <w:basedOn w:val="Normal"/>
    <w:uiPriority w:val="99"/>
    <w:semiHidden/>
    <w:unhideWhenUsed/>
    <w:rsid w:val="00DB6474"/>
    <w:pPr>
      <w:numPr>
        <w:numId w:val="8"/>
      </w:numPr>
      <w:contextualSpacing/>
    </w:pPr>
  </w:style>
  <w:style w:type="paragraph" w:styleId="ListBullet5">
    <w:name w:val="List Bullet 5"/>
    <w:basedOn w:val="Normal"/>
    <w:uiPriority w:val="99"/>
    <w:semiHidden/>
    <w:unhideWhenUsed/>
    <w:rsid w:val="00DB6474"/>
    <w:pPr>
      <w:numPr>
        <w:numId w:val="9"/>
      </w:numPr>
      <w:contextualSpacing/>
    </w:pPr>
  </w:style>
  <w:style w:type="paragraph" w:styleId="ListContinue">
    <w:name w:val="List Continue"/>
    <w:basedOn w:val="Normal"/>
    <w:uiPriority w:val="99"/>
    <w:semiHidden/>
    <w:unhideWhenUsed/>
    <w:rsid w:val="00DB6474"/>
    <w:pPr>
      <w:spacing w:after="120"/>
      <w:ind w:left="283"/>
      <w:contextualSpacing/>
    </w:pPr>
  </w:style>
  <w:style w:type="paragraph" w:styleId="ListContinue2">
    <w:name w:val="List Continue 2"/>
    <w:basedOn w:val="Normal"/>
    <w:uiPriority w:val="99"/>
    <w:semiHidden/>
    <w:unhideWhenUsed/>
    <w:rsid w:val="00DB6474"/>
    <w:pPr>
      <w:spacing w:after="120"/>
      <w:ind w:left="566"/>
      <w:contextualSpacing/>
    </w:pPr>
  </w:style>
  <w:style w:type="paragraph" w:styleId="ListContinue3">
    <w:name w:val="List Continue 3"/>
    <w:basedOn w:val="Normal"/>
    <w:uiPriority w:val="99"/>
    <w:semiHidden/>
    <w:unhideWhenUsed/>
    <w:rsid w:val="00DB6474"/>
    <w:pPr>
      <w:spacing w:after="120"/>
      <w:ind w:left="849"/>
      <w:contextualSpacing/>
    </w:pPr>
  </w:style>
  <w:style w:type="paragraph" w:styleId="ListContinue4">
    <w:name w:val="List Continue 4"/>
    <w:basedOn w:val="Normal"/>
    <w:uiPriority w:val="99"/>
    <w:semiHidden/>
    <w:unhideWhenUsed/>
    <w:rsid w:val="00DB6474"/>
    <w:pPr>
      <w:spacing w:after="120"/>
      <w:ind w:left="1132"/>
      <w:contextualSpacing/>
    </w:pPr>
  </w:style>
  <w:style w:type="paragraph" w:styleId="ListContinue5">
    <w:name w:val="List Continue 5"/>
    <w:basedOn w:val="Normal"/>
    <w:uiPriority w:val="99"/>
    <w:semiHidden/>
    <w:unhideWhenUsed/>
    <w:rsid w:val="00DB6474"/>
    <w:pPr>
      <w:spacing w:after="120"/>
      <w:ind w:left="1415"/>
      <w:contextualSpacing/>
    </w:pPr>
  </w:style>
  <w:style w:type="paragraph" w:styleId="ListNumber">
    <w:name w:val="List Number"/>
    <w:basedOn w:val="Normal"/>
    <w:uiPriority w:val="99"/>
    <w:semiHidden/>
    <w:unhideWhenUsed/>
    <w:rsid w:val="00DB6474"/>
    <w:pPr>
      <w:numPr>
        <w:numId w:val="10"/>
      </w:numPr>
      <w:contextualSpacing/>
    </w:pPr>
  </w:style>
  <w:style w:type="paragraph" w:styleId="ListNumber2">
    <w:name w:val="List Number 2"/>
    <w:basedOn w:val="Normal"/>
    <w:uiPriority w:val="99"/>
    <w:semiHidden/>
    <w:unhideWhenUsed/>
    <w:rsid w:val="00DB6474"/>
    <w:pPr>
      <w:numPr>
        <w:numId w:val="11"/>
      </w:numPr>
      <w:contextualSpacing/>
    </w:pPr>
  </w:style>
  <w:style w:type="paragraph" w:styleId="ListNumber3">
    <w:name w:val="List Number 3"/>
    <w:basedOn w:val="Normal"/>
    <w:uiPriority w:val="99"/>
    <w:semiHidden/>
    <w:unhideWhenUsed/>
    <w:rsid w:val="00DB6474"/>
    <w:pPr>
      <w:numPr>
        <w:numId w:val="12"/>
      </w:numPr>
      <w:contextualSpacing/>
    </w:pPr>
  </w:style>
  <w:style w:type="paragraph" w:styleId="ListNumber4">
    <w:name w:val="List Number 4"/>
    <w:basedOn w:val="Normal"/>
    <w:uiPriority w:val="99"/>
    <w:semiHidden/>
    <w:unhideWhenUsed/>
    <w:rsid w:val="00DB6474"/>
    <w:pPr>
      <w:numPr>
        <w:numId w:val="13"/>
      </w:numPr>
      <w:contextualSpacing/>
    </w:pPr>
  </w:style>
  <w:style w:type="paragraph" w:styleId="ListNumber5">
    <w:name w:val="List Number 5"/>
    <w:basedOn w:val="Normal"/>
    <w:uiPriority w:val="99"/>
    <w:semiHidden/>
    <w:unhideWhenUsed/>
    <w:rsid w:val="00DB6474"/>
    <w:pPr>
      <w:numPr>
        <w:numId w:val="14"/>
      </w:numPr>
      <w:contextualSpacing/>
    </w:pPr>
  </w:style>
  <w:style w:type="paragraph" w:styleId="MacroText">
    <w:name w:val="macro"/>
    <w:link w:val="MacroTextChar"/>
    <w:uiPriority w:val="99"/>
    <w:semiHidden/>
    <w:unhideWhenUsed/>
    <w:rsid w:val="00DB6474"/>
    <w:pPr>
      <w:tabs>
        <w:tab w:val="left" w:pos="480"/>
        <w:tab w:val="left" w:pos="960"/>
        <w:tab w:val="left" w:pos="1440"/>
        <w:tab w:val="left" w:pos="1920"/>
        <w:tab w:val="left" w:pos="2400"/>
        <w:tab w:val="left" w:pos="2880"/>
        <w:tab w:val="left" w:pos="3360"/>
        <w:tab w:val="left" w:pos="3840"/>
        <w:tab w:val="left" w:pos="4320"/>
      </w:tabs>
    </w:pPr>
    <w:rPr>
      <w:rFonts w:ascii="Consolas" w:eastAsia="Futura PT Book" w:hAnsi="Consolas" w:cs="Futura PT Book"/>
      <w:sz w:val="20"/>
      <w:szCs w:val="20"/>
      <w:lang w:bidi="en-US"/>
    </w:rPr>
  </w:style>
  <w:style w:type="character" w:customStyle="1" w:styleId="MacroTextChar">
    <w:name w:val="Macro Text Char"/>
    <w:basedOn w:val="DefaultParagraphFont"/>
    <w:link w:val="MacroText"/>
    <w:uiPriority w:val="99"/>
    <w:semiHidden/>
    <w:rsid w:val="00DB6474"/>
    <w:rPr>
      <w:rFonts w:ascii="Consolas" w:eastAsia="Futura PT Book" w:hAnsi="Consolas" w:cs="Futura PT Book"/>
      <w:sz w:val="20"/>
      <w:szCs w:val="20"/>
      <w:lang w:bidi="en-US"/>
    </w:rPr>
  </w:style>
  <w:style w:type="paragraph" w:styleId="MessageHeader">
    <w:name w:val="Message Header"/>
    <w:basedOn w:val="Normal"/>
    <w:link w:val="MessageHeaderChar"/>
    <w:uiPriority w:val="99"/>
    <w:semiHidden/>
    <w:unhideWhenUsed/>
    <w:rsid w:val="00DB6474"/>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DB6474"/>
    <w:rPr>
      <w:rFonts w:asciiTheme="majorHAnsi" w:eastAsiaTheme="majorEastAsia" w:hAnsiTheme="majorHAnsi" w:cstheme="majorBidi"/>
      <w:sz w:val="24"/>
      <w:szCs w:val="24"/>
      <w:shd w:val="pct20" w:color="auto" w:fill="auto"/>
      <w:lang w:bidi="en-US"/>
    </w:rPr>
  </w:style>
  <w:style w:type="paragraph" w:styleId="NormalWeb">
    <w:name w:val="Normal (Web)"/>
    <w:basedOn w:val="Normal"/>
    <w:uiPriority w:val="99"/>
    <w:semiHidden/>
    <w:unhideWhenUsed/>
    <w:rsid w:val="00DB6474"/>
    <w:rPr>
      <w:rFonts w:ascii="Times New Roman" w:hAnsi="Times New Roman" w:cs="Times New Roman"/>
      <w:sz w:val="24"/>
      <w:szCs w:val="24"/>
    </w:rPr>
  </w:style>
  <w:style w:type="paragraph" w:styleId="NormalIndent">
    <w:name w:val="Normal Indent"/>
    <w:basedOn w:val="Normal"/>
    <w:uiPriority w:val="99"/>
    <w:semiHidden/>
    <w:unhideWhenUsed/>
    <w:rsid w:val="00DB6474"/>
    <w:pPr>
      <w:ind w:left="720"/>
    </w:pPr>
  </w:style>
  <w:style w:type="paragraph" w:styleId="NoteHeading">
    <w:name w:val="Note Heading"/>
    <w:basedOn w:val="Normal"/>
    <w:next w:val="Normal"/>
    <w:link w:val="NoteHeadingChar"/>
    <w:uiPriority w:val="99"/>
    <w:semiHidden/>
    <w:unhideWhenUsed/>
    <w:rsid w:val="00DB6474"/>
  </w:style>
  <w:style w:type="character" w:customStyle="1" w:styleId="NoteHeadingChar">
    <w:name w:val="Note Heading Char"/>
    <w:basedOn w:val="DefaultParagraphFont"/>
    <w:link w:val="NoteHeading"/>
    <w:uiPriority w:val="99"/>
    <w:semiHidden/>
    <w:rsid w:val="00DB6474"/>
    <w:rPr>
      <w:rFonts w:ascii="Arial" w:eastAsia="Futura PT Book" w:hAnsi="Arial" w:cs="Futura PT Book"/>
      <w:lang w:bidi="en-US"/>
    </w:rPr>
  </w:style>
  <w:style w:type="paragraph" w:styleId="PlainText">
    <w:name w:val="Plain Text"/>
    <w:basedOn w:val="Normal"/>
    <w:link w:val="PlainTextChar"/>
    <w:uiPriority w:val="99"/>
    <w:semiHidden/>
    <w:unhideWhenUsed/>
    <w:rsid w:val="00DB6474"/>
    <w:rPr>
      <w:rFonts w:ascii="Consolas" w:hAnsi="Consolas"/>
      <w:sz w:val="21"/>
      <w:szCs w:val="21"/>
    </w:rPr>
  </w:style>
  <w:style w:type="character" w:customStyle="1" w:styleId="PlainTextChar">
    <w:name w:val="Plain Text Char"/>
    <w:basedOn w:val="DefaultParagraphFont"/>
    <w:link w:val="PlainText"/>
    <w:uiPriority w:val="99"/>
    <w:semiHidden/>
    <w:rsid w:val="00DB6474"/>
    <w:rPr>
      <w:rFonts w:ascii="Consolas" w:eastAsia="Futura PT Book" w:hAnsi="Consolas" w:cs="Futura PT Book"/>
      <w:sz w:val="21"/>
      <w:szCs w:val="21"/>
      <w:lang w:bidi="en-US"/>
    </w:rPr>
  </w:style>
  <w:style w:type="paragraph" w:styleId="Quote">
    <w:name w:val="Quote"/>
    <w:basedOn w:val="Normal"/>
    <w:next w:val="Normal"/>
    <w:link w:val="QuoteChar"/>
    <w:uiPriority w:val="29"/>
    <w:rsid w:val="00DB6474"/>
    <w:pPr>
      <w:spacing w:before="200" w:after="160"/>
      <w:ind w:left="864" w:right="864"/>
      <w:jc w:val="center"/>
    </w:pPr>
    <w:rPr>
      <w:i/>
      <w:iCs/>
      <w:color w:val="00AE7E" w:themeColor="text1" w:themeTint="BF"/>
    </w:rPr>
  </w:style>
  <w:style w:type="character" w:customStyle="1" w:styleId="QuoteChar">
    <w:name w:val="Quote Char"/>
    <w:basedOn w:val="DefaultParagraphFont"/>
    <w:link w:val="Quote"/>
    <w:uiPriority w:val="29"/>
    <w:rsid w:val="00DB6474"/>
    <w:rPr>
      <w:rFonts w:ascii="Arial" w:eastAsia="Futura PT Book" w:hAnsi="Arial" w:cs="Futura PT Book"/>
      <w:i/>
      <w:iCs/>
      <w:color w:val="00AE7E" w:themeColor="text1" w:themeTint="BF"/>
      <w:lang w:bidi="en-US"/>
    </w:rPr>
  </w:style>
  <w:style w:type="paragraph" w:styleId="Salutation">
    <w:name w:val="Salutation"/>
    <w:basedOn w:val="Normal"/>
    <w:next w:val="Normal"/>
    <w:link w:val="SalutationChar"/>
    <w:uiPriority w:val="99"/>
    <w:semiHidden/>
    <w:unhideWhenUsed/>
    <w:rsid w:val="00DB6474"/>
  </w:style>
  <w:style w:type="character" w:customStyle="1" w:styleId="SalutationChar">
    <w:name w:val="Salutation Char"/>
    <w:basedOn w:val="DefaultParagraphFont"/>
    <w:link w:val="Salutation"/>
    <w:uiPriority w:val="99"/>
    <w:semiHidden/>
    <w:rsid w:val="00DB6474"/>
    <w:rPr>
      <w:rFonts w:ascii="Arial" w:eastAsia="Futura PT Book" w:hAnsi="Arial" w:cs="Futura PT Book"/>
      <w:lang w:bidi="en-US"/>
    </w:rPr>
  </w:style>
  <w:style w:type="paragraph" w:styleId="Signature">
    <w:name w:val="Signature"/>
    <w:basedOn w:val="Normal"/>
    <w:link w:val="SignatureChar"/>
    <w:uiPriority w:val="99"/>
    <w:semiHidden/>
    <w:unhideWhenUsed/>
    <w:rsid w:val="00DB6474"/>
    <w:pPr>
      <w:ind w:left="4252"/>
    </w:pPr>
  </w:style>
  <w:style w:type="character" w:customStyle="1" w:styleId="SignatureChar">
    <w:name w:val="Signature Char"/>
    <w:basedOn w:val="DefaultParagraphFont"/>
    <w:link w:val="Signature"/>
    <w:uiPriority w:val="99"/>
    <w:semiHidden/>
    <w:rsid w:val="00DB6474"/>
    <w:rPr>
      <w:rFonts w:ascii="Arial" w:eastAsia="Futura PT Book" w:hAnsi="Arial" w:cs="Futura PT Book"/>
      <w:lang w:bidi="en-US"/>
    </w:rPr>
  </w:style>
  <w:style w:type="paragraph" w:styleId="Subtitle">
    <w:name w:val="Subtitle"/>
    <w:basedOn w:val="Normal"/>
    <w:next w:val="Normal"/>
    <w:link w:val="SubtitleChar"/>
    <w:uiPriority w:val="11"/>
    <w:rsid w:val="00DB6474"/>
    <w:pPr>
      <w:numPr>
        <w:ilvl w:val="1"/>
      </w:numPr>
      <w:spacing w:after="160"/>
    </w:pPr>
    <w:rPr>
      <w:rFonts w:asciiTheme="minorHAnsi" w:eastAsiaTheme="minorEastAsia" w:hAnsiTheme="minorHAnsi" w:cstheme="minorBidi"/>
      <w:color w:val="00DC9F" w:themeColor="text1" w:themeTint="A5"/>
      <w:spacing w:val="15"/>
    </w:rPr>
  </w:style>
  <w:style w:type="character" w:customStyle="1" w:styleId="SubtitleChar">
    <w:name w:val="Subtitle Char"/>
    <w:basedOn w:val="DefaultParagraphFont"/>
    <w:link w:val="Subtitle"/>
    <w:uiPriority w:val="11"/>
    <w:rsid w:val="00DB6474"/>
    <w:rPr>
      <w:rFonts w:eastAsiaTheme="minorEastAsia"/>
      <w:color w:val="00DC9F" w:themeColor="text1" w:themeTint="A5"/>
      <w:spacing w:val="15"/>
      <w:lang w:bidi="en-US"/>
    </w:rPr>
  </w:style>
  <w:style w:type="paragraph" w:styleId="TableofAuthorities">
    <w:name w:val="table of authorities"/>
    <w:basedOn w:val="Normal"/>
    <w:next w:val="Normal"/>
    <w:uiPriority w:val="99"/>
    <w:semiHidden/>
    <w:unhideWhenUsed/>
    <w:rsid w:val="00DB6474"/>
    <w:pPr>
      <w:ind w:left="220" w:hanging="220"/>
    </w:pPr>
  </w:style>
  <w:style w:type="paragraph" w:styleId="TableofFigures">
    <w:name w:val="table of figures"/>
    <w:basedOn w:val="Normal"/>
    <w:next w:val="Normal"/>
    <w:uiPriority w:val="99"/>
    <w:semiHidden/>
    <w:unhideWhenUsed/>
    <w:rsid w:val="00DB6474"/>
  </w:style>
  <w:style w:type="paragraph" w:styleId="Title">
    <w:name w:val="Title"/>
    <w:basedOn w:val="Normal"/>
    <w:next w:val="Normal"/>
    <w:link w:val="TitleChar"/>
    <w:uiPriority w:val="10"/>
    <w:rsid w:val="00DB647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6474"/>
    <w:rPr>
      <w:rFonts w:asciiTheme="majorHAnsi" w:eastAsiaTheme="majorEastAsia" w:hAnsiTheme="majorHAnsi" w:cstheme="majorBidi"/>
      <w:spacing w:val="-10"/>
      <w:kern w:val="28"/>
      <w:sz w:val="56"/>
      <w:szCs w:val="56"/>
      <w:lang w:bidi="en-US"/>
    </w:rPr>
  </w:style>
  <w:style w:type="paragraph" w:styleId="TOAHeading">
    <w:name w:val="toa heading"/>
    <w:basedOn w:val="Normal"/>
    <w:next w:val="Normal"/>
    <w:uiPriority w:val="99"/>
    <w:semiHidden/>
    <w:unhideWhenUsed/>
    <w:rsid w:val="00DB6474"/>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DB6474"/>
    <w:pPr>
      <w:spacing w:after="100"/>
      <w:ind w:left="660"/>
    </w:pPr>
  </w:style>
  <w:style w:type="paragraph" w:styleId="TOC5">
    <w:name w:val="toc 5"/>
    <w:basedOn w:val="Normal"/>
    <w:next w:val="Normal"/>
    <w:autoRedefine/>
    <w:uiPriority w:val="39"/>
    <w:semiHidden/>
    <w:unhideWhenUsed/>
    <w:rsid w:val="00DB6474"/>
    <w:pPr>
      <w:spacing w:after="100"/>
      <w:ind w:left="880"/>
    </w:pPr>
  </w:style>
  <w:style w:type="paragraph" w:styleId="TOC6">
    <w:name w:val="toc 6"/>
    <w:basedOn w:val="Normal"/>
    <w:next w:val="Normal"/>
    <w:autoRedefine/>
    <w:uiPriority w:val="39"/>
    <w:semiHidden/>
    <w:unhideWhenUsed/>
    <w:rsid w:val="00DB6474"/>
    <w:pPr>
      <w:spacing w:after="100"/>
      <w:ind w:left="1100"/>
    </w:pPr>
  </w:style>
  <w:style w:type="paragraph" w:styleId="TOC7">
    <w:name w:val="toc 7"/>
    <w:basedOn w:val="Normal"/>
    <w:next w:val="Normal"/>
    <w:autoRedefine/>
    <w:uiPriority w:val="39"/>
    <w:semiHidden/>
    <w:unhideWhenUsed/>
    <w:rsid w:val="00DB6474"/>
    <w:pPr>
      <w:spacing w:after="100"/>
      <w:ind w:left="1320"/>
    </w:pPr>
  </w:style>
  <w:style w:type="paragraph" w:styleId="TOC8">
    <w:name w:val="toc 8"/>
    <w:basedOn w:val="Normal"/>
    <w:next w:val="Normal"/>
    <w:autoRedefine/>
    <w:uiPriority w:val="39"/>
    <w:semiHidden/>
    <w:unhideWhenUsed/>
    <w:rsid w:val="00DB6474"/>
    <w:pPr>
      <w:spacing w:after="100"/>
      <w:ind w:left="1540"/>
    </w:pPr>
  </w:style>
  <w:style w:type="paragraph" w:styleId="TOC9">
    <w:name w:val="toc 9"/>
    <w:basedOn w:val="Normal"/>
    <w:next w:val="Normal"/>
    <w:autoRedefine/>
    <w:uiPriority w:val="39"/>
    <w:semiHidden/>
    <w:unhideWhenUsed/>
    <w:rsid w:val="00DB6474"/>
    <w:pPr>
      <w:spacing w:after="100"/>
      <w:ind w:left="1760"/>
    </w:pPr>
  </w:style>
  <w:style w:type="paragraph" w:styleId="TOCHeading">
    <w:name w:val="TOC Heading"/>
    <w:basedOn w:val="Heading1"/>
    <w:next w:val="Normal"/>
    <w:uiPriority w:val="39"/>
    <w:semiHidden/>
    <w:unhideWhenUsed/>
    <w:qFormat/>
    <w:rsid w:val="00DB6474"/>
    <w:pPr>
      <w:keepNext/>
      <w:keepLines/>
      <w:spacing w:before="240" w:after="0"/>
      <w:outlineLvl w:val="9"/>
    </w:pPr>
    <w:rPr>
      <w:rFonts w:asciiTheme="majorHAnsi" w:eastAsiaTheme="majorEastAsia" w:hAnsiTheme="majorHAnsi" w:cstheme="majorBidi"/>
      <w:b w:val="0"/>
      <w:color w:val="5C9935" w:themeColor="accent1" w:themeShade="BF"/>
      <w:sz w:val="32"/>
      <w:szCs w:val="32"/>
    </w:rPr>
  </w:style>
  <w:style w:type="table" w:customStyle="1" w:styleId="IHPA">
    <w:name w:val="IHPA"/>
    <w:basedOn w:val="TableNormal"/>
    <w:uiPriority w:val="99"/>
    <w:rsid w:val="00CF1B45"/>
    <w:pPr>
      <w:widowControl/>
      <w:autoSpaceDE/>
      <w:autoSpaceDN/>
    </w:pPr>
    <w:rPr>
      <w:rFonts w:ascii="Arial" w:hAnsi="Arial"/>
      <w:sz w:val="18"/>
    </w:rPr>
    <w:tblPr/>
    <w:tblStylePr w:type="firstRow">
      <w:pPr>
        <w:jc w:val="left"/>
      </w:pPr>
      <w:rPr>
        <w:rFonts w:ascii="Arial" w:hAnsi="Arial"/>
        <w:sz w:val="18"/>
      </w:rPr>
      <w:tblPr/>
      <w:tcPr>
        <w:shd w:val="clear" w:color="auto" w:fill="003E2D" w:themeFill="text1"/>
        <w:vAlign w:val="center"/>
      </w:tcPr>
    </w:tblStylePr>
    <w:tblStylePr w:type="lastRow">
      <w:rPr>
        <w:rFonts w:ascii="Arial" w:hAnsi="Arial"/>
        <w:sz w:val="18"/>
      </w:rPr>
      <w:tblPr/>
      <w:tcPr>
        <w:shd w:val="clear" w:color="auto" w:fill="FFFFFF" w:themeFill="background1"/>
      </w:tcPr>
    </w:tblStylePr>
  </w:style>
  <w:style w:type="character" w:styleId="CommentReference">
    <w:name w:val="annotation reference"/>
    <w:basedOn w:val="DefaultParagraphFont"/>
    <w:uiPriority w:val="99"/>
    <w:semiHidden/>
    <w:unhideWhenUsed/>
    <w:rsid w:val="005813D3"/>
    <w:rPr>
      <w:sz w:val="16"/>
      <w:szCs w:val="16"/>
    </w:rPr>
  </w:style>
  <w:style w:type="paragraph" w:customStyle="1" w:styleId="SectionNumber">
    <w:name w:val="Section Number"/>
    <w:link w:val="SectionNumberChar"/>
    <w:qFormat/>
    <w:rsid w:val="008F1F57"/>
    <w:pPr>
      <w:spacing w:after="3600"/>
    </w:pPr>
    <w:rPr>
      <w:rFonts w:ascii="Arial" w:eastAsia="Futura PT Heavy" w:hAnsi="Arial" w:cs="Arial"/>
      <w:b/>
      <w:noProof/>
      <w:color w:val="FFFFFF" w:themeColor="background1"/>
      <w:sz w:val="56"/>
      <w:szCs w:val="70"/>
      <w:lang w:val="en-AU" w:eastAsia="en-AU" w:bidi="en-US"/>
    </w:rPr>
  </w:style>
  <w:style w:type="paragraph" w:customStyle="1" w:styleId="Sectionheader">
    <w:name w:val="Section header"/>
    <w:basedOn w:val="Heading1"/>
    <w:link w:val="SectionheaderChar"/>
    <w:qFormat/>
    <w:rsid w:val="006765B9"/>
    <w:rPr>
      <w:rFonts w:cs="Arial"/>
    </w:rPr>
  </w:style>
  <w:style w:type="character" w:customStyle="1" w:styleId="Heading1Char">
    <w:name w:val="Heading 1 Char"/>
    <w:basedOn w:val="DefaultParagraphFont"/>
    <w:link w:val="Heading1"/>
    <w:uiPriority w:val="9"/>
    <w:rsid w:val="006765B9"/>
    <w:rPr>
      <w:rFonts w:ascii="Arial" w:eastAsia="Futura PT Heavy" w:hAnsi="Arial" w:cs="Futura PT Heavy"/>
      <w:b/>
      <w:color w:val="003E2D"/>
      <w:sz w:val="56"/>
      <w:szCs w:val="70"/>
      <w:lang w:val="en-AU" w:bidi="en-US"/>
    </w:rPr>
  </w:style>
  <w:style w:type="character" w:customStyle="1" w:styleId="SectionNumberChar">
    <w:name w:val="Section Number Char"/>
    <w:basedOn w:val="Heading1Char"/>
    <w:link w:val="SectionNumber"/>
    <w:rsid w:val="008F1F57"/>
    <w:rPr>
      <w:rFonts w:ascii="Arial" w:eastAsia="Futura PT Heavy" w:hAnsi="Arial" w:cs="Arial"/>
      <w:b/>
      <w:noProof/>
      <w:color w:val="FFFFFF" w:themeColor="background1"/>
      <w:sz w:val="56"/>
      <w:szCs w:val="70"/>
      <w:lang w:val="en-AU" w:eastAsia="en-AU" w:bidi="en-US"/>
    </w:rPr>
  </w:style>
  <w:style w:type="character" w:customStyle="1" w:styleId="SectionheaderChar">
    <w:name w:val="Section header Char"/>
    <w:basedOn w:val="Heading1Char"/>
    <w:link w:val="Sectionheader"/>
    <w:rsid w:val="006765B9"/>
    <w:rPr>
      <w:rFonts w:ascii="Arial" w:eastAsia="Futura PT Heavy" w:hAnsi="Arial" w:cs="Arial"/>
      <w:b/>
      <w:color w:val="003E2D"/>
      <w:sz w:val="56"/>
      <w:szCs w:val="70"/>
      <w:lang w:val="en-AU" w:bidi="en-US"/>
    </w:rPr>
  </w:style>
  <w:style w:type="paragraph" w:customStyle="1" w:styleId="Listparagraphwhite">
    <w:name w:val="List paragraph white"/>
    <w:basedOn w:val="ListParagraph"/>
    <w:link w:val="ListparagraphwhiteChar"/>
    <w:qFormat/>
    <w:rsid w:val="00EB7EB7"/>
    <w:pPr>
      <w:numPr>
        <w:ilvl w:val="0"/>
        <w:numId w:val="18"/>
      </w:numPr>
    </w:pPr>
    <w:rPr>
      <w:rFonts w:cs="Arial"/>
      <w:color w:val="FFFFFF" w:themeColor="background1"/>
    </w:rPr>
  </w:style>
  <w:style w:type="character" w:customStyle="1" w:styleId="ListparagraphwhiteChar">
    <w:name w:val="List paragraph white Char"/>
    <w:basedOn w:val="ListParagraphChar"/>
    <w:link w:val="Listparagraphwhite"/>
    <w:rsid w:val="00EB7EB7"/>
    <w:rPr>
      <w:rFonts w:ascii="Arial" w:eastAsia="Futura PT Book" w:hAnsi="Arial" w:cs="Arial"/>
      <w:color w:val="FFFFFF" w:themeColor="background1"/>
      <w:sz w:val="19"/>
      <w:lang w:val="en-AU" w:bidi="en-US"/>
    </w:rPr>
  </w:style>
  <w:style w:type="paragraph" w:customStyle="1" w:styleId="CoverTitle">
    <w:name w:val="Cover Title"/>
    <w:link w:val="CoverTitleChar"/>
    <w:qFormat/>
    <w:rsid w:val="008659C2"/>
    <w:rPr>
      <w:rFonts w:ascii="Arial" w:eastAsia="Futura PT Heavy" w:hAnsi="Arial" w:cs="Arial"/>
      <w:b/>
      <w:bCs/>
      <w:color w:val="FFFFFF" w:themeColor="background1"/>
      <w:sz w:val="56"/>
      <w:szCs w:val="70"/>
      <w:lang w:val="en-AU" w:bidi="en-US"/>
    </w:rPr>
  </w:style>
  <w:style w:type="paragraph" w:customStyle="1" w:styleId="CoverYear">
    <w:name w:val="Cover Year"/>
    <w:link w:val="CoverYearChar"/>
    <w:qFormat/>
    <w:rsid w:val="008659C2"/>
    <w:pPr>
      <w:spacing w:after="480"/>
    </w:pPr>
    <w:rPr>
      <w:rFonts w:ascii="Arial" w:eastAsia="Futura PT Heavy" w:hAnsi="Arial" w:cs="Arial"/>
      <w:bCs/>
      <w:color w:val="FFFFFF" w:themeColor="background1"/>
      <w:sz w:val="56"/>
      <w:szCs w:val="70"/>
      <w:lang w:val="en-AU" w:bidi="en-US"/>
    </w:rPr>
  </w:style>
  <w:style w:type="character" w:customStyle="1" w:styleId="CoverTitleChar">
    <w:name w:val="Cover Title Char"/>
    <w:basedOn w:val="Heading1Char"/>
    <w:link w:val="CoverTitle"/>
    <w:rsid w:val="008659C2"/>
    <w:rPr>
      <w:rFonts w:ascii="Arial" w:eastAsia="Futura PT Heavy" w:hAnsi="Arial" w:cs="Arial"/>
      <w:b/>
      <w:bCs/>
      <w:color w:val="FFFFFF" w:themeColor="background1"/>
      <w:sz w:val="56"/>
      <w:szCs w:val="70"/>
      <w:lang w:val="en-AU" w:bidi="en-US"/>
    </w:rPr>
  </w:style>
  <w:style w:type="character" w:customStyle="1" w:styleId="CoverYearChar">
    <w:name w:val="Cover Year Char"/>
    <w:basedOn w:val="Heading1Char"/>
    <w:link w:val="CoverYear"/>
    <w:rsid w:val="008659C2"/>
    <w:rPr>
      <w:rFonts w:ascii="Arial" w:eastAsia="Futura PT Heavy" w:hAnsi="Arial" w:cs="Arial"/>
      <w:b w:val="0"/>
      <w:bCs/>
      <w:color w:val="FFFFFF" w:themeColor="background1"/>
      <w:sz w:val="56"/>
      <w:szCs w:val="70"/>
      <w:lang w:val="en-AU" w:bidi="en-US"/>
    </w:rPr>
  </w:style>
  <w:style w:type="table" w:styleId="TableGridLight">
    <w:name w:val="Grid Table Light"/>
    <w:basedOn w:val="TableNormal"/>
    <w:uiPriority w:val="40"/>
    <w:rsid w:val="00395A1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7874289">
      <w:bodyDiv w:val="1"/>
      <w:marLeft w:val="0"/>
      <w:marRight w:val="0"/>
      <w:marTop w:val="0"/>
      <w:marBottom w:val="0"/>
      <w:divBdr>
        <w:top w:val="none" w:sz="0" w:space="0" w:color="auto"/>
        <w:left w:val="none" w:sz="0" w:space="0" w:color="auto"/>
        <w:bottom w:val="none" w:sz="0" w:space="0" w:color="auto"/>
        <w:right w:val="none" w:sz="0" w:space="0" w:color="auto"/>
      </w:divBdr>
    </w:div>
    <w:div w:id="732394510">
      <w:bodyDiv w:val="1"/>
      <w:marLeft w:val="0"/>
      <w:marRight w:val="0"/>
      <w:marTop w:val="0"/>
      <w:marBottom w:val="0"/>
      <w:divBdr>
        <w:top w:val="none" w:sz="0" w:space="0" w:color="auto"/>
        <w:left w:val="none" w:sz="0" w:space="0" w:color="auto"/>
        <w:bottom w:val="none" w:sz="0" w:space="0" w:color="auto"/>
        <w:right w:val="none" w:sz="0" w:space="0" w:color="auto"/>
      </w:divBdr>
    </w:div>
    <w:div w:id="825557637">
      <w:bodyDiv w:val="1"/>
      <w:marLeft w:val="0"/>
      <w:marRight w:val="0"/>
      <w:marTop w:val="0"/>
      <w:marBottom w:val="0"/>
      <w:divBdr>
        <w:top w:val="none" w:sz="0" w:space="0" w:color="auto"/>
        <w:left w:val="none" w:sz="0" w:space="0" w:color="auto"/>
        <w:bottom w:val="none" w:sz="0" w:space="0" w:color="auto"/>
        <w:right w:val="none" w:sz="0" w:space="0" w:color="auto"/>
      </w:divBdr>
    </w:div>
    <w:div w:id="865676993">
      <w:bodyDiv w:val="1"/>
      <w:marLeft w:val="0"/>
      <w:marRight w:val="0"/>
      <w:marTop w:val="0"/>
      <w:marBottom w:val="0"/>
      <w:divBdr>
        <w:top w:val="none" w:sz="0" w:space="0" w:color="auto"/>
        <w:left w:val="none" w:sz="0" w:space="0" w:color="auto"/>
        <w:bottom w:val="none" w:sz="0" w:space="0" w:color="auto"/>
        <w:right w:val="none" w:sz="0" w:space="0" w:color="auto"/>
      </w:divBdr>
    </w:div>
    <w:div w:id="960379069">
      <w:bodyDiv w:val="1"/>
      <w:marLeft w:val="0"/>
      <w:marRight w:val="0"/>
      <w:marTop w:val="0"/>
      <w:marBottom w:val="0"/>
      <w:divBdr>
        <w:top w:val="none" w:sz="0" w:space="0" w:color="auto"/>
        <w:left w:val="none" w:sz="0" w:space="0" w:color="auto"/>
        <w:bottom w:val="none" w:sz="0" w:space="0" w:color="auto"/>
        <w:right w:val="none" w:sz="0" w:space="0" w:color="auto"/>
      </w:divBdr>
    </w:div>
    <w:div w:id="977806449">
      <w:bodyDiv w:val="1"/>
      <w:marLeft w:val="0"/>
      <w:marRight w:val="0"/>
      <w:marTop w:val="0"/>
      <w:marBottom w:val="0"/>
      <w:divBdr>
        <w:top w:val="none" w:sz="0" w:space="0" w:color="auto"/>
        <w:left w:val="none" w:sz="0" w:space="0" w:color="auto"/>
        <w:bottom w:val="none" w:sz="0" w:space="0" w:color="auto"/>
        <w:right w:val="none" w:sz="0" w:space="0" w:color="auto"/>
      </w:divBdr>
    </w:div>
    <w:div w:id="1008605181">
      <w:bodyDiv w:val="1"/>
      <w:marLeft w:val="0"/>
      <w:marRight w:val="0"/>
      <w:marTop w:val="0"/>
      <w:marBottom w:val="0"/>
      <w:divBdr>
        <w:top w:val="none" w:sz="0" w:space="0" w:color="auto"/>
        <w:left w:val="none" w:sz="0" w:space="0" w:color="auto"/>
        <w:bottom w:val="none" w:sz="0" w:space="0" w:color="auto"/>
        <w:right w:val="none" w:sz="0" w:space="0" w:color="auto"/>
      </w:divBdr>
    </w:div>
    <w:div w:id="1127622530">
      <w:bodyDiv w:val="1"/>
      <w:marLeft w:val="0"/>
      <w:marRight w:val="0"/>
      <w:marTop w:val="0"/>
      <w:marBottom w:val="0"/>
      <w:divBdr>
        <w:top w:val="none" w:sz="0" w:space="0" w:color="auto"/>
        <w:left w:val="none" w:sz="0" w:space="0" w:color="auto"/>
        <w:bottom w:val="none" w:sz="0" w:space="0" w:color="auto"/>
        <w:right w:val="none" w:sz="0" w:space="0" w:color="auto"/>
      </w:divBdr>
    </w:div>
    <w:div w:id="1209488621">
      <w:bodyDiv w:val="1"/>
      <w:marLeft w:val="0"/>
      <w:marRight w:val="0"/>
      <w:marTop w:val="0"/>
      <w:marBottom w:val="0"/>
      <w:divBdr>
        <w:top w:val="none" w:sz="0" w:space="0" w:color="auto"/>
        <w:left w:val="none" w:sz="0" w:space="0" w:color="auto"/>
        <w:bottom w:val="none" w:sz="0" w:space="0" w:color="auto"/>
        <w:right w:val="none" w:sz="0" w:space="0" w:color="auto"/>
      </w:divBdr>
    </w:div>
    <w:div w:id="1242712063">
      <w:bodyDiv w:val="1"/>
      <w:marLeft w:val="0"/>
      <w:marRight w:val="0"/>
      <w:marTop w:val="0"/>
      <w:marBottom w:val="0"/>
      <w:divBdr>
        <w:top w:val="none" w:sz="0" w:space="0" w:color="auto"/>
        <w:left w:val="none" w:sz="0" w:space="0" w:color="auto"/>
        <w:bottom w:val="none" w:sz="0" w:space="0" w:color="auto"/>
        <w:right w:val="none" w:sz="0" w:space="0" w:color="auto"/>
      </w:divBdr>
    </w:div>
    <w:div w:id="1392073695">
      <w:bodyDiv w:val="1"/>
      <w:marLeft w:val="0"/>
      <w:marRight w:val="0"/>
      <w:marTop w:val="0"/>
      <w:marBottom w:val="0"/>
      <w:divBdr>
        <w:top w:val="none" w:sz="0" w:space="0" w:color="auto"/>
        <w:left w:val="none" w:sz="0" w:space="0" w:color="auto"/>
        <w:bottom w:val="none" w:sz="0" w:space="0" w:color="auto"/>
        <w:right w:val="none" w:sz="0" w:space="0" w:color="auto"/>
      </w:divBdr>
    </w:div>
    <w:div w:id="1407805712">
      <w:bodyDiv w:val="1"/>
      <w:marLeft w:val="0"/>
      <w:marRight w:val="0"/>
      <w:marTop w:val="0"/>
      <w:marBottom w:val="0"/>
      <w:divBdr>
        <w:top w:val="none" w:sz="0" w:space="0" w:color="auto"/>
        <w:left w:val="none" w:sz="0" w:space="0" w:color="auto"/>
        <w:bottom w:val="none" w:sz="0" w:space="0" w:color="auto"/>
        <w:right w:val="none" w:sz="0" w:space="0" w:color="auto"/>
      </w:divBdr>
    </w:div>
    <w:div w:id="2033799860">
      <w:bodyDiv w:val="1"/>
      <w:marLeft w:val="0"/>
      <w:marRight w:val="0"/>
      <w:marTop w:val="0"/>
      <w:marBottom w:val="0"/>
      <w:divBdr>
        <w:top w:val="none" w:sz="0" w:space="0" w:color="auto"/>
        <w:left w:val="none" w:sz="0" w:space="0" w:color="auto"/>
        <w:bottom w:val="none" w:sz="0" w:space="0" w:color="auto"/>
        <w:right w:val="none" w:sz="0" w:space="0" w:color="auto"/>
      </w:divBdr>
    </w:div>
    <w:div w:id="21244916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mailto:submissions.ihpa@ihpa.gov.au" TargetMode="External"/><Relationship Id="rId21" Type="http://schemas.openxmlformats.org/officeDocument/2006/relationships/hyperlink" Target="https://www.ihpa.gov.au/sites/default/files/pricing_framework_for_australian_public_hospital_services_2020-21_consultation_report.pdf" TargetMode="External"/><Relationship Id="rId42" Type="http://schemas.openxmlformats.org/officeDocument/2006/relationships/footer" Target="footer4.xml"/><Relationship Id="rId47" Type="http://schemas.openxmlformats.org/officeDocument/2006/relationships/header" Target="header10.xml"/><Relationship Id="rId63" Type="http://schemas.openxmlformats.org/officeDocument/2006/relationships/header" Target="header16.xml"/><Relationship Id="rId68" Type="http://schemas.openxmlformats.org/officeDocument/2006/relationships/image" Target="media/image22.png"/><Relationship Id="rId84" Type="http://schemas.openxmlformats.org/officeDocument/2006/relationships/image" Target="media/image29.png"/><Relationship Id="rId89" Type="http://schemas.openxmlformats.org/officeDocument/2006/relationships/header" Target="header26.xml"/><Relationship Id="rId16" Type="http://schemas.openxmlformats.org/officeDocument/2006/relationships/image" Target="media/image5.png"/><Relationship Id="rId107" Type="http://schemas.openxmlformats.org/officeDocument/2006/relationships/fontTable" Target="fontTable.xml"/><Relationship Id="rId11" Type="http://schemas.openxmlformats.org/officeDocument/2006/relationships/image" Target="media/image4.jpg"/><Relationship Id="rId32" Type="http://schemas.openxmlformats.org/officeDocument/2006/relationships/header" Target="header7.xml"/><Relationship Id="rId37" Type="http://schemas.openxmlformats.org/officeDocument/2006/relationships/hyperlink" Target="https://www.ihpa.gov.au/publications/national-pricing-model-stability-policy" TargetMode="External"/><Relationship Id="rId53" Type="http://schemas.openxmlformats.org/officeDocument/2006/relationships/image" Target="media/image15.png"/><Relationship Id="rId58" Type="http://schemas.openxmlformats.org/officeDocument/2006/relationships/image" Target="media/image17.png"/><Relationship Id="rId74" Type="http://schemas.openxmlformats.org/officeDocument/2006/relationships/hyperlink" Target="https://www.ihpa.gov.au/publications/australian-mental-health-care-classification-pricing-feasibility-report-2020-21" TargetMode="External"/><Relationship Id="rId79" Type="http://schemas.openxmlformats.org/officeDocument/2006/relationships/image" Target="media/image26.png"/><Relationship Id="rId102" Type="http://schemas.openxmlformats.org/officeDocument/2006/relationships/hyperlink" Target="mailto:enquiries.ihpa@ihpa.gov.au" TargetMode="External"/><Relationship Id="rId5" Type="http://schemas.openxmlformats.org/officeDocument/2006/relationships/webSettings" Target="webSettings.xml"/><Relationship Id="rId90" Type="http://schemas.openxmlformats.org/officeDocument/2006/relationships/header" Target="header27.xml"/><Relationship Id="rId95" Type="http://schemas.openxmlformats.org/officeDocument/2006/relationships/hyperlink" Target="https://www.safetyandquality.gov.au/our-work/indicators-measurement-and-reporting/complications/hacs-information-kit" TargetMode="External"/><Relationship Id="rId22" Type="http://schemas.openxmlformats.org/officeDocument/2006/relationships/hyperlink" Target="https://www.ihpa.gov.au/publications/national-efficient-price-determination-2020-21" TargetMode="External"/><Relationship Id="rId27" Type="http://schemas.openxmlformats.org/officeDocument/2006/relationships/hyperlink" Target="http://www.ihpa.gov.au/what&#8209;we&#8209;do" TargetMode="External"/><Relationship Id="rId43" Type="http://schemas.openxmlformats.org/officeDocument/2006/relationships/image" Target="media/image10.png"/><Relationship Id="rId48" Type="http://schemas.openxmlformats.org/officeDocument/2006/relationships/footer" Target="footer5.xml"/><Relationship Id="rId64" Type="http://schemas.openxmlformats.org/officeDocument/2006/relationships/hyperlink" Target="https://www.ihpa.gov.au/publications/impact-new-health-technology-framework-1" TargetMode="External"/><Relationship Id="rId69" Type="http://schemas.openxmlformats.org/officeDocument/2006/relationships/image" Target="media/image23.png"/><Relationship Id="rId80" Type="http://schemas.openxmlformats.org/officeDocument/2006/relationships/header" Target="header20.xml"/><Relationship Id="rId85" Type="http://schemas.openxmlformats.org/officeDocument/2006/relationships/header" Target="header22.xml"/><Relationship Id="rId12" Type="http://schemas.openxmlformats.org/officeDocument/2006/relationships/header" Target="header2.xml"/><Relationship Id="rId17" Type="http://schemas.openxmlformats.org/officeDocument/2006/relationships/header" Target="header5.xml"/><Relationship Id="rId33" Type="http://schemas.openxmlformats.org/officeDocument/2006/relationships/hyperlink" Target="http://www.federalfinancialrelations.gov.au/content/national_health_reform.aspx" TargetMode="External"/><Relationship Id="rId38" Type="http://schemas.openxmlformats.org/officeDocument/2006/relationships/hyperlink" Target="https://www.ihpa.gov.au/publications/chimeric-antigen-receptor-t-cell-therapy-guidelines" TargetMode="External"/><Relationship Id="rId59" Type="http://schemas.openxmlformats.org/officeDocument/2006/relationships/hyperlink" Target="https://www.ihpa.gov.au/publications/annual-review-general-list-scope-public-hospital-services-1" TargetMode="External"/><Relationship Id="rId103" Type="http://schemas.openxmlformats.org/officeDocument/2006/relationships/hyperlink" Target="https://twitter.com/ihpanews?lang=en" TargetMode="External"/><Relationship Id="rId108" Type="http://schemas.openxmlformats.org/officeDocument/2006/relationships/theme" Target="theme/theme1.xml"/><Relationship Id="rId20" Type="http://schemas.openxmlformats.org/officeDocument/2006/relationships/hyperlink" Target="https://www.ihpa.gov.au/sites/default/files/pricing_framework_for_australian_public_hospital_services_2020-21_0.pdf" TargetMode="External"/><Relationship Id="rId41" Type="http://schemas.openxmlformats.org/officeDocument/2006/relationships/header" Target="header8.xml"/><Relationship Id="rId54" Type="http://schemas.openxmlformats.org/officeDocument/2006/relationships/image" Target="media/image16.png"/><Relationship Id="rId62" Type="http://schemas.openxmlformats.org/officeDocument/2006/relationships/image" Target="media/image19.png"/><Relationship Id="rId70" Type="http://schemas.openxmlformats.org/officeDocument/2006/relationships/image" Target="media/image24.png"/><Relationship Id="rId75" Type="http://schemas.openxmlformats.org/officeDocument/2006/relationships/hyperlink" Target="https://www.ihpa.gov.au/sites/default/files/publications/mental_health_phase_of_care_clinical_refinement_project_final_report.pdf" TargetMode="External"/><Relationship Id="rId83" Type="http://schemas.openxmlformats.org/officeDocument/2006/relationships/header" Target="header21.xml"/><Relationship Id="rId88" Type="http://schemas.openxmlformats.org/officeDocument/2006/relationships/header" Target="header25.xml"/><Relationship Id="rId91" Type="http://schemas.openxmlformats.org/officeDocument/2006/relationships/header" Target="header28.xml"/><Relationship Id="rId96" Type="http://schemas.openxmlformats.org/officeDocument/2006/relationships/hyperlink" Target="https://www.safetyandquality.gov.au/our-work/indicators/australian-sentinel-events-lis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s://www.ihpa.gov.au/publications/national-efficient-cost-determination-2020-21" TargetMode="External"/><Relationship Id="rId28" Type="http://schemas.openxmlformats.org/officeDocument/2006/relationships/image" Target="media/image7.png"/><Relationship Id="rId36" Type="http://schemas.openxmlformats.org/officeDocument/2006/relationships/hyperlink" Target="https://www.ihpa.gov.au/publications/national-pricing-model-materiality-policy" TargetMode="External"/><Relationship Id="rId49" Type="http://schemas.openxmlformats.org/officeDocument/2006/relationships/image" Target="media/image13.png"/><Relationship Id="rId57" Type="http://schemas.openxmlformats.org/officeDocument/2006/relationships/header" Target="header14.xml"/><Relationship Id="rId106" Type="http://schemas.openxmlformats.org/officeDocument/2006/relationships/footer" Target="footer7.xml"/><Relationship Id="rId10" Type="http://schemas.openxmlformats.org/officeDocument/2006/relationships/header" Target="header1.xml"/><Relationship Id="rId31" Type="http://schemas.openxmlformats.org/officeDocument/2006/relationships/image" Target="media/image8.png"/><Relationship Id="rId44" Type="http://schemas.openxmlformats.org/officeDocument/2006/relationships/image" Target="media/image11.png"/><Relationship Id="rId52" Type="http://schemas.openxmlformats.org/officeDocument/2006/relationships/header" Target="header12.xml"/><Relationship Id="rId60" Type="http://schemas.openxmlformats.org/officeDocument/2006/relationships/image" Target="media/image18.png"/><Relationship Id="rId65" Type="http://schemas.openxmlformats.org/officeDocument/2006/relationships/header" Target="header17.xml"/><Relationship Id="rId73" Type="http://schemas.openxmlformats.org/officeDocument/2006/relationships/hyperlink" Target="https://www.ihpa.gov.au/publications/ihpa-work-program-2020-21" TargetMode="External"/><Relationship Id="rId78" Type="http://schemas.openxmlformats.org/officeDocument/2006/relationships/header" Target="header19.xml"/><Relationship Id="rId81" Type="http://schemas.openxmlformats.org/officeDocument/2006/relationships/image" Target="media/image27.png"/><Relationship Id="rId86" Type="http://schemas.openxmlformats.org/officeDocument/2006/relationships/header" Target="header23.xml"/><Relationship Id="rId94" Type="http://schemas.openxmlformats.org/officeDocument/2006/relationships/hyperlink" Target="https://www.safetyandquality.gov.au/our-work/indicators/australian-sentinel-events-list" TargetMode="External"/><Relationship Id="rId99" Type="http://schemas.openxmlformats.org/officeDocument/2006/relationships/image" Target="media/image30.png"/><Relationship Id="rId101"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header" Target="header3.xml"/><Relationship Id="rId18" Type="http://schemas.openxmlformats.org/officeDocument/2006/relationships/footer" Target="footer2.xml"/><Relationship Id="rId39" Type="http://schemas.openxmlformats.org/officeDocument/2006/relationships/hyperlink" Target="https://www.ihpa.gov.au/publications/impact-new-health-technology-framework" TargetMode="External"/><Relationship Id="rId34" Type="http://schemas.openxmlformats.org/officeDocument/2006/relationships/hyperlink" Target="http://www.federalfinancialrelations.gov.au/content/npa/health/other/NHRA_2020-25_Addendum_consolidated.pdf" TargetMode="External"/><Relationship Id="rId50" Type="http://schemas.openxmlformats.org/officeDocument/2006/relationships/header" Target="header11.xml"/><Relationship Id="rId55" Type="http://schemas.openxmlformats.org/officeDocument/2006/relationships/header" Target="header13.xml"/><Relationship Id="rId76" Type="http://schemas.openxmlformats.org/officeDocument/2006/relationships/header" Target="header18.xml"/><Relationship Id="rId97" Type="http://schemas.openxmlformats.org/officeDocument/2006/relationships/hyperlink" Target="https://www.safetyandquality.gov.au/our-work/indicators/avoidable-hospital-readmissions" TargetMode="External"/><Relationship Id="rId104" Type="http://schemas.openxmlformats.org/officeDocument/2006/relationships/hyperlink" Target="http://www.ihpa.gov.au" TargetMode="External"/><Relationship Id="rId7" Type="http://schemas.openxmlformats.org/officeDocument/2006/relationships/endnotes" Target="endnotes.xml"/><Relationship Id="rId71" Type="http://schemas.openxmlformats.org/officeDocument/2006/relationships/hyperlink" Target="https://www.ihpa.gov.au/what-we-do/tier-2-non-admitted-care-services-classification" TargetMode="External"/><Relationship Id="rId92" Type="http://schemas.openxmlformats.org/officeDocument/2006/relationships/header" Target="header29.xml"/><Relationship Id="rId2" Type="http://schemas.openxmlformats.org/officeDocument/2006/relationships/numbering" Target="numbering.xml"/><Relationship Id="rId29" Type="http://schemas.openxmlformats.org/officeDocument/2006/relationships/header" Target="header6.xml"/><Relationship Id="rId24" Type="http://schemas.openxmlformats.org/officeDocument/2006/relationships/hyperlink" Target="mailto:submissions.ihpa@ihpa.gov.au" TargetMode="External"/><Relationship Id="rId40" Type="http://schemas.openxmlformats.org/officeDocument/2006/relationships/image" Target="media/image9.png"/><Relationship Id="rId45" Type="http://schemas.openxmlformats.org/officeDocument/2006/relationships/header" Target="header9.xml"/><Relationship Id="rId66" Type="http://schemas.openxmlformats.org/officeDocument/2006/relationships/image" Target="media/image20.png"/><Relationship Id="rId87" Type="http://schemas.openxmlformats.org/officeDocument/2006/relationships/header" Target="header24.xml"/><Relationship Id="rId61" Type="http://schemas.openxmlformats.org/officeDocument/2006/relationships/header" Target="header15.xml"/><Relationship Id="rId82" Type="http://schemas.openxmlformats.org/officeDocument/2006/relationships/image" Target="media/image28.jpeg"/><Relationship Id="rId19" Type="http://schemas.openxmlformats.org/officeDocument/2006/relationships/image" Target="media/image6.png"/><Relationship Id="rId14" Type="http://schemas.openxmlformats.org/officeDocument/2006/relationships/header" Target="header4.xml"/><Relationship Id="rId30" Type="http://schemas.openxmlformats.org/officeDocument/2006/relationships/footer" Target="footer3.xml"/><Relationship Id="rId35" Type="http://schemas.openxmlformats.org/officeDocument/2006/relationships/hyperlink" Target="https://www.ihpa.gov.au/publications/back-casting-policy-version-50" TargetMode="External"/><Relationship Id="rId56" Type="http://schemas.openxmlformats.org/officeDocument/2006/relationships/footer" Target="footer6.xml"/><Relationship Id="rId77" Type="http://schemas.openxmlformats.org/officeDocument/2006/relationships/image" Target="media/image25.png"/><Relationship Id="rId100" Type="http://schemas.openxmlformats.org/officeDocument/2006/relationships/header" Target="header31.xml"/><Relationship Id="rId105" Type="http://schemas.openxmlformats.org/officeDocument/2006/relationships/header" Target="header32.xml"/><Relationship Id="rId8" Type="http://schemas.openxmlformats.org/officeDocument/2006/relationships/image" Target="media/image2.jpeg"/><Relationship Id="rId51" Type="http://schemas.openxmlformats.org/officeDocument/2006/relationships/image" Target="media/image14.png"/><Relationship Id="rId72" Type="http://schemas.openxmlformats.org/officeDocument/2006/relationships/hyperlink" Target="https://www.ihpa.gov.au/what-we-do/classifications/emergency-care/emergency-department-icd-10-am-tenth-edition-principal-diagnosis-short-list" TargetMode="External"/><Relationship Id="rId93" Type="http://schemas.openxmlformats.org/officeDocument/2006/relationships/header" Target="header30.xml"/><Relationship Id="rId98" Type="http://schemas.openxmlformats.org/officeDocument/2006/relationships/hyperlink" Target="https://www.safetyandquality.gov.au/publications-and-resources/resource-library/avoidable-hospital-readmissions-ahrs-v1-jun-2019" TargetMode="External"/><Relationship Id="rId3" Type="http://schemas.openxmlformats.org/officeDocument/2006/relationships/styles" Target="styles.xml"/><Relationship Id="rId25" Type="http://schemas.openxmlformats.org/officeDocument/2006/relationships/hyperlink" Target="http://www.ihpa.gov.au/what&#8209;we&#8209;do" TargetMode="External"/><Relationship Id="rId46" Type="http://schemas.openxmlformats.org/officeDocument/2006/relationships/image" Target="media/image12.png"/><Relationship Id="rId67" Type="http://schemas.openxmlformats.org/officeDocument/2006/relationships/image" Target="media/image2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IHPA">
      <a:dk1>
        <a:srgbClr val="003E2D"/>
      </a:dk1>
      <a:lt1>
        <a:sysClr val="window" lastClr="FFFFFF"/>
      </a:lt1>
      <a:dk2>
        <a:srgbClr val="003E2D"/>
      </a:dk2>
      <a:lt2>
        <a:srgbClr val="FFFFFF"/>
      </a:lt2>
      <a:accent1>
        <a:srgbClr val="7EC352"/>
      </a:accent1>
      <a:accent2>
        <a:srgbClr val="008F54"/>
      </a:accent2>
      <a:accent3>
        <a:srgbClr val="C31F48"/>
      </a:accent3>
      <a:accent4>
        <a:srgbClr val="412B41"/>
      </a:accent4>
      <a:accent5>
        <a:srgbClr val="5F2F7E"/>
      </a:accent5>
      <a:accent6>
        <a:srgbClr val="009AB8"/>
      </a:accent6>
      <a:hlink>
        <a:srgbClr val="7EC352"/>
      </a:hlink>
      <a:folHlink>
        <a:srgbClr val="008F5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4D9299-B081-4D73-922C-448103C9E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54</Pages>
  <Words>13927</Words>
  <Characters>79387</Characters>
  <Application>Microsoft Office Word</Application>
  <DocSecurity>0</DocSecurity>
  <Lines>661</Lines>
  <Paragraphs>186</Paragraphs>
  <ScaleCrop>false</ScaleCrop>
  <HeadingPairs>
    <vt:vector size="2" baseType="variant">
      <vt:variant>
        <vt:lpstr>Title</vt:lpstr>
      </vt:variant>
      <vt:variant>
        <vt:i4>1</vt:i4>
      </vt:variant>
    </vt:vector>
  </HeadingPairs>
  <TitlesOfParts>
    <vt:vector size="1" baseType="lpstr">
      <vt:lpstr>Consultation Paper on the Pricing Framework for Australian Public Hospital Services 2020-21</vt:lpstr>
    </vt:vector>
  </TitlesOfParts>
  <Company/>
  <LinksUpToDate>false</LinksUpToDate>
  <CharactersWithSpaces>93128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Consultation Paper on the Pricing Framework for Australian Public Hospital Services 2020-21</dc:title>
  <dc:subject/>
  <dc:creator>IHPA - Independent Hospital Pricing Authority</dc:creator>
  <cp:keywords/>
  <dc:description/>
  <cp:lastModifiedBy>Jonathan Lau</cp:lastModifiedBy>
  <cp:revision>39</cp:revision>
  <cp:lastPrinted>2020-09-08T06:09:00Z</cp:lastPrinted>
  <dcterms:created xsi:type="dcterms:W3CDTF">2020-09-04T01:38:00Z</dcterms:created>
  <dcterms:modified xsi:type="dcterms:W3CDTF">2020-09-09T00:25:00Z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2019-06-17T00:00:00Z</vt:filetime>
  </property>
  <property fmtid="{D5CDD505-2E9C-101B-9397-08002B2CF9AE}" pid="3" name="Creator">
    <vt:lpwstr>Adobe InDesign 14.0 (Windows)</vt:lpwstr>
  </property>
  <property fmtid="{D5CDD505-2E9C-101B-9397-08002B2CF9AE}" pid="4" name="LastSaved">
    <vt:filetime>2019-06-19T00:00:00Z</vt:filetime>
  </property>
</Properties>
</file>