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84F0FF" w14:textId="77777777" w:rsidR="00D34C2E" w:rsidRDefault="00D34C2E" w:rsidP="008659C2">
      <w:pPr>
        <w:pStyle w:val="CoverTitle"/>
      </w:pPr>
      <w:bookmarkStart w:id="0" w:name="_top"/>
      <w:bookmarkStart w:id="1" w:name="_Toc45809571"/>
      <w:bookmarkStart w:id="2" w:name="_Toc49953728"/>
      <w:bookmarkStart w:id="3" w:name="_Toc49954238"/>
      <w:bookmarkStart w:id="4" w:name="_Toc50446166"/>
      <w:bookmarkEnd w:id="0"/>
    </w:p>
    <w:p w14:paraId="5CE333F5" w14:textId="77777777" w:rsidR="00C415F5" w:rsidRPr="0065414C" w:rsidRDefault="00D141FD" w:rsidP="008659C2">
      <w:pPr>
        <w:pStyle w:val="CoverTitle"/>
      </w:pPr>
      <w:r w:rsidRPr="0065414C">
        <w:rPr>
          <w:noProof/>
          <w:sz w:val="20"/>
          <w:lang w:eastAsia="en-AU" w:bidi="ar-SA"/>
        </w:rPr>
        <w:drawing>
          <wp:anchor distT="0" distB="0" distL="114300" distR="114300" simplePos="0" relativeHeight="251628544" behindDoc="1" locked="0" layoutInCell="1" allowOverlap="1" wp14:anchorId="571A6831" wp14:editId="1C1E2B1E">
            <wp:simplePos x="0" y="0"/>
            <wp:positionH relativeFrom="column">
              <wp:posOffset>-904875</wp:posOffset>
            </wp:positionH>
            <wp:positionV relativeFrom="page">
              <wp:posOffset>9525</wp:posOffset>
            </wp:positionV>
            <wp:extent cx="7629525" cy="10687050"/>
            <wp:effectExtent l="0" t="0" r="952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9525" cy="10687050"/>
                    </a:xfrm>
                    <a:prstGeom prst="rect">
                      <a:avLst/>
                    </a:prstGeom>
                    <a:ln>
                      <a:noFill/>
                    </a:ln>
                  </pic:spPr>
                </pic:pic>
              </a:graphicData>
            </a:graphic>
            <wp14:sizeRelH relativeFrom="margin">
              <wp14:pctWidth>0</wp14:pctWidth>
            </wp14:sizeRelH>
            <wp14:sizeRelV relativeFrom="margin">
              <wp14:pctHeight>0</wp14:pctHeight>
            </wp14:sizeRelV>
          </wp:anchor>
        </w:drawing>
      </w:r>
      <w:bookmarkStart w:id="5" w:name="Cover"/>
      <w:bookmarkEnd w:id="5"/>
      <w:r w:rsidR="00603DEC" w:rsidRPr="0065414C">
        <w:t>Consultation Paper on the Pricing Framework for Australian Public Hospital Services</w:t>
      </w:r>
      <w:bookmarkEnd w:id="1"/>
      <w:bookmarkEnd w:id="2"/>
      <w:bookmarkEnd w:id="3"/>
      <w:bookmarkEnd w:id="4"/>
    </w:p>
    <w:p w14:paraId="134D3003" w14:textId="2AD21487" w:rsidR="00C415F5" w:rsidRPr="0065414C" w:rsidRDefault="00603DEC" w:rsidP="008659C2">
      <w:pPr>
        <w:pStyle w:val="CoverYear"/>
        <w:rPr>
          <w:b/>
        </w:rPr>
      </w:pPr>
      <w:bookmarkStart w:id="6" w:name="_Toc45809572"/>
      <w:bookmarkStart w:id="7" w:name="_Toc49953729"/>
      <w:bookmarkStart w:id="8" w:name="_Toc49954239"/>
      <w:bookmarkStart w:id="9" w:name="_Toc50446167"/>
      <w:r w:rsidRPr="0065414C">
        <w:t>202</w:t>
      </w:r>
      <w:r w:rsidR="00E10063">
        <w:t>3</w:t>
      </w:r>
      <w:r w:rsidRPr="0065414C">
        <w:t>–2</w:t>
      </w:r>
      <w:bookmarkEnd w:id="6"/>
      <w:bookmarkEnd w:id="7"/>
      <w:bookmarkEnd w:id="8"/>
      <w:bookmarkEnd w:id="9"/>
      <w:r w:rsidR="00E10063">
        <w:t>4</w:t>
      </w:r>
    </w:p>
    <w:p w14:paraId="55D1B345" w14:textId="4C030A0E" w:rsidR="00C415F5" w:rsidRPr="0065414C" w:rsidRDefault="004F3938" w:rsidP="003746D5">
      <w:pPr>
        <w:spacing w:before="85"/>
        <w:ind w:left="1417" w:hanging="1418"/>
        <w:rPr>
          <w:rFonts w:cs="Arial"/>
          <w:sz w:val="20"/>
        </w:rPr>
      </w:pPr>
      <w:r>
        <w:rPr>
          <w:rFonts w:cs="Arial"/>
          <w:color w:val="7EC352"/>
          <w:sz w:val="36"/>
        </w:rPr>
        <w:t>June 202</w:t>
      </w:r>
      <w:r w:rsidR="00E10063">
        <w:rPr>
          <w:rFonts w:cs="Arial"/>
          <w:color w:val="7EC352"/>
          <w:sz w:val="36"/>
        </w:rPr>
        <w:t>2</w:t>
      </w:r>
    </w:p>
    <w:p w14:paraId="68D74743" w14:textId="77777777" w:rsidR="00C415F5" w:rsidRPr="0065414C" w:rsidRDefault="00C415F5">
      <w:pPr>
        <w:rPr>
          <w:rFonts w:cs="Arial"/>
          <w:sz w:val="20"/>
        </w:rPr>
        <w:sectPr w:rsidR="00C415F5" w:rsidRPr="0065414C" w:rsidSect="001A4606">
          <w:headerReference w:type="default" r:id="rId9"/>
          <w:footerReference w:type="default" r:id="rId10"/>
          <w:type w:val="continuous"/>
          <w:pgSz w:w="11910" w:h="16840"/>
          <w:pgMar w:top="9498" w:right="1440" w:bottom="1440" w:left="1440" w:header="0" w:footer="720" w:gutter="0"/>
          <w:cols w:space="720"/>
          <w:docGrid w:linePitch="299"/>
        </w:sectPr>
      </w:pPr>
    </w:p>
    <w:p w14:paraId="25D5D671" w14:textId="205D1B65" w:rsidR="00AB028F" w:rsidRPr="0065414C" w:rsidRDefault="00AB028F" w:rsidP="00AB028F">
      <w:pPr>
        <w:pStyle w:val="BodyText"/>
        <w:ind w:right="4210"/>
        <w:rPr>
          <w:rFonts w:eastAsia="Futura PT Bold" w:cs="Arial"/>
          <w:b/>
          <w:bCs/>
          <w:color w:val="003E2D"/>
          <w:sz w:val="22"/>
        </w:rPr>
      </w:pPr>
      <w:r w:rsidRPr="0065414C">
        <w:rPr>
          <w:rFonts w:eastAsia="Futura PT Bold" w:cs="Arial"/>
          <w:b/>
          <w:bCs/>
          <w:color w:val="003E2D"/>
          <w:sz w:val="22"/>
        </w:rPr>
        <w:lastRenderedPageBreak/>
        <w:t>Consultation Paper on the Pricing Framework for Australian Public Hospital Services</w:t>
      </w:r>
      <w:r w:rsidRPr="0065414C">
        <w:rPr>
          <w:rFonts w:eastAsia="Futura PT Bold" w:cs="Arial"/>
          <w:b/>
          <w:bCs/>
          <w:color w:val="003E2D"/>
          <w:sz w:val="22"/>
        </w:rPr>
        <w:br/>
        <w:t>202</w:t>
      </w:r>
      <w:r w:rsidR="00E10063">
        <w:rPr>
          <w:rFonts w:eastAsia="Futura PT Bold" w:cs="Arial"/>
          <w:b/>
          <w:bCs/>
          <w:color w:val="003E2D"/>
          <w:sz w:val="22"/>
        </w:rPr>
        <w:t>3</w:t>
      </w:r>
      <w:r w:rsidRPr="0065414C">
        <w:rPr>
          <w:rFonts w:eastAsia="Futura PT Bold" w:cs="Arial"/>
          <w:b/>
          <w:bCs/>
          <w:color w:val="003E2D"/>
          <w:sz w:val="22"/>
        </w:rPr>
        <w:t>–2</w:t>
      </w:r>
      <w:r w:rsidR="00E10063">
        <w:rPr>
          <w:rFonts w:eastAsia="Futura PT Bold" w:cs="Arial"/>
          <w:b/>
          <w:bCs/>
          <w:color w:val="003E2D"/>
          <w:sz w:val="22"/>
        </w:rPr>
        <w:t>4</w:t>
      </w:r>
      <w:r w:rsidRPr="0065414C">
        <w:rPr>
          <w:rFonts w:eastAsia="Futura PT Bold" w:cs="Arial"/>
          <w:b/>
          <w:bCs/>
          <w:color w:val="003E2D"/>
          <w:sz w:val="22"/>
        </w:rPr>
        <w:t xml:space="preserve"> — </w:t>
      </w:r>
      <w:r w:rsidR="004F3938">
        <w:rPr>
          <w:rFonts w:eastAsia="Futura PT Bold" w:cs="Arial"/>
          <w:b/>
          <w:bCs/>
          <w:color w:val="003E2D"/>
          <w:sz w:val="22"/>
        </w:rPr>
        <w:t>June 202</w:t>
      </w:r>
      <w:r w:rsidR="00E10063">
        <w:rPr>
          <w:rFonts w:eastAsia="Futura PT Bold" w:cs="Arial"/>
          <w:b/>
          <w:bCs/>
          <w:color w:val="003E2D"/>
          <w:sz w:val="22"/>
        </w:rPr>
        <w:t>2</w:t>
      </w:r>
    </w:p>
    <w:p w14:paraId="1790859E" w14:textId="6202C886" w:rsidR="00603DEC" w:rsidRPr="0065414C" w:rsidRDefault="00603DEC" w:rsidP="00AB028F">
      <w:pPr>
        <w:pStyle w:val="BodyText"/>
        <w:rPr>
          <w:rFonts w:cs="Arial"/>
        </w:rPr>
      </w:pPr>
      <w:r w:rsidRPr="0065414C">
        <w:rPr>
          <w:rFonts w:cs="Arial"/>
        </w:rPr>
        <w:t>© Independent Hospital Pricing Authority 20</w:t>
      </w:r>
      <w:r w:rsidR="004F3938">
        <w:rPr>
          <w:rFonts w:cs="Arial"/>
        </w:rPr>
        <w:t>2</w:t>
      </w:r>
      <w:r w:rsidR="00E10063">
        <w:rPr>
          <w:rFonts w:cs="Arial"/>
        </w:rPr>
        <w:t>2</w:t>
      </w:r>
    </w:p>
    <w:p w14:paraId="7A40693C" w14:textId="77777777" w:rsidR="001C5C18" w:rsidRDefault="00AB028F" w:rsidP="00392586">
      <w:pPr>
        <w:pStyle w:val="BodyText"/>
        <w:ind w:right="4210"/>
        <w:rPr>
          <w:rFonts w:cs="Arial"/>
          <w:noProof/>
          <w:sz w:val="22"/>
          <w:lang w:eastAsia="en-AU" w:bidi="ar-SA"/>
        </w:rPr>
      </w:pPr>
      <w:r w:rsidRPr="0065414C">
        <w:rPr>
          <w:rFonts w:cs="Arial"/>
        </w:rPr>
        <w:t>This publication is available for your use under a Creative Commons BY Attribution 3.0 Australia licence, with the exception of the Independent Hospital Pricing Authority logo, photographs, images, signatures and where otherwise stated. The full licence terms are available from the Creative Commons website.</w:t>
      </w:r>
      <w:r w:rsidR="001C5C18" w:rsidRPr="001C5C18">
        <w:rPr>
          <w:rFonts w:cs="Arial"/>
          <w:noProof/>
          <w:sz w:val="22"/>
          <w:lang w:eastAsia="en-AU" w:bidi="ar-SA"/>
        </w:rPr>
        <w:t xml:space="preserve"> </w:t>
      </w:r>
    </w:p>
    <w:p w14:paraId="1E62CCB3" w14:textId="39B1EF91" w:rsidR="00C415F5" w:rsidRPr="0065414C" w:rsidRDefault="001C5C18" w:rsidP="00392586">
      <w:pPr>
        <w:pStyle w:val="BodyText"/>
        <w:ind w:right="4210"/>
        <w:rPr>
          <w:rFonts w:cs="Arial"/>
        </w:rPr>
      </w:pPr>
      <w:r w:rsidRPr="0065414C">
        <w:rPr>
          <w:rFonts w:cs="Arial"/>
          <w:noProof/>
          <w:sz w:val="22"/>
          <w:lang w:eastAsia="en-AU" w:bidi="ar-SA"/>
        </w:rPr>
        <w:drawing>
          <wp:inline distT="0" distB="0" distL="0" distR="0" wp14:anchorId="0C095366" wp14:editId="5CD12DDE">
            <wp:extent cx="1175004" cy="411480"/>
            <wp:effectExtent l="0" t="0" r="6350" b="7620"/>
            <wp:docPr id="4" name="Picture 4" descr="Creative Commons Attribution 3.0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3.0 Australia licence"/>
                    <pic:cNvPicPr/>
                  </pic:nvPicPr>
                  <pic:blipFill>
                    <a:blip r:embed="rId11">
                      <a:extLst>
                        <a:ext uri="{28A0092B-C50C-407E-A947-70E740481C1C}">
                          <a14:useLocalDpi xmlns:a14="http://schemas.microsoft.com/office/drawing/2010/main" val="0"/>
                        </a:ext>
                      </a:extLst>
                    </a:blip>
                    <a:stretch>
                      <a:fillRect/>
                    </a:stretch>
                  </pic:blipFill>
                  <pic:spPr>
                    <a:xfrm>
                      <a:off x="0" y="0"/>
                      <a:ext cx="1175004" cy="411480"/>
                    </a:xfrm>
                    <a:prstGeom prst="rect">
                      <a:avLst/>
                    </a:prstGeom>
                  </pic:spPr>
                </pic:pic>
              </a:graphicData>
            </a:graphic>
          </wp:inline>
        </w:drawing>
      </w:r>
    </w:p>
    <w:p w14:paraId="4F53C1BF" w14:textId="77777777" w:rsidR="00C415F5" w:rsidRPr="0065414C" w:rsidRDefault="00AB028F" w:rsidP="00392586">
      <w:pPr>
        <w:pStyle w:val="BodyText"/>
        <w:ind w:right="4210"/>
        <w:rPr>
          <w:rFonts w:cs="Arial"/>
        </w:rPr>
      </w:pPr>
      <w:r w:rsidRPr="0065414C">
        <w:rPr>
          <w:rFonts w:cs="Arial"/>
        </w:rPr>
        <w:t>Use of Independent Hospital Pricing Authority material under a Creative Commons BY Attribution 3.0 Australia licence requires you to attribute the work (but not in any way that suggests that the Independent Hospital Pricing Authority endorses you or your use of the work).</w:t>
      </w:r>
    </w:p>
    <w:p w14:paraId="5B3CAA9B" w14:textId="77777777" w:rsidR="00C415F5" w:rsidRPr="0065414C" w:rsidRDefault="00AB028F" w:rsidP="00392586">
      <w:pPr>
        <w:spacing w:before="166" w:line="256" w:lineRule="auto"/>
        <w:ind w:right="4210"/>
        <w:rPr>
          <w:rFonts w:cs="Arial"/>
          <w:i/>
          <w:sz w:val="19"/>
        </w:rPr>
      </w:pPr>
      <w:r w:rsidRPr="0065414C">
        <w:rPr>
          <w:rFonts w:cs="Arial"/>
          <w:i/>
          <w:color w:val="58595B"/>
          <w:sz w:val="19"/>
        </w:rPr>
        <w:t>Independent Hospital Pricing Authority material used 'as supplied'.</w:t>
      </w:r>
    </w:p>
    <w:p w14:paraId="4169DD91" w14:textId="77777777" w:rsidR="00AB028F" w:rsidRPr="0065414C" w:rsidRDefault="00AB028F" w:rsidP="00392586">
      <w:pPr>
        <w:spacing w:before="167"/>
        <w:ind w:right="4210"/>
        <w:rPr>
          <w:rFonts w:cs="Arial"/>
          <w:color w:val="58595B"/>
          <w:sz w:val="19"/>
          <w:szCs w:val="19"/>
        </w:rPr>
      </w:pPr>
      <w:r w:rsidRPr="0065414C">
        <w:rPr>
          <w:rFonts w:cs="Arial"/>
          <w:color w:val="58595B"/>
          <w:sz w:val="19"/>
          <w:szCs w:val="19"/>
        </w:rPr>
        <w:t>Provided you have not modified or transformed Independent Hospital Pricing Authority material in any way including, for example, by changing Independent Hospital Pricing Authority text – then the Independent Hospital Pricing Authority prefers the following attribution:</w:t>
      </w:r>
    </w:p>
    <w:p w14:paraId="1565D4AD" w14:textId="77777777" w:rsidR="00C415F5" w:rsidRPr="0065414C" w:rsidRDefault="00603DEC" w:rsidP="00392586">
      <w:pPr>
        <w:spacing w:before="167"/>
        <w:ind w:right="4210"/>
        <w:rPr>
          <w:rFonts w:cs="Arial"/>
          <w:i/>
          <w:sz w:val="19"/>
        </w:rPr>
      </w:pPr>
      <w:r w:rsidRPr="0065414C">
        <w:rPr>
          <w:rFonts w:cs="Arial"/>
          <w:i/>
          <w:color w:val="58595B"/>
          <w:sz w:val="19"/>
        </w:rPr>
        <w:t>Source: The Independent Hospital Pricing Authority</w:t>
      </w:r>
    </w:p>
    <w:p w14:paraId="7E9CB1E2" w14:textId="77777777" w:rsidR="00C415F5" w:rsidRPr="0065414C" w:rsidRDefault="00C415F5">
      <w:pPr>
        <w:rPr>
          <w:rFonts w:cs="Arial"/>
          <w:sz w:val="19"/>
        </w:rPr>
        <w:sectPr w:rsidR="00C415F5" w:rsidRPr="0065414C" w:rsidSect="00392586">
          <w:headerReference w:type="default" r:id="rId12"/>
          <w:pgSz w:w="11910" w:h="16840"/>
          <w:pgMar w:top="7797" w:right="1440" w:bottom="1440" w:left="1440" w:header="0" w:footer="0" w:gutter="0"/>
          <w:cols w:space="720"/>
          <w:docGrid w:linePitch="299"/>
        </w:sectPr>
      </w:pPr>
    </w:p>
    <w:p w14:paraId="5C611E6A" w14:textId="3CDA8DFA" w:rsidR="00C415F5" w:rsidRPr="0065414C" w:rsidRDefault="00603DEC" w:rsidP="0051182E">
      <w:pPr>
        <w:pStyle w:val="Heading1"/>
        <w:spacing w:before="0"/>
        <w:rPr>
          <w:rFonts w:cs="Arial"/>
        </w:rPr>
      </w:pPr>
      <w:bookmarkStart w:id="10" w:name="Table_of_contents"/>
      <w:bookmarkStart w:id="11" w:name="_Toc45809573"/>
      <w:bookmarkStart w:id="12" w:name="_Toc49953730"/>
      <w:bookmarkStart w:id="13" w:name="_Toc49954240"/>
      <w:bookmarkStart w:id="14" w:name="_Toc50446168"/>
      <w:bookmarkEnd w:id="10"/>
      <w:r w:rsidRPr="0065414C">
        <w:rPr>
          <w:rFonts w:cs="Arial"/>
        </w:rPr>
        <w:lastRenderedPageBreak/>
        <w:t xml:space="preserve">Table of </w:t>
      </w:r>
      <w:r w:rsidR="00B75056">
        <w:rPr>
          <w:rFonts w:cs="Arial"/>
        </w:rPr>
        <w:t>C</w:t>
      </w:r>
      <w:r w:rsidRPr="0065414C">
        <w:rPr>
          <w:rFonts w:cs="Arial"/>
        </w:rPr>
        <w:t>ontents</w:t>
      </w:r>
      <w:bookmarkEnd w:id="11"/>
      <w:bookmarkEnd w:id="12"/>
      <w:bookmarkEnd w:id="13"/>
      <w:bookmarkEnd w:id="14"/>
    </w:p>
    <w:p w14:paraId="7444BDC9" w14:textId="3D81B1EE" w:rsidR="00782B07" w:rsidRDefault="006765B9" w:rsidP="00782B07">
      <w:pPr>
        <w:pStyle w:val="TOC1"/>
        <w:numPr>
          <w:ilvl w:val="0"/>
          <w:numId w:val="0"/>
        </w:numPr>
        <w:tabs>
          <w:tab w:val="right" w:leader="dot" w:pos="9020"/>
        </w:tabs>
        <w:ind w:left="717" w:hanging="360"/>
        <w:rPr>
          <w:rFonts w:asciiTheme="minorHAnsi" w:eastAsiaTheme="minorEastAsia" w:hAnsiTheme="minorHAnsi" w:cstheme="minorBidi"/>
          <w:b w:val="0"/>
          <w:noProof/>
          <w:color w:val="auto"/>
          <w:sz w:val="22"/>
          <w:szCs w:val="22"/>
          <w:lang w:eastAsia="en-AU" w:bidi="ar-SA"/>
        </w:rPr>
      </w:pPr>
      <w:r w:rsidRPr="007A1BB9">
        <w:rPr>
          <w:rFonts w:cs="Arial"/>
        </w:rPr>
        <w:fldChar w:fldCharType="begin"/>
      </w:r>
      <w:r>
        <w:rPr>
          <w:rFonts w:cs="Arial"/>
        </w:rPr>
        <w:instrText xml:space="preserve"> TOC \o "2-2" \h \z \t "Section header,1" </w:instrText>
      </w:r>
      <w:r w:rsidRPr="007A1BB9">
        <w:rPr>
          <w:rFonts w:cs="Arial"/>
        </w:rPr>
        <w:fldChar w:fldCharType="separate"/>
      </w:r>
      <w:hyperlink w:anchor="_Toc71631299" w:history="1">
        <w:r w:rsidR="00782B07" w:rsidRPr="00FF1F9B">
          <w:rPr>
            <w:rStyle w:val="Hyperlink"/>
            <w:noProof/>
          </w:rPr>
          <w:t>Glossary</w:t>
        </w:r>
        <w:r w:rsidR="00782B07">
          <w:rPr>
            <w:noProof/>
            <w:webHidden/>
          </w:rPr>
          <w:tab/>
        </w:r>
        <w:r w:rsidR="00782B07">
          <w:rPr>
            <w:noProof/>
            <w:webHidden/>
          </w:rPr>
          <w:fldChar w:fldCharType="begin"/>
        </w:r>
        <w:r w:rsidR="00782B07">
          <w:rPr>
            <w:noProof/>
            <w:webHidden/>
          </w:rPr>
          <w:instrText xml:space="preserve"> PAGEREF _Toc71631299 \h </w:instrText>
        </w:r>
        <w:r w:rsidR="00782B07">
          <w:rPr>
            <w:noProof/>
            <w:webHidden/>
          </w:rPr>
        </w:r>
        <w:r w:rsidR="00782B07">
          <w:rPr>
            <w:noProof/>
            <w:webHidden/>
          </w:rPr>
          <w:fldChar w:fldCharType="separate"/>
        </w:r>
        <w:r w:rsidR="00BC4B23">
          <w:rPr>
            <w:noProof/>
            <w:webHidden/>
          </w:rPr>
          <w:t>1</w:t>
        </w:r>
        <w:r w:rsidR="00782B07">
          <w:rPr>
            <w:noProof/>
            <w:webHidden/>
          </w:rPr>
          <w:fldChar w:fldCharType="end"/>
        </w:r>
      </w:hyperlink>
    </w:p>
    <w:p w14:paraId="0C31C65A" w14:textId="7BE36879" w:rsidR="00782B07" w:rsidRDefault="00BC4B23">
      <w:pPr>
        <w:pStyle w:val="TOC1"/>
        <w:tabs>
          <w:tab w:val="right" w:leader="dot" w:pos="9020"/>
        </w:tabs>
        <w:rPr>
          <w:rFonts w:asciiTheme="minorHAnsi" w:eastAsiaTheme="minorEastAsia" w:hAnsiTheme="minorHAnsi" w:cstheme="minorBidi"/>
          <w:b w:val="0"/>
          <w:noProof/>
          <w:color w:val="auto"/>
          <w:sz w:val="22"/>
          <w:szCs w:val="22"/>
          <w:lang w:eastAsia="en-AU" w:bidi="ar-SA"/>
        </w:rPr>
      </w:pPr>
      <w:hyperlink w:anchor="_Toc71631300" w:history="1">
        <w:r w:rsidR="00782B07" w:rsidRPr="00FF1F9B">
          <w:rPr>
            <w:rStyle w:val="Hyperlink"/>
            <w:noProof/>
          </w:rPr>
          <w:t>Introduction</w:t>
        </w:r>
        <w:r w:rsidR="00782B07">
          <w:rPr>
            <w:noProof/>
            <w:webHidden/>
          </w:rPr>
          <w:tab/>
        </w:r>
        <w:r w:rsidR="00782B07">
          <w:rPr>
            <w:noProof/>
            <w:webHidden/>
          </w:rPr>
          <w:fldChar w:fldCharType="begin"/>
        </w:r>
        <w:r w:rsidR="00782B07">
          <w:rPr>
            <w:noProof/>
            <w:webHidden/>
          </w:rPr>
          <w:instrText xml:space="preserve"> PAGEREF _Toc71631300 \h </w:instrText>
        </w:r>
        <w:r w:rsidR="00782B07">
          <w:rPr>
            <w:noProof/>
            <w:webHidden/>
          </w:rPr>
        </w:r>
        <w:r w:rsidR="00782B07">
          <w:rPr>
            <w:noProof/>
            <w:webHidden/>
          </w:rPr>
          <w:fldChar w:fldCharType="separate"/>
        </w:r>
        <w:r>
          <w:rPr>
            <w:noProof/>
            <w:webHidden/>
          </w:rPr>
          <w:t>2</w:t>
        </w:r>
        <w:r w:rsidR="00782B07">
          <w:rPr>
            <w:noProof/>
            <w:webHidden/>
          </w:rPr>
          <w:fldChar w:fldCharType="end"/>
        </w:r>
      </w:hyperlink>
    </w:p>
    <w:p w14:paraId="6C9327C2" w14:textId="53C62F9B" w:rsidR="00782B07" w:rsidRDefault="00BC4B23">
      <w:pPr>
        <w:pStyle w:val="TOC1"/>
        <w:tabs>
          <w:tab w:val="right" w:leader="dot" w:pos="9020"/>
        </w:tabs>
        <w:rPr>
          <w:rFonts w:asciiTheme="minorHAnsi" w:eastAsiaTheme="minorEastAsia" w:hAnsiTheme="minorHAnsi" w:cstheme="minorBidi"/>
          <w:b w:val="0"/>
          <w:noProof/>
          <w:color w:val="auto"/>
          <w:sz w:val="22"/>
          <w:szCs w:val="22"/>
          <w:lang w:eastAsia="en-AU" w:bidi="ar-SA"/>
        </w:rPr>
      </w:pPr>
      <w:hyperlink w:anchor="_Toc71631301" w:history="1">
        <w:r w:rsidR="00782B07" w:rsidRPr="00FF1F9B">
          <w:rPr>
            <w:rStyle w:val="Hyperlink"/>
            <w:noProof/>
          </w:rPr>
          <w:t>Impact of COVID-19</w:t>
        </w:r>
        <w:r w:rsidR="00782B07">
          <w:rPr>
            <w:noProof/>
            <w:webHidden/>
          </w:rPr>
          <w:tab/>
        </w:r>
        <w:r w:rsidR="00782B07">
          <w:rPr>
            <w:noProof/>
            <w:webHidden/>
          </w:rPr>
          <w:fldChar w:fldCharType="begin"/>
        </w:r>
        <w:r w:rsidR="00782B07">
          <w:rPr>
            <w:noProof/>
            <w:webHidden/>
          </w:rPr>
          <w:instrText xml:space="preserve"> PAGEREF _Toc71631301 \h </w:instrText>
        </w:r>
        <w:r w:rsidR="00782B07">
          <w:rPr>
            <w:noProof/>
            <w:webHidden/>
          </w:rPr>
        </w:r>
        <w:r w:rsidR="00782B07">
          <w:rPr>
            <w:noProof/>
            <w:webHidden/>
          </w:rPr>
          <w:fldChar w:fldCharType="separate"/>
        </w:r>
        <w:r>
          <w:rPr>
            <w:noProof/>
            <w:webHidden/>
          </w:rPr>
          <w:t>5</w:t>
        </w:r>
        <w:r w:rsidR="00782B07">
          <w:rPr>
            <w:noProof/>
            <w:webHidden/>
          </w:rPr>
          <w:fldChar w:fldCharType="end"/>
        </w:r>
      </w:hyperlink>
    </w:p>
    <w:p w14:paraId="79110C27" w14:textId="47D34B7C" w:rsidR="00782B07" w:rsidRDefault="00BC4B23">
      <w:pPr>
        <w:pStyle w:val="TOC1"/>
        <w:tabs>
          <w:tab w:val="right" w:leader="dot" w:pos="9020"/>
        </w:tabs>
        <w:rPr>
          <w:rFonts w:asciiTheme="minorHAnsi" w:eastAsiaTheme="minorEastAsia" w:hAnsiTheme="minorHAnsi" w:cstheme="minorBidi"/>
          <w:b w:val="0"/>
          <w:noProof/>
          <w:color w:val="auto"/>
          <w:sz w:val="22"/>
          <w:szCs w:val="22"/>
          <w:lang w:eastAsia="en-AU" w:bidi="ar-SA"/>
        </w:rPr>
      </w:pPr>
      <w:hyperlink w:anchor="_Toc71631304" w:history="1">
        <w:r w:rsidR="00D5692B" w:rsidRPr="00FF1F9B">
          <w:rPr>
            <w:rStyle w:val="Hyperlink"/>
            <w:noProof/>
          </w:rPr>
          <w:t>The Pricing Guidelines</w:t>
        </w:r>
        <w:r w:rsidR="00D5692B">
          <w:rPr>
            <w:noProof/>
            <w:webHidden/>
          </w:rPr>
          <w:tab/>
          <w:t>8</w:t>
        </w:r>
      </w:hyperlink>
    </w:p>
    <w:p w14:paraId="5359483E" w14:textId="7C8D364A" w:rsidR="00782B07" w:rsidRDefault="00BC4B23">
      <w:pPr>
        <w:pStyle w:val="TOC1"/>
        <w:tabs>
          <w:tab w:val="right" w:leader="dot" w:pos="9020"/>
        </w:tabs>
        <w:rPr>
          <w:rFonts w:asciiTheme="minorHAnsi" w:eastAsiaTheme="minorEastAsia" w:hAnsiTheme="minorHAnsi" w:cstheme="minorBidi"/>
          <w:b w:val="0"/>
          <w:noProof/>
          <w:color w:val="auto"/>
          <w:sz w:val="22"/>
          <w:szCs w:val="22"/>
          <w:lang w:eastAsia="en-AU" w:bidi="ar-SA"/>
        </w:rPr>
      </w:pPr>
      <w:hyperlink w:anchor="_Toc71631306" w:history="1">
        <w:r w:rsidR="00D5692B" w:rsidRPr="00FF1F9B">
          <w:rPr>
            <w:rStyle w:val="Hyperlink"/>
            <w:noProof/>
          </w:rPr>
          <w:t>Scope of public hospital services</w:t>
        </w:r>
        <w:r w:rsidR="00D5692B">
          <w:rPr>
            <w:noProof/>
            <w:webHidden/>
          </w:rPr>
          <w:tab/>
        </w:r>
        <w:r w:rsidR="00D5692B">
          <w:rPr>
            <w:noProof/>
            <w:webHidden/>
          </w:rPr>
          <w:fldChar w:fldCharType="begin"/>
        </w:r>
        <w:r w:rsidR="00D5692B">
          <w:rPr>
            <w:noProof/>
            <w:webHidden/>
          </w:rPr>
          <w:instrText xml:space="preserve"> PAGEREF _Toc71631306 \h </w:instrText>
        </w:r>
        <w:r w:rsidR="00D5692B">
          <w:rPr>
            <w:noProof/>
            <w:webHidden/>
          </w:rPr>
        </w:r>
        <w:r w:rsidR="00D5692B">
          <w:rPr>
            <w:noProof/>
            <w:webHidden/>
          </w:rPr>
          <w:fldChar w:fldCharType="separate"/>
        </w:r>
        <w:r>
          <w:rPr>
            <w:noProof/>
            <w:webHidden/>
          </w:rPr>
          <w:t>11</w:t>
        </w:r>
        <w:r w:rsidR="00D5692B">
          <w:rPr>
            <w:noProof/>
            <w:webHidden/>
          </w:rPr>
          <w:fldChar w:fldCharType="end"/>
        </w:r>
      </w:hyperlink>
    </w:p>
    <w:p w14:paraId="513AA0E0" w14:textId="5B682534" w:rsidR="00782B07" w:rsidRDefault="00BC4B23">
      <w:pPr>
        <w:pStyle w:val="TOC1"/>
        <w:tabs>
          <w:tab w:val="right" w:leader="dot" w:pos="9020"/>
        </w:tabs>
        <w:rPr>
          <w:rFonts w:asciiTheme="minorHAnsi" w:eastAsiaTheme="minorEastAsia" w:hAnsiTheme="minorHAnsi" w:cstheme="minorBidi"/>
          <w:b w:val="0"/>
          <w:noProof/>
          <w:color w:val="auto"/>
          <w:sz w:val="22"/>
          <w:szCs w:val="22"/>
          <w:lang w:eastAsia="en-AU" w:bidi="ar-SA"/>
        </w:rPr>
      </w:pPr>
      <w:hyperlink w:anchor="_Toc71631308" w:history="1">
        <w:r w:rsidR="00D5692B" w:rsidRPr="00FF1F9B">
          <w:rPr>
            <w:rStyle w:val="Hyperlink"/>
            <w:noProof/>
          </w:rPr>
          <w:t>Classifications used to describe and price public hospital services</w:t>
        </w:r>
        <w:r w:rsidR="00D5692B">
          <w:rPr>
            <w:noProof/>
            <w:webHidden/>
          </w:rPr>
          <w:tab/>
        </w:r>
        <w:r w:rsidR="00D5692B">
          <w:rPr>
            <w:noProof/>
            <w:webHidden/>
          </w:rPr>
          <w:fldChar w:fldCharType="begin"/>
        </w:r>
        <w:r w:rsidR="00D5692B">
          <w:rPr>
            <w:noProof/>
            <w:webHidden/>
          </w:rPr>
          <w:instrText xml:space="preserve"> PAGEREF _Toc71631308 \h </w:instrText>
        </w:r>
        <w:r w:rsidR="00D5692B">
          <w:rPr>
            <w:noProof/>
            <w:webHidden/>
          </w:rPr>
        </w:r>
        <w:r w:rsidR="00D5692B">
          <w:rPr>
            <w:noProof/>
            <w:webHidden/>
          </w:rPr>
          <w:fldChar w:fldCharType="separate"/>
        </w:r>
        <w:r>
          <w:rPr>
            <w:noProof/>
            <w:webHidden/>
          </w:rPr>
          <w:t>13</w:t>
        </w:r>
        <w:r w:rsidR="00D5692B">
          <w:rPr>
            <w:noProof/>
            <w:webHidden/>
          </w:rPr>
          <w:fldChar w:fldCharType="end"/>
        </w:r>
      </w:hyperlink>
    </w:p>
    <w:p w14:paraId="3F4C6B19" w14:textId="6BB3C033" w:rsidR="00782B07" w:rsidRDefault="00BC4B23">
      <w:pPr>
        <w:pStyle w:val="TOC1"/>
        <w:tabs>
          <w:tab w:val="right" w:leader="dot" w:pos="9020"/>
        </w:tabs>
        <w:rPr>
          <w:rFonts w:asciiTheme="minorHAnsi" w:eastAsiaTheme="minorEastAsia" w:hAnsiTheme="minorHAnsi" w:cstheme="minorBidi"/>
          <w:b w:val="0"/>
          <w:noProof/>
          <w:color w:val="auto"/>
          <w:sz w:val="22"/>
          <w:szCs w:val="22"/>
          <w:lang w:eastAsia="en-AU" w:bidi="ar-SA"/>
        </w:rPr>
      </w:pPr>
      <w:hyperlink w:anchor="_Toc71631316" w:history="1">
        <w:r w:rsidR="00782B07" w:rsidRPr="00FF1F9B">
          <w:rPr>
            <w:rStyle w:val="Hyperlink"/>
            <w:noProof/>
          </w:rPr>
          <w:t>Setting the national efficient price</w:t>
        </w:r>
        <w:r w:rsidR="00782B07">
          <w:rPr>
            <w:noProof/>
            <w:webHidden/>
          </w:rPr>
          <w:tab/>
        </w:r>
        <w:r w:rsidR="00D5692B">
          <w:rPr>
            <w:noProof/>
            <w:webHidden/>
          </w:rPr>
          <w:t>20</w:t>
        </w:r>
      </w:hyperlink>
    </w:p>
    <w:p w14:paraId="21DB85F6" w14:textId="4832B4C8" w:rsidR="00782B07" w:rsidRDefault="00BC4B23">
      <w:pPr>
        <w:pStyle w:val="TOC1"/>
        <w:tabs>
          <w:tab w:val="right" w:leader="dot" w:pos="9020"/>
        </w:tabs>
        <w:rPr>
          <w:rFonts w:asciiTheme="minorHAnsi" w:eastAsiaTheme="minorEastAsia" w:hAnsiTheme="minorHAnsi" w:cstheme="minorBidi"/>
          <w:b w:val="0"/>
          <w:noProof/>
          <w:color w:val="auto"/>
          <w:sz w:val="22"/>
          <w:szCs w:val="22"/>
          <w:lang w:eastAsia="en-AU" w:bidi="ar-SA"/>
        </w:rPr>
      </w:pPr>
      <w:hyperlink w:anchor="_Toc71631326" w:history="1">
        <w:r w:rsidR="00782162" w:rsidRPr="00FF1F9B">
          <w:rPr>
            <w:rStyle w:val="Hyperlink"/>
            <w:noProof/>
          </w:rPr>
          <w:t>Setting the national efficient cost</w:t>
        </w:r>
        <w:r w:rsidR="00782162">
          <w:rPr>
            <w:noProof/>
            <w:webHidden/>
          </w:rPr>
          <w:tab/>
        </w:r>
        <w:r w:rsidR="00782162">
          <w:rPr>
            <w:noProof/>
            <w:webHidden/>
          </w:rPr>
          <w:fldChar w:fldCharType="begin"/>
        </w:r>
        <w:r w:rsidR="00782162">
          <w:rPr>
            <w:noProof/>
            <w:webHidden/>
          </w:rPr>
          <w:instrText xml:space="preserve"> PAGEREF _Toc71631326 \h </w:instrText>
        </w:r>
        <w:r w:rsidR="00782162">
          <w:rPr>
            <w:noProof/>
            <w:webHidden/>
          </w:rPr>
        </w:r>
        <w:r w:rsidR="00782162">
          <w:rPr>
            <w:noProof/>
            <w:webHidden/>
          </w:rPr>
          <w:fldChar w:fldCharType="separate"/>
        </w:r>
        <w:r>
          <w:rPr>
            <w:noProof/>
            <w:webHidden/>
          </w:rPr>
          <w:t>24</w:t>
        </w:r>
        <w:r w:rsidR="00782162">
          <w:rPr>
            <w:noProof/>
            <w:webHidden/>
          </w:rPr>
          <w:fldChar w:fldCharType="end"/>
        </w:r>
      </w:hyperlink>
    </w:p>
    <w:p w14:paraId="58BF1E25" w14:textId="40E3886B" w:rsidR="00782B07" w:rsidRDefault="00BC4B23">
      <w:pPr>
        <w:pStyle w:val="TOC1"/>
        <w:tabs>
          <w:tab w:val="right" w:leader="dot" w:pos="9020"/>
        </w:tabs>
        <w:rPr>
          <w:rFonts w:asciiTheme="minorHAnsi" w:eastAsiaTheme="minorEastAsia" w:hAnsiTheme="minorHAnsi" w:cstheme="minorBidi"/>
          <w:b w:val="0"/>
          <w:noProof/>
          <w:color w:val="auto"/>
          <w:sz w:val="22"/>
          <w:szCs w:val="22"/>
          <w:lang w:eastAsia="en-AU" w:bidi="ar-SA"/>
        </w:rPr>
      </w:pPr>
      <w:hyperlink w:anchor="_Toc71631330" w:history="1">
        <w:r w:rsidR="00782162" w:rsidRPr="00FF1F9B">
          <w:rPr>
            <w:rStyle w:val="Hyperlink"/>
            <w:noProof/>
          </w:rPr>
          <w:t>Future funding models</w:t>
        </w:r>
        <w:r w:rsidR="00782162">
          <w:rPr>
            <w:noProof/>
            <w:webHidden/>
          </w:rPr>
          <w:tab/>
        </w:r>
        <w:r w:rsidR="00782162">
          <w:rPr>
            <w:noProof/>
            <w:webHidden/>
          </w:rPr>
          <w:fldChar w:fldCharType="begin"/>
        </w:r>
        <w:r w:rsidR="00782162">
          <w:rPr>
            <w:noProof/>
            <w:webHidden/>
          </w:rPr>
          <w:instrText xml:space="preserve"> PAGEREF _Toc71631330 \h </w:instrText>
        </w:r>
        <w:r w:rsidR="00782162">
          <w:rPr>
            <w:noProof/>
            <w:webHidden/>
          </w:rPr>
        </w:r>
        <w:r w:rsidR="00782162">
          <w:rPr>
            <w:noProof/>
            <w:webHidden/>
          </w:rPr>
          <w:fldChar w:fldCharType="separate"/>
        </w:r>
        <w:r>
          <w:rPr>
            <w:noProof/>
            <w:webHidden/>
          </w:rPr>
          <w:t>27</w:t>
        </w:r>
        <w:r w:rsidR="00782162">
          <w:rPr>
            <w:noProof/>
            <w:webHidden/>
          </w:rPr>
          <w:fldChar w:fldCharType="end"/>
        </w:r>
      </w:hyperlink>
    </w:p>
    <w:p w14:paraId="7B2AB818" w14:textId="256DCC36" w:rsidR="00782B07" w:rsidRDefault="00BC4B23">
      <w:pPr>
        <w:pStyle w:val="TOC1"/>
        <w:tabs>
          <w:tab w:val="right" w:leader="dot" w:pos="9020"/>
        </w:tabs>
        <w:rPr>
          <w:rFonts w:asciiTheme="minorHAnsi" w:eastAsiaTheme="minorEastAsia" w:hAnsiTheme="minorHAnsi" w:cstheme="minorBidi"/>
          <w:b w:val="0"/>
          <w:noProof/>
          <w:color w:val="auto"/>
          <w:sz w:val="22"/>
          <w:szCs w:val="22"/>
          <w:lang w:eastAsia="en-AU" w:bidi="ar-SA"/>
        </w:rPr>
      </w:pPr>
      <w:hyperlink w:anchor="_Toc71631334" w:history="1">
        <w:r w:rsidR="00782162" w:rsidRPr="00FF1F9B">
          <w:rPr>
            <w:rStyle w:val="Hyperlink"/>
            <w:noProof/>
          </w:rPr>
          <w:t>Pricing and funding for safety and quality</w:t>
        </w:r>
        <w:r w:rsidR="00782162">
          <w:rPr>
            <w:noProof/>
            <w:webHidden/>
          </w:rPr>
          <w:tab/>
        </w:r>
        <w:r w:rsidR="00782162">
          <w:rPr>
            <w:noProof/>
            <w:webHidden/>
          </w:rPr>
          <w:fldChar w:fldCharType="begin"/>
        </w:r>
        <w:r w:rsidR="00782162">
          <w:rPr>
            <w:noProof/>
            <w:webHidden/>
          </w:rPr>
          <w:instrText xml:space="preserve"> PAGEREF _Toc71631334 \h </w:instrText>
        </w:r>
        <w:r w:rsidR="00782162">
          <w:rPr>
            <w:noProof/>
            <w:webHidden/>
          </w:rPr>
        </w:r>
        <w:r w:rsidR="00782162">
          <w:rPr>
            <w:noProof/>
            <w:webHidden/>
          </w:rPr>
          <w:fldChar w:fldCharType="separate"/>
        </w:r>
        <w:r>
          <w:rPr>
            <w:noProof/>
            <w:webHidden/>
          </w:rPr>
          <w:t>31</w:t>
        </w:r>
        <w:r w:rsidR="00782162">
          <w:rPr>
            <w:noProof/>
            <w:webHidden/>
          </w:rPr>
          <w:fldChar w:fldCharType="end"/>
        </w:r>
      </w:hyperlink>
    </w:p>
    <w:p w14:paraId="7F25A970" w14:textId="32A7A651" w:rsidR="00782B07" w:rsidRDefault="00BC4B23" w:rsidP="00782B07">
      <w:pPr>
        <w:pStyle w:val="TOC1"/>
        <w:numPr>
          <w:ilvl w:val="0"/>
          <w:numId w:val="0"/>
        </w:numPr>
        <w:tabs>
          <w:tab w:val="right" w:leader="dot" w:pos="9020"/>
        </w:tabs>
        <w:ind w:left="717" w:hanging="360"/>
        <w:rPr>
          <w:rFonts w:asciiTheme="minorHAnsi" w:eastAsiaTheme="minorEastAsia" w:hAnsiTheme="minorHAnsi" w:cstheme="minorBidi"/>
          <w:b w:val="0"/>
          <w:noProof/>
          <w:color w:val="auto"/>
          <w:sz w:val="22"/>
          <w:szCs w:val="22"/>
          <w:lang w:eastAsia="en-AU" w:bidi="ar-SA"/>
        </w:rPr>
      </w:pPr>
      <w:hyperlink w:anchor="_Toc71631341" w:history="1">
        <w:r w:rsidR="00782162" w:rsidRPr="00FF1F9B">
          <w:rPr>
            <w:rStyle w:val="Hyperlink"/>
            <w:noProof/>
          </w:rPr>
          <w:t>Appendix A: Consultation questions</w:t>
        </w:r>
        <w:r w:rsidR="00782162">
          <w:rPr>
            <w:noProof/>
            <w:webHidden/>
          </w:rPr>
          <w:tab/>
        </w:r>
        <w:r w:rsidR="00782162">
          <w:rPr>
            <w:noProof/>
            <w:webHidden/>
          </w:rPr>
          <w:fldChar w:fldCharType="begin"/>
        </w:r>
        <w:r w:rsidR="00782162">
          <w:rPr>
            <w:noProof/>
            <w:webHidden/>
          </w:rPr>
          <w:instrText xml:space="preserve"> PAGEREF _Toc71631341 \h </w:instrText>
        </w:r>
        <w:r w:rsidR="00782162">
          <w:rPr>
            <w:noProof/>
            <w:webHidden/>
          </w:rPr>
        </w:r>
        <w:r w:rsidR="00782162">
          <w:rPr>
            <w:noProof/>
            <w:webHidden/>
          </w:rPr>
          <w:fldChar w:fldCharType="separate"/>
        </w:r>
        <w:r>
          <w:rPr>
            <w:noProof/>
            <w:webHidden/>
          </w:rPr>
          <w:t>34</w:t>
        </w:r>
        <w:r w:rsidR="00782162">
          <w:rPr>
            <w:noProof/>
            <w:webHidden/>
          </w:rPr>
          <w:fldChar w:fldCharType="end"/>
        </w:r>
      </w:hyperlink>
    </w:p>
    <w:p w14:paraId="29C4BDAF" w14:textId="4D9BFCF9" w:rsidR="00580880" w:rsidRPr="00580880" w:rsidRDefault="006765B9" w:rsidP="001C5C18">
      <w:pPr>
        <w:pStyle w:val="TOC1"/>
        <w:numPr>
          <w:ilvl w:val="0"/>
          <w:numId w:val="0"/>
        </w:numPr>
        <w:tabs>
          <w:tab w:val="right" w:pos="9030"/>
        </w:tabs>
        <w:spacing w:before="100" w:beforeAutospacing="1" w:after="100" w:afterAutospacing="1" w:line="360" w:lineRule="auto"/>
        <w:ind w:left="717"/>
        <w:sectPr w:rsidR="00580880" w:rsidRPr="00580880" w:rsidSect="00603DEC">
          <w:headerReference w:type="default" r:id="rId13"/>
          <w:pgSz w:w="11910" w:h="16840"/>
          <w:pgMar w:top="1440" w:right="1440" w:bottom="1440" w:left="1440" w:header="0" w:footer="0" w:gutter="0"/>
          <w:cols w:space="720"/>
        </w:sectPr>
      </w:pPr>
      <w:r w:rsidRPr="007A1BB9">
        <w:rPr>
          <w:rFonts w:cs="Arial"/>
        </w:rPr>
        <w:fldChar w:fldCharType="end"/>
      </w:r>
    </w:p>
    <w:p w14:paraId="7BAD9AD8" w14:textId="77777777" w:rsidR="00C415F5" w:rsidRPr="0065414C" w:rsidRDefault="00603DEC" w:rsidP="00295921">
      <w:pPr>
        <w:pStyle w:val="Sectionheader"/>
        <w:spacing w:after="520"/>
      </w:pPr>
      <w:bookmarkStart w:id="15" w:name="Glossary"/>
      <w:bookmarkStart w:id="16" w:name="_bookmark0"/>
      <w:bookmarkStart w:id="17" w:name="_Toc49953731"/>
      <w:bookmarkStart w:id="18" w:name="_Toc71631299"/>
      <w:bookmarkEnd w:id="15"/>
      <w:bookmarkEnd w:id="16"/>
      <w:r w:rsidRPr="0065414C">
        <w:lastRenderedPageBreak/>
        <w:t>Glossary</w:t>
      </w:r>
      <w:bookmarkEnd w:id="17"/>
      <w:bookmarkEnd w:id="18"/>
    </w:p>
    <w:tbl>
      <w:tblPr>
        <w:tblStyle w:val="TableGridLight"/>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1"/>
        <w:gridCol w:w="7241"/>
      </w:tblGrid>
      <w:tr w:rsidR="00391CF0" w:rsidRPr="0065414C" w14:paraId="799C1E92" w14:textId="77777777" w:rsidTr="00395A1D">
        <w:trPr>
          <w:trHeight w:val="298"/>
        </w:trPr>
        <w:tc>
          <w:tcPr>
            <w:tcW w:w="1831" w:type="dxa"/>
          </w:tcPr>
          <w:p w14:paraId="4E1A3A1E" w14:textId="77777777" w:rsidR="00391CF0" w:rsidRPr="0065414C" w:rsidRDefault="00391CF0" w:rsidP="004F3938">
            <w:pPr>
              <w:pStyle w:val="TableParagraph"/>
              <w:spacing w:after="62"/>
              <w:rPr>
                <w:rFonts w:cs="Arial"/>
                <w:b/>
                <w:bCs/>
              </w:rPr>
            </w:pPr>
            <w:r w:rsidRPr="0065414C">
              <w:rPr>
                <w:rFonts w:cs="Arial"/>
                <w:b/>
                <w:bCs/>
              </w:rPr>
              <w:t>ABF</w:t>
            </w:r>
          </w:p>
        </w:tc>
        <w:tc>
          <w:tcPr>
            <w:tcW w:w="7241" w:type="dxa"/>
          </w:tcPr>
          <w:p w14:paraId="5F346F3B" w14:textId="51DCC4FA" w:rsidR="00391CF0" w:rsidRPr="0065414C" w:rsidRDefault="00391CF0" w:rsidP="004F3938">
            <w:pPr>
              <w:pStyle w:val="TableParagraph"/>
              <w:spacing w:after="62"/>
              <w:rPr>
                <w:rFonts w:cs="Arial"/>
              </w:rPr>
            </w:pPr>
            <w:r w:rsidRPr="0065414C">
              <w:rPr>
                <w:rFonts w:cs="Arial"/>
              </w:rPr>
              <w:t xml:space="preserve">Activity </w:t>
            </w:r>
            <w:r w:rsidR="004F3938">
              <w:rPr>
                <w:rFonts w:cs="Arial"/>
              </w:rPr>
              <w:t>b</w:t>
            </w:r>
            <w:r w:rsidRPr="0065414C">
              <w:rPr>
                <w:rFonts w:cs="Arial"/>
              </w:rPr>
              <w:t xml:space="preserve">ased </w:t>
            </w:r>
            <w:r w:rsidR="004F3938">
              <w:rPr>
                <w:rFonts w:cs="Arial"/>
              </w:rPr>
              <w:t>f</w:t>
            </w:r>
            <w:r w:rsidRPr="0065414C">
              <w:rPr>
                <w:rFonts w:cs="Arial"/>
              </w:rPr>
              <w:t>unding</w:t>
            </w:r>
          </w:p>
        </w:tc>
      </w:tr>
      <w:tr w:rsidR="00391CF0" w:rsidRPr="0065414C" w14:paraId="6CE6D815" w14:textId="77777777" w:rsidTr="00395A1D">
        <w:trPr>
          <w:trHeight w:val="362"/>
        </w:trPr>
        <w:tc>
          <w:tcPr>
            <w:tcW w:w="1831" w:type="dxa"/>
          </w:tcPr>
          <w:p w14:paraId="754DB5B5" w14:textId="77777777" w:rsidR="00391CF0" w:rsidRPr="0065414C" w:rsidRDefault="00391CF0" w:rsidP="004F3938">
            <w:pPr>
              <w:pStyle w:val="TableParagraph"/>
              <w:spacing w:after="62"/>
              <w:rPr>
                <w:rFonts w:cs="Arial"/>
                <w:b/>
                <w:bCs/>
              </w:rPr>
            </w:pPr>
            <w:r w:rsidRPr="0065414C">
              <w:rPr>
                <w:rFonts w:cs="Arial"/>
                <w:b/>
                <w:bCs/>
              </w:rPr>
              <w:t>ACHI</w:t>
            </w:r>
          </w:p>
        </w:tc>
        <w:tc>
          <w:tcPr>
            <w:tcW w:w="7241" w:type="dxa"/>
          </w:tcPr>
          <w:p w14:paraId="4140C588" w14:textId="77777777" w:rsidR="00391CF0" w:rsidRPr="0065414C" w:rsidRDefault="00391CF0" w:rsidP="004F3938">
            <w:pPr>
              <w:pStyle w:val="TableParagraph"/>
              <w:spacing w:after="62"/>
              <w:rPr>
                <w:rFonts w:cs="Arial"/>
              </w:rPr>
            </w:pPr>
            <w:r w:rsidRPr="0065414C">
              <w:rPr>
                <w:rFonts w:cs="Arial"/>
              </w:rPr>
              <w:t>Australian Classification of Health Interventions</w:t>
            </w:r>
          </w:p>
        </w:tc>
      </w:tr>
      <w:tr w:rsidR="00391CF0" w:rsidRPr="0065414C" w14:paraId="1B46F0F2" w14:textId="77777777" w:rsidTr="00395A1D">
        <w:trPr>
          <w:trHeight w:val="362"/>
        </w:trPr>
        <w:tc>
          <w:tcPr>
            <w:tcW w:w="1831" w:type="dxa"/>
          </w:tcPr>
          <w:p w14:paraId="6EFC8A1F" w14:textId="77777777" w:rsidR="00391CF0" w:rsidRPr="0065414C" w:rsidRDefault="00391CF0" w:rsidP="004F3938">
            <w:pPr>
              <w:pStyle w:val="TableParagraph"/>
              <w:spacing w:after="62"/>
              <w:rPr>
                <w:rFonts w:cs="Arial"/>
                <w:b/>
                <w:bCs/>
              </w:rPr>
            </w:pPr>
            <w:r w:rsidRPr="0065414C">
              <w:rPr>
                <w:rFonts w:cs="Arial"/>
                <w:b/>
                <w:bCs/>
              </w:rPr>
              <w:t>ACS</w:t>
            </w:r>
          </w:p>
        </w:tc>
        <w:tc>
          <w:tcPr>
            <w:tcW w:w="7241" w:type="dxa"/>
          </w:tcPr>
          <w:p w14:paraId="694BC810" w14:textId="77777777" w:rsidR="00391CF0" w:rsidRPr="0065414C" w:rsidRDefault="00391CF0" w:rsidP="004F3938">
            <w:pPr>
              <w:pStyle w:val="TableParagraph"/>
              <w:spacing w:after="62"/>
              <w:rPr>
                <w:rFonts w:cs="Arial"/>
              </w:rPr>
            </w:pPr>
            <w:r w:rsidRPr="0065414C">
              <w:rPr>
                <w:rFonts w:cs="Arial"/>
              </w:rPr>
              <w:t>Australian Coding Standards</w:t>
            </w:r>
          </w:p>
        </w:tc>
      </w:tr>
      <w:tr w:rsidR="00391CF0" w:rsidRPr="0065414C" w14:paraId="7DC76AB4" w14:textId="77777777" w:rsidTr="00395A1D">
        <w:trPr>
          <w:trHeight w:val="362"/>
        </w:trPr>
        <w:tc>
          <w:tcPr>
            <w:tcW w:w="1831" w:type="dxa"/>
          </w:tcPr>
          <w:p w14:paraId="12B3F0CC" w14:textId="77777777" w:rsidR="00391CF0" w:rsidRPr="0065414C" w:rsidRDefault="00391CF0" w:rsidP="004F3938">
            <w:pPr>
              <w:pStyle w:val="TableParagraph"/>
              <w:spacing w:after="62"/>
              <w:rPr>
                <w:rFonts w:cs="Arial"/>
                <w:b/>
                <w:bCs/>
              </w:rPr>
            </w:pPr>
            <w:r w:rsidRPr="0065414C">
              <w:rPr>
                <w:rFonts w:cs="Arial"/>
                <w:b/>
                <w:bCs/>
              </w:rPr>
              <w:t>AECC</w:t>
            </w:r>
          </w:p>
        </w:tc>
        <w:tc>
          <w:tcPr>
            <w:tcW w:w="7241" w:type="dxa"/>
          </w:tcPr>
          <w:p w14:paraId="1C297703" w14:textId="77777777" w:rsidR="00391CF0" w:rsidRPr="0065414C" w:rsidRDefault="00391CF0" w:rsidP="004F3938">
            <w:pPr>
              <w:pStyle w:val="TableParagraph"/>
              <w:spacing w:after="62"/>
              <w:rPr>
                <w:rFonts w:cs="Arial"/>
              </w:rPr>
            </w:pPr>
            <w:r w:rsidRPr="0065414C">
              <w:rPr>
                <w:rFonts w:cs="Arial"/>
              </w:rPr>
              <w:t>Australian Emergency Care Classification</w:t>
            </w:r>
          </w:p>
        </w:tc>
      </w:tr>
      <w:tr w:rsidR="00391CF0" w:rsidRPr="0065414C" w14:paraId="3456C608" w14:textId="77777777" w:rsidTr="00395A1D">
        <w:trPr>
          <w:trHeight w:val="362"/>
        </w:trPr>
        <w:tc>
          <w:tcPr>
            <w:tcW w:w="1831" w:type="dxa"/>
          </w:tcPr>
          <w:p w14:paraId="43A2F03F" w14:textId="77777777" w:rsidR="00391CF0" w:rsidRPr="0065414C" w:rsidRDefault="00391CF0" w:rsidP="004F3938">
            <w:pPr>
              <w:pStyle w:val="TableParagraph"/>
              <w:spacing w:after="62"/>
              <w:rPr>
                <w:rFonts w:cs="Arial"/>
                <w:b/>
                <w:bCs/>
              </w:rPr>
            </w:pPr>
            <w:r w:rsidRPr="0065414C">
              <w:rPr>
                <w:rFonts w:cs="Arial"/>
                <w:b/>
                <w:bCs/>
              </w:rPr>
              <w:t>AMHCC</w:t>
            </w:r>
          </w:p>
        </w:tc>
        <w:tc>
          <w:tcPr>
            <w:tcW w:w="7241" w:type="dxa"/>
          </w:tcPr>
          <w:p w14:paraId="5CE76692" w14:textId="77777777" w:rsidR="00391CF0" w:rsidRPr="0065414C" w:rsidRDefault="00391CF0" w:rsidP="004F3938">
            <w:pPr>
              <w:pStyle w:val="TableParagraph"/>
              <w:spacing w:after="62"/>
              <w:rPr>
                <w:rFonts w:cs="Arial"/>
              </w:rPr>
            </w:pPr>
            <w:r w:rsidRPr="0065414C">
              <w:rPr>
                <w:rFonts w:cs="Arial"/>
              </w:rPr>
              <w:t>Australian Mental Health Care Classification</w:t>
            </w:r>
          </w:p>
        </w:tc>
      </w:tr>
      <w:tr w:rsidR="00391CF0" w:rsidRPr="0065414C" w14:paraId="32A040A1" w14:textId="77777777" w:rsidTr="00395A1D">
        <w:trPr>
          <w:trHeight w:val="362"/>
        </w:trPr>
        <w:tc>
          <w:tcPr>
            <w:tcW w:w="1831" w:type="dxa"/>
          </w:tcPr>
          <w:p w14:paraId="6EC3BD3C" w14:textId="77777777" w:rsidR="00391CF0" w:rsidRPr="0065414C" w:rsidRDefault="00391CF0" w:rsidP="004F3938">
            <w:pPr>
              <w:pStyle w:val="TableParagraph"/>
              <w:spacing w:after="62"/>
              <w:rPr>
                <w:rFonts w:cs="Arial"/>
                <w:b/>
                <w:bCs/>
              </w:rPr>
            </w:pPr>
            <w:r w:rsidRPr="0065414C">
              <w:rPr>
                <w:rFonts w:cs="Arial"/>
                <w:b/>
                <w:bCs/>
              </w:rPr>
              <w:t>AN-SNAP</w:t>
            </w:r>
          </w:p>
        </w:tc>
        <w:tc>
          <w:tcPr>
            <w:tcW w:w="7241" w:type="dxa"/>
          </w:tcPr>
          <w:p w14:paraId="663FA4C0" w14:textId="5A0C3066" w:rsidR="00391CF0" w:rsidRPr="0065414C" w:rsidRDefault="00391CF0" w:rsidP="004F3938">
            <w:pPr>
              <w:pStyle w:val="TableParagraph"/>
              <w:spacing w:after="62"/>
              <w:rPr>
                <w:rFonts w:cs="Arial"/>
              </w:rPr>
            </w:pPr>
            <w:r w:rsidRPr="0065414C">
              <w:rPr>
                <w:rFonts w:cs="Arial"/>
              </w:rPr>
              <w:t xml:space="preserve">Australian National Subacute and Non-Acute Patient </w:t>
            </w:r>
            <w:r w:rsidR="00E10063">
              <w:rPr>
                <w:rFonts w:cs="Arial"/>
              </w:rPr>
              <w:t>C</w:t>
            </w:r>
            <w:r w:rsidRPr="0065414C">
              <w:rPr>
                <w:rFonts w:cs="Arial"/>
              </w:rPr>
              <w:t>lassification</w:t>
            </w:r>
          </w:p>
        </w:tc>
      </w:tr>
      <w:tr w:rsidR="00391CF0" w:rsidRPr="0065414C" w14:paraId="52EFB8D4" w14:textId="77777777" w:rsidTr="00395A1D">
        <w:trPr>
          <w:trHeight w:val="362"/>
        </w:trPr>
        <w:tc>
          <w:tcPr>
            <w:tcW w:w="1831" w:type="dxa"/>
          </w:tcPr>
          <w:p w14:paraId="48DC2306" w14:textId="77777777" w:rsidR="00391CF0" w:rsidRPr="0065414C" w:rsidRDefault="00391CF0" w:rsidP="004F3938">
            <w:pPr>
              <w:pStyle w:val="TableParagraph"/>
              <w:spacing w:after="62"/>
              <w:rPr>
                <w:rFonts w:cs="Arial"/>
                <w:b/>
                <w:bCs/>
              </w:rPr>
            </w:pPr>
            <w:r w:rsidRPr="0065414C">
              <w:rPr>
                <w:rFonts w:cs="Arial"/>
                <w:b/>
                <w:bCs/>
              </w:rPr>
              <w:t>AR-DRG</w:t>
            </w:r>
          </w:p>
        </w:tc>
        <w:tc>
          <w:tcPr>
            <w:tcW w:w="7241" w:type="dxa"/>
          </w:tcPr>
          <w:p w14:paraId="40388268" w14:textId="77777777" w:rsidR="00391CF0" w:rsidRPr="0065414C" w:rsidRDefault="00391CF0" w:rsidP="004F3938">
            <w:pPr>
              <w:pStyle w:val="TableParagraph"/>
              <w:spacing w:after="62"/>
              <w:rPr>
                <w:rFonts w:cs="Arial"/>
              </w:rPr>
            </w:pPr>
            <w:r w:rsidRPr="0065414C">
              <w:rPr>
                <w:rFonts w:cs="Arial"/>
              </w:rPr>
              <w:t>Australian Refined Diagnosis Related Group</w:t>
            </w:r>
          </w:p>
        </w:tc>
      </w:tr>
      <w:tr w:rsidR="009749C7" w:rsidRPr="0065414C" w14:paraId="15AD258D" w14:textId="77777777" w:rsidTr="00395A1D">
        <w:trPr>
          <w:trHeight w:val="362"/>
        </w:trPr>
        <w:tc>
          <w:tcPr>
            <w:tcW w:w="1831" w:type="dxa"/>
          </w:tcPr>
          <w:p w14:paraId="5C6AAD0F" w14:textId="77777777" w:rsidR="009749C7" w:rsidRPr="0065414C" w:rsidRDefault="009749C7" w:rsidP="004F3938">
            <w:pPr>
              <w:pStyle w:val="TableParagraph"/>
              <w:spacing w:after="62"/>
              <w:rPr>
                <w:rFonts w:cs="Arial"/>
                <w:b/>
                <w:bCs/>
              </w:rPr>
            </w:pPr>
            <w:r w:rsidRPr="0065414C">
              <w:rPr>
                <w:rFonts w:cs="Arial"/>
                <w:b/>
                <w:bCs/>
              </w:rPr>
              <w:t>COVID-19</w:t>
            </w:r>
          </w:p>
        </w:tc>
        <w:tc>
          <w:tcPr>
            <w:tcW w:w="7241" w:type="dxa"/>
          </w:tcPr>
          <w:p w14:paraId="037E0C5E" w14:textId="435A1688" w:rsidR="009749C7" w:rsidRPr="0065414C" w:rsidRDefault="009749C7" w:rsidP="004F3938">
            <w:pPr>
              <w:pStyle w:val="TableParagraph"/>
              <w:spacing w:after="62"/>
              <w:rPr>
                <w:rFonts w:cs="Arial"/>
                <w:szCs w:val="22"/>
              </w:rPr>
            </w:pPr>
            <w:r w:rsidRPr="0065414C">
              <w:rPr>
                <w:rFonts w:cs="Arial"/>
                <w:szCs w:val="22"/>
              </w:rPr>
              <w:t xml:space="preserve">Coronavirus </w:t>
            </w:r>
            <w:r w:rsidR="00E10063">
              <w:rPr>
                <w:rFonts w:cs="Arial"/>
                <w:szCs w:val="22"/>
              </w:rPr>
              <w:t>d</w:t>
            </w:r>
            <w:r w:rsidRPr="0065414C">
              <w:rPr>
                <w:rFonts w:cs="Arial"/>
                <w:szCs w:val="22"/>
              </w:rPr>
              <w:t>isease 2019</w:t>
            </w:r>
          </w:p>
        </w:tc>
      </w:tr>
      <w:tr w:rsidR="008B2F43" w:rsidRPr="0065414C" w14:paraId="5278388C" w14:textId="77777777" w:rsidTr="00395A1D">
        <w:trPr>
          <w:trHeight w:val="362"/>
        </w:trPr>
        <w:tc>
          <w:tcPr>
            <w:tcW w:w="1831" w:type="dxa"/>
          </w:tcPr>
          <w:p w14:paraId="4607E10E" w14:textId="2B46A72C" w:rsidR="008B2F43" w:rsidRPr="0065414C" w:rsidRDefault="008B2F43" w:rsidP="004F3938">
            <w:pPr>
              <w:pStyle w:val="TableParagraph"/>
              <w:spacing w:after="62"/>
              <w:rPr>
                <w:rFonts w:cs="Arial"/>
                <w:b/>
                <w:bCs/>
              </w:rPr>
            </w:pPr>
            <w:proofErr w:type="spellStart"/>
            <w:r>
              <w:rPr>
                <w:rFonts w:cs="Arial"/>
                <w:b/>
                <w:bCs/>
              </w:rPr>
              <w:t>eMR</w:t>
            </w:r>
            <w:proofErr w:type="spellEnd"/>
          </w:p>
        </w:tc>
        <w:tc>
          <w:tcPr>
            <w:tcW w:w="7241" w:type="dxa"/>
          </w:tcPr>
          <w:p w14:paraId="3751A6C9" w14:textId="587CCBFF" w:rsidR="008B2F43" w:rsidRPr="0065414C" w:rsidRDefault="008B2F43" w:rsidP="004F3938">
            <w:pPr>
              <w:pStyle w:val="TableParagraph"/>
              <w:spacing w:after="62"/>
              <w:rPr>
                <w:rFonts w:cs="Arial"/>
                <w:szCs w:val="22"/>
              </w:rPr>
            </w:pPr>
            <w:r w:rsidRPr="005D3B23">
              <w:rPr>
                <w:rFonts w:cs="Arial"/>
              </w:rPr>
              <w:t>Electronic medical record</w:t>
            </w:r>
          </w:p>
        </w:tc>
      </w:tr>
      <w:tr w:rsidR="00391CF0" w:rsidRPr="0065414C" w14:paraId="779F5EC1" w14:textId="77777777" w:rsidTr="00395A1D">
        <w:trPr>
          <w:trHeight w:val="362"/>
        </w:trPr>
        <w:tc>
          <w:tcPr>
            <w:tcW w:w="1831" w:type="dxa"/>
          </w:tcPr>
          <w:p w14:paraId="7A328F07" w14:textId="77777777" w:rsidR="00391CF0" w:rsidRPr="0065414C" w:rsidRDefault="00391CF0" w:rsidP="004F3938">
            <w:pPr>
              <w:pStyle w:val="TableParagraph"/>
              <w:spacing w:after="62"/>
              <w:rPr>
                <w:rFonts w:cs="Arial"/>
                <w:b/>
                <w:bCs/>
              </w:rPr>
            </w:pPr>
            <w:r w:rsidRPr="0065414C">
              <w:rPr>
                <w:rFonts w:cs="Arial"/>
                <w:b/>
                <w:bCs/>
              </w:rPr>
              <w:t>HAC</w:t>
            </w:r>
          </w:p>
        </w:tc>
        <w:tc>
          <w:tcPr>
            <w:tcW w:w="7241" w:type="dxa"/>
          </w:tcPr>
          <w:p w14:paraId="00A5E719" w14:textId="18248E72" w:rsidR="00391CF0" w:rsidRPr="0065414C" w:rsidRDefault="00391CF0" w:rsidP="004F3938">
            <w:pPr>
              <w:pStyle w:val="TableParagraph"/>
              <w:spacing w:after="62"/>
              <w:rPr>
                <w:rFonts w:cs="Arial"/>
              </w:rPr>
            </w:pPr>
            <w:r w:rsidRPr="0065414C">
              <w:rPr>
                <w:rFonts w:cs="Arial"/>
              </w:rPr>
              <w:t xml:space="preserve">Hospital </w:t>
            </w:r>
            <w:r w:rsidR="004F3938">
              <w:rPr>
                <w:rFonts w:cs="Arial"/>
              </w:rPr>
              <w:t>a</w:t>
            </w:r>
            <w:r w:rsidRPr="0065414C">
              <w:rPr>
                <w:rFonts w:cs="Arial"/>
              </w:rPr>
              <w:t xml:space="preserve">cquired </w:t>
            </w:r>
            <w:r w:rsidR="004F3938">
              <w:rPr>
                <w:rFonts w:cs="Arial"/>
              </w:rPr>
              <w:t>c</w:t>
            </w:r>
            <w:r w:rsidRPr="0065414C">
              <w:rPr>
                <w:rFonts w:cs="Arial"/>
              </w:rPr>
              <w:t>omplication</w:t>
            </w:r>
          </w:p>
        </w:tc>
      </w:tr>
      <w:tr w:rsidR="00E10063" w:rsidRPr="0065414C" w14:paraId="26D9D144" w14:textId="77777777" w:rsidTr="00395A1D">
        <w:trPr>
          <w:trHeight w:val="362"/>
        </w:trPr>
        <w:tc>
          <w:tcPr>
            <w:tcW w:w="1831" w:type="dxa"/>
          </w:tcPr>
          <w:p w14:paraId="287934BE" w14:textId="30675864" w:rsidR="00E10063" w:rsidRPr="0065414C" w:rsidRDefault="00E10063" w:rsidP="004F3938">
            <w:pPr>
              <w:pStyle w:val="TableParagraph"/>
              <w:spacing w:after="62"/>
              <w:rPr>
                <w:rFonts w:cs="Arial"/>
                <w:b/>
                <w:bCs/>
              </w:rPr>
            </w:pPr>
            <w:r>
              <w:rPr>
                <w:rFonts w:cs="Arial"/>
                <w:b/>
                <w:bCs/>
              </w:rPr>
              <w:t>HMM</w:t>
            </w:r>
          </w:p>
        </w:tc>
        <w:tc>
          <w:tcPr>
            <w:tcW w:w="7241" w:type="dxa"/>
          </w:tcPr>
          <w:p w14:paraId="4CE92268" w14:textId="0652F39E" w:rsidR="00E10063" w:rsidRPr="0065414C" w:rsidRDefault="00E10063" w:rsidP="004F3938">
            <w:pPr>
              <w:pStyle w:val="TableParagraph"/>
              <w:spacing w:after="62"/>
              <w:rPr>
                <w:rFonts w:cs="Arial"/>
              </w:rPr>
            </w:pPr>
            <w:r w:rsidRPr="00E10063">
              <w:rPr>
                <w:rFonts w:cs="Arial"/>
              </w:rPr>
              <w:t>Health Ministers’ Meetings</w:t>
            </w:r>
            <w:r>
              <w:rPr>
                <w:rStyle w:val="FootnoteReference"/>
                <w:rFonts w:cs="Arial"/>
              </w:rPr>
              <w:footnoteReference w:id="2"/>
            </w:r>
          </w:p>
        </w:tc>
      </w:tr>
      <w:tr w:rsidR="00391CF0" w:rsidRPr="0065414C" w14:paraId="13BFEC83" w14:textId="77777777" w:rsidTr="00395A1D">
        <w:trPr>
          <w:trHeight w:val="362"/>
        </w:trPr>
        <w:tc>
          <w:tcPr>
            <w:tcW w:w="1831" w:type="dxa"/>
          </w:tcPr>
          <w:p w14:paraId="09DD6283" w14:textId="77777777" w:rsidR="00391CF0" w:rsidRPr="0065414C" w:rsidRDefault="00391CF0" w:rsidP="004F3938">
            <w:pPr>
              <w:pStyle w:val="TableParagraph"/>
              <w:spacing w:after="62"/>
              <w:rPr>
                <w:rFonts w:cs="Arial"/>
                <w:b/>
                <w:bCs/>
              </w:rPr>
            </w:pPr>
            <w:r w:rsidRPr="0065414C">
              <w:rPr>
                <w:rFonts w:cs="Arial"/>
                <w:b/>
                <w:bCs/>
              </w:rPr>
              <w:t>ICD-10-AM</w:t>
            </w:r>
          </w:p>
        </w:tc>
        <w:tc>
          <w:tcPr>
            <w:tcW w:w="7241" w:type="dxa"/>
          </w:tcPr>
          <w:p w14:paraId="0D190420" w14:textId="77777777" w:rsidR="00391CF0" w:rsidRPr="0065414C" w:rsidRDefault="00391CF0" w:rsidP="004F3938">
            <w:pPr>
              <w:pStyle w:val="TableParagraph"/>
              <w:spacing w:after="62"/>
              <w:rPr>
                <w:rFonts w:cs="Arial"/>
              </w:rPr>
            </w:pPr>
            <w:r w:rsidRPr="0065414C">
              <w:rPr>
                <w:rFonts w:cs="Arial"/>
                <w:iCs/>
              </w:rPr>
              <w:t>International Statistical Classification of Diseases and Related Health Problems, Tenth Revision, Australian Modification</w:t>
            </w:r>
          </w:p>
        </w:tc>
      </w:tr>
      <w:tr w:rsidR="00391CF0" w:rsidRPr="0065414C" w14:paraId="230BB944" w14:textId="77777777" w:rsidTr="00395A1D">
        <w:trPr>
          <w:trHeight w:val="362"/>
        </w:trPr>
        <w:tc>
          <w:tcPr>
            <w:tcW w:w="1831" w:type="dxa"/>
          </w:tcPr>
          <w:p w14:paraId="44E1097F" w14:textId="77777777" w:rsidR="00391CF0" w:rsidRPr="0065414C" w:rsidRDefault="00391CF0" w:rsidP="004F3938">
            <w:pPr>
              <w:pStyle w:val="TableParagraph"/>
              <w:spacing w:after="62"/>
              <w:rPr>
                <w:rFonts w:cs="Arial"/>
                <w:b/>
                <w:bCs/>
              </w:rPr>
            </w:pPr>
            <w:r w:rsidRPr="0065414C">
              <w:rPr>
                <w:rFonts w:cs="Arial"/>
                <w:b/>
                <w:bCs/>
              </w:rPr>
              <w:t>ICD-11</w:t>
            </w:r>
          </w:p>
        </w:tc>
        <w:tc>
          <w:tcPr>
            <w:tcW w:w="7241" w:type="dxa"/>
          </w:tcPr>
          <w:p w14:paraId="083637EA" w14:textId="77777777" w:rsidR="00391CF0" w:rsidRPr="0065414C" w:rsidRDefault="00391CF0" w:rsidP="004F3938">
            <w:pPr>
              <w:pStyle w:val="TableParagraph"/>
              <w:spacing w:after="62"/>
              <w:rPr>
                <w:rFonts w:cs="Arial"/>
              </w:rPr>
            </w:pPr>
            <w:r w:rsidRPr="0065414C">
              <w:rPr>
                <w:rFonts w:cs="Arial"/>
                <w:szCs w:val="22"/>
              </w:rPr>
              <w:t>International Classification of Diseases 11th Revision</w:t>
            </w:r>
          </w:p>
        </w:tc>
      </w:tr>
      <w:tr w:rsidR="005D3B23" w:rsidRPr="0065414C" w14:paraId="5EDDC312" w14:textId="77777777" w:rsidTr="00395A1D">
        <w:trPr>
          <w:trHeight w:val="362"/>
        </w:trPr>
        <w:tc>
          <w:tcPr>
            <w:tcW w:w="1831" w:type="dxa"/>
          </w:tcPr>
          <w:p w14:paraId="678061B7" w14:textId="3F9A9FA1" w:rsidR="005D3B23" w:rsidRPr="0065414C" w:rsidRDefault="005D3B23" w:rsidP="004F3938">
            <w:pPr>
              <w:pStyle w:val="TableParagraph"/>
              <w:spacing w:after="62"/>
              <w:rPr>
                <w:rFonts w:cs="Arial"/>
                <w:b/>
                <w:bCs/>
              </w:rPr>
            </w:pPr>
            <w:r>
              <w:rPr>
                <w:rFonts w:cs="Arial"/>
                <w:b/>
                <w:bCs/>
              </w:rPr>
              <w:t>IFR</w:t>
            </w:r>
          </w:p>
        </w:tc>
        <w:tc>
          <w:tcPr>
            <w:tcW w:w="7241" w:type="dxa"/>
          </w:tcPr>
          <w:p w14:paraId="43318C3C" w14:textId="44E55CA8" w:rsidR="005D3B23" w:rsidRPr="0065414C" w:rsidRDefault="005D3B23" w:rsidP="004F3938">
            <w:pPr>
              <w:pStyle w:val="TableParagraph"/>
              <w:spacing w:after="62"/>
              <w:rPr>
                <w:rFonts w:cs="Arial"/>
                <w:szCs w:val="22"/>
              </w:rPr>
            </w:pPr>
            <w:r w:rsidRPr="005D3B23">
              <w:rPr>
                <w:rFonts w:cs="Arial"/>
              </w:rPr>
              <w:t>Independent financial review</w:t>
            </w:r>
          </w:p>
        </w:tc>
      </w:tr>
      <w:tr w:rsidR="00391CF0" w:rsidRPr="0065414C" w14:paraId="4476D831" w14:textId="77777777" w:rsidTr="00395A1D">
        <w:trPr>
          <w:trHeight w:val="362"/>
        </w:trPr>
        <w:tc>
          <w:tcPr>
            <w:tcW w:w="1831" w:type="dxa"/>
          </w:tcPr>
          <w:p w14:paraId="13CF3475" w14:textId="77777777" w:rsidR="00391CF0" w:rsidRPr="0065414C" w:rsidRDefault="00391CF0" w:rsidP="004F3938">
            <w:pPr>
              <w:pStyle w:val="TableParagraph"/>
              <w:spacing w:after="62"/>
              <w:rPr>
                <w:rFonts w:cs="Arial"/>
                <w:b/>
                <w:bCs/>
              </w:rPr>
            </w:pPr>
            <w:r w:rsidRPr="0065414C">
              <w:rPr>
                <w:rFonts w:cs="Arial"/>
                <w:b/>
                <w:bCs/>
              </w:rPr>
              <w:t>IHI</w:t>
            </w:r>
          </w:p>
        </w:tc>
        <w:tc>
          <w:tcPr>
            <w:tcW w:w="7241" w:type="dxa"/>
          </w:tcPr>
          <w:p w14:paraId="0F1C1C50" w14:textId="77777777" w:rsidR="00391CF0" w:rsidRPr="0065414C" w:rsidRDefault="00391CF0" w:rsidP="004F3938">
            <w:pPr>
              <w:pStyle w:val="TableParagraph"/>
              <w:spacing w:after="62"/>
              <w:rPr>
                <w:rFonts w:cs="Arial"/>
              </w:rPr>
            </w:pPr>
            <w:r w:rsidRPr="0065414C">
              <w:rPr>
                <w:rFonts w:cs="Arial"/>
                <w:iCs/>
              </w:rPr>
              <w:t>Individual Healthcare Identifier</w:t>
            </w:r>
          </w:p>
        </w:tc>
      </w:tr>
      <w:tr w:rsidR="00391CF0" w:rsidRPr="0065414C" w14:paraId="073F2E8A" w14:textId="77777777" w:rsidTr="00395A1D">
        <w:trPr>
          <w:trHeight w:val="362"/>
        </w:trPr>
        <w:tc>
          <w:tcPr>
            <w:tcW w:w="1831" w:type="dxa"/>
          </w:tcPr>
          <w:p w14:paraId="1E50B34F" w14:textId="77777777" w:rsidR="00391CF0" w:rsidRPr="0065414C" w:rsidRDefault="00391CF0" w:rsidP="004F3938">
            <w:pPr>
              <w:pStyle w:val="TableParagraph"/>
              <w:spacing w:after="62"/>
              <w:rPr>
                <w:rFonts w:cs="Arial"/>
                <w:b/>
                <w:bCs/>
              </w:rPr>
            </w:pPr>
            <w:r w:rsidRPr="0065414C">
              <w:rPr>
                <w:rFonts w:cs="Arial"/>
                <w:b/>
                <w:bCs/>
              </w:rPr>
              <w:t>IHPA</w:t>
            </w:r>
          </w:p>
        </w:tc>
        <w:tc>
          <w:tcPr>
            <w:tcW w:w="7241" w:type="dxa"/>
          </w:tcPr>
          <w:p w14:paraId="18FB9992" w14:textId="77777777" w:rsidR="00391CF0" w:rsidRPr="0065414C" w:rsidRDefault="00391CF0" w:rsidP="004F3938">
            <w:pPr>
              <w:pStyle w:val="TableParagraph"/>
              <w:spacing w:after="62"/>
              <w:rPr>
                <w:rFonts w:cs="Arial"/>
              </w:rPr>
            </w:pPr>
            <w:r w:rsidRPr="0065414C">
              <w:rPr>
                <w:rFonts w:cs="Arial"/>
              </w:rPr>
              <w:t>Independent Hospital Pricing Authority</w:t>
            </w:r>
          </w:p>
        </w:tc>
      </w:tr>
      <w:tr w:rsidR="005D3B23" w:rsidRPr="0065414C" w14:paraId="0019BBE4" w14:textId="77777777" w:rsidTr="00395A1D">
        <w:trPr>
          <w:trHeight w:val="362"/>
        </w:trPr>
        <w:tc>
          <w:tcPr>
            <w:tcW w:w="1831" w:type="dxa"/>
          </w:tcPr>
          <w:p w14:paraId="7D9FAC93" w14:textId="1633EAE3" w:rsidR="005D3B23" w:rsidRPr="0065414C" w:rsidRDefault="005D3B23" w:rsidP="004F3938">
            <w:pPr>
              <w:pStyle w:val="TableParagraph"/>
              <w:spacing w:after="62"/>
              <w:rPr>
                <w:rFonts w:cs="Arial"/>
                <w:b/>
                <w:bCs/>
              </w:rPr>
            </w:pPr>
            <w:r>
              <w:rPr>
                <w:rFonts w:cs="Arial"/>
                <w:b/>
                <w:bCs/>
              </w:rPr>
              <w:t>JORDT</w:t>
            </w:r>
          </w:p>
        </w:tc>
        <w:tc>
          <w:tcPr>
            <w:tcW w:w="7241" w:type="dxa"/>
          </w:tcPr>
          <w:p w14:paraId="71AC7537" w14:textId="5CCDBD66" w:rsidR="005D3B23" w:rsidRPr="0065414C" w:rsidRDefault="005D3B23" w:rsidP="004F3938">
            <w:pPr>
              <w:pStyle w:val="TableParagraph"/>
              <w:spacing w:after="62"/>
              <w:rPr>
                <w:rFonts w:cs="Arial"/>
              </w:rPr>
            </w:pPr>
            <w:r w:rsidRPr="005D3B23">
              <w:rPr>
                <w:rFonts w:cs="Arial"/>
              </w:rPr>
              <w:t>Jurisdictional Organ Donation, Retrieval and Tra</w:t>
            </w:r>
            <w:r w:rsidRPr="00556D65">
              <w:rPr>
                <w:rFonts w:cs="Arial"/>
              </w:rPr>
              <w:t>nsplantation Steering Committee</w:t>
            </w:r>
          </w:p>
        </w:tc>
      </w:tr>
      <w:tr w:rsidR="00391CF0" w:rsidRPr="0065414C" w14:paraId="179D28C4" w14:textId="77777777" w:rsidTr="00395A1D">
        <w:trPr>
          <w:trHeight w:val="362"/>
        </w:trPr>
        <w:tc>
          <w:tcPr>
            <w:tcW w:w="1831" w:type="dxa"/>
          </w:tcPr>
          <w:p w14:paraId="1DE915F6" w14:textId="77777777" w:rsidR="00391CF0" w:rsidRPr="0065414C" w:rsidRDefault="00391CF0" w:rsidP="004F3938">
            <w:pPr>
              <w:pStyle w:val="TableParagraph"/>
              <w:spacing w:after="62"/>
              <w:rPr>
                <w:rFonts w:cs="Arial"/>
                <w:b/>
                <w:bCs/>
              </w:rPr>
            </w:pPr>
            <w:r w:rsidRPr="0065414C">
              <w:rPr>
                <w:rFonts w:cs="Arial"/>
                <w:b/>
                <w:bCs/>
              </w:rPr>
              <w:t>LHN</w:t>
            </w:r>
          </w:p>
        </w:tc>
        <w:tc>
          <w:tcPr>
            <w:tcW w:w="7241" w:type="dxa"/>
          </w:tcPr>
          <w:p w14:paraId="11FC5031" w14:textId="7153AE83" w:rsidR="00391CF0" w:rsidRPr="0065414C" w:rsidRDefault="00391CF0" w:rsidP="004F3938">
            <w:pPr>
              <w:pStyle w:val="TableParagraph"/>
              <w:spacing w:after="62"/>
              <w:rPr>
                <w:rFonts w:cs="Arial"/>
              </w:rPr>
            </w:pPr>
            <w:r w:rsidRPr="0065414C">
              <w:rPr>
                <w:rFonts w:cs="Arial"/>
              </w:rPr>
              <w:t xml:space="preserve">Local </w:t>
            </w:r>
            <w:r w:rsidR="00E10063">
              <w:rPr>
                <w:rFonts w:cs="Arial"/>
              </w:rPr>
              <w:t>h</w:t>
            </w:r>
            <w:r w:rsidRPr="0065414C">
              <w:rPr>
                <w:rFonts w:cs="Arial"/>
              </w:rPr>
              <w:t xml:space="preserve">ospital </w:t>
            </w:r>
            <w:r w:rsidR="00E10063">
              <w:rPr>
                <w:rFonts w:cs="Arial"/>
              </w:rPr>
              <w:t>n</w:t>
            </w:r>
            <w:r w:rsidRPr="0065414C">
              <w:rPr>
                <w:rFonts w:cs="Arial"/>
              </w:rPr>
              <w:t>etwork</w:t>
            </w:r>
          </w:p>
        </w:tc>
      </w:tr>
      <w:tr w:rsidR="00391CF0" w:rsidRPr="0065414C" w14:paraId="7ACE2066" w14:textId="77777777" w:rsidTr="00395A1D">
        <w:trPr>
          <w:trHeight w:val="362"/>
        </w:trPr>
        <w:tc>
          <w:tcPr>
            <w:tcW w:w="1831" w:type="dxa"/>
          </w:tcPr>
          <w:p w14:paraId="034AF783" w14:textId="77777777" w:rsidR="00391CF0" w:rsidRPr="0065414C" w:rsidRDefault="00391CF0" w:rsidP="004F3938">
            <w:pPr>
              <w:pStyle w:val="TableParagraph"/>
              <w:spacing w:after="62"/>
              <w:rPr>
                <w:rFonts w:cs="Arial"/>
                <w:b/>
                <w:bCs/>
              </w:rPr>
            </w:pPr>
            <w:proofErr w:type="spellStart"/>
            <w:r w:rsidRPr="0065414C">
              <w:rPr>
                <w:rFonts w:cs="Arial"/>
                <w:b/>
                <w:bCs/>
              </w:rPr>
              <w:t>MHPoC</w:t>
            </w:r>
            <w:proofErr w:type="spellEnd"/>
          </w:p>
        </w:tc>
        <w:tc>
          <w:tcPr>
            <w:tcW w:w="7241" w:type="dxa"/>
          </w:tcPr>
          <w:p w14:paraId="6E0617DB" w14:textId="77777777" w:rsidR="00391CF0" w:rsidRPr="0065414C" w:rsidRDefault="00391CF0" w:rsidP="004F3938">
            <w:pPr>
              <w:pStyle w:val="TableParagraph"/>
              <w:spacing w:after="62"/>
              <w:rPr>
                <w:rFonts w:cs="Arial"/>
              </w:rPr>
            </w:pPr>
            <w:r w:rsidRPr="0065414C">
              <w:rPr>
                <w:rFonts w:cs="Arial"/>
                <w:szCs w:val="22"/>
              </w:rPr>
              <w:t>Mental Health Phase of Care</w:t>
            </w:r>
          </w:p>
        </w:tc>
      </w:tr>
      <w:tr w:rsidR="000C0716" w:rsidRPr="0065414C" w14:paraId="20B48435" w14:textId="77777777" w:rsidTr="00395A1D">
        <w:trPr>
          <w:trHeight w:val="362"/>
        </w:trPr>
        <w:tc>
          <w:tcPr>
            <w:tcW w:w="1831" w:type="dxa"/>
          </w:tcPr>
          <w:p w14:paraId="44AAD030" w14:textId="7F487EF7" w:rsidR="000C0716" w:rsidRPr="0065414C" w:rsidRDefault="000C0716" w:rsidP="004F3938">
            <w:pPr>
              <w:pStyle w:val="TableParagraph"/>
              <w:spacing w:after="62"/>
              <w:rPr>
                <w:rFonts w:cs="Arial"/>
                <w:b/>
                <w:bCs/>
              </w:rPr>
            </w:pPr>
            <w:r>
              <w:rPr>
                <w:rFonts w:cs="Arial"/>
                <w:b/>
                <w:bCs/>
              </w:rPr>
              <w:t>NAPEDC</w:t>
            </w:r>
          </w:p>
        </w:tc>
        <w:tc>
          <w:tcPr>
            <w:tcW w:w="7241" w:type="dxa"/>
          </w:tcPr>
          <w:p w14:paraId="68019B6D" w14:textId="1B5178C2" w:rsidR="000C0716" w:rsidRPr="0065414C" w:rsidRDefault="000C0716" w:rsidP="004F3938">
            <w:pPr>
              <w:pStyle w:val="TableParagraph"/>
              <w:spacing w:after="62"/>
              <w:rPr>
                <w:rFonts w:cs="Arial"/>
                <w:szCs w:val="22"/>
              </w:rPr>
            </w:pPr>
            <w:r w:rsidRPr="000C0716">
              <w:rPr>
                <w:rFonts w:cs="Arial"/>
                <w:szCs w:val="22"/>
              </w:rPr>
              <w:t>Non-admitted patient emergency department care</w:t>
            </w:r>
          </w:p>
        </w:tc>
      </w:tr>
      <w:tr w:rsidR="00391CF0" w:rsidRPr="0065414C" w14:paraId="64700825" w14:textId="77777777" w:rsidTr="00395A1D">
        <w:trPr>
          <w:trHeight w:val="362"/>
        </w:trPr>
        <w:tc>
          <w:tcPr>
            <w:tcW w:w="1831" w:type="dxa"/>
          </w:tcPr>
          <w:p w14:paraId="50BDD2ED" w14:textId="77777777" w:rsidR="00391CF0" w:rsidRPr="0065414C" w:rsidRDefault="00391CF0" w:rsidP="004F3938">
            <w:pPr>
              <w:pStyle w:val="TableParagraph"/>
              <w:spacing w:after="62"/>
              <w:rPr>
                <w:rFonts w:cs="Arial"/>
                <w:b/>
                <w:bCs/>
              </w:rPr>
            </w:pPr>
            <w:r w:rsidRPr="0065414C">
              <w:rPr>
                <w:rFonts w:cs="Arial"/>
                <w:b/>
                <w:bCs/>
              </w:rPr>
              <w:t>NBP</w:t>
            </w:r>
          </w:p>
        </w:tc>
        <w:tc>
          <w:tcPr>
            <w:tcW w:w="7241" w:type="dxa"/>
          </w:tcPr>
          <w:p w14:paraId="1D51C144" w14:textId="77777777" w:rsidR="00391CF0" w:rsidRPr="0065414C" w:rsidRDefault="00391CF0" w:rsidP="004F3938">
            <w:pPr>
              <w:pStyle w:val="TableParagraph"/>
              <w:spacing w:after="62"/>
              <w:rPr>
                <w:rFonts w:cs="Arial"/>
              </w:rPr>
            </w:pPr>
            <w:r w:rsidRPr="0065414C">
              <w:rPr>
                <w:rFonts w:cs="Arial"/>
              </w:rPr>
              <w:t>National Benchmarking Portal</w:t>
            </w:r>
          </w:p>
        </w:tc>
      </w:tr>
      <w:tr w:rsidR="00391CF0" w:rsidRPr="0065414C" w14:paraId="20EC545C" w14:textId="77777777" w:rsidTr="00395A1D">
        <w:trPr>
          <w:trHeight w:val="362"/>
        </w:trPr>
        <w:tc>
          <w:tcPr>
            <w:tcW w:w="1831" w:type="dxa"/>
          </w:tcPr>
          <w:p w14:paraId="38F5675B" w14:textId="77777777" w:rsidR="00391CF0" w:rsidRPr="0065414C" w:rsidRDefault="00391CF0" w:rsidP="004F3938">
            <w:pPr>
              <w:pStyle w:val="TableParagraph"/>
              <w:spacing w:after="62"/>
              <w:rPr>
                <w:rFonts w:cs="Arial"/>
                <w:b/>
                <w:bCs/>
              </w:rPr>
            </w:pPr>
            <w:r w:rsidRPr="0065414C">
              <w:rPr>
                <w:rFonts w:cs="Arial"/>
                <w:b/>
                <w:bCs/>
              </w:rPr>
              <w:t>NEC</w:t>
            </w:r>
          </w:p>
        </w:tc>
        <w:tc>
          <w:tcPr>
            <w:tcW w:w="7241" w:type="dxa"/>
          </w:tcPr>
          <w:p w14:paraId="398AE7D3" w14:textId="246CC6FD" w:rsidR="00391CF0" w:rsidRPr="0065414C" w:rsidRDefault="00391CF0" w:rsidP="004F3938">
            <w:pPr>
              <w:pStyle w:val="TableParagraph"/>
              <w:spacing w:after="62"/>
              <w:rPr>
                <w:rFonts w:cs="Arial"/>
              </w:rPr>
            </w:pPr>
            <w:r w:rsidRPr="0065414C">
              <w:rPr>
                <w:rFonts w:cs="Arial"/>
              </w:rPr>
              <w:t xml:space="preserve">National </w:t>
            </w:r>
            <w:r w:rsidR="004F3938">
              <w:rPr>
                <w:rFonts w:cs="Arial"/>
              </w:rPr>
              <w:t>e</w:t>
            </w:r>
            <w:r w:rsidRPr="0065414C">
              <w:rPr>
                <w:rFonts w:cs="Arial"/>
              </w:rPr>
              <w:t xml:space="preserve">fficient </w:t>
            </w:r>
            <w:r w:rsidR="004F3938">
              <w:rPr>
                <w:rFonts w:cs="Arial"/>
              </w:rPr>
              <w:t>c</w:t>
            </w:r>
            <w:r w:rsidRPr="0065414C">
              <w:rPr>
                <w:rFonts w:cs="Arial"/>
              </w:rPr>
              <w:t>ost</w:t>
            </w:r>
          </w:p>
        </w:tc>
      </w:tr>
      <w:tr w:rsidR="00391CF0" w:rsidRPr="0065414C" w14:paraId="77285419" w14:textId="77777777" w:rsidTr="00395A1D">
        <w:trPr>
          <w:trHeight w:val="362"/>
        </w:trPr>
        <w:tc>
          <w:tcPr>
            <w:tcW w:w="1831" w:type="dxa"/>
          </w:tcPr>
          <w:p w14:paraId="256D0492" w14:textId="77777777" w:rsidR="00391CF0" w:rsidRPr="0065414C" w:rsidRDefault="00391CF0" w:rsidP="004F3938">
            <w:pPr>
              <w:pStyle w:val="TableParagraph"/>
              <w:spacing w:after="62"/>
              <w:rPr>
                <w:rFonts w:cs="Arial"/>
                <w:b/>
                <w:bCs/>
              </w:rPr>
            </w:pPr>
            <w:r w:rsidRPr="0065414C">
              <w:rPr>
                <w:rFonts w:cs="Arial"/>
                <w:b/>
                <w:bCs/>
              </w:rPr>
              <w:t>NEP</w:t>
            </w:r>
          </w:p>
        </w:tc>
        <w:tc>
          <w:tcPr>
            <w:tcW w:w="7241" w:type="dxa"/>
          </w:tcPr>
          <w:p w14:paraId="625522E3" w14:textId="744C27A1" w:rsidR="00391CF0" w:rsidRPr="0065414C" w:rsidRDefault="00391CF0" w:rsidP="004F3938">
            <w:pPr>
              <w:pStyle w:val="TableParagraph"/>
              <w:spacing w:after="62"/>
              <w:rPr>
                <w:rFonts w:cs="Arial"/>
              </w:rPr>
            </w:pPr>
            <w:r w:rsidRPr="0065414C">
              <w:rPr>
                <w:rFonts w:cs="Arial"/>
              </w:rPr>
              <w:t xml:space="preserve">National </w:t>
            </w:r>
            <w:r w:rsidR="004F3938">
              <w:rPr>
                <w:rFonts w:cs="Arial"/>
              </w:rPr>
              <w:t>e</w:t>
            </w:r>
            <w:r w:rsidRPr="0065414C">
              <w:rPr>
                <w:rFonts w:cs="Arial"/>
              </w:rPr>
              <w:t xml:space="preserve">fficient </w:t>
            </w:r>
            <w:r w:rsidR="004F3938">
              <w:rPr>
                <w:rFonts w:cs="Arial"/>
              </w:rPr>
              <w:t>p</w:t>
            </w:r>
            <w:r w:rsidRPr="0065414C">
              <w:rPr>
                <w:rFonts w:cs="Arial"/>
              </w:rPr>
              <w:t>rice</w:t>
            </w:r>
          </w:p>
        </w:tc>
      </w:tr>
      <w:tr w:rsidR="00391CF0" w:rsidRPr="0065414C" w14:paraId="6DD86038" w14:textId="77777777" w:rsidTr="00395A1D">
        <w:trPr>
          <w:trHeight w:val="362"/>
        </w:trPr>
        <w:tc>
          <w:tcPr>
            <w:tcW w:w="1831" w:type="dxa"/>
          </w:tcPr>
          <w:p w14:paraId="612F4A07" w14:textId="77777777" w:rsidR="00391CF0" w:rsidRPr="0065414C" w:rsidRDefault="00391CF0" w:rsidP="004F3938">
            <w:pPr>
              <w:pStyle w:val="TableParagraph"/>
              <w:spacing w:after="62"/>
              <w:rPr>
                <w:rFonts w:cs="Arial"/>
                <w:b/>
                <w:bCs/>
              </w:rPr>
            </w:pPr>
            <w:r w:rsidRPr="0065414C">
              <w:rPr>
                <w:rFonts w:cs="Arial"/>
                <w:b/>
                <w:bCs/>
              </w:rPr>
              <w:t>NHCDC</w:t>
            </w:r>
          </w:p>
        </w:tc>
        <w:tc>
          <w:tcPr>
            <w:tcW w:w="7241" w:type="dxa"/>
          </w:tcPr>
          <w:p w14:paraId="6E37CDA0" w14:textId="77777777" w:rsidR="00391CF0" w:rsidRPr="0065414C" w:rsidRDefault="00391CF0" w:rsidP="004F3938">
            <w:pPr>
              <w:pStyle w:val="TableParagraph"/>
              <w:spacing w:after="62"/>
              <w:rPr>
                <w:rFonts w:cs="Arial"/>
              </w:rPr>
            </w:pPr>
            <w:r w:rsidRPr="0065414C">
              <w:rPr>
                <w:rFonts w:cs="Arial"/>
              </w:rPr>
              <w:t>National Hospital Cost Data Collection</w:t>
            </w:r>
          </w:p>
        </w:tc>
      </w:tr>
      <w:tr w:rsidR="00391CF0" w:rsidRPr="0065414C" w14:paraId="4ABC1868" w14:textId="77777777" w:rsidTr="00395A1D">
        <w:trPr>
          <w:trHeight w:val="362"/>
        </w:trPr>
        <w:tc>
          <w:tcPr>
            <w:tcW w:w="1831" w:type="dxa"/>
          </w:tcPr>
          <w:p w14:paraId="20F0302B" w14:textId="77777777" w:rsidR="00391CF0" w:rsidRPr="0065414C" w:rsidRDefault="00391CF0" w:rsidP="004F3938">
            <w:pPr>
              <w:pStyle w:val="TableParagraph"/>
              <w:spacing w:after="62"/>
              <w:rPr>
                <w:rFonts w:cs="Arial"/>
                <w:b/>
                <w:bCs/>
              </w:rPr>
            </w:pPr>
            <w:r w:rsidRPr="0065414C">
              <w:rPr>
                <w:rFonts w:cs="Arial"/>
                <w:b/>
                <w:bCs/>
              </w:rPr>
              <w:t>NHRA</w:t>
            </w:r>
          </w:p>
        </w:tc>
        <w:tc>
          <w:tcPr>
            <w:tcW w:w="7241" w:type="dxa"/>
          </w:tcPr>
          <w:p w14:paraId="3974A3C9" w14:textId="77777777" w:rsidR="00391CF0" w:rsidRPr="0065414C" w:rsidRDefault="00391CF0" w:rsidP="004F3938">
            <w:pPr>
              <w:pStyle w:val="TableParagraph"/>
              <w:spacing w:after="62"/>
              <w:rPr>
                <w:rFonts w:cs="Arial"/>
              </w:rPr>
            </w:pPr>
            <w:r w:rsidRPr="0065414C">
              <w:rPr>
                <w:rFonts w:cs="Arial"/>
              </w:rPr>
              <w:t>National Health Reform Agreement</w:t>
            </w:r>
          </w:p>
        </w:tc>
      </w:tr>
      <w:tr w:rsidR="000C0716" w:rsidRPr="0065414C" w14:paraId="61169ECC" w14:textId="77777777" w:rsidTr="00395A1D">
        <w:trPr>
          <w:trHeight w:val="362"/>
        </w:trPr>
        <w:tc>
          <w:tcPr>
            <w:tcW w:w="1831" w:type="dxa"/>
          </w:tcPr>
          <w:p w14:paraId="2EC4FCC3" w14:textId="45C36480" w:rsidR="000C0716" w:rsidRPr="0065414C" w:rsidRDefault="000C0716" w:rsidP="004F3938">
            <w:pPr>
              <w:pStyle w:val="TableParagraph"/>
              <w:spacing w:after="62"/>
              <w:rPr>
                <w:rFonts w:cs="Arial"/>
                <w:b/>
                <w:bCs/>
              </w:rPr>
            </w:pPr>
            <w:r>
              <w:rPr>
                <w:rFonts w:cs="Arial"/>
                <w:b/>
                <w:bCs/>
              </w:rPr>
              <w:t>NMDS</w:t>
            </w:r>
          </w:p>
        </w:tc>
        <w:tc>
          <w:tcPr>
            <w:tcW w:w="7241" w:type="dxa"/>
          </w:tcPr>
          <w:p w14:paraId="56219324" w14:textId="77D607DF" w:rsidR="000C0716" w:rsidRPr="0065414C" w:rsidRDefault="000C0716" w:rsidP="004F3938">
            <w:pPr>
              <w:pStyle w:val="TableParagraph"/>
              <w:spacing w:after="62"/>
              <w:rPr>
                <w:rFonts w:cs="Arial"/>
              </w:rPr>
            </w:pPr>
            <w:r>
              <w:rPr>
                <w:rFonts w:cs="Arial"/>
              </w:rPr>
              <w:t>National Minimum Data Set</w:t>
            </w:r>
          </w:p>
        </w:tc>
      </w:tr>
      <w:tr w:rsidR="00391CF0" w:rsidRPr="0065414C" w14:paraId="0B43FB6F" w14:textId="77777777" w:rsidTr="00395A1D">
        <w:trPr>
          <w:trHeight w:val="362"/>
        </w:trPr>
        <w:tc>
          <w:tcPr>
            <w:tcW w:w="1831" w:type="dxa"/>
          </w:tcPr>
          <w:p w14:paraId="2D012513" w14:textId="77777777" w:rsidR="00391CF0" w:rsidRPr="0065414C" w:rsidRDefault="00391CF0" w:rsidP="004F3938">
            <w:pPr>
              <w:pStyle w:val="TableParagraph"/>
              <w:spacing w:after="62"/>
              <w:rPr>
                <w:rFonts w:cs="Arial"/>
                <w:b/>
                <w:bCs/>
              </w:rPr>
            </w:pPr>
            <w:r w:rsidRPr="0065414C">
              <w:rPr>
                <w:rFonts w:cs="Arial"/>
                <w:b/>
                <w:bCs/>
              </w:rPr>
              <w:t>NWAU</w:t>
            </w:r>
          </w:p>
        </w:tc>
        <w:tc>
          <w:tcPr>
            <w:tcW w:w="7241" w:type="dxa"/>
          </w:tcPr>
          <w:p w14:paraId="1FF814D5" w14:textId="23BFB9CC" w:rsidR="00391CF0" w:rsidRPr="0065414C" w:rsidRDefault="00391CF0" w:rsidP="004F3938">
            <w:pPr>
              <w:pStyle w:val="TableParagraph"/>
              <w:spacing w:after="62"/>
              <w:rPr>
                <w:rFonts w:cs="Arial"/>
              </w:rPr>
            </w:pPr>
            <w:r w:rsidRPr="0065414C">
              <w:rPr>
                <w:rFonts w:cs="Arial"/>
              </w:rPr>
              <w:t xml:space="preserve">National </w:t>
            </w:r>
            <w:r w:rsidR="00E10063">
              <w:rPr>
                <w:rFonts w:cs="Arial"/>
              </w:rPr>
              <w:t>w</w:t>
            </w:r>
            <w:r w:rsidRPr="0065414C">
              <w:rPr>
                <w:rFonts w:cs="Arial"/>
              </w:rPr>
              <w:t xml:space="preserve">eighted </w:t>
            </w:r>
            <w:r w:rsidR="00E10063">
              <w:rPr>
                <w:rFonts w:cs="Arial"/>
              </w:rPr>
              <w:t>a</w:t>
            </w:r>
            <w:r w:rsidRPr="0065414C">
              <w:rPr>
                <w:rFonts w:cs="Arial"/>
              </w:rPr>
              <w:t xml:space="preserve">ctivity </w:t>
            </w:r>
            <w:r w:rsidR="00E10063">
              <w:rPr>
                <w:rFonts w:cs="Arial"/>
              </w:rPr>
              <w:t>u</w:t>
            </w:r>
            <w:r w:rsidRPr="0065414C">
              <w:rPr>
                <w:rFonts w:cs="Arial"/>
              </w:rPr>
              <w:t>nit</w:t>
            </w:r>
          </w:p>
        </w:tc>
      </w:tr>
      <w:tr w:rsidR="004F3938" w:rsidRPr="0065414C" w14:paraId="00205D97" w14:textId="77777777" w:rsidTr="00395A1D">
        <w:trPr>
          <w:trHeight w:val="362"/>
        </w:trPr>
        <w:tc>
          <w:tcPr>
            <w:tcW w:w="1831" w:type="dxa"/>
          </w:tcPr>
          <w:p w14:paraId="230DFF2F" w14:textId="0842520A" w:rsidR="004F3938" w:rsidRPr="0065414C" w:rsidRDefault="004F3938" w:rsidP="004F3938">
            <w:pPr>
              <w:pStyle w:val="TableParagraph"/>
              <w:spacing w:after="62"/>
              <w:rPr>
                <w:rFonts w:cs="Arial"/>
                <w:b/>
                <w:bCs/>
              </w:rPr>
            </w:pPr>
            <w:r>
              <w:rPr>
                <w:rFonts w:cs="Arial"/>
                <w:b/>
                <w:bCs/>
              </w:rPr>
              <w:t>PPH</w:t>
            </w:r>
          </w:p>
        </w:tc>
        <w:tc>
          <w:tcPr>
            <w:tcW w:w="7241" w:type="dxa"/>
          </w:tcPr>
          <w:p w14:paraId="6B037EB2" w14:textId="0A32073A" w:rsidR="004F3938" w:rsidRPr="0065414C" w:rsidRDefault="004F3938" w:rsidP="004F3938">
            <w:pPr>
              <w:pStyle w:val="TableParagraph"/>
              <w:spacing w:after="62"/>
              <w:rPr>
                <w:rFonts w:cs="Arial"/>
              </w:rPr>
            </w:pPr>
            <w:r>
              <w:rPr>
                <w:rFonts w:cs="Arial"/>
              </w:rPr>
              <w:t>Potentially preventable hospitalisation</w:t>
            </w:r>
          </w:p>
        </w:tc>
      </w:tr>
      <w:tr w:rsidR="00391CF0" w:rsidRPr="0065414C" w14:paraId="10038463" w14:textId="77777777" w:rsidTr="00395A1D">
        <w:trPr>
          <w:trHeight w:val="298"/>
        </w:trPr>
        <w:tc>
          <w:tcPr>
            <w:tcW w:w="1831" w:type="dxa"/>
          </w:tcPr>
          <w:p w14:paraId="4A1192D0" w14:textId="77777777" w:rsidR="00391CF0" w:rsidRPr="0065414C" w:rsidRDefault="00391CF0" w:rsidP="004F3938">
            <w:pPr>
              <w:pStyle w:val="TableParagraph"/>
              <w:spacing w:after="62"/>
              <w:rPr>
                <w:rFonts w:cs="Arial"/>
                <w:b/>
                <w:bCs/>
              </w:rPr>
            </w:pPr>
            <w:r w:rsidRPr="0065414C">
              <w:rPr>
                <w:rFonts w:cs="Arial"/>
                <w:b/>
                <w:bCs/>
              </w:rPr>
              <w:t>The Addendum</w:t>
            </w:r>
          </w:p>
        </w:tc>
        <w:tc>
          <w:tcPr>
            <w:tcW w:w="7241" w:type="dxa"/>
          </w:tcPr>
          <w:p w14:paraId="1F3A05F6" w14:textId="06DE70E7" w:rsidR="00391CF0" w:rsidRPr="0065414C" w:rsidRDefault="00391CF0" w:rsidP="004F3938">
            <w:pPr>
              <w:pStyle w:val="TableParagraph"/>
              <w:spacing w:after="62"/>
              <w:rPr>
                <w:rFonts w:cs="Arial"/>
              </w:rPr>
            </w:pPr>
            <w:r w:rsidRPr="0065414C">
              <w:rPr>
                <w:rFonts w:cs="Arial"/>
              </w:rPr>
              <w:t>Addendum to the National Health Reform Agreement</w:t>
            </w:r>
            <w:r w:rsidR="004F3938">
              <w:rPr>
                <w:rFonts w:cs="Arial"/>
              </w:rPr>
              <w:t xml:space="preserve"> 2020–25</w:t>
            </w:r>
          </w:p>
        </w:tc>
      </w:tr>
      <w:tr w:rsidR="004F3938" w:rsidRPr="0065414C" w14:paraId="5D47BA83" w14:textId="77777777" w:rsidTr="00395A1D">
        <w:trPr>
          <w:trHeight w:val="298"/>
        </w:trPr>
        <w:tc>
          <w:tcPr>
            <w:tcW w:w="1831" w:type="dxa"/>
          </w:tcPr>
          <w:p w14:paraId="2164A798" w14:textId="49EBE141" w:rsidR="004F3938" w:rsidRPr="0065414C" w:rsidRDefault="004F3938" w:rsidP="004F3938">
            <w:pPr>
              <w:pStyle w:val="TableParagraph"/>
              <w:spacing w:after="62"/>
              <w:rPr>
                <w:rFonts w:cs="Arial"/>
                <w:b/>
                <w:bCs/>
              </w:rPr>
            </w:pPr>
            <w:r>
              <w:rPr>
                <w:rFonts w:cs="Arial"/>
                <w:b/>
                <w:bCs/>
              </w:rPr>
              <w:t>The Administrator</w:t>
            </w:r>
          </w:p>
        </w:tc>
        <w:tc>
          <w:tcPr>
            <w:tcW w:w="7241" w:type="dxa"/>
          </w:tcPr>
          <w:p w14:paraId="2D7E31C2" w14:textId="406479D9" w:rsidR="004F3938" w:rsidRPr="0065414C" w:rsidRDefault="004F3938" w:rsidP="004F3938">
            <w:pPr>
              <w:pStyle w:val="TableParagraph"/>
              <w:spacing w:after="62"/>
              <w:rPr>
                <w:rFonts w:cs="Arial"/>
              </w:rPr>
            </w:pPr>
            <w:r w:rsidRPr="004F3938">
              <w:rPr>
                <w:rFonts w:cs="Arial"/>
              </w:rPr>
              <w:t>Administrator of the National Health Funding Pool</w:t>
            </w:r>
          </w:p>
        </w:tc>
      </w:tr>
      <w:tr w:rsidR="00437BB3" w:rsidRPr="0065414C" w14:paraId="00235273" w14:textId="77777777" w:rsidTr="00395A1D">
        <w:trPr>
          <w:trHeight w:val="298"/>
        </w:trPr>
        <w:tc>
          <w:tcPr>
            <w:tcW w:w="1831" w:type="dxa"/>
          </w:tcPr>
          <w:p w14:paraId="71FA9185" w14:textId="77777777" w:rsidR="00437BB3" w:rsidRPr="0065414C" w:rsidRDefault="00437BB3" w:rsidP="004F3938">
            <w:pPr>
              <w:pStyle w:val="TableParagraph"/>
              <w:spacing w:after="62"/>
              <w:rPr>
                <w:rFonts w:cs="Arial"/>
                <w:b/>
                <w:bCs/>
              </w:rPr>
            </w:pPr>
            <w:r w:rsidRPr="0065414C">
              <w:rPr>
                <w:rFonts w:cs="Arial"/>
                <w:b/>
                <w:bCs/>
              </w:rPr>
              <w:t>The Commission</w:t>
            </w:r>
          </w:p>
        </w:tc>
        <w:tc>
          <w:tcPr>
            <w:tcW w:w="7241" w:type="dxa"/>
          </w:tcPr>
          <w:p w14:paraId="34AD8710" w14:textId="77777777" w:rsidR="00437BB3" w:rsidRPr="0065414C" w:rsidRDefault="00437BB3" w:rsidP="004F3938">
            <w:pPr>
              <w:pStyle w:val="TableParagraph"/>
              <w:spacing w:after="62"/>
              <w:rPr>
                <w:rFonts w:cs="Arial"/>
              </w:rPr>
            </w:pPr>
            <w:r w:rsidRPr="0065414C">
              <w:rPr>
                <w:rFonts w:cs="Arial"/>
              </w:rPr>
              <w:t>Australian Commission on Safety and Quality in Health Care</w:t>
            </w:r>
          </w:p>
        </w:tc>
      </w:tr>
      <w:tr w:rsidR="00E10063" w:rsidRPr="0065414C" w14:paraId="5A9AE29A" w14:textId="77777777" w:rsidTr="00395A1D">
        <w:trPr>
          <w:trHeight w:val="298"/>
        </w:trPr>
        <w:tc>
          <w:tcPr>
            <w:tcW w:w="1831" w:type="dxa"/>
          </w:tcPr>
          <w:p w14:paraId="6A8D3F19" w14:textId="5C044EB4" w:rsidR="00E10063" w:rsidRPr="0065414C" w:rsidRDefault="00E10063" w:rsidP="004F3938">
            <w:pPr>
              <w:pStyle w:val="TableParagraph"/>
              <w:spacing w:after="62"/>
              <w:rPr>
                <w:rFonts w:cs="Arial"/>
                <w:b/>
                <w:bCs/>
              </w:rPr>
            </w:pPr>
            <w:r>
              <w:rPr>
                <w:rFonts w:cs="Arial"/>
                <w:b/>
                <w:bCs/>
              </w:rPr>
              <w:t>UDG</w:t>
            </w:r>
          </w:p>
        </w:tc>
        <w:tc>
          <w:tcPr>
            <w:tcW w:w="7241" w:type="dxa"/>
          </w:tcPr>
          <w:p w14:paraId="47BA8C08" w14:textId="2B3103AB" w:rsidR="00E10063" w:rsidRPr="0065414C" w:rsidRDefault="00E10063" w:rsidP="004F3938">
            <w:pPr>
              <w:pStyle w:val="TableParagraph"/>
              <w:spacing w:after="62"/>
              <w:rPr>
                <w:rFonts w:cs="Arial"/>
              </w:rPr>
            </w:pPr>
            <w:r>
              <w:rPr>
                <w:rFonts w:cs="Arial"/>
              </w:rPr>
              <w:t xml:space="preserve">Urgency Disposition Group </w:t>
            </w:r>
          </w:p>
        </w:tc>
      </w:tr>
      <w:tr w:rsidR="00E10063" w:rsidRPr="0065414C" w14:paraId="19722DB4" w14:textId="77777777" w:rsidTr="00395A1D">
        <w:trPr>
          <w:trHeight w:val="298"/>
        </w:trPr>
        <w:tc>
          <w:tcPr>
            <w:tcW w:w="1831" w:type="dxa"/>
          </w:tcPr>
          <w:p w14:paraId="71566CEF" w14:textId="1F024E24" w:rsidR="00E10063" w:rsidRDefault="00E10063" w:rsidP="004F3938">
            <w:pPr>
              <w:pStyle w:val="TableParagraph"/>
              <w:spacing w:after="62"/>
              <w:rPr>
                <w:rFonts w:cs="Arial"/>
                <w:b/>
                <w:bCs/>
              </w:rPr>
            </w:pPr>
            <w:r>
              <w:rPr>
                <w:rFonts w:cs="Arial"/>
                <w:b/>
                <w:bCs/>
              </w:rPr>
              <w:t>WHO</w:t>
            </w:r>
          </w:p>
        </w:tc>
        <w:tc>
          <w:tcPr>
            <w:tcW w:w="7241" w:type="dxa"/>
          </w:tcPr>
          <w:p w14:paraId="1B9E0D55" w14:textId="1C7AE864" w:rsidR="00E10063" w:rsidRDefault="00E10063" w:rsidP="004F3938">
            <w:pPr>
              <w:pStyle w:val="TableParagraph"/>
              <w:spacing w:after="62"/>
              <w:rPr>
                <w:rFonts w:cs="Arial"/>
              </w:rPr>
            </w:pPr>
            <w:r>
              <w:rPr>
                <w:rFonts w:cs="Arial"/>
              </w:rPr>
              <w:t>World Health Organisation</w:t>
            </w:r>
          </w:p>
        </w:tc>
      </w:tr>
    </w:tbl>
    <w:p w14:paraId="661EACE3" w14:textId="77777777" w:rsidR="00C415F5" w:rsidRPr="0065414C" w:rsidRDefault="00C415F5">
      <w:pPr>
        <w:spacing w:line="216" w:lineRule="exact"/>
        <w:rPr>
          <w:rFonts w:cs="Arial"/>
          <w:sz w:val="19"/>
        </w:rPr>
        <w:sectPr w:rsidR="00C415F5" w:rsidRPr="0065414C" w:rsidSect="00603DEC">
          <w:headerReference w:type="default" r:id="rId14"/>
          <w:footerReference w:type="default" r:id="rId15"/>
          <w:pgSz w:w="11910" w:h="16840"/>
          <w:pgMar w:top="1440" w:right="1440" w:bottom="1440" w:left="1440" w:header="0" w:footer="656" w:gutter="0"/>
          <w:pgNumType w:start="1"/>
          <w:cols w:space="720"/>
        </w:sectPr>
      </w:pPr>
    </w:p>
    <w:p w14:paraId="41DB79A0" w14:textId="77777777" w:rsidR="008613E1" w:rsidRPr="0065414C" w:rsidRDefault="008613E1" w:rsidP="003B4291">
      <w:pPr>
        <w:pStyle w:val="SectionNumber"/>
      </w:pPr>
      <w:bookmarkStart w:id="19" w:name="_Introduction"/>
      <w:bookmarkStart w:id="20" w:name="_Toc49953732"/>
      <w:bookmarkStart w:id="21" w:name="_Toc50465707"/>
      <w:bookmarkEnd w:id="19"/>
      <w:r w:rsidRPr="0065414C">
        <w:rPr>
          <w:lang w:bidi="ar-SA"/>
        </w:rPr>
        <w:lastRenderedPageBreak/>
        <w:drawing>
          <wp:anchor distT="0" distB="0" distL="114300" distR="114300" simplePos="0" relativeHeight="251635712" behindDoc="1" locked="0" layoutInCell="1" allowOverlap="1" wp14:anchorId="5F4A4A5D" wp14:editId="4013BFDB">
            <wp:simplePos x="0" y="0"/>
            <wp:positionH relativeFrom="margin">
              <wp:posOffset>-914400</wp:posOffset>
            </wp:positionH>
            <wp:positionV relativeFrom="page">
              <wp:posOffset>954157</wp:posOffset>
            </wp:positionV>
            <wp:extent cx="5462270" cy="3578225"/>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62270" cy="3578225"/>
                    </a:xfrm>
                    <a:prstGeom prst="rect">
                      <a:avLst/>
                    </a:prstGeom>
                    <a:noFill/>
                    <a:ln>
                      <a:noFill/>
                    </a:ln>
                  </pic:spPr>
                </pic:pic>
              </a:graphicData>
            </a:graphic>
          </wp:anchor>
        </w:drawing>
      </w:r>
      <w:r w:rsidRPr="0065414C">
        <w:t>1</w:t>
      </w:r>
      <w:bookmarkEnd w:id="20"/>
      <w:bookmarkEnd w:id="21"/>
    </w:p>
    <w:p w14:paraId="1BD5CC57" w14:textId="77777777" w:rsidR="008613E1" w:rsidRPr="0065414C" w:rsidRDefault="008613E1" w:rsidP="003B4291">
      <w:pPr>
        <w:pStyle w:val="Sectionheader"/>
        <w:sectPr w:rsidR="008613E1" w:rsidRPr="0065414C" w:rsidSect="008613E1">
          <w:headerReference w:type="default" r:id="rId17"/>
          <w:footerReference w:type="default" r:id="rId18"/>
          <w:pgSz w:w="11910" w:h="16840"/>
          <w:pgMar w:top="3970" w:right="1440" w:bottom="1440" w:left="1440" w:header="0" w:footer="656" w:gutter="0"/>
          <w:cols w:space="720"/>
        </w:sectPr>
      </w:pPr>
      <w:bookmarkStart w:id="22" w:name="_Toc49953733"/>
      <w:bookmarkStart w:id="23" w:name="_Toc71631300"/>
      <w:r w:rsidRPr="0065414C">
        <w:t>Introduction</w:t>
      </w:r>
      <w:bookmarkEnd w:id="22"/>
      <w:bookmarkEnd w:id="23"/>
    </w:p>
    <w:p w14:paraId="740CD794" w14:textId="77777777" w:rsidR="00C415F5" w:rsidRPr="0065414C" w:rsidRDefault="008613E1" w:rsidP="00F62597">
      <w:pPr>
        <w:pStyle w:val="Heading1"/>
        <w:ind w:left="227"/>
        <w:rPr>
          <w:rFonts w:cs="Arial"/>
        </w:rPr>
      </w:pPr>
      <w:bookmarkStart w:id="24" w:name="_Toc45809577"/>
      <w:bookmarkStart w:id="25" w:name="_Toc49953734"/>
      <w:r w:rsidRPr="0065414C">
        <w:rPr>
          <w:rFonts w:cs="Arial"/>
          <w:noProof/>
          <w:color w:val="FFFFFF" w:themeColor="background1"/>
          <w:lang w:eastAsia="en-AU" w:bidi="ar-SA"/>
        </w:rPr>
        <w:lastRenderedPageBreak/>
        <w:drawing>
          <wp:anchor distT="0" distB="0" distL="114300" distR="114300" simplePos="0" relativeHeight="251640832" behindDoc="1" locked="0" layoutInCell="1" allowOverlap="1" wp14:anchorId="50B407E1" wp14:editId="259F1BFB">
            <wp:simplePos x="0" y="0"/>
            <wp:positionH relativeFrom="column">
              <wp:posOffset>-914400</wp:posOffset>
            </wp:positionH>
            <wp:positionV relativeFrom="page">
              <wp:posOffset>658826</wp:posOffset>
            </wp:positionV>
            <wp:extent cx="1685925" cy="94615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5925" cy="946150"/>
                    </a:xfrm>
                    <a:prstGeom prst="rect">
                      <a:avLst/>
                    </a:prstGeom>
                    <a:noFill/>
                    <a:ln>
                      <a:noFill/>
                    </a:ln>
                  </pic:spPr>
                </pic:pic>
              </a:graphicData>
            </a:graphic>
          </wp:anchor>
        </w:drawing>
      </w:r>
      <w:r w:rsidRPr="0065414C">
        <w:rPr>
          <w:rFonts w:cs="Arial"/>
          <w:color w:val="FFFFFF" w:themeColor="background1"/>
        </w:rPr>
        <w:t>1</w:t>
      </w:r>
      <w:r w:rsidRPr="0065414C">
        <w:rPr>
          <w:rFonts w:cs="Arial"/>
          <w:color w:val="FFFFFF" w:themeColor="background1"/>
        </w:rPr>
        <w:tab/>
      </w:r>
      <w:r w:rsidRPr="0065414C">
        <w:rPr>
          <w:rFonts w:cs="Arial"/>
        </w:rPr>
        <w:tab/>
      </w:r>
      <w:r w:rsidR="00603DEC" w:rsidRPr="0065414C">
        <w:rPr>
          <w:rFonts w:cs="Arial"/>
        </w:rPr>
        <w:t>Introduction</w:t>
      </w:r>
      <w:bookmarkEnd w:id="24"/>
      <w:bookmarkEnd w:id="25"/>
    </w:p>
    <w:p w14:paraId="2BB74EE4" w14:textId="77777777" w:rsidR="00C415F5" w:rsidRPr="0065414C" w:rsidRDefault="00C415F5" w:rsidP="003932A6">
      <w:pPr>
        <w:pStyle w:val="BodyText"/>
        <w:rPr>
          <w:rFonts w:cs="Arial"/>
        </w:rPr>
      </w:pPr>
    </w:p>
    <w:p w14:paraId="325A39B3" w14:textId="77777777" w:rsidR="00C415F5" w:rsidRPr="0065414C" w:rsidRDefault="00C415F5">
      <w:pPr>
        <w:rPr>
          <w:rFonts w:cs="Arial"/>
          <w:sz w:val="15"/>
        </w:rPr>
        <w:sectPr w:rsidR="00C415F5" w:rsidRPr="0065414C" w:rsidSect="001142D0">
          <w:pgSz w:w="11910" w:h="16840"/>
          <w:pgMar w:top="1440" w:right="1440" w:bottom="1440" w:left="1440" w:header="0" w:footer="656" w:gutter="0"/>
          <w:cols w:space="720"/>
        </w:sectPr>
      </w:pPr>
    </w:p>
    <w:p w14:paraId="4A645CB2" w14:textId="1FEA4616" w:rsidR="00391CF0" w:rsidRPr="0065414C" w:rsidRDefault="00E10063" w:rsidP="00391CF0">
      <w:pPr>
        <w:pStyle w:val="BodyText"/>
        <w:rPr>
          <w:rFonts w:cs="Arial"/>
        </w:rPr>
      </w:pPr>
      <w:r w:rsidRPr="00E10063">
        <w:rPr>
          <w:rFonts w:cs="Arial"/>
        </w:rPr>
        <w:t>The Pricing Framework for Australian Public Hospital Services (the Pricing Framework) is the Independent Hospital Pricing Authority’s (IHPA) key policy document and underpins the approach adopted by IHPA to determine the national efficient price (NEP) and national efficient cost (NEC) for Australian public hospital services. The Consultation Paper on the Pricing Framework for Australian Public Hospital Services (the Consultation Paper) is the primary mechanism for providing input to the Pricing Framework.</w:t>
      </w:r>
    </w:p>
    <w:p w14:paraId="0744FC3F" w14:textId="449B3124" w:rsidR="00391CF0" w:rsidRDefault="00E10063" w:rsidP="00391CF0">
      <w:pPr>
        <w:pStyle w:val="BodyText"/>
        <w:rPr>
          <w:rFonts w:cs="Arial"/>
        </w:rPr>
      </w:pPr>
      <w:r w:rsidRPr="00E10063">
        <w:rPr>
          <w:rFonts w:cs="Arial"/>
        </w:rPr>
        <w:t>The Consultation Paper 2023–24 provides an opportunity for public consultation on the development and refinement of the national activity based funding (ABF) system, including policy decisions, classification systems and data collection, which will underpin the NEP and NEC Determinations for 2023–24.</w:t>
      </w:r>
    </w:p>
    <w:p w14:paraId="27C89400" w14:textId="27183D83" w:rsidR="00E10063" w:rsidRPr="0065414C" w:rsidRDefault="00E10063" w:rsidP="00E10063">
      <w:pPr>
        <w:pStyle w:val="Heading2"/>
        <w:rPr>
          <w:rFonts w:cs="Arial"/>
        </w:rPr>
      </w:pPr>
      <w:r>
        <w:rPr>
          <w:rFonts w:cs="Arial"/>
        </w:rPr>
        <w:t>1</w:t>
      </w:r>
      <w:r w:rsidRPr="0065414C">
        <w:rPr>
          <w:rFonts w:cs="Arial"/>
        </w:rPr>
        <w:t>.1</w:t>
      </w:r>
      <w:r w:rsidR="002457AA">
        <w:rPr>
          <w:rFonts w:cs="Arial"/>
        </w:rPr>
        <w:t>.</w:t>
      </w:r>
      <w:r w:rsidRPr="0065414C">
        <w:rPr>
          <w:rFonts w:cs="Arial"/>
        </w:rPr>
        <w:t xml:space="preserve"> </w:t>
      </w:r>
      <w:r>
        <w:rPr>
          <w:rFonts w:cs="Arial"/>
        </w:rPr>
        <w:t>IHPA’s role under the Addendum</w:t>
      </w:r>
    </w:p>
    <w:p w14:paraId="19E13A84" w14:textId="77777777" w:rsidR="00E10063" w:rsidRPr="00E10063" w:rsidRDefault="00E10063" w:rsidP="00E10063">
      <w:pPr>
        <w:pStyle w:val="BodyText"/>
        <w:ind w:right="92"/>
        <w:rPr>
          <w:rFonts w:eastAsia="Arial" w:cs="Arial"/>
          <w:szCs w:val="22"/>
        </w:rPr>
      </w:pPr>
      <w:r w:rsidRPr="00E10063">
        <w:rPr>
          <w:rFonts w:eastAsia="Arial" w:cs="Arial"/>
          <w:szCs w:val="22"/>
        </w:rPr>
        <w:t xml:space="preserve">In May 2020, the Commonwealth and all state and territory governments signed an Addendum that amends the National Health Reform Agreement for the period from 1 July 2020 to 30 June 2025 (the Addendum). </w:t>
      </w:r>
    </w:p>
    <w:p w14:paraId="708E9406" w14:textId="77777777" w:rsidR="00E10063" w:rsidRPr="00E10063" w:rsidRDefault="00E10063" w:rsidP="00E10063">
      <w:pPr>
        <w:pStyle w:val="BodyText"/>
        <w:ind w:right="92"/>
        <w:rPr>
          <w:rFonts w:eastAsia="Arial" w:cs="Arial"/>
          <w:szCs w:val="22"/>
        </w:rPr>
      </w:pPr>
      <w:r w:rsidRPr="00E10063">
        <w:rPr>
          <w:rFonts w:eastAsia="Arial" w:cs="Arial"/>
          <w:szCs w:val="22"/>
        </w:rPr>
        <w:t xml:space="preserve">The Addendum reaffirms IHPA’s primary function as an independent national agency responsible for calculating and determining the NEP and NEC for public hospital services in Australia. </w:t>
      </w:r>
    </w:p>
    <w:p w14:paraId="28D19242" w14:textId="77777777" w:rsidR="00E10063" w:rsidRPr="00E10063" w:rsidRDefault="00E10063" w:rsidP="00E10063">
      <w:pPr>
        <w:pStyle w:val="BodyText"/>
        <w:ind w:right="92"/>
        <w:rPr>
          <w:rFonts w:eastAsia="Arial" w:cs="Arial"/>
          <w:szCs w:val="22"/>
        </w:rPr>
      </w:pPr>
      <w:r w:rsidRPr="00E10063">
        <w:rPr>
          <w:rFonts w:eastAsia="Arial" w:cs="Arial"/>
          <w:szCs w:val="22"/>
        </w:rPr>
        <w:t xml:space="preserve">The Addendum defines IHPA’s role in health funding reform and contains a number of provisions relating to improving efficiency in the health system through a shift in focus from paying for volume of services to paying for value and patient outcomes. IHPA is investigating the feasibility of implementing pricing and funding approaches that use methodologies differing from ABF, including bundled payments and capitation models. </w:t>
      </w:r>
    </w:p>
    <w:p w14:paraId="0AE4ACFF" w14:textId="77777777" w:rsidR="00E10063" w:rsidRPr="00E10063" w:rsidRDefault="00E10063" w:rsidP="00E10063">
      <w:pPr>
        <w:pStyle w:val="BodyText"/>
        <w:ind w:right="92"/>
        <w:rPr>
          <w:rFonts w:eastAsia="Arial" w:cs="Arial"/>
          <w:szCs w:val="22"/>
        </w:rPr>
      </w:pPr>
      <w:r w:rsidRPr="00E10063">
        <w:rPr>
          <w:rFonts w:eastAsia="Arial" w:cs="Arial"/>
          <w:szCs w:val="22"/>
        </w:rPr>
        <w:t xml:space="preserve">IHPA is also required to provide advice to all health ministers on evaluating existing and new safety and quality reforms, including ways that avoidable and preventable hospitalisations can be reduced. </w:t>
      </w:r>
    </w:p>
    <w:p w14:paraId="1BF9A059" w14:textId="77777777" w:rsidR="00DC37A5" w:rsidRDefault="00DC37A5" w:rsidP="00E10063">
      <w:pPr>
        <w:pStyle w:val="BodyText"/>
        <w:ind w:right="92"/>
        <w:rPr>
          <w:rFonts w:eastAsia="Arial" w:cs="Arial"/>
          <w:szCs w:val="22"/>
        </w:rPr>
      </w:pPr>
    </w:p>
    <w:p w14:paraId="6500F6F1" w14:textId="7DA77327" w:rsidR="00391CF0" w:rsidRPr="0065414C" w:rsidRDefault="00E10063" w:rsidP="00E10063">
      <w:pPr>
        <w:pStyle w:val="BodyText"/>
        <w:ind w:right="92"/>
        <w:rPr>
          <w:rFonts w:cs="Arial"/>
        </w:rPr>
      </w:pPr>
      <w:r w:rsidRPr="00E10063">
        <w:rPr>
          <w:rFonts w:eastAsia="Arial" w:cs="Arial"/>
          <w:szCs w:val="22"/>
        </w:rPr>
        <w:t>This Consultation Paper outlines the policy implications of the Addendum, the work IHPA has undertaken to address requirements under the Addendum and its impact on IHPA’s future work program.</w:t>
      </w:r>
    </w:p>
    <w:p w14:paraId="1B655549" w14:textId="67FC80C3" w:rsidR="00E10063" w:rsidRPr="0065414C" w:rsidRDefault="00E10063" w:rsidP="00E10063">
      <w:pPr>
        <w:pStyle w:val="Heading2"/>
        <w:rPr>
          <w:rFonts w:cs="Arial"/>
        </w:rPr>
      </w:pPr>
      <w:r>
        <w:rPr>
          <w:rFonts w:cs="Arial"/>
        </w:rPr>
        <w:t>1</w:t>
      </w:r>
      <w:r w:rsidRPr="0065414C">
        <w:rPr>
          <w:rFonts w:cs="Arial"/>
        </w:rPr>
        <w:t>.</w:t>
      </w:r>
      <w:r>
        <w:rPr>
          <w:rFonts w:cs="Arial"/>
        </w:rPr>
        <w:t>2</w:t>
      </w:r>
      <w:r w:rsidR="002457AA">
        <w:rPr>
          <w:rFonts w:cs="Arial"/>
        </w:rPr>
        <w:t>.</w:t>
      </w:r>
      <w:r w:rsidRPr="0065414C">
        <w:rPr>
          <w:rFonts w:cs="Arial"/>
        </w:rPr>
        <w:t xml:space="preserve"> </w:t>
      </w:r>
      <w:r>
        <w:rPr>
          <w:rFonts w:cs="Arial"/>
        </w:rPr>
        <w:t>Impact of COVID-19</w:t>
      </w:r>
    </w:p>
    <w:p w14:paraId="2056F408" w14:textId="2785937A" w:rsidR="00A83600" w:rsidRDefault="00E10063" w:rsidP="00391CF0">
      <w:pPr>
        <w:pStyle w:val="BodyText"/>
        <w:ind w:right="92"/>
        <w:rPr>
          <w:rFonts w:eastAsia="Arial" w:cs="Arial"/>
          <w:szCs w:val="22"/>
        </w:rPr>
      </w:pPr>
      <w:r w:rsidRPr="00E10063">
        <w:rPr>
          <w:rFonts w:eastAsia="Arial" w:cs="Arial"/>
          <w:szCs w:val="22"/>
        </w:rPr>
        <w:t>IHPA received extensive feedback to the Consultation Paper 2022–23 and the NEP and NEC Determinations for 2022–23 regarding the short and long</w:t>
      </w:r>
      <w:r w:rsidR="00B75056">
        <w:rPr>
          <w:rFonts w:eastAsia="Arial" w:cs="Arial"/>
          <w:szCs w:val="22"/>
        </w:rPr>
        <w:t>-</w:t>
      </w:r>
      <w:r w:rsidRPr="00E10063">
        <w:rPr>
          <w:rFonts w:eastAsia="Arial" w:cs="Arial"/>
          <w:szCs w:val="22"/>
        </w:rPr>
        <w:t xml:space="preserve">term impacts on models of care and service delivery resulting from the Coronavirus disease 2019 (COVID-19) pandemic and how these changes should be accounted for in the national pricing model. </w:t>
      </w:r>
    </w:p>
    <w:p w14:paraId="7CD61999" w14:textId="1459C69A" w:rsidR="00E10063" w:rsidRDefault="00E10063" w:rsidP="00391CF0">
      <w:pPr>
        <w:pStyle w:val="BodyText"/>
        <w:ind w:right="92"/>
        <w:rPr>
          <w:rFonts w:eastAsia="Arial" w:cs="Arial"/>
          <w:szCs w:val="22"/>
        </w:rPr>
      </w:pPr>
      <w:r w:rsidRPr="00E10063">
        <w:rPr>
          <w:rFonts w:eastAsia="Arial" w:cs="Arial"/>
          <w:szCs w:val="22"/>
        </w:rPr>
        <w:t>IHPA recognises that public hospital services have undergone significant change as a result of the</w:t>
      </w:r>
      <w:r w:rsidR="00DC37A5">
        <w:rPr>
          <w:rFonts w:eastAsia="Arial" w:cs="Arial"/>
          <w:szCs w:val="22"/>
        </w:rPr>
        <w:t xml:space="preserve"> </w:t>
      </w:r>
      <w:r w:rsidRPr="00E10063">
        <w:rPr>
          <w:rFonts w:eastAsia="Arial" w:cs="Arial"/>
          <w:szCs w:val="22"/>
        </w:rPr>
        <w:t xml:space="preserve">COVID-19 </w:t>
      </w:r>
      <w:r w:rsidR="00152BEC">
        <w:rPr>
          <w:rFonts w:eastAsia="Arial" w:cs="Arial"/>
          <w:szCs w:val="22"/>
        </w:rPr>
        <w:t xml:space="preserve">pandemic </w:t>
      </w:r>
      <w:r w:rsidRPr="00E10063">
        <w:rPr>
          <w:rFonts w:eastAsia="Arial" w:cs="Arial"/>
          <w:szCs w:val="22"/>
        </w:rPr>
        <w:t>response. The Consultation Paper seeks feedback on how IHPA proposes to assess the ongoing impact of COVID</w:t>
      </w:r>
      <w:r w:rsidR="006157F2">
        <w:rPr>
          <w:rFonts w:eastAsia="Arial" w:cs="Arial"/>
          <w:szCs w:val="22"/>
        </w:rPr>
        <w:noBreakHyphen/>
      </w:r>
      <w:r w:rsidRPr="00E10063">
        <w:rPr>
          <w:rFonts w:eastAsia="Arial" w:cs="Arial"/>
          <w:szCs w:val="22"/>
        </w:rPr>
        <w:t xml:space="preserve">19 on the </w:t>
      </w:r>
      <w:r w:rsidR="002D10A4">
        <w:rPr>
          <w:rFonts w:cs="Arial"/>
        </w:rPr>
        <w:t>activity and cost</w:t>
      </w:r>
      <w:r w:rsidRPr="00E10063">
        <w:rPr>
          <w:rFonts w:eastAsia="Arial" w:cs="Arial"/>
          <w:szCs w:val="22"/>
        </w:rPr>
        <w:t xml:space="preserve"> data and the potential resultant changes to the national pricing model.</w:t>
      </w:r>
    </w:p>
    <w:p w14:paraId="06DD27D3" w14:textId="5CE49F31" w:rsidR="00E10063" w:rsidRPr="0065414C" w:rsidRDefault="00E10063" w:rsidP="00E10063">
      <w:pPr>
        <w:pStyle w:val="Heading2"/>
        <w:rPr>
          <w:rFonts w:cs="Arial"/>
        </w:rPr>
      </w:pPr>
      <w:r>
        <w:rPr>
          <w:rFonts w:cs="Arial"/>
        </w:rPr>
        <w:t>1</w:t>
      </w:r>
      <w:r w:rsidRPr="0065414C">
        <w:rPr>
          <w:rFonts w:cs="Arial"/>
        </w:rPr>
        <w:t>.</w:t>
      </w:r>
      <w:r>
        <w:rPr>
          <w:rFonts w:cs="Arial"/>
        </w:rPr>
        <w:t>3</w:t>
      </w:r>
      <w:r w:rsidR="002457AA">
        <w:rPr>
          <w:rFonts w:cs="Arial"/>
        </w:rPr>
        <w:t>.</w:t>
      </w:r>
      <w:r w:rsidRPr="0065414C">
        <w:rPr>
          <w:rFonts w:cs="Arial"/>
        </w:rPr>
        <w:t xml:space="preserve"> </w:t>
      </w:r>
      <w:r>
        <w:rPr>
          <w:rFonts w:cs="Arial"/>
        </w:rPr>
        <w:t>Pricing aged care services</w:t>
      </w:r>
    </w:p>
    <w:p w14:paraId="15BFB225" w14:textId="6430B4D9" w:rsidR="00E10063" w:rsidRPr="00E10063" w:rsidRDefault="00E10063" w:rsidP="00E10063">
      <w:pPr>
        <w:pStyle w:val="BodyText"/>
        <w:ind w:right="92"/>
        <w:rPr>
          <w:rFonts w:cs="Arial"/>
        </w:rPr>
      </w:pPr>
      <w:r>
        <w:t xml:space="preserve">The </w:t>
      </w:r>
      <w:hyperlink r:id="rId20" w:history="1">
        <w:r w:rsidRPr="00D853B6">
          <w:rPr>
            <w:rStyle w:val="Hyperlink"/>
          </w:rPr>
          <w:t>Federal Budget 2021–22</w:t>
        </w:r>
      </w:hyperlink>
      <w:r w:rsidRPr="00D853B6">
        <w:rPr>
          <w:color w:val="008F54" w:themeColor="accent2"/>
        </w:rPr>
        <w:t xml:space="preserve"> </w:t>
      </w:r>
      <w:r>
        <w:t>was delivered on 11</w:t>
      </w:r>
      <w:r w:rsidR="00DC37A5">
        <w:t> </w:t>
      </w:r>
      <w:r>
        <w:t xml:space="preserve">May 2021 and contained a measure in response to the </w:t>
      </w:r>
      <w:hyperlink r:id="rId21" w:history="1">
        <w:r w:rsidRPr="00D853B6">
          <w:rPr>
            <w:rStyle w:val="Hyperlink"/>
          </w:rPr>
          <w:t>Royal Commission into Aged Care Quality and Safety</w:t>
        </w:r>
      </w:hyperlink>
      <w:r>
        <w:t xml:space="preserve">, which would </w:t>
      </w:r>
      <w:r w:rsidRPr="00E10063">
        <w:rPr>
          <w:rFonts w:cs="Arial"/>
        </w:rPr>
        <w:t>result in the expansion of IHPA, to be renamed the Independent Health and Aged Care Pricing Authority. Under this measure, IHPA will inform Australian government decisions on annual funding increases in residential aged care from 1</w:t>
      </w:r>
      <w:r w:rsidR="00A83600">
        <w:rPr>
          <w:rFonts w:cs="Arial"/>
        </w:rPr>
        <w:t> </w:t>
      </w:r>
      <w:r w:rsidRPr="00E10063">
        <w:rPr>
          <w:rFonts w:cs="Arial"/>
        </w:rPr>
        <w:t xml:space="preserve">July 2023. IHPA will also have a role in </w:t>
      </w:r>
      <w:r w:rsidR="00DE58CB">
        <w:rPr>
          <w:rFonts w:cs="Arial"/>
        </w:rPr>
        <w:t xml:space="preserve">providing advice on </w:t>
      </w:r>
      <w:r w:rsidRPr="00E10063">
        <w:rPr>
          <w:rFonts w:cs="Arial"/>
        </w:rPr>
        <w:t>home aged care pricing from 1 July 2023.</w:t>
      </w:r>
    </w:p>
    <w:p w14:paraId="7621E76A" w14:textId="1E242F60" w:rsidR="00E10063" w:rsidRDefault="00E10063" w:rsidP="00E10063">
      <w:pPr>
        <w:pStyle w:val="BodyText"/>
        <w:ind w:right="92"/>
        <w:rPr>
          <w:rFonts w:cs="Arial"/>
        </w:rPr>
      </w:pPr>
      <w:r w:rsidRPr="00E10063">
        <w:rPr>
          <w:rFonts w:cs="Arial"/>
        </w:rPr>
        <w:t xml:space="preserve">This Consultation Paper will only apply to developing </w:t>
      </w:r>
      <w:r w:rsidR="00217F05">
        <w:rPr>
          <w:rFonts w:cs="Arial"/>
        </w:rPr>
        <w:t>the</w:t>
      </w:r>
      <w:r w:rsidRPr="00E10063">
        <w:rPr>
          <w:rFonts w:cs="Arial"/>
        </w:rPr>
        <w:t xml:space="preserve"> NEP</w:t>
      </w:r>
      <w:r w:rsidR="00217F05">
        <w:rPr>
          <w:rFonts w:cs="Arial"/>
        </w:rPr>
        <w:t xml:space="preserve"> and NEC</w:t>
      </w:r>
      <w:r w:rsidRPr="00E10063">
        <w:rPr>
          <w:rFonts w:cs="Arial"/>
        </w:rPr>
        <w:t xml:space="preserve"> </w:t>
      </w:r>
      <w:r w:rsidR="006157F2">
        <w:rPr>
          <w:rFonts w:cs="Arial"/>
        </w:rPr>
        <w:t xml:space="preserve">Determinations </w:t>
      </w:r>
      <w:r w:rsidRPr="00E10063">
        <w:rPr>
          <w:rFonts w:cs="Arial"/>
        </w:rPr>
        <w:t>for Australian public hospital services in 2023–24. A separate pricing framework for pricing Australian residential aged care services will be developed and released later in 2022.</w:t>
      </w:r>
    </w:p>
    <w:p w14:paraId="0A1AF79B" w14:textId="4799B2D3" w:rsidR="00E10063" w:rsidRDefault="00E10063" w:rsidP="00E10063">
      <w:pPr>
        <w:pStyle w:val="BodyText"/>
        <w:ind w:right="92"/>
        <w:rPr>
          <w:rFonts w:cs="Arial"/>
        </w:rPr>
      </w:pPr>
    </w:p>
    <w:p w14:paraId="70ACC17D" w14:textId="50FD7903" w:rsidR="00E10063" w:rsidRPr="0065414C" w:rsidRDefault="00E10063" w:rsidP="00E10063">
      <w:pPr>
        <w:pStyle w:val="Heading2"/>
        <w:rPr>
          <w:rFonts w:cs="Arial"/>
        </w:rPr>
      </w:pPr>
      <w:r>
        <w:rPr>
          <w:rFonts w:cs="Arial"/>
        </w:rPr>
        <w:lastRenderedPageBreak/>
        <w:t>1</w:t>
      </w:r>
      <w:r w:rsidRPr="0065414C">
        <w:rPr>
          <w:rFonts w:cs="Arial"/>
        </w:rPr>
        <w:t>.</w:t>
      </w:r>
      <w:r>
        <w:rPr>
          <w:rFonts w:cs="Arial"/>
        </w:rPr>
        <w:t>4</w:t>
      </w:r>
      <w:r w:rsidR="002457AA">
        <w:rPr>
          <w:rFonts w:cs="Arial"/>
        </w:rPr>
        <w:t>.</w:t>
      </w:r>
      <w:r w:rsidRPr="0065414C">
        <w:rPr>
          <w:rFonts w:cs="Arial"/>
        </w:rPr>
        <w:t xml:space="preserve"> </w:t>
      </w:r>
      <w:r>
        <w:rPr>
          <w:rFonts w:cs="Arial"/>
        </w:rPr>
        <w:t xml:space="preserve">Supporting documents </w:t>
      </w:r>
    </w:p>
    <w:p w14:paraId="6918B761" w14:textId="77777777" w:rsidR="00E10063" w:rsidRPr="00563FB0" w:rsidRDefault="00E10063" w:rsidP="00E10063">
      <w:pPr>
        <w:pStyle w:val="BodyText"/>
        <w:ind w:right="480"/>
      </w:pPr>
      <w:r w:rsidRPr="00563FB0">
        <w:t>This Consultation Paper builds on previous work in IHPA’s work program and should be read in conjunction with the following documents:</w:t>
      </w:r>
    </w:p>
    <w:p w14:paraId="743FF66D" w14:textId="77777777" w:rsidR="00E10063" w:rsidRPr="00041B5E" w:rsidRDefault="00BC4B23" w:rsidP="00295921">
      <w:pPr>
        <w:pStyle w:val="ListParagraph"/>
        <w:numPr>
          <w:ilvl w:val="0"/>
          <w:numId w:val="50"/>
        </w:numPr>
        <w:rPr>
          <w:rStyle w:val="Hyperlink"/>
          <w:i/>
          <w:iCs/>
          <w:szCs w:val="19"/>
        </w:rPr>
      </w:pPr>
      <w:hyperlink r:id="rId22" w:history="1">
        <w:r w:rsidR="00E10063" w:rsidRPr="00041B5E">
          <w:rPr>
            <w:rStyle w:val="Hyperlink"/>
            <w:i/>
            <w:iCs/>
          </w:rPr>
          <w:t>Pricing Framework for Australian Public Hospital Services 2022–23</w:t>
        </w:r>
      </w:hyperlink>
    </w:p>
    <w:p w14:paraId="54DDB85F" w14:textId="77777777" w:rsidR="00E10063" w:rsidRPr="00041B5E" w:rsidRDefault="00E10063" w:rsidP="00295921">
      <w:pPr>
        <w:pStyle w:val="ListParagraph"/>
        <w:numPr>
          <w:ilvl w:val="0"/>
          <w:numId w:val="50"/>
        </w:numPr>
        <w:rPr>
          <w:rStyle w:val="Hyperlink"/>
          <w:i/>
          <w:iCs/>
        </w:rPr>
      </w:pPr>
      <w:r w:rsidRPr="00041B5E">
        <w:rPr>
          <w:rStyle w:val="Hyperlink"/>
          <w:i/>
          <w:iCs/>
        </w:rPr>
        <w:fldChar w:fldCharType="begin"/>
      </w:r>
      <w:r w:rsidRPr="00041B5E">
        <w:rPr>
          <w:rStyle w:val="Hyperlink"/>
          <w:i/>
          <w:iCs/>
        </w:rPr>
        <w:instrText xml:space="preserve"> HYPERLINK "https://www.ihpa.gov.au/sites/default/files/publications/pricing_framework_for_australian_public_hospital_services_2022-23_-_consultation_report.pdf" </w:instrText>
      </w:r>
      <w:r w:rsidRPr="00041B5E">
        <w:rPr>
          <w:rStyle w:val="Hyperlink"/>
          <w:i/>
          <w:iCs/>
        </w:rPr>
        <w:fldChar w:fldCharType="separate"/>
      </w:r>
      <w:r w:rsidRPr="00041B5E">
        <w:rPr>
          <w:rStyle w:val="Hyperlink"/>
          <w:i/>
          <w:iCs/>
        </w:rPr>
        <w:t>Pricing Framework for Australian Public Hospital Services 2022–23 – Consultation Report</w:t>
      </w:r>
    </w:p>
    <w:p w14:paraId="02BA7E55" w14:textId="4C3346D3" w:rsidR="00E10063" w:rsidRPr="003C4D9A" w:rsidRDefault="00E10063" w:rsidP="00295921">
      <w:pPr>
        <w:pStyle w:val="ListParagraph"/>
        <w:numPr>
          <w:ilvl w:val="0"/>
          <w:numId w:val="50"/>
        </w:numPr>
        <w:rPr>
          <w:rStyle w:val="Hyperlink"/>
          <w:i/>
          <w:iCs/>
        </w:rPr>
      </w:pPr>
      <w:r w:rsidRPr="00041B5E">
        <w:rPr>
          <w:rStyle w:val="Hyperlink"/>
          <w:i/>
          <w:iCs/>
        </w:rPr>
        <w:fldChar w:fldCharType="end"/>
      </w:r>
      <w:r w:rsidR="003C4D9A">
        <w:rPr>
          <w:rStyle w:val="Hyperlink"/>
          <w:i/>
          <w:iCs/>
        </w:rPr>
        <w:fldChar w:fldCharType="begin"/>
      </w:r>
      <w:r w:rsidR="003C4D9A">
        <w:rPr>
          <w:rStyle w:val="Hyperlink"/>
          <w:i/>
          <w:iCs/>
        </w:rPr>
        <w:instrText xml:space="preserve"> HYPERLINK "https://www.ihpa.gov.au/publications/national-efficient-price-determination-2022-23" </w:instrText>
      </w:r>
      <w:r w:rsidR="003C4D9A">
        <w:rPr>
          <w:rStyle w:val="Hyperlink"/>
          <w:i/>
          <w:iCs/>
        </w:rPr>
        <w:fldChar w:fldCharType="separate"/>
      </w:r>
      <w:r w:rsidRPr="003C4D9A">
        <w:rPr>
          <w:rStyle w:val="Hyperlink"/>
          <w:i/>
          <w:iCs/>
        </w:rPr>
        <w:t>National Efficient Price Determination 2022–23</w:t>
      </w:r>
    </w:p>
    <w:p w14:paraId="62E3F628" w14:textId="5BB75528" w:rsidR="00E10063" w:rsidRPr="00041B5E" w:rsidRDefault="003C4D9A" w:rsidP="00295921">
      <w:pPr>
        <w:pStyle w:val="ListParagraph"/>
        <w:numPr>
          <w:ilvl w:val="0"/>
          <w:numId w:val="50"/>
        </w:numPr>
        <w:rPr>
          <w:rStyle w:val="Hyperlink"/>
          <w:i/>
          <w:iCs/>
          <w:u w:val="none"/>
        </w:rPr>
      </w:pPr>
      <w:r>
        <w:rPr>
          <w:rStyle w:val="Hyperlink"/>
          <w:i/>
          <w:iCs/>
        </w:rPr>
        <w:fldChar w:fldCharType="end"/>
      </w:r>
      <w:hyperlink r:id="rId23" w:history="1">
        <w:r w:rsidR="00E10063" w:rsidRPr="00041B5E">
          <w:rPr>
            <w:rStyle w:val="Hyperlink"/>
            <w:i/>
            <w:iCs/>
          </w:rPr>
          <w:t>National Efficient Cost Determination 2022–23</w:t>
        </w:r>
      </w:hyperlink>
      <w:r w:rsidR="00E10063" w:rsidRPr="00041B5E">
        <w:rPr>
          <w:rStyle w:val="Hyperlink"/>
          <w:i/>
          <w:iCs/>
          <w:u w:val="none"/>
        </w:rPr>
        <w:t>.</w:t>
      </w:r>
    </w:p>
    <w:p w14:paraId="60DB1889" w14:textId="77777777" w:rsidR="00C415F5" w:rsidRPr="0065414C" w:rsidRDefault="0065414C" w:rsidP="00391CF0">
      <w:pPr>
        <w:pStyle w:val="BodyText"/>
        <w:ind w:right="92"/>
        <w:rPr>
          <w:rFonts w:cs="Arial"/>
          <w:sz w:val="12"/>
        </w:rPr>
      </w:pPr>
      <w:r w:rsidRPr="0065414C">
        <w:rPr>
          <w:rFonts w:cs="Arial"/>
          <w:noProof/>
          <w:lang w:eastAsia="en-AU" w:bidi="ar-SA"/>
        </w:rPr>
        <mc:AlternateContent>
          <mc:Choice Requires="wps">
            <w:drawing>
              <wp:inline distT="0" distB="0" distL="0" distR="0" wp14:anchorId="64012C78" wp14:editId="03CA67C6">
                <wp:extent cx="5720080" cy="1998345"/>
                <wp:effectExtent l="0" t="0" r="13970" b="20955"/>
                <wp:docPr id="65" name="Text Box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1998345"/>
                        </a:xfrm>
                        <a:prstGeom prst="rect">
                          <a:avLst/>
                        </a:prstGeom>
                        <a:noFill/>
                        <a:ln w="9525">
                          <a:solidFill>
                            <a:schemeClr val="accent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6EABB06" w14:textId="77777777" w:rsidR="00FE6544" w:rsidRPr="00693365" w:rsidRDefault="00FE6544" w:rsidP="009C68D5">
                            <w:pPr>
                              <w:pStyle w:val="Heading3"/>
                              <w:ind w:left="426" w:right="214"/>
                            </w:pPr>
                            <w:r w:rsidRPr="00693365">
                              <w:t>Have your say</w:t>
                            </w:r>
                          </w:p>
                          <w:p w14:paraId="5F01E0D3" w14:textId="6A10CD28" w:rsidR="00FE6544" w:rsidRDefault="00FE6544" w:rsidP="00E10063">
                            <w:pPr>
                              <w:pStyle w:val="BodyText"/>
                              <w:ind w:left="426" w:right="214"/>
                            </w:pPr>
                            <w:r>
                              <w:t xml:space="preserve">Submissions close at 5pm AEST on </w:t>
                            </w:r>
                            <w:r w:rsidRPr="00295921">
                              <w:rPr>
                                <w:b/>
                                <w:bCs/>
                              </w:rPr>
                              <w:t>Friday 8 July 2022</w:t>
                            </w:r>
                            <w:r>
                              <w:t>.</w:t>
                            </w:r>
                          </w:p>
                          <w:p w14:paraId="661ADC03" w14:textId="77777777" w:rsidR="00FE6544" w:rsidRDefault="00FE6544" w:rsidP="00E10063">
                            <w:pPr>
                              <w:pStyle w:val="BodyText"/>
                              <w:ind w:left="426" w:right="214"/>
                            </w:pPr>
                            <w:r>
                              <w:t xml:space="preserve">Submissions can be emailed to IHPA Secretariat at </w:t>
                            </w:r>
                            <w:r w:rsidRPr="00E10063">
                              <w:rPr>
                                <w:rStyle w:val="Hyperlink"/>
                              </w:rPr>
                              <w:t>submissions.ihpa@ihpa.gov.au</w:t>
                            </w:r>
                            <w:r>
                              <w:t>.</w:t>
                            </w:r>
                          </w:p>
                          <w:p w14:paraId="2F77455E" w14:textId="77777777" w:rsidR="00FE6544" w:rsidRDefault="00FE6544" w:rsidP="00E10063">
                            <w:pPr>
                              <w:pStyle w:val="BodyText"/>
                              <w:ind w:left="426" w:right="214"/>
                            </w:pPr>
                            <w:r>
                              <w:t xml:space="preserve">All submissions will be published on the </w:t>
                            </w:r>
                            <w:r w:rsidRPr="00E10063">
                              <w:rPr>
                                <w:rStyle w:val="Hyperlink"/>
                              </w:rPr>
                              <w:t>IHPA website</w:t>
                            </w:r>
                            <w:r>
                              <w:t xml:space="preserve"> unless respondents specifically identify sections that they believe should be kept confidential due to commercial or other reasons.</w:t>
                            </w:r>
                          </w:p>
                          <w:p w14:paraId="3027D951" w14:textId="0522F861" w:rsidR="00FE6544" w:rsidRDefault="00FE6544" w:rsidP="00E10063">
                            <w:pPr>
                              <w:pStyle w:val="BodyText"/>
                              <w:ind w:left="426" w:right="214"/>
                            </w:pPr>
                            <w:r>
                              <w:t>The Pricing Framework for Australian Public Hospital Services 2023–24 will be published in December 2022, ahead of the publication of the National Efficient Price Determination 2023–24 and the National Efficient Cost Determination 2023–24 in March 2023.</w:t>
                            </w:r>
                          </w:p>
                        </w:txbxContent>
                      </wps:txbx>
                      <wps:bodyPr rot="0" vert="horz" wrap="square" lIns="0" tIns="0" rIns="0" bIns="0" anchor="t" anchorCtr="0" upright="1">
                        <a:noAutofit/>
                      </wps:bodyPr>
                    </wps:wsp>
                  </a:graphicData>
                </a:graphic>
              </wp:inline>
            </w:drawing>
          </mc:Choice>
          <mc:Fallback xmlns:w16sdtdh="http://schemas.microsoft.com/office/word/2020/wordml/sdtdatahash" xmlns:oel="http://schemas.microsoft.com/office/2019/extlst">
            <w:pict>
              <v:shapetype w14:anchorId="64012C78" id="_x0000_t202" coordsize="21600,21600" o:spt="202" path="m,l,21600r21600,l21600,xe">
                <v:stroke joinstyle="miter"/>
                <v:path gradientshapeok="t" o:connecttype="rect"/>
              </v:shapetype>
              <v:shape id="Text Box 24" o:spid="_x0000_s1026" type="#_x0000_t202" alt="&quot;&quot;" style="width:450.4pt;height:15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" filled="f" strokecolor="#008f54 [3205]">
                <v:textbox inset="0,0,0,0">
                  <w:txbxContent>
                    <w:p w14:paraId="66EABB06" w14:textId="77777777" w:rsidR="00FE6544" w:rsidRPr="00693365" w:rsidRDefault="00FE6544" w:rsidP="009C68D5">
                      <w:pPr>
                        <w:pStyle w:val="Heading3"/>
                        <w:ind w:left="426" w:right="214"/>
                      </w:pPr>
                      <w:r w:rsidRPr="00693365">
                        <w:t>Have your say</w:t>
                      </w:r>
                    </w:p>
                    <w:p w14:paraId="5F01E0D3" w14:textId="6A10CD28" w:rsidR="00FE6544" w:rsidRDefault="00FE6544" w:rsidP="00E10063">
                      <w:pPr>
                        <w:pStyle w:val="BodyText"/>
                        <w:ind w:left="426" w:right="214"/>
                      </w:pPr>
                      <w:r>
                        <w:t xml:space="preserve">Submissions close at 5pm AEST on </w:t>
                      </w:r>
                      <w:r w:rsidRPr="00295921">
                        <w:rPr>
                          <w:b/>
                          <w:bCs/>
                        </w:rPr>
                        <w:t>Friday 8 July 2022</w:t>
                      </w:r>
                      <w:r>
                        <w:t>.</w:t>
                      </w:r>
                    </w:p>
                    <w:p w14:paraId="661ADC03" w14:textId="77777777" w:rsidR="00FE6544" w:rsidRDefault="00FE6544" w:rsidP="00E10063">
                      <w:pPr>
                        <w:pStyle w:val="BodyText"/>
                        <w:ind w:left="426" w:right="214"/>
                      </w:pPr>
                      <w:r>
                        <w:t xml:space="preserve">Submissions can be emailed to IHPA Secretariat at </w:t>
                      </w:r>
                      <w:r w:rsidRPr="00E10063">
                        <w:rPr>
                          <w:rStyle w:val="Hyperlink"/>
                        </w:rPr>
                        <w:t>submissions.ihpa@ihpa.gov.au</w:t>
                      </w:r>
                      <w:r>
                        <w:t>.</w:t>
                      </w:r>
                    </w:p>
                    <w:p w14:paraId="2F77455E" w14:textId="77777777" w:rsidR="00FE6544" w:rsidRDefault="00FE6544" w:rsidP="00E10063">
                      <w:pPr>
                        <w:pStyle w:val="BodyText"/>
                        <w:ind w:left="426" w:right="214"/>
                      </w:pPr>
                      <w:r>
                        <w:t xml:space="preserve">All submissions will be published on the </w:t>
                      </w:r>
                      <w:r w:rsidRPr="00E10063">
                        <w:rPr>
                          <w:rStyle w:val="Hyperlink"/>
                        </w:rPr>
                        <w:t>IHPA website</w:t>
                      </w:r>
                      <w:r>
                        <w:t xml:space="preserve"> unless respondents specifically identify sections that they believe should be kept confidential due to commercial or other reasons.</w:t>
                      </w:r>
                    </w:p>
                    <w:p w14:paraId="3027D951" w14:textId="0522F861" w:rsidR="00FE6544" w:rsidRDefault="00FE6544" w:rsidP="00E10063">
                      <w:pPr>
                        <w:pStyle w:val="BodyText"/>
                        <w:ind w:left="426" w:right="214"/>
                      </w:pPr>
                      <w:r>
                        <w:t>The Pricing Framework for Australian Public Hospital Services 2023–24 will be published in December 2022, ahead of the publication of the National Efficient Price Determination 2023–24 and the National Efficient Cost Determination 2023–24 in March 2023.</w:t>
                      </w:r>
                    </w:p>
                  </w:txbxContent>
                </v:textbox>
                <w10:anchorlock/>
              </v:shape>
            </w:pict>
          </mc:Fallback>
        </mc:AlternateContent>
      </w:r>
    </w:p>
    <w:p w14:paraId="50491B68" w14:textId="77777777" w:rsidR="00C415F5" w:rsidRPr="0065414C" w:rsidRDefault="00C415F5">
      <w:pPr>
        <w:rPr>
          <w:rFonts w:cs="Arial"/>
          <w:sz w:val="12"/>
        </w:rPr>
        <w:sectPr w:rsidR="00C415F5" w:rsidRPr="0065414C" w:rsidSect="00277AD9">
          <w:type w:val="continuous"/>
          <w:pgSz w:w="11910" w:h="16840"/>
          <w:pgMar w:top="1440" w:right="1440" w:bottom="1440" w:left="1440" w:header="720" w:footer="720" w:gutter="0"/>
          <w:cols w:num="2" w:space="340"/>
        </w:sectPr>
      </w:pPr>
    </w:p>
    <w:p w14:paraId="1FAD443E" w14:textId="77777777" w:rsidR="00F62597" w:rsidRPr="005B7291" w:rsidRDefault="00F62597" w:rsidP="005B7291">
      <w:pPr>
        <w:pStyle w:val="SectionNumber"/>
        <w:rPr>
          <w:color w:val="003E2D" w:themeColor="text2"/>
        </w:rPr>
      </w:pPr>
      <w:bookmarkStart w:id="26" w:name="_bookmark3"/>
      <w:bookmarkStart w:id="27" w:name="_2_The_Pricing"/>
      <w:bookmarkStart w:id="28" w:name="_Toc49953735"/>
      <w:bookmarkEnd w:id="26"/>
      <w:bookmarkEnd w:id="27"/>
      <w:r w:rsidRPr="005B7291">
        <w:rPr>
          <w:color w:val="003E2D" w:themeColor="text2"/>
          <w:lang w:bidi="ar-SA"/>
        </w:rPr>
        <w:lastRenderedPageBreak/>
        <w:drawing>
          <wp:anchor distT="0" distB="0" distL="114300" distR="114300" simplePos="0" relativeHeight="251646976" behindDoc="1" locked="0" layoutInCell="1" allowOverlap="1" wp14:anchorId="4435E8DE" wp14:editId="63337492">
            <wp:simplePos x="0" y="0"/>
            <wp:positionH relativeFrom="margin">
              <wp:posOffset>-914400</wp:posOffset>
            </wp:positionH>
            <wp:positionV relativeFrom="page">
              <wp:posOffset>954536</wp:posOffset>
            </wp:positionV>
            <wp:extent cx="5462270" cy="3577466"/>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462270" cy="3577466"/>
                    </a:xfrm>
                    <a:prstGeom prst="rect">
                      <a:avLst/>
                    </a:prstGeom>
                    <a:noFill/>
                    <a:ln>
                      <a:noFill/>
                    </a:ln>
                  </pic:spPr>
                </pic:pic>
              </a:graphicData>
            </a:graphic>
          </wp:anchor>
        </w:drawing>
      </w:r>
      <w:r w:rsidRPr="005B7291">
        <w:rPr>
          <w:color w:val="003E2D" w:themeColor="text2"/>
        </w:rPr>
        <w:t>2</w:t>
      </w:r>
      <w:bookmarkEnd w:id="28"/>
    </w:p>
    <w:p w14:paraId="551FC1BC" w14:textId="12A30D6F" w:rsidR="00F62597" w:rsidRPr="0065414C" w:rsidRDefault="00C32073" w:rsidP="005B7291">
      <w:pPr>
        <w:pStyle w:val="Sectionheader"/>
        <w:sectPr w:rsidR="00F62597" w:rsidRPr="0065414C" w:rsidSect="008613E1">
          <w:headerReference w:type="default" r:id="rId25"/>
          <w:footerReference w:type="default" r:id="rId26"/>
          <w:pgSz w:w="11910" w:h="16840"/>
          <w:pgMar w:top="3970" w:right="1440" w:bottom="1440" w:left="1440" w:header="0" w:footer="656" w:gutter="0"/>
          <w:cols w:space="720"/>
        </w:sectPr>
      </w:pPr>
      <w:bookmarkStart w:id="29" w:name="_Toc71631301"/>
      <w:r w:rsidRPr="00C32073">
        <w:t>Impact of COVID-19</w:t>
      </w:r>
      <w:bookmarkEnd w:id="29"/>
    </w:p>
    <w:p w14:paraId="3E582084" w14:textId="6FB71913" w:rsidR="00C415F5" w:rsidRPr="0065414C" w:rsidRDefault="00F62597" w:rsidP="000800FF">
      <w:pPr>
        <w:pStyle w:val="Heading1"/>
        <w:ind w:left="1418" w:hanging="1191"/>
        <w:rPr>
          <w:rFonts w:cs="Arial"/>
        </w:rPr>
      </w:pPr>
      <w:bookmarkStart w:id="30" w:name="_Toc45809580"/>
      <w:bookmarkStart w:id="31" w:name="_Toc49953737"/>
      <w:r w:rsidRPr="0065414C">
        <w:rPr>
          <w:rFonts w:cs="Arial"/>
          <w:noProof/>
          <w:color w:val="FFFFFF" w:themeColor="background1"/>
          <w:lang w:eastAsia="en-AU" w:bidi="ar-SA"/>
        </w:rPr>
        <w:lastRenderedPageBreak/>
        <w:drawing>
          <wp:anchor distT="0" distB="0" distL="114300" distR="114300" simplePos="0" relativeHeight="251650048" behindDoc="1" locked="0" layoutInCell="1" allowOverlap="1" wp14:anchorId="480C02C5" wp14:editId="0FD31177">
            <wp:simplePos x="0" y="0"/>
            <wp:positionH relativeFrom="column">
              <wp:posOffset>-914150</wp:posOffset>
            </wp:positionH>
            <wp:positionV relativeFrom="page">
              <wp:posOffset>652007</wp:posOffset>
            </wp:positionV>
            <wp:extent cx="1685424" cy="94615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685424" cy="946150"/>
                    </a:xfrm>
                    <a:prstGeom prst="rect">
                      <a:avLst/>
                    </a:prstGeom>
                    <a:noFill/>
                    <a:ln>
                      <a:noFill/>
                    </a:ln>
                  </pic:spPr>
                </pic:pic>
              </a:graphicData>
            </a:graphic>
          </wp:anchor>
        </w:drawing>
      </w:r>
      <w:r w:rsidR="00603DEC" w:rsidRPr="0065414C">
        <w:rPr>
          <w:rFonts w:cs="Arial"/>
        </w:rPr>
        <w:t>2</w:t>
      </w:r>
      <w:r w:rsidR="00603DEC" w:rsidRPr="0065414C">
        <w:rPr>
          <w:rFonts w:cs="Arial"/>
        </w:rPr>
        <w:tab/>
      </w:r>
      <w:r w:rsidRPr="0065414C">
        <w:rPr>
          <w:rFonts w:cs="Arial"/>
        </w:rPr>
        <w:tab/>
      </w:r>
      <w:bookmarkEnd w:id="30"/>
      <w:bookmarkEnd w:id="31"/>
      <w:r w:rsidR="00C32073" w:rsidRPr="00C32073">
        <w:rPr>
          <w:rFonts w:cs="Arial"/>
        </w:rPr>
        <w:t>Impact of COVID-19</w:t>
      </w:r>
    </w:p>
    <w:p w14:paraId="55E42BE9" w14:textId="77777777" w:rsidR="003932A6" w:rsidRPr="0065414C" w:rsidRDefault="003932A6" w:rsidP="003932A6">
      <w:pPr>
        <w:pStyle w:val="BodyText"/>
        <w:rPr>
          <w:rFonts w:cs="Arial"/>
        </w:rPr>
        <w:sectPr w:rsidR="003932A6" w:rsidRPr="0065414C" w:rsidSect="001142D0">
          <w:headerReference w:type="default" r:id="rId28"/>
          <w:pgSz w:w="11910" w:h="16840"/>
          <w:pgMar w:top="1440" w:right="1440" w:bottom="1440" w:left="1440" w:header="0" w:footer="656" w:gutter="0"/>
          <w:cols w:space="720"/>
        </w:sectPr>
      </w:pPr>
    </w:p>
    <w:p w14:paraId="1E526E94" w14:textId="130A7734" w:rsidR="002457AA" w:rsidRPr="002457AA" w:rsidRDefault="002457AA" w:rsidP="001B1302">
      <w:pPr>
        <w:pStyle w:val="BodyText"/>
        <w:rPr>
          <w:b/>
          <w:bCs/>
        </w:rPr>
      </w:pPr>
      <w:bookmarkStart w:id="32" w:name="_Toc49953738"/>
      <w:bookmarkStart w:id="33" w:name="_Toc71631302"/>
      <w:r w:rsidRPr="002457AA">
        <w:t xml:space="preserve">Coronavirus disease 2019 (COVID-19) has resulted in significant and potentially long-lasting changes to models of care and service delivery in Australian public hospitals. </w:t>
      </w:r>
      <w:r w:rsidR="009A5DE2">
        <w:t>Therefore, i</w:t>
      </w:r>
      <w:r w:rsidRPr="002457AA">
        <w:t>t is important that the impact of COVID-19 on activity and cost data is adequately accounted for in the national pricing model.</w:t>
      </w:r>
    </w:p>
    <w:p w14:paraId="348FF3CA" w14:textId="77777777" w:rsidR="002457AA" w:rsidRDefault="002457AA" w:rsidP="001B1302">
      <w:pPr>
        <w:pStyle w:val="BodyText"/>
        <w:rPr>
          <w:b/>
          <w:bCs/>
        </w:rPr>
      </w:pPr>
      <w:r w:rsidRPr="002457AA">
        <w:t>The national efficient price (NEP) underpins activity based funding for Australian public hospitals. The NEP is based on the average cost of an admitted acute episode of care provided in public hospitals during the relevant financial year. As such, developing the annual NEP Determination relies on accurate activity and cost data.</w:t>
      </w:r>
    </w:p>
    <w:p w14:paraId="34B85021" w14:textId="4925997A" w:rsidR="00DE2ED2" w:rsidRPr="0065414C" w:rsidRDefault="00DE2ED2" w:rsidP="002457AA">
      <w:pPr>
        <w:pStyle w:val="Heading2"/>
        <w:rPr>
          <w:rFonts w:cs="Arial"/>
        </w:rPr>
      </w:pPr>
      <w:r w:rsidRPr="0065414C">
        <w:rPr>
          <w:rFonts w:cs="Arial"/>
        </w:rPr>
        <w:t xml:space="preserve">2.1. </w:t>
      </w:r>
      <w:bookmarkEnd w:id="32"/>
      <w:r w:rsidR="002457AA">
        <w:rPr>
          <w:rFonts w:cs="Arial"/>
        </w:rPr>
        <w:t>Accounting for the i</w:t>
      </w:r>
      <w:r w:rsidR="005A737F">
        <w:rPr>
          <w:rFonts w:cs="Arial"/>
        </w:rPr>
        <w:t>mpact of COVID-19 on NEP22</w:t>
      </w:r>
      <w:bookmarkEnd w:id="33"/>
    </w:p>
    <w:p w14:paraId="5B626C30" w14:textId="74B223B0" w:rsidR="002457AA" w:rsidRPr="002457AA" w:rsidRDefault="002457AA" w:rsidP="004B320E">
      <w:pPr>
        <w:pStyle w:val="BodyText"/>
        <w:keepLines/>
        <w:spacing w:line="257" w:lineRule="auto"/>
        <w:ind w:right="92"/>
        <w:rPr>
          <w:rFonts w:cs="Arial"/>
        </w:rPr>
      </w:pPr>
      <w:bookmarkStart w:id="34" w:name="_Toc49953740"/>
      <w:r w:rsidRPr="002457AA">
        <w:rPr>
          <w:rFonts w:cs="Arial"/>
        </w:rPr>
        <w:t>The data underpinning a NEP Determination has a three-year time lag. The NEP</w:t>
      </w:r>
      <w:r w:rsidR="004B320E">
        <w:rPr>
          <w:rFonts w:cs="Arial"/>
        </w:rPr>
        <w:t xml:space="preserve"> </w:t>
      </w:r>
      <w:r w:rsidRPr="002457AA">
        <w:rPr>
          <w:rFonts w:cs="Arial"/>
        </w:rPr>
        <w:t>Determination</w:t>
      </w:r>
      <w:r w:rsidR="00DC37A5">
        <w:rPr>
          <w:rFonts w:cs="Arial"/>
        </w:rPr>
        <w:t> </w:t>
      </w:r>
      <w:r w:rsidRPr="002457AA">
        <w:rPr>
          <w:rFonts w:cs="Arial"/>
        </w:rPr>
        <w:t xml:space="preserve">2022–23 (NEP22) used costed activity data from 2019–20 which included data impacted by the COVID-19 pandemic response. </w:t>
      </w:r>
    </w:p>
    <w:p w14:paraId="69DD5F1A" w14:textId="6696B39D" w:rsidR="002457AA" w:rsidRPr="002457AA" w:rsidRDefault="00DC37A5" w:rsidP="002457AA">
      <w:pPr>
        <w:pStyle w:val="BodyText"/>
        <w:keepLines/>
        <w:spacing w:line="257" w:lineRule="auto"/>
        <w:ind w:right="142"/>
        <w:rPr>
          <w:rFonts w:cs="Arial"/>
        </w:rPr>
      </w:pPr>
      <w:r>
        <w:rPr>
          <w:rFonts w:cs="Arial"/>
        </w:rPr>
        <w:t>The Independent Hospital Pricing Authority’s (</w:t>
      </w:r>
      <w:r w:rsidR="002457AA" w:rsidRPr="002457AA">
        <w:rPr>
          <w:rFonts w:cs="Arial"/>
        </w:rPr>
        <w:t>IHPA</w:t>
      </w:r>
      <w:r>
        <w:rPr>
          <w:rFonts w:cs="Arial"/>
        </w:rPr>
        <w:t>)</w:t>
      </w:r>
      <w:r w:rsidR="002457AA" w:rsidRPr="002457AA">
        <w:rPr>
          <w:rFonts w:cs="Arial"/>
        </w:rPr>
        <w:t xml:space="preserve"> analysis of 2019–20 activity data showed a substantial reduction in the number of daily separations</w:t>
      </w:r>
      <w:r w:rsidR="002457AA" w:rsidRPr="009229C3">
        <w:rPr>
          <w:rFonts w:cs="Arial"/>
        </w:rPr>
        <w:t xml:space="preserve"> in March</w:t>
      </w:r>
      <w:r w:rsidR="009229C3" w:rsidRPr="009229C3">
        <w:rPr>
          <w:rFonts w:cs="Arial"/>
        </w:rPr>
        <w:t xml:space="preserve"> </w:t>
      </w:r>
      <w:r w:rsidR="00E139B4">
        <w:rPr>
          <w:rFonts w:cs="Arial"/>
        </w:rPr>
        <w:t>to</w:t>
      </w:r>
      <w:r w:rsidR="009229C3" w:rsidRPr="009229C3">
        <w:rPr>
          <w:rFonts w:cs="Arial"/>
        </w:rPr>
        <w:t xml:space="preserve"> </w:t>
      </w:r>
      <w:r w:rsidR="00E179E7" w:rsidRPr="009229C3">
        <w:rPr>
          <w:rFonts w:cs="Arial"/>
        </w:rPr>
        <w:t xml:space="preserve">June </w:t>
      </w:r>
      <w:r w:rsidR="002457AA" w:rsidRPr="009229C3">
        <w:rPr>
          <w:rFonts w:cs="Arial"/>
        </w:rPr>
        <w:t>2020 compared to the 2018–19 daily average across all states and territories, which coincided with the onset of national lockdowns</w:t>
      </w:r>
      <w:r w:rsidR="002457AA" w:rsidRPr="002457AA">
        <w:rPr>
          <w:rFonts w:cs="Arial"/>
        </w:rPr>
        <w:t xml:space="preserve"> and the cancellation of elective surgeries. Cost data analysis indicated that hospital expenditure remained relatively stable throughout the COVID-19 impacted period despite the significant reduction in activity.</w:t>
      </w:r>
    </w:p>
    <w:p w14:paraId="3B2D4931" w14:textId="30553B80" w:rsidR="005546C4" w:rsidRDefault="002457AA" w:rsidP="002457AA">
      <w:pPr>
        <w:pStyle w:val="BodyText"/>
        <w:keepLines/>
        <w:spacing w:line="257" w:lineRule="auto"/>
        <w:ind w:right="142"/>
        <w:rPr>
          <w:rFonts w:cs="Arial"/>
        </w:rPr>
      </w:pPr>
      <w:r w:rsidRPr="002457AA">
        <w:rPr>
          <w:rFonts w:cs="Arial"/>
        </w:rPr>
        <w:t>In developing NEP22, IHPA undertook extensive consultation with the jurisdictions and adopted a set of assumptions to account for the variations in activity and cost data impacting the national pricing model over the 2019–20 period. However, IHPA acknowledges that it is not possible to definitively account for the ongoing impact that COVID-19 may have on hospital service delivery and costs in the future.</w:t>
      </w:r>
    </w:p>
    <w:p w14:paraId="50D87A8F" w14:textId="77777777" w:rsidR="00D5692B" w:rsidRDefault="00D5692B" w:rsidP="002457AA">
      <w:pPr>
        <w:pStyle w:val="BodyText"/>
        <w:keepLines/>
        <w:spacing w:line="257" w:lineRule="auto"/>
        <w:ind w:right="142"/>
        <w:rPr>
          <w:rFonts w:cs="Arial"/>
        </w:rPr>
      </w:pPr>
    </w:p>
    <w:p w14:paraId="2C3FE57E" w14:textId="2B506EBE" w:rsidR="00E973F0" w:rsidRPr="0065414C" w:rsidRDefault="00E973F0" w:rsidP="00E973F0">
      <w:pPr>
        <w:pStyle w:val="Heading2"/>
        <w:rPr>
          <w:rFonts w:cs="Arial"/>
        </w:rPr>
      </w:pPr>
      <w:bookmarkStart w:id="35" w:name="_Toc71631303"/>
      <w:r w:rsidRPr="0065414C">
        <w:rPr>
          <w:rFonts w:cs="Arial"/>
        </w:rPr>
        <w:t>2.</w:t>
      </w:r>
      <w:r>
        <w:rPr>
          <w:rFonts w:cs="Arial"/>
        </w:rPr>
        <w:t>2</w:t>
      </w:r>
      <w:r w:rsidRPr="0065414C">
        <w:rPr>
          <w:rFonts w:cs="Arial"/>
        </w:rPr>
        <w:t xml:space="preserve">. </w:t>
      </w:r>
      <w:r w:rsidR="00CD7B64">
        <w:rPr>
          <w:rFonts w:cs="Arial"/>
        </w:rPr>
        <w:t xml:space="preserve">Plan </w:t>
      </w:r>
      <w:r w:rsidR="002457AA">
        <w:rPr>
          <w:rFonts w:cs="Arial"/>
        </w:rPr>
        <w:t>to assess COVID-19 i</w:t>
      </w:r>
      <w:r w:rsidR="005A737F">
        <w:rPr>
          <w:rFonts w:cs="Arial"/>
        </w:rPr>
        <w:t>mpact</w:t>
      </w:r>
      <w:r w:rsidR="002457AA">
        <w:rPr>
          <w:rFonts w:cs="Arial"/>
        </w:rPr>
        <w:t>s on</w:t>
      </w:r>
      <w:bookmarkEnd w:id="35"/>
      <w:r w:rsidR="002457AA">
        <w:rPr>
          <w:rFonts w:cs="Arial"/>
        </w:rPr>
        <w:t xml:space="preserve"> NEP23</w:t>
      </w:r>
    </w:p>
    <w:bookmarkEnd w:id="34"/>
    <w:p w14:paraId="38717BC9" w14:textId="3BA2DAF1" w:rsidR="002457AA" w:rsidRPr="002457AA" w:rsidRDefault="002457AA" w:rsidP="002457AA">
      <w:pPr>
        <w:pStyle w:val="BodyText"/>
        <w:rPr>
          <w:rFonts w:cs="Arial"/>
        </w:rPr>
      </w:pPr>
      <w:r w:rsidRPr="002457AA">
        <w:rPr>
          <w:rFonts w:cs="Arial"/>
        </w:rPr>
        <w:t>The NEP Determination 2023–24 (NEP23) will use 2020–21 costed activity data, which includes a full financial year of data impacted by the COVID-19 pandemic response. For NEP23, IHPA will work closely with jurisdictions and key stakeholders to ensure that the national pricing model continues to reflect variations in activity and cost</w:t>
      </w:r>
      <w:r w:rsidR="00152BEC">
        <w:rPr>
          <w:rFonts w:cs="Arial"/>
        </w:rPr>
        <w:t>,</w:t>
      </w:r>
      <w:r w:rsidRPr="002457AA">
        <w:rPr>
          <w:rFonts w:cs="Arial"/>
        </w:rPr>
        <w:t xml:space="preserve"> and current models of care.</w:t>
      </w:r>
    </w:p>
    <w:p w14:paraId="38A43906" w14:textId="71B9D274" w:rsidR="00DB5ECF" w:rsidRDefault="002457AA" w:rsidP="002457AA">
      <w:pPr>
        <w:pStyle w:val="BodyText"/>
        <w:rPr>
          <w:rFonts w:cs="Arial"/>
        </w:rPr>
      </w:pPr>
      <w:r w:rsidRPr="002457AA">
        <w:rPr>
          <w:rFonts w:cs="Arial"/>
        </w:rPr>
        <w:t>IHPA is developing a</w:t>
      </w:r>
      <w:r w:rsidR="00555918" w:rsidRPr="002457AA">
        <w:rPr>
          <w:rFonts w:cs="Arial"/>
        </w:rPr>
        <w:t xml:space="preserve"> </w:t>
      </w:r>
      <w:r w:rsidR="00555918">
        <w:rPr>
          <w:rFonts w:cs="Arial"/>
        </w:rPr>
        <w:t xml:space="preserve">plan </w:t>
      </w:r>
      <w:r w:rsidRPr="002457AA">
        <w:rPr>
          <w:rFonts w:cs="Arial"/>
        </w:rPr>
        <w:t>for assessing COVID</w:t>
      </w:r>
      <w:r w:rsidR="00CD7B64">
        <w:rPr>
          <w:rFonts w:cs="Arial"/>
        </w:rPr>
        <w:noBreakHyphen/>
      </w:r>
      <w:r w:rsidRPr="002457AA">
        <w:rPr>
          <w:rFonts w:cs="Arial"/>
        </w:rPr>
        <w:t>19 impacts on the 2020–21</w:t>
      </w:r>
      <w:r w:rsidR="00DC37A5">
        <w:rPr>
          <w:rFonts w:cs="Arial"/>
        </w:rPr>
        <w:t xml:space="preserve"> </w:t>
      </w:r>
      <w:r w:rsidRPr="002457AA">
        <w:rPr>
          <w:rFonts w:cs="Arial"/>
        </w:rPr>
        <w:t xml:space="preserve">data. </w:t>
      </w:r>
      <w:r w:rsidR="00B24F87">
        <w:rPr>
          <w:rFonts w:cs="Arial"/>
        </w:rPr>
        <w:t xml:space="preserve">The </w:t>
      </w:r>
      <w:r w:rsidR="00C2540B">
        <w:rPr>
          <w:rFonts w:cs="Arial"/>
        </w:rPr>
        <w:t>plan will set out how IHPA intends to</w:t>
      </w:r>
      <w:r w:rsidR="00DB5ECF">
        <w:rPr>
          <w:rFonts w:cs="Arial"/>
        </w:rPr>
        <w:t>:</w:t>
      </w:r>
      <w:r w:rsidR="00C2540B">
        <w:rPr>
          <w:rFonts w:cs="Arial"/>
        </w:rPr>
        <w:t xml:space="preserve"> </w:t>
      </w:r>
    </w:p>
    <w:p w14:paraId="6F249F17" w14:textId="427A3459" w:rsidR="00DB5ECF" w:rsidRDefault="00B24F87" w:rsidP="00295921">
      <w:pPr>
        <w:pStyle w:val="BodyText"/>
        <w:numPr>
          <w:ilvl w:val="0"/>
          <w:numId w:val="51"/>
        </w:numPr>
        <w:rPr>
          <w:rFonts w:cs="Arial"/>
        </w:rPr>
      </w:pPr>
      <w:r>
        <w:rPr>
          <w:rFonts w:cs="Arial"/>
        </w:rPr>
        <w:t>analys</w:t>
      </w:r>
      <w:r w:rsidR="00C2540B">
        <w:rPr>
          <w:rFonts w:cs="Arial"/>
        </w:rPr>
        <w:t>e</w:t>
      </w:r>
      <w:r w:rsidR="00555918">
        <w:rPr>
          <w:rFonts w:cs="Arial"/>
        </w:rPr>
        <w:t xml:space="preserve"> each of the assumptions used in the </w:t>
      </w:r>
      <w:r w:rsidR="00AB7827">
        <w:rPr>
          <w:rFonts w:cs="Arial"/>
        </w:rPr>
        <w:t xml:space="preserve">development of </w:t>
      </w:r>
      <w:r w:rsidR="00555918">
        <w:rPr>
          <w:rFonts w:cs="Arial"/>
        </w:rPr>
        <w:t>NEP22</w:t>
      </w:r>
    </w:p>
    <w:p w14:paraId="74FF71D9" w14:textId="25ED411C" w:rsidR="00DB5ECF" w:rsidRDefault="00DB5ECF" w:rsidP="00295921">
      <w:pPr>
        <w:pStyle w:val="BodyText"/>
        <w:numPr>
          <w:ilvl w:val="0"/>
          <w:numId w:val="51"/>
        </w:numPr>
        <w:rPr>
          <w:rFonts w:cs="Arial"/>
        </w:rPr>
      </w:pPr>
      <w:r>
        <w:rPr>
          <w:rFonts w:cs="Arial"/>
        </w:rPr>
        <w:t xml:space="preserve">analyse </w:t>
      </w:r>
      <w:r w:rsidRPr="002457AA">
        <w:rPr>
          <w:rFonts w:cs="Arial"/>
        </w:rPr>
        <w:t>2020–21</w:t>
      </w:r>
      <w:r>
        <w:rPr>
          <w:rFonts w:cs="Arial"/>
        </w:rPr>
        <w:t xml:space="preserve"> </w:t>
      </w:r>
      <w:r w:rsidR="00555918">
        <w:rPr>
          <w:rFonts w:cs="Arial"/>
        </w:rPr>
        <w:t xml:space="preserve">activity data </w:t>
      </w:r>
    </w:p>
    <w:p w14:paraId="658BBCCA" w14:textId="0DADECD0" w:rsidR="00DB5ECF" w:rsidRDefault="00B24F87" w:rsidP="00295921">
      <w:pPr>
        <w:pStyle w:val="BodyText"/>
        <w:numPr>
          <w:ilvl w:val="0"/>
          <w:numId w:val="51"/>
        </w:numPr>
        <w:rPr>
          <w:rFonts w:cs="Arial"/>
        </w:rPr>
      </w:pPr>
      <w:r>
        <w:rPr>
          <w:rFonts w:cs="Arial"/>
        </w:rPr>
        <w:t>quantify the</w:t>
      </w:r>
      <w:r w:rsidR="00C2540B">
        <w:rPr>
          <w:rFonts w:cs="Arial"/>
        </w:rPr>
        <w:t xml:space="preserve"> ongoing</w:t>
      </w:r>
      <w:r w:rsidR="00555918">
        <w:rPr>
          <w:rFonts w:cs="Arial"/>
        </w:rPr>
        <w:t xml:space="preserve"> COVID-19</w:t>
      </w:r>
      <w:r w:rsidR="00DB5ECF">
        <w:rPr>
          <w:rFonts w:cs="Arial"/>
        </w:rPr>
        <w:t xml:space="preserve"> </w:t>
      </w:r>
      <w:r w:rsidR="00555918">
        <w:rPr>
          <w:rFonts w:cs="Arial"/>
        </w:rPr>
        <w:t>impacts</w:t>
      </w:r>
      <w:r w:rsidR="00DB5ECF">
        <w:rPr>
          <w:rFonts w:cs="Arial"/>
        </w:rPr>
        <w:t xml:space="preserve"> on cost data</w:t>
      </w:r>
      <w:r w:rsidR="00555918">
        <w:rPr>
          <w:rFonts w:cs="Arial"/>
        </w:rPr>
        <w:t xml:space="preserve"> </w:t>
      </w:r>
    </w:p>
    <w:p w14:paraId="321418B6" w14:textId="4AF81FD1" w:rsidR="00DB5ECF" w:rsidRDefault="00B24F87" w:rsidP="00295921">
      <w:pPr>
        <w:pStyle w:val="BodyText"/>
        <w:numPr>
          <w:ilvl w:val="0"/>
          <w:numId w:val="51"/>
        </w:numPr>
        <w:rPr>
          <w:rFonts w:cs="Arial"/>
        </w:rPr>
      </w:pPr>
      <w:r>
        <w:rPr>
          <w:rFonts w:cs="Arial"/>
        </w:rPr>
        <w:t>identify</w:t>
      </w:r>
      <w:r w:rsidR="00555918">
        <w:rPr>
          <w:rFonts w:cs="Arial"/>
        </w:rPr>
        <w:t xml:space="preserve"> potential implications </w:t>
      </w:r>
      <w:r w:rsidR="00DB5ECF">
        <w:rPr>
          <w:rFonts w:cs="Arial"/>
        </w:rPr>
        <w:t>for</w:t>
      </w:r>
      <w:r>
        <w:rPr>
          <w:rFonts w:cs="Arial"/>
        </w:rPr>
        <w:t xml:space="preserve"> the</w:t>
      </w:r>
      <w:r w:rsidR="00555918">
        <w:rPr>
          <w:rFonts w:cs="Arial"/>
        </w:rPr>
        <w:t xml:space="preserve"> N</w:t>
      </w:r>
      <w:r w:rsidR="00AB7827">
        <w:rPr>
          <w:rFonts w:cs="Arial"/>
        </w:rPr>
        <w:t xml:space="preserve">ational </w:t>
      </w:r>
      <w:r w:rsidR="00555918">
        <w:rPr>
          <w:rFonts w:cs="Arial"/>
        </w:rPr>
        <w:t>H</w:t>
      </w:r>
      <w:r w:rsidR="00AB7827">
        <w:rPr>
          <w:rFonts w:cs="Arial"/>
        </w:rPr>
        <w:t xml:space="preserve">ospital </w:t>
      </w:r>
      <w:r w:rsidR="00555918">
        <w:rPr>
          <w:rFonts w:cs="Arial"/>
        </w:rPr>
        <w:t>C</w:t>
      </w:r>
      <w:r w:rsidR="00AB7827">
        <w:rPr>
          <w:rFonts w:cs="Arial"/>
        </w:rPr>
        <w:t xml:space="preserve">ost </w:t>
      </w:r>
      <w:r w:rsidR="00555918">
        <w:rPr>
          <w:rFonts w:cs="Arial"/>
        </w:rPr>
        <w:t>D</w:t>
      </w:r>
      <w:r w:rsidR="00AB7827">
        <w:rPr>
          <w:rFonts w:cs="Arial"/>
        </w:rPr>
        <w:t xml:space="preserve">ata </w:t>
      </w:r>
      <w:r w:rsidR="00555918">
        <w:rPr>
          <w:rFonts w:cs="Arial"/>
        </w:rPr>
        <w:t>C</w:t>
      </w:r>
      <w:r w:rsidR="00AB7827">
        <w:rPr>
          <w:rFonts w:cs="Arial"/>
        </w:rPr>
        <w:t>ollection</w:t>
      </w:r>
      <w:r w:rsidR="00555918">
        <w:rPr>
          <w:rFonts w:cs="Arial"/>
        </w:rPr>
        <w:t xml:space="preserve">. </w:t>
      </w:r>
    </w:p>
    <w:p w14:paraId="382D63BB" w14:textId="435AFC0E" w:rsidR="00D35A78" w:rsidRDefault="00D35A78" w:rsidP="00DB5ECF">
      <w:pPr>
        <w:pStyle w:val="BodyText"/>
        <w:rPr>
          <w:rFonts w:cs="Arial"/>
        </w:rPr>
      </w:pPr>
      <w:r>
        <w:rPr>
          <w:rFonts w:cs="Arial"/>
        </w:rPr>
        <w:t xml:space="preserve">IHPA will consult </w:t>
      </w:r>
      <w:r w:rsidR="00DB5ECF">
        <w:rPr>
          <w:rFonts w:cs="Arial"/>
        </w:rPr>
        <w:t>with</w:t>
      </w:r>
      <w:r>
        <w:rPr>
          <w:rFonts w:cs="Arial"/>
        </w:rPr>
        <w:t xml:space="preserve"> jurisdictions in finalising the plan.</w:t>
      </w:r>
    </w:p>
    <w:p w14:paraId="11FF7431" w14:textId="52F45CC4" w:rsidR="002457AA" w:rsidRDefault="00D35A78" w:rsidP="002457AA">
      <w:pPr>
        <w:pStyle w:val="BodyText"/>
        <w:rPr>
          <w:rFonts w:cs="Arial"/>
        </w:rPr>
      </w:pPr>
      <w:r>
        <w:rPr>
          <w:rFonts w:cs="Arial"/>
        </w:rPr>
        <w:t>T</w:t>
      </w:r>
      <w:r w:rsidR="00555918">
        <w:rPr>
          <w:rFonts w:cs="Arial"/>
        </w:rPr>
        <w:t>h</w:t>
      </w:r>
      <w:r>
        <w:rPr>
          <w:rFonts w:cs="Arial"/>
        </w:rPr>
        <w:t>e result</w:t>
      </w:r>
      <w:r w:rsidR="00B24F87">
        <w:rPr>
          <w:rFonts w:cs="Arial"/>
        </w:rPr>
        <w:t>s</w:t>
      </w:r>
      <w:r>
        <w:rPr>
          <w:rFonts w:cs="Arial"/>
        </w:rPr>
        <w:t xml:space="preserve"> of th</w:t>
      </w:r>
      <w:r w:rsidR="00B24F87">
        <w:rPr>
          <w:rFonts w:cs="Arial"/>
        </w:rPr>
        <w:t>ese</w:t>
      </w:r>
      <w:r w:rsidR="00555918">
        <w:rPr>
          <w:rFonts w:cs="Arial"/>
        </w:rPr>
        <w:t xml:space="preserve"> analys</w:t>
      </w:r>
      <w:r w:rsidR="00B24F87">
        <w:rPr>
          <w:rFonts w:cs="Arial"/>
        </w:rPr>
        <w:t>es</w:t>
      </w:r>
      <w:r w:rsidR="003B116A">
        <w:rPr>
          <w:rFonts w:cs="Arial"/>
        </w:rPr>
        <w:t xml:space="preserve"> will</w:t>
      </w:r>
      <w:r>
        <w:rPr>
          <w:rFonts w:cs="Arial"/>
        </w:rPr>
        <w:t xml:space="preserve"> improve understanding of the impact of COVID-19 on hospital costs and activity</w:t>
      </w:r>
      <w:r w:rsidR="00032D7B">
        <w:rPr>
          <w:rFonts w:cs="Arial"/>
        </w:rPr>
        <w:t>,</w:t>
      </w:r>
      <w:r>
        <w:rPr>
          <w:rFonts w:cs="Arial"/>
        </w:rPr>
        <w:t xml:space="preserve"> which </w:t>
      </w:r>
      <w:r w:rsidR="00555918">
        <w:rPr>
          <w:rFonts w:cs="Arial"/>
        </w:rPr>
        <w:t>will inform</w:t>
      </w:r>
      <w:r w:rsidR="00AB7827">
        <w:rPr>
          <w:rFonts w:cs="Arial"/>
        </w:rPr>
        <w:t xml:space="preserve"> </w:t>
      </w:r>
      <w:r w:rsidR="00DB5ECF">
        <w:rPr>
          <w:rFonts w:cs="Arial"/>
        </w:rPr>
        <w:t xml:space="preserve">the </w:t>
      </w:r>
      <w:r w:rsidR="00AB7827">
        <w:rPr>
          <w:rFonts w:cs="Arial"/>
        </w:rPr>
        <w:t xml:space="preserve">development of </w:t>
      </w:r>
      <w:r w:rsidR="00555918">
        <w:rPr>
          <w:rFonts w:cs="Arial"/>
        </w:rPr>
        <w:t>NEP</w:t>
      </w:r>
      <w:r w:rsidR="003B116A">
        <w:rPr>
          <w:rFonts w:cs="Arial"/>
        </w:rPr>
        <w:t>23</w:t>
      </w:r>
      <w:r w:rsidR="00555918">
        <w:rPr>
          <w:rFonts w:cs="Arial"/>
        </w:rPr>
        <w:t>.</w:t>
      </w:r>
    </w:p>
    <w:p w14:paraId="2EA72FB2" w14:textId="02AC4A7D" w:rsidR="002457AA" w:rsidRPr="002457AA" w:rsidRDefault="002457AA" w:rsidP="002457AA">
      <w:pPr>
        <w:pStyle w:val="BodyText"/>
        <w:rPr>
          <w:rFonts w:cs="Arial"/>
        </w:rPr>
      </w:pPr>
      <w:r w:rsidRPr="002457AA">
        <w:rPr>
          <w:rFonts w:cs="Arial"/>
        </w:rPr>
        <w:t xml:space="preserve">IHPA notes that COVID-19 </w:t>
      </w:r>
      <w:r w:rsidR="00EB52ED">
        <w:rPr>
          <w:rFonts w:cs="Arial"/>
        </w:rPr>
        <w:t>may</w:t>
      </w:r>
      <w:r w:rsidRPr="002457AA">
        <w:rPr>
          <w:rFonts w:cs="Arial"/>
        </w:rPr>
        <w:t xml:space="preserve"> have significant longer term implications, including:</w:t>
      </w:r>
    </w:p>
    <w:p w14:paraId="5EDD833F" w14:textId="4A777920" w:rsidR="002457AA" w:rsidRPr="00A370E3" w:rsidRDefault="002457AA" w:rsidP="00295921">
      <w:pPr>
        <w:pStyle w:val="ListParagraph"/>
        <w:numPr>
          <w:ilvl w:val="0"/>
          <w:numId w:val="52"/>
        </w:numPr>
      </w:pPr>
      <w:r w:rsidRPr="00AB7827">
        <w:t>the potential for more complex future surgeries as non-critical surgeries were delayed and have now developed into more serious issues</w:t>
      </w:r>
    </w:p>
    <w:p w14:paraId="74AF2F59" w14:textId="4199D3CE" w:rsidR="002457AA" w:rsidRDefault="002457AA" w:rsidP="00295921">
      <w:pPr>
        <w:pStyle w:val="ListParagraph"/>
        <w:numPr>
          <w:ilvl w:val="0"/>
          <w:numId w:val="52"/>
        </w:numPr>
      </w:pPr>
      <w:r w:rsidRPr="002457AA">
        <w:t>additional personal protective equipment</w:t>
      </w:r>
      <w:r w:rsidR="004E77AA">
        <w:t>, impact of workforce shortages</w:t>
      </w:r>
      <w:r w:rsidRPr="002457AA">
        <w:t xml:space="preserve"> and staffing to support </w:t>
      </w:r>
      <w:r w:rsidR="00E02D87">
        <w:t xml:space="preserve">implementation of </w:t>
      </w:r>
      <w:r w:rsidRPr="002457AA">
        <w:t xml:space="preserve">COVID-19 </w:t>
      </w:r>
      <w:r w:rsidR="00E02D87">
        <w:t>safe policies and procedures</w:t>
      </w:r>
      <w:r w:rsidRPr="002457AA">
        <w:t>.</w:t>
      </w:r>
    </w:p>
    <w:p w14:paraId="3C7C8C3B" w14:textId="0C98EDF2" w:rsidR="002457AA" w:rsidRPr="002457AA" w:rsidRDefault="002457AA" w:rsidP="002457AA">
      <w:pPr>
        <w:pStyle w:val="BodyText"/>
        <w:rPr>
          <w:rFonts w:cs="Arial"/>
        </w:rPr>
      </w:pPr>
      <w:r w:rsidRPr="002457AA">
        <w:rPr>
          <w:rFonts w:cs="Arial"/>
        </w:rPr>
        <w:t xml:space="preserve">As updated </w:t>
      </w:r>
      <w:r w:rsidR="00152BEC">
        <w:rPr>
          <w:rFonts w:cs="Arial"/>
        </w:rPr>
        <w:t xml:space="preserve">activity and cost </w:t>
      </w:r>
      <w:r w:rsidRPr="002457AA">
        <w:rPr>
          <w:rFonts w:cs="Arial"/>
        </w:rPr>
        <w:t>data becomes available</w:t>
      </w:r>
      <w:r w:rsidR="002D10A4">
        <w:rPr>
          <w:rFonts w:cs="Arial"/>
        </w:rPr>
        <w:t>,</w:t>
      </w:r>
      <w:r w:rsidRPr="002457AA">
        <w:rPr>
          <w:rFonts w:cs="Arial"/>
        </w:rPr>
        <w:t xml:space="preserve"> these impacts will be assessed in consultation with jurisdictions</w:t>
      </w:r>
      <w:r w:rsidR="00152BEC">
        <w:rPr>
          <w:rFonts w:cs="Arial"/>
        </w:rPr>
        <w:t xml:space="preserve"> and key stakeholders</w:t>
      </w:r>
      <w:r w:rsidRPr="002457AA">
        <w:rPr>
          <w:rFonts w:cs="Arial"/>
        </w:rPr>
        <w:t>.</w:t>
      </w:r>
    </w:p>
    <w:p w14:paraId="47DEC69F" w14:textId="03ACA9EC" w:rsidR="00C32073" w:rsidRDefault="00C32073" w:rsidP="002457AA">
      <w:pPr>
        <w:pStyle w:val="BodyText"/>
        <w:rPr>
          <w:rFonts w:cs="Arial"/>
        </w:rPr>
      </w:pPr>
      <w:r w:rsidRPr="0065414C">
        <w:rPr>
          <w:rFonts w:cs="Arial"/>
          <w:noProof/>
          <w:lang w:eastAsia="en-AU" w:bidi="ar-SA"/>
        </w:rPr>
        <w:lastRenderedPageBreak/>
        <mc:AlternateContent>
          <mc:Choice Requires="wps">
            <w:drawing>
              <wp:inline distT="0" distB="0" distL="0" distR="0" wp14:anchorId="005C6468" wp14:editId="7A41CF03">
                <wp:extent cx="2743200" cy="1466850"/>
                <wp:effectExtent l="0" t="0" r="19050" b="19050"/>
                <wp:docPr id="32" name="Text Box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66850"/>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7610683B" w14:textId="10137FFE" w:rsidR="00FE6544" w:rsidRPr="005470B1" w:rsidRDefault="00FE6544" w:rsidP="00C32073">
                            <w:pPr>
                              <w:pStyle w:val="Questionheading"/>
                              <w:ind w:left="426"/>
                            </w:pPr>
                            <w:r w:rsidRPr="00D91A49">
                              <w:rPr>
                                <w:noProof/>
                                <w:lang w:eastAsia="en-AU" w:bidi="ar-SA"/>
                              </w:rPr>
                              <w:drawing>
                                <wp:inline distT="0" distB="0" distL="0" distR="0" wp14:anchorId="1842C38A" wp14:editId="6E2CF101">
                                  <wp:extent cx="238760" cy="205855"/>
                                  <wp:effectExtent l="0" t="0" r="8890" b="3810"/>
                                  <wp:docPr id="28" name="Picture 28" descr="Question mark to left of the ‘Consultation questions’ tit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Question mark to left of the ‘Consultation questions’ title">
                                            <a:extLst>
                                              <a:ext uri="{C183D7F6-B498-43B3-948B-1728B52AA6E4}">
                                                <adec:decorative xmlns:adec="http://schemas.microsoft.com/office/drawing/2017/decorative" val="0"/>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38760" cy="205855"/>
                                          </a:xfrm>
                                          <a:prstGeom prst="rect">
                                            <a:avLst/>
                                          </a:prstGeom>
                                          <a:noFill/>
                                          <a:ln>
                                            <a:noFill/>
                                          </a:ln>
                                        </pic:spPr>
                                      </pic:pic>
                                    </a:graphicData>
                                  </a:graphic>
                                </wp:inline>
                              </w:drawing>
                            </w:r>
                            <w:r>
                              <w:t xml:space="preserve">  </w:t>
                            </w:r>
                            <w:r w:rsidRPr="005470B1">
                              <w:t>Consultation question</w:t>
                            </w:r>
                          </w:p>
                          <w:p w14:paraId="1EBCEC9A" w14:textId="4D44F4A7" w:rsidR="00FE6544" w:rsidRPr="00AB7827" w:rsidRDefault="00FE6544" w:rsidP="001B1302">
                            <w:pPr>
                              <w:pStyle w:val="ListParagraph"/>
                              <w:numPr>
                                <w:ilvl w:val="1"/>
                                <w:numId w:val="2"/>
                              </w:numPr>
                            </w:pPr>
                            <w:r w:rsidRPr="00AB7827">
                              <w:t>Are there any</w:t>
                            </w:r>
                            <w:r>
                              <w:t xml:space="preserve"> specific considerations</w:t>
                            </w:r>
                            <w:r w:rsidRPr="00AB7827">
                              <w:t xml:space="preserve"> IHPA </w:t>
                            </w:r>
                            <w:r>
                              <w:t>sh</w:t>
                            </w:r>
                            <w:r w:rsidRPr="00AB7827">
                              <w:t xml:space="preserve">ould </w:t>
                            </w:r>
                            <w:r>
                              <w:t xml:space="preserve">take into </w:t>
                            </w:r>
                            <w:r w:rsidRPr="00AB7827">
                              <w:t xml:space="preserve">account for </w:t>
                            </w:r>
                            <w:r w:rsidRPr="00247857">
                              <w:t>assessing COVID</w:t>
                            </w:r>
                            <w:r>
                              <w:noBreakHyphen/>
                            </w:r>
                            <w:r w:rsidRPr="00247857">
                              <w:t>19 impacts on the 2020–21 data</w:t>
                            </w:r>
                            <w:r w:rsidRPr="00247857" w:rsidDel="00247857">
                              <w:t xml:space="preserve"> </w:t>
                            </w:r>
                            <w:r w:rsidRPr="00AB7827">
                              <w:t xml:space="preserve">in </w:t>
                            </w:r>
                            <w:r>
                              <w:t>the development of NEP23</w:t>
                            </w:r>
                            <w:r w:rsidRPr="00AB7827">
                              <w:t>?</w:t>
                            </w:r>
                          </w:p>
                          <w:p w14:paraId="1418D8D3" w14:textId="09BF9B18" w:rsidR="00FE6544" w:rsidRDefault="00FE6544" w:rsidP="002457AA">
                            <w:pPr>
                              <w:pStyle w:val="ListParagraph"/>
                              <w:ind w:left="566" w:right="341"/>
                            </w:pPr>
                          </w:p>
                        </w:txbxContent>
                      </wps:txbx>
                      <wps:bodyPr rot="0" vert="horz" wrap="square" lIns="0" tIns="0" rIns="0" bIns="0" anchor="t" anchorCtr="0" upright="1">
                        <a:noAutofit/>
                      </wps:bodyPr>
                    </wps:wsp>
                  </a:graphicData>
                </a:graphic>
              </wp:inline>
            </w:drawing>
          </mc:Choice>
          <mc:Fallback xmlns:w16sdtdh="http://schemas.microsoft.com/office/word/2020/wordml/sdtdatahash" xmlns:oel="http://schemas.microsoft.com/office/2019/extlst">
            <w:pict>
              <v:shape w14:anchorId="005C6468" id="Text Box 29" o:spid="_x0000_s1027" type="#_x0000_t202" alt="&quot;&quot;" style="width:3in;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" filled="f" strokecolor="#7ec352 [3204]">
                <v:textbox inset="0,0,0,0">
                  <w:txbxContent>
                    <w:p w14:paraId="7610683B" w14:textId="10137FFE" w:rsidR="00FE6544" w:rsidRPr="005470B1" w:rsidRDefault="00FE6544" w:rsidP="00C32073">
                      <w:pPr>
                        <w:pStyle w:val="Questionheading"/>
                        <w:ind w:left="426"/>
                      </w:pPr>
                      <w:r w:rsidRPr="00D91A49">
                        <w:rPr>
                          <w:noProof/>
                          <w:lang w:eastAsia="en-AU" w:bidi="ar-SA"/>
                        </w:rPr>
                        <w:drawing>
                          <wp:inline distT="0" distB="0" distL="0" distR="0" wp14:anchorId="1842C38A" wp14:editId="6E2CF101">
                            <wp:extent cx="238760" cy="205855"/>
                            <wp:effectExtent l="0" t="0" r="8890" b="3810"/>
                            <wp:docPr id="28" name="Picture 28" descr="Question mark to left of the ‘Consultation questions’ tit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Question mark to left of the ‘Consultation questions’ title">
                                      <a:extLst>
                                        <a:ext uri="{C183D7F6-B498-43B3-948B-1728B52AA6E4}">
                                          <adec:decorative xmlns:adec="http://schemas.microsoft.com/office/drawing/2017/decorative" val="0"/>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38760" cy="205855"/>
                                    </a:xfrm>
                                    <a:prstGeom prst="rect">
                                      <a:avLst/>
                                    </a:prstGeom>
                                    <a:noFill/>
                                    <a:ln>
                                      <a:noFill/>
                                    </a:ln>
                                  </pic:spPr>
                                </pic:pic>
                              </a:graphicData>
                            </a:graphic>
                          </wp:inline>
                        </w:drawing>
                      </w:r>
                      <w:r>
                        <w:t xml:space="preserve">  </w:t>
                      </w:r>
                      <w:r w:rsidRPr="005470B1">
                        <w:t>Consultation question</w:t>
                      </w:r>
                    </w:p>
                    <w:p w14:paraId="1EBCEC9A" w14:textId="4D44F4A7" w:rsidR="00FE6544" w:rsidRPr="00AB7827" w:rsidRDefault="00FE6544" w:rsidP="001B1302">
                      <w:pPr>
                        <w:pStyle w:val="ListParagraph"/>
                        <w:numPr>
                          <w:ilvl w:val="1"/>
                          <w:numId w:val="2"/>
                        </w:numPr>
                      </w:pPr>
                      <w:r w:rsidRPr="00AB7827">
                        <w:t>Are there any</w:t>
                      </w:r>
                      <w:r>
                        <w:t xml:space="preserve"> specific considerations</w:t>
                      </w:r>
                      <w:r w:rsidRPr="00AB7827">
                        <w:t xml:space="preserve"> IHPA </w:t>
                      </w:r>
                      <w:r>
                        <w:t>sh</w:t>
                      </w:r>
                      <w:r w:rsidRPr="00AB7827">
                        <w:t xml:space="preserve">ould </w:t>
                      </w:r>
                      <w:r>
                        <w:t xml:space="preserve">take into </w:t>
                      </w:r>
                      <w:r w:rsidRPr="00AB7827">
                        <w:t xml:space="preserve">account for </w:t>
                      </w:r>
                      <w:r w:rsidRPr="00247857">
                        <w:t>assessing COVID</w:t>
                      </w:r>
                      <w:r>
                        <w:noBreakHyphen/>
                      </w:r>
                      <w:r w:rsidRPr="00247857">
                        <w:t>19 impacts on the 2020–21 data</w:t>
                      </w:r>
                      <w:r w:rsidRPr="00247857" w:rsidDel="00247857">
                        <w:t xml:space="preserve"> </w:t>
                      </w:r>
                      <w:r w:rsidRPr="00AB7827">
                        <w:t xml:space="preserve">in </w:t>
                      </w:r>
                      <w:r>
                        <w:t>the development of NEP23</w:t>
                      </w:r>
                      <w:r w:rsidRPr="00AB7827">
                        <w:t>?</w:t>
                      </w:r>
                    </w:p>
                    <w:p w14:paraId="1418D8D3" w14:textId="09BF9B18" w:rsidR="00FE6544" w:rsidRDefault="00FE6544" w:rsidP="002457AA">
                      <w:pPr>
                        <w:pStyle w:val="ListParagraph"/>
                        <w:ind w:left="566" w:right="341"/>
                      </w:pPr>
                    </w:p>
                  </w:txbxContent>
                </v:textbox>
                <w10:anchorlock/>
              </v:shape>
            </w:pict>
          </mc:Fallback>
        </mc:AlternateContent>
      </w:r>
    </w:p>
    <w:p w14:paraId="34B716CC" w14:textId="77777777" w:rsidR="00C32073" w:rsidRPr="0065414C" w:rsidRDefault="00C32073" w:rsidP="00391CF0">
      <w:pPr>
        <w:pStyle w:val="BodyText"/>
        <w:rPr>
          <w:rFonts w:cs="Arial"/>
        </w:rPr>
        <w:sectPr w:rsidR="00C32073" w:rsidRPr="0065414C" w:rsidSect="006D53C3">
          <w:type w:val="continuous"/>
          <w:pgSz w:w="11910" w:h="16840"/>
          <w:pgMar w:top="1440" w:right="1440" w:bottom="1440" w:left="1440" w:header="0" w:footer="656" w:gutter="0"/>
          <w:cols w:num="2" w:space="340"/>
        </w:sectPr>
      </w:pPr>
    </w:p>
    <w:p w14:paraId="5C046B58" w14:textId="77777777" w:rsidR="00F83327" w:rsidRPr="0065414C" w:rsidRDefault="00F83327" w:rsidP="005B7291">
      <w:pPr>
        <w:pStyle w:val="SectionNumber"/>
      </w:pPr>
      <w:bookmarkStart w:id="36" w:name="_3_Scope_of"/>
      <w:bookmarkStart w:id="37" w:name="_Toc49953742"/>
      <w:bookmarkEnd w:id="36"/>
      <w:r w:rsidRPr="0065414C">
        <w:rPr>
          <w:lang w:bidi="ar-SA"/>
        </w:rPr>
        <w:lastRenderedPageBreak/>
        <w:drawing>
          <wp:anchor distT="0" distB="0" distL="114300" distR="114300" simplePos="0" relativeHeight="251658240" behindDoc="1" locked="0" layoutInCell="1" allowOverlap="1" wp14:anchorId="2F51CA2A" wp14:editId="6FC56F1E">
            <wp:simplePos x="0" y="0"/>
            <wp:positionH relativeFrom="margin">
              <wp:posOffset>-914400</wp:posOffset>
            </wp:positionH>
            <wp:positionV relativeFrom="page">
              <wp:posOffset>954157</wp:posOffset>
            </wp:positionV>
            <wp:extent cx="5462269" cy="3577466"/>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462269" cy="3577466"/>
                    </a:xfrm>
                    <a:prstGeom prst="rect">
                      <a:avLst/>
                    </a:prstGeom>
                    <a:noFill/>
                    <a:ln>
                      <a:noFill/>
                    </a:ln>
                  </pic:spPr>
                </pic:pic>
              </a:graphicData>
            </a:graphic>
          </wp:anchor>
        </w:drawing>
      </w:r>
      <w:r w:rsidRPr="0065414C">
        <w:t>3</w:t>
      </w:r>
      <w:bookmarkEnd w:id="37"/>
    </w:p>
    <w:p w14:paraId="3096E536" w14:textId="6393E3C9" w:rsidR="00F83327" w:rsidRPr="0065414C" w:rsidRDefault="00417AEF" w:rsidP="005B7291">
      <w:pPr>
        <w:pStyle w:val="Sectionheader"/>
        <w:sectPr w:rsidR="00F83327" w:rsidRPr="0065414C" w:rsidSect="008613E1">
          <w:headerReference w:type="default" r:id="rId32"/>
          <w:footerReference w:type="default" r:id="rId33"/>
          <w:pgSz w:w="11910" w:h="16840"/>
          <w:pgMar w:top="3970" w:right="1440" w:bottom="1440" w:left="1440" w:header="0" w:footer="656" w:gutter="0"/>
          <w:cols w:space="720"/>
        </w:sectPr>
      </w:pPr>
      <w:bookmarkStart w:id="38" w:name="_Toc71631304"/>
      <w:r>
        <w:t>The Pricing Guidelines</w:t>
      </w:r>
      <w:bookmarkEnd w:id="38"/>
    </w:p>
    <w:p w14:paraId="27E42515" w14:textId="65ADBF87" w:rsidR="00C415F5" w:rsidRPr="0065414C" w:rsidRDefault="005907C8" w:rsidP="00335888">
      <w:pPr>
        <w:pStyle w:val="Heading1"/>
        <w:ind w:left="1418" w:right="99" w:hanging="1191"/>
        <w:rPr>
          <w:rFonts w:cs="Arial"/>
        </w:rPr>
      </w:pPr>
      <w:bookmarkStart w:id="39" w:name="_Toc45809587"/>
      <w:bookmarkStart w:id="40" w:name="_Toc49953744"/>
      <w:r w:rsidRPr="0065414C">
        <w:rPr>
          <w:rFonts w:cs="Arial"/>
          <w:noProof/>
          <w:color w:val="FFFFFF" w:themeColor="background1"/>
          <w:lang w:eastAsia="en-AU" w:bidi="ar-SA"/>
        </w:rPr>
        <w:lastRenderedPageBreak/>
        <w:drawing>
          <wp:anchor distT="0" distB="0" distL="114300" distR="114300" simplePos="0" relativeHeight="251634688" behindDoc="1" locked="0" layoutInCell="1" allowOverlap="1" wp14:anchorId="0444C524" wp14:editId="5D4BB7A4">
            <wp:simplePos x="0" y="0"/>
            <wp:positionH relativeFrom="column">
              <wp:posOffset>-914400</wp:posOffset>
            </wp:positionH>
            <wp:positionV relativeFrom="page">
              <wp:posOffset>667910</wp:posOffset>
            </wp:positionV>
            <wp:extent cx="1685424" cy="946149"/>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685424" cy="946149"/>
                    </a:xfrm>
                    <a:prstGeom prst="rect">
                      <a:avLst/>
                    </a:prstGeom>
                    <a:noFill/>
                    <a:ln>
                      <a:noFill/>
                    </a:ln>
                  </pic:spPr>
                </pic:pic>
              </a:graphicData>
            </a:graphic>
          </wp:anchor>
        </w:drawing>
      </w:r>
      <w:r w:rsidR="00B23364" w:rsidRPr="0065414C">
        <w:rPr>
          <w:rFonts w:cs="Arial"/>
          <w:color w:val="FFFFFF" w:themeColor="background1"/>
        </w:rPr>
        <w:t>3</w:t>
      </w:r>
      <w:r w:rsidR="00B23364" w:rsidRPr="0065414C">
        <w:rPr>
          <w:rFonts w:cs="Arial"/>
        </w:rPr>
        <w:tab/>
      </w:r>
      <w:r w:rsidR="00D32313" w:rsidRPr="0065414C">
        <w:rPr>
          <w:rFonts w:cs="Arial"/>
        </w:rPr>
        <w:tab/>
      </w:r>
      <w:bookmarkEnd w:id="39"/>
      <w:bookmarkEnd w:id="40"/>
      <w:r w:rsidR="00417AEF">
        <w:rPr>
          <w:rFonts w:cs="Arial"/>
        </w:rPr>
        <w:t>The Pricing Guidelines</w:t>
      </w:r>
    </w:p>
    <w:p w14:paraId="766F4FA5" w14:textId="2692BD2E" w:rsidR="00C415F5" w:rsidRPr="0065414C" w:rsidRDefault="00C415F5" w:rsidP="003932A6">
      <w:pPr>
        <w:pStyle w:val="BodyText"/>
        <w:rPr>
          <w:rFonts w:cs="Arial"/>
        </w:rPr>
      </w:pPr>
    </w:p>
    <w:p w14:paraId="274F75EA" w14:textId="77777777" w:rsidR="00C415F5" w:rsidRPr="0065414C" w:rsidRDefault="00C415F5">
      <w:pPr>
        <w:rPr>
          <w:rFonts w:cs="Arial"/>
          <w:sz w:val="20"/>
        </w:rPr>
        <w:sectPr w:rsidR="00C415F5" w:rsidRPr="0065414C" w:rsidSect="00342612">
          <w:headerReference w:type="default" r:id="rId35"/>
          <w:pgSz w:w="11910" w:h="16840"/>
          <w:pgMar w:top="1440" w:right="1440" w:bottom="1440" w:left="1440" w:header="0" w:footer="656" w:gutter="0"/>
          <w:cols w:space="720"/>
        </w:sectPr>
      </w:pPr>
    </w:p>
    <w:p w14:paraId="648EF521" w14:textId="4D1740CA" w:rsidR="001B2C5D" w:rsidRPr="0065414C" w:rsidRDefault="001B2C5D" w:rsidP="00011A81">
      <w:pPr>
        <w:pStyle w:val="Heading2"/>
        <w:rPr>
          <w:rFonts w:cs="Arial"/>
        </w:rPr>
      </w:pPr>
      <w:bookmarkStart w:id="41" w:name="_Toc49953745"/>
      <w:bookmarkStart w:id="42" w:name="_Toc71631305"/>
      <w:r w:rsidRPr="0065414C">
        <w:rPr>
          <w:rFonts w:cs="Arial"/>
        </w:rPr>
        <w:t>3.</w:t>
      </w:r>
      <w:r w:rsidR="00983BD0" w:rsidRPr="0065414C">
        <w:rPr>
          <w:rFonts w:cs="Arial"/>
        </w:rPr>
        <w:t>1</w:t>
      </w:r>
      <w:r w:rsidRPr="0065414C">
        <w:rPr>
          <w:rFonts w:cs="Arial"/>
        </w:rPr>
        <w:t xml:space="preserve">. </w:t>
      </w:r>
      <w:bookmarkEnd w:id="41"/>
      <w:r w:rsidR="00A3232B">
        <w:rPr>
          <w:rFonts w:cs="Arial"/>
        </w:rPr>
        <w:t>The Pricing Guidelines</w:t>
      </w:r>
      <w:bookmarkEnd w:id="42"/>
    </w:p>
    <w:p w14:paraId="3EF80F63" w14:textId="45EB7864" w:rsidR="002457AA" w:rsidRPr="002457AA" w:rsidRDefault="002457AA" w:rsidP="002457AA">
      <w:pPr>
        <w:pStyle w:val="BodyText"/>
        <w:rPr>
          <w:rFonts w:cs="Arial"/>
        </w:rPr>
      </w:pPr>
      <w:r w:rsidRPr="002457AA">
        <w:rPr>
          <w:rFonts w:cs="Arial"/>
        </w:rPr>
        <w:t xml:space="preserve">The decisions made by the Independent Hospital Pricing Authority (IHPA) in pricing in-scope public hospital services are evidence-based and use the latest </w:t>
      </w:r>
      <w:r w:rsidR="002D10A4">
        <w:rPr>
          <w:rFonts w:cs="Arial"/>
        </w:rPr>
        <w:t>activity and cost</w:t>
      </w:r>
      <w:r w:rsidRPr="002457AA">
        <w:rPr>
          <w:rFonts w:cs="Arial"/>
        </w:rPr>
        <w:t xml:space="preserve"> data supplied to IHPA by </w:t>
      </w:r>
      <w:r w:rsidR="002D10A4">
        <w:rPr>
          <w:rFonts w:cs="Arial"/>
        </w:rPr>
        <w:t xml:space="preserve">the </w:t>
      </w:r>
      <w:r w:rsidRPr="002457AA">
        <w:rPr>
          <w:rFonts w:cs="Arial"/>
        </w:rPr>
        <w:t xml:space="preserve">states and territories. In making these decisions, IHPA balances a range of policy objectives, including improving the efficiency and accessibility of public hospital services. </w:t>
      </w:r>
    </w:p>
    <w:p w14:paraId="4D73140B" w14:textId="77777777" w:rsidR="002457AA" w:rsidRPr="002457AA" w:rsidRDefault="002457AA" w:rsidP="002457AA">
      <w:pPr>
        <w:pStyle w:val="BodyText"/>
        <w:rPr>
          <w:rFonts w:cs="Arial"/>
        </w:rPr>
      </w:pPr>
      <w:r w:rsidRPr="002457AA">
        <w:rPr>
          <w:rFonts w:cs="Arial"/>
        </w:rPr>
        <w:t xml:space="preserve">The Pricing Guidelines signal IHPA’s commitment to transparency and accountability as it undertakes its work and comprise the overarching, process and system design guidelines within which IHPA makes its policy decisions. </w:t>
      </w:r>
    </w:p>
    <w:p w14:paraId="52D4C3FC" w14:textId="5E55B7CC" w:rsidR="002457AA" w:rsidRPr="002457AA" w:rsidRDefault="002457AA" w:rsidP="00406D59">
      <w:pPr>
        <w:pStyle w:val="BodyText"/>
        <w:ind w:right="234"/>
        <w:rPr>
          <w:rFonts w:cs="Arial"/>
        </w:rPr>
      </w:pPr>
      <w:r w:rsidRPr="002457AA">
        <w:rPr>
          <w:rFonts w:cs="Arial"/>
        </w:rPr>
        <w:t xml:space="preserve">In 2020, IHPA </w:t>
      </w:r>
      <w:r w:rsidR="002D10A4">
        <w:rPr>
          <w:rFonts w:cs="Arial"/>
        </w:rPr>
        <w:t xml:space="preserve">undertook a comprehensive review of </w:t>
      </w:r>
      <w:r w:rsidRPr="002457AA">
        <w:rPr>
          <w:rFonts w:cs="Arial"/>
        </w:rPr>
        <w:t>the Pricing Guidelines in light of the Addendum to the National Health Reform Agreement 2020–25 (the Addendum) and found that they largely continued to reflect the principles and reforms outlined by the Addendum. The ‘Activity based funding pre-eminence’, ‘Patient-based’ and ‘Public-private neutrality guidelines’ were updated to reflect stakeholder feedback and changes arising from the Addendum.</w:t>
      </w:r>
    </w:p>
    <w:p w14:paraId="0EC1B870" w14:textId="1AAE21AE" w:rsidR="00417AEF" w:rsidRPr="00417AEF" w:rsidRDefault="002457AA" w:rsidP="002457AA">
      <w:pPr>
        <w:pStyle w:val="BodyText"/>
        <w:rPr>
          <w:rFonts w:cs="Arial"/>
        </w:rPr>
      </w:pPr>
      <w:r w:rsidRPr="002457AA">
        <w:rPr>
          <w:rFonts w:cs="Arial"/>
        </w:rPr>
        <w:t>IHPA has reviewed the Pricing Guidelines again in 2022 and considers that further amendments are not required at this time.</w:t>
      </w:r>
    </w:p>
    <w:p w14:paraId="450E924A" w14:textId="646E973D" w:rsidR="00783439" w:rsidRDefault="00417AEF" w:rsidP="00417AEF">
      <w:pPr>
        <w:pStyle w:val="BodyText"/>
        <w:rPr>
          <w:rFonts w:cs="Arial"/>
        </w:rPr>
      </w:pPr>
      <w:r w:rsidRPr="00417AEF">
        <w:rPr>
          <w:rFonts w:cs="Arial"/>
        </w:rPr>
        <w:t xml:space="preserve">The Pricing Guidelines are </w:t>
      </w:r>
      <w:r w:rsidR="00AB24AE">
        <w:rPr>
          <w:rFonts w:cs="Arial"/>
        </w:rPr>
        <w:t>presented</w:t>
      </w:r>
      <w:r w:rsidR="00AB24AE" w:rsidRPr="00417AEF">
        <w:rPr>
          <w:rFonts w:cs="Arial"/>
        </w:rPr>
        <w:t xml:space="preserve"> </w:t>
      </w:r>
      <w:r w:rsidRPr="00417AEF">
        <w:rPr>
          <w:rFonts w:cs="Arial"/>
        </w:rPr>
        <w:t xml:space="preserve">in </w:t>
      </w:r>
      <w:r w:rsidRPr="00417AEF">
        <w:rPr>
          <w:rFonts w:cs="Arial"/>
          <w:b/>
        </w:rPr>
        <w:t>Figure 1</w:t>
      </w:r>
      <w:r w:rsidRPr="00417AEF">
        <w:rPr>
          <w:rFonts w:cs="Arial"/>
        </w:rPr>
        <w:t>.</w:t>
      </w:r>
    </w:p>
    <w:p w14:paraId="577B5348" w14:textId="4406B3B7" w:rsidR="00A3232B" w:rsidRDefault="00A3232B" w:rsidP="00417AEF">
      <w:pPr>
        <w:pStyle w:val="BodyText"/>
        <w:rPr>
          <w:rFonts w:cs="Arial"/>
        </w:rPr>
      </w:pPr>
    </w:p>
    <w:p w14:paraId="502941B4" w14:textId="72323F6B" w:rsidR="00A3232B" w:rsidRDefault="00A3232B" w:rsidP="00417AEF">
      <w:pPr>
        <w:pStyle w:val="BodyText"/>
        <w:rPr>
          <w:rFonts w:cs="Arial"/>
        </w:rPr>
      </w:pPr>
    </w:p>
    <w:p w14:paraId="0CB7DD51" w14:textId="5379A8C3" w:rsidR="00A3232B" w:rsidRDefault="00A3232B" w:rsidP="00417AEF">
      <w:pPr>
        <w:pStyle w:val="BodyText"/>
        <w:rPr>
          <w:rFonts w:cs="Arial"/>
        </w:rPr>
      </w:pPr>
    </w:p>
    <w:p w14:paraId="7D4C2D7C" w14:textId="7E82C3B2" w:rsidR="00A3232B" w:rsidRDefault="00A3232B" w:rsidP="00417AEF">
      <w:pPr>
        <w:pStyle w:val="BodyText"/>
        <w:rPr>
          <w:rFonts w:cs="Arial"/>
        </w:rPr>
      </w:pPr>
    </w:p>
    <w:p w14:paraId="799A91A6" w14:textId="7C904FE2" w:rsidR="00A3232B" w:rsidRDefault="00A3232B" w:rsidP="00417AEF">
      <w:pPr>
        <w:pStyle w:val="BodyText"/>
        <w:rPr>
          <w:rFonts w:cs="Arial"/>
        </w:rPr>
      </w:pPr>
    </w:p>
    <w:p w14:paraId="47557F9F" w14:textId="03E95A95" w:rsidR="00A3232B" w:rsidRDefault="00A3232B" w:rsidP="00417AEF">
      <w:pPr>
        <w:pStyle w:val="BodyText"/>
        <w:rPr>
          <w:rFonts w:cs="Arial"/>
        </w:rPr>
      </w:pPr>
    </w:p>
    <w:p w14:paraId="2A44B0B1" w14:textId="521A9AA3" w:rsidR="00A3232B" w:rsidRDefault="00A3232B" w:rsidP="00417AEF">
      <w:pPr>
        <w:pStyle w:val="BodyText"/>
        <w:rPr>
          <w:rFonts w:cs="Arial"/>
        </w:rPr>
      </w:pPr>
    </w:p>
    <w:p w14:paraId="61AB3E4C" w14:textId="29FB0680" w:rsidR="00A3232B" w:rsidRDefault="00A3232B" w:rsidP="00417AEF">
      <w:pPr>
        <w:pStyle w:val="BodyText"/>
        <w:rPr>
          <w:rFonts w:cs="Arial"/>
        </w:rPr>
      </w:pPr>
    </w:p>
    <w:p w14:paraId="1E353897" w14:textId="58EB7418" w:rsidR="00A3232B" w:rsidRDefault="00A3232B" w:rsidP="00417AEF">
      <w:pPr>
        <w:pStyle w:val="BodyText"/>
        <w:rPr>
          <w:rFonts w:cs="Arial"/>
        </w:rPr>
      </w:pPr>
    </w:p>
    <w:p w14:paraId="5BD1A7CA" w14:textId="790777DF" w:rsidR="00A3232B" w:rsidRDefault="00A3232B" w:rsidP="00417AEF">
      <w:pPr>
        <w:pStyle w:val="BodyText"/>
        <w:rPr>
          <w:rFonts w:cs="Arial"/>
        </w:rPr>
      </w:pPr>
    </w:p>
    <w:p w14:paraId="2E8E8FBD" w14:textId="58A8A95C" w:rsidR="00A3232B" w:rsidRDefault="00A3232B" w:rsidP="00417AEF">
      <w:pPr>
        <w:pStyle w:val="BodyText"/>
        <w:rPr>
          <w:rFonts w:cs="Arial"/>
        </w:rPr>
      </w:pPr>
    </w:p>
    <w:p w14:paraId="5976082F" w14:textId="4B9B31DA" w:rsidR="00A3232B" w:rsidRDefault="00A3232B" w:rsidP="00417AEF">
      <w:pPr>
        <w:pStyle w:val="BodyText"/>
        <w:rPr>
          <w:rFonts w:cs="Arial"/>
        </w:rPr>
      </w:pPr>
    </w:p>
    <w:p w14:paraId="1BD447C6" w14:textId="33024E17" w:rsidR="00A3232B" w:rsidRDefault="00A3232B" w:rsidP="00417AEF">
      <w:pPr>
        <w:pStyle w:val="BodyText"/>
        <w:rPr>
          <w:rFonts w:cs="Arial"/>
        </w:rPr>
      </w:pPr>
    </w:p>
    <w:p w14:paraId="7A7A996D" w14:textId="2C8C9172" w:rsidR="00A3232B" w:rsidRDefault="00A3232B" w:rsidP="00417AEF">
      <w:pPr>
        <w:pStyle w:val="BodyText"/>
        <w:rPr>
          <w:rFonts w:cs="Arial"/>
        </w:rPr>
      </w:pPr>
    </w:p>
    <w:p w14:paraId="27B48494" w14:textId="286603EE" w:rsidR="00A3232B" w:rsidRDefault="00A3232B" w:rsidP="00417AEF">
      <w:pPr>
        <w:pStyle w:val="BodyText"/>
        <w:rPr>
          <w:rFonts w:cs="Arial"/>
        </w:rPr>
      </w:pPr>
    </w:p>
    <w:p w14:paraId="6CB18964" w14:textId="61458ABE" w:rsidR="00A3232B" w:rsidRDefault="00A3232B" w:rsidP="00417AEF">
      <w:pPr>
        <w:pStyle w:val="BodyText"/>
        <w:rPr>
          <w:rFonts w:cs="Arial"/>
        </w:rPr>
      </w:pPr>
    </w:p>
    <w:p w14:paraId="43E8856C" w14:textId="7CE313CB" w:rsidR="00A3232B" w:rsidRDefault="00A3232B" w:rsidP="00417AEF">
      <w:pPr>
        <w:pStyle w:val="BodyText"/>
        <w:rPr>
          <w:rFonts w:cs="Arial"/>
        </w:rPr>
      </w:pPr>
    </w:p>
    <w:p w14:paraId="2E7B4DDB" w14:textId="561345B3" w:rsidR="00A3232B" w:rsidRDefault="00A3232B" w:rsidP="00417AEF">
      <w:pPr>
        <w:pStyle w:val="BodyText"/>
        <w:rPr>
          <w:rFonts w:cs="Arial"/>
        </w:rPr>
      </w:pPr>
    </w:p>
    <w:p w14:paraId="3C65CA61" w14:textId="249568E8" w:rsidR="00A3232B" w:rsidRDefault="00A3232B" w:rsidP="00417AEF">
      <w:pPr>
        <w:pStyle w:val="BodyText"/>
        <w:rPr>
          <w:rFonts w:cs="Arial"/>
        </w:rPr>
      </w:pPr>
    </w:p>
    <w:p w14:paraId="12E64CB9" w14:textId="784EAA6B" w:rsidR="00A3232B" w:rsidRDefault="00A3232B" w:rsidP="00417AEF">
      <w:pPr>
        <w:pStyle w:val="BodyText"/>
        <w:rPr>
          <w:rFonts w:cs="Arial"/>
        </w:rPr>
      </w:pPr>
    </w:p>
    <w:p w14:paraId="7CECBCE9" w14:textId="77777777" w:rsidR="00A3232B" w:rsidRDefault="00A3232B" w:rsidP="00417AEF">
      <w:pPr>
        <w:pStyle w:val="BodyText"/>
        <w:rPr>
          <w:rFonts w:cs="Arial"/>
        </w:rPr>
      </w:pPr>
    </w:p>
    <w:p w14:paraId="3ECACC49" w14:textId="5D730245" w:rsidR="00A3232B" w:rsidRDefault="00A3232B" w:rsidP="00417AEF">
      <w:pPr>
        <w:pStyle w:val="BodyText"/>
        <w:rPr>
          <w:rFonts w:cs="Arial"/>
        </w:rPr>
      </w:pPr>
    </w:p>
    <w:p w14:paraId="202B0A27" w14:textId="5D730245" w:rsidR="00A3232B" w:rsidRDefault="00A3232B" w:rsidP="00417AEF">
      <w:pPr>
        <w:pStyle w:val="BodyText"/>
        <w:rPr>
          <w:rFonts w:cs="Arial"/>
        </w:rPr>
      </w:pPr>
    </w:p>
    <w:p w14:paraId="19423E68" w14:textId="77777777" w:rsidR="00417AEF" w:rsidRDefault="00417AEF" w:rsidP="00FF4F1F">
      <w:pPr>
        <w:pStyle w:val="BodyText"/>
        <w:rPr>
          <w:rFonts w:cs="Arial"/>
        </w:rPr>
        <w:sectPr w:rsidR="00417AEF" w:rsidSect="001311FF">
          <w:type w:val="continuous"/>
          <w:pgSz w:w="11910" w:h="16840"/>
          <w:pgMar w:top="1440" w:right="1440" w:bottom="1440" w:left="1440" w:header="720" w:footer="720" w:gutter="0"/>
          <w:cols w:num="2" w:space="340"/>
        </w:sectPr>
      </w:pPr>
    </w:p>
    <w:p w14:paraId="2E5C5C02" w14:textId="77777777" w:rsidR="00A3232B" w:rsidRDefault="00A3232B">
      <w:pPr>
        <w:rPr>
          <w:b/>
          <w:color w:val="003E2D" w:themeColor="text2"/>
          <w:sz w:val="19"/>
          <w:szCs w:val="19"/>
        </w:rPr>
      </w:pPr>
      <w:r>
        <w:br w:type="page"/>
      </w:r>
    </w:p>
    <w:p w14:paraId="56B30007" w14:textId="77777777" w:rsidR="00A3232B" w:rsidRDefault="00A3232B" w:rsidP="00417AEF">
      <w:pPr>
        <w:pStyle w:val="Figureheading"/>
        <w:keepLines/>
        <w:sectPr w:rsidR="00A3232B" w:rsidSect="00417AEF">
          <w:headerReference w:type="default" r:id="rId36"/>
          <w:type w:val="continuous"/>
          <w:pgSz w:w="11910" w:h="16840"/>
          <w:pgMar w:top="1440" w:right="1440" w:bottom="1440" w:left="1440" w:header="720" w:footer="720" w:gutter="0"/>
          <w:cols w:num="2" w:space="340"/>
        </w:sectPr>
      </w:pPr>
    </w:p>
    <w:p w14:paraId="7797C510" w14:textId="77777777" w:rsidR="00A3232B" w:rsidRDefault="00A3232B" w:rsidP="00A3232B">
      <w:pPr>
        <w:pStyle w:val="Figureheading"/>
        <w:keepLines/>
      </w:pPr>
      <w:r w:rsidRPr="0065414C">
        <w:lastRenderedPageBreak/>
        <w:t xml:space="preserve">Figure 1: The </w:t>
      </w:r>
      <w:r>
        <w:t>Pricing Guidelines</w:t>
      </w:r>
    </w:p>
    <w:tbl>
      <w:tblPr>
        <w:tblStyle w:val="TableGrid"/>
        <w:tblW w:w="4988" w:type="pct"/>
        <w:tblBorders>
          <w:top w:val="none" w:sz="0" w:space="0" w:color="auto"/>
          <w:left w:val="none" w:sz="0" w:space="0" w:color="auto"/>
          <w:bottom w:val="none" w:sz="0" w:space="0" w:color="auto"/>
          <w:right w:val="none" w:sz="0" w:space="0" w:color="auto"/>
          <w:insideV w:val="none" w:sz="0" w:space="0" w:color="auto"/>
        </w:tblBorders>
        <w:shd w:val="clear" w:color="auto" w:fill="F2F2F2" w:themeFill="background1" w:themeFillShade="F2"/>
        <w:tblCellMar>
          <w:left w:w="170" w:type="dxa"/>
        </w:tblCellMar>
        <w:tblLook w:val="04A0" w:firstRow="1" w:lastRow="0" w:firstColumn="1" w:lastColumn="0" w:noHBand="0" w:noVBand="1"/>
        <w:tblCaption w:val="Figure 1: Pricing Guidelines"/>
        <w:tblDescription w:val="Overarching Guidelines that articulate the policy intent behind the introduction of funding reform for public hospital services comprising ABF and block grant funding:&#10;Timely-quality care: Funding should support timely access to quality health services.&#10;Efficiency: ABF should improve the value of the public investment in hospital care and ensure a sustainable and efficient network of public hospital services.&#10;Fairness: ABF payments should be fair and equitable, including being based on the same price for the same service across public, private or not-for-profit providers of public hospital services and recognise the legitimate and unavoidable costs faced by some providers of public hospital services.&#10;Maintaining agreed roles and responsibilities of governments determined by the National Health Reform Agreement: Funding design should recognise the complementary responsibilities of each level of government in funding health services.&#10;Process Guidelines to guide the implementation of ABF and block grant funding arrangements:&#10;Transparency: All steps in the determination of ABF and block grant funding should be clear and transparent.&#10;Administrative ease: Funding arrangements should not unduly increase the administrative burden on hospitals and system managers.&#10;Stability: The payment relativities for ABF are consistent over time.&#10;Evidence-based: Funding should be based on best available information.&#10;System Design Guidelines to inform the options for design of ABF and block grant funding arrangements:&#10;Fostering clinical innovation: Pricing of public hospital services should respond in a timely way to introduction of evidence-based, effective new technology and innovations in the models of care that improve patient outcomes.&#10;Promoting value: Pricing supports innovative and alternative funding solutions that deliver efficient, high quality, patient centred care.&#10;Promoting harmonisation: Pricing should facilitate best practice provision of appropriate site of care.&#10;Minimising undesirable and inadvertent consequences: Funding design should minimise susceptibility to gaming, inappropriate rewards and perverse incentives.&#10;Using ABF where practicable and appropriate: ABF should be used for funding public hospital services wherever practicable and compatible with delivering value in both outcomes and cost.&#10;Single unit of measure and price equivalence: ABF pricing should support dynamic efficiency and changes to models of care with the ready transferability of funding between different care types and service streams through a single unit of measure and relative weights.&#10;Patient-based: Adjustments to the standard price should be based on patient-related rather than provider-related characteristics wherever practicable.&#10;Public-private neutrality: ABF pricing should ensure that payments a local hospital network (LHN) receives for a public patient should be equal to payments made for a LHN service for a private patient."/>
      </w:tblPr>
      <w:tblGrid>
        <w:gridCol w:w="4504"/>
        <w:gridCol w:w="4504"/>
      </w:tblGrid>
      <w:tr w:rsidR="00A3232B" w14:paraId="09ED2A1B" w14:textId="77777777" w:rsidTr="00950D0E">
        <w:trPr>
          <w:trHeight w:val="12614"/>
        </w:trPr>
        <w:tc>
          <w:tcPr>
            <w:tcW w:w="2500" w:type="pct"/>
            <w:shd w:val="clear" w:color="auto" w:fill="F2F2F2" w:themeFill="background1" w:themeFillShade="F2"/>
          </w:tcPr>
          <w:p w14:paraId="146FDDFE" w14:textId="77777777" w:rsidR="00A3232B" w:rsidRDefault="00A3232B" w:rsidP="00950D0E">
            <w:pPr>
              <w:pStyle w:val="BodyText"/>
              <w:keepLines/>
              <w:rPr>
                <w:rFonts w:cs="Arial"/>
                <w:b/>
                <w:bCs/>
              </w:rPr>
            </w:pPr>
            <w:r>
              <w:rPr>
                <w:rFonts w:cs="Arial"/>
                <w:b/>
                <w:bCs/>
                <w:noProof/>
                <w:lang w:eastAsia="en-AU" w:bidi="ar-SA"/>
              </w:rPr>
              <mc:AlternateContent>
                <mc:Choice Requires="wps">
                  <w:drawing>
                    <wp:anchor distT="0" distB="0" distL="114300" distR="114300" simplePos="0" relativeHeight="251730944" behindDoc="0" locked="0" layoutInCell="1" allowOverlap="1" wp14:anchorId="6A750ADF" wp14:editId="272F0EA4">
                      <wp:simplePos x="0" y="0"/>
                      <wp:positionH relativeFrom="column">
                        <wp:posOffset>14604</wp:posOffset>
                      </wp:positionH>
                      <wp:positionV relativeFrom="paragraph">
                        <wp:posOffset>205105</wp:posOffset>
                      </wp:positionV>
                      <wp:extent cx="2543175" cy="0"/>
                      <wp:effectExtent l="0" t="0" r="0" b="0"/>
                      <wp:wrapNone/>
                      <wp:docPr id="55" name="Straight Connector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543175"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oel="http://schemas.microsoft.com/office/2019/extlst">
                  <w:pict>
                    <v:line w14:anchorId="3CF8334A" id="Straight Connector 55"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1.15pt,16.15pt" to="201.4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" strokecolor="#008f54 [3205]"/>
                  </w:pict>
                </mc:Fallback>
              </mc:AlternateContent>
            </w:r>
          </w:p>
          <w:p w14:paraId="22A41166" w14:textId="77777777" w:rsidR="00A3232B" w:rsidRPr="0065414C" w:rsidRDefault="00A3232B" w:rsidP="00950D0E">
            <w:pPr>
              <w:pStyle w:val="BodyText"/>
              <w:keepLines/>
              <w:rPr>
                <w:rFonts w:cs="Arial"/>
              </w:rPr>
            </w:pPr>
            <w:r w:rsidRPr="0065414C">
              <w:rPr>
                <w:rFonts w:cs="Arial"/>
                <w:b/>
                <w:bCs/>
              </w:rPr>
              <w:t>Overarching Guidelines</w:t>
            </w:r>
            <w:r w:rsidRPr="0065414C">
              <w:rPr>
                <w:rFonts w:cs="Arial"/>
              </w:rPr>
              <w:t> </w:t>
            </w:r>
            <w:r w:rsidRPr="00926A31">
              <w:rPr>
                <w:rFonts w:cs="Arial"/>
              </w:rPr>
              <w:t>that articulate the policy intent behind the introduction of funding reform for public hospital services comprising activity based funding (ABF) and block grant funding</w:t>
            </w:r>
            <w:r w:rsidRPr="0065414C">
              <w:rPr>
                <w:rFonts w:cs="Arial"/>
              </w:rPr>
              <w:t>:</w:t>
            </w:r>
          </w:p>
          <w:p w14:paraId="0B3C2B68" w14:textId="77777777" w:rsidR="00A3232B" w:rsidRPr="0065414C" w:rsidRDefault="00A3232B" w:rsidP="00950D0E">
            <w:pPr>
              <w:pStyle w:val="ListParagraph"/>
              <w:keepLines/>
              <w:numPr>
                <w:ilvl w:val="0"/>
                <w:numId w:val="1"/>
              </w:numPr>
              <w:tabs>
                <w:tab w:val="clear" w:pos="1418"/>
                <w:tab w:val="left" w:pos="1701"/>
              </w:tabs>
              <w:ind w:left="284"/>
              <w:rPr>
                <w:rFonts w:cs="Arial"/>
              </w:rPr>
            </w:pPr>
            <w:r w:rsidRPr="0065414C">
              <w:rPr>
                <w:rFonts w:cs="Arial"/>
                <w:b/>
              </w:rPr>
              <w:t>Timely-quality care</w:t>
            </w:r>
            <w:r w:rsidRPr="0065414C">
              <w:rPr>
                <w:rFonts w:cs="Arial"/>
              </w:rPr>
              <w:t>: Funding should support timely access to quality health services</w:t>
            </w:r>
            <w:r w:rsidRPr="0065414C">
              <w:rPr>
                <w:rFonts w:cs="Arial"/>
                <w:spacing w:val="2"/>
              </w:rPr>
              <w:t>.</w:t>
            </w:r>
          </w:p>
          <w:p w14:paraId="1E59F4D9" w14:textId="77777777" w:rsidR="00A3232B" w:rsidRPr="0065414C" w:rsidRDefault="00A3232B" w:rsidP="00950D0E">
            <w:pPr>
              <w:pStyle w:val="ListParagraph"/>
              <w:keepLines/>
              <w:numPr>
                <w:ilvl w:val="0"/>
                <w:numId w:val="1"/>
              </w:numPr>
              <w:tabs>
                <w:tab w:val="clear" w:pos="1418"/>
                <w:tab w:val="left" w:pos="1701"/>
              </w:tabs>
              <w:ind w:left="284"/>
              <w:rPr>
                <w:rFonts w:cs="Arial"/>
              </w:rPr>
            </w:pPr>
            <w:r w:rsidRPr="0065414C">
              <w:rPr>
                <w:rFonts w:cs="Arial"/>
                <w:b/>
              </w:rPr>
              <w:t>Efficiency</w:t>
            </w:r>
            <w:r w:rsidRPr="0065414C">
              <w:rPr>
                <w:rFonts w:cs="Arial"/>
              </w:rPr>
              <w:t>: ABF should improve the value of the public investment in hospital care and ensure a sustainable and efficient network of public hospital services.</w:t>
            </w:r>
          </w:p>
          <w:p w14:paraId="7C12E7EB" w14:textId="77777777" w:rsidR="00A3232B" w:rsidRPr="0065414C" w:rsidRDefault="00A3232B" w:rsidP="00950D0E">
            <w:pPr>
              <w:pStyle w:val="ListParagraph"/>
              <w:keepLines/>
              <w:numPr>
                <w:ilvl w:val="0"/>
                <w:numId w:val="1"/>
              </w:numPr>
              <w:tabs>
                <w:tab w:val="clear" w:pos="1418"/>
                <w:tab w:val="left" w:pos="1701"/>
              </w:tabs>
              <w:ind w:left="284"/>
              <w:rPr>
                <w:rFonts w:cs="Arial"/>
              </w:rPr>
            </w:pPr>
            <w:r w:rsidRPr="0065414C">
              <w:rPr>
                <w:rFonts w:cs="Arial"/>
                <w:b/>
              </w:rPr>
              <w:t xml:space="preserve">Fairness: </w:t>
            </w:r>
            <w:r w:rsidRPr="0065414C">
              <w:rPr>
                <w:rFonts w:cs="Arial"/>
              </w:rPr>
              <w:t>ABF payments should be fair and equitable, including being based on the same price for the same service across public, private or not-for-profit providers of public hospital services and recognise the legitimate and unavoidable costs faced by some providers of public hospital services.</w:t>
            </w:r>
          </w:p>
          <w:p w14:paraId="7C582052" w14:textId="77777777" w:rsidR="00A3232B" w:rsidRPr="0065414C" w:rsidRDefault="00A3232B" w:rsidP="00950D0E">
            <w:pPr>
              <w:pStyle w:val="ListParagraph"/>
              <w:keepLines/>
              <w:numPr>
                <w:ilvl w:val="0"/>
                <w:numId w:val="1"/>
              </w:numPr>
              <w:tabs>
                <w:tab w:val="clear" w:pos="1418"/>
                <w:tab w:val="left" w:pos="1701"/>
              </w:tabs>
              <w:ind w:left="284"/>
              <w:rPr>
                <w:rFonts w:cs="Arial"/>
              </w:rPr>
            </w:pPr>
            <w:r w:rsidRPr="0065414C">
              <w:rPr>
                <w:rFonts w:cs="Arial"/>
                <w:b/>
                <w:spacing w:val="2"/>
              </w:rPr>
              <w:t xml:space="preserve">Maintaining </w:t>
            </w:r>
            <w:r w:rsidRPr="0065414C">
              <w:rPr>
                <w:rFonts w:cs="Arial"/>
                <w:b/>
              </w:rPr>
              <w:t xml:space="preserve">agreed roles and responsibilities of governments determined by </w:t>
            </w:r>
            <w:r w:rsidRPr="0065414C">
              <w:rPr>
                <w:rFonts w:cs="Arial"/>
                <w:b/>
                <w:spacing w:val="2"/>
              </w:rPr>
              <w:t xml:space="preserve">the National Health </w:t>
            </w:r>
            <w:r w:rsidRPr="0065414C">
              <w:rPr>
                <w:rFonts w:cs="Arial"/>
                <w:b/>
              </w:rPr>
              <w:t xml:space="preserve">Reform Agreement: </w:t>
            </w:r>
            <w:r w:rsidRPr="0065414C">
              <w:rPr>
                <w:rFonts w:cs="Arial"/>
              </w:rPr>
              <w:t>Funding design should recognise the complementary responsibilities of each level of government in funding health services.</w:t>
            </w:r>
          </w:p>
          <w:p w14:paraId="5BDCF707" w14:textId="77777777" w:rsidR="00A3232B" w:rsidRDefault="00A3232B" w:rsidP="00950D0E">
            <w:pPr>
              <w:pStyle w:val="BodyText"/>
              <w:keepLines/>
              <w:rPr>
                <w:rFonts w:cs="Arial"/>
                <w:b/>
              </w:rPr>
            </w:pPr>
            <w:r>
              <w:rPr>
                <w:rFonts w:cs="Arial"/>
                <w:b/>
                <w:noProof/>
                <w:lang w:eastAsia="en-AU" w:bidi="ar-SA"/>
              </w:rPr>
              <w:drawing>
                <wp:inline distT="0" distB="0" distL="0" distR="0" wp14:anchorId="53516632" wp14:editId="74CA63FA">
                  <wp:extent cx="2548255" cy="12065"/>
                  <wp:effectExtent l="0" t="0" r="0" b="0"/>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8255" cy="12065"/>
                          </a:xfrm>
                          <a:prstGeom prst="rect">
                            <a:avLst/>
                          </a:prstGeom>
                          <a:noFill/>
                        </pic:spPr>
                      </pic:pic>
                    </a:graphicData>
                  </a:graphic>
                </wp:inline>
              </w:drawing>
            </w:r>
          </w:p>
          <w:p w14:paraId="46FDB084" w14:textId="77777777" w:rsidR="00A3232B" w:rsidRPr="0065414C" w:rsidRDefault="00A3232B" w:rsidP="00950D0E">
            <w:pPr>
              <w:pStyle w:val="BodyText"/>
              <w:keepLines/>
              <w:rPr>
                <w:rFonts w:cs="Arial"/>
              </w:rPr>
            </w:pPr>
            <w:r w:rsidRPr="0065414C">
              <w:rPr>
                <w:rFonts w:cs="Arial"/>
                <w:b/>
              </w:rPr>
              <w:t xml:space="preserve">Process Guidelines </w:t>
            </w:r>
            <w:r w:rsidRPr="0065414C">
              <w:rPr>
                <w:rFonts w:cs="Arial"/>
              </w:rPr>
              <w:t>to guide the implementation of ABF and block grant funding arrangements:</w:t>
            </w:r>
          </w:p>
          <w:p w14:paraId="0D69A427" w14:textId="77777777" w:rsidR="00A3232B" w:rsidRPr="0065414C" w:rsidRDefault="00A3232B" w:rsidP="00950D0E">
            <w:pPr>
              <w:pStyle w:val="ListParagraph"/>
              <w:keepLines/>
              <w:numPr>
                <w:ilvl w:val="0"/>
                <w:numId w:val="1"/>
              </w:numPr>
              <w:ind w:left="284" w:right="327"/>
              <w:rPr>
                <w:rFonts w:cs="Arial"/>
              </w:rPr>
            </w:pPr>
            <w:r w:rsidRPr="0065414C">
              <w:rPr>
                <w:rFonts w:cs="Arial"/>
                <w:b/>
              </w:rPr>
              <w:t xml:space="preserve">Transparency: </w:t>
            </w:r>
            <w:r w:rsidRPr="0065414C">
              <w:rPr>
                <w:rFonts w:cs="Arial"/>
              </w:rPr>
              <w:t>All steps in the determination of ABF and block grant funding should be clear and transparent.</w:t>
            </w:r>
          </w:p>
          <w:p w14:paraId="28CB2ABC" w14:textId="77777777" w:rsidR="00A3232B" w:rsidRPr="0065414C" w:rsidRDefault="00A3232B" w:rsidP="00950D0E">
            <w:pPr>
              <w:pStyle w:val="ListParagraph"/>
              <w:keepLines/>
              <w:numPr>
                <w:ilvl w:val="0"/>
                <w:numId w:val="1"/>
              </w:numPr>
              <w:ind w:left="284"/>
              <w:rPr>
                <w:rFonts w:cs="Arial"/>
              </w:rPr>
            </w:pPr>
            <w:r w:rsidRPr="0065414C">
              <w:rPr>
                <w:rFonts w:cs="Arial"/>
                <w:b/>
                <w:spacing w:val="2"/>
              </w:rPr>
              <w:t xml:space="preserve">Administrative </w:t>
            </w:r>
            <w:r w:rsidRPr="0065414C">
              <w:rPr>
                <w:rFonts w:cs="Arial"/>
                <w:b/>
              </w:rPr>
              <w:t xml:space="preserve">ease: </w:t>
            </w:r>
            <w:r w:rsidRPr="0065414C">
              <w:rPr>
                <w:rFonts w:cs="Arial"/>
              </w:rPr>
              <w:t>Funding arrangements should not unduly increase the administrative burden on hospitals and system managers.</w:t>
            </w:r>
          </w:p>
          <w:p w14:paraId="15333B7A" w14:textId="77777777" w:rsidR="00A3232B" w:rsidRPr="0065414C" w:rsidRDefault="00A3232B" w:rsidP="00950D0E">
            <w:pPr>
              <w:pStyle w:val="ListParagraph"/>
              <w:keepLines/>
              <w:numPr>
                <w:ilvl w:val="0"/>
                <w:numId w:val="1"/>
              </w:numPr>
              <w:ind w:left="284"/>
              <w:rPr>
                <w:rFonts w:cs="Arial"/>
              </w:rPr>
            </w:pPr>
            <w:r w:rsidRPr="0065414C">
              <w:rPr>
                <w:rFonts w:cs="Arial"/>
                <w:b/>
                <w:spacing w:val="2"/>
              </w:rPr>
              <w:t xml:space="preserve">Stability: </w:t>
            </w:r>
            <w:r w:rsidRPr="0065414C">
              <w:rPr>
                <w:rFonts w:cs="Arial"/>
              </w:rPr>
              <w:t>The payment relativities for ABF are consistent over time.</w:t>
            </w:r>
          </w:p>
          <w:p w14:paraId="697D6E3E" w14:textId="77777777" w:rsidR="00A3232B" w:rsidRPr="0065414C" w:rsidRDefault="00A3232B" w:rsidP="00950D0E">
            <w:pPr>
              <w:pStyle w:val="ListParagraph"/>
              <w:keepLines/>
              <w:numPr>
                <w:ilvl w:val="0"/>
                <w:numId w:val="1"/>
              </w:numPr>
              <w:ind w:left="284"/>
              <w:rPr>
                <w:rFonts w:cs="Arial"/>
              </w:rPr>
            </w:pPr>
            <w:r w:rsidRPr="0065414C">
              <w:rPr>
                <w:rFonts w:cs="Arial"/>
                <w:b/>
                <w:spacing w:val="2"/>
              </w:rPr>
              <w:t xml:space="preserve">Evidence-based: </w:t>
            </w:r>
            <w:r w:rsidRPr="0065414C">
              <w:rPr>
                <w:rFonts w:cs="Arial"/>
              </w:rPr>
              <w:t>Funding should be based on best available information.</w:t>
            </w:r>
          </w:p>
          <w:p w14:paraId="0BFB1FD6" w14:textId="77777777" w:rsidR="00A3232B" w:rsidRDefault="00A3232B" w:rsidP="00950D0E">
            <w:pPr>
              <w:pStyle w:val="BodyText"/>
              <w:keepLines/>
              <w:rPr>
                <w:rFonts w:cs="Arial"/>
              </w:rPr>
            </w:pPr>
          </w:p>
        </w:tc>
        <w:tc>
          <w:tcPr>
            <w:tcW w:w="2500" w:type="pct"/>
            <w:tcBorders>
              <w:top w:val="nil"/>
            </w:tcBorders>
            <w:shd w:val="clear" w:color="auto" w:fill="F2F2F2" w:themeFill="background1" w:themeFillShade="F2"/>
          </w:tcPr>
          <w:p w14:paraId="3C010A04" w14:textId="77777777" w:rsidR="00A3232B" w:rsidRDefault="00A3232B" w:rsidP="00950D0E">
            <w:pPr>
              <w:pStyle w:val="BodyText"/>
              <w:keepLines/>
              <w:ind w:right="106"/>
              <w:rPr>
                <w:rFonts w:cs="Arial"/>
                <w:b/>
              </w:rPr>
            </w:pPr>
            <w:r>
              <w:rPr>
                <w:rFonts w:cs="Arial"/>
                <w:b/>
                <w:bCs/>
                <w:noProof/>
                <w:lang w:eastAsia="en-AU" w:bidi="ar-SA"/>
              </w:rPr>
              <mc:AlternateContent>
                <mc:Choice Requires="wps">
                  <w:drawing>
                    <wp:anchor distT="0" distB="0" distL="114300" distR="114300" simplePos="0" relativeHeight="251731968" behindDoc="0" locked="0" layoutInCell="1" allowOverlap="1" wp14:anchorId="136A6988" wp14:editId="745F35AF">
                      <wp:simplePos x="0" y="0"/>
                      <wp:positionH relativeFrom="column">
                        <wp:posOffset>-1270</wp:posOffset>
                      </wp:positionH>
                      <wp:positionV relativeFrom="paragraph">
                        <wp:posOffset>204470</wp:posOffset>
                      </wp:positionV>
                      <wp:extent cx="2543175" cy="0"/>
                      <wp:effectExtent l="0" t="0" r="0" b="0"/>
                      <wp:wrapNone/>
                      <wp:docPr id="56" name="Straight Connector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543175"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oel="http://schemas.microsoft.com/office/2019/extlst">
                  <w:pict>
                    <v:line w14:anchorId="17749708" id="Straight Connector 56"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1pt,16.1pt" to="200.1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" strokecolor="#008f54 [3205]"/>
                  </w:pict>
                </mc:Fallback>
              </mc:AlternateContent>
            </w:r>
          </w:p>
          <w:p w14:paraId="0EEA1AEA" w14:textId="77777777" w:rsidR="00A3232B" w:rsidRPr="0065414C" w:rsidRDefault="00A3232B" w:rsidP="00950D0E">
            <w:pPr>
              <w:pStyle w:val="BodyText"/>
              <w:keepLines/>
              <w:ind w:right="106"/>
              <w:rPr>
                <w:rFonts w:cs="Arial"/>
              </w:rPr>
            </w:pPr>
            <w:r w:rsidRPr="0065414C">
              <w:rPr>
                <w:rFonts w:cs="Arial"/>
                <w:b/>
              </w:rPr>
              <w:t xml:space="preserve">System Design Guidelines </w:t>
            </w:r>
            <w:r w:rsidRPr="0065414C">
              <w:rPr>
                <w:rFonts w:cs="Arial"/>
              </w:rPr>
              <w:t>to inform the options for design of ABF and block grant funding arrangements:</w:t>
            </w:r>
          </w:p>
          <w:p w14:paraId="46174638" w14:textId="77777777" w:rsidR="00A3232B" w:rsidRDefault="00A3232B" w:rsidP="0057399B">
            <w:pPr>
              <w:pStyle w:val="ListParagraph"/>
              <w:keepLines/>
              <w:numPr>
                <w:ilvl w:val="0"/>
                <w:numId w:val="49"/>
              </w:numPr>
              <w:ind w:right="106"/>
              <w:rPr>
                <w:rFonts w:cs="Arial"/>
              </w:rPr>
            </w:pPr>
            <w:r w:rsidRPr="0065414C">
              <w:rPr>
                <w:rFonts w:cs="Arial"/>
                <w:b/>
                <w:bCs/>
              </w:rPr>
              <w:t>Fostering clinical innovation:</w:t>
            </w:r>
            <w:r w:rsidRPr="0065414C">
              <w:rPr>
                <w:rFonts w:cs="Arial"/>
              </w:rPr>
              <w:t xml:space="preserve"> Pricing of public hospital services should respond in a timely way to introduction of evidence-based, effective new technology and innovations in the models of care that improve patient outcomes.</w:t>
            </w:r>
          </w:p>
          <w:p w14:paraId="05EDA990" w14:textId="77777777" w:rsidR="00A3232B" w:rsidRDefault="00A3232B" w:rsidP="0057399B">
            <w:pPr>
              <w:pStyle w:val="ListParagraph"/>
              <w:keepLines/>
              <w:numPr>
                <w:ilvl w:val="0"/>
                <w:numId w:val="49"/>
              </w:numPr>
              <w:ind w:right="106"/>
            </w:pPr>
            <w:r w:rsidRPr="00EB7EB7">
              <w:rPr>
                <w:b/>
              </w:rPr>
              <w:t>Promoting value</w:t>
            </w:r>
            <w:r w:rsidRPr="00EB7EB7">
              <w:t>:</w:t>
            </w:r>
            <w:r w:rsidRPr="00991937">
              <w:rPr>
                <w:rFonts w:cs="Arial"/>
              </w:rPr>
              <w:t> </w:t>
            </w:r>
            <w:r w:rsidRPr="00991937">
              <w:t>Pricing supports innovative and alternative funding solutions that deliver efficient, high quality, patient</w:t>
            </w:r>
            <w:r w:rsidRPr="00991937">
              <w:noBreakHyphen/>
              <w:t>centred care.</w:t>
            </w:r>
          </w:p>
          <w:p w14:paraId="098EBD47" w14:textId="77777777" w:rsidR="00A3232B" w:rsidRPr="0065414C" w:rsidRDefault="00A3232B" w:rsidP="0057399B">
            <w:pPr>
              <w:pStyle w:val="ListParagraph"/>
              <w:keepLines/>
              <w:numPr>
                <w:ilvl w:val="0"/>
                <w:numId w:val="49"/>
              </w:numPr>
              <w:ind w:right="106"/>
              <w:rPr>
                <w:rFonts w:cs="Arial"/>
              </w:rPr>
            </w:pPr>
            <w:r w:rsidRPr="0065414C">
              <w:rPr>
                <w:rFonts w:cs="Arial"/>
                <w:b/>
              </w:rPr>
              <w:t xml:space="preserve">Promoting </w:t>
            </w:r>
            <w:r w:rsidRPr="0065414C">
              <w:rPr>
                <w:rFonts w:cs="Arial"/>
                <w:b/>
                <w:spacing w:val="2"/>
              </w:rPr>
              <w:t xml:space="preserve">harmonisation: </w:t>
            </w:r>
            <w:r w:rsidRPr="0065414C">
              <w:rPr>
                <w:rFonts w:cs="Arial"/>
              </w:rPr>
              <w:t>Pricing should facilitate best practice provision of appropriate site of care.</w:t>
            </w:r>
          </w:p>
          <w:p w14:paraId="43FFF69A" w14:textId="77777777" w:rsidR="00A3232B" w:rsidRPr="0065414C" w:rsidRDefault="00A3232B" w:rsidP="0057399B">
            <w:pPr>
              <w:pStyle w:val="ListParagraph"/>
              <w:keepLines/>
              <w:numPr>
                <w:ilvl w:val="0"/>
                <w:numId w:val="49"/>
              </w:numPr>
              <w:ind w:right="106"/>
              <w:rPr>
                <w:rFonts w:cs="Arial"/>
              </w:rPr>
            </w:pPr>
            <w:r w:rsidRPr="0065414C">
              <w:rPr>
                <w:rFonts w:cs="Arial"/>
                <w:b/>
                <w:spacing w:val="2"/>
              </w:rPr>
              <w:t xml:space="preserve">Minimising undesirable </w:t>
            </w:r>
            <w:r w:rsidRPr="0065414C">
              <w:rPr>
                <w:rFonts w:cs="Arial"/>
                <w:b/>
              </w:rPr>
              <w:t xml:space="preserve">and </w:t>
            </w:r>
            <w:r w:rsidRPr="0065414C">
              <w:rPr>
                <w:rFonts w:cs="Arial"/>
                <w:b/>
                <w:spacing w:val="2"/>
              </w:rPr>
              <w:t xml:space="preserve">inadvertent </w:t>
            </w:r>
            <w:r w:rsidRPr="0065414C">
              <w:rPr>
                <w:rFonts w:cs="Arial"/>
                <w:b/>
              </w:rPr>
              <w:t xml:space="preserve">consequences: </w:t>
            </w:r>
            <w:r w:rsidRPr="0065414C">
              <w:rPr>
                <w:rFonts w:cs="Arial"/>
              </w:rPr>
              <w:t>Funding design should minimise susceptibility to gaming, inappropriate rewards and perverse incentives.</w:t>
            </w:r>
          </w:p>
          <w:p w14:paraId="4DA4596C" w14:textId="3D01672D" w:rsidR="00A3232B" w:rsidRPr="0065414C" w:rsidRDefault="00D821E9" w:rsidP="0057399B">
            <w:pPr>
              <w:pStyle w:val="ListParagraph"/>
              <w:keepLines/>
              <w:numPr>
                <w:ilvl w:val="0"/>
                <w:numId w:val="49"/>
              </w:numPr>
              <w:ind w:right="106"/>
              <w:rPr>
                <w:rFonts w:cs="Arial"/>
              </w:rPr>
            </w:pPr>
            <w:r>
              <w:rPr>
                <w:rFonts w:cs="Arial"/>
                <w:b/>
              </w:rPr>
              <w:t xml:space="preserve">Using </w:t>
            </w:r>
            <w:r w:rsidR="00A3232B" w:rsidRPr="0065414C">
              <w:rPr>
                <w:rFonts w:cs="Arial"/>
                <w:b/>
              </w:rPr>
              <w:t xml:space="preserve">ABF </w:t>
            </w:r>
            <w:r>
              <w:rPr>
                <w:rFonts w:cs="Arial"/>
                <w:b/>
              </w:rPr>
              <w:t>where practicable and appropriate</w:t>
            </w:r>
            <w:r w:rsidR="00A3232B" w:rsidRPr="0065414C">
              <w:rPr>
                <w:rFonts w:cs="Arial"/>
                <w:b/>
                <w:spacing w:val="2"/>
              </w:rPr>
              <w:t xml:space="preserve">: </w:t>
            </w:r>
            <w:r w:rsidR="00A3232B">
              <w:rPr>
                <w:rFonts w:cs="Arial"/>
              </w:rPr>
              <w:t>ABF should be used for funding public hospital services wherever practicable and compatible with delivering value in both outcomes and cost</w:t>
            </w:r>
            <w:r w:rsidR="00A3232B" w:rsidRPr="0065414C">
              <w:rPr>
                <w:rFonts w:cs="Arial"/>
              </w:rPr>
              <w:t>.</w:t>
            </w:r>
          </w:p>
          <w:p w14:paraId="35075828" w14:textId="77777777" w:rsidR="00A3232B" w:rsidRPr="0065414C" w:rsidRDefault="00A3232B" w:rsidP="0057399B">
            <w:pPr>
              <w:pStyle w:val="ListParagraph"/>
              <w:keepLines/>
              <w:numPr>
                <w:ilvl w:val="0"/>
                <w:numId w:val="49"/>
              </w:numPr>
              <w:ind w:right="106"/>
              <w:rPr>
                <w:rFonts w:cs="Arial"/>
              </w:rPr>
            </w:pPr>
            <w:r w:rsidRPr="0065414C">
              <w:rPr>
                <w:rFonts w:cs="Arial"/>
                <w:b/>
              </w:rPr>
              <w:t>Single unit of measure and price equivalence</w:t>
            </w:r>
            <w:r w:rsidRPr="0065414C">
              <w:rPr>
                <w:rFonts w:cs="Arial"/>
              </w:rPr>
              <w:t>: ABF pricing should support dynamic efficiency and changes to models of care with the ready transferability of funding between different care types and service streams through a single unit of measure and relative weights.</w:t>
            </w:r>
          </w:p>
          <w:p w14:paraId="75CDBACA" w14:textId="3A68B1ED" w:rsidR="00A3232B" w:rsidRPr="00451BDF" w:rsidRDefault="00A3232B" w:rsidP="00406D59">
            <w:pPr>
              <w:pStyle w:val="ListParagraph"/>
              <w:keepLines/>
              <w:numPr>
                <w:ilvl w:val="0"/>
                <w:numId w:val="49"/>
              </w:numPr>
              <w:ind w:right="106"/>
              <w:rPr>
                <w:rFonts w:cs="Arial"/>
                <w:szCs w:val="19"/>
              </w:rPr>
            </w:pPr>
            <w:r w:rsidRPr="0065414C">
              <w:rPr>
                <w:rFonts w:cs="Arial"/>
                <w:b/>
              </w:rPr>
              <w:t>Patient-based</w:t>
            </w:r>
            <w:r w:rsidRPr="0065414C">
              <w:rPr>
                <w:rFonts w:cs="Arial"/>
              </w:rPr>
              <w:t>: </w:t>
            </w:r>
            <w:r>
              <w:rPr>
                <w:rFonts w:cs="Arial"/>
              </w:rPr>
              <w:t xml:space="preserve">Adjustments to the standard price should be based on patient-related rather than provider-related characteristics wherever </w:t>
            </w:r>
            <w:r w:rsidR="009829A3" w:rsidRPr="009829A3">
              <w:rPr>
                <w:rFonts w:cs="Arial"/>
              </w:rPr>
              <w:t>practicable</w:t>
            </w:r>
            <w:r w:rsidRPr="0065414C">
              <w:rPr>
                <w:rFonts w:cs="Arial"/>
              </w:rPr>
              <w:t>.</w:t>
            </w:r>
          </w:p>
          <w:p w14:paraId="7083C36D" w14:textId="77777777" w:rsidR="00A3232B" w:rsidRDefault="00A3232B" w:rsidP="00BF6101">
            <w:pPr>
              <w:pStyle w:val="ListParagraph"/>
              <w:keepLines/>
              <w:numPr>
                <w:ilvl w:val="0"/>
                <w:numId w:val="49"/>
              </w:numPr>
              <w:ind w:right="106"/>
            </w:pPr>
            <w:r w:rsidRPr="00451BDF">
              <w:rPr>
                <w:b/>
              </w:rPr>
              <w:t>Public-private neutrality</w:t>
            </w:r>
            <w:r w:rsidRPr="0065414C">
              <w:t xml:space="preserve">: </w:t>
            </w:r>
            <w:r>
              <w:t>ABF pricing should ensure that payments a local hospital network (LHN) receives for a public patient should be equal to payments made for a LHN service for a private patient.</w:t>
            </w:r>
          </w:p>
        </w:tc>
      </w:tr>
    </w:tbl>
    <w:p w14:paraId="3980A7A5" w14:textId="77777777" w:rsidR="00A3232B" w:rsidRDefault="00A3232B" w:rsidP="00FF4F1F">
      <w:pPr>
        <w:pStyle w:val="BodyText"/>
        <w:rPr>
          <w:rFonts w:cs="Arial"/>
        </w:rPr>
        <w:sectPr w:rsidR="00A3232B" w:rsidSect="00A3232B">
          <w:type w:val="continuous"/>
          <w:pgSz w:w="11910" w:h="16840"/>
          <w:pgMar w:top="1440" w:right="1440" w:bottom="1440" w:left="1440" w:header="720" w:footer="720" w:gutter="0"/>
          <w:cols w:space="340"/>
        </w:sectPr>
      </w:pPr>
    </w:p>
    <w:p w14:paraId="3582EB3D" w14:textId="77777777" w:rsidR="00D32313" w:rsidRPr="0065414C" w:rsidRDefault="00D32313" w:rsidP="005B7291">
      <w:pPr>
        <w:pStyle w:val="SectionNumber"/>
      </w:pPr>
      <w:bookmarkStart w:id="43" w:name="_4_Classifications_used"/>
      <w:bookmarkStart w:id="44" w:name="_Toc49953746"/>
      <w:bookmarkEnd w:id="43"/>
      <w:r w:rsidRPr="0065414C">
        <w:rPr>
          <w:lang w:bidi="ar-SA"/>
        </w:rPr>
        <w:lastRenderedPageBreak/>
        <w:drawing>
          <wp:anchor distT="0" distB="0" distL="114300" distR="114300" simplePos="0" relativeHeight="251656192" behindDoc="1" locked="0" layoutInCell="1" allowOverlap="1" wp14:anchorId="448957E0" wp14:editId="63FD1426">
            <wp:simplePos x="0" y="0"/>
            <wp:positionH relativeFrom="margin">
              <wp:posOffset>-914400</wp:posOffset>
            </wp:positionH>
            <wp:positionV relativeFrom="page">
              <wp:posOffset>954157</wp:posOffset>
            </wp:positionV>
            <wp:extent cx="5462269" cy="3577465"/>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462269" cy="3577465"/>
                    </a:xfrm>
                    <a:prstGeom prst="rect">
                      <a:avLst/>
                    </a:prstGeom>
                    <a:noFill/>
                    <a:ln>
                      <a:noFill/>
                    </a:ln>
                  </pic:spPr>
                </pic:pic>
              </a:graphicData>
            </a:graphic>
          </wp:anchor>
        </w:drawing>
      </w:r>
      <w:r w:rsidRPr="0065414C">
        <w:t>4</w:t>
      </w:r>
      <w:bookmarkEnd w:id="44"/>
    </w:p>
    <w:p w14:paraId="7A87459E" w14:textId="6E36E69A" w:rsidR="00D32313" w:rsidRPr="0065414C" w:rsidRDefault="00950D0E" w:rsidP="00950D0E">
      <w:pPr>
        <w:pStyle w:val="Sectionheader"/>
        <w:ind w:right="3076"/>
        <w:sectPr w:rsidR="00D32313" w:rsidRPr="0065414C" w:rsidSect="008613E1">
          <w:headerReference w:type="default" r:id="rId39"/>
          <w:footerReference w:type="default" r:id="rId40"/>
          <w:pgSz w:w="11910" w:h="16840"/>
          <w:pgMar w:top="3970" w:right="1440" w:bottom="1440" w:left="1440" w:header="0" w:footer="656" w:gutter="0"/>
          <w:cols w:space="720"/>
        </w:sectPr>
      </w:pPr>
      <w:bookmarkStart w:id="45" w:name="_Toc71631306"/>
      <w:r>
        <w:t>Scope of public hospital services</w:t>
      </w:r>
      <w:bookmarkEnd w:id="45"/>
    </w:p>
    <w:p w14:paraId="3286C306" w14:textId="62F5E8E4" w:rsidR="00C415F5" w:rsidRPr="0065414C" w:rsidRDefault="00D32313" w:rsidP="00D32313">
      <w:pPr>
        <w:pStyle w:val="Heading1"/>
        <w:ind w:left="1418" w:hanging="1191"/>
        <w:rPr>
          <w:rFonts w:cs="Arial"/>
        </w:rPr>
      </w:pPr>
      <w:bookmarkStart w:id="46" w:name="_Toc45809593"/>
      <w:bookmarkStart w:id="47" w:name="_Toc49953748"/>
      <w:r w:rsidRPr="0065414C">
        <w:rPr>
          <w:rFonts w:cs="Arial"/>
          <w:noProof/>
          <w:color w:val="FFFFFF" w:themeColor="background1"/>
          <w:lang w:eastAsia="en-AU" w:bidi="ar-SA"/>
        </w:rPr>
        <w:lastRenderedPageBreak/>
        <w:drawing>
          <wp:anchor distT="0" distB="0" distL="114300" distR="114300" simplePos="0" relativeHeight="251636736" behindDoc="1" locked="0" layoutInCell="1" allowOverlap="1" wp14:anchorId="7EFAE598" wp14:editId="7A46F8B8">
            <wp:simplePos x="0" y="0"/>
            <wp:positionH relativeFrom="column">
              <wp:posOffset>-914400</wp:posOffset>
            </wp:positionH>
            <wp:positionV relativeFrom="page">
              <wp:posOffset>652007</wp:posOffset>
            </wp:positionV>
            <wp:extent cx="1685422" cy="946149"/>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685422" cy="946149"/>
                    </a:xfrm>
                    <a:prstGeom prst="rect">
                      <a:avLst/>
                    </a:prstGeom>
                    <a:noFill/>
                    <a:ln>
                      <a:noFill/>
                    </a:ln>
                  </pic:spPr>
                </pic:pic>
              </a:graphicData>
            </a:graphic>
          </wp:anchor>
        </w:drawing>
      </w:r>
      <w:r w:rsidR="002A636F" w:rsidRPr="0065414C">
        <w:rPr>
          <w:rFonts w:cs="Arial"/>
          <w:color w:val="FFFFFF" w:themeColor="background1"/>
        </w:rPr>
        <w:t>4</w:t>
      </w:r>
      <w:r w:rsidR="00940B98" w:rsidRPr="0065414C">
        <w:rPr>
          <w:rFonts w:cs="Arial"/>
        </w:rPr>
        <w:tab/>
      </w:r>
      <w:r w:rsidRPr="0065414C">
        <w:rPr>
          <w:rFonts w:cs="Arial"/>
        </w:rPr>
        <w:tab/>
      </w:r>
      <w:bookmarkEnd w:id="46"/>
      <w:bookmarkEnd w:id="47"/>
      <w:r w:rsidR="00950D0E">
        <w:rPr>
          <w:rFonts w:cs="Arial"/>
        </w:rPr>
        <w:t>Scope of public hospital services</w:t>
      </w:r>
    </w:p>
    <w:p w14:paraId="76F48422" w14:textId="77777777" w:rsidR="00C415F5" w:rsidRPr="0065414C" w:rsidRDefault="00C415F5" w:rsidP="003932A6">
      <w:pPr>
        <w:pStyle w:val="BodyText"/>
        <w:rPr>
          <w:rFonts w:cs="Arial"/>
        </w:rPr>
      </w:pPr>
    </w:p>
    <w:p w14:paraId="1D7E0D15" w14:textId="77777777" w:rsidR="00C415F5" w:rsidRPr="0065414C" w:rsidRDefault="00C415F5">
      <w:pPr>
        <w:rPr>
          <w:rFonts w:cs="Arial"/>
          <w:sz w:val="25"/>
        </w:rPr>
        <w:sectPr w:rsidR="00C415F5" w:rsidRPr="0065414C" w:rsidSect="00104482">
          <w:headerReference w:type="default" r:id="rId42"/>
          <w:pgSz w:w="11910" w:h="16840"/>
          <w:pgMar w:top="1440" w:right="1440" w:bottom="1440" w:left="1440" w:header="0" w:footer="656" w:gutter="0"/>
          <w:cols w:space="720"/>
        </w:sectPr>
      </w:pPr>
    </w:p>
    <w:p w14:paraId="2CB2E34A" w14:textId="5D7E9342" w:rsidR="00950D0E" w:rsidRPr="0065414C" w:rsidRDefault="002457AA" w:rsidP="00950D0E">
      <w:pPr>
        <w:pStyle w:val="BodyText"/>
        <w:rPr>
          <w:rFonts w:cs="Arial"/>
        </w:rPr>
      </w:pPr>
      <w:bookmarkStart w:id="48" w:name="_Toc49953749"/>
      <w:r w:rsidRPr="002457AA">
        <w:rPr>
          <w:rFonts w:cs="Arial"/>
        </w:rPr>
        <w:t xml:space="preserve">In August 2011, Australian governments agreed to be jointly responsible for funding efficient growth in public hospital services. The Independent Hospital Pricing Authority (IHPA) was assigned the task of determining whether a service is </w:t>
      </w:r>
      <w:r w:rsidR="009829A3">
        <w:rPr>
          <w:rFonts w:cs="Arial"/>
        </w:rPr>
        <w:t>determined to be</w:t>
      </w:r>
      <w:r w:rsidR="009829A3" w:rsidRPr="002457AA">
        <w:rPr>
          <w:rFonts w:cs="Arial"/>
        </w:rPr>
        <w:t xml:space="preserve"> </w:t>
      </w:r>
      <w:r w:rsidRPr="002457AA">
        <w:rPr>
          <w:rFonts w:cs="Arial"/>
        </w:rPr>
        <w:t>‘in-scope’ as a public hospital service and therefore eligible for Commonwealth funding under the National Health Reform Agreement (NHRA)</w:t>
      </w:r>
      <w:r w:rsidR="00950D0E" w:rsidRPr="005E4B24">
        <w:rPr>
          <w:rFonts w:cs="Arial"/>
        </w:rPr>
        <w:t>.</w:t>
      </w:r>
    </w:p>
    <w:p w14:paraId="07C89482" w14:textId="06F00069" w:rsidR="003E0D91" w:rsidRPr="0065414C" w:rsidRDefault="003E0D91" w:rsidP="00950D0E">
      <w:pPr>
        <w:pStyle w:val="Heading2"/>
        <w:rPr>
          <w:rFonts w:cs="Arial"/>
        </w:rPr>
      </w:pPr>
      <w:bookmarkStart w:id="49" w:name="_Toc71631307"/>
      <w:r w:rsidRPr="0065414C">
        <w:rPr>
          <w:rFonts w:cs="Arial"/>
        </w:rPr>
        <w:t xml:space="preserve">4.1. </w:t>
      </w:r>
      <w:bookmarkEnd w:id="48"/>
      <w:r w:rsidR="00950D0E">
        <w:rPr>
          <w:rFonts w:cs="Arial"/>
        </w:rPr>
        <w:t>General List of In</w:t>
      </w:r>
      <w:r w:rsidR="00950D0E">
        <w:rPr>
          <w:rFonts w:cs="Arial"/>
        </w:rPr>
        <w:noBreakHyphen/>
        <w:t>Scope Public Hospital Services</w:t>
      </w:r>
      <w:bookmarkEnd w:id="49"/>
    </w:p>
    <w:p w14:paraId="08DDED61" w14:textId="320DDEC2" w:rsidR="002457AA" w:rsidRPr="002457AA" w:rsidRDefault="002457AA" w:rsidP="001B1302">
      <w:pPr>
        <w:pStyle w:val="BodyText"/>
        <w:rPr>
          <w:b/>
          <w:bCs/>
        </w:rPr>
      </w:pPr>
      <w:r w:rsidRPr="002457AA">
        <w:t>Each year, IHPA publishes the General List of In</w:t>
      </w:r>
      <w:r w:rsidR="009829A3">
        <w:noBreakHyphen/>
      </w:r>
      <w:r w:rsidRPr="002457AA">
        <w:t xml:space="preserve">Scope Public Hospital Services (the General List) as part of the </w:t>
      </w:r>
      <w:r w:rsidR="009829A3">
        <w:t>N</w:t>
      </w:r>
      <w:r w:rsidRPr="002457AA">
        <w:t xml:space="preserve">ational </w:t>
      </w:r>
      <w:r w:rsidR="009829A3">
        <w:t>E</w:t>
      </w:r>
      <w:r w:rsidRPr="002457AA">
        <w:t xml:space="preserve">fficient </w:t>
      </w:r>
      <w:r w:rsidR="009829A3">
        <w:t>P</w:t>
      </w:r>
      <w:r w:rsidRPr="002457AA">
        <w:t xml:space="preserve">rice </w:t>
      </w:r>
      <w:r w:rsidR="009829A3">
        <w:t>D</w:t>
      </w:r>
      <w:r w:rsidRPr="002457AA">
        <w:t>etermination. The General List defines public hospital services eligible for Commonwealth funding, except where funding is otherwise agreed between the Commonwealth and a state or territory.</w:t>
      </w:r>
    </w:p>
    <w:p w14:paraId="44E84561" w14:textId="77777777" w:rsidR="002457AA" w:rsidRPr="002457AA" w:rsidRDefault="002457AA" w:rsidP="001B1302">
      <w:pPr>
        <w:pStyle w:val="BodyText"/>
        <w:rPr>
          <w:b/>
          <w:bCs/>
        </w:rPr>
      </w:pPr>
      <w:r w:rsidRPr="002457AA">
        <w:t>This model has been retained by the Addendum to the NHRA 2020–25 (the Addendum). The Addendum notes that IHPA may update the criteria for inclusion on the General List to reflect innovations in clinical pathways (clause A21).</w:t>
      </w:r>
    </w:p>
    <w:p w14:paraId="65CA68BC" w14:textId="15273D06" w:rsidR="00950D0E" w:rsidRPr="0065414C" w:rsidRDefault="002457AA" w:rsidP="001B1302">
      <w:pPr>
        <w:pStyle w:val="BodyText"/>
      </w:pPr>
      <w:r w:rsidRPr="002457AA">
        <w:t>Clause A17 of the Addendum and the IHPA</w:t>
      </w:r>
      <w:r>
        <w:t xml:space="preserve"> </w:t>
      </w:r>
      <w:hyperlink r:id="rId43" w:history="1">
        <w:r w:rsidR="00950D0E" w:rsidRPr="00800ACE">
          <w:rPr>
            <w:rStyle w:val="Hyperlink"/>
            <w:i/>
          </w:rPr>
          <w:t>General List of In-Scope Public Hospital Services Eligibility Policy</w:t>
        </w:r>
      </w:hyperlink>
      <w:r w:rsidR="00950D0E" w:rsidRPr="00321F9C">
        <w:t xml:space="preserve"> (</w:t>
      </w:r>
      <w:r w:rsidRPr="00321F9C">
        <w:t>t</w:t>
      </w:r>
      <w:r w:rsidRPr="002457AA">
        <w:t>he General List Policy) provide that the scope of public hospital services funded on an activity or grant basis that are eligible for a Commonwealth funding contribution will include</w:t>
      </w:r>
      <w:r w:rsidR="00950D0E" w:rsidRPr="00563FB0">
        <w:t>:</w:t>
      </w:r>
    </w:p>
    <w:p w14:paraId="7FA19248" w14:textId="01ACFE78" w:rsidR="002457AA" w:rsidRDefault="00950D0E" w:rsidP="00295921">
      <w:pPr>
        <w:pStyle w:val="ListParagraph"/>
        <w:numPr>
          <w:ilvl w:val="0"/>
          <w:numId w:val="53"/>
        </w:numPr>
      </w:pPr>
      <w:r w:rsidRPr="005E4B24">
        <w:t>all admitted services, including hospital in the home programs</w:t>
      </w:r>
    </w:p>
    <w:p w14:paraId="0D3A0BDB" w14:textId="64AAE602" w:rsidR="002457AA" w:rsidRDefault="00950D0E" w:rsidP="00295921">
      <w:pPr>
        <w:pStyle w:val="ListParagraph"/>
        <w:numPr>
          <w:ilvl w:val="0"/>
          <w:numId w:val="53"/>
        </w:numPr>
      </w:pPr>
      <w:r w:rsidRPr="002457AA">
        <w:t>all emergency department services provided by a recognised emergency department service</w:t>
      </w:r>
    </w:p>
    <w:p w14:paraId="3A8187BE" w14:textId="1DEC0FEA" w:rsidR="00950D0E" w:rsidRPr="002457AA" w:rsidRDefault="00950D0E" w:rsidP="00295921">
      <w:pPr>
        <w:pStyle w:val="ListParagraph"/>
        <w:numPr>
          <w:ilvl w:val="0"/>
          <w:numId w:val="53"/>
        </w:numPr>
      </w:pPr>
      <w:r w:rsidRPr="002457AA">
        <w:t xml:space="preserve">other outpatient, mental health, </w:t>
      </w:r>
      <w:r w:rsidR="00041B5E">
        <w:t>s</w:t>
      </w:r>
      <w:r w:rsidRPr="002457AA">
        <w:t>ubacute services and other services that could reasonably be considered a public hospital service in accordance with clauses A18–A24 of the Addendum.</w:t>
      </w:r>
    </w:p>
    <w:p w14:paraId="223D1F37" w14:textId="77777777" w:rsidR="002457AA" w:rsidRPr="002457AA" w:rsidRDefault="002457AA" w:rsidP="001B1302">
      <w:pPr>
        <w:pStyle w:val="BodyText"/>
      </w:pPr>
      <w:r w:rsidRPr="002457AA">
        <w:t>The General List Policy provides that the listing of in-scope non-admitted services is independent of the service setting in which the service is provided. This means that in-scope services can be provided on an outreach basis (for example, the service can be provided in a hospital, in the community or in a person’s home).</w:t>
      </w:r>
    </w:p>
    <w:p w14:paraId="1DE335A8" w14:textId="592788E0" w:rsidR="002457AA" w:rsidRPr="002457AA" w:rsidRDefault="002457AA" w:rsidP="001B1302">
      <w:pPr>
        <w:pStyle w:val="BodyText"/>
        <w:rPr>
          <w:rFonts w:cs="Arial"/>
        </w:rPr>
      </w:pPr>
      <w:r w:rsidRPr="002457AA">
        <w:rPr>
          <w:rFonts w:cs="Arial"/>
        </w:rPr>
        <w:t>Applications to have a service added to the General List are made as part of the annual process outlined in the General List Policy, where the Pricing Authority determines whether specific services proposed by a state or territory are ‘in</w:t>
      </w:r>
      <w:r w:rsidR="00C94840">
        <w:rPr>
          <w:rFonts w:cs="Arial"/>
        </w:rPr>
        <w:noBreakHyphen/>
      </w:r>
      <w:r w:rsidRPr="002457AA">
        <w:rPr>
          <w:rFonts w:cs="Arial"/>
        </w:rPr>
        <w:t>scope’ and eligible for Commonwealth funding, based on criteria and empirical evidence provided by that state or territory. These criteria are outlined in the General List Policy.</w:t>
      </w:r>
    </w:p>
    <w:p w14:paraId="308E3C1C" w14:textId="77777777" w:rsidR="002457AA" w:rsidRPr="002457AA" w:rsidRDefault="002457AA" w:rsidP="001B1302">
      <w:pPr>
        <w:pStyle w:val="BodyText"/>
        <w:rPr>
          <w:rFonts w:cs="Arial"/>
        </w:rPr>
      </w:pPr>
      <w:r w:rsidRPr="002457AA">
        <w:rPr>
          <w:rFonts w:cs="Arial"/>
        </w:rPr>
        <w:t>Under the Addendum, IHPA is also required to facilitate the exploration and trial of new and innovative approaches to public hospital funding, to improve efficiency and health outcomes.</w:t>
      </w:r>
    </w:p>
    <w:p w14:paraId="788C4448" w14:textId="5CB26C8E" w:rsidR="00AA109F" w:rsidRDefault="002457AA" w:rsidP="001B1302">
      <w:pPr>
        <w:pStyle w:val="BodyText"/>
        <w:rPr>
          <w:rFonts w:cs="Arial"/>
        </w:rPr>
      </w:pPr>
      <w:r w:rsidRPr="002457AA">
        <w:rPr>
          <w:rFonts w:cs="Arial"/>
        </w:rPr>
        <w:t>In May 2022, IHPA updated the General List Policy in consultation with</w:t>
      </w:r>
      <w:r w:rsidR="00306EF5">
        <w:rPr>
          <w:rFonts w:cs="Arial"/>
        </w:rPr>
        <w:t xml:space="preserve"> the</w:t>
      </w:r>
      <w:r w:rsidRPr="002457AA">
        <w:rPr>
          <w:rFonts w:cs="Arial"/>
        </w:rPr>
        <w:t xml:space="preserve"> jurisdictions to refine the eligibility criteria</w:t>
      </w:r>
      <w:r w:rsidR="00D84BE5">
        <w:rPr>
          <w:rFonts w:cs="Arial"/>
        </w:rPr>
        <w:t xml:space="preserve"> that</w:t>
      </w:r>
      <w:r w:rsidRPr="002457AA">
        <w:rPr>
          <w:rFonts w:cs="Arial"/>
        </w:rPr>
        <w:t xml:space="preserve"> IHPA will apply when considering trials of innovative models of care and services, and the attributes of those models of care and services that would be eligible for inclusion on the General List. Further information on IHPA’s investigation of </w:t>
      </w:r>
      <w:r w:rsidR="00C94840">
        <w:rPr>
          <w:rFonts w:cs="Arial"/>
        </w:rPr>
        <w:t xml:space="preserve">innovative </w:t>
      </w:r>
      <w:r w:rsidRPr="002457AA">
        <w:rPr>
          <w:rFonts w:cs="Arial"/>
        </w:rPr>
        <w:t xml:space="preserve">funding models is outlined in Chapter </w:t>
      </w:r>
      <w:r w:rsidR="00AA2F66">
        <w:rPr>
          <w:rFonts w:cs="Arial"/>
        </w:rPr>
        <w:t>8</w:t>
      </w:r>
      <w:r w:rsidR="00AA109F" w:rsidRPr="005E4B24">
        <w:rPr>
          <w:rFonts w:cs="Arial"/>
        </w:rPr>
        <w:t>.</w:t>
      </w:r>
    </w:p>
    <w:p w14:paraId="5F8371E5" w14:textId="30259A7E" w:rsidR="00AA109F" w:rsidRDefault="00AA109F" w:rsidP="001B1302">
      <w:pPr>
        <w:pStyle w:val="BodyText"/>
        <w:rPr>
          <w:rFonts w:cs="Arial"/>
        </w:rPr>
      </w:pPr>
    </w:p>
    <w:p w14:paraId="2DA491D1" w14:textId="1D7AC1B0" w:rsidR="009829A3" w:rsidRDefault="009829A3" w:rsidP="001B1302">
      <w:pPr>
        <w:pStyle w:val="BodyText"/>
        <w:rPr>
          <w:rFonts w:cs="Arial"/>
        </w:rPr>
      </w:pPr>
    </w:p>
    <w:p w14:paraId="096550B6" w14:textId="0ED60C72" w:rsidR="009829A3" w:rsidRDefault="009829A3" w:rsidP="001B1302">
      <w:pPr>
        <w:pStyle w:val="BodyText"/>
        <w:rPr>
          <w:rFonts w:cs="Arial"/>
        </w:rPr>
      </w:pPr>
    </w:p>
    <w:p w14:paraId="44A818FA" w14:textId="7FD3050F" w:rsidR="009829A3" w:rsidRDefault="009829A3" w:rsidP="001B1302">
      <w:pPr>
        <w:pStyle w:val="BodyText"/>
        <w:rPr>
          <w:rFonts w:cs="Arial"/>
        </w:rPr>
      </w:pPr>
    </w:p>
    <w:p w14:paraId="5D761346" w14:textId="15CE43F7" w:rsidR="009829A3" w:rsidRDefault="009829A3" w:rsidP="001B1302">
      <w:pPr>
        <w:pStyle w:val="BodyText"/>
        <w:rPr>
          <w:rFonts w:cs="Arial"/>
        </w:rPr>
      </w:pPr>
    </w:p>
    <w:p w14:paraId="251224E9" w14:textId="441ED1BD" w:rsidR="009829A3" w:rsidRDefault="009829A3" w:rsidP="001B1302">
      <w:pPr>
        <w:pStyle w:val="BodyText"/>
        <w:rPr>
          <w:rFonts w:cs="Arial"/>
        </w:rPr>
      </w:pPr>
    </w:p>
    <w:p w14:paraId="6D612A5B" w14:textId="77777777" w:rsidR="009829A3" w:rsidRDefault="009829A3" w:rsidP="001B1302">
      <w:pPr>
        <w:pStyle w:val="BodyText"/>
        <w:rPr>
          <w:rFonts w:cs="Arial"/>
        </w:rPr>
      </w:pPr>
    </w:p>
    <w:p w14:paraId="76D43779" w14:textId="3FEE26C4" w:rsidR="00AA109F" w:rsidRDefault="00AA109F" w:rsidP="00AA109F">
      <w:pPr>
        <w:pStyle w:val="BodyText"/>
        <w:rPr>
          <w:rFonts w:cs="Arial"/>
        </w:rPr>
      </w:pPr>
    </w:p>
    <w:p w14:paraId="2E51F5CF" w14:textId="77777777" w:rsidR="00AA109F" w:rsidRDefault="00AA109F" w:rsidP="00AA109F">
      <w:pPr>
        <w:pStyle w:val="BodyText"/>
        <w:rPr>
          <w:rFonts w:cs="Arial"/>
        </w:rPr>
      </w:pPr>
    </w:p>
    <w:p w14:paraId="6DA66C7A" w14:textId="121A2B22" w:rsidR="003E0D91" w:rsidRPr="0065414C" w:rsidRDefault="003E0D91" w:rsidP="00977E6C">
      <w:pPr>
        <w:pStyle w:val="BodyText"/>
        <w:rPr>
          <w:rFonts w:cs="Arial"/>
        </w:rPr>
      </w:pPr>
    </w:p>
    <w:p w14:paraId="0103411B" w14:textId="77777777" w:rsidR="00977E6C" w:rsidRPr="0065414C" w:rsidRDefault="00977E6C" w:rsidP="00977E6C">
      <w:pPr>
        <w:pStyle w:val="BodyText"/>
        <w:rPr>
          <w:rFonts w:cs="Arial"/>
        </w:rPr>
        <w:sectPr w:rsidR="00977E6C" w:rsidRPr="0065414C" w:rsidSect="00971899">
          <w:type w:val="continuous"/>
          <w:pgSz w:w="11910" w:h="16840"/>
          <w:pgMar w:top="1440" w:right="1440" w:bottom="1440" w:left="1440" w:header="720" w:footer="720" w:gutter="0"/>
          <w:cols w:num="2" w:space="340"/>
        </w:sectPr>
      </w:pPr>
    </w:p>
    <w:p w14:paraId="1BE427F0" w14:textId="77777777" w:rsidR="001031CF" w:rsidRPr="0065414C" w:rsidRDefault="001031CF" w:rsidP="001031CF">
      <w:pPr>
        <w:rPr>
          <w:rFonts w:cs="Arial"/>
          <w:sz w:val="21"/>
        </w:rPr>
        <w:sectPr w:rsidR="001031CF" w:rsidRPr="0065414C" w:rsidSect="001031CF">
          <w:headerReference w:type="default" r:id="rId44"/>
          <w:type w:val="continuous"/>
          <w:pgSz w:w="11910" w:h="16840"/>
          <w:pgMar w:top="1440" w:right="1440" w:bottom="1440" w:left="1440" w:header="0" w:footer="656" w:gutter="0"/>
          <w:cols w:space="720"/>
        </w:sectPr>
      </w:pPr>
      <w:bookmarkStart w:id="50" w:name="_bookmark6"/>
      <w:bookmarkEnd w:id="50"/>
    </w:p>
    <w:p w14:paraId="1ADCEDF1" w14:textId="77777777" w:rsidR="00D32313" w:rsidRPr="0065414C" w:rsidRDefault="00D32313" w:rsidP="005B7291">
      <w:pPr>
        <w:pStyle w:val="SectionNumber"/>
      </w:pPr>
      <w:bookmarkStart w:id="51" w:name="_5_Setting_the"/>
      <w:bookmarkStart w:id="52" w:name="_Toc49953750"/>
      <w:bookmarkEnd w:id="51"/>
      <w:r w:rsidRPr="0065414C">
        <w:rPr>
          <w:lang w:bidi="ar-SA"/>
        </w:rPr>
        <w:lastRenderedPageBreak/>
        <w:drawing>
          <wp:anchor distT="0" distB="0" distL="114300" distR="114300" simplePos="0" relativeHeight="251626496" behindDoc="1" locked="0" layoutInCell="1" allowOverlap="1" wp14:anchorId="32DC13CB" wp14:editId="3FF0343A">
            <wp:simplePos x="0" y="0"/>
            <wp:positionH relativeFrom="margin">
              <wp:posOffset>-914399</wp:posOffset>
            </wp:positionH>
            <wp:positionV relativeFrom="page">
              <wp:posOffset>954157</wp:posOffset>
            </wp:positionV>
            <wp:extent cx="5462267" cy="3577465"/>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462267" cy="3577465"/>
                    </a:xfrm>
                    <a:prstGeom prst="rect">
                      <a:avLst/>
                    </a:prstGeom>
                    <a:noFill/>
                    <a:ln>
                      <a:noFill/>
                    </a:ln>
                  </pic:spPr>
                </pic:pic>
              </a:graphicData>
            </a:graphic>
          </wp:anchor>
        </w:drawing>
      </w:r>
      <w:r w:rsidRPr="0065414C">
        <w:t>5</w:t>
      </w:r>
      <w:bookmarkEnd w:id="52"/>
    </w:p>
    <w:p w14:paraId="28A10288" w14:textId="3A1E8A0F" w:rsidR="00D32313" w:rsidRPr="0065414C" w:rsidRDefault="00110A8B" w:rsidP="00110A8B">
      <w:pPr>
        <w:pStyle w:val="Sectionheader"/>
        <w:ind w:right="2509"/>
        <w:sectPr w:rsidR="00D32313" w:rsidRPr="0065414C" w:rsidSect="008613E1">
          <w:headerReference w:type="default" r:id="rId46"/>
          <w:footerReference w:type="default" r:id="rId47"/>
          <w:pgSz w:w="11910" w:h="16840"/>
          <w:pgMar w:top="3970" w:right="1440" w:bottom="1440" w:left="1440" w:header="0" w:footer="656" w:gutter="0"/>
          <w:cols w:space="720"/>
        </w:sectPr>
      </w:pPr>
      <w:bookmarkStart w:id="53" w:name="_Toc71631308"/>
      <w:r>
        <w:t>Classifications used to describe and price public hospital services</w:t>
      </w:r>
      <w:bookmarkEnd w:id="53"/>
    </w:p>
    <w:p w14:paraId="43EAD5ED" w14:textId="6FECC1F9" w:rsidR="00C415F5" w:rsidRPr="0065414C" w:rsidRDefault="00592035" w:rsidP="005C3B62">
      <w:pPr>
        <w:pStyle w:val="Heading1"/>
        <w:ind w:left="1418" w:hanging="1191"/>
        <w:rPr>
          <w:rFonts w:cs="Arial"/>
        </w:rPr>
        <w:sectPr w:rsidR="00C415F5" w:rsidRPr="0065414C" w:rsidSect="00A0212B">
          <w:headerReference w:type="default" r:id="rId48"/>
          <w:pgSz w:w="11910" w:h="16840"/>
          <w:pgMar w:top="1440" w:right="1440" w:bottom="1440" w:left="1440" w:header="0" w:footer="656" w:gutter="0"/>
          <w:cols w:space="720"/>
        </w:sectPr>
      </w:pPr>
      <w:bookmarkStart w:id="54" w:name="_Toc45809596"/>
      <w:bookmarkStart w:id="55" w:name="_Toc49953752"/>
      <w:r w:rsidRPr="0065414C">
        <w:rPr>
          <w:rFonts w:cs="Arial"/>
          <w:noProof/>
          <w:color w:val="FFFFFF" w:themeColor="background1"/>
          <w:lang w:eastAsia="en-AU" w:bidi="ar-SA"/>
        </w:rPr>
        <w:lastRenderedPageBreak/>
        <w:drawing>
          <wp:anchor distT="0" distB="0" distL="114300" distR="114300" simplePos="0" relativeHeight="251651072" behindDoc="1" locked="0" layoutInCell="1" allowOverlap="1" wp14:anchorId="7D107AF8" wp14:editId="7C4A7D7E">
            <wp:simplePos x="0" y="0"/>
            <wp:positionH relativeFrom="column">
              <wp:posOffset>-914400</wp:posOffset>
            </wp:positionH>
            <wp:positionV relativeFrom="page">
              <wp:posOffset>651179</wp:posOffset>
            </wp:positionV>
            <wp:extent cx="1685422" cy="946148"/>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685422" cy="946148"/>
                    </a:xfrm>
                    <a:prstGeom prst="rect">
                      <a:avLst/>
                    </a:prstGeom>
                    <a:noFill/>
                    <a:ln>
                      <a:noFill/>
                    </a:ln>
                  </pic:spPr>
                </pic:pic>
              </a:graphicData>
            </a:graphic>
          </wp:anchor>
        </w:drawing>
      </w:r>
      <w:r w:rsidR="00A75D61" w:rsidRPr="0065414C">
        <w:rPr>
          <w:rFonts w:cs="Arial"/>
          <w:color w:val="FFFFFF" w:themeColor="background1"/>
        </w:rPr>
        <w:t>5</w:t>
      </w:r>
      <w:r w:rsidR="00A75D61" w:rsidRPr="0065414C">
        <w:rPr>
          <w:rFonts w:cs="Arial"/>
        </w:rPr>
        <w:tab/>
      </w:r>
      <w:r w:rsidRPr="0065414C">
        <w:rPr>
          <w:rFonts w:cs="Arial"/>
        </w:rPr>
        <w:tab/>
      </w:r>
      <w:bookmarkEnd w:id="54"/>
      <w:bookmarkEnd w:id="55"/>
      <w:r w:rsidR="00110A8B">
        <w:rPr>
          <w:rFonts w:cs="Arial"/>
        </w:rPr>
        <w:t>Classifications used to describe and price public hospital services</w:t>
      </w:r>
    </w:p>
    <w:p w14:paraId="09C64C24" w14:textId="77777777" w:rsidR="002457AA" w:rsidRPr="002457AA" w:rsidRDefault="002457AA" w:rsidP="002457AA">
      <w:pPr>
        <w:pStyle w:val="BodyText"/>
        <w:rPr>
          <w:rFonts w:cs="Arial"/>
        </w:rPr>
      </w:pPr>
      <w:r w:rsidRPr="002457AA">
        <w:rPr>
          <w:rFonts w:cs="Arial"/>
        </w:rPr>
        <w:t>Classifications aim to facilitate a nationally consistent method of classifying patients, their treatments and associated costs in order to provide better management and funding of high quality and efficient health care services.</w:t>
      </w:r>
    </w:p>
    <w:p w14:paraId="1763C929" w14:textId="77777777" w:rsidR="002457AA" w:rsidRPr="002457AA" w:rsidRDefault="002457AA" w:rsidP="002457AA">
      <w:pPr>
        <w:pStyle w:val="BodyText"/>
        <w:rPr>
          <w:rFonts w:cs="Arial"/>
        </w:rPr>
      </w:pPr>
      <w:r w:rsidRPr="002457AA">
        <w:rPr>
          <w:rFonts w:cs="Arial"/>
        </w:rPr>
        <w:t>Effective classifications ensure that hospital data is grouped into appropriate classes, which contributes to the determination of a national efficient price (NEP) for public hospital services and allows Australian governments to provide funding to public hospitals based on the activity based funding (ABF) mechanism.</w:t>
      </w:r>
    </w:p>
    <w:p w14:paraId="49882388" w14:textId="6A28F9B1" w:rsidR="001522B1" w:rsidRPr="0065414C" w:rsidRDefault="002457AA" w:rsidP="002457AA">
      <w:pPr>
        <w:pStyle w:val="BodyText"/>
        <w:rPr>
          <w:rFonts w:cs="Arial"/>
        </w:rPr>
      </w:pPr>
      <w:r w:rsidRPr="002457AA">
        <w:rPr>
          <w:rFonts w:cs="Arial"/>
        </w:rPr>
        <w:t>The Independent Hospital Pricing Authority (IHPA) is responsible for reviewing and updating existing classifications, as well as introducing new classifications. There are currently six patient service categories in Australia which have classifications in use or in development</w:t>
      </w:r>
      <w:r w:rsidR="001522B1" w:rsidRPr="00305291">
        <w:rPr>
          <w:rFonts w:cs="Arial"/>
        </w:rPr>
        <w:t>:</w:t>
      </w:r>
    </w:p>
    <w:p w14:paraId="06C7FED6" w14:textId="30AC90E9" w:rsidR="001522B1" w:rsidRPr="001B1302" w:rsidRDefault="002457AA" w:rsidP="00295921">
      <w:pPr>
        <w:pStyle w:val="ListParagraph"/>
        <w:numPr>
          <w:ilvl w:val="0"/>
          <w:numId w:val="54"/>
        </w:numPr>
      </w:pPr>
      <w:r w:rsidRPr="001B1302">
        <w:t>a</w:t>
      </w:r>
      <w:r w:rsidR="001522B1" w:rsidRPr="001B1302">
        <w:t>dmitted acute care</w:t>
      </w:r>
    </w:p>
    <w:p w14:paraId="418816D5" w14:textId="1CB874C1" w:rsidR="001522B1" w:rsidRPr="001B1302" w:rsidRDefault="002457AA" w:rsidP="00295921">
      <w:pPr>
        <w:pStyle w:val="ListParagraph"/>
        <w:numPr>
          <w:ilvl w:val="0"/>
          <w:numId w:val="54"/>
        </w:numPr>
      </w:pPr>
      <w:r w:rsidRPr="001B1302">
        <w:t>s</w:t>
      </w:r>
      <w:r w:rsidR="001522B1" w:rsidRPr="001B1302">
        <w:t>ubacute and non-acute care</w:t>
      </w:r>
    </w:p>
    <w:p w14:paraId="1CE0C0F9" w14:textId="6CC0B01F" w:rsidR="001522B1" w:rsidRPr="001B1302" w:rsidRDefault="002457AA" w:rsidP="00295921">
      <w:pPr>
        <w:pStyle w:val="ListParagraph"/>
        <w:numPr>
          <w:ilvl w:val="0"/>
          <w:numId w:val="54"/>
        </w:numPr>
      </w:pPr>
      <w:r w:rsidRPr="001B1302">
        <w:t>e</w:t>
      </w:r>
      <w:r w:rsidR="001522B1" w:rsidRPr="001B1302">
        <w:t>mergency care</w:t>
      </w:r>
    </w:p>
    <w:p w14:paraId="7557D0E4" w14:textId="0131EB28" w:rsidR="001522B1" w:rsidRPr="001B1302" w:rsidRDefault="002457AA" w:rsidP="00295921">
      <w:pPr>
        <w:pStyle w:val="ListParagraph"/>
        <w:numPr>
          <w:ilvl w:val="0"/>
          <w:numId w:val="54"/>
        </w:numPr>
      </w:pPr>
      <w:r w:rsidRPr="001B1302">
        <w:t>n</w:t>
      </w:r>
      <w:r w:rsidR="001522B1" w:rsidRPr="001B1302">
        <w:t>on-admitted care</w:t>
      </w:r>
    </w:p>
    <w:p w14:paraId="44F5C31F" w14:textId="593051AA" w:rsidR="001522B1" w:rsidRPr="001B1302" w:rsidRDefault="002457AA" w:rsidP="00295921">
      <w:pPr>
        <w:pStyle w:val="ListParagraph"/>
        <w:numPr>
          <w:ilvl w:val="0"/>
          <w:numId w:val="54"/>
        </w:numPr>
      </w:pPr>
      <w:r w:rsidRPr="001B1302">
        <w:t>m</w:t>
      </w:r>
      <w:r w:rsidR="001522B1" w:rsidRPr="001B1302">
        <w:t>ental health care</w:t>
      </w:r>
    </w:p>
    <w:p w14:paraId="234B65B0" w14:textId="4573165F" w:rsidR="001522B1" w:rsidRPr="001B1302" w:rsidRDefault="002457AA" w:rsidP="00295921">
      <w:pPr>
        <w:pStyle w:val="ListParagraph"/>
        <w:numPr>
          <w:ilvl w:val="0"/>
          <w:numId w:val="54"/>
        </w:numPr>
      </w:pPr>
      <w:r w:rsidRPr="001B1302">
        <w:t>t</w:t>
      </w:r>
      <w:r w:rsidR="001522B1" w:rsidRPr="001B1302">
        <w:t>eaching and training.</w:t>
      </w:r>
    </w:p>
    <w:p w14:paraId="6B2E1EC3" w14:textId="56CE2FB8" w:rsidR="002457AA" w:rsidRDefault="002457AA" w:rsidP="002457AA">
      <w:pPr>
        <w:pStyle w:val="BodyText"/>
        <w:rPr>
          <w:rFonts w:cs="Arial"/>
        </w:rPr>
      </w:pPr>
      <w:r w:rsidRPr="002457AA">
        <w:rPr>
          <w:rFonts w:cs="Arial"/>
        </w:rPr>
        <w:t xml:space="preserve">In the development of the </w:t>
      </w:r>
      <w:r w:rsidRPr="002457AA">
        <w:rPr>
          <w:rFonts w:cs="Arial"/>
          <w:i/>
          <w:iCs/>
        </w:rPr>
        <w:t>Pricing Framework for Australian Public Hospital Services 2022–23</w:t>
      </w:r>
      <w:r w:rsidRPr="002457AA">
        <w:rPr>
          <w:rFonts w:cs="Arial"/>
        </w:rPr>
        <w:t>, IHPA sought feedback on the feasibility of implementing standard development cycles for all patient service categories, in line with the three</w:t>
      </w:r>
      <w:r w:rsidR="00306EF5">
        <w:rPr>
          <w:rFonts w:cs="Arial"/>
        </w:rPr>
        <w:noBreakHyphen/>
      </w:r>
      <w:r w:rsidRPr="002457AA">
        <w:rPr>
          <w:rFonts w:cs="Arial"/>
        </w:rPr>
        <w:t>year development cycle for the admitted acute care classifications. Stakeholders were largely supportive of this proposal and IHPA is progress</w:t>
      </w:r>
      <w:r w:rsidR="00AE484F">
        <w:rPr>
          <w:rFonts w:cs="Arial"/>
        </w:rPr>
        <w:t>ing</w:t>
      </w:r>
      <w:r w:rsidRPr="002457AA">
        <w:rPr>
          <w:rFonts w:cs="Arial"/>
        </w:rPr>
        <w:t xml:space="preserve"> this program of work.</w:t>
      </w:r>
    </w:p>
    <w:p w14:paraId="1E88DA38" w14:textId="45E107F7" w:rsidR="001522B1" w:rsidRPr="0065414C" w:rsidRDefault="001522B1" w:rsidP="001522B1">
      <w:pPr>
        <w:pStyle w:val="Heading2"/>
        <w:rPr>
          <w:rFonts w:cs="Arial"/>
        </w:rPr>
      </w:pPr>
      <w:bookmarkStart w:id="56" w:name="_Toc71631309"/>
      <w:r>
        <w:rPr>
          <w:rFonts w:cs="Arial"/>
        </w:rPr>
        <w:t>5</w:t>
      </w:r>
      <w:r w:rsidRPr="0065414C">
        <w:rPr>
          <w:rFonts w:cs="Arial"/>
        </w:rPr>
        <w:t>.1. Admitted acute care</w:t>
      </w:r>
      <w:bookmarkEnd w:id="56"/>
    </w:p>
    <w:p w14:paraId="5A8960F8" w14:textId="0D2EAC16" w:rsidR="00DD4912" w:rsidRDefault="002457AA" w:rsidP="001522B1">
      <w:pPr>
        <w:pStyle w:val="BodyText"/>
        <w:rPr>
          <w:rFonts w:cs="Arial"/>
        </w:rPr>
      </w:pPr>
      <w:r w:rsidRPr="002457AA">
        <w:rPr>
          <w:rFonts w:cs="Arial"/>
        </w:rPr>
        <w:t>The Australian Refined Diagnosis Related Group (AR-DRG) classification is used for admitted acute episodes of care. AR-DRGs are underpinned by</w:t>
      </w:r>
      <w:r w:rsidR="00C94840">
        <w:rPr>
          <w:rFonts w:cs="Arial"/>
        </w:rPr>
        <w:t xml:space="preserve"> a set of</w:t>
      </w:r>
      <w:r w:rsidRPr="002457AA">
        <w:rPr>
          <w:rFonts w:cs="Arial"/>
        </w:rPr>
        <w:t xml:space="preserve"> classifications and </w:t>
      </w:r>
      <w:r w:rsidRPr="002457AA">
        <w:rPr>
          <w:rFonts w:cs="Arial"/>
        </w:rPr>
        <w:t>standards used</w:t>
      </w:r>
      <w:r w:rsidR="00EB52ED">
        <w:rPr>
          <w:rFonts w:cs="Arial"/>
        </w:rPr>
        <w:t xml:space="preserve"> to collect activity data</w:t>
      </w:r>
      <w:r w:rsidRPr="002457AA">
        <w:rPr>
          <w:rFonts w:cs="Arial"/>
        </w:rPr>
        <w:t xml:space="preserve"> for admitted care</w:t>
      </w:r>
      <w:r w:rsidR="00CD25A0">
        <w:rPr>
          <w:rFonts w:cs="Arial"/>
        </w:rPr>
        <w:t>, which include</w:t>
      </w:r>
      <w:r w:rsidR="00321F9C">
        <w:rPr>
          <w:rFonts w:cs="Arial"/>
        </w:rPr>
        <w:t>s</w:t>
      </w:r>
      <w:r w:rsidR="00CD25A0">
        <w:rPr>
          <w:rFonts w:cs="Arial"/>
        </w:rPr>
        <w:t>:</w:t>
      </w:r>
    </w:p>
    <w:p w14:paraId="1527300F" w14:textId="39C74292" w:rsidR="002457AA" w:rsidRPr="002457AA" w:rsidRDefault="002457AA" w:rsidP="00295921">
      <w:pPr>
        <w:pStyle w:val="ListParagraph"/>
        <w:numPr>
          <w:ilvl w:val="0"/>
          <w:numId w:val="55"/>
        </w:numPr>
      </w:pPr>
      <w:r w:rsidRPr="002457AA">
        <w:t xml:space="preserve">International Statistical Classification of Diseases and Related Health Problems, Tenth Revision, Australian Modification (ICD-10-AM) </w:t>
      </w:r>
    </w:p>
    <w:p w14:paraId="1B6B79A1" w14:textId="2E0C4D02" w:rsidR="002457AA" w:rsidRPr="002457AA" w:rsidRDefault="002457AA" w:rsidP="00295921">
      <w:pPr>
        <w:pStyle w:val="ListParagraph"/>
        <w:numPr>
          <w:ilvl w:val="0"/>
          <w:numId w:val="55"/>
        </w:numPr>
      </w:pPr>
      <w:r w:rsidRPr="002457AA">
        <w:t xml:space="preserve">Australian Classification of Health Interventions (ACHI) </w:t>
      </w:r>
    </w:p>
    <w:p w14:paraId="4B85A9C1" w14:textId="589F328E" w:rsidR="002457AA" w:rsidRDefault="002457AA" w:rsidP="00295921">
      <w:pPr>
        <w:pStyle w:val="ListParagraph"/>
        <w:numPr>
          <w:ilvl w:val="0"/>
          <w:numId w:val="55"/>
        </w:numPr>
      </w:pPr>
      <w:r w:rsidRPr="002457AA">
        <w:t>Australian Coding Standards (ACS).</w:t>
      </w:r>
    </w:p>
    <w:p w14:paraId="009FA396" w14:textId="77777777" w:rsidR="00295921" w:rsidRDefault="00295921" w:rsidP="00753AA3">
      <w:pPr>
        <w:pStyle w:val="BodyText"/>
        <w:rPr>
          <w:rFonts w:cs="Arial"/>
        </w:rPr>
      </w:pPr>
      <w:r>
        <w:rPr>
          <w:rFonts w:cs="Arial"/>
        </w:rPr>
        <w:t xml:space="preserve">These are </w:t>
      </w:r>
      <w:r w:rsidRPr="002457AA">
        <w:t>collectively known as ICD</w:t>
      </w:r>
      <w:r>
        <w:noBreakHyphen/>
      </w:r>
      <w:r w:rsidRPr="002457AA">
        <w:t>10</w:t>
      </w:r>
      <w:r>
        <w:noBreakHyphen/>
      </w:r>
      <w:r w:rsidRPr="002457AA">
        <w:t>AM/ACHI/ACS</w:t>
      </w:r>
      <w:r>
        <w:rPr>
          <w:rFonts w:cs="Arial"/>
        </w:rPr>
        <w:t>.</w:t>
      </w:r>
    </w:p>
    <w:p w14:paraId="48884859" w14:textId="1F68555D" w:rsidR="00753AA3" w:rsidRDefault="002457AA" w:rsidP="00753AA3">
      <w:pPr>
        <w:pStyle w:val="BodyText"/>
      </w:pPr>
      <w:r w:rsidRPr="002457AA">
        <w:rPr>
          <w:rFonts w:cs="Arial"/>
        </w:rPr>
        <w:t xml:space="preserve">The AR-DRG and ICD-10-AM/ACHI/ACS classification systems </w:t>
      </w:r>
      <w:r w:rsidR="00753AA3">
        <w:rPr>
          <w:rFonts w:cs="Arial"/>
        </w:rPr>
        <w:t>have a</w:t>
      </w:r>
      <w:r w:rsidRPr="002457AA">
        <w:rPr>
          <w:rFonts w:cs="Arial"/>
        </w:rPr>
        <w:t xml:space="preserve"> three-year development cycle, to balance currency against the need for stability and</w:t>
      </w:r>
      <w:r w:rsidR="00EB52ED">
        <w:rPr>
          <w:rFonts w:cs="Arial"/>
        </w:rPr>
        <w:t xml:space="preserve"> to</w:t>
      </w:r>
      <w:r w:rsidRPr="002457AA">
        <w:rPr>
          <w:rFonts w:cs="Arial"/>
        </w:rPr>
        <w:t xml:space="preserve"> reduce the burden of implementation for stakeholders. These classifications</w:t>
      </w:r>
      <w:r w:rsidR="00753AA3">
        <w:rPr>
          <w:rFonts w:cs="Arial"/>
        </w:rPr>
        <w:t xml:space="preserve"> have been developed in accordance with the </w:t>
      </w:r>
      <w:hyperlink r:id="rId50" w:history="1">
        <w:r w:rsidR="00753AA3" w:rsidRPr="00545A23">
          <w:rPr>
            <w:rStyle w:val="Hyperlink"/>
            <w:rFonts w:cstheme="minorHAnsi"/>
            <w:i/>
          </w:rPr>
          <w:t xml:space="preserve">Governance </w:t>
        </w:r>
        <w:r w:rsidR="00753AA3">
          <w:rPr>
            <w:rStyle w:val="Hyperlink"/>
            <w:rFonts w:cstheme="minorHAnsi"/>
            <w:i/>
          </w:rPr>
          <w:t>F</w:t>
        </w:r>
        <w:r w:rsidR="00753AA3" w:rsidRPr="00545A23">
          <w:rPr>
            <w:rStyle w:val="Hyperlink"/>
            <w:rFonts w:cstheme="minorHAnsi"/>
            <w:i/>
          </w:rPr>
          <w:t xml:space="preserve">ramework for the </w:t>
        </w:r>
        <w:r w:rsidR="00753AA3">
          <w:rPr>
            <w:rStyle w:val="Hyperlink"/>
            <w:rFonts w:cstheme="minorHAnsi"/>
            <w:i/>
          </w:rPr>
          <w:t>D</w:t>
        </w:r>
        <w:r w:rsidR="00753AA3" w:rsidRPr="00545A23">
          <w:rPr>
            <w:rStyle w:val="Hyperlink"/>
            <w:rFonts w:cstheme="minorHAnsi"/>
            <w:i/>
          </w:rPr>
          <w:t xml:space="preserve">evelopment of the </w:t>
        </w:r>
        <w:r w:rsidR="00753AA3">
          <w:rPr>
            <w:rStyle w:val="Hyperlink"/>
            <w:rFonts w:cstheme="minorHAnsi"/>
            <w:i/>
          </w:rPr>
          <w:t>A</w:t>
        </w:r>
        <w:r w:rsidR="00753AA3" w:rsidRPr="00545A23">
          <w:rPr>
            <w:rStyle w:val="Hyperlink"/>
            <w:rFonts w:cstheme="minorHAnsi"/>
            <w:i/>
          </w:rPr>
          <w:t xml:space="preserve">dmitted </w:t>
        </w:r>
        <w:r w:rsidR="00753AA3">
          <w:rPr>
            <w:rStyle w:val="Hyperlink"/>
            <w:rFonts w:cstheme="minorHAnsi"/>
            <w:i/>
          </w:rPr>
          <w:t>C</w:t>
        </w:r>
        <w:r w:rsidR="00753AA3" w:rsidRPr="00545A23">
          <w:rPr>
            <w:rStyle w:val="Hyperlink"/>
            <w:rFonts w:cstheme="minorHAnsi"/>
            <w:i/>
          </w:rPr>
          <w:t xml:space="preserve">are </w:t>
        </w:r>
        <w:r w:rsidR="00753AA3">
          <w:rPr>
            <w:rStyle w:val="Hyperlink"/>
            <w:rFonts w:cstheme="minorHAnsi"/>
            <w:i/>
          </w:rPr>
          <w:t>C</w:t>
        </w:r>
        <w:r w:rsidR="00753AA3" w:rsidRPr="00545A23">
          <w:rPr>
            <w:rStyle w:val="Hyperlink"/>
            <w:rFonts w:cstheme="minorHAnsi"/>
            <w:i/>
          </w:rPr>
          <w:t>lassifications</w:t>
        </w:r>
      </w:hyperlink>
      <w:r w:rsidR="00753AA3">
        <w:t xml:space="preserve"> (</w:t>
      </w:r>
      <w:r w:rsidR="002E03A2">
        <w:t xml:space="preserve">the </w:t>
      </w:r>
      <w:r w:rsidR="00753AA3">
        <w:t>Governance Framework) with relevant input from clinicians and other health sector stakeholders represented on IHPA’s advisory committees.</w:t>
      </w:r>
    </w:p>
    <w:p w14:paraId="53413960" w14:textId="77777777" w:rsidR="006A2064" w:rsidRDefault="006A2064" w:rsidP="006A2064">
      <w:pPr>
        <w:pStyle w:val="BodyText"/>
        <w:rPr>
          <w:rFonts w:cs="Arial"/>
        </w:rPr>
      </w:pPr>
      <w:r w:rsidRPr="002457AA">
        <w:rPr>
          <w:rFonts w:cs="Arial"/>
        </w:rPr>
        <w:t>For the NEP Determination 2022–23 (NEP22), IHPA used AR-DRG Version 10.0 and ICD</w:t>
      </w:r>
      <w:r>
        <w:rPr>
          <w:rFonts w:cs="Arial"/>
        </w:rPr>
        <w:noBreakHyphen/>
      </w:r>
      <w:r w:rsidRPr="002457AA">
        <w:rPr>
          <w:rFonts w:cs="Arial"/>
        </w:rPr>
        <w:t>10</w:t>
      </w:r>
      <w:r>
        <w:rPr>
          <w:rFonts w:cs="Arial"/>
        </w:rPr>
        <w:noBreakHyphen/>
      </w:r>
      <w:r w:rsidRPr="002457AA">
        <w:rPr>
          <w:rFonts w:cs="Arial"/>
        </w:rPr>
        <w:t xml:space="preserve">AM/ACHI/ACS Twelfth Edition to price admitted acute patient services. </w:t>
      </w:r>
    </w:p>
    <w:p w14:paraId="3D4DE999" w14:textId="12D206D8" w:rsidR="00753AA3" w:rsidRDefault="006A2064" w:rsidP="00753AA3">
      <w:pPr>
        <w:pStyle w:val="BodyText"/>
      </w:pPr>
      <w:r>
        <w:t xml:space="preserve">In May 2021, </w:t>
      </w:r>
      <w:r w:rsidR="00753AA3" w:rsidRPr="00B723B1">
        <w:t>IHPA consulted on the proposed updates for AR</w:t>
      </w:r>
      <w:r w:rsidR="00EF2952">
        <w:noBreakHyphen/>
      </w:r>
      <w:r w:rsidR="00753AA3" w:rsidRPr="00B723B1">
        <w:t>DRG Version 11.0</w:t>
      </w:r>
      <w:r w:rsidR="00753AA3">
        <w:t xml:space="preserve"> and ICD</w:t>
      </w:r>
      <w:r w:rsidR="002E03A2">
        <w:noBreakHyphen/>
      </w:r>
      <w:r w:rsidR="00753AA3">
        <w:t>10</w:t>
      </w:r>
      <w:r w:rsidR="002E03A2">
        <w:noBreakHyphen/>
      </w:r>
      <w:r w:rsidR="00753AA3">
        <w:t>AM/ACHI/ACS Twelfth Edition</w:t>
      </w:r>
      <w:r w:rsidR="00753AA3" w:rsidRPr="00B723B1">
        <w:t xml:space="preserve">, as outlined on the </w:t>
      </w:r>
      <w:hyperlink r:id="rId51" w:history="1">
        <w:r w:rsidR="00753AA3" w:rsidRPr="00B723B1">
          <w:rPr>
            <w:rStyle w:val="Hyperlink"/>
            <w:rFonts w:cs="Arial"/>
          </w:rPr>
          <w:t>IHPA website</w:t>
        </w:r>
      </w:hyperlink>
      <w:r w:rsidR="00753AA3" w:rsidRPr="00B723B1">
        <w:t>.</w:t>
      </w:r>
    </w:p>
    <w:p w14:paraId="79B7D213" w14:textId="673A8FC7" w:rsidR="006A2064" w:rsidRPr="0065414C" w:rsidRDefault="006A2064" w:rsidP="006A2064">
      <w:pPr>
        <w:pStyle w:val="Heading3"/>
        <w:rPr>
          <w:rFonts w:cs="Arial"/>
        </w:rPr>
      </w:pPr>
      <w:r>
        <w:rPr>
          <w:rFonts w:cs="Arial"/>
        </w:rPr>
        <w:t>5.1.</w:t>
      </w:r>
      <w:r w:rsidR="005375BA">
        <w:rPr>
          <w:rFonts w:cs="Arial"/>
        </w:rPr>
        <w:t>1</w:t>
      </w:r>
      <w:r>
        <w:rPr>
          <w:rFonts w:cs="Arial"/>
        </w:rPr>
        <w:t xml:space="preserve"> </w:t>
      </w:r>
      <w:r w:rsidRPr="002457AA">
        <w:rPr>
          <w:rFonts w:cs="Arial"/>
        </w:rPr>
        <w:t>AR-DRG Version 11.0</w:t>
      </w:r>
    </w:p>
    <w:p w14:paraId="1C032E0C" w14:textId="79936248" w:rsidR="006A2064" w:rsidRPr="00CE4A15" w:rsidRDefault="006A2064" w:rsidP="006A2064">
      <w:pPr>
        <w:pStyle w:val="BodyText"/>
      </w:pPr>
      <w:r w:rsidRPr="002457AA">
        <w:t xml:space="preserve">AR-DRG </w:t>
      </w:r>
      <w:r>
        <w:t>Version 11.0</w:t>
      </w:r>
      <w:r w:rsidRPr="002457AA">
        <w:t xml:space="preserve"> </w:t>
      </w:r>
      <w:r w:rsidR="002E03A2">
        <w:t xml:space="preserve">will be released </w:t>
      </w:r>
      <w:r w:rsidRPr="002457AA">
        <w:t>in July</w:t>
      </w:r>
      <w:r>
        <w:t> </w:t>
      </w:r>
      <w:r w:rsidRPr="002457AA">
        <w:t xml:space="preserve">2022. </w:t>
      </w:r>
      <w:r>
        <w:t>AR-DRG Version 11.0 contains three new Adjacent Diagnosis Related Groups:</w:t>
      </w:r>
    </w:p>
    <w:p w14:paraId="410A41AD" w14:textId="77777777" w:rsidR="006A2064" w:rsidRPr="00CC2F3E" w:rsidRDefault="006A2064" w:rsidP="00295921">
      <w:pPr>
        <w:pStyle w:val="ListParagraph"/>
        <w:numPr>
          <w:ilvl w:val="0"/>
          <w:numId w:val="56"/>
        </w:numPr>
        <w:rPr>
          <w:i/>
          <w:iCs/>
        </w:rPr>
      </w:pPr>
      <w:r w:rsidRPr="00B723B1">
        <w:t xml:space="preserve">B08 </w:t>
      </w:r>
      <w:r w:rsidRPr="00CC2F3E">
        <w:rPr>
          <w:i/>
          <w:iCs/>
        </w:rPr>
        <w:t>Endovascular Clot Retrieval</w:t>
      </w:r>
    </w:p>
    <w:p w14:paraId="41864FFB" w14:textId="77777777" w:rsidR="006A2064" w:rsidRDefault="006A2064" w:rsidP="00295921">
      <w:pPr>
        <w:pStyle w:val="ListParagraph"/>
        <w:numPr>
          <w:ilvl w:val="0"/>
          <w:numId w:val="56"/>
        </w:numPr>
      </w:pPr>
      <w:r w:rsidRPr="00B723B1">
        <w:t xml:space="preserve">F25 </w:t>
      </w:r>
      <w:r w:rsidRPr="00CC2F3E">
        <w:rPr>
          <w:i/>
          <w:iCs/>
        </w:rPr>
        <w:t xml:space="preserve">Percutaneous Heart Valve Replacement with </w:t>
      </w:r>
      <w:proofErr w:type="spellStart"/>
      <w:r w:rsidRPr="00CC2F3E">
        <w:rPr>
          <w:i/>
          <w:iCs/>
        </w:rPr>
        <w:t>Bioprosthesis</w:t>
      </w:r>
      <w:proofErr w:type="spellEnd"/>
    </w:p>
    <w:p w14:paraId="58B72A9F" w14:textId="77777777" w:rsidR="006A2064" w:rsidRDefault="006A2064" w:rsidP="00295921">
      <w:pPr>
        <w:pStyle w:val="ListParagraph"/>
        <w:numPr>
          <w:ilvl w:val="0"/>
          <w:numId w:val="56"/>
        </w:numPr>
      </w:pPr>
      <w:r w:rsidRPr="00B723B1">
        <w:lastRenderedPageBreak/>
        <w:t xml:space="preserve">G13 </w:t>
      </w:r>
      <w:r w:rsidRPr="00CC2F3E">
        <w:rPr>
          <w:i/>
          <w:iCs/>
        </w:rPr>
        <w:t>Peritonectomy for Gastrointestinal Disorders.</w:t>
      </w:r>
    </w:p>
    <w:p w14:paraId="4BE66FAD" w14:textId="68C09265" w:rsidR="00BF1AC5" w:rsidRDefault="00BB0B79" w:rsidP="006A2064">
      <w:pPr>
        <w:pStyle w:val="BodyText"/>
      </w:pPr>
      <w:r w:rsidRPr="00BB0B79">
        <w:t>Some diagnosis and intervention codes</w:t>
      </w:r>
      <w:r w:rsidR="00BF1AC5">
        <w:t xml:space="preserve"> in the AR-DRGs</w:t>
      </w:r>
      <w:r w:rsidRPr="00BB0B79">
        <w:t xml:space="preserve"> are flagged with a ‘sex edit’ that indicates whether the code relates to a particular biological sex.</w:t>
      </w:r>
      <w:r>
        <w:t xml:space="preserve"> </w:t>
      </w:r>
      <w:r w:rsidR="006A2064">
        <w:t xml:space="preserve">IHPA undertook a review of the sex edits </w:t>
      </w:r>
      <w:r w:rsidR="006A2064" w:rsidRPr="00753AA3">
        <w:t xml:space="preserve">in </w:t>
      </w:r>
      <w:r w:rsidR="006A2064">
        <w:t xml:space="preserve">AR-DRG </w:t>
      </w:r>
      <w:r w:rsidR="006A2064" w:rsidRPr="00753AA3">
        <w:t>V</w:t>
      </w:r>
      <w:r w:rsidR="006A2064">
        <w:t xml:space="preserve">ersion </w:t>
      </w:r>
      <w:r w:rsidR="006A2064" w:rsidRPr="00753AA3">
        <w:t>11.0</w:t>
      </w:r>
      <w:r w:rsidR="006A2064">
        <w:t>, to limit their use as a classification variable</w:t>
      </w:r>
      <w:r w:rsidR="00A45908">
        <w:t xml:space="preserve"> in anticipation of changes in reporting gender rather than sex nationally. </w:t>
      </w:r>
    </w:p>
    <w:p w14:paraId="6B75D29E" w14:textId="21CB79BA" w:rsidR="006A2064" w:rsidRDefault="00BF1AC5" w:rsidP="006A2064">
      <w:pPr>
        <w:pStyle w:val="BodyText"/>
      </w:pPr>
      <w:r w:rsidRPr="00BF1AC5">
        <w:t>To mitigate risks associated with using sex as a classification variable</w:t>
      </w:r>
      <w:r>
        <w:t xml:space="preserve">, </w:t>
      </w:r>
      <w:r w:rsidRPr="00BF1AC5">
        <w:t>IHPA made some changes in the AR-DRG V</w:t>
      </w:r>
      <w:r>
        <w:t xml:space="preserve">ersion </w:t>
      </w:r>
      <w:r w:rsidRPr="00BF1AC5">
        <w:t xml:space="preserve">11.0 supported by </w:t>
      </w:r>
      <w:r w:rsidR="002E03A2">
        <w:t xml:space="preserve">the </w:t>
      </w:r>
      <w:r w:rsidRPr="00BF1AC5">
        <w:t>development of new codes in ICD-10-AM Twelfth Edition to ensure concepts relating to reproductive systems are able to distinguish male and female reproductive organs without the use of the sex variable.</w:t>
      </w:r>
    </w:p>
    <w:p w14:paraId="05EAF8D2" w14:textId="7D9720FE" w:rsidR="006A2064" w:rsidRDefault="00BF1AC5" w:rsidP="006A2064">
      <w:pPr>
        <w:pStyle w:val="BodyText"/>
      </w:pPr>
      <w:r>
        <w:t>F</w:t>
      </w:r>
      <w:r w:rsidR="006A2064">
        <w:t xml:space="preserve">urther information about all changes in AR-DRG Version 11.0 are available in the </w:t>
      </w:r>
      <w:r w:rsidR="006A2064" w:rsidRPr="00321F9C">
        <w:t>AR-DRG Final Report</w:t>
      </w:r>
      <w:r w:rsidR="006A2064">
        <w:t xml:space="preserve"> on the </w:t>
      </w:r>
      <w:hyperlink r:id="rId52" w:history="1">
        <w:r w:rsidR="006A2064" w:rsidRPr="008E6CF5">
          <w:rPr>
            <w:rStyle w:val="Hyperlink"/>
          </w:rPr>
          <w:t>IHPA website</w:t>
        </w:r>
      </w:hyperlink>
      <w:r w:rsidR="006A2064">
        <w:t>.</w:t>
      </w:r>
    </w:p>
    <w:p w14:paraId="225848B6" w14:textId="0717A8C1" w:rsidR="006A2064" w:rsidRDefault="006A2064" w:rsidP="006A2064">
      <w:pPr>
        <w:pStyle w:val="BodyText"/>
        <w:rPr>
          <w:rFonts w:cs="Arial"/>
        </w:rPr>
      </w:pPr>
      <w:r w:rsidRPr="002457AA">
        <w:rPr>
          <w:rFonts w:cs="Arial"/>
        </w:rPr>
        <w:t>For NEP23 IHPA proposes to use AR-DRG V</w:t>
      </w:r>
      <w:r>
        <w:rPr>
          <w:rFonts w:cs="Arial"/>
        </w:rPr>
        <w:t xml:space="preserve">ersion </w:t>
      </w:r>
      <w:r w:rsidRPr="002457AA">
        <w:rPr>
          <w:rFonts w:cs="Arial"/>
        </w:rPr>
        <w:t>11.0 to price admitted acute patient services</w:t>
      </w:r>
      <w:r w:rsidR="002E03A2">
        <w:rPr>
          <w:rFonts w:cs="Arial"/>
        </w:rPr>
        <w:t>, without a shadow pricing period</w:t>
      </w:r>
      <w:r w:rsidRPr="002457AA">
        <w:rPr>
          <w:rFonts w:cs="Arial"/>
        </w:rPr>
        <w:t xml:space="preserve">. </w:t>
      </w:r>
      <w:r w:rsidR="005375BA">
        <w:rPr>
          <w:rFonts w:cs="Arial"/>
        </w:rPr>
        <w:t xml:space="preserve">IHPA is not </w:t>
      </w:r>
      <w:r w:rsidR="002E03A2">
        <w:rPr>
          <w:rFonts w:cs="Arial"/>
        </w:rPr>
        <w:t xml:space="preserve">required </w:t>
      </w:r>
      <w:r w:rsidR="005375BA">
        <w:rPr>
          <w:rFonts w:cs="Arial"/>
        </w:rPr>
        <w:t>to s</w:t>
      </w:r>
      <w:r w:rsidRPr="002457AA">
        <w:rPr>
          <w:rFonts w:cs="Arial"/>
        </w:rPr>
        <w:t>hadow pric</w:t>
      </w:r>
      <w:r w:rsidR="005375BA">
        <w:rPr>
          <w:rFonts w:cs="Arial"/>
        </w:rPr>
        <w:t>e</w:t>
      </w:r>
      <w:r w:rsidRPr="002457AA">
        <w:rPr>
          <w:rFonts w:cs="Arial"/>
        </w:rPr>
        <w:t xml:space="preserve"> the implementation of AR-DRG </w:t>
      </w:r>
      <w:r>
        <w:rPr>
          <w:rFonts w:cs="Arial"/>
        </w:rPr>
        <w:t>Version 1</w:t>
      </w:r>
      <w:r w:rsidRPr="002457AA">
        <w:rPr>
          <w:rFonts w:cs="Arial"/>
        </w:rPr>
        <w:t>1.0</w:t>
      </w:r>
      <w:r w:rsidR="00BB5451">
        <w:rPr>
          <w:rFonts w:cs="Arial"/>
        </w:rPr>
        <w:t xml:space="preserve"> as it </w:t>
      </w:r>
      <w:r w:rsidR="009F1EBE" w:rsidRPr="00321F9C">
        <w:rPr>
          <w:rFonts w:cs="Arial"/>
        </w:rPr>
        <w:t>does not include major structural changes</w:t>
      </w:r>
      <w:r w:rsidR="002E03A2" w:rsidRPr="00321F9C">
        <w:rPr>
          <w:rFonts w:cs="Arial"/>
        </w:rPr>
        <w:t>, as</w:t>
      </w:r>
      <w:r w:rsidR="00BB5451" w:rsidRPr="00321F9C">
        <w:rPr>
          <w:rFonts w:cs="Arial"/>
        </w:rPr>
        <w:t xml:space="preserve"> per t</w:t>
      </w:r>
      <w:r w:rsidRPr="00321F9C">
        <w:rPr>
          <w:rFonts w:cs="Arial"/>
        </w:rPr>
        <w:t xml:space="preserve">he </w:t>
      </w:r>
      <w:hyperlink r:id="rId53" w:history="1">
        <w:r w:rsidRPr="00800ACE">
          <w:rPr>
            <w:rStyle w:val="Hyperlink"/>
            <w:rFonts w:cs="Arial"/>
            <w:i/>
            <w:iCs/>
          </w:rPr>
          <w:t>National Pricing Model Consultation Policy</w:t>
        </w:r>
      </w:hyperlink>
      <w:r w:rsidRPr="002457AA">
        <w:rPr>
          <w:rFonts w:cs="Arial"/>
        </w:rPr>
        <w:t>.</w:t>
      </w:r>
    </w:p>
    <w:p w14:paraId="1A71E084" w14:textId="551C6995" w:rsidR="00753AA3" w:rsidRPr="0065414C" w:rsidRDefault="00753AA3" w:rsidP="00753AA3">
      <w:pPr>
        <w:pStyle w:val="Heading3"/>
        <w:rPr>
          <w:rFonts w:cs="Arial"/>
        </w:rPr>
      </w:pPr>
      <w:r>
        <w:rPr>
          <w:rFonts w:cs="Arial"/>
        </w:rPr>
        <w:t>5.1.</w:t>
      </w:r>
      <w:r w:rsidR="005375BA">
        <w:rPr>
          <w:rFonts w:cs="Arial"/>
        </w:rPr>
        <w:t>2</w:t>
      </w:r>
      <w:r>
        <w:rPr>
          <w:rFonts w:cs="Arial"/>
        </w:rPr>
        <w:t xml:space="preserve">. </w:t>
      </w:r>
      <w:r w:rsidRPr="00753AA3">
        <w:rPr>
          <w:rFonts w:cs="Arial"/>
        </w:rPr>
        <w:t>ICD-10-AM/ACHI/ACS Twelfth Edition</w:t>
      </w:r>
    </w:p>
    <w:p w14:paraId="6C16DC01" w14:textId="0ECA746D" w:rsidR="00B93169" w:rsidRDefault="00753AA3" w:rsidP="00753AA3">
      <w:pPr>
        <w:pStyle w:val="BodyText"/>
      </w:pPr>
      <w:r w:rsidRPr="00753AA3">
        <w:t>ICD</w:t>
      </w:r>
      <w:r w:rsidR="00EF2952">
        <w:noBreakHyphen/>
      </w:r>
      <w:r w:rsidRPr="00753AA3">
        <w:t>10</w:t>
      </w:r>
      <w:r w:rsidR="00EF2952">
        <w:noBreakHyphen/>
      </w:r>
      <w:r w:rsidRPr="00753AA3">
        <w:t>AM/ACHI/ACS Twelfth Edition was released in March 2022 for implementation on 1</w:t>
      </w:r>
      <w:r>
        <w:rPr>
          <w:b/>
        </w:rPr>
        <w:t> </w:t>
      </w:r>
      <w:r w:rsidRPr="00753AA3">
        <w:t xml:space="preserve">July 2022. It includes updates to the classification of sepsis, antimicrobial resistance, </w:t>
      </w:r>
      <w:r w:rsidR="00EF2952">
        <w:t>C</w:t>
      </w:r>
      <w:r w:rsidRPr="00753AA3">
        <w:t xml:space="preserve">oronavirus disease 2019 (COVID-19), gestational age of newborn, removal of outdated mental health terminology and simplification of ACS 0002 </w:t>
      </w:r>
      <w:r w:rsidRPr="00CC2F3E">
        <w:rPr>
          <w:i/>
          <w:iCs/>
        </w:rPr>
        <w:t>Additional diagnoses</w:t>
      </w:r>
      <w:r w:rsidRPr="00753AA3">
        <w:t xml:space="preserve">, without changing its intent. A comprehensive education program outlining the changes for Twelfth Edition </w:t>
      </w:r>
      <w:r w:rsidR="00CC2F3E">
        <w:rPr>
          <w:bCs/>
        </w:rPr>
        <w:t>was</w:t>
      </w:r>
      <w:r w:rsidRPr="00753AA3">
        <w:t xml:space="preserve"> released in May 2022.</w:t>
      </w:r>
    </w:p>
    <w:p w14:paraId="33DC360A" w14:textId="016BE921" w:rsidR="00CC2F3E" w:rsidRDefault="00CC2F3E" w:rsidP="00CC2F3E">
      <w:pPr>
        <w:pStyle w:val="BodyText"/>
      </w:pPr>
      <w:r w:rsidRPr="00B93169">
        <w:rPr>
          <w:bCs/>
        </w:rPr>
        <w:t xml:space="preserve">For the NEP Determination 2023–24 (NEP23) IHPA </w:t>
      </w:r>
      <w:r w:rsidR="00AE484F">
        <w:rPr>
          <w:bCs/>
        </w:rPr>
        <w:t>will</w:t>
      </w:r>
      <w:r w:rsidRPr="00B93169">
        <w:rPr>
          <w:bCs/>
        </w:rPr>
        <w:t xml:space="preserve"> continue to use </w:t>
      </w:r>
      <w:r w:rsidRPr="00753AA3">
        <w:t>ICD</w:t>
      </w:r>
      <w:r>
        <w:noBreakHyphen/>
        <w:t>1</w:t>
      </w:r>
      <w:r w:rsidRPr="00753AA3">
        <w:t>0</w:t>
      </w:r>
      <w:r>
        <w:noBreakHyphen/>
      </w:r>
      <w:r w:rsidRPr="00753AA3">
        <w:t>AM/ACHI/ACS Twelfth Edition</w:t>
      </w:r>
      <w:r>
        <w:t xml:space="preserve"> to price admitted acute patient services.</w:t>
      </w:r>
    </w:p>
    <w:p w14:paraId="17A37620" w14:textId="14A1EAC9" w:rsidR="00E52762" w:rsidRPr="0065414C" w:rsidRDefault="00E52762" w:rsidP="005A24AD">
      <w:pPr>
        <w:pStyle w:val="Heading3"/>
        <w:keepNext/>
        <w:rPr>
          <w:rFonts w:cs="Arial"/>
        </w:rPr>
      </w:pPr>
      <w:r>
        <w:rPr>
          <w:rFonts w:cs="Arial"/>
        </w:rPr>
        <w:t>5.1.</w:t>
      </w:r>
      <w:r w:rsidR="00B93169">
        <w:rPr>
          <w:rFonts w:cs="Arial"/>
        </w:rPr>
        <w:t>3</w:t>
      </w:r>
      <w:r>
        <w:rPr>
          <w:rFonts w:cs="Arial"/>
        </w:rPr>
        <w:t xml:space="preserve">. </w:t>
      </w:r>
      <w:r w:rsidR="002457AA" w:rsidRPr="002457AA">
        <w:rPr>
          <w:rFonts w:cs="Arial"/>
        </w:rPr>
        <w:t>ICD-10-AM/ACHI/ACS Thirteenth Edition and AR-DRG Version 12.0</w:t>
      </w:r>
    </w:p>
    <w:p w14:paraId="4B1D38B0" w14:textId="382FFC27" w:rsidR="001522B1" w:rsidRDefault="002457AA" w:rsidP="001522B1">
      <w:pPr>
        <w:pStyle w:val="BodyText"/>
      </w:pPr>
      <w:r w:rsidRPr="002457AA">
        <w:rPr>
          <w:rFonts w:cs="Arial"/>
        </w:rPr>
        <w:t xml:space="preserve">Given the admitted acute care classifications </w:t>
      </w:r>
      <w:r w:rsidR="00B93169">
        <w:rPr>
          <w:rFonts w:cs="Arial"/>
        </w:rPr>
        <w:t>have a</w:t>
      </w:r>
      <w:r w:rsidRPr="002457AA">
        <w:rPr>
          <w:rFonts w:cs="Arial"/>
        </w:rPr>
        <w:t xml:space="preserve"> three-year development cycle, IHPA will commence the development of </w:t>
      </w:r>
      <w:r w:rsidRPr="002457AA">
        <w:rPr>
          <w:rFonts w:cs="Arial"/>
        </w:rPr>
        <w:t>ICD</w:t>
      </w:r>
      <w:r w:rsidR="00EF2952">
        <w:rPr>
          <w:rFonts w:cs="Arial"/>
        </w:rPr>
        <w:noBreakHyphen/>
      </w:r>
      <w:r w:rsidRPr="002457AA">
        <w:rPr>
          <w:rFonts w:cs="Arial"/>
        </w:rPr>
        <w:t>10</w:t>
      </w:r>
      <w:r w:rsidR="00EF2952">
        <w:rPr>
          <w:rFonts w:cs="Arial"/>
        </w:rPr>
        <w:noBreakHyphen/>
      </w:r>
      <w:r w:rsidRPr="002457AA">
        <w:rPr>
          <w:rFonts w:cs="Arial"/>
        </w:rPr>
        <w:t>AM/ACHI/ACS Thirteenth Edition and AR</w:t>
      </w:r>
      <w:r w:rsidR="00EF2952">
        <w:rPr>
          <w:rFonts w:cs="Arial"/>
        </w:rPr>
        <w:noBreakHyphen/>
      </w:r>
      <w:r w:rsidRPr="002457AA">
        <w:rPr>
          <w:rFonts w:cs="Arial"/>
        </w:rPr>
        <w:t>DRG Version 12.0 in 2022.</w:t>
      </w:r>
    </w:p>
    <w:p w14:paraId="02DDC959" w14:textId="41CDD551" w:rsidR="001522B1" w:rsidRPr="0065414C" w:rsidRDefault="00E52762" w:rsidP="001522B1">
      <w:pPr>
        <w:pStyle w:val="Heading3"/>
        <w:rPr>
          <w:rFonts w:cs="Arial"/>
        </w:rPr>
      </w:pPr>
      <w:r>
        <w:rPr>
          <w:rFonts w:cs="Arial"/>
        </w:rPr>
        <w:t>5</w:t>
      </w:r>
      <w:r w:rsidR="001522B1">
        <w:rPr>
          <w:rFonts w:cs="Arial"/>
        </w:rPr>
        <w:t>.1.</w:t>
      </w:r>
      <w:r w:rsidR="009F1EBE">
        <w:rPr>
          <w:rFonts w:cs="Arial"/>
        </w:rPr>
        <w:t>4</w:t>
      </w:r>
      <w:r w:rsidR="001522B1">
        <w:rPr>
          <w:rFonts w:cs="Arial"/>
        </w:rPr>
        <w:t>. Release of ICD-11</w:t>
      </w:r>
    </w:p>
    <w:p w14:paraId="3D5643A9" w14:textId="2FFFCA07" w:rsidR="002457AA" w:rsidRDefault="002457AA" w:rsidP="002457AA">
      <w:pPr>
        <w:pStyle w:val="BodyText"/>
      </w:pPr>
      <w:r>
        <w:t xml:space="preserve">The </w:t>
      </w:r>
      <w:hyperlink r:id="rId54" w:history="1">
        <w:r w:rsidRPr="00A403BF">
          <w:rPr>
            <w:rStyle w:val="Hyperlink"/>
          </w:rPr>
          <w:t>11th Revision of the International Classification of Diseases</w:t>
        </w:r>
      </w:hyperlink>
      <w:r>
        <w:t xml:space="preserve"> (ICD-11) was released by</w:t>
      </w:r>
      <w:r w:rsidR="00C375A5">
        <w:t xml:space="preserve"> the</w:t>
      </w:r>
      <w:r>
        <w:t xml:space="preserve"> W</w:t>
      </w:r>
      <w:r w:rsidR="00C375A5">
        <w:t xml:space="preserve">orld </w:t>
      </w:r>
      <w:r>
        <w:t>H</w:t>
      </w:r>
      <w:r w:rsidR="00C375A5">
        <w:t xml:space="preserve">ealth </w:t>
      </w:r>
      <w:r>
        <w:t>O</w:t>
      </w:r>
      <w:r w:rsidR="00C375A5">
        <w:t>rganisation (WHO)</w:t>
      </w:r>
      <w:r>
        <w:t xml:space="preserve"> in June</w:t>
      </w:r>
      <w:r w:rsidR="00770B7C">
        <w:t> </w:t>
      </w:r>
      <w:r>
        <w:t xml:space="preserve">2018 and came into effect as the national and international standard for recording and reporting of causes of illness, death and other health-related cases in February 2022. </w:t>
      </w:r>
    </w:p>
    <w:p w14:paraId="316E7CE4" w14:textId="623E0725" w:rsidR="002457AA" w:rsidRDefault="002457AA" w:rsidP="002457AA">
      <w:pPr>
        <w:pStyle w:val="BodyText"/>
      </w:pPr>
      <w:r>
        <w:t>There has not</w:t>
      </w:r>
      <w:r w:rsidR="00C375A5">
        <w:t xml:space="preserve"> yet</w:t>
      </w:r>
      <w:r>
        <w:t xml:space="preserve"> been a decision </w:t>
      </w:r>
      <w:r w:rsidR="00C375A5">
        <w:t>in Australia to</w:t>
      </w:r>
      <w:r>
        <w:t xml:space="preserve"> implement ICD-11. The Australian Institute of Health and Welfare is leading work alongside the Australian Bureau of Statistics and IHPA to inform </w:t>
      </w:r>
      <w:r w:rsidR="002E03A2">
        <w:t xml:space="preserve">decision making and preparations for the </w:t>
      </w:r>
      <w:r w:rsidR="00C375A5">
        <w:t>implementation</w:t>
      </w:r>
      <w:r>
        <w:t xml:space="preserve"> </w:t>
      </w:r>
      <w:r w:rsidR="002E03A2">
        <w:t xml:space="preserve">of ICD-11 </w:t>
      </w:r>
      <w:r>
        <w:t>in Australia.</w:t>
      </w:r>
    </w:p>
    <w:p w14:paraId="694F8F6E" w14:textId="00A4EFD6" w:rsidR="00770B7C" w:rsidRDefault="002457AA" w:rsidP="002457AA">
      <w:pPr>
        <w:pStyle w:val="BodyText"/>
      </w:pPr>
      <w:r>
        <w:t>Previously, IHPA signalled its intention to prepare for ICD-11 by seeking to align</w:t>
      </w:r>
      <w:r w:rsidR="00BD5F40">
        <w:t xml:space="preserve"> </w:t>
      </w:r>
      <w:r>
        <w:t>updates incorporated for ICD-10-AM Twelfth Edition with ICD</w:t>
      </w:r>
      <w:r w:rsidR="002E03A2">
        <w:t>-</w:t>
      </w:r>
      <w:r>
        <w:t xml:space="preserve">11. In considering the next development cycle for ICD-10-AM Thirteenth Edition, IHPA </w:t>
      </w:r>
      <w:r w:rsidR="00C375A5" w:rsidRPr="00C375A5">
        <w:t xml:space="preserve">will refocus some resources to ICD-11 ‘readiness’ projects such as mapping between ICD-10-AM and ICD-11, gap analysis and implementation of clustering. </w:t>
      </w:r>
    </w:p>
    <w:p w14:paraId="76BA1024" w14:textId="3A10F855" w:rsidR="002457AA" w:rsidRDefault="00C375A5" w:rsidP="002457AA">
      <w:pPr>
        <w:pStyle w:val="BodyText"/>
      </w:pPr>
      <w:r w:rsidRPr="00C375A5">
        <w:t xml:space="preserve">Clustering would not only leverage some of the new features of ICD-11 but would also enhance data collected using ICD-10-AM through the Admitted </w:t>
      </w:r>
      <w:r w:rsidR="00C3473C">
        <w:t>p</w:t>
      </w:r>
      <w:r w:rsidRPr="00C375A5">
        <w:t xml:space="preserve">atient </w:t>
      </w:r>
      <w:r w:rsidR="00C3473C">
        <w:t>c</w:t>
      </w:r>
      <w:r w:rsidRPr="00C375A5">
        <w:t>are National Minimum Data Set. This work will be informed by IHPA’s classification working groups and advisory committees</w:t>
      </w:r>
      <w:r w:rsidR="002457AA">
        <w:t xml:space="preserve">. </w:t>
      </w:r>
    </w:p>
    <w:p w14:paraId="681CFF89" w14:textId="01FF4868" w:rsidR="002457AA" w:rsidRPr="0065414C" w:rsidRDefault="002457AA" w:rsidP="00C3473C">
      <w:pPr>
        <w:pStyle w:val="Heading3"/>
        <w:rPr>
          <w:rFonts w:cs="Arial"/>
        </w:rPr>
      </w:pPr>
      <w:r>
        <w:rPr>
          <w:rFonts w:cs="Arial"/>
        </w:rPr>
        <w:t>5.1.</w:t>
      </w:r>
      <w:r w:rsidR="00AA59D1">
        <w:rPr>
          <w:rFonts w:cs="Arial"/>
        </w:rPr>
        <w:t>5</w:t>
      </w:r>
      <w:r>
        <w:rPr>
          <w:rFonts w:cs="Arial"/>
        </w:rPr>
        <w:t xml:space="preserve">. </w:t>
      </w:r>
      <w:r w:rsidRPr="002457AA">
        <w:rPr>
          <w:rFonts w:cs="Arial"/>
        </w:rPr>
        <w:t>Streamlining clinical and technical input</w:t>
      </w:r>
    </w:p>
    <w:p w14:paraId="39F5761A" w14:textId="4DCD89BB" w:rsidR="002457AA" w:rsidRDefault="002457AA" w:rsidP="00C3473C">
      <w:pPr>
        <w:pStyle w:val="BodyText"/>
      </w:pPr>
      <w:r>
        <w:t xml:space="preserve">Public submissions are received from stakeholders for enhancements or modifications to the classifications and standards used in admitted acute care through the Australian Classification Exchange (ACE) portal on the </w:t>
      </w:r>
      <w:hyperlink r:id="rId55" w:history="1">
        <w:r w:rsidRPr="00DA2F0C">
          <w:rPr>
            <w:rStyle w:val="Hyperlink"/>
            <w:rFonts w:cstheme="minorHAnsi"/>
            <w:iCs/>
          </w:rPr>
          <w:t>IHPA website</w:t>
        </w:r>
      </w:hyperlink>
      <w:r>
        <w:t xml:space="preserve">. The public submission process provides ongoing opportunities to </w:t>
      </w:r>
      <w:r w:rsidR="00C3473C">
        <w:t xml:space="preserve">propose </w:t>
      </w:r>
      <w:r>
        <w:t xml:space="preserve">updates to </w:t>
      </w:r>
      <w:r w:rsidR="00DA2F0C">
        <w:t xml:space="preserve">the </w:t>
      </w:r>
      <w:r>
        <w:t>AR</w:t>
      </w:r>
      <w:r w:rsidR="006733B0">
        <w:noBreakHyphen/>
      </w:r>
      <w:r>
        <w:t>DRGs and ICD-10-AM/ACHI/ACS</w:t>
      </w:r>
      <w:r w:rsidR="00DA2F0C">
        <w:t xml:space="preserve"> classification systems</w:t>
      </w:r>
      <w:r>
        <w:t xml:space="preserve"> to ensure the</w:t>
      </w:r>
      <w:r w:rsidR="00DA2F0C">
        <w:t>y</w:t>
      </w:r>
      <w:r>
        <w:t xml:space="preserve"> meet the needs of users and continue to be comprehensive and meaningful. </w:t>
      </w:r>
      <w:r w:rsidR="00C3473C">
        <w:t>T</w:t>
      </w:r>
      <w:r>
        <w:t xml:space="preserve">hese public submissions are reviewed </w:t>
      </w:r>
      <w:r w:rsidR="00C3473C">
        <w:t xml:space="preserve">in each development cycle </w:t>
      </w:r>
      <w:r>
        <w:t>to inform the work programs of the next editions or versions of the</w:t>
      </w:r>
      <w:r w:rsidR="00DA2F0C">
        <w:t xml:space="preserve"> admitted care</w:t>
      </w:r>
      <w:r>
        <w:t xml:space="preserve"> classifications.</w:t>
      </w:r>
    </w:p>
    <w:p w14:paraId="18C093D9" w14:textId="7F0BB0D2" w:rsidR="002457AA" w:rsidRDefault="002457AA" w:rsidP="002457AA">
      <w:pPr>
        <w:pStyle w:val="BodyText"/>
      </w:pPr>
      <w:r>
        <w:t xml:space="preserve">In August 2019, IHPA commissioned a review to evaluate the </w:t>
      </w:r>
      <w:r w:rsidR="006733B0">
        <w:t>end-to-end</w:t>
      </w:r>
      <w:r>
        <w:t xml:space="preserve"> processes of the development of the admitted care classifications. </w:t>
      </w:r>
      <w:r>
        <w:lastRenderedPageBreak/>
        <w:t xml:space="preserve">The review identified the need for a </w:t>
      </w:r>
      <w:r w:rsidR="006733B0">
        <w:t>principles</w:t>
      </w:r>
      <w:r w:rsidR="00EF2952">
        <w:noBreakHyphen/>
      </w:r>
      <w:r w:rsidR="006733B0">
        <w:t>based</w:t>
      </w:r>
      <w:r>
        <w:t xml:space="preserve"> approach to guide the classification development cycle to ensure the classifications are responsive to the needs of the Australian health</w:t>
      </w:r>
      <w:r w:rsidR="00C94840">
        <w:t xml:space="preserve"> </w:t>
      </w:r>
      <w:r>
        <w:t xml:space="preserve">care system. These principles were developed in consultation with stakeholders and resulted in the Governance </w:t>
      </w:r>
      <w:r w:rsidR="00545A23">
        <w:t>F</w:t>
      </w:r>
      <w:r>
        <w:t>ramework.</w:t>
      </w:r>
    </w:p>
    <w:p w14:paraId="2EF49B7D" w14:textId="107D61CA" w:rsidR="002457AA" w:rsidRPr="00247857" w:rsidRDefault="002457AA" w:rsidP="002457AA">
      <w:pPr>
        <w:pStyle w:val="BodyText"/>
        <w:rPr>
          <w:rFonts w:cs="Arial"/>
        </w:rPr>
      </w:pPr>
      <w:r>
        <w:t xml:space="preserve">IHPA </w:t>
      </w:r>
      <w:r w:rsidR="00CB3515">
        <w:t>intends</w:t>
      </w:r>
      <w:r>
        <w:t xml:space="preserve"> to redevelop the ACE portal to align with the principles outlined the Governance Framework, including </w:t>
      </w:r>
      <w:r w:rsidR="00C375A5" w:rsidRPr="00C375A5">
        <w:t xml:space="preserve">the requirement for robust evidence for change requests, and greater transparency for stakeholders by displaying the </w:t>
      </w:r>
      <w:r w:rsidR="00C375A5" w:rsidRPr="00247857">
        <w:rPr>
          <w:rFonts w:cs="Arial"/>
        </w:rPr>
        <w:t>stage and outcome of a submission. These improvements will streamline and quality assure public submissions received in the future</w:t>
      </w:r>
      <w:r w:rsidRPr="00247857">
        <w:rPr>
          <w:rFonts w:cs="Arial"/>
        </w:rPr>
        <w:t xml:space="preserve">. </w:t>
      </w:r>
    </w:p>
    <w:p w14:paraId="284D8523" w14:textId="77777777" w:rsidR="00247857" w:rsidRDefault="002457AA" w:rsidP="002457AA">
      <w:pPr>
        <w:pStyle w:val="BodyText"/>
        <w:rPr>
          <w:rFonts w:cs="Arial"/>
          <w:noProof/>
          <w:lang w:eastAsia="en-AU" w:bidi="ar-SA"/>
        </w:rPr>
      </w:pPr>
      <w:r w:rsidRPr="00247857">
        <w:rPr>
          <w:rFonts w:cs="Arial"/>
        </w:rPr>
        <w:t>In the interim, IHPA plans to review and assess existing public submissions against the principles in the Governance Framework, including evaluating public submissions against developments made in</w:t>
      </w:r>
      <w:r w:rsidR="004576E3" w:rsidRPr="00247857">
        <w:rPr>
          <w:rFonts w:cs="Arial"/>
        </w:rPr>
        <w:t xml:space="preserve"> the WHO’s</w:t>
      </w:r>
      <w:r w:rsidRPr="00247857">
        <w:rPr>
          <w:rFonts w:cs="Arial"/>
        </w:rPr>
        <w:t xml:space="preserve"> ICD-11.</w:t>
      </w:r>
      <w:r w:rsidR="008B2F43" w:rsidRPr="008B2F43">
        <w:rPr>
          <w:rFonts w:cs="Arial"/>
          <w:noProof/>
          <w:lang w:eastAsia="en-AU" w:bidi="ar-SA"/>
        </w:rPr>
        <w:t xml:space="preserve"> </w:t>
      </w:r>
    </w:p>
    <w:p w14:paraId="2EB2D565" w14:textId="71215F2F" w:rsidR="002457AA" w:rsidRDefault="008B2F43" w:rsidP="002457AA">
      <w:pPr>
        <w:pStyle w:val="BodyText"/>
      </w:pPr>
      <w:r w:rsidRPr="0065414C">
        <w:rPr>
          <w:rFonts w:cs="Arial"/>
          <w:noProof/>
          <w:lang w:eastAsia="en-AU" w:bidi="ar-SA"/>
        </w:rPr>
        <mc:AlternateContent>
          <mc:Choice Requires="wps">
            <w:drawing>
              <wp:inline distT="0" distB="0" distL="0" distR="0" wp14:anchorId="6346EAEA" wp14:editId="43FAE294">
                <wp:extent cx="2689200" cy="2457450"/>
                <wp:effectExtent l="0" t="0" r="16510" b="19050"/>
                <wp:docPr id="1" name="Text Box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200" cy="2457450"/>
                        </a:xfrm>
                        <a:prstGeom prst="rect">
                          <a:avLst/>
                        </a:prstGeom>
                        <a:noFill/>
                        <a:ln w="9525">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49D5C463" w14:textId="77777777" w:rsidR="00FE6544" w:rsidRPr="005470B1" w:rsidRDefault="00FE6544" w:rsidP="008B2F43">
                            <w:pPr>
                              <w:pStyle w:val="Questionheading"/>
                              <w:ind w:left="426"/>
                            </w:pPr>
                            <w:r>
                              <w:rPr>
                                <w:b w:val="0"/>
                                <w:noProof/>
                                <w:lang w:eastAsia="en-AU" w:bidi="ar-SA"/>
                              </w:rPr>
                              <w:drawing>
                                <wp:inline distT="0" distB="0" distL="0" distR="0" wp14:anchorId="2316D34A" wp14:editId="607E9686">
                                  <wp:extent cx="239395" cy="207059"/>
                                  <wp:effectExtent l="0" t="0" r="8255" b="2540"/>
                                  <wp:docPr id="31" name="Picture 31" descr="Question mark to left of the ‘Consultation question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Question mark to left of the ‘Consultation questions’ title"/>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239395" cy="207059"/>
                                          </a:xfrm>
                                          <a:prstGeom prst="rect">
                                            <a:avLst/>
                                          </a:prstGeom>
                                          <a:noFill/>
                                          <a:ln>
                                            <a:noFill/>
                                          </a:ln>
                                        </pic:spPr>
                                      </pic:pic>
                                    </a:graphicData>
                                  </a:graphic>
                                </wp:inline>
                              </w:drawing>
                            </w:r>
                            <w:r>
                              <w:t xml:space="preserve">  </w:t>
                            </w:r>
                            <w:r w:rsidRPr="005470B1">
                              <w:t>Consultation question</w:t>
                            </w:r>
                            <w:r>
                              <w:t>s</w:t>
                            </w:r>
                          </w:p>
                          <w:p w14:paraId="28DBE587" w14:textId="1A050126" w:rsidR="00FE6544" w:rsidRDefault="00FE6544" w:rsidP="00295921">
                            <w:pPr>
                              <w:pStyle w:val="ListParagraph"/>
                              <w:numPr>
                                <w:ilvl w:val="0"/>
                                <w:numId w:val="57"/>
                              </w:numPr>
                              <w:ind w:right="283"/>
                            </w:pPr>
                            <w:r>
                              <w:t>Are there any barriers or additional considerations to using AR-DRG Version 11.0 to price admitted acute services for NEP23?</w:t>
                            </w:r>
                          </w:p>
                          <w:p w14:paraId="17014489" w14:textId="77777777" w:rsidR="00FE6544" w:rsidRDefault="00FE6544" w:rsidP="00295921">
                            <w:pPr>
                              <w:pStyle w:val="ListParagraph"/>
                              <w:numPr>
                                <w:ilvl w:val="0"/>
                                <w:numId w:val="57"/>
                              </w:numPr>
                              <w:ind w:right="283"/>
                            </w:pPr>
                            <w:r>
                              <w:t>Do you support IHPA’s proposal to</w:t>
                            </w:r>
                            <w:r w:rsidRPr="0044494E">
                              <w:t xml:space="preserve"> </w:t>
                            </w:r>
                            <w:r>
                              <w:t>ref</w:t>
                            </w:r>
                            <w:r w:rsidRPr="0044494E">
                              <w:t xml:space="preserve">ocus </w:t>
                            </w:r>
                            <w:r>
                              <w:t xml:space="preserve">some resources </w:t>
                            </w:r>
                            <w:r w:rsidRPr="0044494E">
                              <w:t xml:space="preserve">on </w:t>
                            </w:r>
                            <w:r>
                              <w:t xml:space="preserve">projects that prepare for </w:t>
                            </w:r>
                            <w:r w:rsidRPr="0044494E">
                              <w:t xml:space="preserve">ICD-11 </w:t>
                            </w:r>
                            <w:r>
                              <w:t>implementation? Please provide suggestions for any specific ‘readiness’ projects you would like to see progressed.</w:t>
                            </w:r>
                          </w:p>
                          <w:p w14:paraId="26AF031A" w14:textId="77777777" w:rsidR="00FE6544" w:rsidRDefault="00FE6544" w:rsidP="008B2F43">
                            <w:pPr>
                              <w:ind w:right="283"/>
                            </w:pPr>
                          </w:p>
                        </w:txbxContent>
                      </wps:txbx>
                      <wps:bodyPr rot="0" vert="horz" wrap="square" lIns="0" tIns="0" rIns="0" bIns="0" anchor="t" anchorCtr="0" upright="1">
                        <a:noAutofit/>
                      </wps:bodyPr>
                    </wps:wsp>
                  </a:graphicData>
                </a:graphic>
              </wp:inline>
            </w:drawing>
          </mc:Choice>
          <mc:Fallback xmlns:w16sdtdh="http://schemas.microsoft.com/office/word/2020/wordml/sdtdatahash" xmlns:oel="http://schemas.microsoft.com/office/2019/extlst">
            <w:pict>
              <v:shape w14:anchorId="6346EAEA" id="Text Box 38" o:spid="_x0000_s1028" type="#_x0000_t202" alt="&quot;&quot;" style="width:211.7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" filled="f" strokecolor="#009ab8 [3209]">
                <v:textbox inset="0,0,0,0">
                  <w:txbxContent>
                    <w:p w14:paraId="49D5C463" w14:textId="77777777" w:rsidR="00FE6544" w:rsidRPr="005470B1" w:rsidRDefault="00FE6544" w:rsidP="008B2F43">
                      <w:pPr>
                        <w:pStyle w:val="Questionheading"/>
                        <w:ind w:left="426"/>
                      </w:pPr>
                      <w:r>
                        <w:rPr>
                          <w:b w:val="0"/>
                          <w:noProof/>
                          <w:lang w:eastAsia="en-AU" w:bidi="ar-SA"/>
                        </w:rPr>
                        <w:drawing>
                          <wp:inline distT="0" distB="0" distL="0" distR="0" wp14:anchorId="2316D34A" wp14:editId="607E9686">
                            <wp:extent cx="239395" cy="207059"/>
                            <wp:effectExtent l="0" t="0" r="8255" b="2540"/>
                            <wp:docPr id="31" name="Picture 31" descr="Question mark to left of the ‘Consultation question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Question mark to left of the ‘Consultation questions’ title"/>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39395" cy="207059"/>
                                    </a:xfrm>
                                    <a:prstGeom prst="rect">
                                      <a:avLst/>
                                    </a:prstGeom>
                                    <a:noFill/>
                                    <a:ln>
                                      <a:noFill/>
                                    </a:ln>
                                  </pic:spPr>
                                </pic:pic>
                              </a:graphicData>
                            </a:graphic>
                          </wp:inline>
                        </w:drawing>
                      </w:r>
                      <w:r>
                        <w:t xml:space="preserve">  </w:t>
                      </w:r>
                      <w:r w:rsidRPr="005470B1">
                        <w:t>Consultation question</w:t>
                      </w:r>
                      <w:r>
                        <w:t>s</w:t>
                      </w:r>
                    </w:p>
                    <w:p w14:paraId="28DBE587" w14:textId="1A050126" w:rsidR="00FE6544" w:rsidRDefault="00FE6544" w:rsidP="00295921">
                      <w:pPr>
                        <w:pStyle w:val="ListParagraph"/>
                        <w:numPr>
                          <w:ilvl w:val="0"/>
                          <w:numId w:val="57"/>
                        </w:numPr>
                        <w:ind w:right="283"/>
                      </w:pPr>
                      <w:r>
                        <w:t>Are there any barriers or additional considerations to using AR-DRG Version 11.0 to price admitted acute services for NEP23?</w:t>
                      </w:r>
                    </w:p>
                    <w:p w14:paraId="17014489" w14:textId="77777777" w:rsidR="00FE6544" w:rsidRDefault="00FE6544" w:rsidP="00295921">
                      <w:pPr>
                        <w:pStyle w:val="ListParagraph"/>
                        <w:numPr>
                          <w:ilvl w:val="0"/>
                          <w:numId w:val="57"/>
                        </w:numPr>
                        <w:ind w:right="283"/>
                      </w:pPr>
                      <w:r>
                        <w:t>Do you support IHPA’s proposal to</w:t>
                      </w:r>
                      <w:r w:rsidRPr="0044494E">
                        <w:t xml:space="preserve"> </w:t>
                      </w:r>
                      <w:r>
                        <w:t>ref</w:t>
                      </w:r>
                      <w:r w:rsidRPr="0044494E">
                        <w:t xml:space="preserve">ocus </w:t>
                      </w:r>
                      <w:r>
                        <w:t xml:space="preserve">some resources </w:t>
                      </w:r>
                      <w:r w:rsidRPr="0044494E">
                        <w:t xml:space="preserve">on </w:t>
                      </w:r>
                      <w:r>
                        <w:t xml:space="preserve">projects that prepare for </w:t>
                      </w:r>
                      <w:r w:rsidRPr="0044494E">
                        <w:t xml:space="preserve">ICD-11 </w:t>
                      </w:r>
                      <w:r>
                        <w:t>implementation? Please provide suggestions for any specific ‘readiness’ projects you would like to see progressed.</w:t>
                      </w:r>
                    </w:p>
                    <w:p w14:paraId="26AF031A" w14:textId="77777777" w:rsidR="00FE6544" w:rsidRDefault="00FE6544" w:rsidP="008B2F43">
                      <w:pPr>
                        <w:ind w:right="283"/>
                      </w:pPr>
                    </w:p>
                  </w:txbxContent>
                </v:textbox>
                <w10:anchorlock/>
              </v:shape>
            </w:pict>
          </mc:Fallback>
        </mc:AlternateContent>
      </w:r>
    </w:p>
    <w:p w14:paraId="3F7C1F9A" w14:textId="499472DB" w:rsidR="001522B1" w:rsidRPr="0065414C" w:rsidRDefault="00E52762" w:rsidP="0041554C">
      <w:pPr>
        <w:pStyle w:val="Heading2"/>
        <w:keepNext/>
        <w:keepLines/>
        <w:rPr>
          <w:rFonts w:cs="Arial"/>
        </w:rPr>
      </w:pPr>
      <w:bookmarkStart w:id="57" w:name="_Toc71631310"/>
      <w:r>
        <w:rPr>
          <w:rFonts w:cs="Arial"/>
        </w:rPr>
        <w:t>5</w:t>
      </w:r>
      <w:r w:rsidR="001522B1" w:rsidRPr="0065414C">
        <w:rPr>
          <w:rFonts w:cs="Arial"/>
        </w:rPr>
        <w:t>.2. Subacute and non</w:t>
      </w:r>
      <w:r w:rsidR="001522B1" w:rsidRPr="0065414C">
        <w:rPr>
          <w:rFonts w:cs="Arial"/>
        </w:rPr>
        <w:noBreakHyphen/>
        <w:t>acute care</w:t>
      </w:r>
      <w:bookmarkEnd w:id="57"/>
    </w:p>
    <w:p w14:paraId="153E31B4" w14:textId="2D06D829" w:rsidR="00B53AF0" w:rsidRPr="00B53AF0" w:rsidRDefault="00B53AF0" w:rsidP="00B53AF0">
      <w:pPr>
        <w:pStyle w:val="BodyText"/>
        <w:rPr>
          <w:rFonts w:cs="Arial"/>
        </w:rPr>
      </w:pPr>
      <w:r w:rsidRPr="00B53AF0">
        <w:rPr>
          <w:rFonts w:cs="Arial"/>
        </w:rPr>
        <w:t>The Australian National Subacute and Non-Acute Patient Classification (AN-SNAP) is used to price admitted subacute and non-acute services.</w:t>
      </w:r>
    </w:p>
    <w:p w14:paraId="65BDE338" w14:textId="58A18AD0" w:rsidR="001522B1" w:rsidRPr="0065414C" w:rsidRDefault="00B53AF0" w:rsidP="00B53AF0">
      <w:pPr>
        <w:pStyle w:val="BodyText"/>
        <w:rPr>
          <w:rFonts w:cs="Arial"/>
        </w:rPr>
      </w:pPr>
      <w:r w:rsidRPr="00B53AF0">
        <w:rPr>
          <w:rFonts w:cs="Arial"/>
        </w:rPr>
        <w:t xml:space="preserve">For NEP22, IHPA used AN-SNAP Version 4.0 to price admitted subacute and non-acute services and </w:t>
      </w:r>
      <w:r w:rsidR="00C3473C">
        <w:rPr>
          <w:rFonts w:cs="Arial"/>
        </w:rPr>
        <w:t xml:space="preserve">AN-SNAP Version 5.0 to </w:t>
      </w:r>
      <w:r w:rsidRPr="00B53AF0">
        <w:rPr>
          <w:rFonts w:cs="Arial"/>
        </w:rPr>
        <w:t>shadow price admitted subacute and non</w:t>
      </w:r>
      <w:r w:rsidR="00DA2F0C">
        <w:rPr>
          <w:rFonts w:cs="Arial"/>
        </w:rPr>
        <w:noBreakHyphen/>
      </w:r>
      <w:r w:rsidRPr="00B53AF0">
        <w:rPr>
          <w:rFonts w:cs="Arial"/>
        </w:rPr>
        <w:t xml:space="preserve">acute </w:t>
      </w:r>
      <w:r w:rsidR="00C3473C">
        <w:rPr>
          <w:rFonts w:cs="Arial"/>
        </w:rPr>
        <w:t>services</w:t>
      </w:r>
      <w:r w:rsidR="001522B1" w:rsidRPr="007B0CB0">
        <w:rPr>
          <w:rFonts w:cs="Arial"/>
        </w:rPr>
        <w:t>.</w:t>
      </w:r>
    </w:p>
    <w:p w14:paraId="40C2CEE2" w14:textId="712F218E" w:rsidR="001522B1" w:rsidRPr="0065414C" w:rsidRDefault="00E52762" w:rsidP="001522B1">
      <w:pPr>
        <w:pStyle w:val="Heading3"/>
        <w:rPr>
          <w:rFonts w:cs="Arial"/>
        </w:rPr>
      </w:pPr>
      <w:r w:rsidRPr="00B53AF0">
        <w:rPr>
          <w:rFonts w:cs="Arial"/>
        </w:rPr>
        <w:t>5</w:t>
      </w:r>
      <w:r w:rsidR="001522B1" w:rsidRPr="00B53AF0">
        <w:rPr>
          <w:rFonts w:cs="Arial"/>
        </w:rPr>
        <w:t>.2.1. AN-SNAP Version 5.0</w:t>
      </w:r>
    </w:p>
    <w:p w14:paraId="42CC0355" w14:textId="492435D4" w:rsidR="00B53AF0" w:rsidRPr="00B53AF0" w:rsidRDefault="00B53AF0" w:rsidP="00B53AF0">
      <w:pPr>
        <w:pStyle w:val="BodyText"/>
        <w:rPr>
          <w:rFonts w:cs="Arial"/>
        </w:rPr>
      </w:pPr>
      <w:r w:rsidRPr="00B53AF0">
        <w:rPr>
          <w:rFonts w:cs="Arial"/>
        </w:rPr>
        <w:t>AN-SNAP Version 5.0 was released in December</w:t>
      </w:r>
      <w:r w:rsidR="00DA2F0C">
        <w:rPr>
          <w:rFonts w:cs="Arial"/>
        </w:rPr>
        <w:t> </w:t>
      </w:r>
      <w:r w:rsidRPr="00B53AF0">
        <w:rPr>
          <w:rFonts w:cs="Arial"/>
        </w:rPr>
        <w:t>2021 and has been developed through extensive statistical analysis and consultation with jurisdictions, clinicians and other experts</w:t>
      </w:r>
      <w:r w:rsidR="00C3473C">
        <w:rPr>
          <w:rFonts w:cs="Arial"/>
        </w:rPr>
        <w:t xml:space="preserve">. </w:t>
      </w:r>
      <w:r w:rsidR="00C3473C">
        <w:rPr>
          <w:rFonts w:cs="Arial"/>
        </w:rPr>
        <w:t>AN-SNAP Version 5.0</w:t>
      </w:r>
      <w:r w:rsidRPr="00B53AF0">
        <w:rPr>
          <w:rFonts w:cs="Arial"/>
        </w:rPr>
        <w:t xml:space="preserve"> represents a modest refinement of AN-SNAP Version 4.0.</w:t>
      </w:r>
    </w:p>
    <w:p w14:paraId="27A89EBC" w14:textId="0D31E866" w:rsidR="00B53AF0" w:rsidRPr="00B53AF0" w:rsidRDefault="008E0DF4" w:rsidP="00B53AF0">
      <w:pPr>
        <w:pStyle w:val="BodyText"/>
        <w:rPr>
          <w:rFonts w:cs="Arial"/>
        </w:rPr>
      </w:pPr>
      <w:r>
        <w:rPr>
          <w:rFonts w:cs="Arial"/>
        </w:rPr>
        <w:t xml:space="preserve">The most significant change is a proposal to recognise frailty as a cost driver for subacute care by </w:t>
      </w:r>
      <w:r w:rsidRPr="008E0DF4">
        <w:rPr>
          <w:rFonts w:cs="Arial"/>
        </w:rPr>
        <w:t xml:space="preserve">incorporating the Frailty Related Index of Comorbidities into the classification for geriatric evaluation and management and </w:t>
      </w:r>
      <w:r w:rsidR="006733B0" w:rsidRPr="008E0DF4">
        <w:rPr>
          <w:rFonts w:cs="Arial"/>
        </w:rPr>
        <w:t>non-acute</w:t>
      </w:r>
      <w:r w:rsidRPr="008E0DF4">
        <w:rPr>
          <w:rFonts w:cs="Arial"/>
        </w:rPr>
        <w:t xml:space="preserve"> episodes of care</w:t>
      </w:r>
      <w:r>
        <w:rPr>
          <w:rFonts w:cs="Arial"/>
        </w:rPr>
        <w:t xml:space="preserve">. In </w:t>
      </w:r>
      <w:r w:rsidRPr="008E0DF4">
        <w:rPr>
          <w:rFonts w:cs="Arial"/>
        </w:rPr>
        <w:t xml:space="preserve">addition, a new impairment type </w:t>
      </w:r>
      <w:r>
        <w:rPr>
          <w:rFonts w:cs="Arial"/>
        </w:rPr>
        <w:t xml:space="preserve">group for joint replacement (shoulder, hip and knee) episodes in the rehabilitation branch has </w:t>
      </w:r>
      <w:r w:rsidRPr="008E0DF4">
        <w:rPr>
          <w:rFonts w:cs="Arial"/>
        </w:rPr>
        <w:t xml:space="preserve">been added, and </w:t>
      </w:r>
      <w:r>
        <w:rPr>
          <w:rFonts w:cs="Arial"/>
        </w:rPr>
        <w:t xml:space="preserve">some </w:t>
      </w:r>
      <w:r w:rsidRPr="008E0DF4">
        <w:rPr>
          <w:rFonts w:cs="Arial"/>
        </w:rPr>
        <w:t>existing variables in the classification have been reordered or expanded, including the use of the Health of the Nation Outcome Scales 65+.</w:t>
      </w:r>
    </w:p>
    <w:p w14:paraId="0ADE5762" w14:textId="6FA74793" w:rsidR="00B53AF0" w:rsidRPr="00B53AF0" w:rsidRDefault="00B53AF0" w:rsidP="00B53AF0">
      <w:pPr>
        <w:pStyle w:val="BodyText"/>
        <w:rPr>
          <w:rFonts w:cs="Arial"/>
        </w:rPr>
      </w:pPr>
      <w:r w:rsidRPr="00B53AF0">
        <w:rPr>
          <w:rFonts w:cs="Arial"/>
        </w:rPr>
        <w:t>As there is minimal change between AN-SNAP Version 4.0 and AN-SNAP Version 5.0, IHPA proposes to progress to pricing admitted subacute and non-acute services using AN-SNAP Version 5.0</w:t>
      </w:r>
      <w:r w:rsidR="00770B7C">
        <w:rPr>
          <w:rFonts w:cs="Arial"/>
        </w:rPr>
        <w:t xml:space="preserve"> for NEP23, </w:t>
      </w:r>
      <w:r w:rsidRPr="00B53AF0">
        <w:rPr>
          <w:rFonts w:cs="Arial"/>
        </w:rPr>
        <w:t>following one year of shadow pricing.</w:t>
      </w:r>
    </w:p>
    <w:p w14:paraId="30455ED1" w14:textId="77777777" w:rsidR="001522B1" w:rsidRPr="0065414C" w:rsidRDefault="001522B1" w:rsidP="001522B1">
      <w:pPr>
        <w:pStyle w:val="BodyText"/>
        <w:rPr>
          <w:rFonts w:cs="Arial"/>
        </w:rPr>
      </w:pPr>
      <w:r w:rsidRPr="0065414C">
        <w:rPr>
          <w:rFonts w:cs="Arial"/>
          <w:noProof/>
          <w:lang w:eastAsia="en-AU" w:bidi="ar-SA"/>
        </w:rPr>
        <mc:AlternateContent>
          <mc:Choice Requires="wps">
            <w:drawing>
              <wp:inline distT="0" distB="0" distL="0" distR="0" wp14:anchorId="66B500F6" wp14:editId="3039AD6B">
                <wp:extent cx="2689200" cy="1311275"/>
                <wp:effectExtent l="0" t="0" r="16510" b="22225"/>
                <wp:docPr id="39" name="Text Box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200" cy="1311275"/>
                        </a:xfrm>
                        <a:prstGeom prst="rect">
                          <a:avLst/>
                        </a:prstGeom>
                        <a:noFill/>
                        <a:ln w="9525">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7495741E" w14:textId="0264C879" w:rsidR="00FE6544" w:rsidRPr="005470B1" w:rsidRDefault="00FE6544" w:rsidP="001522B1">
                            <w:pPr>
                              <w:pStyle w:val="Questionheading"/>
                              <w:ind w:left="426"/>
                            </w:pPr>
                            <w:r>
                              <w:rPr>
                                <w:b w:val="0"/>
                                <w:noProof/>
                                <w:lang w:eastAsia="en-AU" w:bidi="ar-SA"/>
                              </w:rPr>
                              <w:drawing>
                                <wp:inline distT="0" distB="0" distL="0" distR="0" wp14:anchorId="4118EEFF" wp14:editId="7FD9EA74">
                                  <wp:extent cx="239395" cy="207059"/>
                                  <wp:effectExtent l="0" t="0" r="8255" b="2540"/>
                                  <wp:docPr id="33" name="Picture 33" descr="Question mark to left of the ‘Consultation question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Question mark to left of the ‘Consultation questions’ title"/>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39395" cy="207059"/>
                                          </a:xfrm>
                                          <a:prstGeom prst="rect">
                                            <a:avLst/>
                                          </a:prstGeom>
                                          <a:noFill/>
                                          <a:ln>
                                            <a:noFill/>
                                          </a:ln>
                                        </pic:spPr>
                                      </pic:pic>
                                    </a:graphicData>
                                  </a:graphic>
                                </wp:inline>
                              </w:drawing>
                            </w:r>
                            <w:r>
                              <w:t xml:space="preserve">  </w:t>
                            </w:r>
                            <w:r w:rsidRPr="005470B1">
                              <w:t>Consultation question</w:t>
                            </w:r>
                          </w:p>
                          <w:p w14:paraId="249487AE" w14:textId="4C10CBB3" w:rsidR="00FE6544" w:rsidRDefault="00FE6544" w:rsidP="00BB5451">
                            <w:pPr>
                              <w:pStyle w:val="ListParagraph"/>
                              <w:numPr>
                                <w:ilvl w:val="0"/>
                                <w:numId w:val="44"/>
                              </w:numPr>
                              <w:ind w:right="283"/>
                            </w:pPr>
                            <w:r>
                              <w:t xml:space="preserve">Are there any barriers or additional considerations to using AN-SNAP Version 5.0 to </w:t>
                            </w:r>
                            <w:r w:rsidRPr="00B53AF0">
                              <w:t>price a</w:t>
                            </w:r>
                            <w:r>
                              <w:t>dmitted subacute and non-acute services for NEP23?</w:t>
                            </w:r>
                          </w:p>
                        </w:txbxContent>
                      </wps:txbx>
                      <wps:bodyPr rot="0" vert="horz" wrap="square" lIns="0" tIns="0" rIns="0" bIns="0" anchor="t" anchorCtr="0" upright="1">
                        <a:noAutofit/>
                      </wps:bodyPr>
                    </wps:wsp>
                  </a:graphicData>
                </a:graphic>
              </wp:inline>
            </w:drawing>
          </mc:Choice>
          <mc:Fallback xmlns:w16sdtdh="http://schemas.microsoft.com/office/word/2020/wordml/sdtdatahash" xmlns:oel="http://schemas.microsoft.com/office/2019/extlst">
            <w:pict>
              <v:shape w14:anchorId="66B500F6" id="_x0000_s1029" type="#_x0000_t202" alt="&quot;&quot;" style="width:211.75pt;height:10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" filled="f" strokecolor="#009ab8 [3209]">
                <v:textbox inset="0,0,0,0">
                  <w:txbxContent>
                    <w:p w14:paraId="7495741E" w14:textId="0264C879" w:rsidR="00FE6544" w:rsidRPr="005470B1" w:rsidRDefault="00FE6544" w:rsidP="001522B1">
                      <w:pPr>
                        <w:pStyle w:val="Questionheading"/>
                        <w:ind w:left="426"/>
                      </w:pPr>
                      <w:r>
                        <w:rPr>
                          <w:b w:val="0"/>
                          <w:noProof/>
                          <w:lang w:eastAsia="en-AU" w:bidi="ar-SA"/>
                        </w:rPr>
                        <w:drawing>
                          <wp:inline distT="0" distB="0" distL="0" distR="0" wp14:anchorId="4118EEFF" wp14:editId="7FD9EA74">
                            <wp:extent cx="239395" cy="207059"/>
                            <wp:effectExtent l="0" t="0" r="8255" b="2540"/>
                            <wp:docPr id="33" name="Picture 33" descr="Question mark to left of the ‘Consultation question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Question mark to left of the ‘Consultation questions’ title"/>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39395" cy="207059"/>
                                    </a:xfrm>
                                    <a:prstGeom prst="rect">
                                      <a:avLst/>
                                    </a:prstGeom>
                                    <a:noFill/>
                                    <a:ln>
                                      <a:noFill/>
                                    </a:ln>
                                  </pic:spPr>
                                </pic:pic>
                              </a:graphicData>
                            </a:graphic>
                          </wp:inline>
                        </w:drawing>
                      </w:r>
                      <w:r>
                        <w:t xml:space="preserve">  </w:t>
                      </w:r>
                      <w:r w:rsidRPr="005470B1">
                        <w:t>Consultation question</w:t>
                      </w:r>
                    </w:p>
                    <w:p w14:paraId="249487AE" w14:textId="4C10CBB3" w:rsidR="00FE6544" w:rsidRDefault="00FE6544" w:rsidP="00BB5451">
                      <w:pPr>
                        <w:pStyle w:val="ListParagraph"/>
                        <w:numPr>
                          <w:ilvl w:val="0"/>
                          <w:numId w:val="44"/>
                        </w:numPr>
                        <w:ind w:right="283"/>
                      </w:pPr>
                      <w:r>
                        <w:t xml:space="preserve">Are there any barriers or additional considerations to using AN-SNAP Version 5.0 to </w:t>
                      </w:r>
                      <w:r w:rsidRPr="00B53AF0">
                        <w:t>price a</w:t>
                      </w:r>
                      <w:r>
                        <w:t>dmitted subacute and non-acute services for NEP23?</w:t>
                      </w:r>
                    </w:p>
                  </w:txbxContent>
                </v:textbox>
                <w10:anchorlock/>
              </v:shape>
            </w:pict>
          </mc:Fallback>
        </mc:AlternateContent>
      </w:r>
    </w:p>
    <w:p w14:paraId="70533BE2" w14:textId="3C3B45D1" w:rsidR="001522B1" w:rsidRPr="0065414C" w:rsidRDefault="00E52762" w:rsidP="001522B1">
      <w:pPr>
        <w:pStyle w:val="Heading2"/>
        <w:rPr>
          <w:rFonts w:cs="Arial"/>
        </w:rPr>
      </w:pPr>
      <w:bookmarkStart w:id="58" w:name="_Toc71631311"/>
      <w:r>
        <w:rPr>
          <w:rFonts w:cs="Arial"/>
        </w:rPr>
        <w:t>5</w:t>
      </w:r>
      <w:r w:rsidR="001522B1" w:rsidRPr="0065414C">
        <w:rPr>
          <w:rFonts w:cs="Arial"/>
        </w:rPr>
        <w:t>.</w:t>
      </w:r>
      <w:r w:rsidR="001522B1">
        <w:rPr>
          <w:rFonts w:cs="Arial"/>
        </w:rPr>
        <w:t>3</w:t>
      </w:r>
      <w:r w:rsidR="001522B1" w:rsidRPr="0065414C">
        <w:rPr>
          <w:rFonts w:cs="Arial"/>
        </w:rPr>
        <w:t xml:space="preserve">. </w:t>
      </w:r>
      <w:r w:rsidR="001522B1">
        <w:rPr>
          <w:rFonts w:cs="Arial"/>
        </w:rPr>
        <w:t>Emergency</w:t>
      </w:r>
      <w:r w:rsidR="001522B1" w:rsidRPr="0065414C">
        <w:rPr>
          <w:rFonts w:cs="Arial"/>
        </w:rPr>
        <w:t xml:space="preserve"> care</w:t>
      </w:r>
      <w:bookmarkEnd w:id="58"/>
    </w:p>
    <w:p w14:paraId="3BB72328" w14:textId="77777777" w:rsidR="00B3738E" w:rsidRPr="00B3738E" w:rsidRDefault="00B3738E" w:rsidP="00B3738E">
      <w:pPr>
        <w:pStyle w:val="BodyText"/>
        <w:rPr>
          <w:rFonts w:cs="Arial"/>
        </w:rPr>
      </w:pPr>
      <w:bookmarkStart w:id="59" w:name="_Hlk102662740"/>
      <w:r w:rsidRPr="00B3738E">
        <w:rPr>
          <w:rFonts w:cs="Arial"/>
        </w:rPr>
        <w:t xml:space="preserve">For NEP22, IHPA used the Australian Emergency Care Classification (AECC) Version 1.0 to price emergency department activities and Urgency Disposition Groups (UDGs) Version 1.3 to price </w:t>
      </w:r>
      <w:bookmarkStart w:id="60" w:name="_Hlk102662750"/>
      <w:bookmarkEnd w:id="59"/>
      <w:r w:rsidRPr="00B3738E">
        <w:rPr>
          <w:rFonts w:cs="Arial"/>
        </w:rPr>
        <w:t xml:space="preserve">emergency services. </w:t>
      </w:r>
    </w:p>
    <w:p w14:paraId="7BCC82C7" w14:textId="3BD031C9" w:rsidR="00B3738E" w:rsidRPr="00B3738E" w:rsidRDefault="00B3738E" w:rsidP="00B3738E">
      <w:pPr>
        <w:pStyle w:val="BodyText"/>
        <w:rPr>
          <w:rFonts w:cs="Arial"/>
        </w:rPr>
      </w:pPr>
      <w:r w:rsidRPr="00B3738E">
        <w:rPr>
          <w:rFonts w:cs="Arial"/>
        </w:rPr>
        <w:t>IHPA is continuing to investigate future refinements of the AECC</w:t>
      </w:r>
      <w:r w:rsidR="00AB6C42">
        <w:rPr>
          <w:rFonts w:cs="Arial"/>
        </w:rPr>
        <w:t>, including the collection of potential new variables,</w:t>
      </w:r>
      <w:r w:rsidRPr="00B3738E">
        <w:rPr>
          <w:rFonts w:cs="Arial"/>
        </w:rPr>
        <w:t xml:space="preserve"> such as procedure</w:t>
      </w:r>
      <w:r w:rsidR="00AB6C42">
        <w:rPr>
          <w:rFonts w:cs="Arial"/>
        </w:rPr>
        <w:t>s</w:t>
      </w:r>
      <w:r w:rsidRPr="00B3738E">
        <w:rPr>
          <w:rFonts w:cs="Arial"/>
        </w:rPr>
        <w:t xml:space="preserve"> and investigation</w:t>
      </w:r>
      <w:r w:rsidR="00AB6C42">
        <w:rPr>
          <w:rFonts w:cs="Arial"/>
        </w:rPr>
        <w:t xml:space="preserve">s performed in emergency departments, as well as </w:t>
      </w:r>
      <w:r w:rsidRPr="00B3738E">
        <w:rPr>
          <w:rFonts w:cs="Arial"/>
        </w:rPr>
        <w:t xml:space="preserve">telehealth </w:t>
      </w:r>
      <w:r w:rsidR="00AB6C42">
        <w:rPr>
          <w:rFonts w:cs="Arial"/>
        </w:rPr>
        <w:t xml:space="preserve">delivered as part of </w:t>
      </w:r>
      <w:r w:rsidRPr="00B3738E">
        <w:rPr>
          <w:rFonts w:cs="Arial"/>
        </w:rPr>
        <w:t>emergency care. IHPA intends to work with stakeholders to better understand the feasibility of reporting for these items prior to inclusion in national collections for 2023–24.</w:t>
      </w:r>
    </w:p>
    <w:p w14:paraId="21D717C0" w14:textId="6FC216E8" w:rsidR="001522B1" w:rsidRDefault="00B3738E" w:rsidP="00B3738E">
      <w:pPr>
        <w:pStyle w:val="BodyText"/>
        <w:rPr>
          <w:rFonts w:cs="Arial"/>
        </w:rPr>
      </w:pPr>
      <w:r w:rsidRPr="00B3738E">
        <w:rPr>
          <w:rFonts w:cs="Arial"/>
        </w:rPr>
        <w:t>IHPA will continue to use AECC Version 1.0 to price emergency department activities for NEP23</w:t>
      </w:r>
      <w:r w:rsidR="001522B1" w:rsidRPr="00A97D9B">
        <w:rPr>
          <w:rFonts w:cs="Arial"/>
        </w:rPr>
        <w:t>.</w:t>
      </w:r>
    </w:p>
    <w:bookmarkEnd w:id="60"/>
    <w:p w14:paraId="3812443D" w14:textId="1143C093" w:rsidR="001522B1" w:rsidRPr="0065414C" w:rsidRDefault="00E52762" w:rsidP="001522B1">
      <w:pPr>
        <w:pStyle w:val="Heading3"/>
        <w:rPr>
          <w:rFonts w:cs="Arial"/>
        </w:rPr>
      </w:pPr>
      <w:r>
        <w:rPr>
          <w:rFonts w:cs="Arial"/>
        </w:rPr>
        <w:t>5</w:t>
      </w:r>
      <w:r w:rsidR="001522B1">
        <w:rPr>
          <w:rFonts w:cs="Arial"/>
        </w:rPr>
        <w:t>.3.</w:t>
      </w:r>
      <w:r w:rsidR="00B3738E">
        <w:rPr>
          <w:rFonts w:cs="Arial"/>
        </w:rPr>
        <w:t>1</w:t>
      </w:r>
      <w:r w:rsidR="001522B1">
        <w:rPr>
          <w:rFonts w:cs="Arial"/>
        </w:rPr>
        <w:t xml:space="preserve">. </w:t>
      </w:r>
      <w:r w:rsidR="00B3738E" w:rsidRPr="00B3738E">
        <w:rPr>
          <w:rFonts w:cs="Arial"/>
        </w:rPr>
        <w:t>Considering the use of AECC for emergency services</w:t>
      </w:r>
    </w:p>
    <w:p w14:paraId="77E77101" w14:textId="25D448BB" w:rsidR="00B3738E" w:rsidRPr="00B3738E" w:rsidRDefault="00AB6C42" w:rsidP="00B3738E">
      <w:pPr>
        <w:pStyle w:val="BodyText"/>
        <w:rPr>
          <w:rFonts w:cs="Arial"/>
        </w:rPr>
      </w:pPr>
      <w:r>
        <w:rPr>
          <w:rFonts w:cs="Arial"/>
        </w:rPr>
        <w:t xml:space="preserve">In 2021, </w:t>
      </w:r>
      <w:r w:rsidR="00B3738E" w:rsidRPr="00B3738E">
        <w:rPr>
          <w:rFonts w:cs="Arial"/>
        </w:rPr>
        <w:t>IHPA</w:t>
      </w:r>
      <w:r>
        <w:rPr>
          <w:rFonts w:cs="Arial"/>
        </w:rPr>
        <w:t xml:space="preserve"> redeveloped the </w:t>
      </w:r>
      <w:r w:rsidR="00DA2F0C">
        <w:rPr>
          <w:rFonts w:cs="Arial"/>
        </w:rPr>
        <w:t>E</w:t>
      </w:r>
      <w:r>
        <w:rPr>
          <w:rFonts w:cs="Arial"/>
        </w:rPr>
        <w:t xml:space="preserve">mergency </w:t>
      </w:r>
      <w:r w:rsidR="00321F9C">
        <w:rPr>
          <w:rFonts w:cs="Arial"/>
        </w:rPr>
        <w:t>s</w:t>
      </w:r>
      <w:r w:rsidR="00B3738E" w:rsidRPr="00B3738E">
        <w:rPr>
          <w:rFonts w:cs="Arial"/>
        </w:rPr>
        <w:t>ervice</w:t>
      </w:r>
      <w:r w:rsidR="00DA2F0C">
        <w:rPr>
          <w:rFonts w:cs="Arial"/>
        </w:rPr>
        <w:t xml:space="preserve"> </w:t>
      </w:r>
      <w:r w:rsidR="00321F9C">
        <w:rPr>
          <w:rFonts w:cs="Arial"/>
        </w:rPr>
        <w:t>c</w:t>
      </w:r>
      <w:r w:rsidR="00DA2F0C">
        <w:rPr>
          <w:rFonts w:cs="Arial"/>
        </w:rPr>
        <w:t>are</w:t>
      </w:r>
      <w:r w:rsidR="00B3738E" w:rsidRPr="00B3738E">
        <w:rPr>
          <w:rFonts w:cs="Arial"/>
        </w:rPr>
        <w:t xml:space="preserve"> National Best Endeavours Data Set to </w:t>
      </w:r>
      <w:r>
        <w:rPr>
          <w:rFonts w:cs="Arial"/>
        </w:rPr>
        <w:t xml:space="preserve">support patient level reporting for patients </w:t>
      </w:r>
      <w:r>
        <w:rPr>
          <w:rFonts w:cs="Arial"/>
        </w:rPr>
        <w:lastRenderedPageBreak/>
        <w:t>registered for care in emergency services. This will enable</w:t>
      </w:r>
      <w:r w:rsidR="00A576C3">
        <w:rPr>
          <w:rFonts w:cs="Arial"/>
        </w:rPr>
        <w:t xml:space="preserve"> the</w:t>
      </w:r>
      <w:r>
        <w:rPr>
          <w:rFonts w:cs="Arial"/>
        </w:rPr>
        <w:t xml:space="preserve"> consistent reporting of emergency services from 1</w:t>
      </w:r>
      <w:r w:rsidR="00A576C3">
        <w:rPr>
          <w:rFonts w:cs="Arial"/>
        </w:rPr>
        <w:t xml:space="preserve"> </w:t>
      </w:r>
      <w:r>
        <w:rPr>
          <w:rFonts w:cs="Arial"/>
        </w:rPr>
        <w:t>July 2022</w:t>
      </w:r>
      <w:r w:rsidR="00A576C3">
        <w:rPr>
          <w:rFonts w:cs="Arial"/>
        </w:rPr>
        <w:t>,</w:t>
      </w:r>
      <w:r>
        <w:rPr>
          <w:rFonts w:cs="Arial"/>
        </w:rPr>
        <w:t xml:space="preserve"> to align with future national strategies. </w:t>
      </w:r>
    </w:p>
    <w:p w14:paraId="706128AD" w14:textId="1422E060" w:rsidR="001522B1" w:rsidRPr="00A97D9B" w:rsidRDefault="00B3738E" w:rsidP="00B3738E">
      <w:pPr>
        <w:pStyle w:val="BodyText"/>
        <w:rPr>
          <w:rFonts w:cs="Arial"/>
        </w:rPr>
      </w:pPr>
      <w:bookmarkStart w:id="61" w:name="_Hlk102663156"/>
      <w:bookmarkStart w:id="62" w:name="_Hlk102662817"/>
      <w:r w:rsidRPr="00B3738E">
        <w:rPr>
          <w:rFonts w:cs="Arial"/>
        </w:rPr>
        <w:t>IHPA will continue to use UDGs Version 1.3 to price emergency services for NEP23</w:t>
      </w:r>
      <w:r w:rsidR="00AB6C42">
        <w:rPr>
          <w:rFonts w:cs="Arial"/>
        </w:rPr>
        <w:t xml:space="preserve"> </w:t>
      </w:r>
      <w:bookmarkEnd w:id="61"/>
      <w:r w:rsidR="00AB6C42">
        <w:rPr>
          <w:rFonts w:cs="Arial"/>
        </w:rPr>
        <w:t>and will work with states and territories to determine the feasibility of transitioning emergency services to be priced using the AECC in</w:t>
      </w:r>
      <w:r w:rsidR="00DA2F0C">
        <w:rPr>
          <w:rFonts w:cs="Arial"/>
        </w:rPr>
        <w:t xml:space="preserve"> the</w:t>
      </w:r>
      <w:r w:rsidR="00AB6C42">
        <w:rPr>
          <w:rFonts w:cs="Arial"/>
        </w:rPr>
        <w:t xml:space="preserve"> future</w:t>
      </w:r>
      <w:r w:rsidR="001522B1" w:rsidRPr="00A97D9B">
        <w:rPr>
          <w:rFonts w:cs="Arial"/>
        </w:rPr>
        <w:t>.</w:t>
      </w:r>
    </w:p>
    <w:p w14:paraId="0A93AF1E" w14:textId="2C5CB5A7" w:rsidR="001522B1" w:rsidRPr="0065414C" w:rsidRDefault="00E52762" w:rsidP="001522B1">
      <w:pPr>
        <w:pStyle w:val="Heading2"/>
        <w:rPr>
          <w:rFonts w:cs="Arial"/>
        </w:rPr>
      </w:pPr>
      <w:bookmarkStart w:id="63" w:name="_Toc71631312"/>
      <w:bookmarkEnd w:id="62"/>
      <w:r>
        <w:rPr>
          <w:rFonts w:cs="Arial"/>
        </w:rPr>
        <w:t>5</w:t>
      </w:r>
      <w:r w:rsidR="001522B1" w:rsidRPr="0065414C">
        <w:rPr>
          <w:rFonts w:cs="Arial"/>
        </w:rPr>
        <w:t xml:space="preserve">.4. </w:t>
      </w:r>
      <w:r w:rsidR="001522B1">
        <w:rPr>
          <w:rFonts w:cs="Arial"/>
        </w:rPr>
        <w:t>Non-admitted</w:t>
      </w:r>
      <w:r w:rsidR="001522B1" w:rsidRPr="0065414C">
        <w:rPr>
          <w:rFonts w:cs="Arial"/>
        </w:rPr>
        <w:t xml:space="preserve"> </w:t>
      </w:r>
      <w:r w:rsidR="001522B1">
        <w:rPr>
          <w:rFonts w:cs="Arial"/>
        </w:rPr>
        <w:t>c</w:t>
      </w:r>
      <w:r w:rsidR="001522B1" w:rsidRPr="0065414C">
        <w:rPr>
          <w:rFonts w:cs="Arial"/>
        </w:rPr>
        <w:t>are</w:t>
      </w:r>
      <w:bookmarkEnd w:id="63"/>
    </w:p>
    <w:p w14:paraId="5EB1BC28" w14:textId="2BA91375" w:rsidR="001522B1" w:rsidRDefault="00E52762" w:rsidP="001522B1">
      <w:pPr>
        <w:pStyle w:val="Heading3"/>
        <w:rPr>
          <w:rFonts w:cs="Arial"/>
        </w:rPr>
      </w:pPr>
      <w:r>
        <w:rPr>
          <w:rFonts w:cs="Arial"/>
        </w:rPr>
        <w:t>5</w:t>
      </w:r>
      <w:r w:rsidR="001522B1">
        <w:rPr>
          <w:rFonts w:cs="Arial"/>
        </w:rPr>
        <w:t xml:space="preserve">.4.1. </w:t>
      </w:r>
      <w:r w:rsidR="001522B1" w:rsidRPr="00A97D9B">
        <w:rPr>
          <w:rFonts w:cs="Arial"/>
        </w:rPr>
        <w:t>Tier 2 Non-Admitted Services Classification</w:t>
      </w:r>
    </w:p>
    <w:p w14:paraId="45931CB9" w14:textId="34594393" w:rsidR="00B3738E" w:rsidRPr="00B3738E" w:rsidRDefault="00B3738E" w:rsidP="00B3738E">
      <w:pPr>
        <w:pStyle w:val="BodyText"/>
        <w:rPr>
          <w:rFonts w:cs="Arial"/>
        </w:rPr>
      </w:pPr>
      <w:r w:rsidRPr="00B3738E">
        <w:rPr>
          <w:rFonts w:cs="Arial"/>
        </w:rPr>
        <w:t xml:space="preserve">The Tier 2 Non-Admitted Services Classification </w:t>
      </w:r>
      <w:r w:rsidR="00AB6C42">
        <w:rPr>
          <w:rFonts w:cs="Arial"/>
        </w:rPr>
        <w:t xml:space="preserve">(Tier 2) </w:t>
      </w:r>
      <w:r w:rsidRPr="00B3738E">
        <w:rPr>
          <w:rFonts w:cs="Arial"/>
        </w:rPr>
        <w:t xml:space="preserve">is the existing classification system used </w:t>
      </w:r>
      <w:r w:rsidR="00DA2F0C">
        <w:rPr>
          <w:rFonts w:cs="Arial"/>
        </w:rPr>
        <w:t>to</w:t>
      </w:r>
      <w:r w:rsidRPr="00B3738E">
        <w:rPr>
          <w:rFonts w:cs="Arial"/>
        </w:rPr>
        <w:t xml:space="preserve"> pric</w:t>
      </w:r>
      <w:r w:rsidR="00DA2F0C">
        <w:rPr>
          <w:rFonts w:cs="Arial"/>
        </w:rPr>
        <w:t>e</w:t>
      </w:r>
      <w:r w:rsidRPr="00B3738E">
        <w:rPr>
          <w:rFonts w:cs="Arial"/>
        </w:rPr>
        <w:t xml:space="preserve"> non-admitted services. </w:t>
      </w:r>
      <w:r w:rsidR="00AB6C42">
        <w:rPr>
          <w:rFonts w:cs="Arial"/>
        </w:rPr>
        <w:t>Tier 2</w:t>
      </w:r>
      <w:r w:rsidRPr="00B3738E">
        <w:rPr>
          <w:rFonts w:cs="Arial"/>
        </w:rPr>
        <w:t xml:space="preserve"> categorises a public hospital’s non-admitted services into classes which are generally based on the nature of the service and the type of clinician providing the service.</w:t>
      </w:r>
    </w:p>
    <w:p w14:paraId="37C1B8C1" w14:textId="76C01C10" w:rsidR="00B3738E" w:rsidRPr="00B3738E" w:rsidRDefault="00B3738E" w:rsidP="00B3738E">
      <w:pPr>
        <w:pStyle w:val="BodyText"/>
        <w:rPr>
          <w:rFonts w:cs="Arial"/>
        </w:rPr>
      </w:pPr>
      <w:r w:rsidRPr="00B3738E">
        <w:rPr>
          <w:rFonts w:cs="Arial"/>
        </w:rPr>
        <w:t xml:space="preserve">For NEP22, IHPA used </w:t>
      </w:r>
      <w:r w:rsidR="00AB6C42">
        <w:rPr>
          <w:rFonts w:cs="Arial"/>
        </w:rPr>
        <w:t>Tier 2</w:t>
      </w:r>
      <w:r w:rsidRPr="00B3738E">
        <w:rPr>
          <w:rFonts w:cs="Arial"/>
        </w:rPr>
        <w:t xml:space="preserve"> Version 7.0 </w:t>
      </w:r>
      <w:r w:rsidR="00DA2F0C">
        <w:rPr>
          <w:rFonts w:cs="Arial"/>
        </w:rPr>
        <w:t>to</w:t>
      </w:r>
      <w:r w:rsidRPr="00B3738E">
        <w:rPr>
          <w:rFonts w:cs="Arial"/>
        </w:rPr>
        <w:t xml:space="preserve"> pric</w:t>
      </w:r>
      <w:r w:rsidR="00DA2F0C">
        <w:rPr>
          <w:rFonts w:cs="Arial"/>
        </w:rPr>
        <w:t>e</w:t>
      </w:r>
      <w:r w:rsidRPr="00B3738E">
        <w:rPr>
          <w:rFonts w:cs="Arial"/>
        </w:rPr>
        <w:t xml:space="preserve"> non-admitted services.</w:t>
      </w:r>
    </w:p>
    <w:p w14:paraId="1DD98BE6" w14:textId="2B5476C1" w:rsidR="00B3738E" w:rsidRPr="00B3738E" w:rsidRDefault="00B3738E" w:rsidP="00B3738E">
      <w:pPr>
        <w:pStyle w:val="BodyText"/>
        <w:rPr>
          <w:rFonts w:cs="Arial"/>
        </w:rPr>
      </w:pPr>
      <w:r w:rsidRPr="00B3738E">
        <w:rPr>
          <w:rFonts w:cs="Arial"/>
        </w:rPr>
        <w:t>IHPA is committed to undertaking maintenance work to ensure relevancy of Tier 2 for ABF purposes while a new non-admitted care classification is being developed. IHPA has consulted with jurisdictions and stakeholders via its advisory committees on additional refinements that could be made to Tier 2</w:t>
      </w:r>
      <w:r w:rsidR="00DA2F0C">
        <w:rPr>
          <w:rFonts w:cs="Arial"/>
        </w:rPr>
        <w:t xml:space="preserve">. Proposed refinements </w:t>
      </w:r>
      <w:r w:rsidR="00AB6C42">
        <w:rPr>
          <w:rFonts w:cs="Arial"/>
        </w:rPr>
        <w:t>include</w:t>
      </w:r>
      <w:r w:rsidR="00DA2F0C">
        <w:rPr>
          <w:rFonts w:cs="Arial"/>
        </w:rPr>
        <w:t xml:space="preserve"> </w:t>
      </w:r>
      <w:r w:rsidR="00AB6C42">
        <w:rPr>
          <w:rFonts w:cs="Arial"/>
        </w:rPr>
        <w:t xml:space="preserve">additional Tier 2 classes to better capture </w:t>
      </w:r>
      <w:r w:rsidR="00AB6C42" w:rsidRPr="00DA2F0C">
        <w:rPr>
          <w:rFonts w:cs="Arial"/>
        </w:rPr>
        <w:t>violence, abuse and neglect services, exercise physiology services, genetics services and long COVID-19</w:t>
      </w:r>
      <w:r w:rsidR="00AB6C42">
        <w:rPr>
          <w:rFonts w:cs="Arial"/>
          <w:i/>
          <w:iCs/>
        </w:rPr>
        <w:t xml:space="preserve">. </w:t>
      </w:r>
      <w:r w:rsidR="00AB6C42" w:rsidRPr="00EE70A8">
        <w:rPr>
          <w:rFonts w:cs="Arial"/>
        </w:rPr>
        <w:t xml:space="preserve">IHPA will continue to work with stakeholders </w:t>
      </w:r>
      <w:r w:rsidR="00AB6C42">
        <w:rPr>
          <w:rFonts w:cs="Arial"/>
        </w:rPr>
        <w:t xml:space="preserve">on the proposed refinements for inclusion in </w:t>
      </w:r>
      <w:r w:rsidR="00AB6C42" w:rsidRPr="00A45208">
        <w:rPr>
          <w:rFonts w:cs="Arial"/>
        </w:rPr>
        <w:t>Tier 2 for 2023–24</w:t>
      </w:r>
      <w:r w:rsidRPr="00B3738E">
        <w:rPr>
          <w:rFonts w:cs="Arial"/>
        </w:rPr>
        <w:t xml:space="preserve">. </w:t>
      </w:r>
    </w:p>
    <w:p w14:paraId="4374FB9F" w14:textId="38191586" w:rsidR="001522B1" w:rsidRDefault="004A55B7" w:rsidP="00B3738E">
      <w:pPr>
        <w:pStyle w:val="BodyText"/>
        <w:rPr>
          <w:rFonts w:cs="Arial"/>
        </w:rPr>
      </w:pPr>
      <w:r>
        <w:rPr>
          <w:rFonts w:cs="Arial"/>
        </w:rPr>
        <w:t xml:space="preserve">For NEP23, </w:t>
      </w:r>
      <w:r w:rsidRPr="004A55B7">
        <w:rPr>
          <w:rFonts w:cs="Arial"/>
        </w:rPr>
        <w:t>intends to continue using Tier 2 to price non-admitted services</w:t>
      </w:r>
      <w:r>
        <w:rPr>
          <w:rFonts w:cs="Arial"/>
        </w:rPr>
        <w:t xml:space="preserve">. The inclusion of any of the proposed refinements may result in the development of a new version of </w:t>
      </w:r>
      <w:r w:rsidR="00BB5451">
        <w:rPr>
          <w:rFonts w:cs="Arial"/>
        </w:rPr>
        <w:t>Tier 2</w:t>
      </w:r>
      <w:r>
        <w:rPr>
          <w:rFonts w:cs="Arial"/>
        </w:rPr>
        <w:t xml:space="preserve">. </w:t>
      </w:r>
      <w:r w:rsidR="00B3738E" w:rsidRPr="00B3738E">
        <w:rPr>
          <w:rFonts w:cs="Arial"/>
        </w:rPr>
        <w:t xml:space="preserve">IHPA </w:t>
      </w:r>
      <w:r>
        <w:rPr>
          <w:rFonts w:cs="Arial"/>
        </w:rPr>
        <w:t xml:space="preserve">will consider the suitability for pricing or shadow pricing any new classes in </w:t>
      </w:r>
      <w:r w:rsidR="00BB5451">
        <w:rPr>
          <w:rFonts w:cs="Arial"/>
        </w:rPr>
        <w:t>Tier 2 in the development of</w:t>
      </w:r>
      <w:r>
        <w:rPr>
          <w:rFonts w:cs="Arial"/>
        </w:rPr>
        <w:t xml:space="preserve"> NEP23</w:t>
      </w:r>
      <w:r w:rsidR="001522B1" w:rsidRPr="00A97D9B">
        <w:rPr>
          <w:rFonts w:cs="Arial"/>
        </w:rPr>
        <w:t>.</w:t>
      </w:r>
    </w:p>
    <w:p w14:paraId="79E5E8BC" w14:textId="3BFD4B01" w:rsidR="001522B1" w:rsidRDefault="00E52762" w:rsidP="001522B1">
      <w:pPr>
        <w:pStyle w:val="Heading3"/>
        <w:rPr>
          <w:rFonts w:cs="Arial"/>
        </w:rPr>
      </w:pPr>
      <w:r>
        <w:rPr>
          <w:rFonts w:cs="Arial"/>
        </w:rPr>
        <w:t>5</w:t>
      </w:r>
      <w:r w:rsidR="001522B1">
        <w:rPr>
          <w:rFonts w:cs="Arial"/>
        </w:rPr>
        <w:t xml:space="preserve">.4.2. </w:t>
      </w:r>
      <w:r w:rsidR="001522B1" w:rsidRPr="00A97D9B">
        <w:rPr>
          <w:rFonts w:cs="Arial"/>
        </w:rPr>
        <w:t>A</w:t>
      </w:r>
      <w:r w:rsidR="00C3473C">
        <w:rPr>
          <w:rFonts w:cs="Arial"/>
        </w:rPr>
        <w:t xml:space="preserve"> new n</w:t>
      </w:r>
      <w:r w:rsidR="001522B1" w:rsidRPr="00A97D9B">
        <w:rPr>
          <w:rFonts w:cs="Arial"/>
        </w:rPr>
        <w:t>on-</w:t>
      </w:r>
      <w:r w:rsidR="00C3473C">
        <w:rPr>
          <w:rFonts w:cs="Arial"/>
        </w:rPr>
        <w:t>a</w:t>
      </w:r>
      <w:r w:rsidR="001522B1" w:rsidRPr="00A97D9B">
        <w:rPr>
          <w:rFonts w:cs="Arial"/>
        </w:rPr>
        <w:t xml:space="preserve">dmitted </w:t>
      </w:r>
      <w:r w:rsidR="00C3473C">
        <w:rPr>
          <w:rFonts w:cs="Arial"/>
        </w:rPr>
        <w:t>c</w:t>
      </w:r>
      <w:r w:rsidR="001522B1" w:rsidRPr="00A97D9B">
        <w:rPr>
          <w:rFonts w:cs="Arial"/>
        </w:rPr>
        <w:t xml:space="preserve">are </w:t>
      </w:r>
      <w:r w:rsidR="00C3473C">
        <w:rPr>
          <w:rFonts w:cs="Arial"/>
        </w:rPr>
        <w:t>c</w:t>
      </w:r>
      <w:r w:rsidR="001522B1" w:rsidRPr="00A97D9B">
        <w:rPr>
          <w:rFonts w:cs="Arial"/>
        </w:rPr>
        <w:t>lassification</w:t>
      </w:r>
    </w:p>
    <w:p w14:paraId="27AE1F06" w14:textId="7665641D" w:rsidR="00B3738E" w:rsidRPr="00B3738E" w:rsidRDefault="00B3738E" w:rsidP="00B3738E">
      <w:pPr>
        <w:pStyle w:val="BodyText"/>
        <w:rPr>
          <w:rFonts w:cs="Arial"/>
        </w:rPr>
      </w:pPr>
      <w:r w:rsidRPr="00B3738E">
        <w:rPr>
          <w:rFonts w:cs="Arial"/>
        </w:rPr>
        <w:t xml:space="preserve">IHPA is developing a new non-admitted care classification to better describe patient characteristics and care complexity in order to more accurately reflect the costs of </w:t>
      </w:r>
      <w:r w:rsidR="00770B7C" w:rsidRPr="00B3738E">
        <w:rPr>
          <w:rFonts w:cs="Arial"/>
        </w:rPr>
        <w:t>non-admitted</w:t>
      </w:r>
      <w:r w:rsidRPr="00B3738E">
        <w:rPr>
          <w:rFonts w:cs="Arial"/>
        </w:rPr>
        <w:t xml:space="preserve"> services.</w:t>
      </w:r>
    </w:p>
    <w:p w14:paraId="5DE8E56C" w14:textId="752AF863" w:rsidR="00B3738E" w:rsidRPr="00B3738E" w:rsidRDefault="00B3738E" w:rsidP="00B3738E">
      <w:pPr>
        <w:pStyle w:val="BodyText"/>
        <w:rPr>
          <w:rFonts w:cs="Arial"/>
        </w:rPr>
      </w:pPr>
      <w:r w:rsidRPr="00B3738E">
        <w:rPr>
          <w:rFonts w:cs="Arial"/>
        </w:rPr>
        <w:t xml:space="preserve">The new </w:t>
      </w:r>
      <w:r w:rsidR="00C3473C">
        <w:rPr>
          <w:rFonts w:cs="Arial"/>
        </w:rPr>
        <w:t>n</w:t>
      </w:r>
      <w:r w:rsidRPr="00B3738E">
        <w:rPr>
          <w:rFonts w:cs="Arial"/>
        </w:rPr>
        <w:t>on-</w:t>
      </w:r>
      <w:r w:rsidR="00C3473C">
        <w:rPr>
          <w:rFonts w:cs="Arial"/>
        </w:rPr>
        <w:t>a</w:t>
      </w:r>
      <w:r w:rsidRPr="00B3738E">
        <w:rPr>
          <w:rFonts w:cs="Arial"/>
        </w:rPr>
        <w:t xml:space="preserve">dmitted </w:t>
      </w:r>
      <w:r w:rsidR="00C3473C">
        <w:rPr>
          <w:rFonts w:cs="Arial"/>
        </w:rPr>
        <w:t>c</w:t>
      </w:r>
      <w:r w:rsidRPr="00B3738E">
        <w:rPr>
          <w:rFonts w:cs="Arial"/>
        </w:rPr>
        <w:t xml:space="preserve">are </w:t>
      </w:r>
      <w:r w:rsidR="00C3473C">
        <w:rPr>
          <w:rFonts w:cs="Arial"/>
        </w:rPr>
        <w:t>c</w:t>
      </w:r>
      <w:r w:rsidRPr="00B3738E">
        <w:rPr>
          <w:rFonts w:cs="Arial"/>
        </w:rPr>
        <w:t xml:space="preserve">lassification will also </w:t>
      </w:r>
      <w:r w:rsidRPr="00B3738E">
        <w:rPr>
          <w:rFonts w:cs="Arial"/>
        </w:rPr>
        <w:t xml:space="preserve">better account for changes in care delivery as services transition to the non-admitted setting, as new electronic medical records </w:t>
      </w:r>
      <w:r w:rsidR="00D70C49">
        <w:t>(</w:t>
      </w:r>
      <w:proofErr w:type="spellStart"/>
      <w:r w:rsidR="00D70C49">
        <w:t>eMRs</w:t>
      </w:r>
      <w:proofErr w:type="spellEnd"/>
      <w:r w:rsidR="00D70C49">
        <w:t xml:space="preserve">) </w:t>
      </w:r>
      <w:r w:rsidRPr="00B3738E">
        <w:rPr>
          <w:rFonts w:cs="Arial"/>
        </w:rPr>
        <w:t>allow for more detailed data capture.</w:t>
      </w:r>
    </w:p>
    <w:p w14:paraId="4AB63B92" w14:textId="1E544DA9" w:rsidR="00B3738E" w:rsidRPr="00B3738E" w:rsidRDefault="00DA2F0C" w:rsidP="00041B5E">
      <w:pPr>
        <w:pStyle w:val="BodyText"/>
      </w:pPr>
      <w:r>
        <w:t xml:space="preserve">In 2018, </w:t>
      </w:r>
      <w:r w:rsidR="00B3738E" w:rsidRPr="00B3738E">
        <w:t>IHPA commenced a national costing study to collect non-admitted activity and cost data and test a shortlist of variables and potential classification hierarchies. The costing study was suspended in 2020 due to the impact of COVID</w:t>
      </w:r>
      <w:r w:rsidR="00EF2952">
        <w:noBreakHyphen/>
      </w:r>
      <w:r w:rsidR="00B3738E" w:rsidRPr="00B3738E">
        <w:t xml:space="preserve">19, resulting in significant delays to the development timeline of the new </w:t>
      </w:r>
      <w:r w:rsidR="00D70C49">
        <w:t>n</w:t>
      </w:r>
      <w:r w:rsidR="00B3738E" w:rsidRPr="00B3738E">
        <w:t>on-</w:t>
      </w:r>
      <w:r w:rsidR="00D70C49">
        <w:t>a</w:t>
      </w:r>
      <w:r w:rsidR="00B3738E" w:rsidRPr="00B3738E">
        <w:t xml:space="preserve">dmitted </w:t>
      </w:r>
      <w:r w:rsidR="00D70C49">
        <w:t>c</w:t>
      </w:r>
      <w:r w:rsidR="00B3738E" w:rsidRPr="00B3738E">
        <w:t xml:space="preserve">are </w:t>
      </w:r>
      <w:r w:rsidR="00D70C49">
        <w:t>c</w:t>
      </w:r>
      <w:r w:rsidR="00B3738E" w:rsidRPr="00B3738E">
        <w:t xml:space="preserve">lassification to replace the </w:t>
      </w:r>
      <w:r w:rsidR="00AB6C42">
        <w:t xml:space="preserve">current </w:t>
      </w:r>
      <w:r w:rsidR="00B3738E" w:rsidRPr="00B3738E">
        <w:t>Tier</w:t>
      </w:r>
      <w:r w:rsidR="00DC7AC0">
        <w:t> </w:t>
      </w:r>
      <w:r w:rsidR="00AB6C42">
        <w:t>2</w:t>
      </w:r>
      <w:r w:rsidR="00B3738E" w:rsidRPr="00B3738E">
        <w:t>.</w:t>
      </w:r>
    </w:p>
    <w:p w14:paraId="73EDAE0B" w14:textId="43FBCE8D" w:rsidR="001B217B" w:rsidRDefault="001B217B" w:rsidP="00534DC2">
      <w:pPr>
        <w:pStyle w:val="BodyText"/>
      </w:pPr>
      <w:r w:rsidRPr="001B217B">
        <w:t xml:space="preserve">Stakeholder feedback received </w:t>
      </w:r>
      <w:r w:rsidR="00EF2952">
        <w:t xml:space="preserve">to the </w:t>
      </w:r>
      <w:r w:rsidR="00EF2952" w:rsidRPr="00EF2952">
        <w:rPr>
          <w:i/>
          <w:iCs/>
        </w:rPr>
        <w:t>Consultation Paper on the</w:t>
      </w:r>
      <w:r w:rsidRPr="00EF2952">
        <w:rPr>
          <w:i/>
          <w:iCs/>
        </w:rPr>
        <w:t xml:space="preserve"> Pricing Framework for Australian Public Hospital Services 2022–23</w:t>
      </w:r>
      <w:r w:rsidRPr="001B217B">
        <w:t xml:space="preserve"> outlined support to recommence the</w:t>
      </w:r>
      <w:r w:rsidR="00DA2F0C">
        <w:t xml:space="preserve"> costing</w:t>
      </w:r>
      <w:r w:rsidRPr="001B217B">
        <w:t xml:space="preserve"> study to further progress the development of a new </w:t>
      </w:r>
      <w:r w:rsidR="00D70C49">
        <w:t>n</w:t>
      </w:r>
      <w:r w:rsidRPr="001B217B">
        <w:t>on</w:t>
      </w:r>
      <w:r w:rsidR="00EF2952">
        <w:noBreakHyphen/>
      </w:r>
      <w:r w:rsidR="00D70C49">
        <w:t>a</w:t>
      </w:r>
      <w:r w:rsidRPr="001B217B">
        <w:t xml:space="preserve">dmitted </w:t>
      </w:r>
      <w:r w:rsidR="00D70C49">
        <w:t>c</w:t>
      </w:r>
      <w:r w:rsidRPr="001B217B">
        <w:t xml:space="preserve">are </w:t>
      </w:r>
      <w:r w:rsidR="00D70C49">
        <w:t>c</w:t>
      </w:r>
      <w:r w:rsidRPr="001B217B">
        <w:t xml:space="preserve">lassification. </w:t>
      </w:r>
    </w:p>
    <w:p w14:paraId="50A3664C" w14:textId="0AE7F7FF" w:rsidR="00534DC2" w:rsidRDefault="00534DC2" w:rsidP="00534DC2">
      <w:pPr>
        <w:pStyle w:val="BodyText"/>
      </w:pPr>
      <w:r>
        <w:t>States and territories</w:t>
      </w:r>
      <w:r w:rsidRPr="00534DC2">
        <w:t xml:space="preserve"> </w:t>
      </w:r>
      <w:r>
        <w:t xml:space="preserve">have made substantial progress </w:t>
      </w:r>
      <w:r w:rsidRPr="00534DC2">
        <w:t>in digitalising health information</w:t>
      </w:r>
      <w:r>
        <w:t xml:space="preserve"> and implementing </w:t>
      </w:r>
      <w:proofErr w:type="spellStart"/>
      <w:r w:rsidR="00DA2F0C">
        <w:t>eMRs</w:t>
      </w:r>
      <w:proofErr w:type="spellEnd"/>
      <w:r>
        <w:t xml:space="preserve">. </w:t>
      </w:r>
      <w:r w:rsidRPr="00534DC2">
        <w:t>This provide</w:t>
      </w:r>
      <w:r w:rsidR="00EF2952">
        <w:t>s</w:t>
      </w:r>
      <w:r w:rsidRPr="00534DC2">
        <w:t xml:space="preserve"> an opportunity to utilise the significant amount of valuable unstructured data that currently exists within jurisdictional administrative and clinical systems.</w:t>
      </w:r>
    </w:p>
    <w:p w14:paraId="37A45D79" w14:textId="05948F49" w:rsidR="001B217B" w:rsidRDefault="00534DC2" w:rsidP="00534DC2">
      <w:pPr>
        <w:pStyle w:val="BodyText"/>
      </w:pPr>
      <w:r w:rsidRPr="00534DC2">
        <w:rPr>
          <w:rFonts w:cs="Arial"/>
        </w:rPr>
        <w:t xml:space="preserve">IHPA proposes a multi-staged plan to investigate the feasibility of recommencing the </w:t>
      </w:r>
      <w:r w:rsidR="00DA2F0C">
        <w:rPr>
          <w:rFonts w:cs="Arial"/>
        </w:rPr>
        <w:t>c</w:t>
      </w:r>
      <w:r w:rsidRPr="00534DC2">
        <w:rPr>
          <w:rFonts w:cs="Arial"/>
        </w:rPr>
        <w:t xml:space="preserve">osting </w:t>
      </w:r>
      <w:r w:rsidR="00DA2F0C">
        <w:rPr>
          <w:rFonts w:cs="Arial"/>
        </w:rPr>
        <w:t>s</w:t>
      </w:r>
      <w:r w:rsidRPr="00534DC2">
        <w:rPr>
          <w:rFonts w:cs="Arial"/>
        </w:rPr>
        <w:t xml:space="preserve">tudy which consists of consultation and development of a proof-of-concept </w:t>
      </w:r>
      <w:r w:rsidR="00EF2952">
        <w:rPr>
          <w:rFonts w:cs="Arial"/>
        </w:rPr>
        <w:t>and leveraging n</w:t>
      </w:r>
      <w:r w:rsidRPr="00534DC2">
        <w:rPr>
          <w:rFonts w:cs="Arial"/>
        </w:rPr>
        <w:t xml:space="preserve">on-admitted service activity data from jurisdictional </w:t>
      </w:r>
      <w:proofErr w:type="spellStart"/>
      <w:r w:rsidRPr="00534DC2">
        <w:rPr>
          <w:rFonts w:cs="Arial"/>
        </w:rPr>
        <w:t>eMR</w:t>
      </w:r>
      <w:proofErr w:type="spellEnd"/>
      <w:r w:rsidRPr="00534DC2">
        <w:rPr>
          <w:rFonts w:cs="Arial"/>
        </w:rPr>
        <w:t xml:space="preserve"> systems.</w:t>
      </w:r>
      <w:r>
        <w:t xml:space="preserve"> </w:t>
      </w:r>
      <w:r w:rsidRPr="00534DC2">
        <w:t xml:space="preserve">This approach would enable the </w:t>
      </w:r>
      <w:r w:rsidR="00DA2F0C">
        <w:t>c</w:t>
      </w:r>
      <w:r w:rsidRPr="00534DC2">
        <w:t xml:space="preserve">osting </w:t>
      </w:r>
      <w:r w:rsidR="00DA2F0C">
        <w:t>s</w:t>
      </w:r>
      <w:r w:rsidRPr="00534DC2">
        <w:t xml:space="preserve">tudy to recommence with a lower impact on clinical service delivery. </w:t>
      </w:r>
    </w:p>
    <w:p w14:paraId="2AF6CDBD" w14:textId="3D63B3EA" w:rsidR="00534DC2" w:rsidRDefault="00534DC2" w:rsidP="00534DC2">
      <w:pPr>
        <w:pStyle w:val="BodyText"/>
      </w:pPr>
      <w:r w:rsidRPr="00534DC2">
        <w:rPr>
          <w:rFonts w:cs="Arial"/>
        </w:rPr>
        <w:t xml:space="preserve">IHPA will work with </w:t>
      </w:r>
      <w:r>
        <w:rPr>
          <w:rFonts w:cs="Arial"/>
        </w:rPr>
        <w:t>jurisdictions and</w:t>
      </w:r>
      <w:r w:rsidRPr="00534DC2">
        <w:rPr>
          <w:rFonts w:cs="Arial"/>
        </w:rPr>
        <w:t xml:space="preserve"> other key stakeholders on the feasibility of this approach prior to finalisation.</w:t>
      </w:r>
    </w:p>
    <w:p w14:paraId="608C9E7E" w14:textId="2CBA7A07" w:rsidR="001522B1" w:rsidRPr="0065414C" w:rsidRDefault="00E52762" w:rsidP="00027ADB">
      <w:pPr>
        <w:pStyle w:val="Heading2"/>
        <w:keepNext/>
        <w:rPr>
          <w:rFonts w:cs="Arial"/>
        </w:rPr>
      </w:pPr>
      <w:bookmarkStart w:id="64" w:name="_Toc71631313"/>
      <w:r>
        <w:rPr>
          <w:rFonts w:cs="Arial"/>
        </w:rPr>
        <w:t>5</w:t>
      </w:r>
      <w:r w:rsidR="001522B1" w:rsidRPr="0065414C">
        <w:rPr>
          <w:rFonts w:cs="Arial"/>
        </w:rPr>
        <w:t>.5. Mental health care</w:t>
      </w:r>
      <w:bookmarkEnd w:id="64"/>
    </w:p>
    <w:p w14:paraId="2F975DF2" w14:textId="404A0740" w:rsidR="00B3738E" w:rsidRPr="0065414C" w:rsidRDefault="00B3738E" w:rsidP="00B3738E">
      <w:pPr>
        <w:pStyle w:val="Heading3"/>
        <w:keepNext/>
        <w:keepLines/>
        <w:rPr>
          <w:rFonts w:cs="Arial"/>
        </w:rPr>
      </w:pPr>
      <w:r>
        <w:rPr>
          <w:rFonts w:cs="Arial"/>
        </w:rPr>
        <w:t xml:space="preserve">5.5.1. </w:t>
      </w:r>
      <w:r w:rsidRPr="0065414C">
        <w:rPr>
          <w:rFonts w:cs="Arial"/>
        </w:rPr>
        <w:t>Mental Health Phase of Care</w:t>
      </w:r>
    </w:p>
    <w:p w14:paraId="5C79DD4B" w14:textId="01CBB6DC" w:rsidR="00B3738E" w:rsidRPr="00B3738E" w:rsidRDefault="00B3738E" w:rsidP="00041B5E">
      <w:pPr>
        <w:pStyle w:val="BodyText"/>
      </w:pPr>
      <w:r w:rsidRPr="00B3738E">
        <w:t xml:space="preserve">In July 2021, IHPA published the </w:t>
      </w:r>
      <w:hyperlink r:id="rId58" w:history="1">
        <w:r w:rsidRPr="00295921">
          <w:rPr>
            <w:rStyle w:val="Hyperlink"/>
            <w:rFonts w:cstheme="minorHAnsi"/>
            <w:i/>
          </w:rPr>
          <w:t>Mental Health Phase of Care Clinical Refinement Project Final Report</w:t>
        </w:r>
      </w:hyperlink>
      <w:r w:rsidRPr="00B3738E">
        <w:t xml:space="preserve">, which outlined the key findings of the project and recommendations to refine </w:t>
      </w:r>
      <w:r w:rsidR="007C4DDD" w:rsidRPr="00B3738E">
        <w:t xml:space="preserve">Mental Health Phase of Care </w:t>
      </w:r>
      <w:r w:rsidR="007C4DDD">
        <w:t>(</w:t>
      </w:r>
      <w:proofErr w:type="spellStart"/>
      <w:r w:rsidRPr="00B3738E">
        <w:t>MHPoC</w:t>
      </w:r>
      <w:proofErr w:type="spellEnd"/>
      <w:r w:rsidR="007C4DDD">
        <w:t>)</w:t>
      </w:r>
      <w:r w:rsidRPr="00B3738E">
        <w:t xml:space="preserve"> definitions within the A</w:t>
      </w:r>
      <w:r w:rsidR="00EE34DA">
        <w:t xml:space="preserve">ustralia </w:t>
      </w:r>
      <w:r w:rsidRPr="00B3738E">
        <w:t>M</w:t>
      </w:r>
      <w:r w:rsidR="00EE34DA">
        <w:t xml:space="preserve">ental Health Care </w:t>
      </w:r>
      <w:r w:rsidRPr="00B3738E">
        <w:t>C</w:t>
      </w:r>
      <w:r w:rsidR="00EE34DA">
        <w:t>lassification (AMHCC)</w:t>
      </w:r>
      <w:r w:rsidRPr="00B3738E">
        <w:t>, in order to improve the consistency with which clinicians apply phase of care.</w:t>
      </w:r>
    </w:p>
    <w:p w14:paraId="1A33334F" w14:textId="421D84EF" w:rsidR="00B3738E" w:rsidRDefault="00B3738E" w:rsidP="00041B5E">
      <w:pPr>
        <w:pStyle w:val="BodyText"/>
      </w:pPr>
      <w:r w:rsidRPr="00B3738E">
        <w:t xml:space="preserve">IHPA has undertaken additional work in the form of the </w:t>
      </w:r>
      <w:proofErr w:type="spellStart"/>
      <w:r w:rsidRPr="00B3738E">
        <w:t>MHPoC</w:t>
      </w:r>
      <w:proofErr w:type="spellEnd"/>
      <w:r w:rsidRPr="00B3738E">
        <w:t xml:space="preserve"> Clinical Refinement Testing Project, to test whether refined definitions outperform the existing </w:t>
      </w:r>
      <w:proofErr w:type="spellStart"/>
      <w:r w:rsidRPr="00B3738E">
        <w:t>MHPoC</w:t>
      </w:r>
      <w:proofErr w:type="spellEnd"/>
      <w:r w:rsidRPr="00B3738E">
        <w:t xml:space="preserve">. This project was aimed at identifying the best option for refining </w:t>
      </w:r>
      <w:proofErr w:type="spellStart"/>
      <w:r w:rsidRPr="00B3738E">
        <w:lastRenderedPageBreak/>
        <w:t>MHPoC</w:t>
      </w:r>
      <w:proofErr w:type="spellEnd"/>
      <w:r w:rsidRPr="00B3738E">
        <w:t xml:space="preserve"> phase names and definitions in order to improve reliability and clinical meaningfulness. At the conclusion of the project, a decision was made in consultation with the jurisdictions to retain the current </w:t>
      </w:r>
      <w:proofErr w:type="spellStart"/>
      <w:r w:rsidRPr="00B3738E">
        <w:t>MHPoC</w:t>
      </w:r>
      <w:proofErr w:type="spellEnd"/>
      <w:r w:rsidRPr="00B3738E">
        <w:t xml:space="preserve"> concept.</w:t>
      </w:r>
    </w:p>
    <w:p w14:paraId="55ED5F72" w14:textId="07223691" w:rsidR="00436EBC" w:rsidRDefault="00436EBC" w:rsidP="00436EBC">
      <w:pPr>
        <w:pStyle w:val="BodyText"/>
      </w:pPr>
      <w:r>
        <w:t xml:space="preserve">A minor update to the Acute </w:t>
      </w:r>
      <w:proofErr w:type="spellStart"/>
      <w:r>
        <w:t>MHPoC</w:t>
      </w:r>
      <w:proofErr w:type="spellEnd"/>
      <w:r>
        <w:t xml:space="preserve"> definition was approved by jurisdictions to align with the clinical reality. Assessment Only changed to a data item based on the clinical feedback that the standalone nature of the activity was different to the other </w:t>
      </w:r>
      <w:proofErr w:type="spellStart"/>
      <w:r>
        <w:t>MHPoC</w:t>
      </w:r>
      <w:proofErr w:type="spellEnd"/>
      <w:r>
        <w:t xml:space="preserve"> in which consumers continue to move through. Education materials are being developed as a project recommendation to further assist with training and improving the consistency of ratings.</w:t>
      </w:r>
    </w:p>
    <w:p w14:paraId="0DA92C2E" w14:textId="1FC9813B" w:rsidR="001522B1" w:rsidRDefault="00E52762" w:rsidP="00B3738E">
      <w:pPr>
        <w:pStyle w:val="Heading3"/>
        <w:rPr>
          <w:rFonts w:cs="Arial"/>
        </w:rPr>
      </w:pPr>
      <w:r>
        <w:rPr>
          <w:rFonts w:cs="Arial"/>
        </w:rPr>
        <w:t>5</w:t>
      </w:r>
      <w:r w:rsidR="001522B1">
        <w:rPr>
          <w:rFonts w:cs="Arial"/>
        </w:rPr>
        <w:t>.5.</w:t>
      </w:r>
      <w:r w:rsidR="00B3738E">
        <w:rPr>
          <w:rFonts w:cs="Arial"/>
        </w:rPr>
        <w:t>2</w:t>
      </w:r>
      <w:r w:rsidR="001522B1">
        <w:rPr>
          <w:rFonts w:cs="Arial"/>
        </w:rPr>
        <w:t xml:space="preserve">. </w:t>
      </w:r>
      <w:r w:rsidR="001522B1" w:rsidRPr="004C066D">
        <w:rPr>
          <w:rFonts w:cs="Arial"/>
        </w:rPr>
        <w:t>Admitted mental health care</w:t>
      </w:r>
    </w:p>
    <w:p w14:paraId="373E1BEC" w14:textId="6062245C" w:rsidR="00B3738E" w:rsidRPr="00B3738E" w:rsidRDefault="00B3738E" w:rsidP="00B3738E">
      <w:pPr>
        <w:pStyle w:val="BodyText"/>
        <w:rPr>
          <w:rFonts w:cs="Arial"/>
        </w:rPr>
      </w:pPr>
      <w:r w:rsidRPr="00B3738E">
        <w:rPr>
          <w:rFonts w:cs="Arial"/>
        </w:rPr>
        <w:t xml:space="preserve">For NEP22, IHPA priced admitted mental health care using the AMHCC Version 1.0. This decision followed the completion of a two-year shadow </w:t>
      </w:r>
      <w:r w:rsidR="007C4DDD">
        <w:rPr>
          <w:rFonts w:cs="Arial"/>
        </w:rPr>
        <w:t xml:space="preserve">pricing </w:t>
      </w:r>
      <w:r w:rsidRPr="00B3738E">
        <w:rPr>
          <w:rFonts w:cs="Arial"/>
        </w:rPr>
        <w:t xml:space="preserve">period, assessment of the quality and coverage of admitted mental health data, and consultation with jurisdictions. </w:t>
      </w:r>
    </w:p>
    <w:p w14:paraId="64C1FFFA" w14:textId="77777777" w:rsidR="00B3738E" w:rsidRPr="00B3738E" w:rsidRDefault="00B3738E" w:rsidP="00B3738E">
      <w:pPr>
        <w:pStyle w:val="BodyText"/>
        <w:rPr>
          <w:rFonts w:cs="Arial"/>
        </w:rPr>
      </w:pPr>
      <w:r w:rsidRPr="00B3738E">
        <w:rPr>
          <w:rFonts w:cs="Arial"/>
        </w:rPr>
        <w:t>For NEP23, IHPA intends to continue to price admitted mental health care using AMHCC Version 1.0.</w:t>
      </w:r>
    </w:p>
    <w:p w14:paraId="34A589E7" w14:textId="527648D2" w:rsidR="001522B1" w:rsidRDefault="00E52762" w:rsidP="001522B1">
      <w:pPr>
        <w:pStyle w:val="Heading3"/>
        <w:rPr>
          <w:rFonts w:cs="Arial"/>
        </w:rPr>
      </w:pPr>
      <w:r>
        <w:rPr>
          <w:rFonts w:cs="Arial"/>
        </w:rPr>
        <w:t>5</w:t>
      </w:r>
      <w:r w:rsidR="001522B1">
        <w:rPr>
          <w:rFonts w:cs="Arial"/>
        </w:rPr>
        <w:t>.5.</w:t>
      </w:r>
      <w:r w:rsidR="00B3738E">
        <w:rPr>
          <w:rFonts w:cs="Arial"/>
        </w:rPr>
        <w:t>3</w:t>
      </w:r>
      <w:r w:rsidR="001522B1">
        <w:rPr>
          <w:rFonts w:cs="Arial"/>
        </w:rPr>
        <w:t>. Community</w:t>
      </w:r>
      <w:r w:rsidR="001522B1" w:rsidRPr="004C066D">
        <w:rPr>
          <w:rFonts w:cs="Arial"/>
        </w:rPr>
        <w:t xml:space="preserve"> mental health care</w:t>
      </w:r>
    </w:p>
    <w:p w14:paraId="481128E3" w14:textId="4A03C7E2" w:rsidR="00B3738E" w:rsidRPr="00B3738E" w:rsidRDefault="00B3738E" w:rsidP="00041B5E">
      <w:pPr>
        <w:pStyle w:val="BodyText"/>
      </w:pPr>
      <w:r w:rsidRPr="00B3738E">
        <w:t xml:space="preserve">Community mental health care is currently block funded as part of the national efficient cost (NEC) determination, with jurisdictions advising </w:t>
      </w:r>
      <w:r w:rsidR="007C4DDD">
        <w:t xml:space="preserve">IHPA of </w:t>
      </w:r>
      <w:r w:rsidRPr="00B3738E">
        <w:t>their community mental health care expenditure each year. IHPA considers that progression to pricing community mental health care with the AMHCC will drive more rapid improvements in the quality of data collected as it will enable a transition of these services to ABF.</w:t>
      </w:r>
    </w:p>
    <w:p w14:paraId="555A70CB" w14:textId="755650A9" w:rsidR="00B3738E" w:rsidRPr="00B3738E" w:rsidRDefault="00B3738E" w:rsidP="00041B5E">
      <w:pPr>
        <w:pStyle w:val="BodyText"/>
      </w:pPr>
      <w:r w:rsidRPr="00B3738E">
        <w:t xml:space="preserve">For 2022–23, community mental health care was block funded as part of the NEC Determination 2022–23 while a second year of shadow pricing </w:t>
      </w:r>
      <w:r w:rsidR="007C4DDD">
        <w:t>i</w:t>
      </w:r>
      <w:r w:rsidRPr="00B3738E">
        <w:t xml:space="preserve">s undertaken using AMHCC Version 1.0. </w:t>
      </w:r>
    </w:p>
    <w:p w14:paraId="09A5FDE8" w14:textId="58FF0E6B" w:rsidR="00B3738E" w:rsidRPr="00B3738E" w:rsidRDefault="00B3738E" w:rsidP="00041B5E">
      <w:pPr>
        <w:pStyle w:val="BodyText"/>
      </w:pPr>
      <w:r w:rsidRPr="00B3738E">
        <w:t xml:space="preserve">In NEP22, a new pricing model structure was introduced, based on the number of service contacts within a </w:t>
      </w:r>
      <w:proofErr w:type="spellStart"/>
      <w:r w:rsidRPr="00B3738E">
        <w:t>MHPoC</w:t>
      </w:r>
      <w:proofErr w:type="spellEnd"/>
      <w:r w:rsidRPr="00B3738E">
        <w:t xml:space="preserve">. The service contact cost model has significantly better statistical performance in predicting cost variation for community mental health care. It also aims to mitigate the risks of potentially incentivising under-servicing in community mental health care by ensuring that phases with more consumer care activities receive a higher modelled cost than comparable phases with fewer service </w:t>
      </w:r>
      <w:r w:rsidRPr="00B3738E">
        <w:t xml:space="preserve">contacts. IHPA will review the stability and performance of this model using 2020–21 costed activity data. </w:t>
      </w:r>
    </w:p>
    <w:p w14:paraId="7551A070" w14:textId="077227FB" w:rsidR="001522B1" w:rsidRPr="0065414C" w:rsidRDefault="00B3738E" w:rsidP="00041B5E">
      <w:pPr>
        <w:pStyle w:val="BodyText"/>
      </w:pPr>
      <w:r w:rsidRPr="00B3738E">
        <w:t xml:space="preserve">After two years of shadow pricing in 2021–22 and 2022–23 as required under the Addendum to the National Health Reform Agreement 2020–25, IHPA </w:t>
      </w:r>
      <w:r w:rsidR="00A80BD0">
        <w:t>proposes</w:t>
      </w:r>
      <w:r w:rsidRPr="00B3738E">
        <w:t xml:space="preserve"> to progress to pricing community mental health care using AMHCC Version 1.0 for NEP23</w:t>
      </w:r>
      <w:r w:rsidR="001522B1" w:rsidRPr="004C066D">
        <w:t>.</w:t>
      </w:r>
    </w:p>
    <w:p w14:paraId="44239423" w14:textId="77777777" w:rsidR="001522B1" w:rsidRDefault="001522B1" w:rsidP="001522B1">
      <w:pPr>
        <w:pStyle w:val="BodyText"/>
        <w:rPr>
          <w:rFonts w:cs="Arial"/>
        </w:rPr>
      </w:pPr>
      <w:r w:rsidRPr="0065414C">
        <w:rPr>
          <w:rFonts w:cs="Arial"/>
          <w:noProof/>
          <w:lang w:eastAsia="en-AU" w:bidi="ar-SA"/>
        </w:rPr>
        <mc:AlternateContent>
          <mc:Choice Requires="wps">
            <w:drawing>
              <wp:inline distT="0" distB="0" distL="0" distR="0" wp14:anchorId="23C00A6A" wp14:editId="2906BB5E">
                <wp:extent cx="2689200" cy="1285875"/>
                <wp:effectExtent l="0" t="0" r="16510" b="28575"/>
                <wp:docPr id="50" name="Text Box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200" cy="1285875"/>
                        </a:xfrm>
                        <a:prstGeom prst="rect">
                          <a:avLst/>
                        </a:prstGeom>
                        <a:noFill/>
                        <a:ln w="9525">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0886E1FF" w14:textId="1CE2BB30" w:rsidR="00FE6544" w:rsidRPr="005470B1" w:rsidRDefault="00FE6544" w:rsidP="001522B1">
                            <w:pPr>
                              <w:pStyle w:val="Questionheading"/>
                              <w:ind w:left="426"/>
                            </w:pPr>
                            <w:r w:rsidRPr="00D91A49">
                              <w:rPr>
                                <w:noProof/>
                                <w:lang w:eastAsia="en-AU" w:bidi="ar-SA"/>
                              </w:rPr>
                              <w:drawing>
                                <wp:inline distT="0" distB="0" distL="0" distR="0" wp14:anchorId="2B385B60" wp14:editId="50AA1FCD">
                                  <wp:extent cx="238760" cy="206509"/>
                                  <wp:effectExtent l="0" t="0" r="8890" b="3175"/>
                                  <wp:docPr id="34" name="Picture 34" descr="Question mark to left of the ‘Consultation question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Question mark to left of the ‘Consultation questions’ title"/>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238760" cy="206509"/>
                                          </a:xfrm>
                                          <a:prstGeom prst="rect">
                                            <a:avLst/>
                                          </a:prstGeom>
                                          <a:noFill/>
                                          <a:ln>
                                            <a:noFill/>
                                          </a:ln>
                                        </pic:spPr>
                                      </pic:pic>
                                    </a:graphicData>
                                  </a:graphic>
                                </wp:inline>
                              </w:drawing>
                            </w:r>
                            <w:r>
                              <w:t xml:space="preserve">  </w:t>
                            </w:r>
                            <w:r w:rsidRPr="005470B1">
                              <w:t>Consultation question</w:t>
                            </w:r>
                          </w:p>
                          <w:p w14:paraId="3998A072" w14:textId="09690CA8" w:rsidR="00FE6544" w:rsidRDefault="00FE6544" w:rsidP="00295921">
                            <w:pPr>
                              <w:pStyle w:val="ListParagraph"/>
                              <w:numPr>
                                <w:ilvl w:val="0"/>
                                <w:numId w:val="58"/>
                              </w:numPr>
                              <w:ind w:right="283"/>
                            </w:pPr>
                            <w:r w:rsidRPr="00E100A9">
                              <w:t xml:space="preserve">Are there any barriers or additional considerations to using AMHCC Version 1.0 to price community mental health care </w:t>
                            </w:r>
                            <w:r>
                              <w:t xml:space="preserve">for </w:t>
                            </w:r>
                            <w:r w:rsidRPr="00E100A9">
                              <w:t>NEP23</w:t>
                            </w:r>
                            <w:r w:rsidRPr="00B3738E">
                              <w:t>?</w:t>
                            </w:r>
                          </w:p>
                        </w:txbxContent>
                      </wps:txbx>
                      <wps:bodyPr rot="0" vert="horz" wrap="square" lIns="0" tIns="0" rIns="0" bIns="0" anchor="t" anchorCtr="0" upright="1">
                        <a:noAutofit/>
                      </wps:bodyPr>
                    </wps:wsp>
                  </a:graphicData>
                </a:graphic>
              </wp:inline>
            </w:drawing>
          </mc:Choice>
          <mc:Fallback xmlns:w16sdtdh="http://schemas.microsoft.com/office/word/2020/wordml/sdtdatahash" xmlns:oel="http://schemas.microsoft.com/office/2019/extlst">
            <w:pict>
              <v:shape w14:anchorId="23C00A6A" id="_x0000_s1030" type="#_x0000_t202" alt="&quot;&quot;" style="width:211.75pt;height:10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" filled="f" strokecolor="#009ab8 [3209]">
                <v:textbox inset="0,0,0,0">
                  <w:txbxContent>
                    <w:p w14:paraId="0886E1FF" w14:textId="1CE2BB30" w:rsidR="00FE6544" w:rsidRPr="005470B1" w:rsidRDefault="00FE6544" w:rsidP="001522B1">
                      <w:pPr>
                        <w:pStyle w:val="Questionheading"/>
                        <w:ind w:left="426"/>
                      </w:pPr>
                      <w:r w:rsidRPr="00D91A49">
                        <w:rPr>
                          <w:noProof/>
                          <w:lang w:eastAsia="en-AU" w:bidi="ar-SA"/>
                        </w:rPr>
                        <w:drawing>
                          <wp:inline distT="0" distB="0" distL="0" distR="0" wp14:anchorId="2B385B60" wp14:editId="50AA1FCD">
                            <wp:extent cx="238760" cy="206509"/>
                            <wp:effectExtent l="0" t="0" r="8890" b="3175"/>
                            <wp:docPr id="34" name="Picture 34" descr="Question mark to left of the ‘Consultation question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Question mark to left of the ‘Consultation questions’ title"/>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238760" cy="206509"/>
                                    </a:xfrm>
                                    <a:prstGeom prst="rect">
                                      <a:avLst/>
                                    </a:prstGeom>
                                    <a:noFill/>
                                    <a:ln>
                                      <a:noFill/>
                                    </a:ln>
                                  </pic:spPr>
                                </pic:pic>
                              </a:graphicData>
                            </a:graphic>
                          </wp:inline>
                        </w:drawing>
                      </w:r>
                      <w:r>
                        <w:t xml:space="preserve">  </w:t>
                      </w:r>
                      <w:r w:rsidRPr="005470B1">
                        <w:t>Consultation question</w:t>
                      </w:r>
                    </w:p>
                    <w:p w14:paraId="3998A072" w14:textId="09690CA8" w:rsidR="00FE6544" w:rsidRDefault="00FE6544" w:rsidP="00295921">
                      <w:pPr>
                        <w:pStyle w:val="ListParagraph"/>
                        <w:numPr>
                          <w:ilvl w:val="0"/>
                          <w:numId w:val="58"/>
                        </w:numPr>
                        <w:ind w:right="283"/>
                      </w:pPr>
                      <w:r w:rsidRPr="00E100A9">
                        <w:t xml:space="preserve">Are there any barriers or additional considerations to using AMHCC Version 1.0 to price community mental health care </w:t>
                      </w:r>
                      <w:r>
                        <w:t xml:space="preserve">for </w:t>
                      </w:r>
                      <w:r w:rsidRPr="00E100A9">
                        <w:t>NEP23</w:t>
                      </w:r>
                      <w:r w:rsidRPr="00B3738E">
                        <w:t>?</w:t>
                      </w:r>
                    </w:p>
                  </w:txbxContent>
                </v:textbox>
                <w10:anchorlock/>
              </v:shape>
            </w:pict>
          </mc:Fallback>
        </mc:AlternateContent>
      </w:r>
    </w:p>
    <w:p w14:paraId="23F6D896" w14:textId="27888B01" w:rsidR="001522B1" w:rsidRPr="0065414C" w:rsidRDefault="00E52762" w:rsidP="00643462">
      <w:pPr>
        <w:pStyle w:val="Heading2"/>
        <w:keepNext/>
        <w:keepLines/>
        <w:rPr>
          <w:rFonts w:cs="Arial"/>
        </w:rPr>
      </w:pPr>
      <w:bookmarkStart w:id="65" w:name="_Toc71631314"/>
      <w:r>
        <w:rPr>
          <w:rFonts w:cs="Arial"/>
        </w:rPr>
        <w:t>5</w:t>
      </w:r>
      <w:r w:rsidR="001522B1" w:rsidRPr="0065414C">
        <w:rPr>
          <w:rFonts w:cs="Arial"/>
        </w:rPr>
        <w:t>.</w:t>
      </w:r>
      <w:r w:rsidR="001522B1">
        <w:rPr>
          <w:rFonts w:cs="Arial"/>
        </w:rPr>
        <w:t>6</w:t>
      </w:r>
      <w:r w:rsidR="001522B1" w:rsidRPr="0065414C">
        <w:rPr>
          <w:rFonts w:cs="Arial"/>
        </w:rPr>
        <w:t>. Teaching and training</w:t>
      </w:r>
      <w:bookmarkEnd w:id="65"/>
    </w:p>
    <w:p w14:paraId="789EAEA9" w14:textId="0B616925" w:rsidR="00B3738E" w:rsidRDefault="00B3738E" w:rsidP="00B3738E">
      <w:pPr>
        <w:pStyle w:val="BodyText"/>
        <w:rPr>
          <w:rFonts w:cs="Arial"/>
        </w:rPr>
      </w:pPr>
      <w:r w:rsidRPr="00B3738E">
        <w:rPr>
          <w:rFonts w:cs="Arial"/>
        </w:rPr>
        <w:t>Teaching and training activities represent an important aspect of the public hospital system alongside the provision of care to patients. However, the components required for ABF are not currently available to enable these activities to be priced. As a result, these activities are currently block funded, except where teaching and training is delivered in conjunction with patient care (embedded teaching and training), such as ward rounds. These costs are reported as part of routine care and the costs are reflected in the ABF price.</w:t>
      </w:r>
    </w:p>
    <w:p w14:paraId="288BDFA1" w14:textId="1EE093F4" w:rsidR="001522B1" w:rsidRDefault="00B3738E" w:rsidP="00B3738E">
      <w:pPr>
        <w:pStyle w:val="BodyText"/>
        <w:rPr>
          <w:rFonts w:cs="Arial"/>
        </w:rPr>
      </w:pPr>
      <w:r w:rsidRPr="00B3738E">
        <w:rPr>
          <w:rFonts w:cs="Arial"/>
        </w:rPr>
        <w:t>For the NEC Determination 2023–24, IHPA will continue to determine block funding amounts for teaching, training and research activity based on advice from states and territories, and will continue to work with stakeholders to improve data quality.</w:t>
      </w:r>
    </w:p>
    <w:p w14:paraId="4D80939D" w14:textId="77777777" w:rsidR="005E4B24" w:rsidRDefault="005E4B24" w:rsidP="005E4B24">
      <w:pPr>
        <w:pStyle w:val="BodyText"/>
        <w:spacing w:before="164"/>
        <w:rPr>
          <w:rFonts w:cs="Arial"/>
        </w:rPr>
      </w:pPr>
    </w:p>
    <w:p w14:paraId="37F9675A" w14:textId="77777777" w:rsidR="005E4B24" w:rsidRPr="0065414C" w:rsidRDefault="005E4B24" w:rsidP="005E4B24">
      <w:pPr>
        <w:pStyle w:val="BodyText"/>
        <w:spacing w:before="164"/>
        <w:rPr>
          <w:rFonts w:cs="Arial"/>
        </w:rPr>
      </w:pPr>
    </w:p>
    <w:p w14:paraId="004CC1EB" w14:textId="77777777" w:rsidR="00C415F5" w:rsidRPr="0065414C" w:rsidRDefault="00C415F5">
      <w:pPr>
        <w:spacing w:line="256" w:lineRule="auto"/>
        <w:rPr>
          <w:rFonts w:cs="Arial"/>
        </w:rPr>
        <w:sectPr w:rsidR="00C415F5" w:rsidRPr="0065414C" w:rsidSect="00241E9D">
          <w:type w:val="continuous"/>
          <w:pgSz w:w="11910" w:h="16840"/>
          <w:pgMar w:top="1440" w:right="1440" w:bottom="1440" w:left="1440" w:header="720" w:footer="720" w:gutter="0"/>
          <w:cols w:num="2" w:space="340"/>
        </w:sectPr>
      </w:pPr>
    </w:p>
    <w:p w14:paraId="1BB80693" w14:textId="77777777" w:rsidR="00592035" w:rsidRPr="0065414C" w:rsidRDefault="00592035" w:rsidP="005B7291">
      <w:pPr>
        <w:pStyle w:val="SectionNumber"/>
      </w:pPr>
      <w:bookmarkStart w:id="66" w:name="_bookmark10"/>
      <w:bookmarkStart w:id="67" w:name="_6_Data_collection"/>
      <w:bookmarkStart w:id="68" w:name="_Toc49953753"/>
      <w:bookmarkEnd w:id="66"/>
      <w:bookmarkEnd w:id="67"/>
      <w:r w:rsidRPr="0065414C">
        <w:rPr>
          <w:lang w:bidi="ar-SA"/>
        </w:rPr>
        <w:lastRenderedPageBreak/>
        <w:drawing>
          <wp:anchor distT="0" distB="0" distL="114300" distR="114300" simplePos="0" relativeHeight="251627520" behindDoc="1" locked="0" layoutInCell="1" allowOverlap="1" wp14:anchorId="50BD3F49" wp14:editId="0731BEBF">
            <wp:simplePos x="0" y="0"/>
            <wp:positionH relativeFrom="margin">
              <wp:posOffset>-914400</wp:posOffset>
            </wp:positionH>
            <wp:positionV relativeFrom="page">
              <wp:posOffset>954157</wp:posOffset>
            </wp:positionV>
            <wp:extent cx="5462267" cy="3577464"/>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5462267" cy="3577464"/>
                    </a:xfrm>
                    <a:prstGeom prst="rect">
                      <a:avLst/>
                    </a:prstGeom>
                    <a:noFill/>
                    <a:ln>
                      <a:noFill/>
                    </a:ln>
                  </pic:spPr>
                </pic:pic>
              </a:graphicData>
            </a:graphic>
          </wp:anchor>
        </w:drawing>
      </w:r>
      <w:r w:rsidRPr="0065414C">
        <w:t>6</w:t>
      </w:r>
      <w:bookmarkEnd w:id="68"/>
    </w:p>
    <w:p w14:paraId="7DE103B3" w14:textId="637240BC" w:rsidR="00592035" w:rsidRPr="0065414C" w:rsidRDefault="007802F2" w:rsidP="005B7291">
      <w:pPr>
        <w:pStyle w:val="Sectionheader"/>
        <w:ind w:right="2651"/>
        <w:sectPr w:rsidR="00592035" w:rsidRPr="0065414C" w:rsidSect="008613E1">
          <w:headerReference w:type="default" r:id="rId62"/>
          <w:pgSz w:w="11910" w:h="16840"/>
          <w:pgMar w:top="3970" w:right="1440" w:bottom="1440" w:left="1440" w:header="0" w:footer="656" w:gutter="0"/>
          <w:cols w:space="720"/>
        </w:sectPr>
      </w:pPr>
      <w:bookmarkStart w:id="69" w:name="_Toc71631316"/>
      <w:r>
        <w:t>Setting the national efficient price</w:t>
      </w:r>
      <w:bookmarkEnd w:id="69"/>
    </w:p>
    <w:p w14:paraId="1DF43A01" w14:textId="731BF5A7" w:rsidR="00A97D9B" w:rsidRDefault="00A97D9B" w:rsidP="00A97D9B">
      <w:pPr>
        <w:pStyle w:val="Heading1"/>
        <w:spacing w:after="600"/>
        <w:ind w:left="1418" w:hanging="1191"/>
        <w:rPr>
          <w:rFonts w:cs="Arial"/>
        </w:rPr>
      </w:pPr>
      <w:r w:rsidRPr="0065414C">
        <w:rPr>
          <w:rFonts w:cs="Arial"/>
          <w:noProof/>
          <w:color w:val="FFFFFF" w:themeColor="background1"/>
          <w:lang w:eastAsia="en-AU" w:bidi="ar-SA"/>
        </w:rPr>
        <w:lastRenderedPageBreak/>
        <w:drawing>
          <wp:anchor distT="0" distB="0" distL="114300" distR="114300" simplePos="0" relativeHeight="251728896" behindDoc="1" locked="0" layoutInCell="1" allowOverlap="1" wp14:anchorId="3D620252" wp14:editId="73FFD8FB">
            <wp:simplePos x="0" y="0"/>
            <wp:positionH relativeFrom="column">
              <wp:posOffset>-914400</wp:posOffset>
            </wp:positionH>
            <wp:positionV relativeFrom="page">
              <wp:posOffset>651179</wp:posOffset>
            </wp:positionV>
            <wp:extent cx="1685420" cy="946148"/>
            <wp:effectExtent l="0" t="0" r="0" b="0"/>
            <wp:wrapNone/>
            <wp:docPr id="79"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685420" cy="946148"/>
                    </a:xfrm>
                    <a:prstGeom prst="rect">
                      <a:avLst/>
                    </a:prstGeom>
                    <a:noFill/>
                    <a:ln>
                      <a:noFill/>
                    </a:ln>
                  </pic:spPr>
                </pic:pic>
              </a:graphicData>
            </a:graphic>
          </wp:anchor>
        </w:drawing>
      </w:r>
      <w:r w:rsidRPr="0065414C">
        <w:rPr>
          <w:rFonts w:cs="Arial"/>
          <w:color w:val="FFFFFF" w:themeColor="background1"/>
        </w:rPr>
        <w:t>6</w:t>
      </w:r>
      <w:r w:rsidRPr="0065414C">
        <w:rPr>
          <w:rFonts w:cs="Arial"/>
        </w:rPr>
        <w:tab/>
      </w:r>
      <w:r w:rsidRPr="0065414C">
        <w:rPr>
          <w:rFonts w:cs="Arial"/>
        </w:rPr>
        <w:tab/>
      </w:r>
      <w:r w:rsidR="007802F2">
        <w:rPr>
          <w:rFonts w:cs="Arial"/>
        </w:rPr>
        <w:t>Setting the national efficient price</w:t>
      </w:r>
    </w:p>
    <w:p w14:paraId="20732681" w14:textId="77777777" w:rsidR="00A97D9B" w:rsidRDefault="00A97D9B" w:rsidP="00E853B9">
      <w:pPr>
        <w:pStyle w:val="BodyText"/>
        <w:spacing w:before="0"/>
        <w:rPr>
          <w:rFonts w:cs="Arial"/>
        </w:rPr>
        <w:sectPr w:rsidR="00A97D9B" w:rsidSect="00A97D9B">
          <w:headerReference w:type="default" r:id="rId64"/>
          <w:pgSz w:w="11910" w:h="16840"/>
          <w:pgMar w:top="1440" w:right="1440" w:bottom="1440" w:left="1440" w:header="0" w:footer="656" w:gutter="0"/>
          <w:cols w:space="340"/>
        </w:sectPr>
      </w:pPr>
    </w:p>
    <w:p w14:paraId="652F84D5" w14:textId="77777777" w:rsidR="00EC0A4B" w:rsidRPr="00EC0A4B" w:rsidRDefault="00EC0A4B" w:rsidP="00EC0A4B">
      <w:pPr>
        <w:pStyle w:val="BodyText"/>
        <w:spacing w:before="164"/>
        <w:rPr>
          <w:rFonts w:cs="Arial"/>
        </w:rPr>
      </w:pPr>
      <w:r w:rsidRPr="00EC0A4B">
        <w:rPr>
          <w:rFonts w:cs="Arial"/>
        </w:rPr>
        <w:t>The Addendum to the National Health Reform Agreement 2020–25 (the Addendum) specifies that one of the Independent Hospital Pricing Authority’s (IHPA) determinative functions is to determine the national efficient price (NEP) for services provided on an activity basis in Australian public hospitals.</w:t>
      </w:r>
    </w:p>
    <w:p w14:paraId="6B07D337" w14:textId="00B107D9" w:rsidR="00EC0A4B" w:rsidRPr="00EC0A4B" w:rsidRDefault="00EC0A4B" w:rsidP="00EC0A4B">
      <w:pPr>
        <w:pStyle w:val="BodyText"/>
        <w:spacing w:before="164"/>
        <w:rPr>
          <w:rFonts w:cs="Arial"/>
        </w:rPr>
      </w:pPr>
      <w:r w:rsidRPr="00EC0A4B">
        <w:rPr>
          <w:rFonts w:cs="Arial"/>
        </w:rPr>
        <w:t xml:space="preserve">The </w:t>
      </w:r>
      <w:hyperlink r:id="rId65" w:history="1">
        <w:r w:rsidRPr="00EF1EE0">
          <w:rPr>
            <w:rStyle w:val="Hyperlink"/>
            <w:i/>
          </w:rPr>
          <w:t>Pricing Framework for Australian Public Hospital Services 2022–23</w:t>
        </w:r>
      </w:hyperlink>
      <w:r w:rsidRPr="00EC0A4B">
        <w:rPr>
          <w:rFonts w:cs="Arial"/>
        </w:rPr>
        <w:t xml:space="preserve"> noted that ensuring that the </w:t>
      </w:r>
      <w:r w:rsidR="005375BA">
        <w:rPr>
          <w:rFonts w:cs="Arial"/>
        </w:rPr>
        <w:t xml:space="preserve">national </w:t>
      </w:r>
      <w:r w:rsidRPr="00EC0A4B">
        <w:rPr>
          <w:rFonts w:cs="Arial"/>
        </w:rPr>
        <w:t xml:space="preserve">pricing model adequately accounts for the impact of the Coronavirus disease 2019 (COVID-19) pandemic is the highest priority. As such, IHPA prioritised the investigation of refinements to the pricing model to account for COVID-19 in the development of the NEP Determination 2022–23 (NEP22) and this impacted IHPA’s capacity to undertake other initiatives to refine the </w:t>
      </w:r>
      <w:r w:rsidR="005375BA">
        <w:rPr>
          <w:rFonts w:cs="Arial"/>
        </w:rPr>
        <w:t xml:space="preserve">national </w:t>
      </w:r>
      <w:r w:rsidRPr="00EC0A4B">
        <w:rPr>
          <w:rFonts w:cs="Arial"/>
        </w:rPr>
        <w:t xml:space="preserve">pricing model. </w:t>
      </w:r>
    </w:p>
    <w:p w14:paraId="4EE86EA7" w14:textId="6DA285DC" w:rsidR="00C415F5" w:rsidRPr="0065414C" w:rsidRDefault="006F4825" w:rsidP="00011A81">
      <w:pPr>
        <w:pStyle w:val="Heading2"/>
        <w:rPr>
          <w:rFonts w:cs="Arial"/>
        </w:rPr>
      </w:pPr>
      <w:bookmarkStart w:id="70" w:name="_Toc49953756"/>
      <w:bookmarkStart w:id="71" w:name="_Toc71631317"/>
      <w:r w:rsidRPr="0065414C">
        <w:rPr>
          <w:rFonts w:cs="Arial"/>
        </w:rPr>
        <w:t>6.</w:t>
      </w:r>
      <w:r w:rsidR="00AA1554" w:rsidRPr="0065414C">
        <w:rPr>
          <w:rFonts w:cs="Arial"/>
        </w:rPr>
        <w:t>1</w:t>
      </w:r>
      <w:r w:rsidR="00EF5D73" w:rsidRPr="0065414C">
        <w:rPr>
          <w:rFonts w:cs="Arial"/>
        </w:rPr>
        <w:t>.</w:t>
      </w:r>
      <w:r w:rsidRPr="0065414C">
        <w:rPr>
          <w:rFonts w:cs="Arial"/>
        </w:rPr>
        <w:t xml:space="preserve"> </w:t>
      </w:r>
      <w:bookmarkEnd w:id="70"/>
      <w:r w:rsidR="00E5094C">
        <w:rPr>
          <w:rFonts w:cs="Arial"/>
        </w:rPr>
        <w:t>National pricing model</w:t>
      </w:r>
      <w:bookmarkEnd w:id="71"/>
    </w:p>
    <w:p w14:paraId="362182E7" w14:textId="0021A87E" w:rsidR="00E5094C" w:rsidRDefault="00EC0A4B" w:rsidP="00E5094C">
      <w:pPr>
        <w:pStyle w:val="BodyText"/>
        <w:ind w:right="44"/>
        <w:rPr>
          <w:rFonts w:cs="Arial"/>
        </w:rPr>
      </w:pPr>
      <w:r w:rsidRPr="00EC0A4B">
        <w:rPr>
          <w:rFonts w:cs="Arial"/>
        </w:rPr>
        <w:t xml:space="preserve">IHPA has developed a robust pricing model that underpins the annual determination of the NEP, price weights and adjustments, based on </w:t>
      </w:r>
      <w:r w:rsidR="00992924">
        <w:rPr>
          <w:rFonts w:cs="Arial"/>
        </w:rPr>
        <w:t>the a</w:t>
      </w:r>
      <w:r w:rsidR="002D10A4">
        <w:rPr>
          <w:rFonts w:cs="Arial"/>
        </w:rPr>
        <w:t>ctivity and cost</w:t>
      </w:r>
      <w:r w:rsidRPr="00EC0A4B">
        <w:rPr>
          <w:rFonts w:cs="Arial"/>
        </w:rPr>
        <w:t xml:space="preserve"> data from three years prior. The national pricing model is described in more detail in </w:t>
      </w:r>
      <w:r>
        <w:rPr>
          <w:rFonts w:cs="Arial"/>
        </w:rPr>
        <w:t xml:space="preserve">the </w:t>
      </w:r>
      <w:hyperlink r:id="rId66" w:history="1">
        <w:r w:rsidRPr="00EF1EE0">
          <w:rPr>
            <w:rStyle w:val="Hyperlink"/>
            <w:i/>
          </w:rPr>
          <w:t>National Pricing Model Technical Specifications 2022–23</w:t>
        </w:r>
      </w:hyperlink>
      <w:r w:rsidR="00E5094C" w:rsidRPr="00187AB9">
        <w:rPr>
          <w:rFonts w:cs="Arial"/>
        </w:rPr>
        <w:t>.</w:t>
      </w:r>
    </w:p>
    <w:p w14:paraId="69BE3C17" w14:textId="7761CFFD" w:rsidR="00E139B4" w:rsidRDefault="00E43BDC" w:rsidP="00E5094C">
      <w:pPr>
        <w:pStyle w:val="BodyText"/>
        <w:ind w:right="44"/>
        <w:rPr>
          <w:rFonts w:cs="Arial"/>
        </w:rPr>
      </w:pPr>
      <w:r>
        <w:rPr>
          <w:rFonts w:cs="Arial"/>
        </w:rPr>
        <w:t xml:space="preserve">For NEP22, </w:t>
      </w:r>
      <w:r w:rsidR="00E139B4">
        <w:rPr>
          <w:rFonts w:cs="Arial"/>
        </w:rPr>
        <w:t xml:space="preserve">IHPA included </w:t>
      </w:r>
      <w:r w:rsidR="00E139B4" w:rsidRPr="00E139B4">
        <w:rPr>
          <w:rFonts w:cs="Arial"/>
        </w:rPr>
        <w:t>a</w:t>
      </w:r>
      <w:r w:rsidR="00CB3B8E">
        <w:rPr>
          <w:rFonts w:cs="Arial"/>
        </w:rPr>
        <w:t xml:space="preserve">n </w:t>
      </w:r>
      <w:r w:rsidR="00E139B4" w:rsidRPr="00E139B4">
        <w:rPr>
          <w:rFonts w:cs="Arial"/>
        </w:rPr>
        <w:t>adjustment to reflect increase</w:t>
      </w:r>
      <w:r w:rsidR="00CB3B8E">
        <w:rPr>
          <w:rFonts w:cs="Arial"/>
        </w:rPr>
        <w:t>s</w:t>
      </w:r>
      <w:r w:rsidR="00E139B4" w:rsidRPr="00E139B4">
        <w:rPr>
          <w:rFonts w:cs="Arial"/>
        </w:rPr>
        <w:t xml:space="preserve"> in the </w:t>
      </w:r>
      <w:r w:rsidR="00974E82" w:rsidRPr="00E139B4">
        <w:rPr>
          <w:rFonts w:cs="Arial"/>
        </w:rPr>
        <w:t>super</w:t>
      </w:r>
      <w:r w:rsidR="00974E82">
        <w:rPr>
          <w:rFonts w:cs="Arial"/>
        </w:rPr>
        <w:t>annuation</w:t>
      </w:r>
      <w:r w:rsidR="00E139B4" w:rsidRPr="00E139B4">
        <w:rPr>
          <w:rFonts w:cs="Arial"/>
        </w:rPr>
        <w:t xml:space="preserve"> guarantee</w:t>
      </w:r>
      <w:r w:rsidR="004936EC">
        <w:rPr>
          <w:rFonts w:cs="Arial"/>
        </w:rPr>
        <w:t>, as these costs</w:t>
      </w:r>
      <w:r w:rsidR="000B47F0">
        <w:rPr>
          <w:rFonts w:cs="Arial"/>
        </w:rPr>
        <w:t xml:space="preserve"> were not in the </w:t>
      </w:r>
      <w:r w:rsidR="00CB3B8E">
        <w:rPr>
          <w:rFonts w:cs="Arial"/>
        </w:rPr>
        <w:t>2019</w:t>
      </w:r>
      <w:r w:rsidR="00CB3B8E" w:rsidRPr="00EC0A4B">
        <w:rPr>
          <w:rFonts w:cs="Arial"/>
        </w:rPr>
        <w:t>–</w:t>
      </w:r>
      <w:r w:rsidR="00CB3B8E">
        <w:rPr>
          <w:rFonts w:cs="Arial"/>
        </w:rPr>
        <w:t xml:space="preserve">20 cost data used to develop NEP22. </w:t>
      </w:r>
    </w:p>
    <w:p w14:paraId="6DAA0985" w14:textId="72BCEAE8" w:rsidR="00E43BDC" w:rsidRDefault="004936EC" w:rsidP="00E5094C">
      <w:pPr>
        <w:pStyle w:val="BodyText"/>
        <w:ind w:right="44"/>
        <w:rPr>
          <w:rFonts w:cs="Arial"/>
        </w:rPr>
      </w:pPr>
      <w:r>
        <w:rPr>
          <w:rFonts w:cs="Arial"/>
        </w:rPr>
        <w:t>Stakeholders have advised that there may be new cost input pressures for 2023</w:t>
      </w:r>
      <w:r w:rsidR="00992924" w:rsidRPr="00EC0A4B">
        <w:rPr>
          <w:rFonts w:cs="Arial"/>
        </w:rPr>
        <w:t>–</w:t>
      </w:r>
      <w:r>
        <w:rPr>
          <w:rFonts w:cs="Arial"/>
        </w:rPr>
        <w:t xml:space="preserve">24 that may have an impact on the national pricing model. </w:t>
      </w:r>
      <w:r w:rsidR="00E139B4">
        <w:rPr>
          <w:rFonts w:cs="Arial"/>
        </w:rPr>
        <w:t>Fo</w:t>
      </w:r>
      <w:r w:rsidR="00E43BDC">
        <w:rPr>
          <w:rFonts w:cs="Arial"/>
        </w:rPr>
        <w:t>r</w:t>
      </w:r>
      <w:r w:rsidR="00E139B4">
        <w:rPr>
          <w:rFonts w:cs="Arial"/>
        </w:rPr>
        <w:t xml:space="preserve"> the</w:t>
      </w:r>
      <w:r w:rsidR="000B47F0">
        <w:rPr>
          <w:rFonts w:cs="Arial"/>
        </w:rPr>
        <w:t xml:space="preserve"> development of the </w:t>
      </w:r>
      <w:r w:rsidR="00E139B4">
        <w:rPr>
          <w:rFonts w:cs="Arial"/>
        </w:rPr>
        <w:t>NEP Determination</w:t>
      </w:r>
      <w:r w:rsidR="00E43BDC">
        <w:rPr>
          <w:rFonts w:cs="Arial"/>
        </w:rPr>
        <w:t xml:space="preserve"> </w:t>
      </w:r>
      <w:r w:rsidR="00974E82">
        <w:rPr>
          <w:rFonts w:cs="Arial"/>
        </w:rPr>
        <w:t>2023</w:t>
      </w:r>
      <w:r w:rsidR="00974E82" w:rsidRPr="00EC0A4B">
        <w:rPr>
          <w:rFonts w:cs="Arial"/>
        </w:rPr>
        <w:t>–</w:t>
      </w:r>
      <w:r w:rsidR="00974E82">
        <w:rPr>
          <w:rFonts w:cs="Arial"/>
        </w:rPr>
        <w:t xml:space="preserve">24 (NEP23), IHPA will consider additional cost </w:t>
      </w:r>
      <w:r w:rsidR="00AB26B0">
        <w:rPr>
          <w:rFonts w:cs="Arial"/>
        </w:rPr>
        <w:t xml:space="preserve">input </w:t>
      </w:r>
      <w:r w:rsidR="00974E82">
        <w:rPr>
          <w:rFonts w:cs="Arial"/>
        </w:rPr>
        <w:t>pressures</w:t>
      </w:r>
      <w:r w:rsidR="00FD24ED">
        <w:rPr>
          <w:rFonts w:cs="Arial"/>
        </w:rPr>
        <w:t xml:space="preserve"> supported by evidence, and</w:t>
      </w:r>
      <w:r w:rsidR="00974E82">
        <w:rPr>
          <w:rFonts w:cs="Arial"/>
        </w:rPr>
        <w:t xml:space="preserve"> that are not reflected in the </w:t>
      </w:r>
      <w:r w:rsidR="00CB3B8E" w:rsidRPr="00E139B4">
        <w:rPr>
          <w:rFonts w:cs="Arial"/>
        </w:rPr>
        <w:t>N</w:t>
      </w:r>
      <w:r w:rsidR="00CB3B8E">
        <w:rPr>
          <w:rFonts w:cs="Arial"/>
        </w:rPr>
        <w:t xml:space="preserve">ational </w:t>
      </w:r>
      <w:r w:rsidR="00CB3B8E" w:rsidRPr="00E139B4">
        <w:rPr>
          <w:rFonts w:cs="Arial"/>
        </w:rPr>
        <w:t>H</w:t>
      </w:r>
      <w:r w:rsidR="00CB3B8E">
        <w:rPr>
          <w:rFonts w:cs="Arial"/>
        </w:rPr>
        <w:t xml:space="preserve">ospital </w:t>
      </w:r>
      <w:r w:rsidR="00CB3B8E" w:rsidRPr="00E139B4">
        <w:rPr>
          <w:rFonts w:cs="Arial"/>
        </w:rPr>
        <w:t>C</w:t>
      </w:r>
      <w:r w:rsidR="00CB3B8E">
        <w:rPr>
          <w:rFonts w:cs="Arial"/>
        </w:rPr>
        <w:t xml:space="preserve">ost </w:t>
      </w:r>
      <w:r w:rsidR="00CB3B8E" w:rsidRPr="00E139B4">
        <w:rPr>
          <w:rFonts w:cs="Arial"/>
        </w:rPr>
        <w:t>D</w:t>
      </w:r>
      <w:r w:rsidR="00CB3B8E">
        <w:rPr>
          <w:rFonts w:cs="Arial"/>
        </w:rPr>
        <w:t xml:space="preserve">ata </w:t>
      </w:r>
      <w:r w:rsidR="00CB3B8E" w:rsidRPr="00E139B4">
        <w:rPr>
          <w:rFonts w:cs="Arial"/>
        </w:rPr>
        <w:t>C</w:t>
      </w:r>
      <w:r w:rsidR="00CB3B8E">
        <w:rPr>
          <w:rFonts w:cs="Arial"/>
        </w:rPr>
        <w:t>ollection (NHCDC)</w:t>
      </w:r>
      <w:r w:rsidR="00974E82">
        <w:rPr>
          <w:rFonts w:cs="Arial"/>
        </w:rPr>
        <w:t>.</w:t>
      </w:r>
    </w:p>
    <w:p w14:paraId="6204AE36" w14:textId="06095FCD" w:rsidR="00750067" w:rsidRDefault="00750067" w:rsidP="00E5094C">
      <w:pPr>
        <w:pStyle w:val="BodyText"/>
        <w:ind w:right="44"/>
        <w:rPr>
          <w:rFonts w:cs="Arial"/>
        </w:rPr>
      </w:pPr>
      <w:r>
        <w:t>I</w:t>
      </w:r>
      <w:r w:rsidRPr="00D03D7F">
        <w:rPr>
          <w:rFonts w:cs="Arial"/>
        </w:rPr>
        <w:t xml:space="preserve">HPA will also </w:t>
      </w:r>
      <w:r>
        <w:rPr>
          <w:rFonts w:cs="Arial"/>
        </w:rPr>
        <w:t>investigate</w:t>
      </w:r>
      <w:r w:rsidR="008E2D2B">
        <w:rPr>
          <w:rFonts w:cs="Arial"/>
        </w:rPr>
        <w:t xml:space="preserve"> the</w:t>
      </w:r>
      <w:r>
        <w:rPr>
          <w:rFonts w:cs="Arial"/>
        </w:rPr>
        <w:t xml:space="preserve"> </w:t>
      </w:r>
      <w:r w:rsidR="00340245">
        <w:rPr>
          <w:rFonts w:cs="Arial"/>
        </w:rPr>
        <w:t>criteria for assessing s</w:t>
      </w:r>
      <w:r w:rsidRPr="00D03D7F">
        <w:rPr>
          <w:rFonts w:cs="Arial"/>
        </w:rPr>
        <w:t>pecialist paediatric hospitals.</w:t>
      </w:r>
    </w:p>
    <w:p w14:paraId="43FE4C57" w14:textId="0DC36D2A" w:rsidR="00F506B6" w:rsidRDefault="00F506B6" w:rsidP="00E5094C">
      <w:pPr>
        <w:pStyle w:val="BodyText"/>
        <w:ind w:right="44"/>
        <w:rPr>
          <w:rFonts w:cs="Arial"/>
        </w:rPr>
      </w:pPr>
    </w:p>
    <w:p w14:paraId="3EA7AC70" w14:textId="3BE731F8" w:rsidR="00E5094C" w:rsidRPr="0065414C" w:rsidRDefault="00E5094C" w:rsidP="00E5094C">
      <w:pPr>
        <w:pStyle w:val="Heading2"/>
        <w:rPr>
          <w:rFonts w:cs="Arial"/>
        </w:rPr>
      </w:pPr>
      <w:bookmarkStart w:id="72" w:name="_Toc71631318"/>
      <w:r>
        <w:rPr>
          <w:rFonts w:cs="Arial"/>
        </w:rPr>
        <w:t>6</w:t>
      </w:r>
      <w:r w:rsidRPr="0065414C">
        <w:rPr>
          <w:rFonts w:cs="Arial"/>
        </w:rPr>
        <w:t>.2. Adjustments to the national efficient price</w:t>
      </w:r>
      <w:bookmarkEnd w:id="72"/>
    </w:p>
    <w:p w14:paraId="460D9E5F" w14:textId="20E97932" w:rsidR="00EC0A4B" w:rsidRPr="00EC0A4B" w:rsidRDefault="00EC0A4B" w:rsidP="00EC0A4B">
      <w:pPr>
        <w:pStyle w:val="BodyText"/>
        <w:ind w:right="44"/>
        <w:rPr>
          <w:rFonts w:cs="Arial"/>
        </w:rPr>
      </w:pPr>
      <w:r w:rsidRPr="00EC0A4B">
        <w:rPr>
          <w:rFonts w:cs="Arial"/>
        </w:rPr>
        <w:t>Clause A47 of the Addendum require IHPA to determine adjustments to the NEP and have regard to legitimate and unavoidable variations in wage costs and other inputs which affect the costs of service delivery, including:</w:t>
      </w:r>
    </w:p>
    <w:p w14:paraId="1381808D" w14:textId="2F499F8A" w:rsidR="00EC0A4B" w:rsidRPr="00EC0A4B" w:rsidRDefault="00EC0A4B" w:rsidP="00295921">
      <w:pPr>
        <w:pStyle w:val="ListParagraph"/>
        <w:numPr>
          <w:ilvl w:val="0"/>
          <w:numId w:val="59"/>
        </w:numPr>
      </w:pPr>
      <w:r w:rsidRPr="00EC0A4B">
        <w:t>hospital type and size</w:t>
      </w:r>
    </w:p>
    <w:p w14:paraId="6A2D531F" w14:textId="367A3791" w:rsidR="00EC0A4B" w:rsidRPr="00EC0A4B" w:rsidRDefault="00EC0A4B" w:rsidP="00295921">
      <w:pPr>
        <w:pStyle w:val="ListParagraph"/>
        <w:numPr>
          <w:ilvl w:val="0"/>
          <w:numId w:val="59"/>
        </w:numPr>
      </w:pPr>
      <w:r w:rsidRPr="00EC0A4B">
        <w:t>hospital location, including regional and remote status</w:t>
      </w:r>
    </w:p>
    <w:p w14:paraId="67DACB6A" w14:textId="754FC7A3" w:rsidR="00EC0A4B" w:rsidRPr="00EC0A4B" w:rsidRDefault="00EC0A4B" w:rsidP="00295921">
      <w:pPr>
        <w:pStyle w:val="ListParagraph"/>
        <w:numPr>
          <w:ilvl w:val="0"/>
          <w:numId w:val="59"/>
        </w:numPr>
      </w:pPr>
      <w:r w:rsidRPr="00EC0A4B">
        <w:t>patient complexity, including Indigenous status.</w:t>
      </w:r>
    </w:p>
    <w:p w14:paraId="4FBA84B6" w14:textId="6E9B5309" w:rsidR="00EC0A4B" w:rsidRPr="00EC0A4B" w:rsidRDefault="00992924" w:rsidP="00EC0A4B">
      <w:pPr>
        <w:pStyle w:val="BodyText"/>
        <w:ind w:right="44"/>
        <w:rPr>
          <w:rFonts w:cs="Arial"/>
        </w:rPr>
      </w:pPr>
      <w:r>
        <w:rPr>
          <w:rFonts w:cs="Arial"/>
        </w:rPr>
        <w:t>In 2021</w:t>
      </w:r>
      <w:r w:rsidR="00EC0A4B" w:rsidRPr="00EC0A4B">
        <w:rPr>
          <w:rFonts w:cs="Arial"/>
        </w:rPr>
        <w:t xml:space="preserve">, IHPA outlined its intention to investigate </w:t>
      </w:r>
      <w:r w:rsidR="007B4281" w:rsidRPr="007B4281">
        <w:rPr>
          <w:rFonts w:cs="Arial"/>
        </w:rPr>
        <w:t xml:space="preserve">the need to review or assess </w:t>
      </w:r>
      <w:r w:rsidR="007B4281">
        <w:rPr>
          <w:rFonts w:cs="Arial"/>
        </w:rPr>
        <w:t xml:space="preserve">the following </w:t>
      </w:r>
      <w:r w:rsidR="007B4281" w:rsidRPr="007B4281">
        <w:rPr>
          <w:rFonts w:cs="Arial"/>
        </w:rPr>
        <w:t>adjustments</w:t>
      </w:r>
      <w:r w:rsidR="00EC0A4B" w:rsidRPr="00EC0A4B">
        <w:rPr>
          <w:rFonts w:cs="Arial"/>
        </w:rPr>
        <w:t>, based on feedback from stakeholders:</w:t>
      </w:r>
    </w:p>
    <w:p w14:paraId="418226D7" w14:textId="7FDC3914" w:rsidR="00EC0A4B" w:rsidRPr="00EC0A4B" w:rsidRDefault="00EC0A4B" w:rsidP="00295921">
      <w:pPr>
        <w:pStyle w:val="ListParagraph"/>
        <w:numPr>
          <w:ilvl w:val="0"/>
          <w:numId w:val="60"/>
        </w:numPr>
      </w:pPr>
      <w:r w:rsidRPr="00EC0A4B">
        <w:t>reinvestigation of an adjustment for patient transport in rural areas</w:t>
      </w:r>
    </w:p>
    <w:p w14:paraId="3918CF16" w14:textId="3E86AFF9" w:rsidR="00EC0A4B" w:rsidRPr="00EC0A4B" w:rsidRDefault="00EC0A4B" w:rsidP="00295921">
      <w:pPr>
        <w:pStyle w:val="ListParagraph"/>
        <w:numPr>
          <w:ilvl w:val="0"/>
          <w:numId w:val="60"/>
        </w:numPr>
      </w:pPr>
      <w:r w:rsidRPr="00EC0A4B">
        <w:t>review of the Specified Intensive Care Unit eligibility criteria and adjustment</w:t>
      </w:r>
    </w:p>
    <w:p w14:paraId="07CD55B0" w14:textId="5019B919" w:rsidR="00EC0A4B" w:rsidRPr="00EC0A4B" w:rsidRDefault="00EC0A4B" w:rsidP="00295921">
      <w:pPr>
        <w:pStyle w:val="ListParagraph"/>
        <w:numPr>
          <w:ilvl w:val="0"/>
          <w:numId w:val="60"/>
        </w:numPr>
      </w:pPr>
      <w:r w:rsidRPr="00EC0A4B">
        <w:t>review of the Indigenous adjustment</w:t>
      </w:r>
    </w:p>
    <w:p w14:paraId="789FEA0F" w14:textId="22B233A9" w:rsidR="00EC0A4B" w:rsidRDefault="007B4281" w:rsidP="00295921">
      <w:pPr>
        <w:pStyle w:val="ListParagraph"/>
        <w:numPr>
          <w:ilvl w:val="0"/>
          <w:numId w:val="60"/>
        </w:numPr>
      </w:pPr>
      <w:r>
        <w:t xml:space="preserve">consideration of a new adjustment for </w:t>
      </w:r>
      <w:r w:rsidR="00EC0A4B" w:rsidRPr="00EC0A4B">
        <w:t>genetic services</w:t>
      </w:r>
    </w:p>
    <w:p w14:paraId="6C4F4929" w14:textId="1D457359" w:rsidR="00EC0A4B" w:rsidRDefault="007B4281" w:rsidP="00295921">
      <w:pPr>
        <w:pStyle w:val="ListParagraph"/>
        <w:numPr>
          <w:ilvl w:val="0"/>
          <w:numId w:val="60"/>
        </w:numPr>
      </w:pPr>
      <w:r>
        <w:t xml:space="preserve">consideration of a new adjustment for </w:t>
      </w:r>
      <w:r w:rsidR="00EC0A4B">
        <w:t>socioeconomic status.</w:t>
      </w:r>
    </w:p>
    <w:p w14:paraId="605FDC1D" w14:textId="176C0F91" w:rsidR="00EC0A4B" w:rsidRDefault="00EC0A4B" w:rsidP="00EC0A4B">
      <w:pPr>
        <w:pStyle w:val="BodyText"/>
        <w:ind w:right="44"/>
        <w:rPr>
          <w:rFonts w:cs="Arial"/>
        </w:rPr>
      </w:pPr>
      <w:r w:rsidRPr="00EC0A4B">
        <w:rPr>
          <w:rFonts w:cs="Arial"/>
        </w:rPr>
        <w:t xml:space="preserve">Due to the impact of COVID-19, IHPA deferred investigation of the proposed adjustments for NEP22 to focus on refinements to the pricing model to account for </w:t>
      </w:r>
      <w:r w:rsidR="00D81BDA">
        <w:rPr>
          <w:rFonts w:cs="Arial"/>
        </w:rPr>
        <w:t xml:space="preserve">the impact of </w:t>
      </w:r>
      <w:r w:rsidRPr="00EC0A4B">
        <w:rPr>
          <w:rFonts w:cs="Arial"/>
        </w:rPr>
        <w:t xml:space="preserve">COVID-19. </w:t>
      </w:r>
    </w:p>
    <w:p w14:paraId="588C21AB" w14:textId="09EF8814" w:rsidR="00EC0A4B" w:rsidRPr="00EC0A4B" w:rsidRDefault="00EC0A4B" w:rsidP="00750067">
      <w:pPr>
        <w:pStyle w:val="BodyText"/>
        <w:ind w:right="44"/>
        <w:rPr>
          <w:rFonts w:cs="Arial"/>
        </w:rPr>
      </w:pPr>
      <w:r w:rsidRPr="00EC0A4B">
        <w:rPr>
          <w:rFonts w:cs="Arial"/>
        </w:rPr>
        <w:t xml:space="preserve">IHPA will review 2020–21 </w:t>
      </w:r>
      <w:r w:rsidR="002D10A4">
        <w:rPr>
          <w:rFonts w:cs="Arial"/>
        </w:rPr>
        <w:t>activity and cost</w:t>
      </w:r>
      <w:r w:rsidRPr="00EC0A4B">
        <w:rPr>
          <w:rFonts w:cs="Arial"/>
        </w:rPr>
        <w:t xml:space="preserve"> data to determine whether sufficient data is available to progress investigation of these proposed adjustments, recognising the impact of COVID-19 during this period.</w:t>
      </w:r>
      <w:r w:rsidR="00D03D7F" w:rsidRPr="00D03D7F">
        <w:t xml:space="preserve"> </w:t>
      </w:r>
    </w:p>
    <w:p w14:paraId="59EC0818" w14:textId="38B69F9C" w:rsidR="00E5094C" w:rsidRPr="0065414C" w:rsidRDefault="00E5094C" w:rsidP="00EC0A4B">
      <w:pPr>
        <w:pStyle w:val="BodyText"/>
        <w:ind w:right="44"/>
        <w:rPr>
          <w:rFonts w:cs="Arial"/>
        </w:rPr>
      </w:pPr>
      <w:r w:rsidRPr="0065414C">
        <w:rPr>
          <w:rFonts w:cs="Arial"/>
          <w:noProof/>
          <w:lang w:eastAsia="en-AU" w:bidi="ar-SA"/>
        </w:rPr>
        <w:lastRenderedPageBreak/>
        <mc:AlternateContent>
          <mc:Choice Requires="wps">
            <w:drawing>
              <wp:inline distT="0" distB="0" distL="0" distR="0" wp14:anchorId="2EB8B634" wp14:editId="7660B0F6">
                <wp:extent cx="2689200" cy="1981200"/>
                <wp:effectExtent l="0" t="0" r="16510" b="19050"/>
                <wp:docPr id="63" name="Text Box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200" cy="1981200"/>
                        </a:xfrm>
                        <a:prstGeom prst="rect">
                          <a:avLst/>
                        </a:prstGeom>
                        <a:noFill/>
                        <a:ln w="9525">
                          <a:solidFill>
                            <a:schemeClr val="accent3"/>
                          </a:solidFill>
                          <a:miter lim="800000"/>
                          <a:headEnd/>
                          <a:tailEnd/>
                        </a:ln>
                        <a:extLst>
                          <a:ext uri="{909E8E84-426E-40DD-AFC4-6F175D3DCCD1}">
                            <a14:hiddenFill xmlns:a14="http://schemas.microsoft.com/office/drawing/2010/main">
                              <a:solidFill>
                                <a:srgbClr val="FFFFFF"/>
                              </a:solidFill>
                            </a14:hiddenFill>
                          </a:ext>
                        </a:extLst>
                      </wps:spPr>
                      <wps:txbx>
                        <w:txbxContent>
                          <w:p w14:paraId="4037A9F3" w14:textId="277E8CA6" w:rsidR="00FE6544" w:rsidRPr="005470B1" w:rsidRDefault="00FE6544" w:rsidP="00E5094C">
                            <w:pPr>
                              <w:pStyle w:val="Questionheading"/>
                              <w:ind w:left="567"/>
                            </w:pPr>
                            <w:r>
                              <w:rPr>
                                <w:b w:val="0"/>
                                <w:noProof/>
                                <w:lang w:eastAsia="en-AU" w:bidi="ar-SA"/>
                              </w:rPr>
                              <w:drawing>
                                <wp:inline distT="0" distB="0" distL="0" distR="0" wp14:anchorId="629D1B92" wp14:editId="0435EB66">
                                  <wp:extent cx="240030" cy="207608"/>
                                  <wp:effectExtent l="0" t="0" r="7620" b="2540"/>
                                  <wp:docPr id="40" name="Picture 40" descr="Question mark to left of the ‘Consultation question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Question mark to left of the ‘Consultation questions’ title"/>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240030" cy="207608"/>
                                          </a:xfrm>
                                          <a:prstGeom prst="rect">
                                            <a:avLst/>
                                          </a:prstGeom>
                                          <a:noFill/>
                                          <a:ln>
                                            <a:noFill/>
                                          </a:ln>
                                        </pic:spPr>
                                      </pic:pic>
                                    </a:graphicData>
                                  </a:graphic>
                                </wp:inline>
                              </w:drawing>
                            </w:r>
                            <w:r>
                              <w:t xml:space="preserve">  </w:t>
                            </w:r>
                            <w:r w:rsidRPr="005470B1">
                              <w:t>Consultation question</w:t>
                            </w:r>
                            <w:r>
                              <w:t>s</w:t>
                            </w:r>
                          </w:p>
                          <w:p w14:paraId="63D2F4BC" w14:textId="51F0A827" w:rsidR="00FE6544" w:rsidRDefault="00FE6544" w:rsidP="00295921">
                            <w:pPr>
                              <w:pStyle w:val="ListParagraph"/>
                              <w:numPr>
                                <w:ilvl w:val="0"/>
                                <w:numId w:val="61"/>
                              </w:numPr>
                              <w:ind w:right="283"/>
                            </w:pPr>
                            <w:r w:rsidRPr="00EC0A4B">
                              <w:t xml:space="preserve">Are there any adjustments IHPA should prioritise investigating to inform the development of NEP23? </w:t>
                            </w:r>
                          </w:p>
                          <w:p w14:paraId="186FD416" w14:textId="42AB741F" w:rsidR="00FE6544" w:rsidRDefault="00FE6544" w:rsidP="00D15790">
                            <w:pPr>
                              <w:pStyle w:val="ListParagraph"/>
                              <w:numPr>
                                <w:ilvl w:val="0"/>
                                <w:numId w:val="61"/>
                              </w:numPr>
                              <w:ind w:right="283"/>
                            </w:pPr>
                            <w:r>
                              <w:t>What cost input pressures</w:t>
                            </w:r>
                            <w:r w:rsidR="00D821E9">
                              <w:t xml:space="preserve"> </w:t>
                            </w:r>
                            <w:r w:rsidR="002A07F5">
                              <w:t xml:space="preserve">that </w:t>
                            </w:r>
                            <w:r w:rsidR="00FD24ED">
                              <w:t>may</w:t>
                            </w:r>
                            <w:r w:rsidR="002A07F5">
                              <w:t xml:space="preserve"> have a</w:t>
                            </w:r>
                            <w:r w:rsidR="00FD24ED">
                              <w:t>n impact on the</w:t>
                            </w:r>
                            <w:r w:rsidR="002A07F5">
                              <w:t xml:space="preserve"> national</w:t>
                            </w:r>
                            <w:r w:rsidR="00FD24ED">
                              <w:t xml:space="preserve"> pricing model</w:t>
                            </w:r>
                            <w:r w:rsidR="002A07F5">
                              <w:t xml:space="preserve"> </w:t>
                            </w:r>
                            <w:r w:rsidR="00D821E9">
                              <w:t>and</w:t>
                            </w:r>
                            <w:r w:rsidR="002A07F5">
                              <w:t xml:space="preserve"> are </w:t>
                            </w:r>
                            <w:r>
                              <w:t xml:space="preserve">not included in the </w:t>
                            </w:r>
                            <w:r w:rsidRPr="00FA3D59">
                              <w:rPr>
                                <w:rFonts w:cs="Arial"/>
                              </w:rPr>
                              <w:t xml:space="preserve">NHCDC </w:t>
                            </w:r>
                            <w:r>
                              <w:t>should be considered in the development of NEP23?</w:t>
                            </w:r>
                            <w:r w:rsidR="002A07F5">
                              <w:t xml:space="preserve"> </w:t>
                            </w:r>
                          </w:p>
                        </w:txbxContent>
                      </wps:txbx>
                      <wps:bodyPr rot="0" vert="horz" wrap="square" lIns="0" tIns="0" rIns="0" bIns="0" anchor="t" anchorCtr="0" upright="1">
                        <a:noAutofit/>
                      </wps:bodyPr>
                    </wps:wsp>
                  </a:graphicData>
                </a:graphic>
              </wp:inline>
            </w:drawing>
          </mc:Choice>
          <mc:Fallback xmlns:w16sdtdh="http://schemas.microsoft.com/office/word/2020/wordml/sdtdatahash" xmlns:oel="http://schemas.microsoft.com/office/2019/extlst">
            <w:pict>
              <v:shape w14:anchorId="2EB8B634" id="Text Box 40" o:spid="_x0000_s1031" type="#_x0000_t202" alt="&quot;&quot;" style="width:211.7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" filled="f" strokecolor="#c31f48 [3206]">
                <v:textbox inset="0,0,0,0">
                  <w:txbxContent>
                    <w:p w14:paraId="4037A9F3" w14:textId="277E8CA6" w:rsidR="00FE6544" w:rsidRPr="005470B1" w:rsidRDefault="00FE6544" w:rsidP="00E5094C">
                      <w:pPr>
                        <w:pStyle w:val="Questionheading"/>
                        <w:ind w:left="567"/>
                      </w:pPr>
                      <w:r>
                        <w:rPr>
                          <w:b w:val="0"/>
                          <w:noProof/>
                          <w:lang w:eastAsia="en-AU" w:bidi="ar-SA"/>
                        </w:rPr>
                        <w:drawing>
                          <wp:inline distT="0" distB="0" distL="0" distR="0" wp14:anchorId="629D1B92" wp14:editId="0435EB66">
                            <wp:extent cx="240030" cy="207608"/>
                            <wp:effectExtent l="0" t="0" r="7620" b="2540"/>
                            <wp:docPr id="40" name="Picture 40" descr="Question mark to left of the ‘Consultation question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Question mark to left of the ‘Consultation questions’ title"/>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240030" cy="207608"/>
                                    </a:xfrm>
                                    <a:prstGeom prst="rect">
                                      <a:avLst/>
                                    </a:prstGeom>
                                    <a:noFill/>
                                    <a:ln>
                                      <a:noFill/>
                                    </a:ln>
                                  </pic:spPr>
                                </pic:pic>
                              </a:graphicData>
                            </a:graphic>
                          </wp:inline>
                        </w:drawing>
                      </w:r>
                      <w:r>
                        <w:t xml:space="preserve">  </w:t>
                      </w:r>
                      <w:r w:rsidRPr="005470B1">
                        <w:t>Consultation question</w:t>
                      </w:r>
                      <w:r>
                        <w:t>s</w:t>
                      </w:r>
                    </w:p>
                    <w:p w14:paraId="63D2F4BC" w14:textId="51F0A827" w:rsidR="00FE6544" w:rsidRDefault="00FE6544" w:rsidP="00295921">
                      <w:pPr>
                        <w:pStyle w:val="ListParagraph"/>
                        <w:numPr>
                          <w:ilvl w:val="0"/>
                          <w:numId w:val="61"/>
                        </w:numPr>
                        <w:ind w:right="283"/>
                      </w:pPr>
                      <w:r w:rsidRPr="00EC0A4B">
                        <w:t xml:space="preserve">Are there any adjustments IHPA should prioritise investigating to inform the development of NEP23? </w:t>
                      </w:r>
                    </w:p>
                    <w:p w14:paraId="186FD416" w14:textId="42AB741F" w:rsidR="00FE6544" w:rsidRDefault="00FE6544" w:rsidP="00D15790">
                      <w:pPr>
                        <w:pStyle w:val="ListParagraph"/>
                        <w:numPr>
                          <w:ilvl w:val="0"/>
                          <w:numId w:val="61"/>
                        </w:numPr>
                        <w:ind w:right="283"/>
                      </w:pPr>
                      <w:r>
                        <w:t>What cost input pressures</w:t>
                      </w:r>
                      <w:r w:rsidR="00D821E9">
                        <w:t xml:space="preserve"> </w:t>
                      </w:r>
                      <w:r w:rsidR="002A07F5">
                        <w:t xml:space="preserve">that </w:t>
                      </w:r>
                      <w:r w:rsidR="00FD24ED">
                        <w:t>may</w:t>
                      </w:r>
                      <w:r w:rsidR="002A07F5">
                        <w:t xml:space="preserve"> have a</w:t>
                      </w:r>
                      <w:r w:rsidR="00FD24ED">
                        <w:t>n impact on the</w:t>
                      </w:r>
                      <w:r w:rsidR="002A07F5">
                        <w:t xml:space="preserve"> national</w:t>
                      </w:r>
                      <w:r w:rsidR="00FD24ED">
                        <w:t xml:space="preserve"> pricing model</w:t>
                      </w:r>
                      <w:r w:rsidR="002A07F5">
                        <w:t xml:space="preserve"> </w:t>
                      </w:r>
                      <w:r w:rsidR="00D821E9">
                        <w:t>and</w:t>
                      </w:r>
                      <w:r w:rsidR="002A07F5">
                        <w:t xml:space="preserve"> are </w:t>
                      </w:r>
                      <w:r>
                        <w:t xml:space="preserve">not included in the </w:t>
                      </w:r>
                      <w:r w:rsidRPr="00FA3D59">
                        <w:rPr>
                          <w:rFonts w:cs="Arial"/>
                        </w:rPr>
                        <w:t xml:space="preserve">NHCDC </w:t>
                      </w:r>
                      <w:r>
                        <w:t>should be considered in the development of NEP23?</w:t>
                      </w:r>
                      <w:r w:rsidR="002A07F5">
                        <w:t xml:space="preserve"> </w:t>
                      </w:r>
                    </w:p>
                  </w:txbxContent>
                </v:textbox>
                <w10:anchorlock/>
              </v:shape>
            </w:pict>
          </mc:Fallback>
        </mc:AlternateContent>
      </w:r>
    </w:p>
    <w:p w14:paraId="37A35634" w14:textId="646D541B" w:rsidR="00E5094C" w:rsidRPr="003746D5" w:rsidRDefault="00E5094C" w:rsidP="003746D5">
      <w:pPr>
        <w:pStyle w:val="Heading2"/>
      </w:pPr>
      <w:bookmarkStart w:id="73" w:name="_Toc71631319"/>
      <w:r w:rsidRPr="003746D5">
        <w:t>6.3. Harmonising price weights across care settings</w:t>
      </w:r>
      <w:bookmarkEnd w:id="73"/>
    </w:p>
    <w:p w14:paraId="72F92360" w14:textId="67AF6603" w:rsidR="00E5094C" w:rsidRDefault="00EC0A4B" w:rsidP="00E5094C">
      <w:pPr>
        <w:pStyle w:val="BodyText"/>
        <w:ind w:right="44"/>
        <w:rPr>
          <w:rFonts w:cs="Arial"/>
        </w:rPr>
      </w:pPr>
      <w:r w:rsidRPr="00EC0A4B">
        <w:rPr>
          <w:rFonts w:cs="Arial"/>
        </w:rPr>
        <w:t xml:space="preserve">IHPA’s Pricing Guidelines include </w:t>
      </w:r>
      <w:r w:rsidR="00D81BDA">
        <w:rPr>
          <w:rFonts w:cs="Arial"/>
        </w:rPr>
        <w:t>‘</w:t>
      </w:r>
      <w:r w:rsidRPr="00EC0A4B">
        <w:rPr>
          <w:rFonts w:cs="Arial"/>
        </w:rPr>
        <w:t>System Design Guidelines</w:t>
      </w:r>
      <w:r w:rsidR="00D81BDA">
        <w:rPr>
          <w:rFonts w:cs="Arial"/>
        </w:rPr>
        <w:t>’</w:t>
      </w:r>
      <w:r w:rsidRPr="00EC0A4B">
        <w:rPr>
          <w:rFonts w:cs="Arial"/>
        </w:rPr>
        <w:t xml:space="preserve"> to inform options for the design of activity based funding (ABF) and block funding arrangements, including an objective for price harmonisation whereby pricing should facilitate best practice provision </w:t>
      </w:r>
      <w:r w:rsidR="00AE596B">
        <w:rPr>
          <w:rFonts w:cs="Arial"/>
        </w:rPr>
        <w:t>at the</w:t>
      </w:r>
      <w:r w:rsidRPr="00EC0A4B">
        <w:rPr>
          <w:rFonts w:cs="Arial"/>
        </w:rPr>
        <w:t xml:space="preserve"> appropriate site of care.</w:t>
      </w:r>
    </w:p>
    <w:p w14:paraId="3EF62FD4" w14:textId="77777777" w:rsidR="00862375" w:rsidRDefault="00E5094C" w:rsidP="00862375">
      <w:pPr>
        <w:pStyle w:val="BodyText"/>
        <w:spacing w:before="164"/>
        <w:ind w:right="44"/>
      </w:pPr>
      <w:r w:rsidRPr="0065414C">
        <w:rPr>
          <w:rFonts w:cs="Arial"/>
          <w:noProof/>
          <w:lang w:eastAsia="en-AU" w:bidi="ar-SA"/>
        </w:rPr>
        <mc:AlternateContent>
          <mc:Choice Requires="wps">
            <w:drawing>
              <wp:inline distT="0" distB="0" distL="0" distR="0" wp14:anchorId="56014FAA" wp14:editId="42B2A42C">
                <wp:extent cx="2743200" cy="813435"/>
                <wp:effectExtent l="0" t="0" r="19050" b="24765"/>
                <wp:docPr id="64" name="Text Box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13435"/>
                        </a:xfrm>
                        <a:prstGeom prst="rect">
                          <a:avLst/>
                        </a:prstGeom>
                        <a:noFill/>
                        <a:ln w="9525">
                          <a:solidFill>
                            <a:schemeClr val="accent3"/>
                          </a:solidFill>
                          <a:miter lim="800000"/>
                          <a:headEnd/>
                          <a:tailEnd/>
                        </a:ln>
                        <a:extLst>
                          <a:ext uri="{909E8E84-426E-40DD-AFC4-6F175D3DCCD1}">
                            <a14:hiddenFill xmlns:a14="http://schemas.microsoft.com/office/drawing/2010/main">
                              <a:solidFill>
                                <a:srgbClr val="FFFFFF"/>
                              </a:solidFill>
                            </a14:hiddenFill>
                          </a:ext>
                        </a:extLst>
                      </wps:spPr>
                      <wps:txbx>
                        <w:txbxContent>
                          <w:p w14:paraId="2F03CBC8" w14:textId="77777777" w:rsidR="00FE6544" w:rsidRPr="00941602" w:rsidRDefault="00FE6544" w:rsidP="00E5094C">
                            <w:pPr>
                              <w:pStyle w:val="BodyText"/>
                              <w:ind w:left="142"/>
                            </w:pPr>
                            <w:r w:rsidRPr="00A350BE">
                              <w:t>Price harmonisation is a method to reduce and eliminate financial incentives for hospitals to admit patients that could otherwise be treated on a non-admitted basis</w:t>
                            </w:r>
                            <w:r w:rsidRPr="004F0384">
                              <w:t>.</w:t>
                            </w:r>
                          </w:p>
                        </w:txbxContent>
                      </wps:txbx>
                      <wps:bodyPr rot="0" vert="horz" wrap="square" lIns="0" tIns="0" rIns="0" bIns="0" anchor="t" anchorCtr="0" upright="1">
                        <a:noAutofit/>
                      </wps:bodyPr>
                    </wps:wsp>
                  </a:graphicData>
                </a:graphic>
              </wp:inline>
            </w:drawing>
          </mc:Choice>
          <mc:Fallback xmlns:w16sdtdh="http://schemas.microsoft.com/office/word/2020/wordml/sdtdatahash" xmlns:oel="http://schemas.microsoft.com/office/2019/extlst">
            <w:pict>
              <v:shape w14:anchorId="56014FAA" id="Text Box 41" o:spid="_x0000_s1032" type="#_x0000_t202" alt="&quot;&quot;" style="width:3in;height:6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" filled="f" strokecolor="#c31f48 [3206]">
                <v:textbox inset="0,0,0,0">
                  <w:txbxContent>
                    <w:p w14:paraId="2F03CBC8" w14:textId="77777777" w:rsidR="00FE6544" w:rsidRPr="00941602" w:rsidRDefault="00FE6544" w:rsidP="00E5094C">
                      <w:pPr>
                        <w:pStyle w:val="BodyText"/>
                        <w:ind w:left="142"/>
                      </w:pPr>
                      <w:r w:rsidRPr="00A350BE">
                        <w:t>Price harmonisation is a method to reduce and eliminate financial incentives for hospitals to admit patients that could otherwise be treated on a non-admitted basis</w:t>
                      </w:r>
                      <w:r w:rsidRPr="004F0384">
                        <w:t>.</w:t>
                      </w:r>
                    </w:p>
                  </w:txbxContent>
                </v:textbox>
                <w10:anchorlock/>
              </v:shape>
            </w:pict>
          </mc:Fallback>
        </mc:AlternateContent>
      </w:r>
    </w:p>
    <w:p w14:paraId="22CB3D3A" w14:textId="76EF0CF2" w:rsidR="005F3FFB" w:rsidRDefault="005F3FFB" w:rsidP="00041B5E">
      <w:pPr>
        <w:pStyle w:val="BodyText"/>
      </w:pPr>
      <w:r w:rsidRPr="005F3FFB">
        <w:t xml:space="preserve">IHPA harmonises a number of price weights across the admitted acute and non-admitted settings so that similar services are priced consistently across settings (for example, for interventional imaging). </w:t>
      </w:r>
    </w:p>
    <w:p w14:paraId="4D6562BB" w14:textId="7FE21987" w:rsidR="005F3FFB" w:rsidRDefault="005F3FFB" w:rsidP="00041B5E">
      <w:pPr>
        <w:pStyle w:val="BodyText"/>
      </w:pPr>
      <w:r>
        <w:t xml:space="preserve">For NEP22, IHPA did not progress price harmonisation due </w:t>
      </w:r>
      <w:r w:rsidRPr="00BA35CE">
        <w:t>to the impact of COVID-19 on 2019</w:t>
      </w:r>
      <w:r w:rsidR="00EE6EE0" w:rsidRPr="00BA35CE">
        <w:rPr>
          <w:rFonts w:cs="Arial"/>
        </w:rPr>
        <w:t>–</w:t>
      </w:r>
      <w:r w:rsidRPr="00BA35CE">
        <w:t xml:space="preserve">20 </w:t>
      </w:r>
      <w:r w:rsidR="002D10A4">
        <w:rPr>
          <w:rFonts w:cs="Arial"/>
        </w:rPr>
        <w:t>activity and cost</w:t>
      </w:r>
      <w:r w:rsidRPr="00BA35CE">
        <w:t xml:space="preserve"> data</w:t>
      </w:r>
      <w:r>
        <w:t>.</w:t>
      </w:r>
    </w:p>
    <w:p w14:paraId="4B95115B" w14:textId="1FFA5E1C" w:rsidR="004769F4" w:rsidRDefault="004769F4" w:rsidP="004769F4">
      <w:pPr>
        <w:pStyle w:val="BodyText"/>
        <w:ind w:right="44"/>
        <w:rPr>
          <w:rFonts w:cs="Arial"/>
        </w:rPr>
      </w:pPr>
      <w:bookmarkStart w:id="74" w:name="_Toc71631321"/>
      <w:r w:rsidRPr="00EC0A4B">
        <w:rPr>
          <w:rFonts w:cs="Arial"/>
        </w:rPr>
        <w:t xml:space="preserve">For NEP23, IHPA will review 2020–21 </w:t>
      </w:r>
      <w:r w:rsidR="002D10A4">
        <w:rPr>
          <w:rFonts w:cs="Arial"/>
        </w:rPr>
        <w:t>activity and cost</w:t>
      </w:r>
      <w:r w:rsidRPr="00EC0A4B">
        <w:rPr>
          <w:rFonts w:cs="Arial"/>
        </w:rPr>
        <w:t xml:space="preserve"> data to determine whether sufficient data is available to progress investigation</w:t>
      </w:r>
      <w:r w:rsidR="00FE729E">
        <w:rPr>
          <w:rFonts w:cs="Arial"/>
        </w:rPr>
        <w:t xml:space="preserve"> of price harmonisation</w:t>
      </w:r>
      <w:r w:rsidRPr="00EC0A4B">
        <w:rPr>
          <w:rFonts w:cs="Arial"/>
        </w:rPr>
        <w:t>, recognising the impact of COVID</w:t>
      </w:r>
      <w:r w:rsidR="00FE729E">
        <w:rPr>
          <w:rFonts w:cs="Arial"/>
        </w:rPr>
        <w:noBreakHyphen/>
      </w:r>
      <w:r w:rsidRPr="00EC0A4B">
        <w:rPr>
          <w:rFonts w:cs="Arial"/>
        </w:rPr>
        <w:t>19 during this period</w:t>
      </w:r>
      <w:r w:rsidRPr="00BD16E7">
        <w:rPr>
          <w:rFonts w:cs="Arial"/>
        </w:rPr>
        <w:t>.</w:t>
      </w:r>
    </w:p>
    <w:p w14:paraId="02A90E46" w14:textId="1734D192" w:rsidR="00187C43" w:rsidRDefault="00187C43" w:rsidP="00187C43">
      <w:pPr>
        <w:pStyle w:val="Heading2"/>
        <w:rPr>
          <w:rFonts w:cs="Arial"/>
        </w:rPr>
      </w:pPr>
      <w:r>
        <w:rPr>
          <w:rFonts w:cs="Arial"/>
        </w:rPr>
        <w:t>6</w:t>
      </w:r>
      <w:r w:rsidRPr="0065414C">
        <w:rPr>
          <w:rFonts w:cs="Arial"/>
        </w:rPr>
        <w:t>.</w:t>
      </w:r>
      <w:r w:rsidR="00EC0A4B">
        <w:rPr>
          <w:rFonts w:cs="Arial"/>
        </w:rPr>
        <w:t>4</w:t>
      </w:r>
      <w:r w:rsidRPr="0065414C">
        <w:rPr>
          <w:rFonts w:cs="Arial"/>
        </w:rPr>
        <w:t xml:space="preserve">. </w:t>
      </w:r>
      <w:r>
        <w:rPr>
          <w:rFonts w:cs="Arial"/>
        </w:rPr>
        <w:t>Unqualified newborns</w:t>
      </w:r>
      <w:bookmarkEnd w:id="74"/>
    </w:p>
    <w:p w14:paraId="28852921" w14:textId="0EC9B27E" w:rsidR="00EC0A4B" w:rsidRPr="00EC0A4B" w:rsidRDefault="00EC0A4B" w:rsidP="00EC0A4B">
      <w:pPr>
        <w:pStyle w:val="BodyText"/>
        <w:ind w:right="44"/>
        <w:rPr>
          <w:rFonts w:cs="Arial"/>
        </w:rPr>
      </w:pPr>
      <w:r w:rsidRPr="00EC0A4B">
        <w:rPr>
          <w:rFonts w:cs="Arial"/>
        </w:rPr>
        <w:t xml:space="preserve">IHPA has received feedback from stakeholders detailing concerns around how unqualified newborns are currently accounted for in the national pricing model. A newborn qualification status is assigned to each patient day within a </w:t>
      </w:r>
      <w:r w:rsidRPr="00EC0A4B">
        <w:rPr>
          <w:rFonts w:cs="Arial"/>
        </w:rPr>
        <w:t>newborn episode of care and a newborn patient day is considered qualified if the infant meets at least one of the following criteria:</w:t>
      </w:r>
    </w:p>
    <w:p w14:paraId="1787B088" w14:textId="4F2AA6B9" w:rsidR="00EC0A4B" w:rsidRPr="00EC0A4B" w:rsidRDefault="00EC0A4B" w:rsidP="00295921">
      <w:pPr>
        <w:pStyle w:val="ListParagraph"/>
        <w:numPr>
          <w:ilvl w:val="0"/>
          <w:numId w:val="62"/>
        </w:numPr>
      </w:pPr>
      <w:bookmarkStart w:id="75" w:name="_Hlk103178877"/>
      <w:r w:rsidRPr="00EC0A4B">
        <w:t>is the second or subsequent live born infant of a multiple birth, whose mother is currently an admitted patient</w:t>
      </w:r>
    </w:p>
    <w:p w14:paraId="4B8C0734" w14:textId="324AEB50" w:rsidR="00EC0A4B" w:rsidRPr="00EC0A4B" w:rsidRDefault="00EC0A4B" w:rsidP="00295921">
      <w:pPr>
        <w:pStyle w:val="ListParagraph"/>
        <w:numPr>
          <w:ilvl w:val="0"/>
          <w:numId w:val="62"/>
        </w:numPr>
      </w:pPr>
      <w:r w:rsidRPr="00EC0A4B">
        <w:t>is admitted to an intensive care facility in a hospital, being a facility approved by the Commonwealth Minister for the purpose of the provision of special care</w:t>
      </w:r>
    </w:p>
    <w:p w14:paraId="55FD3FC3" w14:textId="7F32294F" w:rsidR="00EC0A4B" w:rsidRPr="00EC0A4B" w:rsidRDefault="00EC0A4B" w:rsidP="00295921">
      <w:pPr>
        <w:pStyle w:val="ListParagraph"/>
        <w:numPr>
          <w:ilvl w:val="0"/>
          <w:numId w:val="62"/>
        </w:numPr>
      </w:pPr>
      <w:bookmarkStart w:id="76" w:name="_Hlk103178893"/>
      <w:bookmarkEnd w:id="75"/>
      <w:r w:rsidRPr="00EC0A4B">
        <w:t>is admitted to, or remains in hospital without its mother.</w:t>
      </w:r>
    </w:p>
    <w:bookmarkEnd w:id="76"/>
    <w:p w14:paraId="6F840EED" w14:textId="4BD099F9" w:rsidR="00EC0A4B" w:rsidRPr="00EC0A4B" w:rsidRDefault="00EC0A4B" w:rsidP="00EC0A4B">
      <w:pPr>
        <w:pStyle w:val="BodyText"/>
        <w:ind w:right="44"/>
        <w:rPr>
          <w:rFonts w:cs="Arial"/>
        </w:rPr>
      </w:pPr>
      <w:r w:rsidRPr="00EC0A4B">
        <w:rPr>
          <w:rFonts w:cs="Arial"/>
        </w:rPr>
        <w:t xml:space="preserve">A newborn patient day is considered unqualified if the infant does not meet any of the above criteria. </w:t>
      </w:r>
      <w:bookmarkStart w:id="77" w:name="_Hlk103179047"/>
      <w:r w:rsidRPr="00EC0A4B">
        <w:rPr>
          <w:rFonts w:cs="Arial"/>
        </w:rPr>
        <w:t xml:space="preserve">Unqualified newborns are therefore not considered in-scope for admitted patient data collections or ABF. Their costs are assigned to the mother’s </w:t>
      </w:r>
      <w:r w:rsidR="00286D22">
        <w:rPr>
          <w:rFonts w:cs="Arial"/>
        </w:rPr>
        <w:t>episode</w:t>
      </w:r>
      <w:r w:rsidRPr="00EC0A4B">
        <w:rPr>
          <w:rFonts w:cs="Arial"/>
        </w:rPr>
        <w:t xml:space="preserve"> and included in the delivery Diagnosis Related Group</w:t>
      </w:r>
      <w:r w:rsidR="009C4193">
        <w:rPr>
          <w:rFonts w:cs="Arial"/>
        </w:rPr>
        <w:t xml:space="preserve"> (DRG)</w:t>
      </w:r>
      <w:r w:rsidRPr="00EC0A4B">
        <w:rPr>
          <w:rFonts w:cs="Arial"/>
        </w:rPr>
        <w:t xml:space="preserve"> price</w:t>
      </w:r>
      <w:bookmarkEnd w:id="77"/>
      <w:r w:rsidRPr="00EC0A4B">
        <w:rPr>
          <w:rFonts w:cs="Arial"/>
        </w:rPr>
        <w:t>.</w:t>
      </w:r>
    </w:p>
    <w:p w14:paraId="383D9A4D" w14:textId="7C59E6CF" w:rsidR="00EC0A4B" w:rsidRPr="00EC0A4B" w:rsidRDefault="00286D22" w:rsidP="00EC0A4B">
      <w:pPr>
        <w:pStyle w:val="BodyText"/>
        <w:ind w:right="44"/>
        <w:rPr>
          <w:rFonts w:cs="Arial"/>
        </w:rPr>
      </w:pPr>
      <w:r>
        <w:rPr>
          <w:rFonts w:cs="Arial"/>
        </w:rPr>
        <w:t>Some stakeholders have</w:t>
      </w:r>
      <w:r w:rsidR="00685449">
        <w:rPr>
          <w:rFonts w:cs="Arial"/>
        </w:rPr>
        <w:t xml:space="preserve"> advised that t</w:t>
      </w:r>
      <w:r w:rsidR="00596E7A">
        <w:rPr>
          <w:rFonts w:cs="Arial"/>
        </w:rPr>
        <w:t xml:space="preserve">he </w:t>
      </w:r>
      <w:bookmarkStart w:id="78" w:name="_Hlk103178995"/>
      <w:r w:rsidR="00596E7A">
        <w:rPr>
          <w:rFonts w:cs="Arial"/>
        </w:rPr>
        <w:t xml:space="preserve">current approach to pricing </w:t>
      </w:r>
      <w:r w:rsidR="006D65B4">
        <w:rPr>
          <w:rFonts w:cs="Arial"/>
        </w:rPr>
        <w:t>newborn</w:t>
      </w:r>
      <w:r w:rsidR="00596E7A">
        <w:rPr>
          <w:rFonts w:cs="Arial"/>
        </w:rPr>
        <w:t xml:space="preserve"> episodes of care does not reflect increase</w:t>
      </w:r>
      <w:r w:rsidR="00105006">
        <w:rPr>
          <w:rFonts w:cs="Arial"/>
        </w:rPr>
        <w:t>d</w:t>
      </w:r>
      <w:r w:rsidR="00596E7A">
        <w:rPr>
          <w:rFonts w:cs="Arial"/>
        </w:rPr>
        <w:t xml:space="preserve"> care being provided to </w:t>
      </w:r>
      <w:r w:rsidR="009C4193">
        <w:rPr>
          <w:rFonts w:cs="Arial"/>
        </w:rPr>
        <w:t>newborns</w:t>
      </w:r>
      <w:r w:rsidR="00596E7A">
        <w:rPr>
          <w:rFonts w:cs="Arial"/>
        </w:rPr>
        <w:t xml:space="preserve"> outside of the intensive care </w:t>
      </w:r>
      <w:r w:rsidR="009C4193">
        <w:rPr>
          <w:rFonts w:cs="Arial"/>
        </w:rPr>
        <w:t xml:space="preserve">unit </w:t>
      </w:r>
      <w:r w:rsidR="00596E7A">
        <w:rPr>
          <w:rFonts w:cs="Arial"/>
        </w:rPr>
        <w:t>setting</w:t>
      </w:r>
      <w:bookmarkEnd w:id="78"/>
      <w:r w:rsidR="00596E7A">
        <w:rPr>
          <w:rFonts w:cs="Arial"/>
        </w:rPr>
        <w:t>.</w:t>
      </w:r>
      <w:r w:rsidR="008D2623">
        <w:rPr>
          <w:rFonts w:cs="Arial"/>
        </w:rPr>
        <w:t xml:space="preserve"> Stakeholders suggested costs associated with both qualified and unqualified newborns </w:t>
      </w:r>
      <w:r w:rsidR="00B165D9">
        <w:rPr>
          <w:rFonts w:cs="Arial"/>
        </w:rPr>
        <w:t>should be</w:t>
      </w:r>
      <w:r w:rsidR="008D2623">
        <w:rPr>
          <w:rFonts w:cs="Arial"/>
        </w:rPr>
        <w:t xml:space="preserve"> assigned to separate </w:t>
      </w:r>
      <w:r w:rsidR="009C4193">
        <w:rPr>
          <w:rFonts w:cs="Arial"/>
        </w:rPr>
        <w:t>DRG</w:t>
      </w:r>
      <w:r w:rsidR="008D2623">
        <w:rPr>
          <w:rFonts w:cs="Arial"/>
        </w:rPr>
        <w:t xml:space="preserve"> prices, independent of the mother’s admitted episode</w:t>
      </w:r>
      <w:r w:rsidR="00B165D9">
        <w:rPr>
          <w:rFonts w:cs="Arial"/>
        </w:rPr>
        <w:t>.</w:t>
      </w:r>
    </w:p>
    <w:p w14:paraId="2E554DB9" w14:textId="0FF5AB3E" w:rsidR="00EC0A4B" w:rsidRPr="00EC0A4B" w:rsidRDefault="00105006" w:rsidP="00EC0A4B">
      <w:pPr>
        <w:pStyle w:val="BodyText"/>
        <w:ind w:right="44"/>
        <w:rPr>
          <w:rFonts w:cs="Arial"/>
        </w:rPr>
      </w:pPr>
      <w:r>
        <w:rPr>
          <w:rFonts w:cs="Arial"/>
        </w:rPr>
        <w:t xml:space="preserve">For NEP22, IHPA proposed to investigate </w:t>
      </w:r>
      <w:r w:rsidRPr="00EC0A4B">
        <w:rPr>
          <w:rFonts w:cs="Arial"/>
        </w:rPr>
        <w:t>the current funding model around unqualified newborns</w:t>
      </w:r>
      <w:r w:rsidR="00FB5CC5">
        <w:rPr>
          <w:rFonts w:cs="Arial"/>
        </w:rPr>
        <w:t xml:space="preserve"> and explore</w:t>
      </w:r>
      <w:r>
        <w:rPr>
          <w:rFonts w:cs="Arial"/>
        </w:rPr>
        <w:t xml:space="preserve"> how the national pricing model accounts for unqualified newborns. </w:t>
      </w:r>
      <w:r w:rsidR="00FB5CC5">
        <w:rPr>
          <w:rFonts w:cs="Arial"/>
        </w:rPr>
        <w:t xml:space="preserve">IHPA deferred this work to focus on refinements to the national pricing model to account for the impact of COVID-19. </w:t>
      </w:r>
    </w:p>
    <w:p w14:paraId="56E65875" w14:textId="62F91AA2" w:rsidR="00E5094C" w:rsidRDefault="00EC0A4B" w:rsidP="00EC0A4B">
      <w:pPr>
        <w:pStyle w:val="BodyText"/>
        <w:ind w:right="44"/>
        <w:rPr>
          <w:rFonts w:cs="Arial"/>
        </w:rPr>
      </w:pPr>
      <w:r w:rsidRPr="00EC0A4B">
        <w:rPr>
          <w:rFonts w:cs="Arial"/>
        </w:rPr>
        <w:t xml:space="preserve">For NEP23, IHPA will review 2020–21 </w:t>
      </w:r>
      <w:r w:rsidR="002D10A4">
        <w:rPr>
          <w:rFonts w:cs="Arial"/>
        </w:rPr>
        <w:t>activity and cost</w:t>
      </w:r>
      <w:r w:rsidRPr="00EC0A4B">
        <w:rPr>
          <w:rFonts w:cs="Arial"/>
        </w:rPr>
        <w:t xml:space="preserve"> data to determine whether sufficient data is available to progress investigation</w:t>
      </w:r>
      <w:r w:rsidR="00781AAB">
        <w:rPr>
          <w:rFonts w:cs="Arial"/>
        </w:rPr>
        <w:t xml:space="preserve"> of </w:t>
      </w:r>
      <w:r w:rsidR="008E24B0">
        <w:rPr>
          <w:rFonts w:cs="Arial"/>
        </w:rPr>
        <w:t xml:space="preserve">how costs of </w:t>
      </w:r>
      <w:r w:rsidR="00781AAB">
        <w:rPr>
          <w:rFonts w:cs="Arial"/>
        </w:rPr>
        <w:t>unqualified newborns</w:t>
      </w:r>
      <w:r w:rsidR="008E24B0">
        <w:rPr>
          <w:rFonts w:cs="Arial"/>
        </w:rPr>
        <w:t xml:space="preserve"> are accounted for in the national pricing model</w:t>
      </w:r>
      <w:r w:rsidR="00E5094C" w:rsidRPr="00BD16E7">
        <w:rPr>
          <w:rFonts w:cs="Arial"/>
        </w:rPr>
        <w:t>.</w:t>
      </w:r>
      <w:r w:rsidR="00105006">
        <w:rPr>
          <w:rFonts w:cs="Arial"/>
        </w:rPr>
        <w:t xml:space="preserve"> </w:t>
      </w:r>
      <w:r w:rsidR="00407CA2">
        <w:rPr>
          <w:rFonts w:cs="Arial"/>
        </w:rPr>
        <w:t>The</w:t>
      </w:r>
      <w:r w:rsidR="008E24B0">
        <w:rPr>
          <w:rFonts w:cs="Arial"/>
        </w:rPr>
        <w:t xml:space="preserve"> criteria for determining</w:t>
      </w:r>
      <w:r w:rsidR="00407CA2">
        <w:rPr>
          <w:rFonts w:cs="Arial"/>
        </w:rPr>
        <w:t xml:space="preserve"> qualification status </w:t>
      </w:r>
      <w:r w:rsidR="00207D1D">
        <w:rPr>
          <w:rFonts w:cs="Arial"/>
        </w:rPr>
        <w:t>which is set out</w:t>
      </w:r>
      <w:r w:rsidR="00407CA2">
        <w:rPr>
          <w:rFonts w:cs="Arial"/>
        </w:rPr>
        <w:t xml:space="preserve"> in legislation would be considered out of scope </w:t>
      </w:r>
      <w:r w:rsidR="00207D1D">
        <w:rPr>
          <w:rFonts w:cs="Arial"/>
        </w:rPr>
        <w:t xml:space="preserve">for </w:t>
      </w:r>
      <w:r w:rsidR="00407CA2">
        <w:rPr>
          <w:rFonts w:cs="Arial"/>
        </w:rPr>
        <w:t>this review.</w:t>
      </w:r>
    </w:p>
    <w:p w14:paraId="2B717BCC" w14:textId="45EBA6FB" w:rsidR="00EC0A4B" w:rsidRDefault="00EC0A4B" w:rsidP="00EC0A4B">
      <w:pPr>
        <w:pStyle w:val="Heading2"/>
        <w:rPr>
          <w:rFonts w:cs="Arial"/>
        </w:rPr>
      </w:pPr>
      <w:r>
        <w:rPr>
          <w:rFonts w:cs="Arial"/>
        </w:rPr>
        <w:t>6</w:t>
      </w:r>
      <w:r w:rsidRPr="0065414C">
        <w:rPr>
          <w:rFonts w:cs="Arial"/>
        </w:rPr>
        <w:t>.</w:t>
      </w:r>
      <w:r>
        <w:rPr>
          <w:rFonts w:cs="Arial"/>
        </w:rPr>
        <w:t>5</w:t>
      </w:r>
      <w:r w:rsidRPr="0065414C">
        <w:rPr>
          <w:rFonts w:cs="Arial"/>
        </w:rPr>
        <w:t xml:space="preserve">. </w:t>
      </w:r>
      <w:r w:rsidRPr="00EC0A4B">
        <w:rPr>
          <w:rFonts w:cs="Arial"/>
        </w:rPr>
        <w:t xml:space="preserve">Setting the </w:t>
      </w:r>
      <w:r>
        <w:rPr>
          <w:rFonts w:cs="Arial"/>
        </w:rPr>
        <w:t>n</w:t>
      </w:r>
      <w:r w:rsidRPr="00EC0A4B">
        <w:rPr>
          <w:rFonts w:cs="Arial"/>
        </w:rPr>
        <w:t>ational efficient price for private patients in public hospitals</w:t>
      </w:r>
    </w:p>
    <w:p w14:paraId="7601B352" w14:textId="77777777" w:rsidR="00EC0A4B" w:rsidRPr="00EC0A4B" w:rsidRDefault="00EC0A4B" w:rsidP="00EC0A4B">
      <w:pPr>
        <w:pStyle w:val="BodyText"/>
        <w:ind w:right="44"/>
        <w:rPr>
          <w:rFonts w:cs="Arial"/>
        </w:rPr>
      </w:pPr>
      <w:r w:rsidRPr="00EC0A4B">
        <w:rPr>
          <w:rFonts w:cs="Arial"/>
        </w:rPr>
        <w:t xml:space="preserve">The Addendum includes parameters around how funding for private patients in public hospitals should be considered, specifically that IHPA will adjust the price for privately insured patients in </w:t>
      </w:r>
      <w:r w:rsidRPr="00EC0A4B">
        <w:rPr>
          <w:rFonts w:cs="Arial"/>
        </w:rPr>
        <w:lastRenderedPageBreak/>
        <w:t>public hospitals to the extent required to achieve overall payment parity between public and private patients in the relevant jurisdiction, taking into account all hospital revenues.</w:t>
      </w:r>
    </w:p>
    <w:p w14:paraId="5DDC6595" w14:textId="3A4945C1" w:rsidR="00E5094C" w:rsidRPr="0065414C" w:rsidRDefault="00EC0A4B" w:rsidP="00EC0A4B">
      <w:pPr>
        <w:pStyle w:val="BodyText"/>
        <w:ind w:right="44"/>
        <w:rPr>
          <w:rFonts w:cs="Arial"/>
        </w:rPr>
      </w:pPr>
      <w:r w:rsidRPr="00EC0A4B">
        <w:rPr>
          <w:rFonts w:cs="Arial"/>
        </w:rPr>
        <w:t>In addressing clauses A13, A43 and A44 of the Addendum, IHPA developed the following definition of financial neutrality and payment parity in terms of revenue per national weighted activity unit (NWAU) for the given year, excluding private patient adjustments.</w:t>
      </w:r>
    </w:p>
    <w:p w14:paraId="1CFC19BA" w14:textId="15EC0F12" w:rsidR="00E5094C" w:rsidRDefault="00EC0A4B" w:rsidP="00E5094C">
      <w:pPr>
        <w:pStyle w:val="BodyText"/>
        <w:rPr>
          <w:rFonts w:cs="Arial"/>
        </w:rPr>
      </w:pPr>
      <w:r w:rsidRPr="0065414C">
        <w:rPr>
          <w:rFonts w:cs="Arial"/>
          <w:noProof/>
          <w:lang w:eastAsia="en-AU" w:bidi="ar-SA"/>
        </w:rPr>
        <mc:AlternateContent>
          <mc:Choice Requires="wps">
            <w:drawing>
              <wp:inline distT="0" distB="0" distL="0" distR="0" wp14:anchorId="1C0AE1DC" wp14:editId="40C34667">
                <wp:extent cx="2743200" cy="1381125"/>
                <wp:effectExtent l="0" t="0" r="19050" b="28575"/>
                <wp:docPr id="25" name="Text Box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381125"/>
                        </a:xfrm>
                        <a:prstGeom prst="rect">
                          <a:avLst/>
                        </a:prstGeom>
                        <a:noFill/>
                        <a:ln w="9525">
                          <a:solidFill>
                            <a:schemeClr val="accent3"/>
                          </a:solidFill>
                          <a:miter lim="800000"/>
                          <a:headEnd/>
                          <a:tailEnd/>
                        </a:ln>
                        <a:extLst>
                          <a:ext uri="{909E8E84-426E-40DD-AFC4-6F175D3DCCD1}">
                            <a14:hiddenFill xmlns:a14="http://schemas.microsoft.com/office/drawing/2010/main">
                              <a:solidFill>
                                <a:srgbClr val="FFFFFF"/>
                              </a:solidFill>
                            </a14:hiddenFill>
                          </a:ext>
                        </a:extLst>
                      </wps:spPr>
                      <wps:txbx>
                        <w:txbxContent>
                          <w:p w14:paraId="0CBBA66B" w14:textId="5B9B5D58" w:rsidR="00FE6544" w:rsidRPr="00941602" w:rsidRDefault="00FE6544" w:rsidP="00EC0A4B">
                            <w:pPr>
                              <w:pStyle w:val="BodyText"/>
                              <w:ind w:left="142"/>
                            </w:pPr>
                            <w:r w:rsidRPr="00EC0A4B">
                              <w:t>The sum of revenue a local hospital network (LHN) receives for public patient NWAU (Commonwealth and state or territory ABF payments) should be equal to payments made for a LHN service for private patient NWAU (Commonwealth and state or territory ABF payments, insurer payments and Medicare Benefit Schedule payments).</w:t>
                            </w:r>
                          </w:p>
                        </w:txbxContent>
                      </wps:txbx>
                      <wps:bodyPr rot="0" vert="horz" wrap="square" lIns="0" tIns="0" rIns="0" bIns="0" anchor="t" anchorCtr="0" upright="1">
                        <a:noAutofit/>
                      </wps:bodyPr>
                    </wps:wsp>
                  </a:graphicData>
                </a:graphic>
              </wp:inline>
            </w:drawing>
          </mc:Choice>
          <mc:Fallback xmlns:w16sdtdh="http://schemas.microsoft.com/office/word/2020/wordml/sdtdatahash" xmlns:oel="http://schemas.microsoft.com/office/2019/extlst">
            <w:pict>
              <v:shape w14:anchorId="1C0AE1DC" id="_x0000_s1033" type="#_x0000_t202" alt="&quot;&quot;" style="width:3in;height:1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" filled="f" strokecolor="#c31f48 [3206]">
                <v:textbox inset="0,0,0,0">
                  <w:txbxContent>
                    <w:p w14:paraId="0CBBA66B" w14:textId="5B9B5D58" w:rsidR="00FE6544" w:rsidRPr="00941602" w:rsidRDefault="00FE6544" w:rsidP="00EC0A4B">
                      <w:pPr>
                        <w:pStyle w:val="BodyText"/>
                        <w:ind w:left="142"/>
                      </w:pPr>
                      <w:r w:rsidRPr="00EC0A4B">
                        <w:t>The sum of revenue a local hospital network (LHN) receives for public patient NWAU (Commonwealth and state or territory ABF payments) should be equal to payments made for a LHN service for private patient NWAU (Commonwealth and state or territory ABF payments, insurer payments and Medicare Benefit Schedule payments).</w:t>
                      </w:r>
                    </w:p>
                  </w:txbxContent>
                </v:textbox>
                <w10:anchorlock/>
              </v:shape>
            </w:pict>
          </mc:Fallback>
        </mc:AlternateContent>
      </w:r>
    </w:p>
    <w:p w14:paraId="40740A49" w14:textId="47F4E14E" w:rsidR="004C74F3" w:rsidRDefault="00992924" w:rsidP="00EC0A4B">
      <w:pPr>
        <w:pStyle w:val="BodyText"/>
        <w:ind w:right="44"/>
        <w:rPr>
          <w:rFonts w:cs="Arial"/>
        </w:rPr>
      </w:pPr>
      <w:r>
        <w:rPr>
          <w:rFonts w:cs="Arial"/>
        </w:rPr>
        <w:t>Since the NEP Determination 2021–22</w:t>
      </w:r>
      <w:r w:rsidR="00EC353B">
        <w:rPr>
          <w:rFonts w:cs="Arial"/>
        </w:rPr>
        <w:t xml:space="preserve"> (NEP21)</w:t>
      </w:r>
      <w:r>
        <w:rPr>
          <w:rFonts w:cs="Arial"/>
        </w:rPr>
        <w:t xml:space="preserve">, </w:t>
      </w:r>
      <w:r w:rsidR="00EC0A4B" w:rsidRPr="00006991">
        <w:rPr>
          <w:rFonts w:cs="Arial"/>
        </w:rPr>
        <w:t xml:space="preserve">IHPA </w:t>
      </w:r>
      <w:r>
        <w:rPr>
          <w:rFonts w:cs="Arial"/>
        </w:rPr>
        <w:t xml:space="preserve">has </w:t>
      </w:r>
      <w:r w:rsidR="00EC0A4B" w:rsidRPr="00006991">
        <w:rPr>
          <w:rFonts w:cs="Arial"/>
        </w:rPr>
        <w:t xml:space="preserve">implemented </w:t>
      </w:r>
      <w:r>
        <w:rPr>
          <w:rFonts w:cs="Arial"/>
        </w:rPr>
        <w:t>a</w:t>
      </w:r>
      <w:r w:rsidRPr="00006991">
        <w:rPr>
          <w:rFonts w:cs="Arial"/>
        </w:rPr>
        <w:t xml:space="preserve"> </w:t>
      </w:r>
      <w:r w:rsidR="00EC0A4B" w:rsidRPr="00006991">
        <w:rPr>
          <w:rFonts w:cs="Arial"/>
        </w:rPr>
        <w:t>private patient methodology</w:t>
      </w:r>
      <w:r w:rsidR="00EC0A4B">
        <w:rPr>
          <w:rFonts w:cs="Arial"/>
        </w:rPr>
        <w:t xml:space="preserve"> </w:t>
      </w:r>
      <w:r w:rsidR="00EC0A4B" w:rsidRPr="00006991">
        <w:rPr>
          <w:rFonts w:cs="Arial"/>
        </w:rPr>
        <w:t>that ensures financial neutrality and payment parity with respect to all patients, regardless of whether patients elect to be private or public. This updated approach involves calculating state-specific Private Patient Service Adjustments prospectively and reconciliation of state funding for public and private patients by the Administrator of the National Health Funding Pool.</w:t>
      </w:r>
      <w:r w:rsidR="00EC0A4B">
        <w:rPr>
          <w:rFonts w:cs="Arial"/>
        </w:rPr>
        <w:t xml:space="preserve"> </w:t>
      </w:r>
    </w:p>
    <w:p w14:paraId="62C36CB6" w14:textId="36E3139C" w:rsidR="00EC0A4B" w:rsidRPr="00006991" w:rsidRDefault="00EC0A4B" w:rsidP="00EC0A4B">
      <w:pPr>
        <w:pStyle w:val="BodyText"/>
        <w:ind w:right="44"/>
        <w:rPr>
          <w:rFonts w:cs="Arial"/>
        </w:rPr>
      </w:pPr>
      <w:r>
        <w:rPr>
          <w:rFonts w:cs="Arial"/>
        </w:rPr>
        <w:t>IHPA proposes to adopt the same methodology for NEP23.</w:t>
      </w:r>
    </w:p>
    <w:p w14:paraId="5DA25B2B" w14:textId="6506F1B1" w:rsidR="00EC0A4B" w:rsidRPr="0065414C" w:rsidRDefault="00EC0A4B" w:rsidP="00EC0A4B">
      <w:pPr>
        <w:pStyle w:val="Heading3"/>
        <w:keepNext/>
        <w:keepLines/>
        <w:rPr>
          <w:rFonts w:cs="Arial"/>
        </w:rPr>
      </w:pPr>
      <w:r>
        <w:rPr>
          <w:rFonts w:cs="Arial"/>
        </w:rPr>
        <w:t xml:space="preserve">6.5.1. </w:t>
      </w:r>
      <w:r w:rsidRPr="00EC0A4B">
        <w:rPr>
          <w:rFonts w:cs="Arial"/>
        </w:rPr>
        <w:t>Phasing out the private patient correction factor</w:t>
      </w:r>
    </w:p>
    <w:p w14:paraId="6734B010" w14:textId="421A4128" w:rsidR="00EC0A4B" w:rsidRPr="00EC0A4B" w:rsidRDefault="00EC0A4B" w:rsidP="00EC0A4B">
      <w:pPr>
        <w:pStyle w:val="BodyText"/>
        <w:rPr>
          <w:rFonts w:cs="Arial"/>
        </w:rPr>
      </w:pPr>
      <w:r w:rsidRPr="00EC0A4B">
        <w:rPr>
          <w:rFonts w:cs="Arial"/>
        </w:rPr>
        <w:t xml:space="preserve">The collection of private patient medical expenses has </w:t>
      </w:r>
      <w:r w:rsidR="00992924">
        <w:rPr>
          <w:rFonts w:cs="Arial"/>
        </w:rPr>
        <w:t xml:space="preserve">previously </w:t>
      </w:r>
      <w:r w:rsidRPr="00EC0A4B">
        <w:rPr>
          <w:rFonts w:cs="Arial"/>
        </w:rPr>
        <w:t>been problematic in the NHCDC. For example, some states and territories use Special Purpose Funds to collect associated revenue (for example, the M</w:t>
      </w:r>
      <w:r w:rsidR="004C74F3">
        <w:rPr>
          <w:rFonts w:cs="Arial"/>
        </w:rPr>
        <w:t xml:space="preserve">edicare </w:t>
      </w:r>
      <w:r w:rsidRPr="00EC0A4B">
        <w:rPr>
          <w:rFonts w:cs="Arial"/>
        </w:rPr>
        <w:t>B</w:t>
      </w:r>
      <w:r w:rsidR="004C74F3">
        <w:rPr>
          <w:rFonts w:cs="Arial"/>
        </w:rPr>
        <w:t xml:space="preserve">enefits </w:t>
      </w:r>
      <w:r w:rsidRPr="00EC0A4B">
        <w:rPr>
          <w:rFonts w:cs="Arial"/>
        </w:rPr>
        <w:t>S</w:t>
      </w:r>
      <w:r w:rsidR="004C74F3">
        <w:rPr>
          <w:rFonts w:cs="Arial"/>
        </w:rPr>
        <w:t>chedule</w:t>
      </w:r>
      <w:r w:rsidRPr="00EC0A4B">
        <w:rPr>
          <w:rFonts w:cs="Arial"/>
        </w:rPr>
        <w:t>) and reimburse medical practitioners.</w:t>
      </w:r>
    </w:p>
    <w:p w14:paraId="6B533C89" w14:textId="283E7031" w:rsidR="00EC0A4B" w:rsidRPr="00EC0A4B" w:rsidRDefault="00EC0A4B" w:rsidP="00EC0A4B">
      <w:pPr>
        <w:pStyle w:val="BodyText"/>
        <w:rPr>
          <w:rFonts w:cs="Arial"/>
        </w:rPr>
      </w:pPr>
      <w:r w:rsidRPr="00EC0A4B">
        <w:rPr>
          <w:rFonts w:cs="Arial"/>
        </w:rPr>
        <w:t>The private patient correction factor was introduced as an interim solution for the issue of missing private patient costs in the NHCDC. The implementation of the Australian Hospital Patient Costing Standards Version 4.0 should have addressed the issue of missing costs in the NHCDC, meaning the private patient correction factor is no longer required.</w:t>
      </w:r>
    </w:p>
    <w:p w14:paraId="1D660EB9" w14:textId="5D124EAB" w:rsidR="00EC353B" w:rsidRDefault="00EC353B" w:rsidP="00EC0A4B">
      <w:pPr>
        <w:pStyle w:val="BodyText"/>
        <w:rPr>
          <w:rFonts w:cs="Arial"/>
        </w:rPr>
      </w:pPr>
      <w:r w:rsidRPr="00EC353B">
        <w:rPr>
          <w:rFonts w:cs="Arial"/>
        </w:rPr>
        <w:t>The private patient correction factor was phased out for the Northern Territory for NEP21.</w:t>
      </w:r>
    </w:p>
    <w:p w14:paraId="1E8BB396" w14:textId="01C37009" w:rsidR="00411065" w:rsidRDefault="004769F4" w:rsidP="00EC0A4B">
      <w:pPr>
        <w:pStyle w:val="BodyText"/>
        <w:rPr>
          <w:rFonts w:cs="Arial"/>
        </w:rPr>
      </w:pPr>
      <w:r w:rsidRPr="004769F4">
        <w:rPr>
          <w:rFonts w:cs="Arial"/>
        </w:rPr>
        <w:t>IHPA will assess 2020</w:t>
      </w:r>
      <w:r w:rsidR="00EE6EE0" w:rsidRPr="00EC0A4B">
        <w:rPr>
          <w:rFonts w:cs="Arial"/>
        </w:rPr>
        <w:t>–</w:t>
      </w:r>
      <w:r w:rsidRPr="004769F4">
        <w:rPr>
          <w:rFonts w:cs="Arial"/>
        </w:rPr>
        <w:t xml:space="preserve">21 cost </w:t>
      </w:r>
      <w:r>
        <w:rPr>
          <w:rFonts w:cs="Arial"/>
        </w:rPr>
        <w:t>d</w:t>
      </w:r>
      <w:r w:rsidRPr="004769F4">
        <w:rPr>
          <w:rFonts w:cs="Arial"/>
        </w:rPr>
        <w:t xml:space="preserve">ata and </w:t>
      </w:r>
      <w:r w:rsidR="00EC353B">
        <w:rPr>
          <w:rFonts w:cs="Arial"/>
        </w:rPr>
        <w:t xml:space="preserve">continue to </w:t>
      </w:r>
      <w:r w:rsidRPr="004769F4">
        <w:rPr>
          <w:rFonts w:cs="Arial"/>
        </w:rPr>
        <w:t xml:space="preserve">consult with </w:t>
      </w:r>
      <w:r w:rsidR="00EC353B">
        <w:rPr>
          <w:rFonts w:cs="Arial"/>
        </w:rPr>
        <w:t xml:space="preserve">the other states and territories on </w:t>
      </w:r>
      <w:r w:rsidR="00EC353B">
        <w:rPr>
          <w:rFonts w:cs="Arial"/>
        </w:rPr>
        <w:t>phasing</w:t>
      </w:r>
      <w:r>
        <w:rPr>
          <w:rFonts w:cs="Arial"/>
        </w:rPr>
        <w:t xml:space="preserve"> out the </w:t>
      </w:r>
      <w:r w:rsidRPr="004769F4">
        <w:rPr>
          <w:rFonts w:cs="Arial"/>
        </w:rPr>
        <w:t>private patient correction factor</w:t>
      </w:r>
      <w:r>
        <w:rPr>
          <w:rFonts w:cs="Arial"/>
        </w:rPr>
        <w:t>.</w:t>
      </w:r>
    </w:p>
    <w:p w14:paraId="6F3F3B01" w14:textId="3A53E6A6" w:rsidR="00EC0A4B" w:rsidRDefault="00EC0A4B" w:rsidP="00EC353B">
      <w:pPr>
        <w:pStyle w:val="Heading2"/>
        <w:rPr>
          <w:rFonts w:cs="Arial"/>
        </w:rPr>
      </w:pPr>
      <w:r>
        <w:rPr>
          <w:rFonts w:cs="Arial"/>
        </w:rPr>
        <w:t>6</w:t>
      </w:r>
      <w:r w:rsidRPr="0065414C">
        <w:rPr>
          <w:rFonts w:cs="Arial"/>
        </w:rPr>
        <w:t>.</w:t>
      </w:r>
      <w:r>
        <w:rPr>
          <w:rFonts w:cs="Arial"/>
        </w:rPr>
        <w:t>6</w:t>
      </w:r>
      <w:r w:rsidRPr="0065414C">
        <w:rPr>
          <w:rFonts w:cs="Arial"/>
        </w:rPr>
        <w:t xml:space="preserve">. </w:t>
      </w:r>
      <w:r w:rsidRPr="00EC0A4B">
        <w:rPr>
          <w:rFonts w:cs="Arial"/>
        </w:rPr>
        <w:tab/>
        <w:t>Organ donation, retrieval and transplantation</w:t>
      </w:r>
    </w:p>
    <w:p w14:paraId="1A58D6C6" w14:textId="069F508D" w:rsidR="00EC0A4B" w:rsidRDefault="00EC0A4B" w:rsidP="00EC0A4B">
      <w:pPr>
        <w:pStyle w:val="BodyText"/>
        <w:rPr>
          <w:rFonts w:cs="Arial"/>
        </w:rPr>
      </w:pPr>
      <w:r w:rsidRPr="00EC0A4B">
        <w:rPr>
          <w:rFonts w:cs="Arial"/>
        </w:rPr>
        <w:t>In 2018, the Review of the Australian organ donation, retrieval and transplantation system – Final Report (the Final Report) made two recommendations related to IHPA:</w:t>
      </w:r>
    </w:p>
    <w:p w14:paraId="5D343382" w14:textId="0B83096B" w:rsidR="00EC0A4B" w:rsidRPr="00041B5E" w:rsidRDefault="00EC0A4B" w:rsidP="00295921">
      <w:pPr>
        <w:pStyle w:val="ListParagraph"/>
        <w:numPr>
          <w:ilvl w:val="0"/>
          <w:numId w:val="63"/>
        </w:numPr>
      </w:pPr>
      <w:r w:rsidRPr="00041B5E">
        <w:t xml:space="preserve">Recommendation 52: IHPA conduct a costing study and classification review for the classification of organ donation, retrieval and transplantation to take into account the cost impact of the use of </w:t>
      </w:r>
      <w:r w:rsidR="005D3B23">
        <w:t>donation after circulatory death</w:t>
      </w:r>
      <w:r w:rsidRPr="00041B5E">
        <w:t xml:space="preserve"> donated organs and organs from extended criteria donors and to appropriately attribute retrieval costs.</w:t>
      </w:r>
    </w:p>
    <w:p w14:paraId="4E7342BE" w14:textId="77777777" w:rsidR="001F21E4" w:rsidRDefault="00EC0A4B" w:rsidP="00295921">
      <w:pPr>
        <w:pStyle w:val="ListParagraph"/>
        <w:numPr>
          <w:ilvl w:val="0"/>
          <w:numId w:val="63"/>
        </w:numPr>
      </w:pPr>
      <w:r w:rsidRPr="00041B5E">
        <w:t>Recommendation 54: IHPA conduct a costing study and classification review for the classification of non-admitted pre and post organ transplantation care.</w:t>
      </w:r>
    </w:p>
    <w:p w14:paraId="27D0BAD5" w14:textId="006B7E3F" w:rsidR="001F21E4" w:rsidRDefault="001F21E4" w:rsidP="001F21E4">
      <w:pPr>
        <w:pStyle w:val="BodyText"/>
      </w:pPr>
      <w:r>
        <w:t>The Jurisdictional Organ Donation, Retrieval and Transplantation Steering Committee (JODRT) was established to consider the findings and recommendations from the Final Report, and to develop a National Strategy for Organ Donation, Retrieval and Transplantation (the Strategy). The Strategy is due to be released in 2022 for consultation.</w:t>
      </w:r>
    </w:p>
    <w:p w14:paraId="09317148" w14:textId="7432553D" w:rsidR="00EC0A4B" w:rsidRDefault="00EC0A4B" w:rsidP="001F21E4">
      <w:pPr>
        <w:pStyle w:val="BodyText"/>
      </w:pPr>
      <w:r>
        <w:t>Due to the impact of COVID-19</w:t>
      </w:r>
      <w:r w:rsidR="001F21E4">
        <w:t xml:space="preserve"> and </w:t>
      </w:r>
      <w:r w:rsidR="004C74F3">
        <w:t xml:space="preserve">the ongoing </w:t>
      </w:r>
      <w:r w:rsidR="001F21E4">
        <w:t>development of the Strategy</w:t>
      </w:r>
      <w:r>
        <w:t xml:space="preserve">, IHPA deferred reviewing the current </w:t>
      </w:r>
      <w:r w:rsidR="00596E7A">
        <w:t xml:space="preserve">activity data collection and </w:t>
      </w:r>
      <w:r>
        <w:t xml:space="preserve">costing arrangements for organ donation, retrieval and transplantation, and non-admitted pre and post organ transplantation care. </w:t>
      </w:r>
    </w:p>
    <w:p w14:paraId="282B72F3" w14:textId="4B94CE65" w:rsidR="004C74F3" w:rsidRDefault="00EC0A4B" w:rsidP="001F21E4">
      <w:pPr>
        <w:pStyle w:val="BodyText"/>
      </w:pPr>
      <w:r>
        <w:t>IHPA will work with jurisdictions</w:t>
      </w:r>
      <w:r w:rsidR="001F21E4">
        <w:t xml:space="preserve"> and the </w:t>
      </w:r>
      <w:r w:rsidR="00992924">
        <w:t>JODRT</w:t>
      </w:r>
      <w:r w:rsidR="00992924" w:rsidDel="00992924">
        <w:t xml:space="preserve"> </w:t>
      </w:r>
      <w:r w:rsidR="006F48C5">
        <w:t>to consider whether there is capacity to undertake further work to review the classification of organ donation, retrieval and transplantation, and activity and cost data sets.</w:t>
      </w:r>
      <w:r>
        <w:t xml:space="preserve"> </w:t>
      </w:r>
    </w:p>
    <w:p w14:paraId="447150EB" w14:textId="7C8A9898" w:rsidR="00411065" w:rsidRDefault="00EC0A4B" w:rsidP="00411065">
      <w:pPr>
        <w:pStyle w:val="BodyText"/>
        <w:rPr>
          <w:rFonts w:cs="Arial"/>
        </w:rPr>
      </w:pPr>
      <w:r w:rsidRPr="0065414C">
        <w:rPr>
          <w:rFonts w:cs="Arial"/>
          <w:noProof/>
          <w:lang w:eastAsia="en-AU" w:bidi="ar-SA"/>
        </w:rPr>
        <w:lastRenderedPageBreak/>
        <mc:AlternateContent>
          <mc:Choice Requires="wps">
            <w:drawing>
              <wp:inline distT="0" distB="0" distL="0" distR="0" wp14:anchorId="61CF1744" wp14:editId="01DF1DA0">
                <wp:extent cx="2689200" cy="2152650"/>
                <wp:effectExtent l="0" t="0" r="16510" b="19050"/>
                <wp:docPr id="35" name="Text Box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200" cy="2152650"/>
                        </a:xfrm>
                        <a:prstGeom prst="rect">
                          <a:avLst/>
                        </a:prstGeom>
                        <a:noFill/>
                        <a:ln w="9525">
                          <a:solidFill>
                            <a:schemeClr val="accent3"/>
                          </a:solidFill>
                          <a:miter lim="800000"/>
                          <a:headEnd/>
                          <a:tailEnd/>
                        </a:ln>
                        <a:extLst>
                          <a:ext uri="{909E8E84-426E-40DD-AFC4-6F175D3DCCD1}">
                            <a14:hiddenFill xmlns:a14="http://schemas.microsoft.com/office/drawing/2010/main">
                              <a:solidFill>
                                <a:srgbClr val="FFFFFF"/>
                              </a:solidFill>
                            </a14:hiddenFill>
                          </a:ext>
                        </a:extLst>
                      </wps:spPr>
                      <wps:txbx>
                        <w:txbxContent>
                          <w:p w14:paraId="4654FA3B" w14:textId="750D95E9" w:rsidR="00FE6544" w:rsidRPr="005470B1" w:rsidRDefault="00FE6544" w:rsidP="00EC0A4B">
                            <w:pPr>
                              <w:pStyle w:val="Questionheading"/>
                              <w:ind w:left="567"/>
                            </w:pPr>
                            <w:r>
                              <w:rPr>
                                <w:b w:val="0"/>
                                <w:noProof/>
                                <w:lang w:eastAsia="en-AU" w:bidi="ar-SA"/>
                              </w:rPr>
                              <w:drawing>
                                <wp:inline distT="0" distB="0" distL="0" distR="0" wp14:anchorId="7892B8AB" wp14:editId="0C65EF25">
                                  <wp:extent cx="240030" cy="207608"/>
                                  <wp:effectExtent l="0" t="0" r="7620" b="2540"/>
                                  <wp:docPr id="41" name="Picture 41" descr="Question mark to left of the ‘Consultation question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Question mark to left of the ‘Consultation questions’ title"/>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240030" cy="207608"/>
                                          </a:xfrm>
                                          <a:prstGeom prst="rect">
                                            <a:avLst/>
                                          </a:prstGeom>
                                          <a:noFill/>
                                          <a:ln>
                                            <a:noFill/>
                                          </a:ln>
                                        </pic:spPr>
                                      </pic:pic>
                                    </a:graphicData>
                                  </a:graphic>
                                </wp:inline>
                              </w:drawing>
                            </w:r>
                            <w:r>
                              <w:t xml:space="preserve">  </w:t>
                            </w:r>
                            <w:r w:rsidRPr="005470B1">
                              <w:t>Consultation question</w:t>
                            </w:r>
                            <w:r>
                              <w:t>s</w:t>
                            </w:r>
                          </w:p>
                          <w:p w14:paraId="1D2E75E7" w14:textId="64B6EA53" w:rsidR="00FE6544" w:rsidRDefault="00FE6544" w:rsidP="00295921">
                            <w:pPr>
                              <w:pStyle w:val="ListParagraph"/>
                              <w:numPr>
                                <w:ilvl w:val="0"/>
                                <w:numId w:val="64"/>
                              </w:numPr>
                              <w:ind w:right="283"/>
                            </w:pPr>
                            <w:r w:rsidRPr="00EC0A4B">
                              <w:t xml:space="preserve">Which initiatives to refine the </w:t>
                            </w:r>
                            <w:r>
                              <w:t xml:space="preserve">national </w:t>
                            </w:r>
                            <w:r w:rsidRPr="00EC0A4B">
                              <w:t>pricing model should IHPA prioritise investigating?</w:t>
                            </w:r>
                          </w:p>
                          <w:p w14:paraId="16010F89" w14:textId="18599785" w:rsidR="00FE6544" w:rsidRDefault="00FE6544" w:rsidP="00295921">
                            <w:pPr>
                              <w:pStyle w:val="ListParagraph"/>
                              <w:numPr>
                                <w:ilvl w:val="0"/>
                                <w:numId w:val="64"/>
                              </w:numPr>
                              <w:ind w:right="283"/>
                            </w:pPr>
                            <w:r>
                              <w:t xml:space="preserve">What additional data sources are available to support refinement of the national pricing model in relation to adjustments, price harmonisation, unqualified newborns, private patients or organ donation? </w:t>
                            </w:r>
                          </w:p>
                        </w:txbxContent>
                      </wps:txbx>
                      <wps:bodyPr rot="0" vert="horz" wrap="square" lIns="0" tIns="0" rIns="0" bIns="0" anchor="t" anchorCtr="0" upright="1">
                        <a:noAutofit/>
                      </wps:bodyPr>
                    </wps:wsp>
                  </a:graphicData>
                </a:graphic>
              </wp:inline>
            </w:drawing>
          </mc:Choice>
          <mc:Fallback xmlns:w16sdtdh="http://schemas.microsoft.com/office/word/2020/wordml/sdtdatahash" xmlns:oel="http://schemas.microsoft.com/office/2019/extlst">
            <w:pict>
              <v:shape w14:anchorId="61CF1744" id="_x0000_s1034" type="#_x0000_t202" alt="&quot;&quot;" style="width:211.75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" filled="f" strokecolor="#c31f48 [3206]">
                <v:textbox inset="0,0,0,0">
                  <w:txbxContent>
                    <w:p w14:paraId="4654FA3B" w14:textId="750D95E9" w:rsidR="00FE6544" w:rsidRPr="005470B1" w:rsidRDefault="00FE6544" w:rsidP="00EC0A4B">
                      <w:pPr>
                        <w:pStyle w:val="Questionheading"/>
                        <w:ind w:left="567"/>
                      </w:pPr>
                      <w:r>
                        <w:rPr>
                          <w:b w:val="0"/>
                          <w:noProof/>
                          <w:lang w:eastAsia="en-AU" w:bidi="ar-SA"/>
                        </w:rPr>
                        <w:drawing>
                          <wp:inline distT="0" distB="0" distL="0" distR="0" wp14:anchorId="7892B8AB" wp14:editId="0C65EF25">
                            <wp:extent cx="240030" cy="207608"/>
                            <wp:effectExtent l="0" t="0" r="7620" b="2540"/>
                            <wp:docPr id="41" name="Picture 41" descr="Question mark to left of the ‘Consultation question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Question mark to left of the ‘Consultation questions’ title"/>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240030" cy="207608"/>
                                    </a:xfrm>
                                    <a:prstGeom prst="rect">
                                      <a:avLst/>
                                    </a:prstGeom>
                                    <a:noFill/>
                                    <a:ln>
                                      <a:noFill/>
                                    </a:ln>
                                  </pic:spPr>
                                </pic:pic>
                              </a:graphicData>
                            </a:graphic>
                          </wp:inline>
                        </w:drawing>
                      </w:r>
                      <w:r>
                        <w:t xml:space="preserve">  </w:t>
                      </w:r>
                      <w:r w:rsidRPr="005470B1">
                        <w:t>Consultation question</w:t>
                      </w:r>
                      <w:r>
                        <w:t>s</w:t>
                      </w:r>
                    </w:p>
                    <w:p w14:paraId="1D2E75E7" w14:textId="64B6EA53" w:rsidR="00FE6544" w:rsidRDefault="00FE6544" w:rsidP="00295921">
                      <w:pPr>
                        <w:pStyle w:val="ListParagraph"/>
                        <w:numPr>
                          <w:ilvl w:val="0"/>
                          <w:numId w:val="64"/>
                        </w:numPr>
                        <w:ind w:right="283"/>
                      </w:pPr>
                      <w:r w:rsidRPr="00EC0A4B">
                        <w:t xml:space="preserve">Which initiatives to refine the </w:t>
                      </w:r>
                      <w:r>
                        <w:t xml:space="preserve">national </w:t>
                      </w:r>
                      <w:r w:rsidRPr="00EC0A4B">
                        <w:t>pricing model should IHPA prioritise investigating?</w:t>
                      </w:r>
                    </w:p>
                    <w:p w14:paraId="16010F89" w14:textId="18599785" w:rsidR="00FE6544" w:rsidRDefault="00FE6544" w:rsidP="00295921">
                      <w:pPr>
                        <w:pStyle w:val="ListParagraph"/>
                        <w:numPr>
                          <w:ilvl w:val="0"/>
                          <w:numId w:val="64"/>
                        </w:numPr>
                        <w:ind w:right="283"/>
                      </w:pPr>
                      <w:r>
                        <w:t xml:space="preserve">What additional data sources are available to support refinement of the national pricing model in relation to adjustments, price harmonisation, unqualified newborns, private patients or organ donation? </w:t>
                      </w:r>
                    </w:p>
                  </w:txbxContent>
                </v:textbox>
                <w10:anchorlock/>
              </v:shape>
            </w:pict>
          </mc:Fallback>
        </mc:AlternateContent>
      </w:r>
    </w:p>
    <w:p w14:paraId="4A08A1AE" w14:textId="77777777" w:rsidR="00411065" w:rsidRPr="0065414C" w:rsidRDefault="00411065" w:rsidP="00411065">
      <w:pPr>
        <w:pStyle w:val="BodyText"/>
        <w:rPr>
          <w:rFonts w:cs="Arial"/>
        </w:rPr>
        <w:sectPr w:rsidR="00411065" w:rsidRPr="0065414C" w:rsidSect="00A97D9B">
          <w:type w:val="continuous"/>
          <w:pgSz w:w="11910" w:h="16840"/>
          <w:pgMar w:top="1440" w:right="1440" w:bottom="1440" w:left="1440" w:header="0" w:footer="656" w:gutter="0"/>
          <w:cols w:num="2" w:space="340"/>
        </w:sectPr>
      </w:pPr>
    </w:p>
    <w:p w14:paraId="57D8169F" w14:textId="6287109E" w:rsidR="00EC0A4B" w:rsidRDefault="00EC0A4B" w:rsidP="00CB1B7C">
      <w:pPr>
        <w:pStyle w:val="BodyText"/>
        <w:rPr>
          <w:rFonts w:cs="Arial"/>
        </w:rPr>
      </w:pPr>
      <w:bookmarkStart w:id="79" w:name="_7_Treatment_of"/>
      <w:bookmarkStart w:id="80" w:name="_bookmark17"/>
      <w:bookmarkStart w:id="81" w:name="_8_Setting_the"/>
      <w:bookmarkEnd w:id="79"/>
      <w:bookmarkEnd w:id="80"/>
      <w:bookmarkEnd w:id="81"/>
    </w:p>
    <w:p w14:paraId="06CA5514" w14:textId="75761455" w:rsidR="00BD16E7" w:rsidRPr="00BD16E7" w:rsidRDefault="00BD16E7" w:rsidP="00BD16E7">
      <w:pPr>
        <w:pStyle w:val="BodyText"/>
        <w:rPr>
          <w:rFonts w:cs="Arial"/>
        </w:rPr>
      </w:pPr>
    </w:p>
    <w:p w14:paraId="55BCA437" w14:textId="68B51645" w:rsidR="00BD16E7" w:rsidRDefault="00BD16E7" w:rsidP="00BD16E7">
      <w:pPr>
        <w:pStyle w:val="BodyText"/>
        <w:ind w:right="0"/>
        <w:rPr>
          <w:rFonts w:cs="Arial"/>
        </w:rPr>
      </w:pPr>
    </w:p>
    <w:p w14:paraId="1A8F55E3" w14:textId="7848EFFF" w:rsidR="00C415F5" w:rsidRPr="0065414C" w:rsidRDefault="008B279A" w:rsidP="00BD16E7">
      <w:pPr>
        <w:pStyle w:val="BodyText"/>
        <w:ind w:right="0"/>
        <w:rPr>
          <w:rFonts w:cs="Arial"/>
        </w:rPr>
        <w:sectPr w:rsidR="00C415F5" w:rsidRPr="0065414C" w:rsidSect="00CB00F0">
          <w:headerReference w:type="default" r:id="rId69"/>
          <w:type w:val="continuous"/>
          <w:pgSz w:w="11910" w:h="16840"/>
          <w:pgMar w:top="1440" w:right="1440" w:bottom="1440" w:left="1440" w:header="720" w:footer="720" w:gutter="0"/>
          <w:cols w:num="2" w:space="720"/>
        </w:sectPr>
      </w:pPr>
      <w:r w:rsidRPr="0065414C">
        <w:rPr>
          <w:rFonts w:cs="Arial"/>
        </w:rPr>
        <w:t xml:space="preserve"> </w:t>
      </w:r>
    </w:p>
    <w:p w14:paraId="07DEA229" w14:textId="504833EB" w:rsidR="00592035" w:rsidRPr="005B7291" w:rsidRDefault="00592035" w:rsidP="005B7291">
      <w:pPr>
        <w:pStyle w:val="SectionNumber"/>
        <w:rPr>
          <w:color w:val="003E2D" w:themeColor="text2"/>
        </w:rPr>
      </w:pPr>
      <w:bookmarkStart w:id="82" w:name="_9_Alternate_funding"/>
      <w:bookmarkStart w:id="83" w:name="_Toc49953775"/>
      <w:bookmarkEnd w:id="82"/>
      <w:r w:rsidRPr="005B7291">
        <w:rPr>
          <w:color w:val="003E2D" w:themeColor="text2"/>
          <w:lang w:bidi="ar-SA"/>
        </w:rPr>
        <w:lastRenderedPageBreak/>
        <w:drawing>
          <wp:anchor distT="0" distB="0" distL="114300" distR="114300" simplePos="0" relativeHeight="251641856" behindDoc="1" locked="0" layoutInCell="1" allowOverlap="1" wp14:anchorId="40FB6DAF" wp14:editId="08AB9916">
            <wp:simplePos x="0" y="0"/>
            <wp:positionH relativeFrom="margin">
              <wp:posOffset>-914400</wp:posOffset>
            </wp:positionH>
            <wp:positionV relativeFrom="page">
              <wp:posOffset>954157</wp:posOffset>
            </wp:positionV>
            <wp:extent cx="5462267" cy="3577464"/>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462267" cy="3577464"/>
                    </a:xfrm>
                    <a:prstGeom prst="rect">
                      <a:avLst/>
                    </a:prstGeom>
                    <a:noFill/>
                    <a:ln>
                      <a:noFill/>
                    </a:ln>
                  </pic:spPr>
                </pic:pic>
              </a:graphicData>
            </a:graphic>
          </wp:anchor>
        </w:drawing>
      </w:r>
      <w:r w:rsidR="00D03D7F">
        <w:rPr>
          <w:color w:val="003E2D" w:themeColor="text2"/>
        </w:rPr>
        <w:t>7</w:t>
      </w:r>
      <w:bookmarkEnd w:id="83"/>
    </w:p>
    <w:p w14:paraId="02FFB752" w14:textId="210D3A7F" w:rsidR="00592035" w:rsidRPr="0065414C" w:rsidRDefault="004D2BA5" w:rsidP="005B7291">
      <w:pPr>
        <w:pStyle w:val="Sectionheader"/>
        <w:ind w:right="3785"/>
        <w:sectPr w:rsidR="00592035" w:rsidRPr="0065414C" w:rsidSect="008613E1">
          <w:headerReference w:type="default" r:id="rId70"/>
          <w:pgSz w:w="11910" w:h="16840"/>
          <w:pgMar w:top="3970" w:right="1440" w:bottom="1440" w:left="1440" w:header="0" w:footer="656" w:gutter="0"/>
          <w:cols w:space="720"/>
        </w:sectPr>
      </w:pPr>
      <w:bookmarkStart w:id="84" w:name="_Toc71631326"/>
      <w:r>
        <w:t>Setting the national efficient cost</w:t>
      </w:r>
      <w:bookmarkEnd w:id="84"/>
    </w:p>
    <w:p w14:paraId="27286FA6" w14:textId="7CFCADF0" w:rsidR="00C415F5" w:rsidRPr="0065414C" w:rsidRDefault="001445EA" w:rsidP="009638C2">
      <w:pPr>
        <w:pStyle w:val="Heading1"/>
        <w:ind w:left="1418" w:hanging="1191"/>
        <w:rPr>
          <w:rFonts w:cs="Arial"/>
        </w:rPr>
      </w:pPr>
      <w:bookmarkStart w:id="85" w:name="_Toc45809626"/>
      <w:bookmarkStart w:id="86" w:name="_Toc49953777"/>
      <w:r w:rsidRPr="0065414C">
        <w:rPr>
          <w:rFonts w:cs="Arial"/>
          <w:noProof/>
          <w:color w:val="FFFFFF" w:themeColor="background1"/>
          <w:lang w:eastAsia="en-AU" w:bidi="ar-SA"/>
        </w:rPr>
        <w:lastRenderedPageBreak/>
        <w:drawing>
          <wp:anchor distT="0" distB="0" distL="114300" distR="114300" simplePos="0" relativeHeight="251632640" behindDoc="1" locked="0" layoutInCell="1" allowOverlap="1" wp14:anchorId="3A1C918C" wp14:editId="7508764E">
            <wp:simplePos x="0" y="0"/>
            <wp:positionH relativeFrom="column">
              <wp:posOffset>-914400</wp:posOffset>
            </wp:positionH>
            <wp:positionV relativeFrom="page">
              <wp:posOffset>652007</wp:posOffset>
            </wp:positionV>
            <wp:extent cx="1685418" cy="946146"/>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685418" cy="946146"/>
                    </a:xfrm>
                    <a:prstGeom prst="rect">
                      <a:avLst/>
                    </a:prstGeom>
                    <a:noFill/>
                    <a:ln>
                      <a:noFill/>
                    </a:ln>
                  </pic:spPr>
                </pic:pic>
              </a:graphicData>
            </a:graphic>
          </wp:anchor>
        </w:drawing>
      </w:r>
      <w:r w:rsidR="00D03D7F">
        <w:rPr>
          <w:rFonts w:cs="Arial"/>
        </w:rPr>
        <w:t>7</w:t>
      </w:r>
      <w:r w:rsidR="007004F3" w:rsidRPr="0065414C">
        <w:rPr>
          <w:rFonts w:cs="Arial"/>
        </w:rPr>
        <w:tab/>
      </w:r>
      <w:r w:rsidRPr="0065414C">
        <w:rPr>
          <w:rFonts w:cs="Arial"/>
        </w:rPr>
        <w:tab/>
      </w:r>
      <w:bookmarkEnd w:id="85"/>
      <w:bookmarkEnd w:id="86"/>
      <w:r w:rsidR="004D2BA5">
        <w:rPr>
          <w:rFonts w:cs="Arial"/>
        </w:rPr>
        <w:t>Setting the national efficient cost</w:t>
      </w:r>
    </w:p>
    <w:p w14:paraId="55500940" w14:textId="77777777" w:rsidR="00C415F5" w:rsidRPr="0065414C" w:rsidRDefault="00C415F5" w:rsidP="003932A6">
      <w:pPr>
        <w:pStyle w:val="BodyText"/>
        <w:rPr>
          <w:rFonts w:cs="Arial"/>
        </w:rPr>
      </w:pPr>
    </w:p>
    <w:p w14:paraId="7A7FB3D7" w14:textId="77777777" w:rsidR="00C415F5" w:rsidRPr="0065414C" w:rsidRDefault="00C415F5">
      <w:pPr>
        <w:rPr>
          <w:rFonts w:cs="Arial"/>
          <w:sz w:val="29"/>
        </w:rPr>
        <w:sectPr w:rsidR="00C415F5" w:rsidRPr="0065414C" w:rsidSect="00A2241A">
          <w:headerReference w:type="default" r:id="rId71"/>
          <w:pgSz w:w="11910" w:h="16840"/>
          <w:pgMar w:top="1440" w:right="1440" w:bottom="1440" w:left="1440" w:header="0" w:footer="656" w:gutter="0"/>
          <w:cols w:space="720"/>
        </w:sectPr>
      </w:pPr>
    </w:p>
    <w:p w14:paraId="102325E9" w14:textId="04A9BBCA" w:rsidR="00C415F5" w:rsidRPr="0065414C" w:rsidRDefault="00D03D7F" w:rsidP="00B9422E">
      <w:pPr>
        <w:pStyle w:val="Heading2"/>
        <w:spacing w:before="0"/>
        <w:rPr>
          <w:rFonts w:cs="Arial"/>
        </w:rPr>
      </w:pPr>
      <w:bookmarkStart w:id="87" w:name="_Toc49953778"/>
      <w:bookmarkStart w:id="88" w:name="_Toc71631327"/>
      <w:r>
        <w:rPr>
          <w:rFonts w:cs="Arial"/>
        </w:rPr>
        <w:t>7</w:t>
      </w:r>
      <w:r w:rsidR="007004F3" w:rsidRPr="0065414C">
        <w:rPr>
          <w:rFonts w:cs="Arial"/>
        </w:rPr>
        <w:t>.1</w:t>
      </w:r>
      <w:r w:rsidR="00EF5D73" w:rsidRPr="0065414C">
        <w:rPr>
          <w:rFonts w:cs="Arial"/>
        </w:rPr>
        <w:t>.</w:t>
      </w:r>
      <w:r w:rsidR="007004F3" w:rsidRPr="0065414C">
        <w:rPr>
          <w:rFonts w:cs="Arial"/>
        </w:rPr>
        <w:t xml:space="preserve"> </w:t>
      </w:r>
      <w:r w:rsidR="00603DEC" w:rsidRPr="0065414C">
        <w:rPr>
          <w:rFonts w:cs="Arial"/>
        </w:rPr>
        <w:t>Overview</w:t>
      </w:r>
      <w:bookmarkEnd w:id="87"/>
      <w:bookmarkEnd w:id="88"/>
    </w:p>
    <w:p w14:paraId="144BA328" w14:textId="77777777" w:rsidR="006047FB" w:rsidRPr="006047FB" w:rsidRDefault="006047FB" w:rsidP="006047FB">
      <w:pPr>
        <w:pStyle w:val="BodyText"/>
        <w:rPr>
          <w:rFonts w:cs="Arial"/>
        </w:rPr>
      </w:pPr>
      <w:r w:rsidRPr="006047FB">
        <w:rPr>
          <w:rFonts w:cs="Arial"/>
        </w:rPr>
        <w:t>The Independent Hospital Pricing Authority (IHPA) developed the national efficient cost (NEC) for services that are not suitable for activity based funding (ABF), as provided by the Addendum to the National Health Reform Agreement (NHRA) 2020–25 (the Addendum). Such services include small rural hospitals, which are funded by a block allocation based on their size, location and the type of services provided.</w:t>
      </w:r>
    </w:p>
    <w:p w14:paraId="34BEDFDE" w14:textId="63755F6A" w:rsidR="006047FB" w:rsidRDefault="006047FB" w:rsidP="006047FB">
      <w:pPr>
        <w:pStyle w:val="BodyText"/>
        <w:rPr>
          <w:rFonts w:cs="Arial"/>
        </w:rPr>
      </w:pPr>
      <w:r w:rsidRPr="006047FB">
        <w:rPr>
          <w:rFonts w:cs="Arial"/>
        </w:rPr>
        <w:t>A low volume threshold is used to determine whether a public hospital is eligible to receive block funding. All hospital activity is included in assessing the hospital against the low volume threshold. This includes admitted acute and subacute, non-admitted and emergency department activity.</w:t>
      </w:r>
    </w:p>
    <w:p w14:paraId="28DA3FF3" w14:textId="7E95E190" w:rsidR="0057399B" w:rsidRPr="006047FB" w:rsidRDefault="0057399B" w:rsidP="006047FB">
      <w:pPr>
        <w:pStyle w:val="BodyText"/>
        <w:rPr>
          <w:rFonts w:cs="Arial"/>
        </w:rPr>
      </w:pPr>
      <w:r>
        <w:rPr>
          <w:rFonts w:cs="Arial"/>
        </w:rPr>
        <w:t xml:space="preserve">Stakeholders have advised that </w:t>
      </w:r>
      <w:r w:rsidR="00436107">
        <w:rPr>
          <w:rFonts w:cs="Arial"/>
        </w:rPr>
        <w:t>there has been an increase in</w:t>
      </w:r>
      <w:r w:rsidR="00C81257">
        <w:rPr>
          <w:rFonts w:cs="Arial"/>
        </w:rPr>
        <w:t xml:space="preserve"> </w:t>
      </w:r>
      <w:r>
        <w:rPr>
          <w:rFonts w:cs="Arial"/>
        </w:rPr>
        <w:t>in-reach models of care</w:t>
      </w:r>
      <w:r w:rsidR="00C81257">
        <w:rPr>
          <w:rFonts w:cs="Arial"/>
        </w:rPr>
        <w:t xml:space="preserve"> that have been established</w:t>
      </w:r>
      <w:r>
        <w:rPr>
          <w:rFonts w:cs="Arial"/>
        </w:rPr>
        <w:t xml:space="preserve"> in some regional hospitals whereby clinicians in metropolitan hospitals provide or assist local staff to provide services via telehealth</w:t>
      </w:r>
      <w:r w:rsidR="00A3220F">
        <w:rPr>
          <w:rFonts w:cs="Arial"/>
        </w:rPr>
        <w:t xml:space="preserve">. This </w:t>
      </w:r>
      <w:r w:rsidR="004D5F68">
        <w:rPr>
          <w:rFonts w:cs="Arial"/>
        </w:rPr>
        <w:t>approach</w:t>
      </w:r>
      <w:r w:rsidR="00BE0A5A">
        <w:rPr>
          <w:rFonts w:cs="Arial"/>
        </w:rPr>
        <w:t>,</w:t>
      </w:r>
      <w:r w:rsidR="004D5F68">
        <w:rPr>
          <w:rFonts w:cs="Arial"/>
        </w:rPr>
        <w:t xml:space="preserve"> </w:t>
      </w:r>
      <w:r w:rsidR="004B52DE">
        <w:rPr>
          <w:rFonts w:cs="Arial"/>
        </w:rPr>
        <w:t xml:space="preserve">which enables block-funded hospitals to undertake greater activity in situ rather than transferring patients to metropolitan hospitals, is intended </w:t>
      </w:r>
      <w:r w:rsidR="00A3220F">
        <w:rPr>
          <w:rFonts w:cs="Arial"/>
        </w:rPr>
        <w:t xml:space="preserve">to alleviate </w:t>
      </w:r>
      <w:r>
        <w:rPr>
          <w:rFonts w:cs="Arial"/>
        </w:rPr>
        <w:t xml:space="preserve">pressure on </w:t>
      </w:r>
      <w:r w:rsidR="004D5F68">
        <w:rPr>
          <w:rFonts w:cs="Arial"/>
        </w:rPr>
        <w:t xml:space="preserve">metropolitan </w:t>
      </w:r>
      <w:r>
        <w:rPr>
          <w:rFonts w:cs="Arial"/>
        </w:rPr>
        <w:t xml:space="preserve">hospitals </w:t>
      </w:r>
      <w:bookmarkStart w:id="89" w:name="_Hlk103934528"/>
      <w:r w:rsidR="00A3220F">
        <w:rPr>
          <w:rFonts w:cs="Arial"/>
        </w:rPr>
        <w:t>including bed availability</w:t>
      </w:r>
      <w:bookmarkEnd w:id="89"/>
      <w:r w:rsidR="004D5F68">
        <w:rPr>
          <w:rFonts w:cs="Arial"/>
        </w:rPr>
        <w:t xml:space="preserve">, </w:t>
      </w:r>
      <w:r>
        <w:rPr>
          <w:rFonts w:cs="Arial"/>
        </w:rPr>
        <w:t>arising from the Coronavirus disease 2019 (COVID-19) response</w:t>
      </w:r>
      <w:r w:rsidR="0082726B">
        <w:rPr>
          <w:rFonts w:cs="Arial"/>
        </w:rPr>
        <w:t>.</w:t>
      </w:r>
      <w:r>
        <w:rPr>
          <w:rFonts w:cs="Arial"/>
        </w:rPr>
        <w:t xml:space="preserve"> </w:t>
      </w:r>
      <w:r w:rsidR="00A3220F">
        <w:rPr>
          <w:rFonts w:cs="Arial"/>
        </w:rPr>
        <w:t xml:space="preserve">IHPA will consider how additional cost pressures on regional hospitals </w:t>
      </w:r>
      <w:r w:rsidR="004D5F68">
        <w:rPr>
          <w:rFonts w:cs="Arial"/>
        </w:rPr>
        <w:t xml:space="preserve">as a result of responses to </w:t>
      </w:r>
      <w:r w:rsidR="00A3220F">
        <w:rPr>
          <w:rFonts w:cs="Arial"/>
        </w:rPr>
        <w:t>COVID-19 are taken into account in the national pricing model.</w:t>
      </w:r>
    </w:p>
    <w:p w14:paraId="647451A7" w14:textId="5D0197AE" w:rsidR="004D2BA5" w:rsidRPr="0065414C" w:rsidRDefault="00D03D7F" w:rsidP="004D2BA5">
      <w:pPr>
        <w:pStyle w:val="Heading2"/>
        <w:rPr>
          <w:rFonts w:cs="Arial"/>
        </w:rPr>
      </w:pPr>
      <w:bookmarkStart w:id="90" w:name="_Toc71631328"/>
      <w:r>
        <w:rPr>
          <w:rFonts w:cs="Arial"/>
          <w:spacing w:val="-2"/>
        </w:rPr>
        <w:t>7</w:t>
      </w:r>
      <w:r w:rsidR="004D2BA5" w:rsidRPr="0065414C">
        <w:rPr>
          <w:rFonts w:cs="Arial"/>
          <w:spacing w:val="-2"/>
        </w:rPr>
        <w:t xml:space="preserve">.2. </w:t>
      </w:r>
      <w:r w:rsidR="004D2BA5" w:rsidRPr="0065414C">
        <w:rPr>
          <w:rFonts w:cs="Arial"/>
        </w:rPr>
        <w:t>The ‘fixed-plus-variable’ model</w:t>
      </w:r>
      <w:bookmarkEnd w:id="90"/>
    </w:p>
    <w:p w14:paraId="4BCD046F" w14:textId="122915F3" w:rsidR="006047FB" w:rsidRPr="006047FB" w:rsidRDefault="006047FB" w:rsidP="006047FB">
      <w:pPr>
        <w:pStyle w:val="BodyText"/>
        <w:rPr>
          <w:rFonts w:cs="Arial"/>
        </w:rPr>
      </w:pPr>
      <w:r w:rsidRPr="006047FB">
        <w:rPr>
          <w:rFonts w:cs="Arial"/>
        </w:rPr>
        <w:t>Both ABF and block</w:t>
      </w:r>
      <w:r w:rsidR="00AB24AE">
        <w:rPr>
          <w:rFonts w:cs="Arial"/>
        </w:rPr>
        <w:t>-</w:t>
      </w:r>
      <w:r w:rsidRPr="006047FB">
        <w:rPr>
          <w:rFonts w:cs="Arial"/>
        </w:rPr>
        <w:t>funding approaches cover services that are within the scope of the NHRA. The key difference is that the ABF model calculates an efficient price per episode of care, while the block funded model calculates an efficient cost for the hospital.</w:t>
      </w:r>
    </w:p>
    <w:p w14:paraId="7B9426FE" w14:textId="77777777" w:rsidR="001C3550" w:rsidRPr="006047FB" w:rsidRDefault="001C3550" w:rsidP="001C3550">
      <w:pPr>
        <w:pStyle w:val="BodyText"/>
        <w:rPr>
          <w:rFonts w:cs="Arial"/>
        </w:rPr>
      </w:pPr>
      <w:r>
        <w:rPr>
          <w:rFonts w:cs="Arial"/>
        </w:rPr>
        <w:t>For the NEC Determination 2020</w:t>
      </w:r>
      <w:r w:rsidRPr="006047FB">
        <w:rPr>
          <w:rFonts w:cs="Arial"/>
        </w:rPr>
        <w:t>–</w:t>
      </w:r>
      <w:r>
        <w:rPr>
          <w:rFonts w:cs="Arial"/>
        </w:rPr>
        <w:t xml:space="preserve">21, </w:t>
      </w:r>
      <w:r w:rsidR="006047FB" w:rsidRPr="006047FB">
        <w:rPr>
          <w:rFonts w:cs="Arial"/>
        </w:rPr>
        <w:t xml:space="preserve">IHPA </w:t>
      </w:r>
      <w:r w:rsidR="006047FB" w:rsidRPr="006047FB">
        <w:rPr>
          <w:rFonts w:cs="Arial"/>
        </w:rPr>
        <w:t xml:space="preserve">introduced the ‘fixed-plus-variable’ model </w:t>
      </w:r>
      <w:r w:rsidRPr="006047FB">
        <w:rPr>
          <w:rFonts w:cs="Arial"/>
        </w:rPr>
        <w:t>where the total modelled cost of each hospital is based on a fixed component as well as a variable ABF style component</w:t>
      </w:r>
      <w:r>
        <w:rPr>
          <w:rFonts w:cs="Arial"/>
        </w:rPr>
        <w:t xml:space="preserve">. </w:t>
      </w:r>
      <w:r w:rsidRPr="006047FB">
        <w:rPr>
          <w:rFonts w:cs="Arial"/>
        </w:rPr>
        <w:t>Under this approach, the fixed component decreases while the variable component increases, reflecting volume of activity.</w:t>
      </w:r>
    </w:p>
    <w:p w14:paraId="52C9C40F" w14:textId="3D17A0F1" w:rsidR="004D2BA5" w:rsidRDefault="006047FB" w:rsidP="006047FB">
      <w:pPr>
        <w:pStyle w:val="BodyText"/>
        <w:rPr>
          <w:rFonts w:cs="Arial"/>
        </w:rPr>
      </w:pPr>
      <w:r w:rsidRPr="006047FB">
        <w:rPr>
          <w:rFonts w:cs="Arial"/>
        </w:rPr>
        <w:t>IHPA will continue to use the ‘fixed-plus-variable’ model for the NEC Determination 2023–24 (NEC23).</w:t>
      </w:r>
    </w:p>
    <w:p w14:paraId="137B5472" w14:textId="2124E248" w:rsidR="00E87751" w:rsidRPr="00E87751" w:rsidRDefault="00D03D7F" w:rsidP="00E87751">
      <w:pPr>
        <w:pStyle w:val="Heading3"/>
        <w:rPr>
          <w:rFonts w:cs="Arial"/>
        </w:rPr>
      </w:pPr>
      <w:r>
        <w:rPr>
          <w:rFonts w:cs="Arial"/>
        </w:rPr>
        <w:t>7</w:t>
      </w:r>
      <w:r w:rsidR="00E87751" w:rsidRPr="00E87751">
        <w:rPr>
          <w:rFonts w:cs="Arial"/>
        </w:rPr>
        <w:t>.</w:t>
      </w:r>
      <w:r w:rsidR="00E87751">
        <w:rPr>
          <w:rFonts w:cs="Arial"/>
        </w:rPr>
        <w:t>2</w:t>
      </w:r>
      <w:r w:rsidR="00E87751" w:rsidRPr="00E87751">
        <w:rPr>
          <w:rFonts w:cs="Arial"/>
        </w:rPr>
        <w:t xml:space="preserve">.1. </w:t>
      </w:r>
      <w:r w:rsidR="00E87751">
        <w:rPr>
          <w:rFonts w:cs="Arial"/>
        </w:rPr>
        <w:t>S</w:t>
      </w:r>
      <w:r w:rsidR="00E87751" w:rsidRPr="00E87751">
        <w:rPr>
          <w:rFonts w:cs="Arial"/>
        </w:rPr>
        <w:t>tandalone hospitals providing specialist mental health services</w:t>
      </w:r>
    </w:p>
    <w:p w14:paraId="3223872A" w14:textId="4EA01920" w:rsidR="006047FB" w:rsidRPr="006047FB" w:rsidRDefault="006047FB" w:rsidP="006047FB">
      <w:pPr>
        <w:pStyle w:val="BodyText"/>
        <w:rPr>
          <w:rFonts w:cs="Arial"/>
          <w:bCs/>
        </w:rPr>
      </w:pPr>
      <w:r w:rsidRPr="006047FB">
        <w:rPr>
          <w:rFonts w:cs="Arial"/>
          <w:bCs/>
        </w:rPr>
        <w:t>Other block funded hospitals such as standalone hospitals providing specialist mental health services (for example, psychiatric hospitals) are treated separately from the ‘fixed-</w:t>
      </w:r>
      <w:r w:rsidR="006F48C5">
        <w:rPr>
          <w:rFonts w:cs="Arial"/>
          <w:bCs/>
        </w:rPr>
        <w:t>plus</w:t>
      </w:r>
      <w:r w:rsidR="007C4DDD">
        <w:rPr>
          <w:rFonts w:cs="Arial"/>
          <w:bCs/>
        </w:rPr>
        <w:t>-</w:t>
      </w:r>
      <w:r w:rsidRPr="006047FB">
        <w:rPr>
          <w:rFonts w:cs="Arial"/>
          <w:bCs/>
        </w:rPr>
        <w:t>variable’ cost model.</w:t>
      </w:r>
    </w:p>
    <w:p w14:paraId="18052FF3" w14:textId="24098413" w:rsidR="006047FB" w:rsidRDefault="006047FB" w:rsidP="006047FB">
      <w:pPr>
        <w:pStyle w:val="BodyText"/>
        <w:rPr>
          <w:rFonts w:cs="Arial"/>
          <w:bCs/>
        </w:rPr>
      </w:pPr>
      <w:r w:rsidRPr="006047FB">
        <w:rPr>
          <w:rFonts w:cs="Arial"/>
          <w:bCs/>
        </w:rPr>
        <w:t>The efficient cost of these hospitals is currently determined in consultation with the relevant state or territory with reference to their total in</w:t>
      </w:r>
      <w:r w:rsidR="002B16FE">
        <w:rPr>
          <w:rFonts w:cs="Arial"/>
          <w:bCs/>
        </w:rPr>
        <w:t>-</w:t>
      </w:r>
      <w:r w:rsidRPr="006047FB">
        <w:rPr>
          <w:rFonts w:cs="Arial"/>
          <w:bCs/>
        </w:rPr>
        <w:t>scope reported expenditure.</w:t>
      </w:r>
    </w:p>
    <w:p w14:paraId="0E5BA50F" w14:textId="6113BCF7" w:rsidR="007C3476" w:rsidRDefault="007C3476" w:rsidP="007C3476">
      <w:pPr>
        <w:pStyle w:val="BodyText"/>
        <w:rPr>
          <w:rFonts w:cs="Arial"/>
        </w:rPr>
      </w:pPr>
      <w:r>
        <w:rPr>
          <w:rFonts w:cs="Arial"/>
          <w:bCs/>
        </w:rPr>
        <w:t xml:space="preserve">IHPA </w:t>
      </w:r>
      <w:r>
        <w:rPr>
          <w:rFonts w:cs="Arial"/>
        </w:rPr>
        <w:t>introduced pricing</w:t>
      </w:r>
      <w:r w:rsidRPr="00B3738E">
        <w:rPr>
          <w:rFonts w:cs="Arial"/>
        </w:rPr>
        <w:t xml:space="preserve"> admitted mental health care using the A</w:t>
      </w:r>
      <w:r>
        <w:rPr>
          <w:rFonts w:cs="Arial"/>
        </w:rPr>
        <w:t xml:space="preserve">ustralian </w:t>
      </w:r>
      <w:r w:rsidRPr="00B3738E">
        <w:rPr>
          <w:rFonts w:cs="Arial"/>
        </w:rPr>
        <w:t>M</w:t>
      </w:r>
      <w:r>
        <w:rPr>
          <w:rFonts w:cs="Arial"/>
        </w:rPr>
        <w:t xml:space="preserve">ental </w:t>
      </w:r>
      <w:r w:rsidRPr="00B3738E">
        <w:rPr>
          <w:rFonts w:cs="Arial"/>
        </w:rPr>
        <w:t>H</w:t>
      </w:r>
      <w:r>
        <w:rPr>
          <w:rFonts w:cs="Arial"/>
        </w:rPr>
        <w:t xml:space="preserve">ealth </w:t>
      </w:r>
      <w:r w:rsidRPr="00B3738E">
        <w:rPr>
          <w:rFonts w:cs="Arial"/>
        </w:rPr>
        <w:t>C</w:t>
      </w:r>
      <w:r>
        <w:rPr>
          <w:rFonts w:cs="Arial"/>
        </w:rPr>
        <w:t xml:space="preserve">are </w:t>
      </w:r>
      <w:r w:rsidRPr="00B3738E">
        <w:rPr>
          <w:rFonts w:cs="Arial"/>
        </w:rPr>
        <w:t>C</w:t>
      </w:r>
      <w:r>
        <w:rPr>
          <w:rFonts w:cs="Arial"/>
        </w:rPr>
        <w:t>lassification (AMHCC)</w:t>
      </w:r>
      <w:r w:rsidRPr="00B3738E">
        <w:rPr>
          <w:rFonts w:cs="Arial"/>
        </w:rPr>
        <w:t xml:space="preserve"> Version 1.0</w:t>
      </w:r>
      <w:r>
        <w:rPr>
          <w:rFonts w:cs="Arial"/>
        </w:rPr>
        <w:t xml:space="preserve"> for </w:t>
      </w:r>
      <w:r w:rsidR="00BA03D7">
        <w:rPr>
          <w:rFonts w:cs="Arial"/>
        </w:rPr>
        <w:t xml:space="preserve">the </w:t>
      </w:r>
      <w:r w:rsidR="00BA03D7" w:rsidRPr="00BA03D7">
        <w:rPr>
          <w:rFonts w:cs="Arial"/>
        </w:rPr>
        <w:t xml:space="preserve">National Efficient Price </w:t>
      </w:r>
      <w:r w:rsidR="00BA03D7">
        <w:rPr>
          <w:rFonts w:cs="Arial"/>
        </w:rPr>
        <w:t xml:space="preserve">(NEP) </w:t>
      </w:r>
      <w:r w:rsidR="00BA03D7" w:rsidRPr="00BA03D7">
        <w:rPr>
          <w:rFonts w:cs="Arial"/>
        </w:rPr>
        <w:t>Determination 202</w:t>
      </w:r>
      <w:r w:rsidR="00BA03D7">
        <w:rPr>
          <w:rFonts w:cs="Arial"/>
        </w:rPr>
        <w:t>2</w:t>
      </w:r>
      <w:r w:rsidR="00BA03D7" w:rsidRPr="00BA03D7">
        <w:rPr>
          <w:rFonts w:cs="Arial"/>
        </w:rPr>
        <w:t>–2</w:t>
      </w:r>
      <w:r w:rsidR="00BA03D7">
        <w:rPr>
          <w:rFonts w:cs="Arial"/>
        </w:rPr>
        <w:t>3</w:t>
      </w:r>
      <w:r>
        <w:rPr>
          <w:rFonts w:cs="Arial"/>
        </w:rPr>
        <w:t xml:space="preserve">. IHPA is proposing to price community mental health care using AMHCC Version 1.0 for the </w:t>
      </w:r>
      <w:r w:rsidR="00BA03D7">
        <w:rPr>
          <w:rFonts w:cs="Arial"/>
        </w:rPr>
        <w:t>NEP</w:t>
      </w:r>
      <w:r w:rsidR="00704402">
        <w:rPr>
          <w:rFonts w:cs="Arial"/>
        </w:rPr>
        <w:t xml:space="preserve"> Determination</w:t>
      </w:r>
      <w:r>
        <w:rPr>
          <w:rFonts w:cs="Arial"/>
        </w:rPr>
        <w:t xml:space="preserve"> 2023</w:t>
      </w:r>
      <w:r w:rsidRPr="006047FB">
        <w:rPr>
          <w:rFonts w:cs="Arial"/>
        </w:rPr>
        <w:t>–</w:t>
      </w:r>
      <w:r>
        <w:rPr>
          <w:rFonts w:cs="Arial"/>
        </w:rPr>
        <w:t>2</w:t>
      </w:r>
      <w:r w:rsidR="00704402">
        <w:rPr>
          <w:rFonts w:cs="Arial"/>
        </w:rPr>
        <w:t>4</w:t>
      </w:r>
      <w:r>
        <w:rPr>
          <w:rFonts w:cs="Arial"/>
        </w:rPr>
        <w:t xml:space="preserve">. </w:t>
      </w:r>
    </w:p>
    <w:p w14:paraId="6CD7DD8E" w14:textId="77777777" w:rsidR="007C3476" w:rsidRDefault="007C3476" w:rsidP="007C3476">
      <w:pPr>
        <w:pStyle w:val="BodyText"/>
        <w:rPr>
          <w:rFonts w:cs="Arial"/>
        </w:rPr>
      </w:pPr>
      <w:r>
        <w:rPr>
          <w:rFonts w:cs="Arial"/>
        </w:rPr>
        <w:t>IHPA will work with jurisdictions to investigate the feasibility of transitioning standalone hospitals providing specialist mental health services to ABF in the development of NEC23.</w:t>
      </w:r>
    </w:p>
    <w:p w14:paraId="04B8A4B8" w14:textId="1F099623" w:rsidR="00104EDF" w:rsidRPr="0065414C" w:rsidRDefault="00D03D7F" w:rsidP="00104EDF">
      <w:pPr>
        <w:pStyle w:val="Heading2"/>
        <w:rPr>
          <w:rFonts w:cs="Arial"/>
        </w:rPr>
      </w:pPr>
      <w:bookmarkStart w:id="91" w:name="_Toc71631329"/>
      <w:r>
        <w:rPr>
          <w:rFonts w:cs="Arial"/>
          <w:spacing w:val="-2"/>
        </w:rPr>
        <w:t>7</w:t>
      </w:r>
      <w:r w:rsidR="00104EDF" w:rsidRPr="0065414C">
        <w:rPr>
          <w:rFonts w:cs="Arial"/>
          <w:spacing w:val="-2"/>
        </w:rPr>
        <w:t>.</w:t>
      </w:r>
      <w:r w:rsidR="00704402">
        <w:rPr>
          <w:rFonts w:cs="Arial"/>
          <w:spacing w:val="-2"/>
        </w:rPr>
        <w:t>3</w:t>
      </w:r>
      <w:r w:rsidR="00104EDF" w:rsidRPr="0065414C">
        <w:rPr>
          <w:rFonts w:cs="Arial"/>
          <w:spacing w:val="-2"/>
        </w:rPr>
        <w:t xml:space="preserve">. </w:t>
      </w:r>
      <w:r w:rsidR="00104EDF">
        <w:rPr>
          <w:rFonts w:cs="Arial"/>
        </w:rPr>
        <w:t>Quality assurance of public health expenditure data</w:t>
      </w:r>
    </w:p>
    <w:p w14:paraId="3628EBF0" w14:textId="66FF9451" w:rsidR="00104EDF" w:rsidRDefault="00104EDF" w:rsidP="00104EDF">
      <w:pPr>
        <w:pStyle w:val="BodyText"/>
        <w:rPr>
          <w:rFonts w:cs="Arial"/>
        </w:rPr>
      </w:pPr>
      <w:r w:rsidRPr="006047FB">
        <w:rPr>
          <w:rFonts w:cs="Arial"/>
        </w:rPr>
        <w:t xml:space="preserve">IHPA uses public hospital expenditure as reported in the National Public Hospital Establishments Database to determine the NEC for block funded hospitals. IHPA is exploring the </w:t>
      </w:r>
      <w:r w:rsidRPr="006047FB">
        <w:rPr>
          <w:rFonts w:cs="Arial"/>
        </w:rPr>
        <w:lastRenderedPageBreak/>
        <w:t xml:space="preserve">development of an independent quality assurance process for the public health expenditure included in </w:t>
      </w:r>
      <w:r>
        <w:rPr>
          <w:rFonts w:cs="Arial"/>
        </w:rPr>
        <w:t>Local Hospital Networks and Public Hospital Establishments National Minimum Data Set.</w:t>
      </w:r>
      <w:r w:rsidRPr="006047FB">
        <w:rPr>
          <w:rFonts w:cs="Arial"/>
        </w:rPr>
        <w:t xml:space="preserve"> </w:t>
      </w:r>
    </w:p>
    <w:p w14:paraId="5AF018F3" w14:textId="72C5A749" w:rsidR="00104EDF" w:rsidRDefault="00104EDF" w:rsidP="00104EDF">
      <w:pPr>
        <w:pStyle w:val="BodyText"/>
        <w:rPr>
          <w:rFonts w:cs="Arial"/>
        </w:rPr>
      </w:pPr>
      <w:r w:rsidRPr="004769F4">
        <w:rPr>
          <w:rFonts w:cs="Arial"/>
        </w:rPr>
        <w:t>This process will help to ensure high quality input data for cost</w:t>
      </w:r>
      <w:r>
        <w:rPr>
          <w:rFonts w:cs="Arial"/>
        </w:rPr>
        <w:t xml:space="preserve"> modelling for the NEC </w:t>
      </w:r>
      <w:r w:rsidR="00EC353B">
        <w:rPr>
          <w:rFonts w:cs="Arial"/>
        </w:rPr>
        <w:t>D</w:t>
      </w:r>
      <w:r>
        <w:rPr>
          <w:rFonts w:cs="Arial"/>
        </w:rPr>
        <w:t xml:space="preserve">etermination is maintained and aligns with the quality assurance process adopted to inform the </w:t>
      </w:r>
      <w:r w:rsidR="00BA03D7">
        <w:rPr>
          <w:rFonts w:cs="Arial"/>
        </w:rPr>
        <w:t>NEP D</w:t>
      </w:r>
      <w:r>
        <w:rPr>
          <w:rFonts w:cs="Arial"/>
        </w:rPr>
        <w:t xml:space="preserve">eterminations. Each year, IHPA commissions an independent financial review (IFR) to assess whether all participating hospitals have included appropriate costs and patient activity in the National Hospital Cost Data Collection (NHCDC) which is used to calculate the NEP. The IFR also provides </w:t>
      </w:r>
      <w:r w:rsidRPr="00A30152">
        <w:rPr>
          <w:rFonts w:cs="Arial"/>
        </w:rPr>
        <w:t>recommendations for IHPA and the jurisdictions to consider with the aim of improving the consistency and transparency of</w:t>
      </w:r>
      <w:r>
        <w:rPr>
          <w:rFonts w:cs="Arial"/>
        </w:rPr>
        <w:t xml:space="preserve"> the</w:t>
      </w:r>
      <w:r w:rsidRPr="00A30152">
        <w:rPr>
          <w:rFonts w:cs="Arial"/>
        </w:rPr>
        <w:t xml:space="preserve"> NHCDC submissions</w:t>
      </w:r>
      <w:r>
        <w:rPr>
          <w:rFonts w:cs="Arial"/>
        </w:rPr>
        <w:t xml:space="preserve"> and to ensure the NHCDC is robust and fit for purpose. </w:t>
      </w:r>
    </w:p>
    <w:p w14:paraId="47F9F60C" w14:textId="27E98E5D" w:rsidR="00104EDF" w:rsidRDefault="00104EDF" w:rsidP="00104EDF">
      <w:pPr>
        <w:pStyle w:val="BodyText"/>
        <w:rPr>
          <w:rFonts w:cs="Arial"/>
        </w:rPr>
      </w:pPr>
      <w:r w:rsidRPr="006047FB">
        <w:rPr>
          <w:rFonts w:cs="Arial"/>
        </w:rPr>
        <w:t>IHPA expects that continued improvements to the data collection will lead to greater accuracy in reflecting the services and activities undertaken by block funded hospitals</w:t>
      </w:r>
      <w:r w:rsidRPr="00D33BF6">
        <w:rPr>
          <w:rFonts w:cs="Arial"/>
        </w:rPr>
        <w:t>.</w:t>
      </w:r>
      <w:r>
        <w:rPr>
          <w:rFonts w:cs="Arial"/>
        </w:rPr>
        <w:t xml:space="preserve"> IHPA will work with its advisory committees to refine and progress the new quality assurance process.</w:t>
      </w:r>
    </w:p>
    <w:p w14:paraId="580B5F27" w14:textId="35680D01" w:rsidR="00AB24AE" w:rsidRDefault="00AB24AE" w:rsidP="00295921">
      <w:pPr>
        <w:pStyle w:val="BodyText"/>
      </w:pPr>
      <w:r w:rsidRPr="0065414C">
        <w:rPr>
          <w:rFonts w:cs="Arial"/>
          <w:noProof/>
          <w:lang w:eastAsia="en-AU" w:bidi="ar-SA"/>
        </w:rPr>
        <mc:AlternateContent>
          <mc:Choice Requires="wps">
            <w:drawing>
              <wp:inline distT="0" distB="0" distL="0" distR="0" wp14:anchorId="48561744" wp14:editId="29C76877">
                <wp:extent cx="2743200" cy="3162300"/>
                <wp:effectExtent l="0" t="0" r="19050" b="19050"/>
                <wp:docPr id="17" name="Text Box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162300"/>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34F4C78C" w14:textId="77777777" w:rsidR="00FE6544" w:rsidRPr="005470B1" w:rsidRDefault="00FE6544" w:rsidP="00AB24AE">
                            <w:pPr>
                              <w:pStyle w:val="Questionheading"/>
                              <w:ind w:left="567"/>
                            </w:pPr>
                            <w:r>
                              <w:rPr>
                                <w:b w:val="0"/>
                                <w:noProof/>
                              </w:rPr>
                              <w:drawing>
                                <wp:inline distT="0" distB="0" distL="0" distR="0" wp14:anchorId="3726390F" wp14:editId="7391A0C6">
                                  <wp:extent cx="238125" cy="209550"/>
                                  <wp:effectExtent l="0" t="0" r="9525" b="0"/>
                                  <wp:docPr id="20" name="Picture 20" descr="Question mark to left of the ‘Consultation question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Question mark to left of the ‘Consultation questions’ titl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t xml:space="preserve">  </w:t>
                            </w:r>
                            <w:r w:rsidRPr="005470B1">
                              <w:t xml:space="preserve">Consultation </w:t>
                            </w:r>
                            <w:r>
                              <w:t>questions</w:t>
                            </w:r>
                          </w:p>
                          <w:p w14:paraId="2D981DD4" w14:textId="4692AA25" w:rsidR="00FE6544" w:rsidRDefault="00FE6544" w:rsidP="00295921">
                            <w:pPr>
                              <w:pStyle w:val="ListParagraph"/>
                              <w:numPr>
                                <w:ilvl w:val="0"/>
                                <w:numId w:val="66"/>
                              </w:numPr>
                              <w:ind w:left="851" w:right="283"/>
                            </w:pPr>
                            <w:r>
                              <w:t>What cost pressures for regional or remote hospitals should be considered in the development of NEC23?</w:t>
                            </w:r>
                          </w:p>
                          <w:p w14:paraId="3FBD0AEF" w14:textId="77777777" w:rsidR="00FE6544" w:rsidRDefault="00FE6544" w:rsidP="00295921">
                            <w:pPr>
                              <w:pStyle w:val="ListParagraph"/>
                              <w:numPr>
                                <w:ilvl w:val="0"/>
                                <w:numId w:val="66"/>
                              </w:numPr>
                              <w:ind w:left="851"/>
                            </w:pPr>
                            <w:r>
                              <w:t xml:space="preserve">What specific areas of the Local Hospital Networks and Public Hospital Establishments National Minimum Data Set would you recommend IHPA focus on when developing its independent quality assurance process? </w:t>
                            </w:r>
                          </w:p>
                          <w:p w14:paraId="52594026" w14:textId="77777777" w:rsidR="00FE6544" w:rsidRDefault="00FE6544" w:rsidP="00295921">
                            <w:pPr>
                              <w:pStyle w:val="ListParagraph"/>
                              <w:numPr>
                                <w:ilvl w:val="0"/>
                                <w:numId w:val="66"/>
                              </w:numPr>
                              <w:ind w:left="851"/>
                            </w:pPr>
                            <w:r>
                              <w:t xml:space="preserve">What should IHPA consider when transitioning </w:t>
                            </w:r>
                            <w:r>
                              <w:rPr>
                                <w:rFonts w:cs="Arial"/>
                              </w:rPr>
                              <w:t>standalone hospitals providing specialist mental health services to ABF?</w:t>
                            </w:r>
                          </w:p>
                          <w:p w14:paraId="44FEDD07" w14:textId="77777777" w:rsidR="00FE6544" w:rsidRDefault="00FE6544" w:rsidP="00AB24AE"/>
                        </w:txbxContent>
                      </wps:txbx>
                      <wps:bodyPr rot="0" vert="horz" wrap="square" lIns="0" tIns="0" rIns="0" bIns="0" anchor="t" anchorCtr="0" upright="1">
                        <a:noAutofit/>
                      </wps:bodyPr>
                    </wps:wsp>
                  </a:graphicData>
                </a:graphic>
              </wp:inline>
            </w:drawing>
          </mc:Choice>
          <mc:Fallback xmlns:w16sdtdh="http://schemas.microsoft.com/office/word/2020/wordml/sdtdatahash" xmlns:oel="http://schemas.microsoft.com/office/2019/extlst">
            <w:pict>
              <v:shape w14:anchorId="48561744" id="_x0000_s1035" type="#_x0000_t202" alt="&quot;&quot;" style="width:3in;height:2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" filled="f" strokecolor="#7ec352 [3204]">
                <v:textbox inset="0,0,0,0">
                  <w:txbxContent>
                    <w:p w14:paraId="34F4C78C" w14:textId="77777777" w:rsidR="00FE6544" w:rsidRPr="005470B1" w:rsidRDefault="00FE6544" w:rsidP="00AB24AE">
                      <w:pPr>
                        <w:pStyle w:val="Questionheading"/>
                        <w:ind w:left="567"/>
                      </w:pPr>
                      <w:r>
                        <w:rPr>
                          <w:b w:val="0"/>
                          <w:noProof/>
                        </w:rPr>
                        <w:drawing>
                          <wp:inline distT="0" distB="0" distL="0" distR="0" wp14:anchorId="3726390F" wp14:editId="7391A0C6">
                            <wp:extent cx="238125" cy="209550"/>
                            <wp:effectExtent l="0" t="0" r="9525" b="0"/>
                            <wp:docPr id="20" name="Picture 20" descr="Question mark to left of the ‘Consultation question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Question mark to left of the ‘Consultation questions’ titl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t xml:space="preserve">  </w:t>
                      </w:r>
                      <w:r w:rsidRPr="005470B1">
                        <w:t xml:space="preserve">Consultation </w:t>
                      </w:r>
                      <w:r>
                        <w:t>questions</w:t>
                      </w:r>
                    </w:p>
                    <w:p w14:paraId="2D981DD4" w14:textId="4692AA25" w:rsidR="00FE6544" w:rsidRDefault="00FE6544" w:rsidP="00295921">
                      <w:pPr>
                        <w:pStyle w:val="ListParagraph"/>
                        <w:numPr>
                          <w:ilvl w:val="0"/>
                          <w:numId w:val="66"/>
                        </w:numPr>
                        <w:ind w:left="851" w:right="283"/>
                      </w:pPr>
                      <w:r>
                        <w:t>What cost pressures for regional or remote hospitals should be considered in the development of NEC23?</w:t>
                      </w:r>
                    </w:p>
                    <w:p w14:paraId="3FBD0AEF" w14:textId="77777777" w:rsidR="00FE6544" w:rsidRDefault="00FE6544" w:rsidP="00295921">
                      <w:pPr>
                        <w:pStyle w:val="ListParagraph"/>
                        <w:numPr>
                          <w:ilvl w:val="0"/>
                          <w:numId w:val="66"/>
                        </w:numPr>
                        <w:ind w:left="851"/>
                      </w:pPr>
                      <w:r>
                        <w:t xml:space="preserve">What specific areas of the Local Hospital Networks and Public Hospital Establishments National Minimum Data Set would you recommend IHPA focus on when developing its independent quality assurance process? </w:t>
                      </w:r>
                    </w:p>
                    <w:p w14:paraId="52594026" w14:textId="77777777" w:rsidR="00FE6544" w:rsidRDefault="00FE6544" w:rsidP="00295921">
                      <w:pPr>
                        <w:pStyle w:val="ListParagraph"/>
                        <w:numPr>
                          <w:ilvl w:val="0"/>
                          <w:numId w:val="66"/>
                        </w:numPr>
                        <w:ind w:left="851"/>
                      </w:pPr>
                      <w:r>
                        <w:t xml:space="preserve">What should IHPA consider when transitioning </w:t>
                      </w:r>
                      <w:r>
                        <w:rPr>
                          <w:rFonts w:cs="Arial"/>
                        </w:rPr>
                        <w:t>standalone hospitals providing specialist mental health services to ABF?</w:t>
                      </w:r>
                    </w:p>
                    <w:p w14:paraId="44FEDD07" w14:textId="77777777" w:rsidR="00FE6544" w:rsidRDefault="00FE6544" w:rsidP="00AB24AE"/>
                  </w:txbxContent>
                </v:textbox>
                <w10:anchorlock/>
              </v:shape>
            </w:pict>
          </mc:Fallback>
        </mc:AlternateContent>
      </w:r>
    </w:p>
    <w:p w14:paraId="24B22D18" w14:textId="1D79785E" w:rsidR="00B4363F" w:rsidRPr="00104EDF" w:rsidRDefault="00D03D7F" w:rsidP="00657927">
      <w:pPr>
        <w:pStyle w:val="Heading2"/>
        <w:keepLines/>
      </w:pPr>
      <w:r>
        <w:t>7</w:t>
      </w:r>
      <w:r w:rsidR="00B4363F" w:rsidRPr="00104EDF">
        <w:t>.</w:t>
      </w:r>
      <w:r w:rsidR="00104EDF" w:rsidRPr="00104EDF">
        <w:t>4</w:t>
      </w:r>
      <w:r w:rsidR="00B4363F" w:rsidRPr="00104EDF">
        <w:t xml:space="preserve">. New high cost, </w:t>
      </w:r>
      <w:r w:rsidR="00B4363F" w:rsidRPr="00104EDF">
        <w:rPr>
          <w:rFonts w:cs="Arial"/>
          <w:spacing w:val="-2"/>
        </w:rPr>
        <w:t>highly specialised</w:t>
      </w:r>
      <w:r w:rsidR="00B4363F" w:rsidRPr="00104EDF">
        <w:t xml:space="preserve"> therapies</w:t>
      </w:r>
      <w:bookmarkEnd w:id="91"/>
    </w:p>
    <w:p w14:paraId="473AFEA7" w14:textId="6DE82DDB" w:rsidR="006047FB" w:rsidRPr="006047FB" w:rsidRDefault="006047FB" w:rsidP="006047FB">
      <w:pPr>
        <w:pStyle w:val="BodyText"/>
        <w:rPr>
          <w:rFonts w:cs="Arial"/>
        </w:rPr>
      </w:pPr>
      <w:r w:rsidRPr="006047FB">
        <w:rPr>
          <w:rFonts w:cs="Arial"/>
        </w:rPr>
        <w:t xml:space="preserve">The annual NEC </w:t>
      </w:r>
      <w:r w:rsidR="00EC353B">
        <w:rPr>
          <w:rFonts w:cs="Arial"/>
        </w:rPr>
        <w:t>D</w:t>
      </w:r>
      <w:r w:rsidRPr="006047FB">
        <w:rPr>
          <w:rFonts w:cs="Arial"/>
        </w:rPr>
        <w:t xml:space="preserve">etermination includes block funded costs for the delivery of high cost, highly specialised therapies, as provided by clauses C11–C12 of the Addendum. These clauses </w:t>
      </w:r>
      <w:r w:rsidRPr="006047FB">
        <w:rPr>
          <w:rFonts w:cs="Arial"/>
        </w:rPr>
        <w:t>contain specific arrangements for new high cost, highly specialised therapies recommended for delivery in public hospitals by the Medical Services Advisory Committee.</w:t>
      </w:r>
    </w:p>
    <w:p w14:paraId="070C5076" w14:textId="3D482143" w:rsidR="00B4363F" w:rsidRDefault="006047FB" w:rsidP="006047FB">
      <w:pPr>
        <w:pStyle w:val="BodyText"/>
        <w:rPr>
          <w:rFonts w:cs="Arial"/>
        </w:rPr>
      </w:pPr>
      <w:r w:rsidRPr="006047FB">
        <w:rPr>
          <w:rFonts w:cs="Arial"/>
        </w:rPr>
        <w:t>For 2023–24, the following high cost, highly specialised therapies have been recommended for delivery in public hospitals based on advice from the Commonwealth</w:t>
      </w:r>
      <w:r w:rsidR="00B4363F" w:rsidRPr="00B4363F">
        <w:rPr>
          <w:rFonts w:cs="Arial"/>
        </w:rPr>
        <w:t>:</w:t>
      </w:r>
    </w:p>
    <w:p w14:paraId="22133E7B" w14:textId="3089D2A7" w:rsidR="006047FB" w:rsidRPr="006047FB" w:rsidRDefault="006047FB" w:rsidP="00295921">
      <w:pPr>
        <w:pStyle w:val="ListParagraph"/>
        <w:numPr>
          <w:ilvl w:val="0"/>
          <w:numId w:val="65"/>
        </w:numPr>
      </w:pPr>
      <w:r w:rsidRPr="006047FB">
        <w:t>Kymriah</w:t>
      </w:r>
      <w:r w:rsidRPr="00DC7AC0">
        <w:rPr>
          <w:vertAlign w:val="superscript"/>
        </w:rPr>
        <w:t>®</w:t>
      </w:r>
      <w:r w:rsidRPr="006047FB">
        <w:t xml:space="preserve"> – for the treatment of acute lymphoblastic leukaemia in children and young adults </w:t>
      </w:r>
    </w:p>
    <w:p w14:paraId="5750B8A4" w14:textId="0C4D5BAF" w:rsidR="006047FB" w:rsidRPr="006047FB" w:rsidRDefault="006047FB" w:rsidP="00295921">
      <w:pPr>
        <w:pStyle w:val="ListParagraph"/>
        <w:numPr>
          <w:ilvl w:val="0"/>
          <w:numId w:val="65"/>
        </w:numPr>
      </w:pPr>
      <w:r w:rsidRPr="006047FB">
        <w:t>Kymriah</w:t>
      </w:r>
      <w:r w:rsidRPr="00DC7AC0">
        <w:rPr>
          <w:vertAlign w:val="superscript"/>
        </w:rPr>
        <w:t>®</w:t>
      </w:r>
      <w:r w:rsidRPr="006047FB">
        <w:t xml:space="preserve"> or </w:t>
      </w:r>
      <w:proofErr w:type="spellStart"/>
      <w:r w:rsidRPr="006047FB">
        <w:t>Yescarta</w:t>
      </w:r>
      <w:proofErr w:type="spellEnd"/>
      <w:r w:rsidRPr="00DC7AC0">
        <w:rPr>
          <w:vertAlign w:val="superscript"/>
        </w:rPr>
        <w:t>®</w:t>
      </w:r>
      <w:r w:rsidRPr="006047FB">
        <w:t xml:space="preserve"> – for the treatment of diffuse large B-cell lymphoma, primary mediastinal large B-cell lymphoma and transformed follicular lymphoma</w:t>
      </w:r>
    </w:p>
    <w:p w14:paraId="4EC8621D" w14:textId="04F4A560" w:rsidR="006047FB" w:rsidRPr="006047FB" w:rsidRDefault="006047FB" w:rsidP="00295921">
      <w:pPr>
        <w:pStyle w:val="ListParagraph"/>
        <w:numPr>
          <w:ilvl w:val="0"/>
          <w:numId w:val="65"/>
        </w:numPr>
      </w:pPr>
      <w:proofErr w:type="spellStart"/>
      <w:r w:rsidRPr="006047FB">
        <w:t>Qarziba</w:t>
      </w:r>
      <w:proofErr w:type="spellEnd"/>
      <w:r w:rsidRPr="00DC7AC0">
        <w:rPr>
          <w:vertAlign w:val="superscript"/>
        </w:rPr>
        <w:t>®</w:t>
      </w:r>
      <w:r w:rsidRPr="006047FB">
        <w:t xml:space="preserve"> – for the treatment of </w:t>
      </w:r>
      <w:r w:rsidR="001C3550" w:rsidRPr="006047FB">
        <w:t>high-risk</w:t>
      </w:r>
      <w:r w:rsidRPr="006047FB">
        <w:t xml:space="preserve"> neuroblastoma </w:t>
      </w:r>
    </w:p>
    <w:p w14:paraId="7868DA02" w14:textId="31A4D327" w:rsidR="006047FB" w:rsidRPr="006047FB" w:rsidRDefault="006047FB" w:rsidP="00295921">
      <w:pPr>
        <w:pStyle w:val="ListParagraph"/>
        <w:numPr>
          <w:ilvl w:val="0"/>
          <w:numId w:val="65"/>
        </w:numPr>
      </w:pPr>
      <w:r w:rsidRPr="006047FB">
        <w:t>Luxturna</w:t>
      </w:r>
      <w:r w:rsidRPr="00DC7AC0">
        <w:rPr>
          <w:vertAlign w:val="superscript"/>
        </w:rPr>
        <w:t>™</w:t>
      </w:r>
      <w:r w:rsidRPr="006047FB">
        <w:t xml:space="preserve"> – for the treatment of inherited retinal dystrophies</w:t>
      </w:r>
    </w:p>
    <w:p w14:paraId="69807902" w14:textId="1B453AE3" w:rsidR="006047FB" w:rsidRPr="006047FB" w:rsidRDefault="006047FB" w:rsidP="00295921">
      <w:pPr>
        <w:pStyle w:val="ListParagraph"/>
        <w:numPr>
          <w:ilvl w:val="0"/>
          <w:numId w:val="65"/>
        </w:numPr>
      </w:pPr>
      <w:proofErr w:type="spellStart"/>
      <w:r w:rsidRPr="006047FB">
        <w:t>Tecartus</w:t>
      </w:r>
      <w:proofErr w:type="spellEnd"/>
      <w:r w:rsidRPr="00DC7AC0">
        <w:rPr>
          <w:vertAlign w:val="superscript"/>
        </w:rPr>
        <w:t>®</w:t>
      </w:r>
      <w:r w:rsidRPr="006047FB">
        <w:t xml:space="preserve"> – for the treatment of relapsed or refractory mantle cell lymphoma.</w:t>
      </w:r>
    </w:p>
    <w:p w14:paraId="00AF2C5B" w14:textId="77777777" w:rsidR="006047FB" w:rsidRPr="006047FB" w:rsidRDefault="006047FB" w:rsidP="006047FB">
      <w:pPr>
        <w:pStyle w:val="BodyText"/>
        <w:rPr>
          <w:rFonts w:cs="Arial"/>
          <w:szCs w:val="22"/>
        </w:rPr>
      </w:pPr>
      <w:r w:rsidRPr="00BA35CE">
        <w:rPr>
          <w:rFonts w:cs="Arial"/>
          <w:szCs w:val="22"/>
        </w:rPr>
        <w:t>The indicative block funded costs for the delivery of these high cost, highly specialised therapies based on the advice of states and territories will be included in NEC23.</w:t>
      </w:r>
    </w:p>
    <w:p w14:paraId="5B453E61" w14:textId="7FAF7F22" w:rsidR="006047FB" w:rsidRPr="006047FB" w:rsidRDefault="006047FB" w:rsidP="006047FB">
      <w:pPr>
        <w:pStyle w:val="BodyText"/>
        <w:rPr>
          <w:rFonts w:cs="Arial"/>
          <w:szCs w:val="22"/>
        </w:rPr>
      </w:pPr>
      <w:r w:rsidRPr="006047FB">
        <w:rPr>
          <w:rFonts w:cs="Arial"/>
          <w:szCs w:val="22"/>
        </w:rPr>
        <w:t xml:space="preserve">Although IHPA does not play a role in the health technology assessment process or funding decisions for </w:t>
      </w:r>
      <w:r w:rsidR="002B16FE">
        <w:rPr>
          <w:rFonts w:cs="Arial"/>
          <w:szCs w:val="22"/>
        </w:rPr>
        <w:t xml:space="preserve">the high cost, </w:t>
      </w:r>
      <w:r w:rsidRPr="006047FB">
        <w:rPr>
          <w:rFonts w:cs="Arial"/>
          <w:szCs w:val="22"/>
        </w:rPr>
        <w:t xml:space="preserve">highly specialised therapies, the </w:t>
      </w:r>
      <w:hyperlink r:id="rId74" w:history="1">
        <w:r w:rsidRPr="005D3B23">
          <w:rPr>
            <w:rStyle w:val="Hyperlink"/>
            <w:i/>
          </w:rPr>
          <w:t>Impact of New Health Technology Framework</w:t>
        </w:r>
      </w:hyperlink>
      <w:r w:rsidRPr="006047FB">
        <w:rPr>
          <w:rFonts w:cs="Arial"/>
          <w:szCs w:val="22"/>
        </w:rPr>
        <w:t xml:space="preserve"> outlines the process by which IHPA receives submissions for and reviews the impact of new health technologies on the existing classifications to ensure they are accurately accounted for in the pricing of public hospital services. </w:t>
      </w:r>
    </w:p>
    <w:p w14:paraId="50F112CB" w14:textId="59ACC70D" w:rsidR="00B4363F" w:rsidRPr="0065414C" w:rsidRDefault="00BA03D7" w:rsidP="004D2BA5">
      <w:pPr>
        <w:pStyle w:val="BodyText"/>
        <w:rPr>
          <w:rFonts w:cs="Arial"/>
        </w:rPr>
      </w:pPr>
      <w:r>
        <w:rPr>
          <w:rFonts w:cs="Arial"/>
          <w:szCs w:val="22"/>
        </w:rPr>
        <w:t>IHPA is currently undertaking a comprehensive review of the</w:t>
      </w:r>
      <w:r w:rsidRPr="006047FB">
        <w:rPr>
          <w:rFonts w:cs="Arial"/>
          <w:szCs w:val="22"/>
        </w:rPr>
        <w:t xml:space="preserve"> </w:t>
      </w:r>
      <w:r w:rsidR="006047FB" w:rsidRPr="001C3550">
        <w:rPr>
          <w:rFonts w:cs="Arial"/>
          <w:i/>
          <w:iCs/>
          <w:szCs w:val="22"/>
        </w:rPr>
        <w:t>Impact of New Health Technology Framework</w:t>
      </w:r>
      <w:r w:rsidR="006047FB" w:rsidRPr="006047FB">
        <w:rPr>
          <w:rFonts w:cs="Arial"/>
          <w:szCs w:val="22"/>
        </w:rPr>
        <w:t xml:space="preserve">. In response to previous feedback from jurisdictions and other key stakeholders, IHPA </w:t>
      </w:r>
      <w:r>
        <w:rPr>
          <w:rFonts w:cs="Arial"/>
          <w:szCs w:val="22"/>
        </w:rPr>
        <w:t>will expand</w:t>
      </w:r>
      <w:r w:rsidR="006047FB" w:rsidRPr="006047FB">
        <w:rPr>
          <w:rFonts w:cs="Arial"/>
          <w:szCs w:val="22"/>
        </w:rPr>
        <w:t xml:space="preserve"> the scope of the</w:t>
      </w:r>
      <w:r>
        <w:rPr>
          <w:rFonts w:cs="Arial"/>
          <w:szCs w:val="22"/>
        </w:rPr>
        <w:t xml:space="preserve"> </w:t>
      </w:r>
      <w:r w:rsidRPr="001C3550">
        <w:rPr>
          <w:rFonts w:cs="Arial"/>
          <w:i/>
          <w:iCs/>
          <w:szCs w:val="22"/>
        </w:rPr>
        <w:t>Impact of New Health Technology Framework</w:t>
      </w:r>
      <w:r w:rsidR="006047FB" w:rsidRPr="006047FB">
        <w:rPr>
          <w:rFonts w:cs="Arial"/>
          <w:szCs w:val="22"/>
        </w:rPr>
        <w:t xml:space="preserve"> to shift away from being focused on the assessment of new health technologies in the admitted patient setting. The </w:t>
      </w:r>
      <w:r w:rsidR="00795054">
        <w:rPr>
          <w:rFonts w:cs="Arial"/>
          <w:szCs w:val="22"/>
        </w:rPr>
        <w:t xml:space="preserve">updated </w:t>
      </w:r>
      <w:r w:rsidRPr="001C3550">
        <w:rPr>
          <w:rFonts w:cs="Arial"/>
          <w:i/>
          <w:iCs/>
          <w:szCs w:val="22"/>
        </w:rPr>
        <w:t>Impact of New Health Technology Framework</w:t>
      </w:r>
      <w:r w:rsidR="006047FB" w:rsidRPr="006047FB">
        <w:rPr>
          <w:rFonts w:cs="Arial"/>
          <w:szCs w:val="22"/>
        </w:rPr>
        <w:t xml:space="preserve"> </w:t>
      </w:r>
      <w:r>
        <w:rPr>
          <w:rFonts w:cs="Arial"/>
          <w:szCs w:val="22"/>
        </w:rPr>
        <w:t xml:space="preserve">will also </w:t>
      </w:r>
      <w:r w:rsidR="006047FB" w:rsidRPr="006047FB">
        <w:rPr>
          <w:rFonts w:cs="Arial"/>
          <w:szCs w:val="22"/>
        </w:rPr>
        <w:t xml:space="preserve">include a streamlined process for the </w:t>
      </w:r>
      <w:r w:rsidR="002B16FE">
        <w:rPr>
          <w:rFonts w:cs="Arial"/>
          <w:szCs w:val="22"/>
        </w:rPr>
        <w:t>timely</w:t>
      </w:r>
      <w:r w:rsidR="002B16FE" w:rsidRPr="006047FB">
        <w:rPr>
          <w:rFonts w:cs="Arial"/>
          <w:szCs w:val="22"/>
        </w:rPr>
        <w:t xml:space="preserve"> </w:t>
      </w:r>
      <w:r w:rsidR="006047FB" w:rsidRPr="006047FB">
        <w:rPr>
          <w:rFonts w:cs="Arial"/>
          <w:szCs w:val="22"/>
        </w:rPr>
        <w:t>assessment of new health technologies and outlines the classification development mechanisms and impact of new health technologies on all patient service categories</w:t>
      </w:r>
      <w:r w:rsidR="00B4363F" w:rsidRPr="00B4363F">
        <w:rPr>
          <w:rFonts w:cs="Arial"/>
        </w:rPr>
        <w:t>.</w:t>
      </w:r>
    </w:p>
    <w:p w14:paraId="385F8329" w14:textId="050C1054" w:rsidR="00C415F5" w:rsidRPr="0065414C" w:rsidRDefault="00C415F5">
      <w:pPr>
        <w:spacing w:line="256" w:lineRule="auto"/>
        <w:rPr>
          <w:rFonts w:cs="Arial"/>
        </w:rPr>
        <w:sectPr w:rsidR="00C415F5" w:rsidRPr="0065414C" w:rsidSect="003821A2">
          <w:headerReference w:type="default" r:id="rId75"/>
          <w:type w:val="continuous"/>
          <w:pgSz w:w="11910" w:h="16840"/>
          <w:pgMar w:top="1440" w:right="1440" w:bottom="1440" w:left="1440" w:header="0" w:footer="656" w:gutter="0"/>
          <w:cols w:num="2" w:space="340"/>
        </w:sectPr>
      </w:pPr>
    </w:p>
    <w:p w14:paraId="4337815A" w14:textId="32334C19" w:rsidR="00592035" w:rsidRPr="0065414C" w:rsidRDefault="00592035" w:rsidP="005B7291">
      <w:pPr>
        <w:pStyle w:val="SectionNumber"/>
      </w:pPr>
      <w:bookmarkStart w:id="92" w:name="_10_Pricing_and"/>
      <w:bookmarkStart w:id="93" w:name="_Toc49953779"/>
      <w:bookmarkEnd w:id="92"/>
      <w:r w:rsidRPr="0065414C">
        <w:rPr>
          <w:lang w:bidi="ar-SA"/>
        </w:rPr>
        <w:lastRenderedPageBreak/>
        <w:drawing>
          <wp:anchor distT="0" distB="0" distL="114300" distR="114300" simplePos="0" relativeHeight="251631616" behindDoc="1" locked="0" layoutInCell="1" allowOverlap="1" wp14:anchorId="60AF955B" wp14:editId="4B01AA2F">
            <wp:simplePos x="0" y="0"/>
            <wp:positionH relativeFrom="margin">
              <wp:posOffset>-914400</wp:posOffset>
            </wp:positionH>
            <wp:positionV relativeFrom="page">
              <wp:posOffset>954157</wp:posOffset>
            </wp:positionV>
            <wp:extent cx="5462267" cy="3577464"/>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462267" cy="3577464"/>
                    </a:xfrm>
                    <a:prstGeom prst="rect">
                      <a:avLst/>
                    </a:prstGeom>
                    <a:noFill/>
                    <a:ln>
                      <a:noFill/>
                    </a:ln>
                  </pic:spPr>
                </pic:pic>
              </a:graphicData>
            </a:graphic>
          </wp:anchor>
        </w:drawing>
      </w:r>
      <w:bookmarkEnd w:id="93"/>
      <w:r w:rsidR="00247857">
        <w:t>8</w:t>
      </w:r>
    </w:p>
    <w:p w14:paraId="436A4225" w14:textId="32B60C3A" w:rsidR="00592035" w:rsidRPr="0065414C" w:rsidRDefault="008E2D67" w:rsidP="008E2D67">
      <w:pPr>
        <w:pStyle w:val="Sectionheader"/>
        <w:ind w:right="2651"/>
        <w:sectPr w:rsidR="00592035" w:rsidRPr="0065414C" w:rsidSect="008613E1">
          <w:headerReference w:type="default" r:id="rId76"/>
          <w:pgSz w:w="11910" w:h="16840"/>
          <w:pgMar w:top="3970" w:right="1440" w:bottom="1440" w:left="1440" w:header="0" w:footer="656" w:gutter="0"/>
          <w:cols w:space="720"/>
        </w:sectPr>
      </w:pPr>
      <w:bookmarkStart w:id="94" w:name="_Toc71631330"/>
      <w:r>
        <w:t>Future funding models</w:t>
      </w:r>
      <w:bookmarkEnd w:id="94"/>
    </w:p>
    <w:p w14:paraId="5E786739" w14:textId="0FDA2F19" w:rsidR="00C415F5" w:rsidRPr="0065414C" w:rsidRDefault="007D7009" w:rsidP="005B7291">
      <w:pPr>
        <w:pStyle w:val="Heading1"/>
        <w:ind w:left="1418" w:right="1233" w:hanging="1361"/>
        <w:rPr>
          <w:rFonts w:cs="Arial"/>
        </w:rPr>
      </w:pPr>
      <w:bookmarkStart w:id="95" w:name="_Toc45809630"/>
      <w:bookmarkStart w:id="96" w:name="_Toc49953781"/>
      <w:r w:rsidRPr="0065414C">
        <w:rPr>
          <w:rFonts w:cs="Arial"/>
          <w:noProof/>
          <w:color w:val="FFFFFF" w:themeColor="background1"/>
          <w:lang w:eastAsia="en-AU" w:bidi="ar-SA"/>
        </w:rPr>
        <w:lastRenderedPageBreak/>
        <w:drawing>
          <wp:anchor distT="0" distB="0" distL="114300" distR="114300" simplePos="0" relativeHeight="251649024" behindDoc="1" locked="0" layoutInCell="1" allowOverlap="1" wp14:anchorId="19EABD05" wp14:editId="5D622A87">
            <wp:simplePos x="0" y="0"/>
            <wp:positionH relativeFrom="column">
              <wp:posOffset>-914400</wp:posOffset>
            </wp:positionH>
            <wp:positionV relativeFrom="page">
              <wp:posOffset>667054</wp:posOffset>
            </wp:positionV>
            <wp:extent cx="1685417" cy="946146"/>
            <wp:effectExtent l="0" t="0" r="0" b="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685417" cy="946146"/>
                    </a:xfrm>
                    <a:prstGeom prst="rect">
                      <a:avLst/>
                    </a:prstGeom>
                    <a:noFill/>
                    <a:ln>
                      <a:noFill/>
                    </a:ln>
                  </pic:spPr>
                </pic:pic>
              </a:graphicData>
            </a:graphic>
          </wp:anchor>
        </w:drawing>
      </w:r>
      <w:r w:rsidR="00247857">
        <w:rPr>
          <w:rFonts w:cs="Arial"/>
          <w:color w:val="FFFFFF" w:themeColor="background1"/>
        </w:rPr>
        <w:t>8</w:t>
      </w:r>
      <w:r w:rsidR="005C05C7" w:rsidRPr="0065414C">
        <w:rPr>
          <w:rFonts w:cs="Arial"/>
        </w:rPr>
        <w:tab/>
      </w:r>
      <w:r w:rsidRPr="0065414C">
        <w:rPr>
          <w:rFonts w:cs="Arial"/>
        </w:rPr>
        <w:tab/>
      </w:r>
      <w:bookmarkEnd w:id="95"/>
      <w:bookmarkEnd w:id="96"/>
      <w:r w:rsidR="008E2D67">
        <w:rPr>
          <w:rFonts w:cs="Arial"/>
        </w:rPr>
        <w:t>Future funding models</w:t>
      </w:r>
    </w:p>
    <w:p w14:paraId="4C1CD11E" w14:textId="77777777" w:rsidR="00C415F5" w:rsidRPr="0065414C" w:rsidRDefault="00C415F5" w:rsidP="003932A6">
      <w:pPr>
        <w:pStyle w:val="BodyText"/>
        <w:rPr>
          <w:rFonts w:cs="Arial"/>
        </w:rPr>
      </w:pPr>
    </w:p>
    <w:p w14:paraId="088F5CD2" w14:textId="77777777" w:rsidR="00C415F5" w:rsidRPr="0065414C" w:rsidRDefault="00C415F5">
      <w:pPr>
        <w:rPr>
          <w:rFonts w:cs="Arial"/>
          <w:sz w:val="29"/>
        </w:rPr>
        <w:sectPr w:rsidR="00C415F5" w:rsidRPr="0065414C" w:rsidSect="00483549">
          <w:headerReference w:type="default" r:id="rId77"/>
          <w:pgSz w:w="11910" w:h="16840"/>
          <w:pgMar w:top="1440" w:right="1440" w:bottom="1440" w:left="1440" w:header="0" w:footer="656" w:gutter="0"/>
          <w:cols w:space="720"/>
        </w:sectPr>
      </w:pPr>
    </w:p>
    <w:p w14:paraId="7A9670D7" w14:textId="610142E9" w:rsidR="008E2D67" w:rsidRPr="0065414C" w:rsidRDefault="00247857" w:rsidP="008E2D67">
      <w:pPr>
        <w:pStyle w:val="Heading2"/>
        <w:spacing w:before="0"/>
        <w:rPr>
          <w:rFonts w:cs="Arial"/>
        </w:rPr>
      </w:pPr>
      <w:bookmarkStart w:id="97" w:name="_Toc71631331"/>
      <w:r>
        <w:rPr>
          <w:rFonts w:cs="Arial"/>
        </w:rPr>
        <w:t>8</w:t>
      </w:r>
      <w:r w:rsidR="008E2D67" w:rsidRPr="0065414C">
        <w:rPr>
          <w:rFonts w:cs="Arial"/>
        </w:rPr>
        <w:t>.1. Overview</w:t>
      </w:r>
      <w:bookmarkEnd w:id="97"/>
    </w:p>
    <w:p w14:paraId="1C4E4C40" w14:textId="5082A1A7" w:rsidR="006669C5" w:rsidRDefault="006669C5" w:rsidP="006669C5">
      <w:pPr>
        <w:pStyle w:val="BodyText"/>
      </w:pPr>
      <w:r>
        <w:t>Activity based funding (ABF) has been an effective funding mechanism since it was introduced to Australian public hospitals in 2012. By setting a national efficient price (NEP) for each ABF hospital service, it has contributed to creating a more equitable and transparent system of hospital funding across Australia and enabled a stable and sustainable rate of growth in public hospital costs.</w:t>
      </w:r>
    </w:p>
    <w:p w14:paraId="02D00467" w14:textId="10CE6BF4" w:rsidR="006669C5" w:rsidRDefault="006669C5" w:rsidP="006669C5">
      <w:pPr>
        <w:pStyle w:val="BodyText"/>
      </w:pPr>
      <w:r>
        <w:t>ABF will continue to be the best pricing and funding mechanism for many hospital services, however, the existing ABF system could benefit from the incorporation of alternate funding models that have the potential to create better incentives for improved continuity of care, use of evidence</w:t>
      </w:r>
      <w:r w:rsidR="00EE6EE0">
        <w:noBreakHyphen/>
      </w:r>
      <w:r>
        <w:t>based care pathways and substitution of the most effective service response. This is consistent with the move towards value</w:t>
      </w:r>
      <w:r w:rsidR="00EE6EE0">
        <w:noBreakHyphen/>
      </w:r>
      <w:r>
        <w:t>based care and a focus on outcomes over volume of services.</w:t>
      </w:r>
    </w:p>
    <w:p w14:paraId="01458C09" w14:textId="77777777" w:rsidR="006669C5" w:rsidRDefault="006669C5" w:rsidP="006669C5">
      <w:pPr>
        <w:pStyle w:val="BodyText"/>
      </w:pPr>
      <w:r>
        <w:t>The Addendum to the National Health Reform Agreement 2020–25 (the Addendum) provides opportunities for states and territories to trial new funding approaches and outlines the Independent Hospital Pricing Authority’s (IHPA) role in supporting these reforms.</w:t>
      </w:r>
    </w:p>
    <w:p w14:paraId="5749A604" w14:textId="08032115" w:rsidR="008E2D67" w:rsidRDefault="006669C5" w:rsidP="006669C5">
      <w:pPr>
        <w:pStyle w:val="BodyText"/>
        <w:rPr>
          <w:rFonts w:cs="Arial"/>
        </w:rPr>
      </w:pPr>
      <w:r>
        <w:t xml:space="preserve">Under the Addendum, IHPA is required to develop a methodology to support the trialling of innovative models of care and provide </w:t>
      </w:r>
      <w:r w:rsidR="001A50DC">
        <w:t xml:space="preserve">advice to </w:t>
      </w:r>
      <w:r>
        <w:t>the Health Ministers’ Meetings (HMM) on continuing proposed trials for a further period or translation into a permanent model of care</w:t>
      </w:r>
      <w:r w:rsidR="000E5E14">
        <w:rPr>
          <w:rFonts w:cs="Arial"/>
        </w:rPr>
        <w:t>.</w:t>
      </w:r>
    </w:p>
    <w:p w14:paraId="3F72DA2B" w14:textId="378CC1D4" w:rsidR="008E2D67" w:rsidRPr="0065414C" w:rsidRDefault="00247857" w:rsidP="008E2D67">
      <w:pPr>
        <w:pStyle w:val="Heading2"/>
        <w:rPr>
          <w:rFonts w:cs="Arial"/>
        </w:rPr>
      </w:pPr>
      <w:bookmarkStart w:id="98" w:name="_Toc71631332"/>
      <w:r>
        <w:rPr>
          <w:rFonts w:cs="Arial"/>
        </w:rPr>
        <w:t>8</w:t>
      </w:r>
      <w:r w:rsidR="008E2D67" w:rsidRPr="0065414C">
        <w:rPr>
          <w:rFonts w:cs="Arial"/>
        </w:rPr>
        <w:t>.</w:t>
      </w:r>
      <w:r w:rsidR="00040BED">
        <w:rPr>
          <w:rFonts w:cs="Arial"/>
        </w:rPr>
        <w:t>2</w:t>
      </w:r>
      <w:r w:rsidR="008E2D67" w:rsidRPr="0065414C">
        <w:rPr>
          <w:rFonts w:cs="Arial"/>
        </w:rPr>
        <w:t xml:space="preserve">. </w:t>
      </w:r>
      <w:r w:rsidR="008E2D67">
        <w:rPr>
          <w:rFonts w:cs="Arial"/>
        </w:rPr>
        <w:t>Investigation of alternate funding models</w:t>
      </w:r>
      <w:bookmarkEnd w:id="98"/>
    </w:p>
    <w:p w14:paraId="791540FD" w14:textId="73BF88FD" w:rsidR="006669C5" w:rsidRDefault="006669C5" w:rsidP="006669C5">
      <w:pPr>
        <w:pStyle w:val="BodyText"/>
      </w:pPr>
      <w:r>
        <w:t xml:space="preserve">While ABF works well for funding predictable </w:t>
      </w:r>
      <w:r w:rsidR="00E100A9">
        <w:t>one</w:t>
      </w:r>
      <w:r w:rsidR="00EE6EE0">
        <w:noBreakHyphen/>
      </w:r>
      <w:r w:rsidR="00E100A9">
        <w:t>off</w:t>
      </w:r>
      <w:r>
        <w:t xml:space="preserve"> episodes of care, it may not incentivise the provision of health services that are delivered across multiple settings of care or the delivery of more services in the community. </w:t>
      </w:r>
    </w:p>
    <w:p w14:paraId="1A318E9E" w14:textId="548CC6B5" w:rsidR="00043F90" w:rsidRDefault="006669C5" w:rsidP="006669C5">
      <w:pPr>
        <w:pStyle w:val="BodyText"/>
        <w:rPr>
          <w:rFonts w:cs="Arial"/>
        </w:rPr>
      </w:pPr>
      <w:r>
        <w:t>For patients with conditions that lead to frequent use of hospitals (and other services) over an extended time period, capitation payments may work better</w:t>
      </w:r>
      <w:r w:rsidR="00D065FE">
        <w:t xml:space="preserve"> </w:t>
      </w:r>
      <w:r w:rsidR="001B10C5">
        <w:t>than</w:t>
      </w:r>
      <w:r>
        <w:t xml:space="preserve"> current ABF arrangements</w:t>
      </w:r>
      <w:r w:rsidR="001B10C5">
        <w:t>. That is, ABF</w:t>
      </w:r>
      <w:r>
        <w:t xml:space="preserve"> may</w:t>
      </w:r>
      <w:r w:rsidR="00D065FE">
        <w:t xml:space="preserve"> incentivise admitting </w:t>
      </w:r>
      <w:r>
        <w:t xml:space="preserve">patients to a </w:t>
      </w:r>
      <w:r>
        <w:t>hospital</w:t>
      </w:r>
      <w:r w:rsidR="001B10C5">
        <w:t xml:space="preserve"> rather than aim</w:t>
      </w:r>
      <w:r>
        <w:t xml:space="preserve"> to prevent hospitalisation. Preventing hospitalisations often requires alternative treatments and services which can lead to better health outcomes, reduced costs and an improved patient experience</w:t>
      </w:r>
      <w:r w:rsidR="00043F90" w:rsidRPr="00043F90">
        <w:rPr>
          <w:rFonts w:cs="Arial"/>
        </w:rPr>
        <w:t>.</w:t>
      </w:r>
    </w:p>
    <w:p w14:paraId="10E90377" w14:textId="77777777" w:rsidR="008E2D67" w:rsidRDefault="008E2D67" w:rsidP="008E2D67">
      <w:pPr>
        <w:pStyle w:val="BodyText"/>
        <w:rPr>
          <w:rFonts w:cs="Arial"/>
        </w:rPr>
      </w:pPr>
      <w:r w:rsidRPr="0065414C">
        <w:rPr>
          <w:rFonts w:cs="Arial"/>
          <w:noProof/>
          <w:lang w:eastAsia="en-AU" w:bidi="ar-SA"/>
        </w:rPr>
        <mc:AlternateContent>
          <mc:Choice Requires="wps">
            <w:drawing>
              <wp:inline distT="0" distB="0" distL="0" distR="0" wp14:anchorId="4502B96D" wp14:editId="29785324">
                <wp:extent cx="2743200" cy="2831911"/>
                <wp:effectExtent l="0" t="0" r="19050" b="26035"/>
                <wp:docPr id="81" name="Text Box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831911"/>
                        </a:xfrm>
                        <a:prstGeom prst="rect">
                          <a:avLst/>
                        </a:prstGeom>
                        <a:noFill/>
                        <a:ln w="9525">
                          <a:solidFill>
                            <a:schemeClr val="tx2"/>
                          </a:solidFill>
                          <a:miter lim="800000"/>
                          <a:headEnd/>
                          <a:tailEnd/>
                        </a:ln>
                        <a:extLst>
                          <a:ext uri="{909E8E84-426E-40DD-AFC4-6F175D3DCCD1}">
                            <a14:hiddenFill xmlns:a14="http://schemas.microsoft.com/office/drawing/2010/main">
                              <a:solidFill>
                                <a:srgbClr val="FFFFFF"/>
                              </a:solidFill>
                            </a14:hiddenFill>
                          </a:ext>
                        </a:extLst>
                      </wps:spPr>
                      <wps:txbx>
                        <w:txbxContent>
                          <w:p w14:paraId="628ED03A" w14:textId="77777777" w:rsidR="00FE6544" w:rsidRDefault="00FE6544" w:rsidP="008E2D67">
                            <w:pPr>
                              <w:pStyle w:val="BodyText"/>
                              <w:ind w:left="142"/>
                            </w:pPr>
                            <w:r w:rsidRPr="00D638E9">
                              <w:rPr>
                                <w:b/>
                              </w:rPr>
                              <w:t>Bundled payments:</w:t>
                            </w:r>
                            <w:r w:rsidRPr="00D638E9">
                              <w:t xml:space="preserve"> Bundled payments are made to health providers for a clinically defined episode or bundle of related health care services. Bundled payments may be appropriate for clear, well-defined care pathways spanning multiple care settings or over longer periods (for example, stroke or hip or knee replacement).</w:t>
                            </w:r>
                          </w:p>
                          <w:p w14:paraId="1BD73343" w14:textId="77777777" w:rsidR="00FE6544" w:rsidRPr="00941602" w:rsidRDefault="00FE6544" w:rsidP="008E2D67">
                            <w:pPr>
                              <w:pStyle w:val="BodyText"/>
                              <w:ind w:left="142"/>
                            </w:pPr>
                            <w:r w:rsidRPr="00D638E9">
                              <w:rPr>
                                <w:b/>
                              </w:rPr>
                              <w:t>Capitation payments:</w:t>
                            </w:r>
                            <w:r>
                              <w:t xml:space="preserve"> </w:t>
                            </w:r>
                            <w:r w:rsidRPr="00D638E9">
                              <w:t>Capitation payments are made to health providers or fund holders for the care of a patient over a defined period of time, where the provider is accountable for services consumed by the patient during that period. Capitation models work well for chronic conditions where the care pathway is not well defined and may extend over many years (for example, chronic kidney disease).</w:t>
                            </w:r>
                          </w:p>
                        </w:txbxContent>
                      </wps:txbx>
                      <wps:bodyPr rot="0" vert="horz" wrap="square" lIns="0" tIns="0" rIns="0" bIns="0" anchor="t" anchorCtr="0" upright="1">
                        <a:noAutofit/>
                      </wps:bodyPr>
                    </wps:wsp>
                  </a:graphicData>
                </a:graphic>
              </wp:inline>
            </w:drawing>
          </mc:Choice>
          <mc:Fallback xmlns:w16sdtdh="http://schemas.microsoft.com/office/word/2020/wordml/sdtdatahash" xmlns:oel="http://schemas.microsoft.com/office/2019/extlst">
            <w:pict>
              <v:shape w14:anchorId="4502B96D" id="_x0000_s1036" type="#_x0000_t202" alt="&quot;&quot;" style="width:3in;height:2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" filled="f" strokecolor="#003e2d [3215]">
                <v:textbox inset="0,0,0,0">
                  <w:txbxContent>
                    <w:p w14:paraId="628ED03A" w14:textId="77777777" w:rsidR="00FE6544" w:rsidRDefault="00FE6544" w:rsidP="008E2D67">
                      <w:pPr>
                        <w:pStyle w:val="BodyText"/>
                        <w:ind w:left="142"/>
                      </w:pPr>
                      <w:r w:rsidRPr="00D638E9">
                        <w:rPr>
                          <w:b/>
                        </w:rPr>
                        <w:t>Bundled payments:</w:t>
                      </w:r>
                      <w:r w:rsidRPr="00D638E9">
                        <w:t xml:space="preserve"> Bundled payments are made to health providers for a clinically defined episode or bundle of related health care services. Bundled payments may be appropriate for clear, well-defined care pathways spanning multiple care settings or over longer periods (for example, stroke or hip or knee replacement).</w:t>
                      </w:r>
                    </w:p>
                    <w:p w14:paraId="1BD73343" w14:textId="77777777" w:rsidR="00FE6544" w:rsidRPr="00941602" w:rsidRDefault="00FE6544" w:rsidP="008E2D67">
                      <w:pPr>
                        <w:pStyle w:val="BodyText"/>
                        <w:ind w:left="142"/>
                      </w:pPr>
                      <w:r w:rsidRPr="00D638E9">
                        <w:rPr>
                          <w:b/>
                        </w:rPr>
                        <w:t>Capitation payments:</w:t>
                      </w:r>
                      <w:r>
                        <w:t xml:space="preserve"> </w:t>
                      </w:r>
                      <w:r w:rsidRPr="00D638E9">
                        <w:t>Capitation payments are made to health providers or fund holders for the care of a patient over a defined period of time, where the provider is accountable for services consumed by the patient during that period. Capitation models work well for chronic conditions where the care pathway is not well defined and may extend over many years (for example, chronic kidney disease).</w:t>
                      </w:r>
                    </w:p>
                  </w:txbxContent>
                </v:textbox>
                <w10:anchorlock/>
              </v:shape>
            </w:pict>
          </mc:Fallback>
        </mc:AlternateContent>
      </w:r>
    </w:p>
    <w:p w14:paraId="48D481DA" w14:textId="050282A7" w:rsidR="00D065FE" w:rsidRPr="006669C5" w:rsidRDefault="00D065FE" w:rsidP="00D065FE">
      <w:pPr>
        <w:pStyle w:val="BodyText"/>
        <w:rPr>
          <w:rFonts w:cs="Arial"/>
        </w:rPr>
      </w:pPr>
      <w:r w:rsidRPr="006669C5">
        <w:rPr>
          <w:rFonts w:cs="Arial"/>
        </w:rPr>
        <w:t xml:space="preserve">Bundling and capitation payment models provide better incentives for the management of patients with chronic </w:t>
      </w:r>
      <w:r w:rsidR="00B00DAF">
        <w:rPr>
          <w:rFonts w:cs="Arial"/>
        </w:rPr>
        <w:t xml:space="preserve">health </w:t>
      </w:r>
      <w:r w:rsidRPr="006669C5">
        <w:rPr>
          <w:rFonts w:cs="Arial"/>
        </w:rPr>
        <w:t xml:space="preserve">conditions beyond the hospital setting, thereby reducing preventable hospital admissions for </w:t>
      </w:r>
      <w:r w:rsidR="001A50DC">
        <w:rPr>
          <w:rFonts w:cs="Arial"/>
        </w:rPr>
        <w:t>those</w:t>
      </w:r>
      <w:r w:rsidR="001A50DC" w:rsidRPr="006669C5">
        <w:rPr>
          <w:rFonts w:cs="Arial"/>
        </w:rPr>
        <w:t xml:space="preserve"> </w:t>
      </w:r>
      <w:r w:rsidRPr="006669C5">
        <w:rPr>
          <w:rFonts w:cs="Arial"/>
        </w:rPr>
        <w:t xml:space="preserve">chronic </w:t>
      </w:r>
      <w:r w:rsidR="001A50DC">
        <w:rPr>
          <w:rFonts w:cs="Arial"/>
        </w:rPr>
        <w:t>condition</w:t>
      </w:r>
      <w:r w:rsidR="001A50DC" w:rsidRPr="006669C5">
        <w:rPr>
          <w:rFonts w:cs="Arial"/>
        </w:rPr>
        <w:t xml:space="preserve"> </w:t>
      </w:r>
      <w:r w:rsidRPr="006669C5">
        <w:rPr>
          <w:rFonts w:cs="Arial"/>
        </w:rPr>
        <w:t xml:space="preserve">groups. </w:t>
      </w:r>
    </w:p>
    <w:p w14:paraId="2680B916" w14:textId="60CECBD1" w:rsidR="006669C5" w:rsidRPr="006669C5" w:rsidRDefault="006669C5" w:rsidP="006669C5">
      <w:pPr>
        <w:pStyle w:val="BodyText"/>
        <w:rPr>
          <w:rFonts w:cs="Arial"/>
        </w:rPr>
      </w:pPr>
      <w:r w:rsidRPr="006669C5">
        <w:rPr>
          <w:rFonts w:cs="Arial"/>
        </w:rPr>
        <w:t xml:space="preserve">Guided by review of national and international literature and advice from clinical experts, IHPA developed a methodology </w:t>
      </w:r>
      <w:r w:rsidR="0002059D">
        <w:rPr>
          <w:rFonts w:cs="Arial"/>
        </w:rPr>
        <w:t xml:space="preserve">which identified different </w:t>
      </w:r>
      <w:r w:rsidRPr="006669C5">
        <w:rPr>
          <w:rFonts w:cs="Arial"/>
        </w:rPr>
        <w:t xml:space="preserve">patient cohorts that may be amenable to ABF, bundling or capitation payments. IHPA </w:t>
      </w:r>
      <w:r w:rsidR="0002059D">
        <w:rPr>
          <w:rFonts w:cs="Arial"/>
        </w:rPr>
        <w:t xml:space="preserve">provided these findings </w:t>
      </w:r>
      <w:r w:rsidRPr="006669C5">
        <w:rPr>
          <w:rFonts w:cs="Arial"/>
        </w:rPr>
        <w:t xml:space="preserve">as part of the joint advice </w:t>
      </w:r>
      <w:r w:rsidR="006F48C5">
        <w:rPr>
          <w:rFonts w:cs="Arial"/>
        </w:rPr>
        <w:t xml:space="preserve">on behalf of IHPA, the </w:t>
      </w:r>
      <w:r w:rsidR="007C4DDD">
        <w:rPr>
          <w:rFonts w:cs="Arial"/>
        </w:rPr>
        <w:t xml:space="preserve">Australian </w:t>
      </w:r>
      <w:r w:rsidR="006F48C5">
        <w:rPr>
          <w:rFonts w:cs="Arial"/>
        </w:rPr>
        <w:t>Commission</w:t>
      </w:r>
      <w:r w:rsidR="007C4DDD">
        <w:rPr>
          <w:rFonts w:cs="Arial"/>
        </w:rPr>
        <w:t xml:space="preserve"> on Safety and Quality in Health Care</w:t>
      </w:r>
      <w:r w:rsidR="006F48C5">
        <w:rPr>
          <w:rFonts w:cs="Arial"/>
        </w:rPr>
        <w:t xml:space="preserve"> and the Administrator of the National Health Funding Pool</w:t>
      </w:r>
      <w:r w:rsidRPr="006669C5">
        <w:rPr>
          <w:rFonts w:cs="Arial"/>
        </w:rPr>
        <w:t xml:space="preserve"> to HMM for consideration in October 2021.</w:t>
      </w:r>
    </w:p>
    <w:p w14:paraId="2919836B" w14:textId="18CE7BE3" w:rsidR="008E2D67" w:rsidRDefault="006669C5" w:rsidP="006669C5">
      <w:pPr>
        <w:pStyle w:val="BodyText"/>
        <w:rPr>
          <w:rFonts w:cs="Arial"/>
        </w:rPr>
      </w:pPr>
      <w:r w:rsidRPr="006669C5">
        <w:rPr>
          <w:rFonts w:cs="Arial"/>
        </w:rPr>
        <w:t xml:space="preserve">IHPA will continue to work with stakeholders and jurisdictions to </w:t>
      </w:r>
      <w:r w:rsidR="001A50DC">
        <w:rPr>
          <w:rFonts w:cs="Arial"/>
        </w:rPr>
        <w:t xml:space="preserve">investigate options for </w:t>
      </w:r>
      <w:r w:rsidRPr="006669C5">
        <w:rPr>
          <w:rFonts w:cs="Arial"/>
        </w:rPr>
        <w:t>further develop</w:t>
      </w:r>
      <w:r w:rsidR="001A50DC">
        <w:rPr>
          <w:rFonts w:cs="Arial"/>
        </w:rPr>
        <w:t>ing</w:t>
      </w:r>
      <w:r w:rsidRPr="006669C5">
        <w:rPr>
          <w:rFonts w:cs="Arial"/>
        </w:rPr>
        <w:t xml:space="preserve"> and implement</w:t>
      </w:r>
      <w:r w:rsidR="001A50DC">
        <w:rPr>
          <w:rFonts w:cs="Arial"/>
        </w:rPr>
        <w:t>ing</w:t>
      </w:r>
      <w:r w:rsidRPr="006669C5">
        <w:rPr>
          <w:rFonts w:cs="Arial"/>
        </w:rPr>
        <w:t xml:space="preserve"> alternate funding models</w:t>
      </w:r>
      <w:r w:rsidR="000E5E14" w:rsidRPr="00D638E9">
        <w:rPr>
          <w:rFonts w:cs="Arial"/>
        </w:rPr>
        <w:t>.</w:t>
      </w:r>
    </w:p>
    <w:p w14:paraId="1098C0D2" w14:textId="26B11DBF" w:rsidR="00684C90" w:rsidRPr="0065414C" w:rsidRDefault="00247857" w:rsidP="009F21ED">
      <w:pPr>
        <w:pStyle w:val="Heading2"/>
        <w:rPr>
          <w:rFonts w:cs="Arial"/>
        </w:rPr>
      </w:pPr>
      <w:bookmarkStart w:id="99" w:name="_Toc71631333"/>
      <w:r>
        <w:rPr>
          <w:rFonts w:cs="Arial"/>
        </w:rPr>
        <w:t>8</w:t>
      </w:r>
      <w:r w:rsidR="000E5E14" w:rsidRPr="0065414C">
        <w:rPr>
          <w:rFonts w:cs="Arial"/>
        </w:rPr>
        <w:t>.</w:t>
      </w:r>
      <w:r w:rsidR="00793635">
        <w:rPr>
          <w:rFonts w:cs="Arial"/>
        </w:rPr>
        <w:t>3</w:t>
      </w:r>
      <w:r w:rsidR="000E5E14" w:rsidRPr="0065414C">
        <w:rPr>
          <w:rFonts w:cs="Arial"/>
        </w:rPr>
        <w:t>.</w:t>
      </w:r>
      <w:bookmarkEnd w:id="99"/>
      <w:r w:rsidR="00684C90">
        <w:rPr>
          <w:rFonts w:cs="Arial"/>
        </w:rPr>
        <w:t xml:space="preserve"> Trialling innovative models of care</w:t>
      </w:r>
    </w:p>
    <w:p w14:paraId="3D38D82B" w14:textId="77777777" w:rsidR="009F21ED" w:rsidRPr="009F21ED" w:rsidRDefault="009F21ED" w:rsidP="009F21ED">
      <w:pPr>
        <w:pStyle w:val="BodyText"/>
        <w:rPr>
          <w:rFonts w:cs="Arial"/>
        </w:rPr>
      </w:pPr>
      <w:r w:rsidRPr="009F21ED">
        <w:rPr>
          <w:rFonts w:cs="Arial"/>
        </w:rPr>
        <w:t xml:space="preserve">As provided by the Addendum, IHPA is to </w:t>
      </w:r>
      <w:r w:rsidRPr="009F21ED">
        <w:rPr>
          <w:rFonts w:cs="Arial"/>
        </w:rPr>
        <w:lastRenderedPageBreak/>
        <w:t>facilitate exploration and trial of new and innovative approaches to public hospital funding. Clause A99 of the Addendum stipulates that states and territories can seek to trial innovative models of care, either:</w:t>
      </w:r>
    </w:p>
    <w:p w14:paraId="48C9B35A" w14:textId="65C442D5" w:rsidR="009F21ED" w:rsidRPr="009F21ED" w:rsidRDefault="009F21ED" w:rsidP="00295921">
      <w:pPr>
        <w:pStyle w:val="ListParagraph"/>
        <w:numPr>
          <w:ilvl w:val="0"/>
          <w:numId w:val="67"/>
        </w:numPr>
      </w:pPr>
      <w:r w:rsidRPr="009F21ED">
        <w:t>as an ABF service with shadow pricing, reporting, and appropriate interim block funding arrangements for the trial period; or</w:t>
      </w:r>
    </w:p>
    <w:p w14:paraId="7CF25357" w14:textId="54FB8BC4" w:rsidR="009F21ED" w:rsidRPr="009F21ED" w:rsidRDefault="009F21ED" w:rsidP="00295921">
      <w:pPr>
        <w:pStyle w:val="ListParagraph"/>
        <w:numPr>
          <w:ilvl w:val="0"/>
          <w:numId w:val="67"/>
        </w:numPr>
      </w:pPr>
      <w:r w:rsidRPr="009F21ED">
        <w:t>as a block funded service, with reporting against the national model and program outcomes for the innovative funding model.</w:t>
      </w:r>
    </w:p>
    <w:p w14:paraId="77743407" w14:textId="2874969D" w:rsidR="009F21ED" w:rsidRPr="009F21ED" w:rsidRDefault="009F21ED" w:rsidP="009F21ED">
      <w:pPr>
        <w:pStyle w:val="BodyText"/>
        <w:rPr>
          <w:rFonts w:cs="Arial"/>
        </w:rPr>
      </w:pPr>
      <w:r w:rsidRPr="009F21ED">
        <w:rPr>
          <w:rFonts w:cs="Arial"/>
        </w:rPr>
        <w:t xml:space="preserve">Consistent with feedback received from states and territories to the </w:t>
      </w:r>
      <w:hyperlink r:id="rId78" w:history="1">
        <w:r w:rsidR="005D3B23" w:rsidRPr="00795054">
          <w:rPr>
            <w:rStyle w:val="Hyperlink"/>
            <w:i/>
          </w:rPr>
          <w:t xml:space="preserve">Consultation Paper on </w:t>
        </w:r>
        <w:r w:rsidRPr="005D3B23">
          <w:rPr>
            <w:rStyle w:val="Hyperlink"/>
            <w:i/>
          </w:rPr>
          <w:t>Pricing Framework for Australian Public Hospital Services 2022–23</w:t>
        </w:r>
      </w:hyperlink>
      <w:r w:rsidRPr="009F21ED">
        <w:rPr>
          <w:rFonts w:cs="Arial"/>
        </w:rPr>
        <w:t>, IHPA notes the preference for states and territories to nominate their own models of care or services for consideration under the innovative funding model clauses of the Addendum, rather than specific models of care or services determined by IHPA.</w:t>
      </w:r>
    </w:p>
    <w:p w14:paraId="3FFCE176" w14:textId="77777777" w:rsidR="009F21ED" w:rsidRPr="009F21ED" w:rsidRDefault="009F21ED" w:rsidP="009F21ED">
      <w:pPr>
        <w:pStyle w:val="BodyText"/>
        <w:rPr>
          <w:rFonts w:cs="Arial"/>
        </w:rPr>
      </w:pPr>
      <w:r w:rsidRPr="009F21ED">
        <w:rPr>
          <w:rFonts w:cs="Arial"/>
        </w:rPr>
        <w:t>States and territories have expressed interest in innovative funding models such as chronic care capitation models, bundled payment cohorts, the use of telehealth in patient settings such as emergency departments, specialist access programs and mental health responder programs.</w:t>
      </w:r>
    </w:p>
    <w:p w14:paraId="431B2C60" w14:textId="0A6A88C2" w:rsidR="000E5E14" w:rsidRDefault="009F21ED" w:rsidP="009F21ED">
      <w:pPr>
        <w:pStyle w:val="BodyText"/>
        <w:rPr>
          <w:rFonts w:cs="Arial"/>
        </w:rPr>
      </w:pPr>
      <w:r w:rsidRPr="009F21ED">
        <w:rPr>
          <w:rFonts w:cs="Arial"/>
        </w:rPr>
        <w:t xml:space="preserve">To assist the states and territories, IHPA has developed draft business rules for a capitation model for chronic kidney disease, </w:t>
      </w:r>
      <w:r w:rsidR="00AB24AE">
        <w:rPr>
          <w:rFonts w:cs="Arial"/>
        </w:rPr>
        <w:t>S</w:t>
      </w:r>
      <w:r w:rsidRPr="009F21ED">
        <w:rPr>
          <w:rFonts w:cs="Arial"/>
        </w:rPr>
        <w:t xml:space="preserve">tage 3 to 5, in consultation with its advisory committees. The draft business rules aim to demonstrate a specific chronic </w:t>
      </w:r>
      <w:r w:rsidR="00B00DAF">
        <w:rPr>
          <w:rFonts w:cs="Arial"/>
        </w:rPr>
        <w:t>care</w:t>
      </w:r>
      <w:r w:rsidR="00B00DAF" w:rsidRPr="009F21ED">
        <w:rPr>
          <w:rFonts w:cs="Arial"/>
        </w:rPr>
        <w:t xml:space="preserve"> </w:t>
      </w:r>
      <w:r w:rsidRPr="009F21ED">
        <w:rPr>
          <w:rFonts w:cs="Arial"/>
        </w:rPr>
        <w:t>capitation model and provide guidance to states and territories on the types of innovative funding models being considered by IHPA, and potential project requirements and trial parameters</w:t>
      </w:r>
      <w:r w:rsidR="000E6ED1">
        <w:rPr>
          <w:rFonts w:cs="Arial"/>
        </w:rPr>
        <w:t>.</w:t>
      </w:r>
    </w:p>
    <w:p w14:paraId="1B0D9A29" w14:textId="77777777" w:rsidR="00C33636" w:rsidRDefault="00CC5178" w:rsidP="00CC5178">
      <w:pPr>
        <w:pStyle w:val="BodyText"/>
        <w:rPr>
          <w:rFonts w:cs="Arial"/>
        </w:rPr>
      </w:pPr>
      <w:r w:rsidRPr="00CC5178">
        <w:rPr>
          <w:rFonts w:cs="Arial"/>
        </w:rPr>
        <w:t xml:space="preserve">IHPA is also investigating innovative models of care and services related to virtual care with an initial focus on telehealth video consultations delivered by emergency departments. </w:t>
      </w:r>
    </w:p>
    <w:p w14:paraId="18DAA85E" w14:textId="77ACEF41" w:rsidR="004F65CB" w:rsidRDefault="00C501CB" w:rsidP="00CC5178">
      <w:pPr>
        <w:pStyle w:val="BodyText"/>
        <w:rPr>
          <w:rFonts w:cs="Arial"/>
        </w:rPr>
      </w:pPr>
      <w:r>
        <w:rPr>
          <w:rFonts w:cs="Arial"/>
        </w:rPr>
        <w:t>Telehealth video consultations in emergency departments provide an equivalent to face-to-face consultation</w:t>
      </w:r>
      <w:r w:rsidR="004B320E">
        <w:rPr>
          <w:rFonts w:cs="Arial"/>
        </w:rPr>
        <w:t>, in the presence of a clinician,</w:t>
      </w:r>
      <w:r>
        <w:rPr>
          <w:rFonts w:cs="Arial"/>
        </w:rPr>
        <w:t xml:space="preserve"> where it is not possible for the patient to be physically present at the emergency department</w:t>
      </w:r>
      <w:r w:rsidR="004F65CB">
        <w:rPr>
          <w:rFonts w:cs="Arial"/>
        </w:rPr>
        <w:t xml:space="preserve">. For example, the patient may be in </w:t>
      </w:r>
      <w:r w:rsidR="006C6A72">
        <w:rPr>
          <w:rFonts w:cs="Arial"/>
        </w:rPr>
        <w:t>a residential aged care facility or a regional</w:t>
      </w:r>
      <w:r w:rsidR="004B52DE">
        <w:rPr>
          <w:rFonts w:cs="Arial"/>
        </w:rPr>
        <w:t xml:space="preserve"> </w:t>
      </w:r>
      <w:r w:rsidR="004F65CB">
        <w:rPr>
          <w:rFonts w:cs="Arial"/>
        </w:rPr>
        <w:t xml:space="preserve">urgent care centre. </w:t>
      </w:r>
    </w:p>
    <w:p w14:paraId="4BCA0517" w14:textId="18C43458" w:rsidR="00CC5178" w:rsidRPr="004F65CB" w:rsidRDefault="00753C69" w:rsidP="004F65CB">
      <w:pPr>
        <w:pStyle w:val="BodyText"/>
      </w:pPr>
      <w:r w:rsidRPr="004F65CB">
        <w:t>This model of care reduces unnecessary transfers to emergency departments</w:t>
      </w:r>
      <w:r>
        <w:t xml:space="preserve">, </w:t>
      </w:r>
      <w:r w:rsidRPr="004F65CB">
        <w:t>enab</w:t>
      </w:r>
      <w:r>
        <w:t>les</w:t>
      </w:r>
      <w:r w:rsidRPr="004F65CB">
        <w:t xml:space="preserve"> </w:t>
      </w:r>
      <w:r w:rsidR="004F65CB" w:rsidRPr="004F65CB">
        <w:t>patients to be managed closer to home or in the home</w:t>
      </w:r>
      <w:r w:rsidR="004C2E30">
        <w:t xml:space="preserve"> </w:t>
      </w:r>
      <w:r w:rsidR="004F65CB" w:rsidRPr="004F65CB">
        <w:t xml:space="preserve">and </w:t>
      </w:r>
      <w:r w:rsidR="004F65CB">
        <w:t>supports</w:t>
      </w:r>
      <w:r w:rsidR="004F65CB" w:rsidRPr="004F65CB">
        <w:t xml:space="preserve"> rural patients where an </w:t>
      </w:r>
      <w:r w:rsidR="004F65CB">
        <w:t>emergency department</w:t>
      </w:r>
      <w:r w:rsidR="004F65CB" w:rsidRPr="004F65CB">
        <w:t xml:space="preserve"> is not close by</w:t>
      </w:r>
      <w:r w:rsidR="004F65CB">
        <w:t xml:space="preserve">. It also </w:t>
      </w:r>
      <w:r w:rsidR="004F65CB" w:rsidRPr="004F65CB">
        <w:t>supports clinicians at urgent care centres where access to a doctor is not always readily available.</w:t>
      </w:r>
    </w:p>
    <w:p w14:paraId="2032267D" w14:textId="7F5618E9" w:rsidR="00CC5178" w:rsidRPr="00CC5178" w:rsidRDefault="00CC5178" w:rsidP="00CC5178">
      <w:pPr>
        <w:pStyle w:val="BodyText"/>
        <w:rPr>
          <w:rFonts w:cs="Arial"/>
        </w:rPr>
      </w:pPr>
      <w:r w:rsidRPr="00CC5178">
        <w:rPr>
          <w:rFonts w:cs="Arial"/>
        </w:rPr>
        <w:t>The Pricing Authority approved the inclusion of telehealth video consultations delivered by emergency departments on the General List of In</w:t>
      </w:r>
      <w:r w:rsidR="007E10AD">
        <w:rPr>
          <w:rFonts w:cs="Arial"/>
        </w:rPr>
        <w:noBreakHyphen/>
      </w:r>
      <w:r w:rsidRPr="00CC5178">
        <w:rPr>
          <w:rFonts w:cs="Arial"/>
        </w:rPr>
        <w:t xml:space="preserve">Scope Public Hospital Services 2022–23. At present, telehealth activity is not collected in the </w:t>
      </w:r>
      <w:r w:rsidR="007C4DDD" w:rsidRPr="00CC5178">
        <w:rPr>
          <w:rFonts w:cs="Arial"/>
        </w:rPr>
        <w:t>Non-</w:t>
      </w:r>
      <w:r w:rsidR="001A50DC">
        <w:rPr>
          <w:rFonts w:cs="Arial"/>
        </w:rPr>
        <w:t>a</w:t>
      </w:r>
      <w:r w:rsidR="007C4DDD" w:rsidRPr="00CC5178">
        <w:rPr>
          <w:rFonts w:cs="Arial"/>
        </w:rPr>
        <w:t>dmitted</w:t>
      </w:r>
      <w:r w:rsidRPr="00CC5178">
        <w:rPr>
          <w:rFonts w:cs="Arial"/>
        </w:rPr>
        <w:t xml:space="preserve"> </w:t>
      </w:r>
      <w:r w:rsidR="001A50DC">
        <w:rPr>
          <w:rFonts w:cs="Arial"/>
        </w:rPr>
        <w:t>p</w:t>
      </w:r>
      <w:r w:rsidRPr="00CC5178">
        <w:rPr>
          <w:rFonts w:cs="Arial"/>
        </w:rPr>
        <w:t xml:space="preserve">atient </w:t>
      </w:r>
      <w:r w:rsidR="001A50DC">
        <w:rPr>
          <w:rFonts w:cs="Arial"/>
        </w:rPr>
        <w:t>e</w:t>
      </w:r>
      <w:r w:rsidRPr="00CC5178">
        <w:rPr>
          <w:rFonts w:cs="Arial"/>
        </w:rPr>
        <w:t xml:space="preserve">mergency </w:t>
      </w:r>
      <w:r w:rsidR="001A50DC">
        <w:rPr>
          <w:rFonts w:cs="Arial"/>
        </w:rPr>
        <w:t>d</w:t>
      </w:r>
      <w:r w:rsidRPr="00CC5178">
        <w:rPr>
          <w:rFonts w:cs="Arial"/>
        </w:rPr>
        <w:t xml:space="preserve">epartment </w:t>
      </w:r>
      <w:r w:rsidR="001A50DC">
        <w:rPr>
          <w:rFonts w:cs="Arial"/>
        </w:rPr>
        <w:t>c</w:t>
      </w:r>
      <w:r w:rsidRPr="00CC5178">
        <w:rPr>
          <w:rFonts w:cs="Arial"/>
        </w:rPr>
        <w:t xml:space="preserve">are (NAPEDC) National Minimum Data Set (NMDS), as only physical emergency department presentations are considered in-scope. </w:t>
      </w:r>
    </w:p>
    <w:p w14:paraId="63749FE1" w14:textId="186EA596" w:rsidR="00E0537E" w:rsidRDefault="00CC5178" w:rsidP="00CC5178">
      <w:pPr>
        <w:pStyle w:val="BodyText"/>
        <w:rPr>
          <w:rFonts w:cs="Arial"/>
        </w:rPr>
      </w:pPr>
      <w:r w:rsidRPr="00CC5178">
        <w:rPr>
          <w:rFonts w:cs="Arial"/>
        </w:rPr>
        <w:t xml:space="preserve">IHPA is proposing to investigate the inclusion of </w:t>
      </w:r>
      <w:r w:rsidR="00A763A0">
        <w:rPr>
          <w:rFonts w:cs="Arial"/>
        </w:rPr>
        <w:t>e</w:t>
      </w:r>
      <w:r w:rsidRPr="00CC5178">
        <w:rPr>
          <w:rFonts w:cs="Arial"/>
        </w:rPr>
        <w:t xml:space="preserve">mergency </w:t>
      </w:r>
      <w:r w:rsidR="00A763A0">
        <w:rPr>
          <w:rFonts w:cs="Arial"/>
        </w:rPr>
        <w:t>d</w:t>
      </w:r>
      <w:r w:rsidRPr="00CC5178">
        <w:rPr>
          <w:rFonts w:cs="Arial"/>
        </w:rPr>
        <w:t xml:space="preserve">epartment telehealth video consultations in the NAPEDC NMDS and Emergency </w:t>
      </w:r>
      <w:r w:rsidR="00321F9C">
        <w:rPr>
          <w:rFonts w:cs="Arial"/>
        </w:rPr>
        <w:t>s</w:t>
      </w:r>
      <w:r w:rsidRPr="00CC5178">
        <w:rPr>
          <w:rFonts w:cs="Arial"/>
        </w:rPr>
        <w:t xml:space="preserve">ervice </w:t>
      </w:r>
      <w:r w:rsidR="001A50DC">
        <w:rPr>
          <w:rFonts w:cs="Arial"/>
        </w:rPr>
        <w:t>c</w:t>
      </w:r>
      <w:r w:rsidRPr="00CC5178">
        <w:rPr>
          <w:rFonts w:cs="Arial"/>
        </w:rPr>
        <w:t xml:space="preserve">are National Best Endeavours Data Set for 2023–24. </w:t>
      </w:r>
    </w:p>
    <w:p w14:paraId="1FDA4920" w14:textId="340D428F" w:rsidR="006F48C5" w:rsidRDefault="000E4F17" w:rsidP="00CC5178">
      <w:pPr>
        <w:pStyle w:val="BodyText"/>
        <w:rPr>
          <w:rFonts w:cs="Arial"/>
        </w:rPr>
      </w:pPr>
      <w:r>
        <w:rPr>
          <w:rFonts w:cs="Arial"/>
        </w:rPr>
        <w:t xml:space="preserve">Other examples of virtual care models include </w:t>
      </w:r>
      <w:r w:rsidR="00AF45F0">
        <w:rPr>
          <w:rFonts w:cs="Arial"/>
        </w:rPr>
        <w:t>remote monitoring of COVID-19 positive patients or patients with chronic conditions in their own homes to help them self-manage</w:t>
      </w:r>
      <w:r w:rsidR="00E0537E">
        <w:rPr>
          <w:rFonts w:cs="Arial"/>
        </w:rPr>
        <w:t xml:space="preserve"> </w:t>
      </w:r>
      <w:r w:rsidR="00C274A6">
        <w:rPr>
          <w:rFonts w:cs="Arial"/>
        </w:rPr>
        <w:t xml:space="preserve">or </w:t>
      </w:r>
      <w:r w:rsidR="00AF45F0">
        <w:rPr>
          <w:rFonts w:cs="Arial"/>
        </w:rPr>
        <w:t>providing</w:t>
      </w:r>
      <w:r w:rsidR="00E0537E">
        <w:rPr>
          <w:rFonts w:cs="Arial"/>
        </w:rPr>
        <w:t xml:space="preserve"> </w:t>
      </w:r>
      <w:r w:rsidR="00AF45F0">
        <w:rPr>
          <w:rFonts w:cs="Arial"/>
        </w:rPr>
        <w:t>specialist consultations</w:t>
      </w:r>
      <w:r w:rsidR="00C274A6">
        <w:rPr>
          <w:rFonts w:cs="Arial"/>
        </w:rPr>
        <w:t xml:space="preserve"> virtually</w:t>
      </w:r>
      <w:r w:rsidR="00826570">
        <w:rPr>
          <w:rFonts w:cs="Arial"/>
        </w:rPr>
        <w:t xml:space="preserve"> </w:t>
      </w:r>
      <w:r w:rsidR="00AF45F0">
        <w:rPr>
          <w:rFonts w:cs="Arial"/>
        </w:rPr>
        <w:t xml:space="preserve">to people living in rural and remote areas to address the gap in </w:t>
      </w:r>
      <w:r w:rsidR="00E0537E">
        <w:rPr>
          <w:rFonts w:cs="Arial"/>
        </w:rPr>
        <w:t xml:space="preserve">the </w:t>
      </w:r>
      <w:r w:rsidR="00AF45F0">
        <w:rPr>
          <w:rFonts w:cs="Arial"/>
        </w:rPr>
        <w:t>availability of specialist services in these areas</w:t>
      </w:r>
      <w:r w:rsidR="001C75D9">
        <w:rPr>
          <w:rFonts w:cs="Arial"/>
        </w:rPr>
        <w:t xml:space="preserve"> and minimise</w:t>
      </w:r>
      <w:r w:rsidR="00FC64ED">
        <w:rPr>
          <w:rFonts w:cs="Arial"/>
        </w:rPr>
        <w:t xml:space="preserve"> the need for patient</w:t>
      </w:r>
      <w:r w:rsidR="001C75D9">
        <w:rPr>
          <w:rFonts w:cs="Arial"/>
        </w:rPr>
        <w:t xml:space="preserve"> travel</w:t>
      </w:r>
      <w:r w:rsidR="00AF45F0">
        <w:rPr>
          <w:rFonts w:cs="Arial"/>
        </w:rPr>
        <w:t>.</w:t>
      </w:r>
    </w:p>
    <w:p w14:paraId="04BF58D4" w14:textId="535D1A5E" w:rsidR="00777A2E" w:rsidRDefault="009F21ED" w:rsidP="00CC5178">
      <w:pPr>
        <w:pStyle w:val="BodyText"/>
        <w:rPr>
          <w:rFonts w:cs="Arial"/>
        </w:rPr>
      </w:pPr>
      <w:r w:rsidRPr="009F21ED">
        <w:rPr>
          <w:rFonts w:cs="Arial"/>
        </w:rPr>
        <w:t>As part of th</w:t>
      </w:r>
      <w:r w:rsidR="00C02086">
        <w:rPr>
          <w:rFonts w:cs="Arial"/>
        </w:rPr>
        <w:t>e</w:t>
      </w:r>
      <w:r w:rsidRPr="009F21ED">
        <w:rPr>
          <w:rFonts w:cs="Arial"/>
        </w:rPr>
        <w:t xml:space="preserve"> program of work</w:t>
      </w:r>
      <w:r w:rsidR="00C02086">
        <w:rPr>
          <w:rFonts w:cs="Arial"/>
        </w:rPr>
        <w:t xml:space="preserve"> to trial innovative models of care</w:t>
      </w:r>
      <w:r w:rsidRPr="009F21ED">
        <w:rPr>
          <w:rFonts w:cs="Arial"/>
        </w:rPr>
        <w:t>, IHPA will consult and engage with the National Health Reform Agreement Reform Implementation Group, as well as the jurisdictions, to facilitate the development of broader trial principles and guidelines</w:t>
      </w:r>
      <w:r w:rsidR="00D065FE">
        <w:rPr>
          <w:rFonts w:cs="Arial"/>
        </w:rPr>
        <w:t>. These would be intended</w:t>
      </w:r>
      <w:r w:rsidRPr="009F21ED">
        <w:rPr>
          <w:rFonts w:cs="Arial"/>
        </w:rPr>
        <w:t xml:space="preserve"> for</w:t>
      </w:r>
      <w:r w:rsidR="004A55B7">
        <w:rPr>
          <w:rFonts w:cs="Arial"/>
        </w:rPr>
        <w:t xml:space="preserve"> the </w:t>
      </w:r>
      <w:r w:rsidR="000575BD">
        <w:rPr>
          <w:rFonts w:cs="Arial"/>
        </w:rPr>
        <w:t>jurisdictions</w:t>
      </w:r>
      <w:r w:rsidR="004A55B7">
        <w:rPr>
          <w:rFonts w:cs="Arial"/>
        </w:rPr>
        <w:t xml:space="preserve"> and </w:t>
      </w:r>
      <w:r w:rsidRPr="009F21ED">
        <w:rPr>
          <w:rFonts w:cs="Arial"/>
        </w:rPr>
        <w:t xml:space="preserve">IHPA </w:t>
      </w:r>
      <w:r w:rsidR="00D065FE">
        <w:rPr>
          <w:rFonts w:cs="Arial"/>
        </w:rPr>
        <w:t>t</w:t>
      </w:r>
      <w:r w:rsidRPr="009F21ED">
        <w:rPr>
          <w:rFonts w:cs="Arial"/>
        </w:rPr>
        <w:t xml:space="preserve">o </w:t>
      </w:r>
      <w:r w:rsidR="00D065FE">
        <w:rPr>
          <w:rFonts w:cs="Arial"/>
        </w:rPr>
        <w:t xml:space="preserve">apply in </w:t>
      </w:r>
      <w:r w:rsidRPr="009F21ED">
        <w:rPr>
          <w:rFonts w:cs="Arial"/>
        </w:rPr>
        <w:t>consider</w:t>
      </w:r>
      <w:r w:rsidR="00D065FE">
        <w:rPr>
          <w:rFonts w:cs="Arial"/>
        </w:rPr>
        <w:t>ing</w:t>
      </w:r>
      <w:r w:rsidRPr="009F21ED">
        <w:rPr>
          <w:rFonts w:cs="Arial"/>
        </w:rPr>
        <w:t xml:space="preserve"> proposal</w:t>
      </w:r>
      <w:r w:rsidR="00D065FE">
        <w:rPr>
          <w:rFonts w:cs="Arial"/>
        </w:rPr>
        <w:t>s</w:t>
      </w:r>
      <w:r w:rsidRPr="009F21ED">
        <w:rPr>
          <w:rFonts w:cs="Arial"/>
        </w:rPr>
        <w:t xml:space="preserve"> of innovative funding models by the states and territories for trial under bilateral agreements with the Commonwealth.</w:t>
      </w:r>
    </w:p>
    <w:p w14:paraId="5D40AFA6" w14:textId="34569813" w:rsidR="00B50359" w:rsidRPr="0065414C" w:rsidRDefault="004F43FB" w:rsidP="008E2D67">
      <w:pPr>
        <w:pStyle w:val="BodyText"/>
        <w:rPr>
          <w:rFonts w:cs="Arial"/>
        </w:rPr>
      </w:pPr>
      <w:r w:rsidRPr="0065414C">
        <w:rPr>
          <w:rFonts w:cs="Arial"/>
          <w:noProof/>
          <w:lang w:eastAsia="en-AU" w:bidi="ar-SA"/>
        </w:rPr>
        <w:lastRenderedPageBreak/>
        <mc:AlternateContent>
          <mc:Choice Requires="wps">
            <w:drawing>
              <wp:inline distT="0" distB="0" distL="0" distR="0" wp14:anchorId="3F5C6A40" wp14:editId="4C483985">
                <wp:extent cx="2743200" cy="3492500"/>
                <wp:effectExtent l="0" t="0" r="19050" b="12700"/>
                <wp:docPr id="37" name="Text Box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492500"/>
                        </a:xfrm>
                        <a:prstGeom prst="rect">
                          <a:avLst/>
                        </a:prstGeom>
                        <a:noFill/>
                        <a:ln w="9525">
                          <a:solidFill>
                            <a:schemeClr val="tx2"/>
                          </a:solidFill>
                          <a:miter lim="800000"/>
                          <a:headEnd/>
                          <a:tailEnd/>
                        </a:ln>
                        <a:extLst>
                          <a:ext uri="{909E8E84-426E-40DD-AFC4-6F175D3DCCD1}">
                            <a14:hiddenFill xmlns:a14="http://schemas.microsoft.com/office/drawing/2010/main">
                              <a:solidFill>
                                <a:srgbClr val="FFFFFF"/>
                              </a:solidFill>
                            </a14:hiddenFill>
                          </a:ext>
                        </a:extLst>
                      </wps:spPr>
                      <wps:txbx>
                        <w:txbxContent>
                          <w:p w14:paraId="56C16945" w14:textId="77777777" w:rsidR="00FE6544" w:rsidRPr="00693365" w:rsidRDefault="00FE6544" w:rsidP="004F43FB">
                            <w:pPr>
                              <w:pStyle w:val="Questionheading"/>
                              <w:ind w:left="567"/>
                            </w:pPr>
                            <w:r>
                              <w:rPr>
                                <w:noProof/>
                                <w:lang w:eastAsia="en-AU" w:bidi="ar-SA"/>
                              </w:rPr>
                              <w:drawing>
                                <wp:inline distT="0" distB="0" distL="0" distR="0" wp14:anchorId="422306B6" wp14:editId="6F042C82">
                                  <wp:extent cx="240030" cy="207298"/>
                                  <wp:effectExtent l="0" t="0" r="7620" b="2540"/>
                                  <wp:docPr id="46" name="Picture 46" descr="Question mark to left of the ‘Consultation question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Question mark to left of the ‘Consultation questions’ title"/>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240030" cy="207298"/>
                                          </a:xfrm>
                                          <a:prstGeom prst="rect">
                                            <a:avLst/>
                                          </a:prstGeom>
                                          <a:noFill/>
                                          <a:ln>
                                            <a:noFill/>
                                          </a:ln>
                                        </pic:spPr>
                                      </pic:pic>
                                    </a:graphicData>
                                  </a:graphic>
                                </wp:inline>
                              </w:drawing>
                            </w:r>
                            <w:r>
                              <w:t xml:space="preserve">  Consultation questions</w:t>
                            </w:r>
                          </w:p>
                          <w:p w14:paraId="4B72E4BE" w14:textId="77777777" w:rsidR="00FE6544" w:rsidRDefault="00FE6544" w:rsidP="009D6DC0">
                            <w:pPr>
                              <w:pStyle w:val="ListParagraph"/>
                              <w:numPr>
                                <w:ilvl w:val="1"/>
                                <w:numId w:val="2"/>
                              </w:numPr>
                              <w:ind w:left="567" w:right="329" w:hanging="283"/>
                            </w:pPr>
                            <w:r>
                              <w:t>How is virtual care delivery captured in information systems and data collections?</w:t>
                            </w:r>
                          </w:p>
                          <w:p w14:paraId="236FD334" w14:textId="37B665C5" w:rsidR="00FE6544" w:rsidRDefault="00FE6544" w:rsidP="004F43FB">
                            <w:pPr>
                              <w:pStyle w:val="ListParagraph"/>
                              <w:numPr>
                                <w:ilvl w:val="1"/>
                                <w:numId w:val="2"/>
                              </w:numPr>
                              <w:ind w:left="567" w:right="329" w:hanging="283"/>
                            </w:pPr>
                            <w:r w:rsidRPr="004A55B7">
                              <w:t xml:space="preserve">IHPA is proposing to investigate the inclusion of </w:t>
                            </w:r>
                            <w:r>
                              <w:t>e</w:t>
                            </w:r>
                            <w:r w:rsidRPr="004A55B7">
                              <w:t xml:space="preserve">mergency </w:t>
                            </w:r>
                            <w:r>
                              <w:t>d</w:t>
                            </w:r>
                            <w:r w:rsidRPr="004A55B7">
                              <w:t xml:space="preserve">epartment telehealth video consultations in the NAPEDC NMDS and Emergency </w:t>
                            </w:r>
                            <w:r>
                              <w:t>s</w:t>
                            </w:r>
                            <w:r w:rsidRPr="004A55B7">
                              <w:t xml:space="preserve">ervice </w:t>
                            </w:r>
                            <w:r>
                              <w:t>c</w:t>
                            </w:r>
                            <w:r w:rsidRPr="004A55B7">
                              <w:t>are National Best Endeavours Data Set for 2023–24</w:t>
                            </w:r>
                            <w:r>
                              <w:t>. Are there any other examples of innovative models of care and services related to virtual care that IHPA should also consider investigating?</w:t>
                            </w:r>
                          </w:p>
                          <w:p w14:paraId="29793287" w14:textId="0B6472B1" w:rsidR="00FE6544" w:rsidRDefault="00FE6544" w:rsidP="009D6DC0">
                            <w:pPr>
                              <w:pStyle w:val="ListParagraph"/>
                              <w:numPr>
                                <w:ilvl w:val="1"/>
                                <w:numId w:val="2"/>
                              </w:numPr>
                              <w:ind w:left="567" w:right="329" w:hanging="283"/>
                            </w:pPr>
                            <w:r>
                              <w:t xml:space="preserve">What changes, if any, to the national pricing model should IHPA consider to account for </w:t>
                            </w:r>
                            <w:r w:rsidRPr="00CC5178">
                              <w:rPr>
                                <w:rFonts w:cs="Arial"/>
                              </w:rPr>
                              <w:t>innovative models of care and services related to virtual care</w:t>
                            </w:r>
                            <w:r>
                              <w:rPr>
                                <w:rFonts w:cs="Arial"/>
                              </w:rPr>
                              <w:t>?</w:t>
                            </w:r>
                          </w:p>
                          <w:p w14:paraId="67BF4152" w14:textId="77777777" w:rsidR="00FE6544" w:rsidRDefault="00FE6544"/>
                        </w:txbxContent>
                      </wps:txbx>
                      <wps:bodyPr rot="0" vert="horz" wrap="square" lIns="0" tIns="0" rIns="0" bIns="0" anchor="t" anchorCtr="0" upright="1">
                        <a:noAutofit/>
                      </wps:bodyPr>
                    </wps:wsp>
                  </a:graphicData>
                </a:graphic>
              </wp:inline>
            </w:drawing>
          </mc:Choice>
          <mc:Fallback xmlns:w16sdtdh="http://schemas.microsoft.com/office/word/2020/wordml/sdtdatahash" xmlns:oel="http://schemas.microsoft.com/office/2019/extlst">
            <w:pict>
              <v:shape w14:anchorId="3F5C6A40" id="Text Box 46" o:spid="_x0000_s1037" type="#_x0000_t202" alt="&quot;&quot;" style="width:3in;height: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" filled="f" strokecolor="#003e2d [3215]">
                <v:textbox inset="0,0,0,0">
                  <w:txbxContent>
                    <w:p w14:paraId="56C16945" w14:textId="77777777" w:rsidR="00FE6544" w:rsidRPr="00693365" w:rsidRDefault="00FE6544" w:rsidP="004F43FB">
                      <w:pPr>
                        <w:pStyle w:val="Questionheading"/>
                        <w:ind w:left="567"/>
                      </w:pPr>
                      <w:r>
                        <w:rPr>
                          <w:noProof/>
                          <w:lang w:eastAsia="en-AU" w:bidi="ar-SA"/>
                        </w:rPr>
                        <w:drawing>
                          <wp:inline distT="0" distB="0" distL="0" distR="0" wp14:anchorId="422306B6" wp14:editId="6F042C82">
                            <wp:extent cx="240030" cy="207298"/>
                            <wp:effectExtent l="0" t="0" r="7620" b="2540"/>
                            <wp:docPr id="46" name="Picture 46" descr="Question mark to left of the ‘Consultation question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Question mark to left of the ‘Consultation questions’ title"/>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240030" cy="207298"/>
                                    </a:xfrm>
                                    <a:prstGeom prst="rect">
                                      <a:avLst/>
                                    </a:prstGeom>
                                    <a:noFill/>
                                    <a:ln>
                                      <a:noFill/>
                                    </a:ln>
                                  </pic:spPr>
                                </pic:pic>
                              </a:graphicData>
                            </a:graphic>
                          </wp:inline>
                        </w:drawing>
                      </w:r>
                      <w:r>
                        <w:t xml:space="preserve">  Consultation questions</w:t>
                      </w:r>
                    </w:p>
                    <w:p w14:paraId="4B72E4BE" w14:textId="77777777" w:rsidR="00FE6544" w:rsidRDefault="00FE6544" w:rsidP="009D6DC0">
                      <w:pPr>
                        <w:pStyle w:val="ListParagraph"/>
                        <w:numPr>
                          <w:ilvl w:val="1"/>
                          <w:numId w:val="2"/>
                        </w:numPr>
                        <w:ind w:left="567" w:right="329" w:hanging="283"/>
                      </w:pPr>
                      <w:r>
                        <w:t>How is virtual care delivery captured in information systems and data collections?</w:t>
                      </w:r>
                    </w:p>
                    <w:p w14:paraId="236FD334" w14:textId="37B665C5" w:rsidR="00FE6544" w:rsidRDefault="00FE6544" w:rsidP="004F43FB">
                      <w:pPr>
                        <w:pStyle w:val="ListParagraph"/>
                        <w:numPr>
                          <w:ilvl w:val="1"/>
                          <w:numId w:val="2"/>
                        </w:numPr>
                        <w:ind w:left="567" w:right="329" w:hanging="283"/>
                      </w:pPr>
                      <w:r w:rsidRPr="004A55B7">
                        <w:t xml:space="preserve">IHPA is proposing to investigate the inclusion of </w:t>
                      </w:r>
                      <w:r>
                        <w:t>e</w:t>
                      </w:r>
                      <w:r w:rsidRPr="004A55B7">
                        <w:t xml:space="preserve">mergency </w:t>
                      </w:r>
                      <w:r>
                        <w:t>d</w:t>
                      </w:r>
                      <w:r w:rsidRPr="004A55B7">
                        <w:t xml:space="preserve">epartment telehealth video consultations in the NAPEDC NMDS and Emergency </w:t>
                      </w:r>
                      <w:r>
                        <w:t>s</w:t>
                      </w:r>
                      <w:r w:rsidRPr="004A55B7">
                        <w:t xml:space="preserve">ervice </w:t>
                      </w:r>
                      <w:r>
                        <w:t>c</w:t>
                      </w:r>
                      <w:r w:rsidRPr="004A55B7">
                        <w:t>are National Best Endeavours Data Set for 2023–24</w:t>
                      </w:r>
                      <w:r>
                        <w:t>. Are there any other examples of innovative models of care and services related to virtual care that IHPA should also consider investigating?</w:t>
                      </w:r>
                    </w:p>
                    <w:p w14:paraId="29793287" w14:textId="0B6472B1" w:rsidR="00FE6544" w:rsidRDefault="00FE6544" w:rsidP="009D6DC0">
                      <w:pPr>
                        <w:pStyle w:val="ListParagraph"/>
                        <w:numPr>
                          <w:ilvl w:val="1"/>
                          <w:numId w:val="2"/>
                        </w:numPr>
                        <w:ind w:left="567" w:right="329" w:hanging="283"/>
                      </w:pPr>
                      <w:r>
                        <w:t xml:space="preserve">What changes, if any, to the national pricing model should IHPA consider to account for </w:t>
                      </w:r>
                      <w:r w:rsidRPr="00CC5178">
                        <w:rPr>
                          <w:rFonts w:cs="Arial"/>
                        </w:rPr>
                        <w:t>innovative models of care and services related to virtual care</w:t>
                      </w:r>
                      <w:r>
                        <w:rPr>
                          <w:rFonts w:cs="Arial"/>
                        </w:rPr>
                        <w:t>?</w:t>
                      </w:r>
                    </w:p>
                    <w:p w14:paraId="67BF4152" w14:textId="77777777" w:rsidR="00FE6544" w:rsidRDefault="00FE6544"/>
                  </w:txbxContent>
                </v:textbox>
                <w10:anchorlock/>
              </v:shape>
            </w:pict>
          </mc:Fallback>
        </mc:AlternateContent>
      </w:r>
    </w:p>
    <w:p w14:paraId="26F61195" w14:textId="77777777" w:rsidR="00B50359" w:rsidRPr="0065414C" w:rsidRDefault="00B50359" w:rsidP="00DF4954">
      <w:pPr>
        <w:pStyle w:val="BodyText"/>
        <w:rPr>
          <w:rFonts w:cs="Arial"/>
        </w:rPr>
        <w:sectPr w:rsidR="00B50359" w:rsidRPr="0065414C" w:rsidSect="00466DF0">
          <w:type w:val="continuous"/>
          <w:pgSz w:w="11910" w:h="16840"/>
          <w:pgMar w:top="1440" w:right="1440" w:bottom="1440" w:left="1440" w:header="720" w:footer="720" w:gutter="0"/>
          <w:cols w:num="2" w:space="340"/>
        </w:sectPr>
      </w:pPr>
    </w:p>
    <w:p w14:paraId="490D4025" w14:textId="32C2F01D" w:rsidR="002531DC" w:rsidRPr="0065414C" w:rsidRDefault="002531DC" w:rsidP="005B7291">
      <w:pPr>
        <w:pStyle w:val="SectionNumber"/>
      </w:pPr>
      <w:bookmarkStart w:id="100" w:name="_Toc49953784"/>
      <w:r w:rsidRPr="0065414C">
        <w:rPr>
          <w:lang w:bidi="ar-SA"/>
        </w:rPr>
        <w:lastRenderedPageBreak/>
        <w:drawing>
          <wp:anchor distT="0" distB="0" distL="114300" distR="114300" simplePos="0" relativeHeight="251652096" behindDoc="1" locked="0" layoutInCell="1" allowOverlap="1" wp14:anchorId="5FD6F9AA" wp14:editId="5534D14A">
            <wp:simplePos x="0" y="0"/>
            <wp:positionH relativeFrom="margin">
              <wp:posOffset>-914400</wp:posOffset>
            </wp:positionH>
            <wp:positionV relativeFrom="page">
              <wp:posOffset>954157</wp:posOffset>
            </wp:positionV>
            <wp:extent cx="5462269" cy="3577465"/>
            <wp:effectExtent l="0" t="0" r="0" b="0"/>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462269" cy="3577465"/>
                    </a:xfrm>
                    <a:prstGeom prst="rect">
                      <a:avLst/>
                    </a:prstGeom>
                    <a:noFill/>
                    <a:ln>
                      <a:noFill/>
                    </a:ln>
                  </pic:spPr>
                </pic:pic>
              </a:graphicData>
            </a:graphic>
          </wp:anchor>
        </w:drawing>
      </w:r>
      <w:r w:rsidR="00247857">
        <w:t>9</w:t>
      </w:r>
      <w:bookmarkEnd w:id="100"/>
    </w:p>
    <w:p w14:paraId="1C629C11" w14:textId="065B4151" w:rsidR="00C415F5" w:rsidRPr="0065414C" w:rsidRDefault="000E5E14" w:rsidP="000E5E14">
      <w:pPr>
        <w:pStyle w:val="Sectionheader"/>
        <w:ind w:right="2226"/>
        <w:sectPr w:rsidR="00C415F5" w:rsidRPr="0065414C" w:rsidSect="002531DC">
          <w:pgSz w:w="11910" w:h="16840"/>
          <w:pgMar w:top="3969" w:right="1440" w:bottom="1440" w:left="1440" w:header="720" w:footer="720" w:gutter="0"/>
          <w:cols w:space="340"/>
        </w:sectPr>
      </w:pPr>
      <w:bookmarkStart w:id="101" w:name="_Toc71631334"/>
      <w:r>
        <w:t>Pricing and funding for safety and quality</w:t>
      </w:r>
      <w:bookmarkEnd w:id="101"/>
    </w:p>
    <w:p w14:paraId="412A1F7B" w14:textId="65DCECBB" w:rsidR="005C0D01" w:rsidRDefault="00CA6827" w:rsidP="005C0D01">
      <w:pPr>
        <w:pStyle w:val="Heading1"/>
        <w:ind w:left="1418" w:hanging="1276"/>
        <w:rPr>
          <w:rFonts w:eastAsia="Futura PT Bold" w:cs="Arial"/>
          <w:bCs/>
          <w:color w:val="003E2D" w:themeColor="text1"/>
          <w:sz w:val="36"/>
          <w:szCs w:val="36"/>
        </w:rPr>
      </w:pPr>
      <w:bookmarkStart w:id="102" w:name="_bookmark21"/>
      <w:bookmarkStart w:id="103" w:name="_Toc45809635"/>
      <w:bookmarkStart w:id="104" w:name="_Toc49953786"/>
      <w:bookmarkEnd w:id="102"/>
      <w:r w:rsidRPr="0065414C">
        <w:rPr>
          <w:rFonts w:cs="Arial"/>
          <w:noProof/>
          <w:color w:val="FFFFFF" w:themeColor="background1"/>
          <w:lang w:eastAsia="en-AU" w:bidi="ar-SA"/>
        </w:rPr>
        <w:lastRenderedPageBreak/>
        <w:drawing>
          <wp:anchor distT="0" distB="0" distL="114300" distR="114300" simplePos="0" relativeHeight="251657216" behindDoc="1" locked="0" layoutInCell="1" allowOverlap="1" wp14:anchorId="664DD840" wp14:editId="536DFD52">
            <wp:simplePos x="0" y="0"/>
            <wp:positionH relativeFrom="column">
              <wp:posOffset>-914400</wp:posOffset>
            </wp:positionH>
            <wp:positionV relativeFrom="page">
              <wp:posOffset>652007</wp:posOffset>
            </wp:positionV>
            <wp:extent cx="1685422" cy="946149"/>
            <wp:effectExtent l="0" t="0" r="0" b="0"/>
            <wp:wrapNone/>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685422" cy="946149"/>
                    </a:xfrm>
                    <a:prstGeom prst="rect">
                      <a:avLst/>
                    </a:prstGeom>
                    <a:noFill/>
                    <a:ln>
                      <a:noFill/>
                    </a:ln>
                  </pic:spPr>
                </pic:pic>
              </a:graphicData>
            </a:graphic>
          </wp:anchor>
        </w:drawing>
      </w:r>
      <w:r w:rsidR="00247857">
        <w:rPr>
          <w:rFonts w:cs="Arial"/>
          <w:color w:val="FFFFFF" w:themeColor="background1"/>
        </w:rPr>
        <w:t>9</w:t>
      </w:r>
      <w:r w:rsidRPr="0065414C">
        <w:rPr>
          <w:rFonts w:cs="Arial"/>
        </w:rPr>
        <w:tab/>
      </w:r>
      <w:r w:rsidRPr="0065414C">
        <w:rPr>
          <w:rFonts w:cs="Arial"/>
        </w:rPr>
        <w:tab/>
      </w:r>
      <w:bookmarkEnd w:id="103"/>
      <w:bookmarkEnd w:id="104"/>
      <w:r w:rsidR="000E5E14">
        <w:rPr>
          <w:rFonts w:cs="Arial"/>
        </w:rPr>
        <w:t>Pricing and funding for safety and quality</w:t>
      </w:r>
      <w:bookmarkStart w:id="105" w:name="_Toc49953787"/>
    </w:p>
    <w:p w14:paraId="468606F6" w14:textId="77777777" w:rsidR="005C0D01" w:rsidRDefault="005C0D01" w:rsidP="005C0D01">
      <w:pPr>
        <w:pStyle w:val="Heading1"/>
        <w:ind w:left="1418" w:hanging="1276"/>
        <w:rPr>
          <w:rFonts w:cs="Arial"/>
        </w:rPr>
        <w:sectPr w:rsidR="005C0D01" w:rsidSect="00A72CF9">
          <w:headerReference w:type="default" r:id="rId81"/>
          <w:pgSz w:w="11910" w:h="16840"/>
          <w:pgMar w:top="1440" w:right="1440" w:bottom="1440" w:left="1440" w:header="0" w:footer="656" w:gutter="0"/>
          <w:cols w:space="340"/>
        </w:sectPr>
      </w:pPr>
    </w:p>
    <w:p w14:paraId="1C3B66C1" w14:textId="08D6D03E" w:rsidR="00A72CF9" w:rsidRDefault="00247857" w:rsidP="00A72CF9">
      <w:pPr>
        <w:pStyle w:val="Heading2"/>
        <w:rPr>
          <w:rFonts w:cs="Arial"/>
        </w:rPr>
      </w:pPr>
      <w:bookmarkStart w:id="106" w:name="_Toc71631335"/>
      <w:bookmarkEnd w:id="105"/>
      <w:r>
        <w:rPr>
          <w:rFonts w:cs="Arial"/>
        </w:rPr>
        <w:t>9</w:t>
      </w:r>
      <w:r w:rsidR="00A72CF9" w:rsidRPr="0065414C">
        <w:rPr>
          <w:rFonts w:cs="Arial"/>
        </w:rPr>
        <w:t>.</w:t>
      </w:r>
      <w:r w:rsidR="00A72CF9">
        <w:rPr>
          <w:rFonts w:cs="Arial"/>
        </w:rPr>
        <w:t>1</w:t>
      </w:r>
      <w:r w:rsidR="00A72CF9" w:rsidRPr="0065414C">
        <w:rPr>
          <w:rFonts w:cs="Arial"/>
        </w:rPr>
        <w:t xml:space="preserve">. </w:t>
      </w:r>
      <w:r w:rsidR="00A72CF9">
        <w:rPr>
          <w:rFonts w:cs="Arial"/>
        </w:rPr>
        <w:t>Overview</w:t>
      </w:r>
      <w:bookmarkEnd w:id="106"/>
    </w:p>
    <w:p w14:paraId="28EA18D7" w14:textId="77777777" w:rsidR="009F21ED" w:rsidRPr="009F21ED" w:rsidRDefault="009F21ED" w:rsidP="009F21ED">
      <w:pPr>
        <w:pStyle w:val="BodyText"/>
        <w:rPr>
          <w:rFonts w:cs="Arial"/>
        </w:rPr>
      </w:pPr>
      <w:r w:rsidRPr="009F21ED">
        <w:rPr>
          <w:rFonts w:cs="Arial"/>
        </w:rPr>
        <w:t>The Independent Hospital Pricing Authority (IHPA) and the Australian Commission on Safety and Quality in Health Care (the Commission) follow a collaborative work program to incorporate safety and quality measures into determining the national efficient price (NEP), as required under the Addendum to the National Health Reform Agreement 2020–25 (the Addendum).</w:t>
      </w:r>
    </w:p>
    <w:p w14:paraId="4D65B83F" w14:textId="1C687972" w:rsidR="007F359B" w:rsidRDefault="009F21ED" w:rsidP="007F359B">
      <w:pPr>
        <w:pStyle w:val="BodyText"/>
        <w:rPr>
          <w:rFonts w:cs="Arial"/>
        </w:rPr>
      </w:pPr>
      <w:r w:rsidRPr="009F21ED">
        <w:rPr>
          <w:rFonts w:cs="Arial"/>
        </w:rPr>
        <w:t xml:space="preserve">Under the Addendum, IHPA is required to </w:t>
      </w:r>
      <w:r w:rsidR="007F359B">
        <w:rPr>
          <w:rFonts w:cs="Arial"/>
        </w:rPr>
        <w:t>implement:</w:t>
      </w:r>
    </w:p>
    <w:p w14:paraId="0237CD62" w14:textId="196F8F90" w:rsidR="007F359B" w:rsidRDefault="006A34B7" w:rsidP="00295921">
      <w:pPr>
        <w:pStyle w:val="ListParagraph"/>
        <w:numPr>
          <w:ilvl w:val="0"/>
          <w:numId w:val="68"/>
        </w:numPr>
      </w:pPr>
      <w:r>
        <w:t xml:space="preserve">an approach </w:t>
      </w:r>
      <w:r w:rsidR="007F359B">
        <w:t xml:space="preserve">whereby </w:t>
      </w:r>
      <w:r w:rsidR="007F359B" w:rsidRPr="007F359B">
        <w:t xml:space="preserve">any episode of care that includes a </w:t>
      </w:r>
      <w:r w:rsidR="006D1ED4">
        <w:t>s</w:t>
      </w:r>
      <w:r w:rsidR="007F359B" w:rsidRPr="007F359B">
        <w:t xml:space="preserve">entinel </w:t>
      </w:r>
      <w:r w:rsidR="006D1ED4">
        <w:t>e</w:t>
      </w:r>
      <w:r w:rsidR="007F359B" w:rsidRPr="007F359B">
        <w:t>vent,</w:t>
      </w:r>
      <w:r w:rsidR="007F359B">
        <w:t xml:space="preserve"> </w:t>
      </w:r>
      <w:r w:rsidR="007F359B" w:rsidRPr="007F359B">
        <w:t>across all care settings, will not be funded in its entirety</w:t>
      </w:r>
      <w:r w:rsidR="007F359B">
        <w:t>;</w:t>
      </w:r>
    </w:p>
    <w:p w14:paraId="7B9C4E19" w14:textId="7A41D26B" w:rsidR="007F359B" w:rsidRDefault="006A34B7" w:rsidP="00295921">
      <w:pPr>
        <w:pStyle w:val="ListParagraph"/>
        <w:numPr>
          <w:ilvl w:val="0"/>
          <w:numId w:val="68"/>
        </w:numPr>
      </w:pPr>
      <w:r>
        <w:t xml:space="preserve">an approach </w:t>
      </w:r>
      <w:r w:rsidR="007F359B">
        <w:t xml:space="preserve">whereby </w:t>
      </w:r>
      <w:r w:rsidR="007F359B" w:rsidRPr="007F359B">
        <w:t xml:space="preserve">all </w:t>
      </w:r>
      <w:r w:rsidR="007F359B">
        <w:t>hospital acquired complications (H</w:t>
      </w:r>
      <w:r w:rsidR="007F359B" w:rsidRPr="007F359B">
        <w:t>ACs</w:t>
      </w:r>
      <w:r w:rsidR="007F359B">
        <w:t>)</w:t>
      </w:r>
      <w:r w:rsidR="007F359B" w:rsidRPr="007F359B">
        <w:t xml:space="preserve"> across every public hospital will have a reduced funding level to reflect the extra cost of a hospital admission with a HAC and will be risk adjusted</w:t>
      </w:r>
      <w:r w:rsidR="007F359B">
        <w:t xml:space="preserve">; and </w:t>
      </w:r>
    </w:p>
    <w:p w14:paraId="37C7BF75" w14:textId="0D54692C" w:rsidR="009F21ED" w:rsidRPr="009F21ED" w:rsidRDefault="006A34B7" w:rsidP="00295921">
      <w:pPr>
        <w:pStyle w:val="ListParagraph"/>
        <w:numPr>
          <w:ilvl w:val="0"/>
          <w:numId w:val="68"/>
        </w:numPr>
        <w:rPr>
          <w:rFonts w:cs="Arial"/>
        </w:rPr>
      </w:pPr>
      <w:r>
        <w:t xml:space="preserve">a pricing and funding approach </w:t>
      </w:r>
      <w:r w:rsidR="007F359B" w:rsidRPr="007F359B">
        <w:t>for avoidable hospital readmissions re</w:t>
      </w:r>
      <w:r w:rsidR="007F359B" w:rsidRPr="00462353">
        <w:t>lated to a prior HAC, based on a set of definitions developed by the</w:t>
      </w:r>
      <w:r>
        <w:t xml:space="preserve"> Commission.</w:t>
      </w:r>
    </w:p>
    <w:p w14:paraId="0508ACB2" w14:textId="77777777" w:rsidR="009F21ED" w:rsidRPr="009F21ED" w:rsidRDefault="009F21ED" w:rsidP="009F21ED">
      <w:pPr>
        <w:pStyle w:val="BodyText"/>
        <w:rPr>
          <w:rFonts w:cs="Arial"/>
        </w:rPr>
      </w:pPr>
      <w:r w:rsidRPr="009F21ED">
        <w:rPr>
          <w:rFonts w:cs="Arial"/>
        </w:rPr>
        <w:t>Funding adjustments relating to sentinel events, HACs and avoidable hospital readmissions have been introduced from July 2017, July 2018 and July 2021 respectively.</w:t>
      </w:r>
    </w:p>
    <w:p w14:paraId="6FA94A17" w14:textId="4D265B17" w:rsidR="00EF5D73" w:rsidRPr="0065414C" w:rsidRDefault="00247857" w:rsidP="00D638E9">
      <w:pPr>
        <w:pStyle w:val="Heading2"/>
        <w:rPr>
          <w:rFonts w:cs="Arial"/>
        </w:rPr>
      </w:pPr>
      <w:bookmarkStart w:id="107" w:name="_Toc49953788"/>
      <w:bookmarkStart w:id="108" w:name="_Toc71631336"/>
      <w:r>
        <w:rPr>
          <w:rFonts w:cs="Arial"/>
        </w:rPr>
        <w:t>9</w:t>
      </w:r>
      <w:r w:rsidR="00EF5D73" w:rsidRPr="0065414C">
        <w:rPr>
          <w:rFonts w:cs="Arial"/>
        </w:rPr>
        <w:t xml:space="preserve">.2. </w:t>
      </w:r>
      <w:bookmarkEnd w:id="107"/>
      <w:r w:rsidR="00AE4EE7">
        <w:rPr>
          <w:rFonts w:cs="Arial"/>
        </w:rPr>
        <w:t>Sentinel events</w:t>
      </w:r>
      <w:bookmarkEnd w:id="108"/>
    </w:p>
    <w:p w14:paraId="6B828C7B" w14:textId="0368171B" w:rsidR="00AE4EE7" w:rsidRPr="00F05EE8" w:rsidRDefault="00AE4EE7" w:rsidP="00AE4EE7">
      <w:pPr>
        <w:pStyle w:val="BodyText"/>
        <w:rPr>
          <w:rFonts w:cs="Arial"/>
        </w:rPr>
      </w:pPr>
      <w:r w:rsidRPr="00F05EE8">
        <w:rPr>
          <w:rFonts w:cs="Arial"/>
        </w:rPr>
        <w:t>Sentinel events are defined by the Commission as a subset of adverse patient safety events that are wholly preventable and result in serious harm to, or death of, a patient.</w:t>
      </w:r>
    </w:p>
    <w:p w14:paraId="0A5446C5" w14:textId="7734BDD7" w:rsidR="00AE4EE7" w:rsidRPr="00F05EE8" w:rsidRDefault="00AE4EE7" w:rsidP="00AE4EE7">
      <w:pPr>
        <w:pStyle w:val="BodyText"/>
        <w:rPr>
          <w:rFonts w:cs="Arial"/>
        </w:rPr>
      </w:pPr>
      <w:r w:rsidRPr="00F05EE8">
        <w:rPr>
          <w:rFonts w:cs="Arial"/>
        </w:rPr>
        <w:t xml:space="preserve">Since 1 July 2017, IHPA has specified that an episode of care including a sentinel event will </w:t>
      </w:r>
      <w:r w:rsidR="00421B3D">
        <w:rPr>
          <w:rFonts w:cs="Arial"/>
        </w:rPr>
        <w:t xml:space="preserve">be assigned a national weighted activity unit (NWAU) of zero. </w:t>
      </w:r>
      <w:r w:rsidRPr="00F05EE8">
        <w:rPr>
          <w:rFonts w:cs="Arial"/>
        </w:rPr>
        <w:t>This approach is applied to all hospitals, whether funded on an activity or block funded basis.</w:t>
      </w:r>
    </w:p>
    <w:p w14:paraId="09C6B2E5" w14:textId="0B17531B" w:rsidR="00081B3F" w:rsidRDefault="009F21ED" w:rsidP="00421B3D">
      <w:pPr>
        <w:pStyle w:val="BodyText"/>
        <w:keepLines/>
        <w:spacing w:line="257" w:lineRule="auto"/>
        <w:ind w:right="142"/>
      </w:pPr>
      <w:r w:rsidRPr="009F21ED">
        <w:rPr>
          <w:rFonts w:cs="Arial"/>
        </w:rPr>
        <w:t xml:space="preserve">As per the Addendum (clauses A165–A166), IHPA will continue to apply this funding adjustment for episodes with a sentinel event for the NEP Determination 2023–24 (NEP23) using Version 2.0 of the Australian Sentinel Events List published on </w:t>
      </w:r>
      <w:r w:rsidR="00AE4EE7" w:rsidRPr="00563FB0">
        <w:t xml:space="preserve">the </w:t>
      </w:r>
      <w:hyperlink r:id="rId82" w:history="1">
        <w:r w:rsidR="00AE4EE7" w:rsidRPr="00563FB0">
          <w:rPr>
            <w:rStyle w:val="Hyperlink"/>
          </w:rPr>
          <w:t>Commission’s website</w:t>
        </w:r>
      </w:hyperlink>
      <w:r w:rsidR="00AE4EE7" w:rsidRPr="00563FB0">
        <w:t>.</w:t>
      </w:r>
    </w:p>
    <w:p w14:paraId="0AA0D7F2" w14:textId="3BA97847" w:rsidR="00D638E9" w:rsidRPr="0065414C" w:rsidRDefault="00247857" w:rsidP="00D638E9">
      <w:pPr>
        <w:pStyle w:val="Heading2"/>
        <w:rPr>
          <w:rFonts w:cs="Arial"/>
        </w:rPr>
      </w:pPr>
      <w:bookmarkStart w:id="109" w:name="_Toc49953789"/>
      <w:bookmarkStart w:id="110" w:name="_Toc71631337"/>
      <w:r>
        <w:rPr>
          <w:rFonts w:cs="Arial"/>
        </w:rPr>
        <w:t>9</w:t>
      </w:r>
      <w:r w:rsidR="00D638E9" w:rsidRPr="0065414C">
        <w:rPr>
          <w:rFonts w:cs="Arial"/>
        </w:rPr>
        <w:t xml:space="preserve">.3. </w:t>
      </w:r>
      <w:bookmarkEnd w:id="109"/>
      <w:r w:rsidR="00AE4EE7">
        <w:rPr>
          <w:rFonts w:cs="Arial"/>
        </w:rPr>
        <w:t>Hospital acquired complications</w:t>
      </w:r>
      <w:bookmarkEnd w:id="110"/>
    </w:p>
    <w:p w14:paraId="6A98B12B" w14:textId="77777777" w:rsidR="00AE4EE7" w:rsidRPr="00F05EE8" w:rsidRDefault="00AE4EE7" w:rsidP="00AE4EE7">
      <w:pPr>
        <w:pStyle w:val="BodyText"/>
        <w:rPr>
          <w:rFonts w:cs="Arial"/>
        </w:rPr>
      </w:pPr>
      <w:r w:rsidRPr="00F05EE8">
        <w:rPr>
          <w:rFonts w:cs="Arial"/>
        </w:rPr>
        <w:t>A HAC is a complication that occurs during a hospital stay and for which clinical risk mitigation strategies may reduce (but not necessarily eliminate) the risk of that complication occurring.</w:t>
      </w:r>
    </w:p>
    <w:p w14:paraId="7C21726F" w14:textId="77777777" w:rsidR="009F21ED" w:rsidRDefault="009F21ED" w:rsidP="009F21ED">
      <w:pPr>
        <w:pStyle w:val="BodyText"/>
      </w:pPr>
      <w:r w:rsidRPr="00006991">
        <w:rPr>
          <w:rFonts w:cs="Arial"/>
        </w:rPr>
        <w:t>The funding adjustment for HACs reduces funding for any episode of admitted acute care where a HAC occurs. This approach incorporates a risk adjustment model and recognises that the presence of a HAC increases the complexity of an episode of care or the length of stay, driving an increase in the cost of care.</w:t>
      </w:r>
      <w:r w:rsidRPr="00577E4F">
        <w:t xml:space="preserve"> </w:t>
      </w:r>
    </w:p>
    <w:p w14:paraId="2A2FFBBF" w14:textId="46AE6A3A" w:rsidR="009F21ED" w:rsidRPr="003C616B" w:rsidRDefault="009F21ED" w:rsidP="009F21ED">
      <w:pPr>
        <w:pStyle w:val="BodyText"/>
        <w:rPr>
          <w:rFonts w:cs="Arial"/>
          <w:color w:val="008F54" w:themeColor="accent2"/>
        </w:rPr>
      </w:pPr>
      <w:r w:rsidRPr="00006991">
        <w:t xml:space="preserve">Further information on the </w:t>
      </w:r>
      <w:r w:rsidR="00F024B4">
        <w:t>HACs</w:t>
      </w:r>
      <w:r>
        <w:t xml:space="preserve"> </w:t>
      </w:r>
      <w:r w:rsidRPr="00006991">
        <w:t>funding approach</w:t>
      </w:r>
      <w:r w:rsidRPr="00577E4F">
        <w:t xml:space="preserve"> </w:t>
      </w:r>
      <w:r w:rsidRPr="00006991">
        <w:t>is included in the</w:t>
      </w:r>
      <w:r>
        <w:t xml:space="preserve"> </w:t>
      </w:r>
      <w:hyperlink r:id="rId83" w:history="1">
        <w:r w:rsidRPr="003C616B">
          <w:rPr>
            <w:rStyle w:val="Hyperlink"/>
            <w:i/>
          </w:rPr>
          <w:t>NEP Determination 2022–23</w:t>
        </w:r>
      </w:hyperlink>
      <w:r w:rsidRPr="00006991">
        <w:t xml:space="preserve"> </w:t>
      </w:r>
      <w:r>
        <w:t xml:space="preserve">and </w:t>
      </w:r>
      <w:r w:rsidRPr="00006991">
        <w:t xml:space="preserve">the </w:t>
      </w:r>
      <w:hyperlink r:id="rId84" w:history="1">
        <w:r w:rsidRPr="003C616B">
          <w:rPr>
            <w:i/>
            <w:iCs/>
            <w:color w:val="008F54" w:themeColor="accent2"/>
            <w:u w:val="single"/>
          </w:rPr>
          <w:t>National Pricing Model Technical Specifications 2022–23</w:t>
        </w:r>
      </w:hyperlink>
      <w:r w:rsidRPr="003C616B">
        <w:t>.</w:t>
      </w:r>
    </w:p>
    <w:p w14:paraId="3CB854A8" w14:textId="68BA4853" w:rsidR="00AE4EE7" w:rsidRPr="00F05EE8" w:rsidRDefault="00AE4EE7" w:rsidP="009F21ED">
      <w:pPr>
        <w:pStyle w:val="BodyText"/>
        <w:rPr>
          <w:rFonts w:cs="Arial"/>
          <w:bCs/>
        </w:rPr>
      </w:pPr>
      <w:r w:rsidRPr="00F05EE8">
        <w:rPr>
          <w:rFonts w:cs="Arial"/>
        </w:rPr>
        <w:t xml:space="preserve">The Commission is responsible for the ongoing curation of the HACs list to ensure it remains clinically relevant. </w:t>
      </w:r>
    </w:p>
    <w:p w14:paraId="7BD881CB" w14:textId="77777777" w:rsidR="009F21ED" w:rsidRPr="00006991" w:rsidRDefault="009F21ED" w:rsidP="009F21ED">
      <w:pPr>
        <w:pStyle w:val="BodyText"/>
      </w:pPr>
      <w:r w:rsidRPr="00006991">
        <w:t>For NEP2</w:t>
      </w:r>
      <w:r>
        <w:t>3</w:t>
      </w:r>
      <w:r w:rsidRPr="00006991">
        <w:t xml:space="preserve">, IHPA will use Version 3.1 of the HACs list on the </w:t>
      </w:r>
      <w:hyperlink r:id="rId85" w:history="1">
        <w:r w:rsidRPr="003C616B">
          <w:rPr>
            <w:rStyle w:val="Hyperlink"/>
          </w:rPr>
          <w:t>Commission’s website</w:t>
        </w:r>
      </w:hyperlink>
      <w:r w:rsidRPr="00E2143F">
        <w:t xml:space="preserve"> </w:t>
      </w:r>
      <w:r w:rsidRPr="00006991">
        <w:t>to implement</w:t>
      </w:r>
      <w:r>
        <w:t xml:space="preserve"> the HACs funding adjustment</w:t>
      </w:r>
      <w:r w:rsidRPr="00006991">
        <w:t>.</w:t>
      </w:r>
    </w:p>
    <w:p w14:paraId="5A87EFFA" w14:textId="2DA32D04" w:rsidR="00AE4EE7" w:rsidRPr="0065414C" w:rsidRDefault="00247857" w:rsidP="00AE4EE7">
      <w:pPr>
        <w:pStyle w:val="Heading2"/>
        <w:rPr>
          <w:rFonts w:cs="Arial"/>
        </w:rPr>
      </w:pPr>
      <w:bookmarkStart w:id="111" w:name="_Toc71631338"/>
      <w:r>
        <w:rPr>
          <w:rFonts w:cs="Arial"/>
        </w:rPr>
        <w:t>9</w:t>
      </w:r>
      <w:r w:rsidR="00AE4EE7" w:rsidRPr="0065414C">
        <w:rPr>
          <w:rFonts w:cs="Arial"/>
        </w:rPr>
        <w:t>.</w:t>
      </w:r>
      <w:r w:rsidR="00AE4EE7">
        <w:rPr>
          <w:rFonts w:cs="Arial"/>
        </w:rPr>
        <w:t>4</w:t>
      </w:r>
      <w:r w:rsidR="00AE4EE7" w:rsidRPr="0065414C">
        <w:rPr>
          <w:rFonts w:cs="Arial"/>
        </w:rPr>
        <w:t xml:space="preserve">. </w:t>
      </w:r>
      <w:r w:rsidR="00AE4EE7">
        <w:rPr>
          <w:rFonts w:cs="Arial"/>
        </w:rPr>
        <w:t>Avoidable hospital readmissions</w:t>
      </w:r>
      <w:bookmarkEnd w:id="111"/>
    </w:p>
    <w:p w14:paraId="6AD716BB" w14:textId="699D8384" w:rsidR="009F21ED" w:rsidRPr="00E8567D" w:rsidRDefault="00E8567D" w:rsidP="00E8567D">
      <w:pPr>
        <w:pStyle w:val="BodyText"/>
      </w:pPr>
      <w:r w:rsidRPr="00E8567D">
        <w:t>Unplanned hospital readmissions are a measure of potential issues with the quality, continuity and</w:t>
      </w:r>
      <w:r w:rsidR="009F21ED" w:rsidRPr="00E8567D">
        <w:t xml:space="preserve"> integration of care provided to patients during or subsequent to their initial hospital admission.</w:t>
      </w:r>
    </w:p>
    <w:p w14:paraId="589000C4" w14:textId="1E09599C" w:rsidR="009F21ED" w:rsidRDefault="009F21ED" w:rsidP="00E8567D">
      <w:pPr>
        <w:pStyle w:val="BodyText"/>
      </w:pPr>
      <w:r w:rsidRPr="00E8567D">
        <w:t>An avoidable hospital readmission occurs when a patient who has been discharged from hospital (the index admission) is admitted again within a certain time interval (the readmission), and the readmission is clinically related to the index</w:t>
      </w:r>
      <w:r w:rsidRPr="009F21ED">
        <w:t xml:space="preserve"> </w:t>
      </w:r>
      <w:r w:rsidRPr="009F21ED">
        <w:lastRenderedPageBreak/>
        <w:t>admission and has the potential to be avoided through improved clinical management and/or appropriate discharge planning in the index admission.</w:t>
      </w:r>
    </w:p>
    <w:p w14:paraId="1EBD1B50" w14:textId="77777777" w:rsidR="009F21ED" w:rsidRDefault="009F21ED" w:rsidP="009F21ED">
      <w:pPr>
        <w:pStyle w:val="BodyText"/>
      </w:pPr>
      <w:r w:rsidRPr="00006991">
        <w:t xml:space="preserve">From 1 July 2021, IHPA </w:t>
      </w:r>
      <w:r>
        <w:t>has</w:t>
      </w:r>
      <w:r w:rsidRPr="00006991">
        <w:t xml:space="preserve"> implement</w:t>
      </w:r>
      <w:r>
        <w:t>ed</w:t>
      </w:r>
      <w:r w:rsidRPr="00006991">
        <w:t xml:space="preserve"> a funding adjustment for avoidable hospital readmissions</w:t>
      </w:r>
      <w:r>
        <w:t xml:space="preserve"> and involves the application of a risk adjusted NWAU reduction to the index episode, based on the total NWAU of the readmission episode, to apply where there is a readmission to any hospital within the same jurisdiction. </w:t>
      </w:r>
    </w:p>
    <w:p w14:paraId="57CD8DD9" w14:textId="77777777" w:rsidR="009F21ED" w:rsidRDefault="009F21ED" w:rsidP="009F21ED">
      <w:pPr>
        <w:pStyle w:val="BodyText"/>
      </w:pPr>
      <w:r>
        <w:t xml:space="preserve">IHPA developed a discrete risk adjustment model for each readmission condition, which assigns the risk of being readmitted for each episode of care. </w:t>
      </w:r>
    </w:p>
    <w:p w14:paraId="03C7AA1B" w14:textId="77777777" w:rsidR="009F21ED" w:rsidRPr="00006991" w:rsidRDefault="009F21ED" w:rsidP="009F21ED">
      <w:pPr>
        <w:pStyle w:val="BodyText"/>
      </w:pPr>
      <w:r w:rsidRPr="00006991">
        <w:t xml:space="preserve">Further information on the avoidable hospital readmissions funding approach is included in the </w:t>
      </w:r>
      <w:hyperlink r:id="rId86" w:history="1">
        <w:r w:rsidRPr="003C616B">
          <w:rPr>
            <w:rStyle w:val="Hyperlink"/>
            <w:i/>
          </w:rPr>
          <w:t>NEP Determination 2022–23</w:t>
        </w:r>
      </w:hyperlink>
      <w:r>
        <w:rPr>
          <w:rStyle w:val="Hyperlink"/>
          <w:i/>
        </w:rPr>
        <w:t>,</w:t>
      </w:r>
      <w:r w:rsidRPr="00006991">
        <w:t xml:space="preserve"> </w:t>
      </w:r>
      <w:r>
        <w:t xml:space="preserve">and </w:t>
      </w:r>
      <w:r w:rsidRPr="00006991">
        <w:t xml:space="preserve">the </w:t>
      </w:r>
      <w:hyperlink r:id="rId87" w:history="1">
        <w:r w:rsidRPr="003C616B">
          <w:rPr>
            <w:i/>
            <w:iCs/>
            <w:color w:val="008F54" w:themeColor="accent2"/>
            <w:u w:val="single"/>
          </w:rPr>
          <w:t>National Pricing Model Technical Specifications 2022–23</w:t>
        </w:r>
      </w:hyperlink>
      <w:r>
        <w:t>.</w:t>
      </w:r>
      <w:r w:rsidRPr="00577E4F">
        <w:t xml:space="preserve"> </w:t>
      </w:r>
    </w:p>
    <w:p w14:paraId="1DD59358" w14:textId="43B1A18E" w:rsidR="009F21ED" w:rsidRDefault="009F21ED" w:rsidP="009F21ED">
      <w:pPr>
        <w:pStyle w:val="BodyText"/>
      </w:pPr>
      <w:r w:rsidRPr="00006991">
        <w:t>For NEP2</w:t>
      </w:r>
      <w:r>
        <w:t>3</w:t>
      </w:r>
      <w:r w:rsidRPr="00006991">
        <w:t xml:space="preserve">, IHPA will </w:t>
      </w:r>
      <w:r w:rsidR="00214AD3">
        <w:t xml:space="preserve">use Version 1.0 of </w:t>
      </w:r>
      <w:r w:rsidRPr="00006991">
        <w:t xml:space="preserve">the avoidable hospital readmissions </w:t>
      </w:r>
      <w:r w:rsidR="00214AD3">
        <w:t xml:space="preserve">list </w:t>
      </w:r>
      <w:r w:rsidR="00214AD3" w:rsidRPr="009F21ED">
        <w:t xml:space="preserve">on the </w:t>
      </w:r>
      <w:hyperlink r:id="rId88" w:history="1">
        <w:r w:rsidR="00214AD3" w:rsidRPr="00563FB0">
          <w:rPr>
            <w:rStyle w:val="Hyperlink"/>
          </w:rPr>
          <w:t>Commission’s website</w:t>
        </w:r>
      </w:hyperlink>
      <w:r w:rsidR="00214AD3">
        <w:rPr>
          <w:rStyle w:val="Hyperlink"/>
        </w:rPr>
        <w:t xml:space="preserve"> </w:t>
      </w:r>
      <w:r w:rsidR="00214AD3" w:rsidRPr="009229C3">
        <w:t>to implement the avoidable hospital readmissions funding adjustment</w:t>
      </w:r>
      <w:r w:rsidR="00214AD3">
        <w:t xml:space="preserve">. </w:t>
      </w:r>
    </w:p>
    <w:p w14:paraId="2DE761E0" w14:textId="62923114" w:rsidR="00AE4EE7" w:rsidRPr="0065414C" w:rsidRDefault="00247857" w:rsidP="00AE4EE7">
      <w:pPr>
        <w:pStyle w:val="Heading2"/>
        <w:rPr>
          <w:rFonts w:cs="Arial"/>
        </w:rPr>
      </w:pPr>
      <w:bookmarkStart w:id="112" w:name="_Toc71631339"/>
      <w:r>
        <w:rPr>
          <w:rFonts w:cs="Arial"/>
        </w:rPr>
        <w:t>9</w:t>
      </w:r>
      <w:r w:rsidR="00AE4EE7" w:rsidRPr="0065414C">
        <w:rPr>
          <w:rFonts w:cs="Arial"/>
        </w:rPr>
        <w:t>.</w:t>
      </w:r>
      <w:r w:rsidR="00AE4EE7">
        <w:rPr>
          <w:rFonts w:cs="Arial"/>
        </w:rPr>
        <w:t>5</w:t>
      </w:r>
      <w:r w:rsidR="00AE4EE7" w:rsidRPr="0065414C">
        <w:rPr>
          <w:rFonts w:cs="Arial"/>
        </w:rPr>
        <w:t xml:space="preserve">. </w:t>
      </w:r>
      <w:r w:rsidR="00AE4EE7" w:rsidRPr="009169B3">
        <w:rPr>
          <w:rFonts w:cs="Arial"/>
        </w:rPr>
        <w:t>Evaluation of safety and quality reforms</w:t>
      </w:r>
      <w:bookmarkEnd w:id="112"/>
    </w:p>
    <w:p w14:paraId="20A2AB83" w14:textId="7A70F693" w:rsidR="00AE4EE7" w:rsidRDefault="009F21ED" w:rsidP="00E8567D">
      <w:pPr>
        <w:pStyle w:val="BodyText"/>
      </w:pPr>
      <w:r w:rsidRPr="00C0590D">
        <w:t xml:space="preserve">Clause A174 of the Addendum stipulates that IHPA, the Commission and the Administrator of the National Health Funding Pool </w:t>
      </w:r>
      <w:r>
        <w:t xml:space="preserve">(the Administrator) </w:t>
      </w:r>
      <w:r w:rsidRPr="00C0590D">
        <w:t xml:space="preserve">(the national bodies) will work with jurisdictions, and other related stakeholders to establish a framework to evaluate safety and quality reforms against </w:t>
      </w:r>
      <w:r>
        <w:t>the following</w:t>
      </w:r>
      <w:r w:rsidRPr="00C0590D">
        <w:t xml:space="preserve"> principles</w:t>
      </w:r>
      <w:r w:rsidR="00AE4EE7" w:rsidRPr="009169B3">
        <w:t>:</w:t>
      </w:r>
    </w:p>
    <w:p w14:paraId="1B9A91F7" w14:textId="505E2D75" w:rsidR="00AE4EE7" w:rsidRPr="009169B3" w:rsidRDefault="00F024B4" w:rsidP="00295921">
      <w:pPr>
        <w:pStyle w:val="ListParagraph"/>
        <w:numPr>
          <w:ilvl w:val="0"/>
          <w:numId w:val="69"/>
        </w:numPr>
      </w:pPr>
      <w:r>
        <w:t>r</w:t>
      </w:r>
      <w:r w:rsidR="00AE4EE7" w:rsidRPr="009169B3">
        <w:t>eforms are evidence based and prioritise patient outcomes</w:t>
      </w:r>
    </w:p>
    <w:p w14:paraId="13DE6E40" w14:textId="4802D4D2" w:rsidR="00AE4EE7" w:rsidRPr="009169B3" w:rsidRDefault="00F024B4" w:rsidP="00295921">
      <w:pPr>
        <w:pStyle w:val="ListParagraph"/>
        <w:numPr>
          <w:ilvl w:val="0"/>
          <w:numId w:val="69"/>
        </w:numPr>
      </w:pPr>
      <w:r>
        <w:t>r</w:t>
      </w:r>
      <w:r w:rsidR="00AE4EE7" w:rsidRPr="009169B3">
        <w:t>eforms are consistent with whole</w:t>
      </w:r>
      <w:r w:rsidR="00EE6EE0">
        <w:noBreakHyphen/>
      </w:r>
      <w:r w:rsidR="00AE4EE7" w:rsidRPr="009169B3">
        <w:t>of</w:t>
      </w:r>
      <w:r w:rsidR="00EE6EE0">
        <w:noBreakHyphen/>
      </w:r>
      <w:r w:rsidR="00AE4EE7" w:rsidRPr="009169B3">
        <w:t>system efforts to deliver improved patient health outcomes</w:t>
      </w:r>
    </w:p>
    <w:p w14:paraId="57384598" w14:textId="2FAB44AC" w:rsidR="00AE4EE7" w:rsidRPr="009169B3" w:rsidRDefault="00F024B4" w:rsidP="00295921">
      <w:pPr>
        <w:pStyle w:val="ListParagraph"/>
        <w:numPr>
          <w:ilvl w:val="0"/>
          <w:numId w:val="69"/>
        </w:numPr>
      </w:pPr>
      <w:r>
        <w:t>r</w:t>
      </w:r>
      <w:r w:rsidR="00AE4EE7" w:rsidRPr="009169B3">
        <w:t>eforms are transparent and comparable</w:t>
      </w:r>
    </w:p>
    <w:p w14:paraId="24D2C8D7" w14:textId="58763FCB" w:rsidR="00AE4EE7" w:rsidRPr="009169B3" w:rsidRDefault="00F024B4" w:rsidP="00295921">
      <w:pPr>
        <w:pStyle w:val="ListParagraph"/>
        <w:numPr>
          <w:ilvl w:val="0"/>
          <w:numId w:val="69"/>
        </w:numPr>
      </w:pPr>
      <w:r>
        <w:t>r</w:t>
      </w:r>
      <w:r w:rsidR="00AE4EE7" w:rsidRPr="009169B3">
        <w:t>eforms provide budget certainty.</w:t>
      </w:r>
    </w:p>
    <w:p w14:paraId="27A3EE60" w14:textId="0A1F9546" w:rsidR="00AE4EE7" w:rsidRDefault="009F21ED" w:rsidP="00E8567D">
      <w:pPr>
        <w:pStyle w:val="BodyText"/>
      </w:pPr>
      <w:r w:rsidRPr="00C0590D">
        <w:t>IHPA led the development</w:t>
      </w:r>
      <w:r>
        <w:t xml:space="preserve"> </w:t>
      </w:r>
      <w:r w:rsidRPr="00C0590D">
        <w:t>of</w:t>
      </w:r>
      <w:r>
        <w:t xml:space="preserve"> a proposed approach to evaluate the implemented safety and quality reforms for sentinel events, HACs and avoidable hospital readmissions. This was provided to </w:t>
      </w:r>
      <w:r w:rsidR="00F024B4">
        <w:t xml:space="preserve">the </w:t>
      </w:r>
      <w:r w:rsidR="0023010B">
        <w:t>Health Ministers’ Meetings (</w:t>
      </w:r>
      <w:r>
        <w:t>HMM</w:t>
      </w:r>
      <w:r w:rsidR="0023010B">
        <w:t>)</w:t>
      </w:r>
      <w:r>
        <w:t xml:space="preserve"> for consideration in October 2021</w:t>
      </w:r>
      <w:r w:rsidRPr="00C0590D">
        <w:t xml:space="preserve"> as part of the joint advice from the national bodies</w:t>
      </w:r>
      <w:r>
        <w:t>.</w:t>
      </w:r>
    </w:p>
    <w:p w14:paraId="1709624B" w14:textId="5C7E79AB" w:rsidR="00AE4EE7" w:rsidRPr="0065414C" w:rsidRDefault="00247857" w:rsidP="00A012D9">
      <w:pPr>
        <w:pStyle w:val="Heading2"/>
        <w:keepLines/>
        <w:rPr>
          <w:rFonts w:cs="Arial"/>
        </w:rPr>
      </w:pPr>
      <w:bookmarkStart w:id="113" w:name="_Toc71631340"/>
      <w:r>
        <w:rPr>
          <w:rFonts w:cs="Arial"/>
        </w:rPr>
        <w:t>9</w:t>
      </w:r>
      <w:r w:rsidR="00AE4EE7" w:rsidRPr="0065414C">
        <w:rPr>
          <w:rFonts w:cs="Arial"/>
        </w:rPr>
        <w:t>.</w:t>
      </w:r>
      <w:r w:rsidR="00AE4EE7">
        <w:rPr>
          <w:rFonts w:cs="Arial"/>
        </w:rPr>
        <w:t>6</w:t>
      </w:r>
      <w:r w:rsidR="00AE4EE7" w:rsidRPr="0065414C">
        <w:rPr>
          <w:rFonts w:cs="Arial"/>
        </w:rPr>
        <w:t xml:space="preserve">. </w:t>
      </w:r>
      <w:r w:rsidR="00AE4EE7">
        <w:rPr>
          <w:rFonts w:cs="Arial"/>
        </w:rPr>
        <w:t>Avoidable and preventable hospitalisations</w:t>
      </w:r>
      <w:bookmarkEnd w:id="113"/>
    </w:p>
    <w:p w14:paraId="656A3906" w14:textId="4B7A2942" w:rsidR="009F21ED" w:rsidRPr="009F21ED" w:rsidRDefault="009F21ED" w:rsidP="00E8567D">
      <w:pPr>
        <w:pStyle w:val="BodyText"/>
      </w:pPr>
      <w:r w:rsidRPr="009F21ED">
        <w:t xml:space="preserve">The Addendum also requires the national bodies to provide advice to </w:t>
      </w:r>
      <w:r w:rsidR="00F024B4">
        <w:t>HMM</w:t>
      </w:r>
      <w:r w:rsidRPr="009F21ED">
        <w:t xml:space="preserve"> on options for the further development of safety and quality-related reforms, including examining ways that avoidable and preventable hospitalisations can be reduced. </w:t>
      </w:r>
    </w:p>
    <w:p w14:paraId="371A90AB" w14:textId="77777777" w:rsidR="009F21ED" w:rsidRPr="009F21ED" w:rsidRDefault="009F21ED" w:rsidP="00E8567D">
      <w:pPr>
        <w:pStyle w:val="BodyText"/>
      </w:pPr>
      <w:r w:rsidRPr="009F21ED">
        <w:t>Potentially preventable hospitalisations (PPH) are hospital admissions for a condition where the admission could have potentially been prevented through the provision of appropriate individualised preventative health interventions and early disease management, delivered in primary and community care settings.</w:t>
      </w:r>
    </w:p>
    <w:p w14:paraId="112CC2C5" w14:textId="44F4A81A" w:rsidR="009F21ED" w:rsidRPr="009F21ED" w:rsidRDefault="009F21ED" w:rsidP="00E8567D">
      <w:pPr>
        <w:pStyle w:val="BodyText"/>
      </w:pPr>
      <w:r w:rsidRPr="009F21ED">
        <w:t xml:space="preserve">The Commission’s </w:t>
      </w:r>
      <w:hyperlink r:id="rId89" w:history="1">
        <w:r w:rsidRPr="00EF1EE0">
          <w:rPr>
            <w:rStyle w:val="Hyperlink"/>
          </w:rPr>
          <w:t>Fourth Australian Atlas of Healthcare Variation</w:t>
        </w:r>
      </w:hyperlink>
      <w:r w:rsidRPr="009F21ED">
        <w:t xml:space="preserve"> (the Fourth Atlas) identifies that in 2017–18, more than 330,000 PPHs could be attributed to five condition groups: chronic obstructive pulmonary disease, heart failure, diabetes complications, kidney infections and urinary tract infections, and cellulitis. </w:t>
      </w:r>
    </w:p>
    <w:p w14:paraId="7FB52859" w14:textId="5F18E1A9" w:rsidR="00AE4EE7" w:rsidRPr="009169B3" w:rsidRDefault="009F21ED" w:rsidP="00E8567D">
      <w:pPr>
        <w:pStyle w:val="BodyText"/>
        <w:rPr>
          <w:rFonts w:cs="Arial"/>
          <w:bCs/>
        </w:rPr>
      </w:pPr>
      <w:r w:rsidRPr="009F21ED">
        <w:t>IHPA contributed to the development of advice on options for further safety and quality-related reforms and ways that avoidable and preventable hospitalisations can be reduced through changes to the Addendum. The advice was provided from the national bodies to the HMM for consideration in October 2021. IHPA will consider feedback and directives from HMM before further progressing this program of work</w:t>
      </w:r>
      <w:r w:rsidR="00AE4EE7" w:rsidRPr="009169B3">
        <w:rPr>
          <w:rFonts w:cs="Arial"/>
          <w:bCs/>
        </w:rPr>
        <w:t>.</w:t>
      </w:r>
    </w:p>
    <w:p w14:paraId="6936F125" w14:textId="77777777" w:rsidR="002466F4" w:rsidRPr="0065414C" w:rsidRDefault="002466F4" w:rsidP="00081B3F">
      <w:pPr>
        <w:pStyle w:val="BodyText"/>
        <w:rPr>
          <w:rFonts w:cs="Arial"/>
        </w:rPr>
      </w:pPr>
    </w:p>
    <w:p w14:paraId="7BCE144B" w14:textId="77777777" w:rsidR="00C415F5" w:rsidRPr="0065414C" w:rsidRDefault="00C415F5">
      <w:pPr>
        <w:spacing w:line="256" w:lineRule="auto"/>
        <w:rPr>
          <w:rFonts w:cs="Arial"/>
        </w:rPr>
        <w:sectPr w:rsidR="00C415F5" w:rsidRPr="0065414C" w:rsidSect="005C0D01">
          <w:type w:val="continuous"/>
          <w:pgSz w:w="11910" w:h="16840"/>
          <w:pgMar w:top="1440" w:right="1440" w:bottom="1440" w:left="1440" w:header="0" w:footer="656" w:gutter="0"/>
          <w:cols w:num="2" w:space="340"/>
        </w:sectPr>
      </w:pPr>
      <w:bookmarkStart w:id="114" w:name="_bookmark22"/>
      <w:bookmarkEnd w:id="114"/>
    </w:p>
    <w:p w14:paraId="3A5C7492" w14:textId="77777777" w:rsidR="00C415F5" w:rsidRPr="0065414C" w:rsidRDefault="00603DEC" w:rsidP="00A20ED3">
      <w:pPr>
        <w:pStyle w:val="Sectionheader"/>
        <w:spacing w:after="480"/>
      </w:pPr>
      <w:bookmarkStart w:id="115" w:name="Appendix_A_—_List_of_consultation_questi"/>
      <w:bookmarkStart w:id="116" w:name="_bookmark23"/>
      <w:bookmarkStart w:id="117" w:name="_Toc49953799"/>
      <w:bookmarkStart w:id="118" w:name="_Toc71631341"/>
      <w:bookmarkEnd w:id="115"/>
      <w:bookmarkEnd w:id="116"/>
      <w:r w:rsidRPr="0065414C">
        <w:lastRenderedPageBreak/>
        <w:t xml:space="preserve">Appendix </w:t>
      </w:r>
      <w:r w:rsidR="009169B3">
        <w:t>A: Consultation questions</w:t>
      </w:r>
      <w:bookmarkEnd w:id="117"/>
      <w:bookmarkEnd w:id="118"/>
    </w:p>
    <w:tbl>
      <w:tblPr>
        <w:tblStyle w:val="IHPA"/>
        <w:tblW w:w="8931" w:type="dxa"/>
        <w:tblCellMar>
          <w:top w:w="57" w:type="dxa"/>
          <w:left w:w="0" w:type="dxa"/>
          <w:bottom w:w="57" w:type="dxa"/>
          <w:right w:w="0" w:type="dxa"/>
        </w:tblCellMar>
        <w:tblLook w:val="0620" w:firstRow="1" w:lastRow="0" w:firstColumn="0" w:lastColumn="0" w:noHBand="1" w:noVBand="1"/>
        <w:tblCaption w:val="Appendix A: Consultation questions"/>
        <w:tblDescription w:val="Table with 14 rows and two columns. Row one: Questions | Page number&#10;Are there any specific considerations IHPA should take into account for assessing COVID-19 impacts on the 2020–21 data in the development of NEP23? Page number 7&#10;Are there any barriers or additional considerations to using AR-DRG Version 11.0 to price admitted acute services for NEP23? Page number 16&#10;Do you support IHPA’s proposal to refocus some resources on projects that prepare for ICD-11 implementation? Please provide suggestions for any specific ‘readiness’ projects you would like to see progressed. Page number 16&#10;Are there any barriers or additional considerations to using AN-SNAP Version 5.0 to price admitted subacute and non-acute services for NEP23? Page number 16&#10;Are there any barriers or additional considerations to using AMHCC Version 1.0 to price community mental health care for NEP23? Page number 18&#10;Are there any adjustments IHPA should prioritise investigating to inform the development of NEP23? Page number 21&#10;What cost input pressures that may have an impact on the national pricing model and are not included in the NHCDC should be considered in the development of NEP23? Page number 21&#10;Which initiatives to refine the national pricing model should IHPA prioritise? Page number 23&#10;What additional data sources are available to support refinement of the national pricing model in relation to adjustments, price harmonisation, unqualified newborns, private patients or organ donation? Page number 23&#10;What cost pressures for regional or remote hospitals should be considered in the development of NEC23? Page number 26&#10;What specific areas of the Local Hospital Networks and Public Hospital Establishments National Minimum Data Set would you recommend IHPA focus on when developing its independent quality assurance process?  Page number 26&#10;What should IHPA consider when transitioning standalone hospitals providing specialist mental health services to ABF? Page number 26&#10;How is virtual care delivery captured in information systems and data collections? Page number 30&#10;IHPA is proposing to investigate the inclusion of emergency department telehealth video consultations in the NAPEDC NMDS and Emergency service care National Best Endeavours Data Set for 2023–24. Are there any other examples of innovative models of care and services related to virtual care that IHPA should also consider investigating? Page number 30&#10;What changes, if any, to the national pricing model should IHPA consider to account for innovative models of care and services related to virtual care? Page number 30"/>
      </w:tblPr>
      <w:tblGrid>
        <w:gridCol w:w="7513"/>
        <w:gridCol w:w="1418"/>
      </w:tblGrid>
      <w:tr w:rsidR="00053037" w:rsidRPr="0065414C" w14:paraId="71EB7C50" w14:textId="77777777" w:rsidTr="00B22772">
        <w:trPr>
          <w:cnfStyle w:val="100000000000" w:firstRow="1" w:lastRow="0" w:firstColumn="0" w:lastColumn="0" w:oddVBand="0" w:evenVBand="0" w:oddHBand="0" w:evenHBand="0" w:firstRowFirstColumn="0" w:firstRowLastColumn="0" w:lastRowFirstColumn="0" w:lastRowLastColumn="0"/>
          <w:trHeight w:val="531"/>
          <w:tblHeader/>
        </w:trPr>
        <w:tc>
          <w:tcPr>
            <w:tcW w:w="7513" w:type="dxa"/>
            <w:tcBorders>
              <w:bottom w:val="single" w:sz="2" w:space="0" w:color="636466"/>
            </w:tcBorders>
            <w:shd w:val="clear" w:color="auto" w:fill="003E2C"/>
          </w:tcPr>
          <w:p w14:paraId="07F0DF08" w14:textId="77777777" w:rsidR="00053037" w:rsidRPr="005A63BA" w:rsidRDefault="00053037" w:rsidP="0096661B">
            <w:pPr>
              <w:pStyle w:val="TableParagraph"/>
              <w:spacing w:before="0"/>
              <w:ind w:left="113" w:right="340"/>
              <w:rPr>
                <w:rFonts w:cs="Arial"/>
                <w:b/>
                <w:color w:val="FFFFFF" w:themeColor="background1"/>
              </w:rPr>
            </w:pPr>
            <w:r w:rsidRPr="005A63BA">
              <w:rPr>
                <w:rFonts w:cs="Arial"/>
                <w:b/>
                <w:color w:val="FFFFFF" w:themeColor="background1"/>
              </w:rPr>
              <w:t>Questions</w:t>
            </w:r>
          </w:p>
        </w:tc>
        <w:tc>
          <w:tcPr>
            <w:tcW w:w="1418" w:type="dxa"/>
            <w:tcBorders>
              <w:bottom w:val="single" w:sz="2" w:space="0" w:color="636466"/>
            </w:tcBorders>
            <w:shd w:val="clear" w:color="auto" w:fill="003E2C"/>
          </w:tcPr>
          <w:p w14:paraId="3EA8EF27" w14:textId="77777777" w:rsidR="00053037" w:rsidRPr="005A63BA" w:rsidRDefault="00053037" w:rsidP="00A2204F">
            <w:pPr>
              <w:pStyle w:val="TableParagraph"/>
              <w:spacing w:before="0"/>
              <w:jc w:val="center"/>
              <w:rPr>
                <w:rFonts w:cs="Arial"/>
                <w:b/>
                <w:color w:val="FFFFFF" w:themeColor="background1"/>
              </w:rPr>
            </w:pPr>
            <w:r w:rsidRPr="005A63BA">
              <w:rPr>
                <w:rFonts w:cs="Arial"/>
                <w:b/>
                <w:color w:val="FFFFFF" w:themeColor="background1"/>
              </w:rPr>
              <w:t>Page number</w:t>
            </w:r>
          </w:p>
        </w:tc>
      </w:tr>
      <w:tr w:rsidR="009F21ED" w:rsidRPr="0065414C" w14:paraId="135BFC5C" w14:textId="77777777" w:rsidTr="00B22772">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110DD042" w14:textId="39DCB932" w:rsidR="009F21ED" w:rsidRPr="0065414C" w:rsidRDefault="005E281B" w:rsidP="009F21ED">
            <w:pPr>
              <w:pStyle w:val="TableParagraph"/>
              <w:spacing w:before="60" w:after="60"/>
              <w:ind w:left="113" w:right="340"/>
              <w:rPr>
                <w:rFonts w:cs="Arial"/>
                <w:color w:val="008F54" w:themeColor="accent2"/>
              </w:rPr>
            </w:pPr>
            <w:r w:rsidRPr="005E281B">
              <w:rPr>
                <w:color w:val="008F54" w:themeColor="accent2"/>
                <w:szCs w:val="20"/>
              </w:rPr>
              <w:t>Are there any specific considerations IHPA should take into account for assessing COVID</w:t>
            </w:r>
            <w:r w:rsidR="006B52AB">
              <w:rPr>
                <w:color w:val="008F54" w:themeColor="accent2"/>
                <w:szCs w:val="20"/>
              </w:rPr>
              <w:t>-</w:t>
            </w:r>
            <w:r w:rsidRPr="005E281B">
              <w:rPr>
                <w:color w:val="008F54" w:themeColor="accent2"/>
                <w:szCs w:val="20"/>
              </w:rPr>
              <w:t>19 impacts on the 2020–21 data in the development of NEP23?</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tcPr>
          <w:p w14:paraId="59FB28E0" w14:textId="43E60516" w:rsidR="009F21ED" w:rsidRPr="0065414C" w:rsidRDefault="004F2508" w:rsidP="009F21ED">
            <w:pPr>
              <w:pStyle w:val="TableParagraph"/>
              <w:spacing w:before="60" w:after="60"/>
              <w:jc w:val="center"/>
              <w:rPr>
                <w:rFonts w:cs="Arial"/>
                <w:color w:val="008F54" w:themeColor="accent2"/>
              </w:rPr>
            </w:pPr>
            <w:r>
              <w:rPr>
                <w:rFonts w:cs="Arial"/>
                <w:color w:val="008F54" w:themeColor="accent2"/>
              </w:rPr>
              <w:t>7</w:t>
            </w:r>
          </w:p>
        </w:tc>
      </w:tr>
      <w:tr w:rsidR="009F21ED" w:rsidRPr="0065414C" w14:paraId="29AF2C6A" w14:textId="77777777" w:rsidTr="00B22772">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4AED06E0" w14:textId="78AE4E4E" w:rsidR="009F21ED" w:rsidRPr="0065414C" w:rsidRDefault="009F21ED" w:rsidP="009F21ED">
            <w:pPr>
              <w:pStyle w:val="TableParagraph"/>
              <w:spacing w:before="60" w:after="60"/>
              <w:ind w:left="113" w:right="340"/>
              <w:rPr>
                <w:rFonts w:cs="Arial"/>
                <w:color w:val="008F54" w:themeColor="accent2"/>
              </w:rPr>
            </w:pPr>
            <w:r w:rsidRPr="003C616B">
              <w:rPr>
                <w:color w:val="008F54" w:themeColor="accent2"/>
                <w:szCs w:val="20"/>
              </w:rPr>
              <w:t>Are there any barriers or additional considerations to using AR-DRG Version 11.0 to price admitted acute services for NEP23?</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tcPr>
          <w:p w14:paraId="022D94B9" w14:textId="7A477DEA" w:rsidR="009F21ED" w:rsidRPr="0065414C" w:rsidRDefault="00E100A9" w:rsidP="009F21ED">
            <w:pPr>
              <w:pStyle w:val="TableParagraph"/>
              <w:spacing w:before="60" w:after="60"/>
              <w:jc w:val="center"/>
              <w:rPr>
                <w:rFonts w:cs="Arial"/>
                <w:color w:val="008F54" w:themeColor="accent2"/>
              </w:rPr>
            </w:pPr>
            <w:r>
              <w:rPr>
                <w:rFonts w:cs="Arial"/>
                <w:color w:val="008F54" w:themeColor="accent2"/>
              </w:rPr>
              <w:t>1</w:t>
            </w:r>
            <w:r w:rsidR="00295921">
              <w:rPr>
                <w:rFonts w:cs="Arial"/>
                <w:color w:val="008F54" w:themeColor="accent2"/>
              </w:rPr>
              <w:t>6</w:t>
            </w:r>
          </w:p>
        </w:tc>
      </w:tr>
      <w:tr w:rsidR="009F21ED" w:rsidRPr="0065414C" w14:paraId="205383C2" w14:textId="77777777" w:rsidTr="00B22772">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4047A29F" w14:textId="77B9F778" w:rsidR="009F21ED" w:rsidRPr="0065414C" w:rsidRDefault="009F21ED" w:rsidP="009F21ED">
            <w:pPr>
              <w:pStyle w:val="TableParagraph"/>
              <w:spacing w:before="60" w:after="60"/>
              <w:ind w:left="113" w:right="340"/>
              <w:rPr>
                <w:rFonts w:cs="Arial"/>
                <w:color w:val="008F54" w:themeColor="accent2"/>
              </w:rPr>
            </w:pPr>
            <w:r w:rsidRPr="003C616B">
              <w:rPr>
                <w:color w:val="008F54" w:themeColor="accent2"/>
                <w:szCs w:val="20"/>
              </w:rPr>
              <w:t xml:space="preserve">Do you support IHPA’s proposal to </w:t>
            </w:r>
            <w:r w:rsidR="00D5692B">
              <w:rPr>
                <w:color w:val="008F54" w:themeColor="accent2"/>
                <w:szCs w:val="20"/>
              </w:rPr>
              <w:t>re</w:t>
            </w:r>
            <w:r w:rsidRPr="003C616B">
              <w:rPr>
                <w:color w:val="008F54" w:themeColor="accent2"/>
                <w:szCs w:val="20"/>
              </w:rPr>
              <w:t xml:space="preserve">focus </w:t>
            </w:r>
            <w:r w:rsidR="00D5692B">
              <w:rPr>
                <w:color w:val="008F54" w:themeColor="accent2"/>
                <w:szCs w:val="20"/>
              </w:rPr>
              <w:t xml:space="preserve">some resources </w:t>
            </w:r>
            <w:r w:rsidRPr="003C616B">
              <w:rPr>
                <w:color w:val="008F54" w:themeColor="accent2"/>
                <w:szCs w:val="20"/>
              </w:rPr>
              <w:t>on projects t</w:t>
            </w:r>
            <w:r w:rsidR="00D5692B">
              <w:rPr>
                <w:color w:val="008F54" w:themeColor="accent2"/>
                <w:szCs w:val="20"/>
              </w:rPr>
              <w:t>hat</w:t>
            </w:r>
            <w:r w:rsidRPr="003C616B">
              <w:rPr>
                <w:color w:val="008F54" w:themeColor="accent2"/>
                <w:szCs w:val="20"/>
              </w:rPr>
              <w:t xml:space="preserve"> prepare for ICD-11 implementation? Please provide suggestions for any specific </w:t>
            </w:r>
            <w:r>
              <w:rPr>
                <w:color w:val="008F54" w:themeColor="accent2"/>
                <w:szCs w:val="20"/>
              </w:rPr>
              <w:t>‘</w:t>
            </w:r>
            <w:r w:rsidRPr="003C616B">
              <w:rPr>
                <w:color w:val="008F54" w:themeColor="accent2"/>
                <w:szCs w:val="20"/>
              </w:rPr>
              <w:t>readiness</w:t>
            </w:r>
            <w:r>
              <w:rPr>
                <w:color w:val="008F54" w:themeColor="accent2"/>
                <w:szCs w:val="20"/>
              </w:rPr>
              <w:t>’</w:t>
            </w:r>
            <w:r w:rsidRPr="003C616B">
              <w:rPr>
                <w:color w:val="008F54" w:themeColor="accent2"/>
                <w:szCs w:val="20"/>
              </w:rPr>
              <w:t xml:space="preserve"> projects you would like to see progressed.</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tcPr>
          <w:p w14:paraId="17367C84" w14:textId="299DE566" w:rsidR="009F21ED" w:rsidRPr="0065414C" w:rsidRDefault="00E100A9" w:rsidP="009F21ED">
            <w:pPr>
              <w:pStyle w:val="TableParagraph"/>
              <w:spacing w:before="60" w:after="60"/>
              <w:jc w:val="center"/>
              <w:rPr>
                <w:rFonts w:cs="Arial"/>
                <w:color w:val="008F54" w:themeColor="accent2"/>
              </w:rPr>
            </w:pPr>
            <w:r>
              <w:rPr>
                <w:rFonts w:cs="Arial"/>
                <w:color w:val="008F54" w:themeColor="accent2"/>
              </w:rPr>
              <w:t>1</w:t>
            </w:r>
            <w:r w:rsidR="00295921">
              <w:rPr>
                <w:rFonts w:cs="Arial"/>
                <w:color w:val="008F54" w:themeColor="accent2"/>
              </w:rPr>
              <w:t>6</w:t>
            </w:r>
          </w:p>
        </w:tc>
      </w:tr>
      <w:tr w:rsidR="009F21ED" w:rsidRPr="0065414C" w14:paraId="15784450" w14:textId="77777777" w:rsidTr="00B22772">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4FF9E87F" w14:textId="2BA3FB84" w:rsidR="009F21ED" w:rsidRPr="0065414C" w:rsidRDefault="009F21ED" w:rsidP="009F21ED">
            <w:pPr>
              <w:pStyle w:val="TableParagraph"/>
              <w:spacing w:before="60" w:after="60"/>
              <w:ind w:left="113" w:right="340"/>
              <w:rPr>
                <w:rFonts w:cs="Arial"/>
                <w:color w:val="008F54" w:themeColor="accent2"/>
              </w:rPr>
            </w:pPr>
            <w:r w:rsidRPr="003C616B">
              <w:rPr>
                <w:color w:val="008F54" w:themeColor="accent2"/>
                <w:szCs w:val="20"/>
              </w:rPr>
              <w:t>Are there any barriers or additional considerations to using AN-SNAP Version 5.0 to price admitted subacute and non-acute services for NEP23?</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tcPr>
          <w:p w14:paraId="41592F4C" w14:textId="5E24D18E" w:rsidR="009F21ED" w:rsidRPr="0065414C" w:rsidRDefault="00E100A9" w:rsidP="009F21ED">
            <w:pPr>
              <w:pStyle w:val="TableParagraph"/>
              <w:spacing w:before="60" w:after="60"/>
              <w:jc w:val="center"/>
              <w:rPr>
                <w:rFonts w:cs="Arial"/>
                <w:color w:val="008F54" w:themeColor="accent2"/>
              </w:rPr>
            </w:pPr>
            <w:r>
              <w:rPr>
                <w:rFonts w:cs="Arial"/>
                <w:color w:val="008F54" w:themeColor="accent2"/>
              </w:rPr>
              <w:t>1</w:t>
            </w:r>
            <w:r w:rsidR="004F2508">
              <w:rPr>
                <w:rFonts w:cs="Arial"/>
                <w:color w:val="008F54" w:themeColor="accent2"/>
              </w:rPr>
              <w:t>6</w:t>
            </w:r>
          </w:p>
        </w:tc>
      </w:tr>
      <w:tr w:rsidR="009F21ED" w:rsidRPr="0065414C" w14:paraId="5CDEE4FF" w14:textId="77777777" w:rsidTr="00B22772">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41E17266" w14:textId="195DFC98" w:rsidR="009F21ED" w:rsidRPr="0065414C" w:rsidRDefault="009F21ED" w:rsidP="009F21ED">
            <w:pPr>
              <w:pStyle w:val="TableParagraph"/>
              <w:spacing w:before="60" w:after="60"/>
              <w:ind w:left="113" w:right="340"/>
              <w:rPr>
                <w:rFonts w:cs="Arial"/>
                <w:color w:val="008F54" w:themeColor="accent2"/>
              </w:rPr>
            </w:pPr>
            <w:r w:rsidRPr="003C616B">
              <w:rPr>
                <w:color w:val="008F54" w:themeColor="accent2"/>
                <w:szCs w:val="20"/>
              </w:rPr>
              <w:t xml:space="preserve">Are there any </w:t>
            </w:r>
            <w:r w:rsidR="00E100A9">
              <w:rPr>
                <w:color w:val="008F54" w:themeColor="accent2"/>
                <w:szCs w:val="20"/>
              </w:rPr>
              <w:t>barriers or additional considerations</w:t>
            </w:r>
            <w:r w:rsidRPr="003C616B">
              <w:rPr>
                <w:color w:val="008F54" w:themeColor="accent2"/>
                <w:szCs w:val="20"/>
              </w:rPr>
              <w:t xml:space="preserve"> to </w:t>
            </w:r>
            <w:r w:rsidR="00E100A9">
              <w:rPr>
                <w:color w:val="008F54" w:themeColor="accent2"/>
                <w:szCs w:val="20"/>
              </w:rPr>
              <w:t xml:space="preserve">using </w:t>
            </w:r>
            <w:r w:rsidR="00E100A9" w:rsidRPr="003C616B">
              <w:rPr>
                <w:color w:val="008F54" w:themeColor="accent2"/>
                <w:szCs w:val="20"/>
              </w:rPr>
              <w:t xml:space="preserve">AMHCC Version 1.0 </w:t>
            </w:r>
            <w:r w:rsidR="00E100A9">
              <w:rPr>
                <w:color w:val="008F54" w:themeColor="accent2"/>
                <w:szCs w:val="20"/>
              </w:rPr>
              <w:t>to price</w:t>
            </w:r>
            <w:r w:rsidRPr="003C616B">
              <w:rPr>
                <w:color w:val="008F54" w:themeColor="accent2"/>
                <w:szCs w:val="20"/>
              </w:rPr>
              <w:t xml:space="preserve"> community mental health care </w:t>
            </w:r>
            <w:r w:rsidR="00D5692B">
              <w:rPr>
                <w:color w:val="008F54" w:themeColor="accent2"/>
                <w:szCs w:val="20"/>
              </w:rPr>
              <w:t xml:space="preserve">for </w:t>
            </w:r>
            <w:r w:rsidRPr="003C616B">
              <w:rPr>
                <w:color w:val="008F54" w:themeColor="accent2"/>
                <w:szCs w:val="20"/>
              </w:rPr>
              <w:t>NEP23?</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tcPr>
          <w:p w14:paraId="00EE9BE2" w14:textId="10FFCD5E" w:rsidR="009F21ED" w:rsidRPr="0065414C" w:rsidRDefault="00E100A9" w:rsidP="009F21ED">
            <w:pPr>
              <w:pStyle w:val="TableParagraph"/>
              <w:spacing w:before="60" w:after="60"/>
              <w:jc w:val="center"/>
              <w:rPr>
                <w:rFonts w:cs="Arial"/>
                <w:color w:val="008F54" w:themeColor="accent2"/>
              </w:rPr>
            </w:pPr>
            <w:r>
              <w:rPr>
                <w:rFonts w:cs="Arial"/>
                <w:color w:val="008F54" w:themeColor="accent2"/>
              </w:rPr>
              <w:t>1</w:t>
            </w:r>
            <w:r w:rsidR="004F2508">
              <w:rPr>
                <w:rFonts w:cs="Arial"/>
                <w:color w:val="008F54" w:themeColor="accent2"/>
              </w:rPr>
              <w:t>8</w:t>
            </w:r>
          </w:p>
        </w:tc>
      </w:tr>
      <w:tr w:rsidR="009F21ED" w:rsidRPr="0065414C" w14:paraId="144586BF" w14:textId="77777777" w:rsidTr="00B22772">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6E03F7CE" w14:textId="5381EA16" w:rsidR="009F21ED" w:rsidRPr="0065414C" w:rsidRDefault="009F21ED" w:rsidP="009F21ED">
            <w:pPr>
              <w:pStyle w:val="TableParagraph"/>
              <w:spacing w:before="60" w:after="60"/>
              <w:ind w:left="113" w:right="340"/>
              <w:rPr>
                <w:rFonts w:cs="Arial"/>
                <w:color w:val="008F54" w:themeColor="accent2"/>
              </w:rPr>
            </w:pPr>
            <w:r w:rsidRPr="001B222F">
              <w:rPr>
                <w:color w:val="008F54" w:themeColor="accent2"/>
                <w:szCs w:val="20"/>
              </w:rPr>
              <w:t xml:space="preserve">Are there any adjustments IHPA should prioritise investigating to inform the development of NEP23? </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tcPr>
          <w:p w14:paraId="29469818" w14:textId="129C34AC" w:rsidR="009F21ED" w:rsidRPr="0065414C" w:rsidRDefault="00E100A9" w:rsidP="009F21ED">
            <w:pPr>
              <w:pStyle w:val="TableParagraph"/>
              <w:spacing w:before="60" w:after="60"/>
              <w:jc w:val="center"/>
              <w:rPr>
                <w:rFonts w:cs="Arial"/>
                <w:color w:val="008F54" w:themeColor="accent2"/>
              </w:rPr>
            </w:pPr>
            <w:r>
              <w:rPr>
                <w:rFonts w:cs="Arial"/>
                <w:color w:val="008F54" w:themeColor="accent2"/>
              </w:rPr>
              <w:t>2</w:t>
            </w:r>
            <w:r w:rsidR="004F2508">
              <w:rPr>
                <w:rFonts w:cs="Arial"/>
                <w:color w:val="008F54" w:themeColor="accent2"/>
              </w:rPr>
              <w:t>1</w:t>
            </w:r>
          </w:p>
        </w:tc>
      </w:tr>
      <w:tr w:rsidR="00EF0424" w:rsidRPr="00E17A48" w14:paraId="5D5FCD61" w14:textId="77777777" w:rsidTr="00CB3B8E">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6DE1D11A" w14:textId="308B7C8F" w:rsidR="00EF0424" w:rsidRPr="003C616B" w:rsidRDefault="00BA35CE" w:rsidP="00CB3B8E">
            <w:pPr>
              <w:pStyle w:val="TableParagraph"/>
              <w:spacing w:before="60" w:after="60"/>
              <w:ind w:left="113" w:right="340"/>
              <w:rPr>
                <w:color w:val="008F54" w:themeColor="accent2"/>
                <w:szCs w:val="20"/>
              </w:rPr>
            </w:pPr>
            <w:r w:rsidRPr="00BA35CE">
              <w:rPr>
                <w:color w:val="008F54" w:themeColor="accent2"/>
                <w:szCs w:val="20"/>
              </w:rPr>
              <w:t xml:space="preserve">What cost input pressures </w:t>
            </w:r>
            <w:r w:rsidR="009D6DC0">
              <w:rPr>
                <w:color w:val="008F54" w:themeColor="accent2"/>
                <w:szCs w:val="20"/>
              </w:rPr>
              <w:t>that</w:t>
            </w:r>
            <w:r w:rsidR="00200667">
              <w:t xml:space="preserve"> </w:t>
            </w:r>
            <w:r w:rsidR="00200667" w:rsidRPr="00200667">
              <w:rPr>
                <w:color w:val="008F54" w:themeColor="accent2"/>
                <w:szCs w:val="20"/>
              </w:rPr>
              <w:t>may have an impact on the national pricing model and</w:t>
            </w:r>
            <w:r w:rsidR="00200667">
              <w:t xml:space="preserve"> </w:t>
            </w:r>
            <w:r w:rsidRPr="00BA35CE">
              <w:rPr>
                <w:color w:val="008F54" w:themeColor="accent2"/>
                <w:szCs w:val="20"/>
              </w:rPr>
              <w:t xml:space="preserve">are not </w:t>
            </w:r>
            <w:r w:rsidR="009D6DC0">
              <w:rPr>
                <w:color w:val="008F54" w:themeColor="accent2"/>
                <w:szCs w:val="20"/>
              </w:rPr>
              <w:t>included</w:t>
            </w:r>
            <w:r w:rsidR="009D6DC0" w:rsidRPr="00BA35CE">
              <w:rPr>
                <w:color w:val="008F54" w:themeColor="accent2"/>
                <w:szCs w:val="20"/>
              </w:rPr>
              <w:t xml:space="preserve"> </w:t>
            </w:r>
            <w:r w:rsidRPr="00BA35CE">
              <w:rPr>
                <w:color w:val="008F54" w:themeColor="accent2"/>
                <w:szCs w:val="20"/>
              </w:rPr>
              <w:t xml:space="preserve">in the </w:t>
            </w:r>
            <w:r w:rsidR="00B146CA">
              <w:rPr>
                <w:color w:val="008F54" w:themeColor="accent2"/>
                <w:szCs w:val="20"/>
              </w:rPr>
              <w:t>NHCDC</w:t>
            </w:r>
            <w:r w:rsidRPr="00BA35CE">
              <w:rPr>
                <w:color w:val="008F54" w:themeColor="accent2"/>
                <w:szCs w:val="20"/>
              </w:rPr>
              <w:t xml:space="preserve"> should be considered in the development of NEP23?</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tcPr>
          <w:p w14:paraId="0B1FC89C" w14:textId="6B218168" w:rsidR="00EF0424" w:rsidRPr="00EF0424" w:rsidRDefault="00EF0424" w:rsidP="00CB3B8E">
            <w:pPr>
              <w:pStyle w:val="TableParagraph"/>
              <w:spacing w:before="60" w:after="60"/>
              <w:jc w:val="center"/>
              <w:rPr>
                <w:color w:val="008F54" w:themeColor="accent2"/>
                <w:szCs w:val="20"/>
              </w:rPr>
            </w:pPr>
            <w:r>
              <w:rPr>
                <w:color w:val="008F54" w:themeColor="accent2"/>
                <w:szCs w:val="20"/>
              </w:rPr>
              <w:t>2</w:t>
            </w:r>
            <w:r w:rsidR="004F2508">
              <w:rPr>
                <w:color w:val="008F54" w:themeColor="accent2"/>
                <w:szCs w:val="20"/>
              </w:rPr>
              <w:t>1</w:t>
            </w:r>
          </w:p>
        </w:tc>
      </w:tr>
      <w:tr w:rsidR="009F21ED" w:rsidRPr="0065414C" w14:paraId="48288778" w14:textId="77777777" w:rsidTr="00B22772">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4A4EFF70" w14:textId="6845236C" w:rsidR="009F21ED" w:rsidRPr="0065414C" w:rsidRDefault="009F21ED" w:rsidP="009F21ED">
            <w:pPr>
              <w:pStyle w:val="TableParagraph"/>
              <w:spacing w:before="60" w:after="60"/>
              <w:ind w:left="113" w:right="340"/>
              <w:rPr>
                <w:rFonts w:cs="Arial"/>
                <w:color w:val="008F54" w:themeColor="accent2"/>
              </w:rPr>
            </w:pPr>
            <w:r w:rsidRPr="003C616B">
              <w:rPr>
                <w:color w:val="008F54" w:themeColor="accent2"/>
                <w:szCs w:val="20"/>
              </w:rPr>
              <w:t>Which initiatives to refine the</w:t>
            </w:r>
            <w:r w:rsidR="00704402">
              <w:rPr>
                <w:color w:val="008F54" w:themeColor="accent2"/>
                <w:szCs w:val="20"/>
              </w:rPr>
              <w:t xml:space="preserve"> national</w:t>
            </w:r>
            <w:r w:rsidRPr="003C616B">
              <w:rPr>
                <w:color w:val="008F54" w:themeColor="accent2"/>
                <w:szCs w:val="20"/>
              </w:rPr>
              <w:t xml:space="preserve"> pricing model should IHPA prioritise?</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tcPr>
          <w:p w14:paraId="53AA526A" w14:textId="469514E4" w:rsidR="009F21ED" w:rsidRPr="0065414C" w:rsidRDefault="00E100A9" w:rsidP="009F21ED">
            <w:pPr>
              <w:pStyle w:val="TableParagraph"/>
              <w:spacing w:before="60" w:after="60"/>
              <w:jc w:val="center"/>
              <w:rPr>
                <w:rFonts w:cs="Arial"/>
                <w:color w:val="008F54" w:themeColor="accent2"/>
              </w:rPr>
            </w:pPr>
            <w:r>
              <w:rPr>
                <w:rFonts w:cs="Arial"/>
                <w:color w:val="008F54" w:themeColor="accent2"/>
              </w:rPr>
              <w:t>2</w:t>
            </w:r>
            <w:r w:rsidR="004F2508">
              <w:rPr>
                <w:rFonts w:cs="Arial"/>
                <w:color w:val="008F54" w:themeColor="accent2"/>
              </w:rPr>
              <w:t>3</w:t>
            </w:r>
          </w:p>
        </w:tc>
      </w:tr>
      <w:tr w:rsidR="007B3721" w:rsidRPr="007B3721" w14:paraId="7D949AB4" w14:textId="77777777" w:rsidTr="00B22772">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7E8CAF68" w14:textId="1B4F5E0F" w:rsidR="007B3721" w:rsidRPr="00A370E3" w:rsidRDefault="007B3721" w:rsidP="007B3721">
            <w:pPr>
              <w:pStyle w:val="TableParagraph"/>
              <w:spacing w:before="60" w:after="60"/>
              <w:ind w:left="113" w:right="340"/>
              <w:rPr>
                <w:color w:val="008F54" w:themeColor="accent2"/>
                <w:szCs w:val="20"/>
              </w:rPr>
            </w:pPr>
            <w:r w:rsidRPr="00A370E3">
              <w:rPr>
                <w:color w:val="008F54" w:themeColor="accent2"/>
                <w:szCs w:val="20"/>
              </w:rPr>
              <w:t xml:space="preserve">What additional data sources are available to support refinement of the </w:t>
            </w:r>
            <w:r w:rsidR="00704402">
              <w:rPr>
                <w:color w:val="008F54" w:themeColor="accent2"/>
                <w:szCs w:val="20"/>
              </w:rPr>
              <w:t xml:space="preserve">national </w:t>
            </w:r>
            <w:r w:rsidRPr="00A370E3">
              <w:rPr>
                <w:color w:val="008F54" w:themeColor="accent2"/>
                <w:szCs w:val="20"/>
              </w:rPr>
              <w:t>pricing model in relation to adjustments,</w:t>
            </w:r>
            <w:r w:rsidR="009653B7">
              <w:rPr>
                <w:color w:val="008F54" w:themeColor="accent2"/>
                <w:szCs w:val="20"/>
              </w:rPr>
              <w:t xml:space="preserve"> price</w:t>
            </w:r>
            <w:r w:rsidRPr="00A370E3">
              <w:rPr>
                <w:color w:val="008F54" w:themeColor="accent2"/>
                <w:szCs w:val="20"/>
              </w:rPr>
              <w:t xml:space="preserve"> harmonisation, unqualified newborns, private patients </w:t>
            </w:r>
            <w:r w:rsidR="009653B7">
              <w:rPr>
                <w:color w:val="008F54" w:themeColor="accent2"/>
                <w:szCs w:val="20"/>
              </w:rPr>
              <w:t xml:space="preserve">or </w:t>
            </w:r>
            <w:r w:rsidRPr="00A370E3">
              <w:rPr>
                <w:color w:val="008F54" w:themeColor="accent2"/>
                <w:szCs w:val="20"/>
              </w:rPr>
              <w:t xml:space="preserve">organ donation? </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tcPr>
          <w:p w14:paraId="76322A7B" w14:textId="5A2B363E" w:rsidR="007B3721" w:rsidRPr="007B3721" w:rsidRDefault="007B3721" w:rsidP="007B3721">
            <w:pPr>
              <w:pStyle w:val="TableParagraph"/>
              <w:spacing w:before="60" w:after="60"/>
              <w:jc w:val="center"/>
              <w:rPr>
                <w:rFonts w:cs="Arial"/>
                <w:color w:val="008F54" w:themeColor="accent2"/>
              </w:rPr>
            </w:pPr>
            <w:r w:rsidRPr="007B3721">
              <w:rPr>
                <w:rFonts w:cs="Arial"/>
                <w:color w:val="008F54" w:themeColor="accent2"/>
              </w:rPr>
              <w:t>2</w:t>
            </w:r>
            <w:r w:rsidR="004F2508">
              <w:rPr>
                <w:rFonts w:cs="Arial"/>
                <w:color w:val="008F54" w:themeColor="accent2"/>
              </w:rPr>
              <w:t>3</w:t>
            </w:r>
          </w:p>
        </w:tc>
      </w:tr>
      <w:tr w:rsidR="00A3220F" w:rsidRPr="00A3220F" w14:paraId="2182557F" w14:textId="77777777" w:rsidTr="00B22772">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4D3CF004" w14:textId="28814655" w:rsidR="00A3220F" w:rsidRPr="00A370E3" w:rsidRDefault="00753C69" w:rsidP="00A3220F">
            <w:pPr>
              <w:pStyle w:val="TableParagraph"/>
              <w:spacing w:before="60" w:after="60"/>
              <w:ind w:left="113" w:right="340"/>
              <w:rPr>
                <w:color w:val="008F54" w:themeColor="accent2"/>
                <w:szCs w:val="20"/>
              </w:rPr>
            </w:pPr>
            <w:r w:rsidRPr="00753C69">
              <w:rPr>
                <w:color w:val="008F54" w:themeColor="accent2"/>
                <w:szCs w:val="20"/>
              </w:rPr>
              <w:t>What cost pressures for regional or remote hospitals should be considered in the development of NEC23</w:t>
            </w:r>
            <w:r w:rsidR="00A3220F" w:rsidRPr="00FE799F">
              <w:rPr>
                <w:color w:val="008F54" w:themeColor="accent2"/>
                <w:szCs w:val="20"/>
              </w:rPr>
              <w:t>?</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tcPr>
          <w:p w14:paraId="35D0ACCF" w14:textId="3BDB5255" w:rsidR="00A3220F" w:rsidRPr="00A3220F" w:rsidRDefault="00CC4FD4" w:rsidP="00A3220F">
            <w:pPr>
              <w:pStyle w:val="TableParagraph"/>
              <w:spacing w:before="60" w:after="60"/>
              <w:jc w:val="center"/>
              <w:rPr>
                <w:color w:val="008F54" w:themeColor="accent2"/>
                <w:szCs w:val="20"/>
              </w:rPr>
            </w:pPr>
            <w:r>
              <w:rPr>
                <w:color w:val="008F54" w:themeColor="accent2"/>
                <w:szCs w:val="20"/>
              </w:rPr>
              <w:t>2</w:t>
            </w:r>
            <w:r w:rsidR="004F2508">
              <w:rPr>
                <w:color w:val="008F54" w:themeColor="accent2"/>
                <w:szCs w:val="20"/>
              </w:rPr>
              <w:t>6</w:t>
            </w:r>
          </w:p>
        </w:tc>
      </w:tr>
      <w:tr w:rsidR="00A370E3" w:rsidRPr="007B3721" w14:paraId="7B924972" w14:textId="77777777" w:rsidTr="00B22772">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0FD68105" w14:textId="2AB25688" w:rsidR="00A370E3" w:rsidRPr="00A370E3" w:rsidRDefault="00A370E3" w:rsidP="00A370E3">
            <w:pPr>
              <w:pStyle w:val="TableParagraph"/>
              <w:spacing w:before="60" w:after="60"/>
              <w:ind w:left="113" w:right="340"/>
              <w:rPr>
                <w:color w:val="008F54" w:themeColor="accent2"/>
                <w:szCs w:val="20"/>
              </w:rPr>
            </w:pPr>
            <w:r w:rsidRPr="00A370E3">
              <w:rPr>
                <w:color w:val="008F54" w:themeColor="accent2"/>
                <w:szCs w:val="20"/>
              </w:rPr>
              <w:t>What specific areas of the Local Hospital Networks and Public Hospital Establishment</w:t>
            </w:r>
            <w:r w:rsidR="006B52AB">
              <w:rPr>
                <w:color w:val="008F54" w:themeColor="accent2"/>
                <w:szCs w:val="20"/>
              </w:rPr>
              <w:t>s</w:t>
            </w:r>
            <w:r w:rsidRPr="00A370E3">
              <w:rPr>
                <w:color w:val="008F54" w:themeColor="accent2"/>
                <w:szCs w:val="20"/>
              </w:rPr>
              <w:t xml:space="preserve"> National Minimum Data Set would you recommend IHPA focus on when developing its independent quality assurance process?</w:t>
            </w:r>
            <w:r w:rsidRPr="00316BCC">
              <w:t xml:space="preserve"> </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tcPr>
          <w:p w14:paraId="33205CBB" w14:textId="57784FE5" w:rsidR="00A370E3" w:rsidRPr="007B3721" w:rsidRDefault="00CC4FD4" w:rsidP="00A370E3">
            <w:pPr>
              <w:pStyle w:val="TableParagraph"/>
              <w:spacing w:before="60" w:after="60"/>
              <w:jc w:val="center"/>
              <w:rPr>
                <w:rFonts w:cs="Arial"/>
                <w:color w:val="008F54" w:themeColor="accent2"/>
              </w:rPr>
            </w:pPr>
            <w:r>
              <w:rPr>
                <w:rFonts w:cs="Arial"/>
                <w:color w:val="008F54" w:themeColor="accent2"/>
              </w:rPr>
              <w:t>2</w:t>
            </w:r>
            <w:r w:rsidR="004F2508">
              <w:rPr>
                <w:rFonts w:cs="Arial"/>
                <w:color w:val="008F54" w:themeColor="accent2"/>
              </w:rPr>
              <w:t>6</w:t>
            </w:r>
          </w:p>
        </w:tc>
      </w:tr>
      <w:tr w:rsidR="00704402" w:rsidRPr="00704402" w14:paraId="12F7E211" w14:textId="77777777" w:rsidTr="00B22772">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606F7E4B" w14:textId="0AD874E4" w:rsidR="00704402" w:rsidRPr="00A370E3" w:rsidRDefault="00704402" w:rsidP="00704402">
            <w:pPr>
              <w:pStyle w:val="TableParagraph"/>
              <w:spacing w:before="60" w:after="60"/>
              <w:ind w:left="113" w:right="340"/>
              <w:rPr>
                <w:color w:val="008F54" w:themeColor="accent2"/>
                <w:szCs w:val="20"/>
              </w:rPr>
            </w:pPr>
            <w:r w:rsidRPr="0066303C">
              <w:rPr>
                <w:color w:val="008F54" w:themeColor="accent2"/>
                <w:szCs w:val="20"/>
              </w:rPr>
              <w:t>What should IHPA consider when transitioning standalone hospitals providing specialist mental health services to ABF?</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tcPr>
          <w:p w14:paraId="304CF24B" w14:textId="6EE54D59" w:rsidR="00704402" w:rsidRPr="000B47F0" w:rsidRDefault="00CC4FD4" w:rsidP="000B47F0">
            <w:pPr>
              <w:pStyle w:val="TableParagraph"/>
              <w:spacing w:before="60" w:after="60"/>
              <w:jc w:val="center"/>
              <w:rPr>
                <w:rFonts w:cs="Arial"/>
                <w:color w:val="008F54" w:themeColor="accent2"/>
              </w:rPr>
            </w:pPr>
            <w:r>
              <w:rPr>
                <w:rFonts w:cs="Arial"/>
                <w:color w:val="008F54" w:themeColor="accent2"/>
              </w:rPr>
              <w:t>2</w:t>
            </w:r>
            <w:r w:rsidR="004F2508">
              <w:rPr>
                <w:rFonts w:cs="Arial"/>
                <w:color w:val="008F54" w:themeColor="accent2"/>
              </w:rPr>
              <w:t>6</w:t>
            </w:r>
          </w:p>
        </w:tc>
      </w:tr>
      <w:tr w:rsidR="009D6DC0" w:rsidRPr="004A55B7" w14:paraId="1EF4F397" w14:textId="77777777" w:rsidTr="00A42E3B">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24A57D30" w14:textId="77777777" w:rsidR="009D6DC0" w:rsidRPr="00A370E3" w:rsidRDefault="009D6DC0" w:rsidP="00A42E3B">
            <w:pPr>
              <w:pStyle w:val="TableParagraph"/>
              <w:spacing w:before="60" w:after="60"/>
              <w:ind w:left="113" w:right="340"/>
              <w:rPr>
                <w:color w:val="008F54" w:themeColor="accent2"/>
                <w:szCs w:val="20"/>
              </w:rPr>
            </w:pPr>
            <w:r w:rsidRPr="00A370E3">
              <w:rPr>
                <w:color w:val="008F54" w:themeColor="accent2"/>
                <w:szCs w:val="20"/>
              </w:rPr>
              <w:t>How is virtual care delivery captured in information systems and data collections?</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tcPr>
          <w:p w14:paraId="7BC06523" w14:textId="29AF9FA9" w:rsidR="009D6DC0" w:rsidRPr="0097098D" w:rsidRDefault="00CC4FD4" w:rsidP="00A42E3B">
            <w:pPr>
              <w:pStyle w:val="TableParagraph"/>
              <w:spacing w:before="60" w:after="60"/>
              <w:jc w:val="center"/>
              <w:rPr>
                <w:rFonts w:cs="Arial"/>
                <w:color w:val="008F54" w:themeColor="accent2"/>
              </w:rPr>
            </w:pPr>
            <w:r>
              <w:rPr>
                <w:rFonts w:cs="Arial"/>
                <w:color w:val="008F54" w:themeColor="accent2"/>
              </w:rPr>
              <w:t>3</w:t>
            </w:r>
            <w:r w:rsidR="004F2508">
              <w:rPr>
                <w:rFonts w:cs="Arial"/>
                <w:color w:val="008F54" w:themeColor="accent2"/>
              </w:rPr>
              <w:t>0</w:t>
            </w:r>
          </w:p>
        </w:tc>
      </w:tr>
      <w:tr w:rsidR="004F43FB" w:rsidRPr="004F43FB" w14:paraId="2AC80066" w14:textId="77777777" w:rsidTr="00B22772">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481191A0" w14:textId="6FFFC4AD" w:rsidR="004F43FB" w:rsidRPr="004F43FB" w:rsidRDefault="004A55B7" w:rsidP="004F43FB">
            <w:pPr>
              <w:pStyle w:val="TableParagraph"/>
              <w:spacing w:before="60" w:after="60"/>
              <w:ind w:left="113" w:right="340"/>
              <w:rPr>
                <w:color w:val="008F54" w:themeColor="accent2"/>
                <w:szCs w:val="20"/>
              </w:rPr>
            </w:pPr>
            <w:r w:rsidRPr="00A370E3">
              <w:rPr>
                <w:color w:val="008F54" w:themeColor="accent2"/>
                <w:szCs w:val="20"/>
              </w:rPr>
              <w:t xml:space="preserve">IHPA is proposing to investigate the inclusion of </w:t>
            </w:r>
            <w:r w:rsidR="000C0716">
              <w:rPr>
                <w:color w:val="008F54" w:themeColor="accent2"/>
                <w:szCs w:val="20"/>
              </w:rPr>
              <w:t>e</w:t>
            </w:r>
            <w:r w:rsidRPr="00A370E3">
              <w:rPr>
                <w:color w:val="008F54" w:themeColor="accent2"/>
                <w:szCs w:val="20"/>
              </w:rPr>
              <w:t xml:space="preserve">mergency </w:t>
            </w:r>
            <w:r w:rsidR="000C0716">
              <w:rPr>
                <w:color w:val="008F54" w:themeColor="accent2"/>
                <w:szCs w:val="20"/>
              </w:rPr>
              <w:t>d</w:t>
            </w:r>
            <w:r w:rsidRPr="00A370E3">
              <w:rPr>
                <w:color w:val="008F54" w:themeColor="accent2"/>
                <w:szCs w:val="20"/>
              </w:rPr>
              <w:t xml:space="preserve">epartment telehealth video consultations in the NAPEDC NMDS and Emergency </w:t>
            </w:r>
            <w:r w:rsidR="00321F9C">
              <w:rPr>
                <w:color w:val="008F54" w:themeColor="accent2"/>
                <w:szCs w:val="20"/>
              </w:rPr>
              <w:t>s</w:t>
            </w:r>
            <w:r w:rsidRPr="00A370E3">
              <w:rPr>
                <w:color w:val="008F54" w:themeColor="accent2"/>
                <w:szCs w:val="20"/>
              </w:rPr>
              <w:t xml:space="preserve">ervice </w:t>
            </w:r>
            <w:r w:rsidR="00321F9C">
              <w:rPr>
                <w:color w:val="008F54" w:themeColor="accent2"/>
                <w:szCs w:val="20"/>
              </w:rPr>
              <w:t>c</w:t>
            </w:r>
            <w:r w:rsidRPr="00A370E3">
              <w:rPr>
                <w:color w:val="008F54" w:themeColor="accent2"/>
                <w:szCs w:val="20"/>
              </w:rPr>
              <w:t xml:space="preserve">are National Best Endeavours Data Set for 2023–24. </w:t>
            </w:r>
            <w:r w:rsidR="004F43FB" w:rsidRPr="004F43FB">
              <w:rPr>
                <w:color w:val="008F54" w:themeColor="accent2"/>
                <w:szCs w:val="20"/>
              </w:rPr>
              <w:t>Are there any other examples of innovative models of care and services related to virtual care that IHPA should also consider investigating?</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tcPr>
          <w:p w14:paraId="650C7A98" w14:textId="2190BD08" w:rsidR="004F43FB" w:rsidRPr="004F43FB" w:rsidRDefault="00CC4FD4" w:rsidP="004F43FB">
            <w:pPr>
              <w:pStyle w:val="TableParagraph"/>
              <w:spacing w:before="60" w:after="60"/>
              <w:jc w:val="center"/>
              <w:rPr>
                <w:rFonts w:cs="Arial"/>
                <w:color w:val="008F54" w:themeColor="accent2"/>
              </w:rPr>
            </w:pPr>
            <w:r>
              <w:rPr>
                <w:rFonts w:cs="Arial"/>
                <w:color w:val="008F54" w:themeColor="accent2"/>
              </w:rPr>
              <w:t>3</w:t>
            </w:r>
            <w:r w:rsidR="004F2508">
              <w:rPr>
                <w:rFonts w:cs="Arial"/>
                <w:color w:val="008F54" w:themeColor="accent2"/>
              </w:rPr>
              <w:t>0</w:t>
            </w:r>
          </w:p>
        </w:tc>
      </w:tr>
      <w:tr w:rsidR="009D6DC0" w:rsidRPr="004A55B7" w14:paraId="0070FCF7" w14:textId="77777777" w:rsidTr="00B22772">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69815DC5" w14:textId="1C66E7A1" w:rsidR="009D6DC0" w:rsidRPr="00A370E3" w:rsidRDefault="009D6DC0" w:rsidP="004A55B7">
            <w:pPr>
              <w:pStyle w:val="TableParagraph"/>
              <w:spacing w:before="60" w:after="60"/>
              <w:ind w:left="113" w:right="340"/>
              <w:rPr>
                <w:color w:val="008F54" w:themeColor="accent2"/>
                <w:szCs w:val="20"/>
              </w:rPr>
            </w:pPr>
            <w:r w:rsidRPr="009D6DC0">
              <w:rPr>
                <w:color w:val="008F54" w:themeColor="accent2"/>
                <w:szCs w:val="20"/>
              </w:rPr>
              <w:t>What changes, if any, to the national pricing model should IHPA consider to account for innovative models of care and services related to virtual care?</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tcPr>
          <w:p w14:paraId="22F7331F" w14:textId="392BAC42" w:rsidR="009D6DC0" w:rsidRPr="00A370E3" w:rsidRDefault="00CC4FD4" w:rsidP="0097098D">
            <w:pPr>
              <w:pStyle w:val="TableParagraph"/>
              <w:spacing w:before="60" w:after="60"/>
              <w:jc w:val="center"/>
              <w:rPr>
                <w:rFonts w:cs="Arial"/>
                <w:color w:val="008F54" w:themeColor="accent2"/>
              </w:rPr>
            </w:pPr>
            <w:r>
              <w:rPr>
                <w:rFonts w:cs="Arial"/>
                <w:color w:val="008F54" w:themeColor="accent2"/>
              </w:rPr>
              <w:t>3</w:t>
            </w:r>
            <w:r w:rsidR="004F2508">
              <w:rPr>
                <w:rFonts w:cs="Arial"/>
                <w:color w:val="008F54" w:themeColor="accent2"/>
              </w:rPr>
              <w:t>0</w:t>
            </w:r>
          </w:p>
        </w:tc>
      </w:tr>
    </w:tbl>
    <w:p w14:paraId="455FC4D3" w14:textId="4780A345" w:rsidR="00C415F5" w:rsidRPr="0065414C" w:rsidRDefault="00C415F5" w:rsidP="009169B3">
      <w:pPr>
        <w:rPr>
          <w:rFonts w:cs="Arial"/>
          <w:sz w:val="16"/>
        </w:rPr>
        <w:sectPr w:rsidR="00C415F5" w:rsidRPr="0065414C" w:rsidSect="00B6238A">
          <w:headerReference w:type="default" r:id="rId90"/>
          <w:pgSz w:w="11910" w:h="16840"/>
          <w:pgMar w:top="1440" w:right="1440" w:bottom="1276" w:left="1440" w:header="0" w:footer="656" w:gutter="0"/>
          <w:cols w:space="720"/>
        </w:sectPr>
      </w:pPr>
    </w:p>
    <w:p w14:paraId="64CB0EB7" w14:textId="77777777" w:rsidR="00D3193A" w:rsidRDefault="003F223E" w:rsidP="00A617A7">
      <w:pPr>
        <w:pStyle w:val="BodyText"/>
        <w:rPr>
          <w:rFonts w:cs="Arial"/>
          <w:color w:val="FFFFFF" w:themeColor="background1"/>
        </w:rPr>
      </w:pPr>
      <w:r w:rsidRPr="0065414C">
        <w:rPr>
          <w:rFonts w:cs="Arial"/>
          <w:noProof/>
          <w:color w:val="FFFFFF" w:themeColor="background1"/>
          <w:sz w:val="20"/>
          <w:lang w:eastAsia="en-AU" w:bidi="ar-SA"/>
        </w:rPr>
        <w:lastRenderedPageBreak/>
        <w:drawing>
          <wp:anchor distT="0" distB="0" distL="114300" distR="114300" simplePos="0" relativeHeight="251639808" behindDoc="1" locked="0" layoutInCell="1" allowOverlap="1" wp14:anchorId="49FB6845" wp14:editId="0FD83676">
            <wp:simplePos x="0" y="0"/>
            <wp:positionH relativeFrom="column">
              <wp:posOffset>-914400</wp:posOffset>
            </wp:positionH>
            <wp:positionV relativeFrom="page">
              <wp:posOffset>0</wp:posOffset>
            </wp:positionV>
            <wp:extent cx="7562850" cy="10697845"/>
            <wp:effectExtent l="0" t="0" r="0" b="825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91" cstate="print">
                      <a:extLst>
                        <a:ext uri="{28A0092B-C50C-407E-A947-70E740481C1C}">
                          <a14:useLocalDpi xmlns:a14="http://schemas.microsoft.com/office/drawing/2010/main" val="0"/>
                        </a:ext>
                      </a:extLst>
                    </a:blip>
                    <a:stretch>
                      <a:fillRect/>
                    </a:stretch>
                  </pic:blipFill>
                  <pic:spPr>
                    <a:xfrm>
                      <a:off x="0" y="0"/>
                      <a:ext cx="7562850" cy="10697845"/>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 w:val="36"/>
          <w:lang w:eastAsia="en-AU" w:bidi="ar-SA"/>
        </w:rPr>
        <w:drawing>
          <wp:inline distT="0" distB="0" distL="0" distR="0" wp14:anchorId="12CC17E9" wp14:editId="15DEFD86">
            <wp:extent cx="667385" cy="1011555"/>
            <wp:effectExtent l="0" t="0" r="0" b="0"/>
            <wp:docPr id="30" name="Picture 30" descr="IH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HPA Logo"/>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67385" cy="1011555"/>
                    </a:xfrm>
                    <a:prstGeom prst="rect">
                      <a:avLst/>
                    </a:prstGeom>
                  </pic:spPr>
                </pic:pic>
              </a:graphicData>
            </a:graphic>
          </wp:inline>
        </w:drawing>
      </w:r>
    </w:p>
    <w:p w14:paraId="060EB530" w14:textId="26B0B98D" w:rsidR="00C415F5" w:rsidRPr="0065414C" w:rsidRDefault="00603DEC" w:rsidP="00D3193A">
      <w:pPr>
        <w:pStyle w:val="BodyText"/>
        <w:spacing w:before="9720"/>
        <w:rPr>
          <w:rFonts w:cs="Arial"/>
          <w:color w:val="FFFFFF" w:themeColor="background1"/>
        </w:rPr>
      </w:pPr>
      <w:r w:rsidRPr="0065414C">
        <w:rPr>
          <w:rFonts w:cs="Arial"/>
          <w:color w:val="FFFFFF" w:themeColor="background1"/>
        </w:rPr>
        <w:t>Independent Hospital Pricing Authority</w:t>
      </w:r>
    </w:p>
    <w:p w14:paraId="7D49A071" w14:textId="30D70F40" w:rsidR="00C415F5" w:rsidRPr="0065414C" w:rsidRDefault="00F024B4" w:rsidP="00A617A7">
      <w:pPr>
        <w:pStyle w:val="BodyText"/>
        <w:rPr>
          <w:rFonts w:cs="Arial"/>
          <w:color w:val="FFFFFF" w:themeColor="background1"/>
        </w:rPr>
      </w:pPr>
      <w:r>
        <w:rPr>
          <w:rFonts w:cs="Arial"/>
          <w:color w:val="FFFFFF" w:themeColor="background1"/>
        </w:rPr>
        <w:t xml:space="preserve">Eora Nation, </w:t>
      </w:r>
      <w:r w:rsidR="00603DEC" w:rsidRPr="0065414C">
        <w:rPr>
          <w:rFonts w:cs="Arial"/>
          <w:color w:val="FFFFFF" w:themeColor="background1"/>
        </w:rPr>
        <w:t xml:space="preserve">Level </w:t>
      </w:r>
      <w:r w:rsidR="009F21ED">
        <w:rPr>
          <w:rFonts w:cs="Arial"/>
          <w:color w:val="FFFFFF" w:themeColor="background1"/>
        </w:rPr>
        <w:t>12</w:t>
      </w:r>
      <w:r w:rsidR="00603DEC" w:rsidRPr="0065414C">
        <w:rPr>
          <w:rFonts w:cs="Arial"/>
          <w:color w:val="FFFFFF" w:themeColor="background1"/>
        </w:rPr>
        <w:t>, 1 Oxford Street</w:t>
      </w:r>
    </w:p>
    <w:p w14:paraId="0C9CFD20" w14:textId="77777777" w:rsidR="00C415F5" w:rsidRPr="0065414C" w:rsidRDefault="00603DEC" w:rsidP="00A617A7">
      <w:pPr>
        <w:pStyle w:val="BodyText"/>
        <w:rPr>
          <w:rFonts w:cs="Arial"/>
          <w:color w:val="FFFFFF" w:themeColor="background1"/>
        </w:rPr>
      </w:pPr>
      <w:r w:rsidRPr="0065414C">
        <w:rPr>
          <w:rFonts w:cs="Arial"/>
          <w:color w:val="FFFFFF" w:themeColor="background1"/>
        </w:rPr>
        <w:t>Sydney NSW 2000</w:t>
      </w:r>
    </w:p>
    <w:p w14:paraId="7DA761A7" w14:textId="77777777" w:rsidR="00C415F5" w:rsidRPr="0065414C" w:rsidRDefault="00603DEC" w:rsidP="00A617A7">
      <w:pPr>
        <w:pStyle w:val="BodyText"/>
        <w:rPr>
          <w:rFonts w:cs="Arial"/>
          <w:color w:val="FFFFFF" w:themeColor="background1"/>
        </w:rPr>
      </w:pPr>
      <w:r w:rsidRPr="0065414C">
        <w:rPr>
          <w:rFonts w:cs="Arial"/>
          <w:b/>
          <w:color w:val="FFFFFF" w:themeColor="background1"/>
        </w:rPr>
        <w:t>Phone</w:t>
      </w:r>
      <w:r w:rsidR="00A617A7" w:rsidRPr="0065414C">
        <w:rPr>
          <w:rFonts w:cs="Arial"/>
          <w:b/>
          <w:color w:val="FFFFFF" w:themeColor="background1"/>
        </w:rPr>
        <w:tab/>
      </w:r>
      <w:r w:rsidRPr="0065414C">
        <w:rPr>
          <w:rFonts w:cs="Arial"/>
          <w:color w:val="FFFFFF" w:themeColor="background1"/>
        </w:rPr>
        <w:t>02 8215 1100</w:t>
      </w:r>
    </w:p>
    <w:p w14:paraId="195A4A3E" w14:textId="77777777" w:rsidR="00C415F5" w:rsidRPr="0065414C" w:rsidRDefault="00603DEC" w:rsidP="00A617A7">
      <w:pPr>
        <w:pStyle w:val="BodyText"/>
        <w:rPr>
          <w:rFonts w:cs="Arial"/>
          <w:color w:val="FFFFFF" w:themeColor="background1"/>
        </w:rPr>
      </w:pPr>
      <w:r w:rsidRPr="0065414C">
        <w:rPr>
          <w:rFonts w:cs="Arial"/>
          <w:b/>
          <w:color w:val="FFFFFF" w:themeColor="background1"/>
        </w:rPr>
        <w:t>Email</w:t>
      </w:r>
      <w:r w:rsidRPr="0065414C">
        <w:rPr>
          <w:rFonts w:cs="Arial"/>
          <w:b/>
          <w:color w:val="FFFFFF" w:themeColor="background1"/>
        </w:rPr>
        <w:tab/>
      </w:r>
      <w:hyperlink r:id="rId93" w:history="1">
        <w:r w:rsidR="004B213F" w:rsidRPr="00F36701">
          <w:rPr>
            <w:rStyle w:val="Hyperlink"/>
            <w:rFonts w:cs="Arial"/>
            <w:color w:val="7EC352" w:themeColor="accent1"/>
          </w:rPr>
          <w:t>enquiries.ihpa@ihpa.gov.au</w:t>
        </w:r>
      </w:hyperlink>
    </w:p>
    <w:p w14:paraId="37DEE8B1" w14:textId="77777777" w:rsidR="00A617A7" w:rsidRPr="0065414C" w:rsidRDefault="00603DEC" w:rsidP="00A617A7">
      <w:pPr>
        <w:pStyle w:val="BodyText"/>
        <w:rPr>
          <w:rFonts w:cs="Arial"/>
          <w:color w:val="FFFFFF" w:themeColor="background1"/>
        </w:rPr>
      </w:pPr>
      <w:r w:rsidRPr="0065414C">
        <w:rPr>
          <w:rFonts w:cs="Arial"/>
          <w:b/>
          <w:color w:val="FFFFFF" w:themeColor="background1"/>
        </w:rPr>
        <w:t>Twitter</w:t>
      </w:r>
      <w:r w:rsidR="00A617A7" w:rsidRPr="0065414C">
        <w:rPr>
          <w:rFonts w:cs="Arial"/>
          <w:b/>
          <w:color w:val="FFFFFF" w:themeColor="background1"/>
        </w:rPr>
        <w:tab/>
      </w:r>
      <w:hyperlink r:id="rId94">
        <w:r w:rsidRPr="0065414C">
          <w:rPr>
            <w:rFonts w:cs="Arial"/>
            <w:color w:val="FFFFFF" w:themeColor="background1"/>
          </w:rPr>
          <w:t>@IHPAnews</w:t>
        </w:r>
      </w:hyperlink>
      <w:r w:rsidRPr="0065414C">
        <w:rPr>
          <w:rFonts w:cs="Arial"/>
          <w:color w:val="FFFFFF" w:themeColor="background1"/>
        </w:rPr>
        <w:t xml:space="preserve"> </w:t>
      </w:r>
    </w:p>
    <w:p w14:paraId="7D91A2AB" w14:textId="1392E95D" w:rsidR="00C415F5" w:rsidRPr="00F36701" w:rsidRDefault="00BC4B23" w:rsidP="00A617A7">
      <w:pPr>
        <w:pStyle w:val="BodyText"/>
        <w:rPr>
          <w:rFonts w:cs="Arial"/>
          <w:color w:val="7EC352" w:themeColor="accent1"/>
        </w:rPr>
      </w:pPr>
      <w:hyperlink r:id="rId95" w:history="1">
        <w:r w:rsidR="00A617A7" w:rsidRPr="00F36701">
          <w:rPr>
            <w:rStyle w:val="Hyperlink"/>
            <w:rFonts w:cs="Arial"/>
            <w:color w:val="7EC352" w:themeColor="accent1"/>
          </w:rPr>
          <w:t>www.ihpa.gov.au</w:t>
        </w:r>
      </w:hyperlink>
    </w:p>
    <w:sectPr w:rsidR="00C415F5" w:rsidRPr="00F36701" w:rsidSect="00D3193A">
      <w:headerReference w:type="default" r:id="rId96"/>
      <w:footerReference w:type="default" r:id="rId97"/>
      <w:pgSz w:w="11910" w:h="16840"/>
      <w:pgMar w:top="1135" w:right="1440" w:bottom="1440" w:left="14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723525" w14:textId="77777777" w:rsidR="003777DB" w:rsidRDefault="003777DB">
      <w:r>
        <w:separator/>
      </w:r>
    </w:p>
  </w:endnote>
  <w:endnote w:type="continuationSeparator" w:id="0">
    <w:p w14:paraId="5AB6F630" w14:textId="77777777" w:rsidR="003777DB" w:rsidRDefault="003777DB">
      <w:r>
        <w:continuationSeparator/>
      </w:r>
    </w:p>
  </w:endnote>
  <w:endnote w:type="continuationNotice" w:id="1">
    <w:p w14:paraId="41524575" w14:textId="77777777" w:rsidR="003777DB" w:rsidRDefault="003777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Times New Roman"/>
    <w:charset w:val="00"/>
    <w:family w:val="auto"/>
    <w:pitch w:val="variable"/>
    <w:sig w:usb0="A10002FF" w:usb1="4000005B" w:usb2="00000000" w:usb3="00000000" w:csb0="0000019F" w:csb1="00000000"/>
  </w:font>
  <w:font w:name="Futura PT Book">
    <w:altName w:val="MS Gothic"/>
    <w:panose1 w:val="00000000000000000000"/>
    <w:charset w:val="00"/>
    <w:family w:val="swiss"/>
    <w:notTrueType/>
    <w:pitch w:val="variable"/>
    <w:sig w:usb0="A00002FF" w:usb1="5000204B" w:usb2="00000000" w:usb3="00000000" w:csb0="000000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PT Heavy">
    <w:altName w:val="Segoe UI Semibold"/>
    <w:panose1 w:val="00000000000000000000"/>
    <w:charset w:val="00"/>
    <w:family w:val="swiss"/>
    <w:notTrueType/>
    <w:pitch w:val="variable"/>
    <w:sig w:usb0="A00002FF" w:usb1="5000204A" w:usb2="00000000" w:usb3="00000000" w:csb0="00000097" w:csb1="00000000"/>
  </w:font>
  <w:font w:name="Futura PT Bold">
    <w:altName w:val="Segoe UI Black"/>
    <w:panose1 w:val="00000000000000000000"/>
    <w:charset w:val="00"/>
    <w:family w:val="swiss"/>
    <w:notTrueType/>
    <w:pitch w:val="variable"/>
    <w:sig w:usb0="A00002FF" w:usb1="5000204A" w:usb2="00000000" w:usb3="00000000" w:csb0="00000097"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0685C" w14:textId="77777777" w:rsidR="00FE6544" w:rsidRDefault="00FE65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E0368" w14:textId="7406CC6F" w:rsidR="00FE6544" w:rsidRDefault="00FE6544" w:rsidP="00460625">
    <w:pPr>
      <w:tabs>
        <w:tab w:val="left" w:pos="638"/>
      </w:tabs>
      <w:spacing w:before="16"/>
      <w:ind w:left="20"/>
      <w:rPr>
        <w:sz w:val="20"/>
      </w:rPr>
    </w:pPr>
    <w:r w:rsidRPr="00460625">
      <w:rPr>
        <w:rFonts w:cs="Arial"/>
        <w:b/>
        <w:color w:val="003E2D"/>
        <w:spacing w:val="-3"/>
        <w:sz w:val="18"/>
      </w:rPr>
      <w:t>IHPA</w:t>
    </w:r>
    <w:r w:rsidRPr="00460625">
      <w:rPr>
        <w:rFonts w:cs="Arial"/>
        <w:b/>
        <w:color w:val="003E2D"/>
        <w:spacing w:val="-3"/>
        <w:sz w:val="18"/>
      </w:rPr>
      <w:tab/>
    </w:r>
    <w:r w:rsidRPr="00460625">
      <w:rPr>
        <w:rFonts w:cs="Arial"/>
        <w:color w:val="003E2D"/>
        <w:sz w:val="18"/>
      </w:rPr>
      <w:t>Consultation Paper on the Pricing Framework for Australian Public Hospital Services</w:t>
    </w:r>
    <w:r w:rsidRPr="00460625">
      <w:rPr>
        <w:rFonts w:cs="Arial"/>
        <w:color w:val="003E2D"/>
        <w:spacing w:val="-10"/>
        <w:sz w:val="18"/>
      </w:rPr>
      <w:t xml:space="preserve"> </w:t>
    </w:r>
    <w:r w:rsidRPr="00460625">
      <w:rPr>
        <w:rFonts w:cs="Arial"/>
        <w:color w:val="003E2D"/>
        <w:spacing w:val="-6"/>
        <w:sz w:val="18"/>
      </w:rPr>
      <w:t>202</w:t>
    </w:r>
    <w:r>
      <w:rPr>
        <w:rFonts w:cs="Arial"/>
        <w:color w:val="003E2D"/>
        <w:spacing w:val="-6"/>
        <w:sz w:val="18"/>
      </w:rPr>
      <w:t>3</w:t>
    </w:r>
    <w:r w:rsidRPr="00460625">
      <w:rPr>
        <w:rFonts w:cs="Arial"/>
        <w:color w:val="003E2D"/>
        <w:spacing w:val="-6"/>
        <w:sz w:val="18"/>
      </w:rPr>
      <w:t>–2</w:t>
    </w:r>
    <w:r>
      <w:rPr>
        <w:rFonts w:cs="Arial"/>
        <w:color w:val="003E2D"/>
        <w:spacing w:val="-6"/>
        <w:sz w:val="18"/>
      </w:rPr>
      <w:t>4</w:t>
    </w:r>
    <w:r>
      <w:rPr>
        <w:rFonts w:cs="Arial"/>
        <w:color w:val="003E2D"/>
        <w:spacing w:val="-6"/>
        <w:sz w:val="18"/>
      </w:rPr>
      <w:tab/>
    </w:r>
    <w:r w:rsidRPr="00460625">
      <w:rPr>
        <w:color w:val="003E2D" w:themeColor="text1"/>
        <w:sz w:val="18"/>
        <w:szCs w:val="18"/>
      </w:rPr>
      <w:fldChar w:fldCharType="begin"/>
    </w:r>
    <w:r w:rsidRPr="00460625">
      <w:rPr>
        <w:color w:val="003E2D" w:themeColor="text1"/>
        <w:sz w:val="18"/>
        <w:szCs w:val="18"/>
      </w:rPr>
      <w:instrText xml:space="preserve"> PAGE   \* MERGEFORMAT </w:instrText>
    </w:r>
    <w:r w:rsidRPr="00460625">
      <w:rPr>
        <w:color w:val="003E2D" w:themeColor="text1"/>
        <w:sz w:val="18"/>
        <w:szCs w:val="18"/>
      </w:rPr>
      <w:fldChar w:fldCharType="separate"/>
    </w:r>
    <w:r>
      <w:rPr>
        <w:noProof/>
        <w:color w:val="003E2D" w:themeColor="text1"/>
        <w:sz w:val="18"/>
        <w:szCs w:val="18"/>
      </w:rPr>
      <w:t>1</w:t>
    </w:r>
    <w:r w:rsidRPr="00460625">
      <w:rPr>
        <w:noProof/>
        <w:color w:val="003E2D" w:themeColor="text1"/>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ECBF7A" w14:textId="206C9803" w:rsidR="00FE6544" w:rsidRDefault="00FE6544" w:rsidP="00460625">
    <w:pPr>
      <w:tabs>
        <w:tab w:val="left" w:pos="638"/>
      </w:tabs>
      <w:spacing w:before="16"/>
      <w:ind w:left="20"/>
      <w:rPr>
        <w:sz w:val="20"/>
      </w:rPr>
    </w:pPr>
    <w:r w:rsidRPr="00460625">
      <w:rPr>
        <w:rFonts w:cs="Arial"/>
        <w:b/>
        <w:color w:val="003E2D"/>
        <w:spacing w:val="-3"/>
        <w:sz w:val="18"/>
      </w:rPr>
      <w:t>IHPA</w:t>
    </w:r>
    <w:r w:rsidRPr="00460625">
      <w:rPr>
        <w:rFonts w:cs="Arial"/>
        <w:b/>
        <w:color w:val="003E2D"/>
        <w:spacing w:val="-3"/>
        <w:sz w:val="18"/>
      </w:rPr>
      <w:tab/>
    </w:r>
    <w:r w:rsidRPr="00460625">
      <w:rPr>
        <w:rFonts w:cs="Arial"/>
        <w:color w:val="003E2D"/>
        <w:sz w:val="18"/>
      </w:rPr>
      <w:t>Consultation Paper on the Pricing Framework for Australian Public Hospital Services</w:t>
    </w:r>
    <w:r w:rsidRPr="00460625">
      <w:rPr>
        <w:rFonts w:cs="Arial"/>
        <w:color w:val="003E2D"/>
        <w:spacing w:val="-10"/>
        <w:sz w:val="18"/>
      </w:rPr>
      <w:t xml:space="preserve"> </w:t>
    </w:r>
    <w:r w:rsidRPr="00460625">
      <w:rPr>
        <w:rFonts w:cs="Arial"/>
        <w:color w:val="003E2D"/>
        <w:spacing w:val="-6"/>
        <w:sz w:val="18"/>
      </w:rPr>
      <w:t>202</w:t>
    </w:r>
    <w:r>
      <w:rPr>
        <w:rFonts w:cs="Arial"/>
        <w:color w:val="003E2D"/>
        <w:spacing w:val="-6"/>
        <w:sz w:val="18"/>
      </w:rPr>
      <w:t>3</w:t>
    </w:r>
    <w:r w:rsidRPr="00460625">
      <w:rPr>
        <w:rFonts w:cs="Arial"/>
        <w:color w:val="003E2D"/>
        <w:spacing w:val="-6"/>
        <w:sz w:val="18"/>
      </w:rPr>
      <w:t>–2</w:t>
    </w:r>
    <w:r>
      <w:rPr>
        <w:rFonts w:cs="Arial"/>
        <w:color w:val="003E2D"/>
        <w:spacing w:val="-6"/>
        <w:sz w:val="18"/>
      </w:rPr>
      <w:t>4</w:t>
    </w:r>
    <w:r>
      <w:rPr>
        <w:rFonts w:cs="Arial"/>
        <w:color w:val="003E2D"/>
        <w:spacing w:val="-6"/>
        <w:sz w:val="18"/>
      </w:rPr>
      <w:tab/>
    </w:r>
    <w:r w:rsidRPr="001142D0">
      <w:rPr>
        <w:rFonts w:cs="Arial"/>
        <w:color w:val="003E2D"/>
        <w:spacing w:val="-6"/>
        <w:sz w:val="18"/>
      </w:rPr>
      <w:fldChar w:fldCharType="begin"/>
    </w:r>
    <w:r w:rsidRPr="001142D0">
      <w:rPr>
        <w:rFonts w:cs="Arial"/>
        <w:color w:val="003E2D"/>
        <w:spacing w:val="-6"/>
        <w:sz w:val="18"/>
      </w:rPr>
      <w:instrText xml:space="preserve"> PAGE   \* MERGEFORMAT </w:instrText>
    </w:r>
    <w:r w:rsidRPr="001142D0">
      <w:rPr>
        <w:rFonts w:cs="Arial"/>
        <w:color w:val="003E2D"/>
        <w:spacing w:val="-6"/>
        <w:sz w:val="18"/>
      </w:rPr>
      <w:fldChar w:fldCharType="separate"/>
    </w:r>
    <w:r>
      <w:rPr>
        <w:rFonts w:cs="Arial"/>
        <w:noProof/>
        <w:color w:val="003E2D"/>
        <w:spacing w:val="-6"/>
        <w:sz w:val="18"/>
      </w:rPr>
      <w:t>4</w:t>
    </w:r>
    <w:r w:rsidRPr="001142D0">
      <w:rPr>
        <w:rFonts w:cs="Arial"/>
        <w:noProof/>
        <w:color w:val="003E2D"/>
        <w:spacing w:val="-6"/>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C30FF" w14:textId="450989DC" w:rsidR="00FE6544" w:rsidRDefault="00FE6544" w:rsidP="00460625">
    <w:pPr>
      <w:tabs>
        <w:tab w:val="left" w:pos="638"/>
      </w:tabs>
      <w:spacing w:before="16"/>
      <w:ind w:left="20"/>
      <w:rPr>
        <w:sz w:val="20"/>
      </w:rPr>
    </w:pPr>
    <w:r w:rsidRPr="00460625">
      <w:rPr>
        <w:rFonts w:cs="Arial"/>
        <w:b/>
        <w:color w:val="003E2D"/>
        <w:spacing w:val="-3"/>
        <w:sz w:val="18"/>
      </w:rPr>
      <w:t>IHPA</w:t>
    </w:r>
    <w:r w:rsidRPr="00460625">
      <w:rPr>
        <w:rFonts w:cs="Arial"/>
        <w:b/>
        <w:color w:val="003E2D"/>
        <w:spacing w:val="-3"/>
        <w:sz w:val="18"/>
      </w:rPr>
      <w:tab/>
    </w:r>
    <w:r w:rsidRPr="00460625">
      <w:rPr>
        <w:rFonts w:cs="Arial"/>
        <w:color w:val="003E2D"/>
        <w:sz w:val="18"/>
      </w:rPr>
      <w:t>Consultation Paper on the Pricing Framework for Australian Public Hospital Services</w:t>
    </w:r>
    <w:r w:rsidRPr="00460625">
      <w:rPr>
        <w:rFonts w:cs="Arial"/>
        <w:color w:val="003E2D"/>
        <w:spacing w:val="-10"/>
        <w:sz w:val="18"/>
      </w:rPr>
      <w:t xml:space="preserve"> </w:t>
    </w:r>
    <w:r w:rsidRPr="00460625">
      <w:rPr>
        <w:rFonts w:cs="Arial"/>
        <w:color w:val="003E2D"/>
        <w:spacing w:val="-6"/>
        <w:sz w:val="18"/>
      </w:rPr>
      <w:t>202</w:t>
    </w:r>
    <w:r>
      <w:rPr>
        <w:rFonts w:cs="Arial"/>
        <w:color w:val="003E2D"/>
        <w:spacing w:val="-6"/>
        <w:sz w:val="18"/>
      </w:rPr>
      <w:t>3</w:t>
    </w:r>
    <w:r w:rsidRPr="00460625">
      <w:rPr>
        <w:rFonts w:cs="Arial"/>
        <w:color w:val="003E2D"/>
        <w:spacing w:val="-6"/>
        <w:sz w:val="18"/>
      </w:rPr>
      <w:t>–2</w:t>
    </w:r>
    <w:r>
      <w:rPr>
        <w:rFonts w:cs="Arial"/>
        <w:color w:val="003E2D"/>
        <w:spacing w:val="-6"/>
        <w:sz w:val="18"/>
      </w:rPr>
      <w:t>4</w:t>
    </w:r>
    <w:r>
      <w:rPr>
        <w:rFonts w:cs="Arial"/>
        <w:color w:val="003E2D"/>
        <w:spacing w:val="-6"/>
        <w:sz w:val="18"/>
      </w:rPr>
      <w:tab/>
    </w:r>
    <w:r w:rsidRPr="001142D0">
      <w:rPr>
        <w:rFonts w:cs="Arial"/>
        <w:color w:val="003E2D"/>
        <w:spacing w:val="-6"/>
        <w:sz w:val="18"/>
      </w:rPr>
      <w:fldChar w:fldCharType="begin"/>
    </w:r>
    <w:r w:rsidRPr="001142D0">
      <w:rPr>
        <w:rFonts w:cs="Arial"/>
        <w:color w:val="003E2D"/>
        <w:spacing w:val="-6"/>
        <w:sz w:val="18"/>
      </w:rPr>
      <w:instrText xml:space="preserve"> PAGE   \* MERGEFORMAT </w:instrText>
    </w:r>
    <w:r w:rsidRPr="001142D0">
      <w:rPr>
        <w:rFonts w:cs="Arial"/>
        <w:color w:val="003E2D"/>
        <w:spacing w:val="-6"/>
        <w:sz w:val="18"/>
      </w:rPr>
      <w:fldChar w:fldCharType="separate"/>
    </w:r>
    <w:r>
      <w:rPr>
        <w:rFonts w:cs="Arial"/>
        <w:noProof/>
        <w:color w:val="003E2D"/>
        <w:spacing w:val="-6"/>
        <w:sz w:val="18"/>
      </w:rPr>
      <w:t>6</w:t>
    </w:r>
    <w:r w:rsidRPr="001142D0">
      <w:rPr>
        <w:rFonts w:cs="Arial"/>
        <w:noProof/>
        <w:color w:val="003E2D"/>
        <w:spacing w:val="-6"/>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E123D" w14:textId="03909DCF" w:rsidR="00FE6544" w:rsidRDefault="00FE6544" w:rsidP="00460625">
    <w:pPr>
      <w:tabs>
        <w:tab w:val="left" w:pos="638"/>
      </w:tabs>
      <w:spacing w:before="16"/>
      <w:ind w:left="20"/>
      <w:rPr>
        <w:sz w:val="20"/>
      </w:rPr>
    </w:pPr>
    <w:r w:rsidRPr="00460625">
      <w:rPr>
        <w:rFonts w:cs="Arial"/>
        <w:b/>
        <w:color w:val="003E2D"/>
        <w:spacing w:val="-3"/>
        <w:sz w:val="18"/>
      </w:rPr>
      <w:t>IHPA</w:t>
    </w:r>
    <w:r w:rsidRPr="00460625">
      <w:rPr>
        <w:rFonts w:cs="Arial"/>
        <w:b/>
        <w:color w:val="003E2D"/>
        <w:spacing w:val="-3"/>
        <w:sz w:val="18"/>
      </w:rPr>
      <w:tab/>
    </w:r>
    <w:r w:rsidRPr="00460625">
      <w:rPr>
        <w:rFonts w:cs="Arial"/>
        <w:color w:val="003E2D"/>
        <w:sz w:val="18"/>
      </w:rPr>
      <w:t>Consultation Paper on the Pricing Framework for Australian Public Hospital Services</w:t>
    </w:r>
    <w:r w:rsidRPr="00460625">
      <w:rPr>
        <w:rFonts w:cs="Arial"/>
        <w:color w:val="003E2D"/>
        <w:spacing w:val="-10"/>
        <w:sz w:val="18"/>
      </w:rPr>
      <w:t xml:space="preserve"> </w:t>
    </w:r>
    <w:r w:rsidRPr="00460625">
      <w:rPr>
        <w:rFonts w:cs="Arial"/>
        <w:color w:val="003E2D"/>
        <w:spacing w:val="-6"/>
        <w:sz w:val="18"/>
      </w:rPr>
      <w:t>202</w:t>
    </w:r>
    <w:r>
      <w:rPr>
        <w:rFonts w:cs="Arial"/>
        <w:color w:val="003E2D"/>
        <w:spacing w:val="-6"/>
        <w:sz w:val="18"/>
      </w:rPr>
      <w:t>3</w:t>
    </w:r>
    <w:r w:rsidRPr="00460625">
      <w:rPr>
        <w:rFonts w:cs="Arial"/>
        <w:color w:val="003E2D"/>
        <w:spacing w:val="-6"/>
        <w:sz w:val="18"/>
      </w:rPr>
      <w:t>–2</w:t>
    </w:r>
    <w:r>
      <w:rPr>
        <w:rFonts w:cs="Arial"/>
        <w:color w:val="003E2D"/>
        <w:spacing w:val="-6"/>
        <w:sz w:val="18"/>
      </w:rPr>
      <w:t>4</w:t>
    </w:r>
    <w:r>
      <w:rPr>
        <w:rFonts w:cs="Arial"/>
        <w:color w:val="003E2D"/>
        <w:spacing w:val="-6"/>
        <w:sz w:val="18"/>
      </w:rPr>
      <w:tab/>
    </w:r>
    <w:r w:rsidRPr="001142D0">
      <w:rPr>
        <w:rFonts w:cs="Arial"/>
        <w:color w:val="003E2D"/>
        <w:spacing w:val="-6"/>
        <w:sz w:val="18"/>
      </w:rPr>
      <w:fldChar w:fldCharType="begin"/>
    </w:r>
    <w:r w:rsidRPr="001142D0">
      <w:rPr>
        <w:rFonts w:cs="Arial"/>
        <w:color w:val="003E2D"/>
        <w:spacing w:val="-6"/>
        <w:sz w:val="18"/>
      </w:rPr>
      <w:instrText xml:space="preserve"> PAGE   \* MERGEFORMAT </w:instrText>
    </w:r>
    <w:r w:rsidRPr="001142D0">
      <w:rPr>
        <w:rFonts w:cs="Arial"/>
        <w:color w:val="003E2D"/>
        <w:spacing w:val="-6"/>
        <w:sz w:val="18"/>
      </w:rPr>
      <w:fldChar w:fldCharType="separate"/>
    </w:r>
    <w:r>
      <w:rPr>
        <w:rFonts w:cs="Arial"/>
        <w:noProof/>
        <w:color w:val="003E2D"/>
        <w:spacing w:val="-6"/>
        <w:sz w:val="18"/>
      </w:rPr>
      <w:t>9</w:t>
    </w:r>
    <w:r w:rsidRPr="001142D0">
      <w:rPr>
        <w:rFonts w:cs="Arial"/>
        <w:noProof/>
        <w:color w:val="003E2D"/>
        <w:spacing w:val="-6"/>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8C492F" w14:textId="55184472" w:rsidR="00FE6544" w:rsidRDefault="00FE6544" w:rsidP="00460625">
    <w:pPr>
      <w:tabs>
        <w:tab w:val="left" w:pos="638"/>
      </w:tabs>
      <w:spacing w:before="16"/>
      <w:ind w:left="20"/>
      <w:rPr>
        <w:sz w:val="20"/>
      </w:rPr>
    </w:pPr>
    <w:r w:rsidRPr="00460625">
      <w:rPr>
        <w:rFonts w:cs="Arial"/>
        <w:b/>
        <w:color w:val="003E2D"/>
        <w:spacing w:val="-3"/>
        <w:sz w:val="18"/>
      </w:rPr>
      <w:t>IHPA</w:t>
    </w:r>
    <w:r w:rsidRPr="00460625">
      <w:rPr>
        <w:rFonts w:cs="Arial"/>
        <w:b/>
        <w:color w:val="003E2D"/>
        <w:spacing w:val="-3"/>
        <w:sz w:val="18"/>
      </w:rPr>
      <w:tab/>
    </w:r>
    <w:r w:rsidRPr="00460625">
      <w:rPr>
        <w:rFonts w:cs="Arial"/>
        <w:color w:val="003E2D"/>
        <w:sz w:val="18"/>
      </w:rPr>
      <w:t>Consultation Paper on the Pricing Framework for Australian Public Hospital Services</w:t>
    </w:r>
    <w:r w:rsidRPr="00460625">
      <w:rPr>
        <w:rFonts w:cs="Arial"/>
        <w:color w:val="003E2D"/>
        <w:spacing w:val="-10"/>
        <w:sz w:val="18"/>
      </w:rPr>
      <w:t xml:space="preserve"> </w:t>
    </w:r>
    <w:r w:rsidRPr="00460625">
      <w:rPr>
        <w:rFonts w:cs="Arial"/>
        <w:color w:val="003E2D"/>
        <w:spacing w:val="-6"/>
        <w:sz w:val="18"/>
      </w:rPr>
      <w:t>202</w:t>
    </w:r>
    <w:r>
      <w:rPr>
        <w:rFonts w:cs="Arial"/>
        <w:color w:val="003E2D"/>
        <w:spacing w:val="-6"/>
        <w:sz w:val="18"/>
      </w:rPr>
      <w:t>3</w:t>
    </w:r>
    <w:r w:rsidRPr="00460625">
      <w:rPr>
        <w:rFonts w:cs="Arial"/>
        <w:color w:val="003E2D"/>
        <w:spacing w:val="-6"/>
        <w:sz w:val="18"/>
      </w:rPr>
      <w:t>–2</w:t>
    </w:r>
    <w:r>
      <w:rPr>
        <w:rFonts w:cs="Arial"/>
        <w:color w:val="003E2D"/>
        <w:spacing w:val="-6"/>
        <w:sz w:val="18"/>
      </w:rPr>
      <w:t>4</w:t>
    </w:r>
    <w:r>
      <w:rPr>
        <w:rFonts w:cs="Arial"/>
        <w:color w:val="003E2D"/>
        <w:spacing w:val="-6"/>
        <w:sz w:val="18"/>
      </w:rPr>
      <w:tab/>
    </w:r>
    <w:r w:rsidRPr="001142D0">
      <w:rPr>
        <w:rFonts w:cs="Arial"/>
        <w:color w:val="003E2D"/>
        <w:spacing w:val="-6"/>
        <w:sz w:val="18"/>
      </w:rPr>
      <w:fldChar w:fldCharType="begin"/>
    </w:r>
    <w:r w:rsidRPr="001142D0">
      <w:rPr>
        <w:rFonts w:cs="Arial"/>
        <w:color w:val="003E2D"/>
        <w:spacing w:val="-6"/>
        <w:sz w:val="18"/>
      </w:rPr>
      <w:instrText xml:space="preserve"> PAGE   \* MERGEFORMAT </w:instrText>
    </w:r>
    <w:r w:rsidRPr="001142D0">
      <w:rPr>
        <w:rFonts w:cs="Arial"/>
        <w:color w:val="003E2D"/>
        <w:spacing w:val="-6"/>
        <w:sz w:val="18"/>
      </w:rPr>
      <w:fldChar w:fldCharType="separate"/>
    </w:r>
    <w:r>
      <w:rPr>
        <w:rFonts w:cs="Arial"/>
        <w:noProof/>
        <w:color w:val="003E2D"/>
        <w:spacing w:val="-6"/>
        <w:sz w:val="18"/>
      </w:rPr>
      <w:t>11</w:t>
    </w:r>
    <w:r w:rsidRPr="001142D0">
      <w:rPr>
        <w:rFonts w:cs="Arial"/>
        <w:noProof/>
        <w:color w:val="003E2D"/>
        <w:spacing w:val="-6"/>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D780A" w14:textId="1DE9A739" w:rsidR="00FE6544" w:rsidRDefault="00FE6544" w:rsidP="00460625">
    <w:pPr>
      <w:tabs>
        <w:tab w:val="left" w:pos="638"/>
      </w:tabs>
      <w:spacing w:before="16"/>
      <w:ind w:left="20"/>
      <w:rPr>
        <w:sz w:val="20"/>
      </w:rPr>
    </w:pPr>
    <w:r w:rsidRPr="00460625">
      <w:rPr>
        <w:rFonts w:cs="Arial"/>
        <w:b/>
        <w:color w:val="003E2D"/>
        <w:spacing w:val="-3"/>
        <w:sz w:val="18"/>
      </w:rPr>
      <w:t>IHPA</w:t>
    </w:r>
    <w:r w:rsidRPr="00460625">
      <w:rPr>
        <w:rFonts w:cs="Arial"/>
        <w:b/>
        <w:color w:val="003E2D"/>
        <w:spacing w:val="-3"/>
        <w:sz w:val="18"/>
      </w:rPr>
      <w:tab/>
    </w:r>
    <w:r w:rsidRPr="00460625">
      <w:rPr>
        <w:rFonts w:cs="Arial"/>
        <w:color w:val="003E2D"/>
        <w:sz w:val="18"/>
      </w:rPr>
      <w:t>Consultation Paper on the Pricing Framework for Australian Public Hospital Services</w:t>
    </w:r>
    <w:r w:rsidRPr="00460625">
      <w:rPr>
        <w:rFonts w:cs="Arial"/>
        <w:color w:val="003E2D"/>
        <w:spacing w:val="-10"/>
        <w:sz w:val="18"/>
      </w:rPr>
      <w:t xml:space="preserve"> </w:t>
    </w:r>
    <w:r w:rsidRPr="00460625">
      <w:rPr>
        <w:rFonts w:cs="Arial"/>
        <w:color w:val="003E2D"/>
        <w:spacing w:val="-6"/>
        <w:sz w:val="18"/>
      </w:rPr>
      <w:t>202</w:t>
    </w:r>
    <w:r>
      <w:rPr>
        <w:rFonts w:cs="Arial"/>
        <w:color w:val="003E2D"/>
        <w:spacing w:val="-6"/>
        <w:sz w:val="18"/>
      </w:rPr>
      <w:t>3</w:t>
    </w:r>
    <w:r w:rsidRPr="00460625">
      <w:rPr>
        <w:rFonts w:cs="Arial"/>
        <w:color w:val="003E2D"/>
        <w:spacing w:val="-6"/>
        <w:sz w:val="18"/>
      </w:rPr>
      <w:t>–2</w:t>
    </w:r>
    <w:r>
      <w:rPr>
        <w:rFonts w:cs="Arial"/>
        <w:color w:val="003E2D"/>
        <w:spacing w:val="-6"/>
        <w:sz w:val="18"/>
      </w:rPr>
      <w:t>4</w:t>
    </w:r>
    <w:r>
      <w:rPr>
        <w:rFonts w:cs="Arial"/>
        <w:color w:val="003E2D"/>
        <w:spacing w:val="-6"/>
        <w:sz w:val="18"/>
      </w:rPr>
      <w:tab/>
    </w:r>
    <w:r w:rsidRPr="001142D0">
      <w:rPr>
        <w:rFonts w:cs="Arial"/>
        <w:color w:val="003E2D"/>
        <w:spacing w:val="-6"/>
        <w:sz w:val="18"/>
      </w:rPr>
      <w:fldChar w:fldCharType="begin"/>
    </w:r>
    <w:r w:rsidRPr="001142D0">
      <w:rPr>
        <w:rFonts w:cs="Arial"/>
        <w:color w:val="003E2D"/>
        <w:spacing w:val="-6"/>
        <w:sz w:val="18"/>
      </w:rPr>
      <w:instrText xml:space="preserve"> PAGE   \* MERGEFORMAT </w:instrText>
    </w:r>
    <w:r w:rsidRPr="001142D0">
      <w:rPr>
        <w:rFonts w:cs="Arial"/>
        <w:color w:val="003E2D"/>
        <w:spacing w:val="-6"/>
        <w:sz w:val="18"/>
      </w:rPr>
      <w:fldChar w:fldCharType="separate"/>
    </w:r>
    <w:r>
      <w:rPr>
        <w:rFonts w:cs="Arial"/>
        <w:noProof/>
        <w:color w:val="003E2D"/>
        <w:spacing w:val="-6"/>
        <w:sz w:val="18"/>
      </w:rPr>
      <w:t>16</w:t>
    </w:r>
    <w:r w:rsidRPr="001142D0">
      <w:rPr>
        <w:rFonts w:cs="Arial"/>
        <w:noProof/>
        <w:color w:val="003E2D"/>
        <w:spacing w:val="-6"/>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D2E15" w14:textId="77777777" w:rsidR="00FE6544" w:rsidRDefault="00FE6544" w:rsidP="003932A6">
    <w:pPr>
      <w:pStyle w:val="Body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486D7D" w14:textId="77777777" w:rsidR="003777DB" w:rsidRDefault="003777DB">
      <w:r>
        <w:separator/>
      </w:r>
    </w:p>
  </w:footnote>
  <w:footnote w:type="continuationSeparator" w:id="0">
    <w:p w14:paraId="6B7F36D4" w14:textId="77777777" w:rsidR="003777DB" w:rsidRDefault="003777DB">
      <w:r>
        <w:continuationSeparator/>
      </w:r>
    </w:p>
  </w:footnote>
  <w:footnote w:type="continuationNotice" w:id="1">
    <w:p w14:paraId="398A41C9" w14:textId="77777777" w:rsidR="003777DB" w:rsidRDefault="003777DB"/>
  </w:footnote>
  <w:footnote w:id="2">
    <w:p w14:paraId="3758A660" w14:textId="18EBDCDE" w:rsidR="00FE6544" w:rsidRPr="00E10063" w:rsidRDefault="00FE6544">
      <w:pPr>
        <w:pStyle w:val="FootnoteText"/>
        <w:rPr>
          <w:rFonts w:cs="Arial"/>
          <w:color w:val="58595A"/>
          <w:sz w:val="16"/>
          <w:szCs w:val="16"/>
        </w:rPr>
      </w:pPr>
      <w:r>
        <w:rPr>
          <w:rStyle w:val="FootnoteReference"/>
        </w:rPr>
        <w:footnoteRef/>
      </w:r>
      <w:r>
        <w:t xml:space="preserve"> </w:t>
      </w:r>
      <w:r w:rsidRPr="00E10063">
        <w:rPr>
          <w:rFonts w:cs="Arial"/>
          <w:color w:val="58595A"/>
          <w:sz w:val="16"/>
          <w:szCs w:val="16"/>
        </w:rPr>
        <w:t>The Health Ministers’ Meetings, comprised of all Australian health ministers, has been established to consider matters previously brought to the Council of Australian Governments Health Council, including matters relating to the national bodies. The Health Ministers’ Meetings serves as the replacement for the Council of Australian Governments Health Council.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9CAD7" w14:textId="2BAC1D2F" w:rsidR="00FE6544" w:rsidRDefault="00FE6544">
    <w:pPr>
      <w:pStyle w:val="Header"/>
    </w:pPr>
    <w:r>
      <w:rPr>
        <w:noProof/>
        <w:lang w:eastAsia="en-AU" w:bidi="ar-SA"/>
      </w:rPr>
      <mc:AlternateContent>
        <mc:Choice Requires="wps">
          <w:drawing>
            <wp:anchor distT="0" distB="0" distL="114300" distR="114300" simplePos="0" relativeHeight="251659264" behindDoc="0" locked="0" layoutInCell="1" allowOverlap="1" wp14:anchorId="04E870C4" wp14:editId="52003E64">
              <wp:simplePos x="0" y="0"/>
              <wp:positionH relativeFrom="column">
                <wp:posOffset>-914400</wp:posOffset>
              </wp:positionH>
              <wp:positionV relativeFrom="paragraph">
                <wp:posOffset>-9525</wp:posOffset>
              </wp:positionV>
              <wp:extent cx="7553325" cy="10687050"/>
              <wp:effectExtent l="0" t="0" r="9525" b="0"/>
              <wp:wrapNone/>
              <wp:docPr id="66" name="Rectangle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3325" cy="106870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rect w14:anchorId="076DB237" id="Rectangle 66" o:spid="_x0000_s1026" alt="&quot;&quot;" style="position:absolute;margin-left:-1in;margin-top:-.75pt;width:594.75pt;height:8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" fillcolor="#003e2d [3215]" stroked="f" strokeweight="2p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6180" w14:textId="77777777" w:rsidR="00FE6544" w:rsidRDefault="00FE6544" w:rsidP="003932A6">
    <w:pPr>
      <w:pStyle w:val="BodyTex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9AA09" w14:textId="77777777" w:rsidR="00FE6544" w:rsidRDefault="00FE6544" w:rsidP="003932A6">
    <w:pPr>
      <w:pStyle w:val="BodyTex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BDC2C" w14:textId="77777777" w:rsidR="00FE6544" w:rsidRDefault="00FE6544" w:rsidP="003932A6">
    <w:pPr>
      <w:pStyle w:val="BodyTex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41639" w14:textId="77777777" w:rsidR="00FE6544" w:rsidRDefault="00FE6544" w:rsidP="003932A6">
    <w:pPr>
      <w:pStyle w:val="BodyTex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019BF" w14:textId="77777777" w:rsidR="00FE6544" w:rsidRDefault="00FE6544" w:rsidP="003932A6">
    <w:pPr>
      <w:pStyle w:val="BodyTex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F81A9" w14:textId="77777777" w:rsidR="00FE6544" w:rsidRDefault="00FE6544" w:rsidP="003932A6">
    <w:pPr>
      <w:pStyle w:val="BodyTex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AF96B" w14:textId="77777777" w:rsidR="00FE6544" w:rsidRDefault="00FE6544" w:rsidP="003932A6">
    <w:pPr>
      <w:pStyle w:val="BodyTex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6E2D06" w14:textId="77777777" w:rsidR="00FE6544" w:rsidRDefault="00FE6544" w:rsidP="003932A6">
    <w:pPr>
      <w:pStyle w:val="BodyTex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82C683" w14:textId="77777777" w:rsidR="00FE6544" w:rsidRDefault="00FE6544" w:rsidP="003932A6">
    <w:pPr>
      <w:pStyle w:val="BodyTex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01866" w14:textId="77777777" w:rsidR="00FE6544" w:rsidRDefault="00FE6544" w:rsidP="003932A6">
    <w:pPr>
      <w:pStyle w:val="BodyTex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A8A0E" w14:textId="77777777" w:rsidR="00FE6544" w:rsidRDefault="00FE6544" w:rsidP="003932A6">
    <w:pPr>
      <w:pStyle w:val="BodyTex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80728" w14:textId="77777777" w:rsidR="00FE6544" w:rsidRDefault="00FE6544" w:rsidP="003932A6">
    <w:pPr>
      <w:pStyle w:val="BodyTex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E87E3" w14:textId="77777777" w:rsidR="00FE6544" w:rsidRDefault="00FE6544" w:rsidP="003932A6">
    <w:pPr>
      <w:pStyle w:val="BodyTex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DE492" w14:textId="77777777" w:rsidR="00FE6544" w:rsidRDefault="00FE6544" w:rsidP="003932A6">
    <w:pPr>
      <w:pStyle w:val="BodyTex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A32E5" w14:textId="77777777" w:rsidR="00FE6544" w:rsidRDefault="00FE6544" w:rsidP="003932A6">
    <w:pPr>
      <w:pStyle w:val="BodyTex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E476D" w14:textId="77777777" w:rsidR="00FE6544" w:rsidRDefault="00FE6544" w:rsidP="003932A6">
    <w:pPr>
      <w:pStyle w:val="BodyTex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981D7" w14:textId="77777777" w:rsidR="00FE6544" w:rsidRDefault="00FE6544" w:rsidP="003932A6">
    <w:pPr>
      <w:pStyle w:val="BodyTex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20F847" w14:textId="237B03F5" w:rsidR="00FE6544" w:rsidRDefault="00FE6544" w:rsidP="003932A6">
    <w:pPr>
      <w:pStyle w:val="BodyText"/>
      <w:rPr>
        <w:sz w:val="2"/>
      </w:rPr>
    </w:pPr>
    <w:r>
      <w:rPr>
        <w:noProof/>
        <w:lang w:eastAsia="en-AU" w:bidi="ar-SA"/>
      </w:rPr>
      <mc:AlternateContent>
        <mc:Choice Requires="wps">
          <w:drawing>
            <wp:anchor distT="0" distB="0" distL="114300" distR="114300" simplePos="0" relativeHeight="251661312" behindDoc="0" locked="0" layoutInCell="1" allowOverlap="1" wp14:anchorId="41539FE7" wp14:editId="761B0046">
              <wp:simplePos x="0" y="0"/>
              <wp:positionH relativeFrom="column">
                <wp:posOffset>-914400</wp:posOffset>
              </wp:positionH>
              <wp:positionV relativeFrom="paragraph">
                <wp:posOffset>0</wp:posOffset>
              </wp:positionV>
              <wp:extent cx="7553325" cy="10687050"/>
              <wp:effectExtent l="0" t="0" r="9525" b="0"/>
              <wp:wrapNone/>
              <wp:docPr id="71" name="Rectangle 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3325" cy="106870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rect w14:anchorId="421C9286" id="Rectangle 71" o:spid="_x0000_s1026" alt="&quot;&quot;" style="position:absolute;margin-left:-1in;margin-top:0;width:594.75pt;height:8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" fillcolor="#003e2d [3215]" stroked="f" strokeweight="2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69DE8" w14:textId="77777777" w:rsidR="00FE6544" w:rsidRDefault="00FE6544" w:rsidP="003932A6">
    <w:pPr>
      <w:pStyle w:val="BodyTex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EC5BE" w14:textId="77777777" w:rsidR="00FE6544" w:rsidRDefault="00FE6544" w:rsidP="003932A6">
    <w:pPr>
      <w:pStyle w:val="BodyTex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22A20" w14:textId="77777777" w:rsidR="00FE6544" w:rsidRDefault="00FE6544" w:rsidP="003932A6">
    <w:pPr>
      <w:pStyle w:val="BodyTex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CD3A2" w14:textId="77777777" w:rsidR="00FE6544" w:rsidRDefault="00FE6544" w:rsidP="003932A6">
    <w:pPr>
      <w:pStyle w:val="BodyTex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0F63F" w14:textId="77777777" w:rsidR="00FE6544" w:rsidRDefault="00FE6544" w:rsidP="003932A6">
    <w:pPr>
      <w:pStyle w:val="BodyTex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223DD" w14:textId="77777777" w:rsidR="00FE6544" w:rsidRDefault="00FE6544" w:rsidP="003932A6">
    <w:pPr>
      <w:pStyle w:val="BodyTex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6F42E" w14:textId="77777777" w:rsidR="00FE6544" w:rsidRDefault="00FE6544" w:rsidP="003932A6">
    <w:pPr>
      <w:pStyle w:val="Body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571A683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8.5pt;height:17.5pt;visibility:visible;mso-wrap-style:square" o:bullet="t">
        <v:imagedata r:id="rId1" o:title=""/>
      </v:shape>
    </w:pict>
  </w:numPicBullet>
  <w:abstractNum w:abstractNumId="0" w15:restartNumberingAfterBreak="0">
    <w:nsid w:val="FFFFFF7C"/>
    <w:multiLevelType w:val="singleLevel"/>
    <w:tmpl w:val="73144090"/>
    <w:lvl w:ilvl="0">
      <w:start w:val="1"/>
      <w:numFmt w:val="decimal"/>
      <w:pStyle w:val="ListNumber5"/>
      <w:lvlText w:val="%1."/>
      <w:lvlJc w:val="left"/>
      <w:pPr>
        <w:tabs>
          <w:tab w:val="num" w:pos="772"/>
        </w:tabs>
        <w:ind w:left="772" w:hanging="360"/>
      </w:pPr>
    </w:lvl>
  </w:abstractNum>
  <w:abstractNum w:abstractNumId="1" w15:restartNumberingAfterBreak="0">
    <w:nsid w:val="FFFFFF7D"/>
    <w:multiLevelType w:val="singleLevel"/>
    <w:tmpl w:val="019E849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708E23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D1A314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1AA91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8C04A5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EEABF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FA8EA5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70AA1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17C889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A28E2"/>
    <w:multiLevelType w:val="hybridMultilevel"/>
    <w:tmpl w:val="3160B75E"/>
    <w:lvl w:ilvl="0" w:tplc="35BAACB8">
      <w:start w:val="1"/>
      <w:numFmt w:val="bullet"/>
      <w:lvlText w:val="-"/>
      <w:lvlJc w:val="left"/>
      <w:pPr>
        <w:ind w:left="360" w:hanging="360"/>
      </w:pPr>
      <w:rPr>
        <w:rFonts w:ascii="Courier New" w:hAnsi="Courier New" w:hint="default"/>
        <w:color w:val="58595B"/>
        <w:spacing w:val="-4"/>
        <w:w w:val="100"/>
        <w:sz w:val="19"/>
        <w:szCs w:val="19"/>
        <w:lang w:val="en-US" w:eastAsia="en-US" w:bidi="en-US"/>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1A37F22"/>
    <w:multiLevelType w:val="hybridMultilevel"/>
    <w:tmpl w:val="5BAE936C"/>
    <w:lvl w:ilvl="0" w:tplc="42B6AB7C">
      <w:start w:val="1"/>
      <w:numFmt w:val="bullet"/>
      <w:pStyle w:val="BulletsL2"/>
      <w:lvlText w:val="–"/>
      <w:lvlJc w:val="left"/>
      <w:pPr>
        <w:ind w:left="770" w:hanging="360"/>
      </w:pPr>
      <w:rPr>
        <w:rFonts w:ascii="Gotham Book" w:hAnsi="Gotham Book" w:hint="default"/>
      </w:rPr>
    </w:lvl>
    <w:lvl w:ilvl="1" w:tplc="34090003" w:tentative="1">
      <w:start w:val="1"/>
      <w:numFmt w:val="bullet"/>
      <w:lvlText w:val="o"/>
      <w:lvlJc w:val="left"/>
      <w:pPr>
        <w:ind w:left="1490" w:hanging="360"/>
      </w:pPr>
      <w:rPr>
        <w:rFonts w:ascii="Courier New" w:hAnsi="Courier New" w:cs="Courier New" w:hint="default"/>
      </w:rPr>
    </w:lvl>
    <w:lvl w:ilvl="2" w:tplc="34090005" w:tentative="1">
      <w:start w:val="1"/>
      <w:numFmt w:val="bullet"/>
      <w:lvlText w:val=""/>
      <w:lvlJc w:val="left"/>
      <w:pPr>
        <w:ind w:left="2210" w:hanging="360"/>
      </w:pPr>
      <w:rPr>
        <w:rFonts w:ascii="Wingdings" w:hAnsi="Wingdings" w:hint="default"/>
      </w:rPr>
    </w:lvl>
    <w:lvl w:ilvl="3" w:tplc="34090001" w:tentative="1">
      <w:start w:val="1"/>
      <w:numFmt w:val="bullet"/>
      <w:lvlText w:val=""/>
      <w:lvlJc w:val="left"/>
      <w:pPr>
        <w:ind w:left="2930" w:hanging="360"/>
      </w:pPr>
      <w:rPr>
        <w:rFonts w:ascii="Symbol" w:hAnsi="Symbol" w:hint="default"/>
      </w:rPr>
    </w:lvl>
    <w:lvl w:ilvl="4" w:tplc="34090003" w:tentative="1">
      <w:start w:val="1"/>
      <w:numFmt w:val="bullet"/>
      <w:lvlText w:val="o"/>
      <w:lvlJc w:val="left"/>
      <w:pPr>
        <w:ind w:left="3650" w:hanging="360"/>
      </w:pPr>
      <w:rPr>
        <w:rFonts w:ascii="Courier New" w:hAnsi="Courier New" w:cs="Courier New" w:hint="default"/>
      </w:rPr>
    </w:lvl>
    <w:lvl w:ilvl="5" w:tplc="34090005" w:tentative="1">
      <w:start w:val="1"/>
      <w:numFmt w:val="bullet"/>
      <w:lvlText w:val=""/>
      <w:lvlJc w:val="left"/>
      <w:pPr>
        <w:ind w:left="4370" w:hanging="360"/>
      </w:pPr>
      <w:rPr>
        <w:rFonts w:ascii="Wingdings" w:hAnsi="Wingdings" w:hint="default"/>
      </w:rPr>
    </w:lvl>
    <w:lvl w:ilvl="6" w:tplc="34090001" w:tentative="1">
      <w:start w:val="1"/>
      <w:numFmt w:val="bullet"/>
      <w:lvlText w:val=""/>
      <w:lvlJc w:val="left"/>
      <w:pPr>
        <w:ind w:left="5090" w:hanging="360"/>
      </w:pPr>
      <w:rPr>
        <w:rFonts w:ascii="Symbol" w:hAnsi="Symbol" w:hint="default"/>
      </w:rPr>
    </w:lvl>
    <w:lvl w:ilvl="7" w:tplc="34090003" w:tentative="1">
      <w:start w:val="1"/>
      <w:numFmt w:val="bullet"/>
      <w:lvlText w:val="o"/>
      <w:lvlJc w:val="left"/>
      <w:pPr>
        <w:ind w:left="5810" w:hanging="360"/>
      </w:pPr>
      <w:rPr>
        <w:rFonts w:ascii="Courier New" w:hAnsi="Courier New" w:cs="Courier New" w:hint="default"/>
      </w:rPr>
    </w:lvl>
    <w:lvl w:ilvl="8" w:tplc="34090005" w:tentative="1">
      <w:start w:val="1"/>
      <w:numFmt w:val="bullet"/>
      <w:lvlText w:val=""/>
      <w:lvlJc w:val="left"/>
      <w:pPr>
        <w:ind w:left="6530" w:hanging="360"/>
      </w:pPr>
      <w:rPr>
        <w:rFonts w:ascii="Wingdings" w:hAnsi="Wingdings" w:hint="default"/>
      </w:rPr>
    </w:lvl>
  </w:abstractNum>
  <w:abstractNum w:abstractNumId="12" w15:restartNumberingAfterBreak="0">
    <w:nsid w:val="040D20FD"/>
    <w:multiLevelType w:val="hybridMultilevel"/>
    <w:tmpl w:val="75385B86"/>
    <w:lvl w:ilvl="0" w:tplc="F886F9AC">
      <w:numFmt w:val="bullet"/>
      <w:lvlText w:val="–"/>
      <w:lvlJc w:val="left"/>
      <w:pPr>
        <w:ind w:left="786" w:hanging="360"/>
      </w:pPr>
      <w:rPr>
        <w:rFonts w:ascii="Futura PT Book" w:eastAsia="Futura PT Book" w:hAnsi="Futura PT Book" w:cs="Futura PT Book" w:hint="default"/>
        <w:color w:val="58595B"/>
        <w:spacing w:val="-4"/>
        <w:w w:val="100"/>
        <w:sz w:val="19"/>
        <w:szCs w:val="19"/>
        <w:lang w:val="en-US" w:eastAsia="en-US" w:bidi="en-US"/>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3" w15:restartNumberingAfterBreak="0">
    <w:nsid w:val="04DC112B"/>
    <w:multiLevelType w:val="hybridMultilevel"/>
    <w:tmpl w:val="C11E4642"/>
    <w:lvl w:ilvl="0" w:tplc="F886F9AC">
      <w:numFmt w:val="bullet"/>
      <w:lvlText w:val="–"/>
      <w:lvlJc w:val="left"/>
      <w:pPr>
        <w:ind w:left="360" w:hanging="360"/>
      </w:pPr>
      <w:rPr>
        <w:rFonts w:ascii="Futura PT Book" w:eastAsia="Futura PT Book" w:hAnsi="Futura PT Book" w:cs="Futura PT Book" w:hint="default"/>
        <w:color w:val="58595B"/>
        <w:spacing w:val="-4"/>
        <w:w w:val="100"/>
        <w:sz w:val="19"/>
        <w:szCs w:val="19"/>
        <w:lang w:val="en-US" w:eastAsia="en-US" w:bidi="en-US"/>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5E2656C"/>
    <w:multiLevelType w:val="hybridMultilevel"/>
    <w:tmpl w:val="78F60242"/>
    <w:lvl w:ilvl="0" w:tplc="35BAACB8">
      <w:start w:val="1"/>
      <w:numFmt w:val="bullet"/>
      <w:lvlText w:val="-"/>
      <w:lvlJc w:val="left"/>
      <w:pPr>
        <w:ind w:left="360" w:hanging="360"/>
      </w:pPr>
      <w:rPr>
        <w:rFonts w:ascii="Courier New" w:hAnsi="Courier New" w:hint="default"/>
        <w:color w:val="58595B"/>
        <w:spacing w:val="-4"/>
        <w:w w:val="100"/>
        <w:sz w:val="19"/>
        <w:szCs w:val="19"/>
        <w:lang w:val="en-US" w:eastAsia="en-US" w:bidi="en-US"/>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0AC3132D"/>
    <w:multiLevelType w:val="hybridMultilevel"/>
    <w:tmpl w:val="B2B07604"/>
    <w:lvl w:ilvl="0" w:tplc="EC7E4C0C">
      <w:numFmt w:val="bullet"/>
      <w:lvlText w:val="–"/>
      <w:lvlJc w:val="left"/>
      <w:pPr>
        <w:ind w:left="720" w:hanging="360"/>
      </w:pPr>
      <w:rPr>
        <w:rFonts w:hint="default"/>
        <w:spacing w:val="-13"/>
        <w:w w:val="100"/>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0F70400"/>
    <w:multiLevelType w:val="hybridMultilevel"/>
    <w:tmpl w:val="4790DE2E"/>
    <w:lvl w:ilvl="0" w:tplc="35BAACB8">
      <w:start w:val="1"/>
      <w:numFmt w:val="bullet"/>
      <w:lvlText w:val="-"/>
      <w:lvlJc w:val="left"/>
      <w:pPr>
        <w:ind w:left="360" w:hanging="360"/>
      </w:pPr>
      <w:rPr>
        <w:rFonts w:ascii="Courier New" w:hAnsi="Courier New" w:hint="default"/>
        <w:color w:val="58595B"/>
        <w:spacing w:val="-4"/>
        <w:w w:val="100"/>
        <w:sz w:val="19"/>
        <w:szCs w:val="19"/>
        <w:lang w:val="en-US" w:eastAsia="en-US" w:bidi="en-US"/>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1756037"/>
    <w:multiLevelType w:val="hybridMultilevel"/>
    <w:tmpl w:val="CC207986"/>
    <w:lvl w:ilvl="0" w:tplc="FFEE13E2">
      <w:numFmt w:val="bullet"/>
      <w:pStyle w:val="ListWhite"/>
      <w:lvlText w:val="–"/>
      <w:lvlJc w:val="left"/>
      <w:pPr>
        <w:ind w:left="644" w:hanging="360"/>
      </w:pPr>
      <w:rPr>
        <w:rFonts w:ascii="Futura PT Book" w:hAnsi="Futura PT Book" w:cs="Futura PT Book" w:hint="default"/>
        <w:color w:val="FFFFFF" w:themeColor="background1"/>
        <w:spacing w:val="-4"/>
        <w:w w:val="100"/>
        <w:sz w:val="19"/>
        <w:szCs w:val="19"/>
      </w:rPr>
    </w:lvl>
    <w:lvl w:ilvl="1" w:tplc="34090003" w:tentative="1">
      <w:start w:val="1"/>
      <w:numFmt w:val="bullet"/>
      <w:lvlText w:val="o"/>
      <w:lvlJc w:val="left"/>
      <w:pPr>
        <w:ind w:left="1364" w:hanging="360"/>
      </w:pPr>
      <w:rPr>
        <w:rFonts w:ascii="Courier New" w:hAnsi="Courier New" w:cs="Courier New" w:hint="default"/>
      </w:rPr>
    </w:lvl>
    <w:lvl w:ilvl="2" w:tplc="34090005" w:tentative="1">
      <w:start w:val="1"/>
      <w:numFmt w:val="bullet"/>
      <w:lvlText w:val=""/>
      <w:lvlJc w:val="left"/>
      <w:pPr>
        <w:ind w:left="2084" w:hanging="360"/>
      </w:pPr>
      <w:rPr>
        <w:rFonts w:ascii="Wingdings" w:hAnsi="Wingdings" w:hint="default"/>
      </w:rPr>
    </w:lvl>
    <w:lvl w:ilvl="3" w:tplc="34090001" w:tentative="1">
      <w:start w:val="1"/>
      <w:numFmt w:val="bullet"/>
      <w:lvlText w:val=""/>
      <w:lvlJc w:val="left"/>
      <w:pPr>
        <w:ind w:left="2804" w:hanging="360"/>
      </w:pPr>
      <w:rPr>
        <w:rFonts w:ascii="Symbol" w:hAnsi="Symbol" w:hint="default"/>
      </w:rPr>
    </w:lvl>
    <w:lvl w:ilvl="4" w:tplc="34090003" w:tentative="1">
      <w:start w:val="1"/>
      <w:numFmt w:val="bullet"/>
      <w:lvlText w:val="o"/>
      <w:lvlJc w:val="left"/>
      <w:pPr>
        <w:ind w:left="3524" w:hanging="360"/>
      </w:pPr>
      <w:rPr>
        <w:rFonts w:ascii="Courier New" w:hAnsi="Courier New" w:cs="Courier New" w:hint="default"/>
      </w:rPr>
    </w:lvl>
    <w:lvl w:ilvl="5" w:tplc="34090005" w:tentative="1">
      <w:start w:val="1"/>
      <w:numFmt w:val="bullet"/>
      <w:lvlText w:val=""/>
      <w:lvlJc w:val="left"/>
      <w:pPr>
        <w:ind w:left="4244" w:hanging="360"/>
      </w:pPr>
      <w:rPr>
        <w:rFonts w:ascii="Wingdings" w:hAnsi="Wingdings" w:hint="default"/>
      </w:rPr>
    </w:lvl>
    <w:lvl w:ilvl="6" w:tplc="34090001" w:tentative="1">
      <w:start w:val="1"/>
      <w:numFmt w:val="bullet"/>
      <w:lvlText w:val=""/>
      <w:lvlJc w:val="left"/>
      <w:pPr>
        <w:ind w:left="4964" w:hanging="360"/>
      </w:pPr>
      <w:rPr>
        <w:rFonts w:ascii="Symbol" w:hAnsi="Symbol" w:hint="default"/>
      </w:rPr>
    </w:lvl>
    <w:lvl w:ilvl="7" w:tplc="34090003" w:tentative="1">
      <w:start w:val="1"/>
      <w:numFmt w:val="bullet"/>
      <w:lvlText w:val="o"/>
      <w:lvlJc w:val="left"/>
      <w:pPr>
        <w:ind w:left="5684" w:hanging="360"/>
      </w:pPr>
      <w:rPr>
        <w:rFonts w:ascii="Courier New" w:hAnsi="Courier New" w:cs="Courier New" w:hint="default"/>
      </w:rPr>
    </w:lvl>
    <w:lvl w:ilvl="8" w:tplc="34090005" w:tentative="1">
      <w:start w:val="1"/>
      <w:numFmt w:val="bullet"/>
      <w:lvlText w:val=""/>
      <w:lvlJc w:val="left"/>
      <w:pPr>
        <w:ind w:left="6404" w:hanging="360"/>
      </w:pPr>
      <w:rPr>
        <w:rFonts w:ascii="Wingdings" w:hAnsi="Wingdings" w:hint="default"/>
      </w:rPr>
    </w:lvl>
  </w:abstractNum>
  <w:abstractNum w:abstractNumId="18" w15:restartNumberingAfterBreak="0">
    <w:nsid w:val="15405B4C"/>
    <w:multiLevelType w:val="hybridMultilevel"/>
    <w:tmpl w:val="87484A4C"/>
    <w:lvl w:ilvl="0" w:tplc="EC7E4C0C">
      <w:numFmt w:val="bullet"/>
      <w:lvlText w:val="–"/>
      <w:lvlJc w:val="left"/>
      <w:pPr>
        <w:ind w:left="720" w:hanging="360"/>
      </w:pPr>
      <w:rPr>
        <w:rFonts w:hint="default"/>
        <w:spacing w:val="-13"/>
        <w:w w:val="100"/>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75A0FC6"/>
    <w:multiLevelType w:val="hybridMultilevel"/>
    <w:tmpl w:val="B686D1D2"/>
    <w:lvl w:ilvl="0" w:tplc="22929BDE">
      <w:numFmt w:val="bullet"/>
      <w:lvlText w:val="–"/>
      <w:lvlJc w:val="left"/>
      <w:pPr>
        <w:ind w:left="786" w:hanging="360"/>
      </w:pPr>
      <w:rPr>
        <w:rFonts w:ascii="Futura PT Book" w:eastAsia="Futura PT Book" w:hAnsi="Futura PT Book" w:cs="Futura PT Book" w:hint="default"/>
        <w:color w:val="58595B"/>
        <w:spacing w:val="-4"/>
        <w:w w:val="100"/>
        <w:sz w:val="19"/>
        <w:szCs w:val="19"/>
        <w:lang w:val="en-US" w:eastAsia="en-US" w:bidi="en-US"/>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0" w15:restartNumberingAfterBreak="0">
    <w:nsid w:val="1C1D28C5"/>
    <w:multiLevelType w:val="hybridMultilevel"/>
    <w:tmpl w:val="AB7AF022"/>
    <w:lvl w:ilvl="0" w:tplc="35BAACB8">
      <w:start w:val="1"/>
      <w:numFmt w:val="bullet"/>
      <w:lvlText w:val="-"/>
      <w:lvlJc w:val="left"/>
      <w:pPr>
        <w:ind w:left="644" w:hanging="360"/>
      </w:pPr>
      <w:rPr>
        <w:rFonts w:ascii="Courier New" w:hAnsi="Courier New" w:hint="default"/>
        <w:color w:val="58595B"/>
        <w:spacing w:val="-4"/>
        <w:w w:val="100"/>
        <w:sz w:val="19"/>
        <w:szCs w:val="19"/>
        <w:lang w:val="en-US" w:eastAsia="en-US" w:bidi="en-US"/>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1" w15:restartNumberingAfterBreak="0">
    <w:nsid w:val="1ED51AA8"/>
    <w:multiLevelType w:val="hybridMultilevel"/>
    <w:tmpl w:val="BBEE34D0"/>
    <w:lvl w:ilvl="0" w:tplc="F886F9AC">
      <w:numFmt w:val="bullet"/>
      <w:lvlText w:val="–"/>
      <w:lvlJc w:val="left"/>
      <w:pPr>
        <w:ind w:left="360" w:hanging="360"/>
      </w:pPr>
      <w:rPr>
        <w:rFonts w:ascii="Futura PT Book" w:eastAsia="Futura PT Book" w:hAnsi="Futura PT Book" w:cs="Futura PT Book" w:hint="default"/>
        <w:color w:val="58595B"/>
        <w:spacing w:val="-4"/>
        <w:w w:val="100"/>
        <w:sz w:val="19"/>
        <w:szCs w:val="19"/>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F036E47"/>
    <w:multiLevelType w:val="hybridMultilevel"/>
    <w:tmpl w:val="AE30F3AC"/>
    <w:lvl w:ilvl="0" w:tplc="35BAACB8">
      <w:start w:val="1"/>
      <w:numFmt w:val="bullet"/>
      <w:lvlText w:val="-"/>
      <w:lvlJc w:val="left"/>
      <w:pPr>
        <w:ind w:left="644" w:hanging="360"/>
      </w:pPr>
      <w:rPr>
        <w:rFonts w:ascii="Courier New" w:hAnsi="Courier New" w:hint="default"/>
        <w:color w:val="58595B"/>
        <w:spacing w:val="-4"/>
        <w:w w:val="100"/>
        <w:sz w:val="19"/>
        <w:szCs w:val="19"/>
        <w:lang w:val="en-US" w:eastAsia="en-US" w:bidi="en-US"/>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3" w15:restartNumberingAfterBreak="0">
    <w:nsid w:val="21CD6A35"/>
    <w:multiLevelType w:val="hybridMultilevel"/>
    <w:tmpl w:val="7432062A"/>
    <w:lvl w:ilvl="0" w:tplc="F886F9AC">
      <w:numFmt w:val="bullet"/>
      <w:lvlText w:val="–"/>
      <w:lvlJc w:val="left"/>
      <w:pPr>
        <w:ind w:left="360" w:hanging="360"/>
      </w:pPr>
      <w:rPr>
        <w:rFonts w:ascii="Futura PT Book" w:eastAsia="Futura PT Book" w:hAnsi="Futura PT Book" w:cs="Futura PT Book" w:hint="default"/>
        <w:color w:val="58595B"/>
        <w:spacing w:val="-4"/>
        <w:w w:val="100"/>
        <w:sz w:val="19"/>
        <w:szCs w:val="19"/>
        <w:lang w:val="en-US" w:eastAsia="en-US" w:bidi="en-US"/>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2B8252B"/>
    <w:multiLevelType w:val="hybridMultilevel"/>
    <w:tmpl w:val="143CB6B8"/>
    <w:lvl w:ilvl="0" w:tplc="35BAACB8">
      <w:start w:val="1"/>
      <w:numFmt w:val="bullet"/>
      <w:lvlText w:val="-"/>
      <w:lvlJc w:val="left"/>
      <w:pPr>
        <w:ind w:left="360" w:hanging="360"/>
      </w:pPr>
      <w:rPr>
        <w:rFonts w:ascii="Courier New" w:hAnsi="Courier New" w:hint="default"/>
        <w:color w:val="58595B"/>
        <w:spacing w:val="-4"/>
        <w:w w:val="100"/>
        <w:sz w:val="19"/>
        <w:szCs w:val="19"/>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4977628"/>
    <w:multiLevelType w:val="hybridMultilevel"/>
    <w:tmpl w:val="68CA6486"/>
    <w:lvl w:ilvl="0" w:tplc="35BAACB8">
      <w:start w:val="1"/>
      <w:numFmt w:val="bullet"/>
      <w:lvlText w:val="-"/>
      <w:lvlJc w:val="left"/>
      <w:pPr>
        <w:ind w:left="360" w:hanging="360"/>
      </w:pPr>
      <w:rPr>
        <w:rFonts w:ascii="Courier New" w:hAnsi="Courier New" w:hint="default"/>
        <w:color w:val="58595B"/>
        <w:spacing w:val="-4"/>
        <w:w w:val="100"/>
        <w:sz w:val="19"/>
        <w:szCs w:val="19"/>
        <w:lang w:val="en-US" w:eastAsia="en-US" w:bidi="en-US"/>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4C00C71"/>
    <w:multiLevelType w:val="hybridMultilevel"/>
    <w:tmpl w:val="E7707212"/>
    <w:lvl w:ilvl="0" w:tplc="35BAACB8">
      <w:start w:val="1"/>
      <w:numFmt w:val="bullet"/>
      <w:lvlText w:val="-"/>
      <w:lvlJc w:val="left"/>
      <w:pPr>
        <w:ind w:left="360" w:hanging="360"/>
      </w:pPr>
      <w:rPr>
        <w:rFonts w:ascii="Courier New" w:hAnsi="Courier New" w:hint="default"/>
        <w:color w:val="58595B"/>
        <w:spacing w:val="-4"/>
        <w:w w:val="100"/>
        <w:sz w:val="19"/>
        <w:szCs w:val="19"/>
        <w:lang w:val="en-US" w:eastAsia="en-US" w:bidi="en-US"/>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57C4B4C"/>
    <w:multiLevelType w:val="hybridMultilevel"/>
    <w:tmpl w:val="2048E0E2"/>
    <w:lvl w:ilvl="0" w:tplc="F886F9AC">
      <w:numFmt w:val="bullet"/>
      <w:lvlText w:val="–"/>
      <w:lvlJc w:val="left"/>
      <w:pPr>
        <w:ind w:left="360" w:hanging="360"/>
      </w:pPr>
      <w:rPr>
        <w:rFonts w:ascii="Futura PT Book" w:eastAsia="Futura PT Book" w:hAnsi="Futura PT Book" w:cs="Futura PT Book" w:hint="default"/>
        <w:color w:val="58595B"/>
        <w:spacing w:val="-4"/>
        <w:w w:val="100"/>
        <w:sz w:val="19"/>
        <w:szCs w:val="19"/>
        <w:lang w:val="en-US" w:eastAsia="en-US" w:bidi="en-US"/>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2A7173AC"/>
    <w:multiLevelType w:val="hybridMultilevel"/>
    <w:tmpl w:val="DD6041CC"/>
    <w:lvl w:ilvl="0" w:tplc="35BAACB8">
      <w:start w:val="1"/>
      <w:numFmt w:val="bullet"/>
      <w:lvlText w:val="-"/>
      <w:lvlJc w:val="left"/>
      <w:pPr>
        <w:ind w:left="360" w:hanging="360"/>
      </w:pPr>
      <w:rPr>
        <w:rFonts w:ascii="Courier New" w:hAnsi="Courier New" w:hint="default"/>
        <w:color w:val="58595B"/>
        <w:spacing w:val="-4"/>
        <w:w w:val="100"/>
        <w:sz w:val="19"/>
        <w:szCs w:val="19"/>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04E5874"/>
    <w:multiLevelType w:val="hybridMultilevel"/>
    <w:tmpl w:val="2EC0CA4C"/>
    <w:lvl w:ilvl="0" w:tplc="F886F9AC">
      <w:numFmt w:val="bullet"/>
      <w:lvlText w:val="–"/>
      <w:lvlJc w:val="left"/>
      <w:pPr>
        <w:ind w:left="360" w:hanging="360"/>
      </w:pPr>
      <w:rPr>
        <w:rFonts w:ascii="Futura PT Book" w:eastAsia="Futura PT Book" w:hAnsi="Futura PT Book" w:cs="Futura PT Book" w:hint="default"/>
        <w:color w:val="58595B"/>
        <w:spacing w:val="-4"/>
        <w:w w:val="100"/>
        <w:sz w:val="19"/>
        <w:szCs w:val="19"/>
        <w:lang w:val="en-US" w:eastAsia="en-US" w:bidi="en-US"/>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08F0EEA"/>
    <w:multiLevelType w:val="hybridMultilevel"/>
    <w:tmpl w:val="96BE78B2"/>
    <w:lvl w:ilvl="0" w:tplc="F886F9AC">
      <w:numFmt w:val="bullet"/>
      <w:lvlText w:val="–"/>
      <w:lvlJc w:val="left"/>
      <w:pPr>
        <w:ind w:left="360" w:hanging="360"/>
      </w:pPr>
      <w:rPr>
        <w:rFonts w:ascii="Futura PT Book" w:eastAsia="Futura PT Book" w:hAnsi="Futura PT Book" w:cs="Futura PT Book" w:hint="default"/>
        <w:color w:val="58595B"/>
        <w:spacing w:val="-4"/>
        <w:w w:val="100"/>
        <w:sz w:val="19"/>
        <w:szCs w:val="19"/>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12524B7"/>
    <w:multiLevelType w:val="hybridMultilevel"/>
    <w:tmpl w:val="89761C72"/>
    <w:lvl w:ilvl="0" w:tplc="F886F9AC">
      <w:numFmt w:val="bullet"/>
      <w:lvlText w:val="–"/>
      <w:lvlJc w:val="left"/>
      <w:pPr>
        <w:ind w:left="786" w:hanging="360"/>
      </w:pPr>
      <w:rPr>
        <w:rFonts w:ascii="Futura PT Book" w:eastAsia="Futura PT Book" w:hAnsi="Futura PT Book" w:cs="Futura PT Book" w:hint="default"/>
        <w:color w:val="58595B"/>
        <w:spacing w:val="-4"/>
        <w:w w:val="100"/>
        <w:sz w:val="19"/>
        <w:szCs w:val="19"/>
        <w:lang w:val="en-US" w:eastAsia="en-US" w:bidi="en-US"/>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2" w15:restartNumberingAfterBreak="0">
    <w:nsid w:val="3A0B6AEA"/>
    <w:multiLevelType w:val="hybridMultilevel"/>
    <w:tmpl w:val="DE0880D8"/>
    <w:lvl w:ilvl="0" w:tplc="35BAACB8">
      <w:start w:val="1"/>
      <w:numFmt w:val="bullet"/>
      <w:lvlText w:val="-"/>
      <w:lvlJc w:val="left"/>
      <w:pPr>
        <w:ind w:left="786" w:hanging="360"/>
      </w:pPr>
      <w:rPr>
        <w:rFonts w:ascii="Courier New" w:hAnsi="Courier New" w:hint="default"/>
        <w:color w:val="58595B"/>
        <w:spacing w:val="-4"/>
        <w:w w:val="100"/>
        <w:sz w:val="19"/>
        <w:szCs w:val="19"/>
        <w:lang w:val="en-US" w:eastAsia="en-US" w:bidi="en-US"/>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3" w15:restartNumberingAfterBreak="0">
    <w:nsid w:val="3A9E0472"/>
    <w:multiLevelType w:val="hybridMultilevel"/>
    <w:tmpl w:val="7DC09E4E"/>
    <w:lvl w:ilvl="0" w:tplc="F886F9AC">
      <w:numFmt w:val="bullet"/>
      <w:lvlText w:val="–"/>
      <w:lvlJc w:val="left"/>
      <w:pPr>
        <w:ind w:left="360" w:hanging="360"/>
      </w:pPr>
      <w:rPr>
        <w:rFonts w:ascii="Futura PT Book" w:eastAsia="Futura PT Book" w:hAnsi="Futura PT Book" w:cs="Futura PT Book" w:hint="default"/>
        <w:color w:val="58595B"/>
        <w:spacing w:val="-4"/>
        <w:w w:val="100"/>
        <w:sz w:val="19"/>
        <w:szCs w:val="19"/>
        <w:lang w:val="en-US" w:eastAsia="en-US" w:bidi="en-US"/>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3C0A7CCF"/>
    <w:multiLevelType w:val="hybridMultilevel"/>
    <w:tmpl w:val="E2FCA06C"/>
    <w:lvl w:ilvl="0" w:tplc="35BAACB8">
      <w:start w:val="1"/>
      <w:numFmt w:val="bullet"/>
      <w:lvlText w:val="-"/>
      <w:lvlJc w:val="left"/>
      <w:pPr>
        <w:ind w:left="360" w:hanging="360"/>
      </w:pPr>
      <w:rPr>
        <w:rFonts w:ascii="Courier New" w:hAnsi="Courier New" w:hint="default"/>
        <w:color w:val="58595B"/>
        <w:spacing w:val="-4"/>
        <w:w w:val="100"/>
        <w:sz w:val="19"/>
        <w:szCs w:val="19"/>
        <w:lang w:val="en-US" w:eastAsia="en-US" w:bidi="en-US"/>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3EB73009"/>
    <w:multiLevelType w:val="hybridMultilevel"/>
    <w:tmpl w:val="0BDEAA60"/>
    <w:lvl w:ilvl="0" w:tplc="35BAACB8">
      <w:start w:val="1"/>
      <w:numFmt w:val="bullet"/>
      <w:lvlText w:val="-"/>
      <w:lvlJc w:val="left"/>
      <w:pPr>
        <w:ind w:left="786" w:hanging="360"/>
      </w:pPr>
      <w:rPr>
        <w:rFonts w:ascii="Courier New" w:hAnsi="Courier New" w:hint="default"/>
        <w:color w:val="58595B"/>
        <w:spacing w:val="-4"/>
        <w:w w:val="100"/>
        <w:sz w:val="19"/>
        <w:szCs w:val="19"/>
        <w:lang w:val="en-US" w:eastAsia="en-US" w:bidi="en-US"/>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6" w15:restartNumberingAfterBreak="0">
    <w:nsid w:val="3F154FBA"/>
    <w:multiLevelType w:val="hybridMultilevel"/>
    <w:tmpl w:val="BFF49EA8"/>
    <w:lvl w:ilvl="0" w:tplc="F886F9AC">
      <w:numFmt w:val="bullet"/>
      <w:lvlText w:val="–"/>
      <w:lvlJc w:val="left"/>
      <w:pPr>
        <w:ind w:left="360" w:hanging="360"/>
      </w:pPr>
      <w:rPr>
        <w:rFonts w:ascii="Futura PT Book" w:eastAsia="Futura PT Book" w:hAnsi="Futura PT Book" w:cs="Futura PT Book" w:hint="default"/>
        <w:color w:val="58595B"/>
        <w:spacing w:val="-4"/>
        <w:w w:val="100"/>
        <w:sz w:val="19"/>
        <w:szCs w:val="19"/>
        <w:lang w:val="en-US" w:eastAsia="en-US" w:bidi="en-US"/>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41AE7164"/>
    <w:multiLevelType w:val="hybridMultilevel"/>
    <w:tmpl w:val="B990733E"/>
    <w:lvl w:ilvl="0" w:tplc="F886F9AC">
      <w:numFmt w:val="bullet"/>
      <w:lvlText w:val="–"/>
      <w:lvlJc w:val="left"/>
      <w:pPr>
        <w:ind w:left="786" w:hanging="360"/>
      </w:pPr>
      <w:rPr>
        <w:rFonts w:ascii="Futura PT Book" w:eastAsia="Futura PT Book" w:hAnsi="Futura PT Book" w:cs="Futura PT Book" w:hint="default"/>
        <w:color w:val="58595B"/>
        <w:spacing w:val="-4"/>
        <w:w w:val="100"/>
        <w:sz w:val="19"/>
        <w:szCs w:val="19"/>
        <w:lang w:val="en-US" w:eastAsia="en-US" w:bidi="en-US"/>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8" w15:restartNumberingAfterBreak="0">
    <w:nsid w:val="45F46F17"/>
    <w:multiLevelType w:val="hybridMultilevel"/>
    <w:tmpl w:val="3572DECA"/>
    <w:lvl w:ilvl="0" w:tplc="22929BDE">
      <w:numFmt w:val="bullet"/>
      <w:lvlText w:val="–"/>
      <w:lvlJc w:val="left"/>
      <w:pPr>
        <w:ind w:left="360" w:hanging="360"/>
      </w:pPr>
      <w:rPr>
        <w:rFonts w:ascii="Futura PT Book" w:eastAsia="Futura PT Book" w:hAnsi="Futura PT Book" w:cs="Futura PT Book" w:hint="default"/>
        <w:color w:val="58595B"/>
        <w:spacing w:val="-4"/>
        <w:w w:val="100"/>
        <w:sz w:val="19"/>
        <w:szCs w:val="19"/>
        <w:lang w:val="en-US" w:eastAsia="en-US" w:bidi="en-US"/>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46655398"/>
    <w:multiLevelType w:val="hybridMultilevel"/>
    <w:tmpl w:val="8DCC4340"/>
    <w:lvl w:ilvl="0" w:tplc="35BAACB8">
      <w:start w:val="1"/>
      <w:numFmt w:val="bullet"/>
      <w:lvlText w:val="-"/>
      <w:lvlJc w:val="left"/>
      <w:pPr>
        <w:ind w:left="360" w:hanging="360"/>
      </w:pPr>
      <w:rPr>
        <w:rFonts w:ascii="Courier New" w:hAnsi="Courier New" w:hint="default"/>
        <w:color w:val="58595B"/>
        <w:spacing w:val="-4"/>
        <w:w w:val="100"/>
        <w:sz w:val="19"/>
        <w:szCs w:val="19"/>
        <w:lang w:val="en-US" w:eastAsia="en-US" w:bidi="en-US"/>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47EB3AD2"/>
    <w:multiLevelType w:val="hybridMultilevel"/>
    <w:tmpl w:val="8318B2C2"/>
    <w:lvl w:ilvl="0" w:tplc="F886F9AC">
      <w:numFmt w:val="bullet"/>
      <w:lvlText w:val="–"/>
      <w:lvlJc w:val="left"/>
      <w:pPr>
        <w:ind w:left="360" w:hanging="360"/>
      </w:pPr>
      <w:rPr>
        <w:rFonts w:ascii="Futura PT Book" w:eastAsia="Futura PT Book" w:hAnsi="Futura PT Book" w:cs="Futura PT Book" w:hint="default"/>
        <w:color w:val="58595B"/>
        <w:spacing w:val="-4"/>
        <w:w w:val="100"/>
        <w:sz w:val="19"/>
        <w:szCs w:val="19"/>
        <w:lang w:val="en-US" w:eastAsia="en-US" w:bidi="en-US"/>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48371B81"/>
    <w:multiLevelType w:val="hybridMultilevel"/>
    <w:tmpl w:val="B128EF88"/>
    <w:lvl w:ilvl="0" w:tplc="F886F9AC">
      <w:numFmt w:val="bullet"/>
      <w:lvlText w:val="–"/>
      <w:lvlJc w:val="left"/>
      <w:pPr>
        <w:ind w:left="1984" w:hanging="284"/>
      </w:pPr>
      <w:rPr>
        <w:rFonts w:ascii="Futura PT Book" w:eastAsia="Futura PT Book" w:hAnsi="Futura PT Book" w:cs="Futura PT Book" w:hint="default"/>
        <w:color w:val="58595B"/>
        <w:spacing w:val="-4"/>
        <w:w w:val="100"/>
        <w:sz w:val="19"/>
        <w:szCs w:val="19"/>
        <w:lang w:val="en-US" w:eastAsia="en-US" w:bidi="en-US"/>
      </w:rPr>
    </w:lvl>
    <w:lvl w:ilvl="1" w:tplc="D74C10E2">
      <w:numFmt w:val="bullet"/>
      <w:lvlText w:val="•"/>
      <w:lvlJc w:val="left"/>
      <w:pPr>
        <w:ind w:left="2344" w:hanging="284"/>
      </w:pPr>
      <w:rPr>
        <w:rFonts w:hint="default"/>
        <w:lang w:val="en-US" w:eastAsia="en-US" w:bidi="en-US"/>
      </w:rPr>
    </w:lvl>
    <w:lvl w:ilvl="2" w:tplc="3544BABC">
      <w:numFmt w:val="bullet"/>
      <w:lvlText w:val="•"/>
      <w:lvlJc w:val="left"/>
      <w:pPr>
        <w:ind w:left="2709" w:hanging="284"/>
      </w:pPr>
      <w:rPr>
        <w:rFonts w:hint="default"/>
        <w:lang w:val="en-US" w:eastAsia="en-US" w:bidi="en-US"/>
      </w:rPr>
    </w:lvl>
    <w:lvl w:ilvl="3" w:tplc="68340610">
      <w:numFmt w:val="bullet"/>
      <w:lvlText w:val="•"/>
      <w:lvlJc w:val="left"/>
      <w:pPr>
        <w:ind w:left="3074" w:hanging="284"/>
      </w:pPr>
      <w:rPr>
        <w:rFonts w:hint="default"/>
        <w:lang w:val="en-US" w:eastAsia="en-US" w:bidi="en-US"/>
      </w:rPr>
    </w:lvl>
    <w:lvl w:ilvl="4" w:tplc="0816A262">
      <w:numFmt w:val="bullet"/>
      <w:lvlText w:val="•"/>
      <w:lvlJc w:val="left"/>
      <w:pPr>
        <w:ind w:left="3438" w:hanging="284"/>
      </w:pPr>
      <w:rPr>
        <w:rFonts w:hint="default"/>
        <w:lang w:val="en-US" w:eastAsia="en-US" w:bidi="en-US"/>
      </w:rPr>
    </w:lvl>
    <w:lvl w:ilvl="5" w:tplc="3C6EA28C">
      <w:numFmt w:val="bullet"/>
      <w:lvlText w:val="•"/>
      <w:lvlJc w:val="left"/>
      <w:pPr>
        <w:ind w:left="3803" w:hanging="284"/>
      </w:pPr>
      <w:rPr>
        <w:rFonts w:hint="default"/>
        <w:lang w:val="en-US" w:eastAsia="en-US" w:bidi="en-US"/>
      </w:rPr>
    </w:lvl>
    <w:lvl w:ilvl="6" w:tplc="5AEC9F46">
      <w:numFmt w:val="bullet"/>
      <w:lvlText w:val="•"/>
      <w:lvlJc w:val="left"/>
      <w:pPr>
        <w:ind w:left="4168" w:hanging="284"/>
      </w:pPr>
      <w:rPr>
        <w:rFonts w:hint="default"/>
        <w:lang w:val="en-US" w:eastAsia="en-US" w:bidi="en-US"/>
      </w:rPr>
    </w:lvl>
    <w:lvl w:ilvl="7" w:tplc="E2FC8516">
      <w:numFmt w:val="bullet"/>
      <w:lvlText w:val="•"/>
      <w:lvlJc w:val="left"/>
      <w:pPr>
        <w:ind w:left="4532" w:hanging="284"/>
      </w:pPr>
      <w:rPr>
        <w:rFonts w:hint="default"/>
        <w:lang w:val="en-US" w:eastAsia="en-US" w:bidi="en-US"/>
      </w:rPr>
    </w:lvl>
    <w:lvl w:ilvl="8" w:tplc="199851A0">
      <w:numFmt w:val="bullet"/>
      <w:lvlText w:val="•"/>
      <w:lvlJc w:val="left"/>
      <w:pPr>
        <w:ind w:left="4897" w:hanging="284"/>
      </w:pPr>
      <w:rPr>
        <w:rFonts w:hint="default"/>
        <w:lang w:val="en-US" w:eastAsia="en-US" w:bidi="en-US"/>
      </w:rPr>
    </w:lvl>
  </w:abstractNum>
  <w:abstractNum w:abstractNumId="42" w15:restartNumberingAfterBreak="0">
    <w:nsid w:val="525967AF"/>
    <w:multiLevelType w:val="hybridMultilevel"/>
    <w:tmpl w:val="06541C1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43" w15:restartNumberingAfterBreak="0">
    <w:nsid w:val="54620A57"/>
    <w:multiLevelType w:val="hybridMultilevel"/>
    <w:tmpl w:val="C180E992"/>
    <w:lvl w:ilvl="0" w:tplc="F886F9AC">
      <w:numFmt w:val="bullet"/>
      <w:lvlText w:val="–"/>
      <w:lvlJc w:val="left"/>
      <w:pPr>
        <w:ind w:left="360" w:hanging="360"/>
      </w:pPr>
      <w:rPr>
        <w:rFonts w:ascii="Futura PT Book" w:eastAsia="Futura PT Book" w:hAnsi="Futura PT Book" w:cs="Futura PT Book" w:hint="default"/>
        <w:color w:val="58595B"/>
        <w:spacing w:val="-4"/>
        <w:w w:val="100"/>
        <w:sz w:val="19"/>
        <w:szCs w:val="19"/>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5265EE2"/>
    <w:multiLevelType w:val="hybridMultilevel"/>
    <w:tmpl w:val="84DA1354"/>
    <w:lvl w:ilvl="0" w:tplc="35BAACB8">
      <w:start w:val="1"/>
      <w:numFmt w:val="bullet"/>
      <w:lvlText w:val="-"/>
      <w:lvlJc w:val="left"/>
      <w:pPr>
        <w:ind w:left="1146" w:hanging="360"/>
      </w:pPr>
      <w:rPr>
        <w:rFonts w:ascii="Courier New" w:hAnsi="Courier New"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45" w15:restartNumberingAfterBreak="0">
    <w:nsid w:val="599B58AC"/>
    <w:multiLevelType w:val="hybridMultilevel"/>
    <w:tmpl w:val="080AE4C2"/>
    <w:lvl w:ilvl="0" w:tplc="F886F9AC">
      <w:numFmt w:val="bullet"/>
      <w:lvlText w:val="–"/>
      <w:lvlJc w:val="left"/>
      <w:pPr>
        <w:ind w:left="360" w:hanging="360"/>
      </w:pPr>
      <w:rPr>
        <w:rFonts w:ascii="Futura PT Book" w:eastAsia="Futura PT Book" w:hAnsi="Futura PT Book" w:cs="Futura PT Book" w:hint="default"/>
        <w:color w:val="58595B"/>
        <w:spacing w:val="-4"/>
        <w:w w:val="100"/>
        <w:sz w:val="19"/>
        <w:szCs w:val="19"/>
        <w:lang w:val="en-US" w:eastAsia="en-US" w:bidi="en-US"/>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5A0F2B74"/>
    <w:multiLevelType w:val="hybridMultilevel"/>
    <w:tmpl w:val="772419F8"/>
    <w:lvl w:ilvl="0" w:tplc="F886F9AC">
      <w:numFmt w:val="bullet"/>
      <w:lvlText w:val="–"/>
      <w:lvlJc w:val="left"/>
      <w:pPr>
        <w:ind w:left="360" w:hanging="360"/>
      </w:pPr>
      <w:rPr>
        <w:rFonts w:ascii="Futura PT Book" w:eastAsia="Futura PT Book" w:hAnsi="Futura PT Book" w:cs="Futura PT Book" w:hint="default"/>
        <w:color w:val="58595B"/>
        <w:spacing w:val="-4"/>
        <w:w w:val="100"/>
        <w:sz w:val="19"/>
        <w:szCs w:val="19"/>
        <w:lang w:val="en-US" w:eastAsia="en-US" w:bidi="en-US"/>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5BDE1B4E"/>
    <w:multiLevelType w:val="hybridMultilevel"/>
    <w:tmpl w:val="5CCA4352"/>
    <w:lvl w:ilvl="0" w:tplc="6372677E">
      <w:numFmt w:val="bullet"/>
      <w:pStyle w:val="Listparagraphwhite"/>
      <w:lvlText w:val="–"/>
      <w:lvlJc w:val="left"/>
      <w:pPr>
        <w:ind w:left="721" w:hanging="360"/>
      </w:pPr>
      <w:rPr>
        <w:rFonts w:ascii="Futura PT Book" w:hAnsi="Futura PT Book" w:cs="Futura PT Book" w:hint="default"/>
        <w:color w:val="FFFFFF" w:themeColor="background1"/>
        <w:spacing w:val="-4"/>
        <w:w w:val="100"/>
        <w:sz w:val="19"/>
        <w:szCs w:val="19"/>
      </w:rPr>
    </w:lvl>
    <w:lvl w:ilvl="1" w:tplc="34090003" w:tentative="1">
      <w:start w:val="1"/>
      <w:numFmt w:val="bullet"/>
      <w:lvlText w:val="o"/>
      <w:lvlJc w:val="left"/>
      <w:pPr>
        <w:ind w:left="1441" w:hanging="360"/>
      </w:pPr>
      <w:rPr>
        <w:rFonts w:ascii="Courier New" w:hAnsi="Courier New" w:cs="Courier New" w:hint="default"/>
      </w:rPr>
    </w:lvl>
    <w:lvl w:ilvl="2" w:tplc="34090005" w:tentative="1">
      <w:start w:val="1"/>
      <w:numFmt w:val="bullet"/>
      <w:lvlText w:val=""/>
      <w:lvlJc w:val="left"/>
      <w:pPr>
        <w:ind w:left="2161" w:hanging="360"/>
      </w:pPr>
      <w:rPr>
        <w:rFonts w:ascii="Wingdings" w:hAnsi="Wingdings" w:hint="default"/>
      </w:rPr>
    </w:lvl>
    <w:lvl w:ilvl="3" w:tplc="34090001" w:tentative="1">
      <w:start w:val="1"/>
      <w:numFmt w:val="bullet"/>
      <w:lvlText w:val=""/>
      <w:lvlJc w:val="left"/>
      <w:pPr>
        <w:ind w:left="2881" w:hanging="360"/>
      </w:pPr>
      <w:rPr>
        <w:rFonts w:ascii="Symbol" w:hAnsi="Symbol" w:hint="default"/>
      </w:rPr>
    </w:lvl>
    <w:lvl w:ilvl="4" w:tplc="34090003" w:tentative="1">
      <w:start w:val="1"/>
      <w:numFmt w:val="bullet"/>
      <w:lvlText w:val="o"/>
      <w:lvlJc w:val="left"/>
      <w:pPr>
        <w:ind w:left="3601" w:hanging="360"/>
      </w:pPr>
      <w:rPr>
        <w:rFonts w:ascii="Courier New" w:hAnsi="Courier New" w:cs="Courier New" w:hint="default"/>
      </w:rPr>
    </w:lvl>
    <w:lvl w:ilvl="5" w:tplc="34090005" w:tentative="1">
      <w:start w:val="1"/>
      <w:numFmt w:val="bullet"/>
      <w:lvlText w:val=""/>
      <w:lvlJc w:val="left"/>
      <w:pPr>
        <w:ind w:left="4321" w:hanging="360"/>
      </w:pPr>
      <w:rPr>
        <w:rFonts w:ascii="Wingdings" w:hAnsi="Wingdings" w:hint="default"/>
      </w:rPr>
    </w:lvl>
    <w:lvl w:ilvl="6" w:tplc="34090001" w:tentative="1">
      <w:start w:val="1"/>
      <w:numFmt w:val="bullet"/>
      <w:lvlText w:val=""/>
      <w:lvlJc w:val="left"/>
      <w:pPr>
        <w:ind w:left="5041" w:hanging="360"/>
      </w:pPr>
      <w:rPr>
        <w:rFonts w:ascii="Symbol" w:hAnsi="Symbol" w:hint="default"/>
      </w:rPr>
    </w:lvl>
    <w:lvl w:ilvl="7" w:tplc="34090003" w:tentative="1">
      <w:start w:val="1"/>
      <w:numFmt w:val="bullet"/>
      <w:lvlText w:val="o"/>
      <w:lvlJc w:val="left"/>
      <w:pPr>
        <w:ind w:left="5761" w:hanging="360"/>
      </w:pPr>
      <w:rPr>
        <w:rFonts w:ascii="Courier New" w:hAnsi="Courier New" w:cs="Courier New" w:hint="default"/>
      </w:rPr>
    </w:lvl>
    <w:lvl w:ilvl="8" w:tplc="34090005" w:tentative="1">
      <w:start w:val="1"/>
      <w:numFmt w:val="bullet"/>
      <w:lvlText w:val=""/>
      <w:lvlJc w:val="left"/>
      <w:pPr>
        <w:ind w:left="6481" w:hanging="360"/>
      </w:pPr>
      <w:rPr>
        <w:rFonts w:ascii="Wingdings" w:hAnsi="Wingdings" w:hint="default"/>
      </w:rPr>
    </w:lvl>
  </w:abstractNum>
  <w:abstractNum w:abstractNumId="48" w15:restartNumberingAfterBreak="0">
    <w:nsid w:val="5F6E3711"/>
    <w:multiLevelType w:val="hybridMultilevel"/>
    <w:tmpl w:val="C55013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F9403FE"/>
    <w:multiLevelType w:val="hybridMultilevel"/>
    <w:tmpl w:val="C6B0D78C"/>
    <w:lvl w:ilvl="0" w:tplc="F886F9AC">
      <w:numFmt w:val="bullet"/>
      <w:lvlText w:val="–"/>
      <w:lvlJc w:val="left"/>
      <w:pPr>
        <w:ind w:left="360" w:hanging="360"/>
      </w:pPr>
      <w:rPr>
        <w:rFonts w:ascii="Futura PT Book" w:eastAsia="Futura PT Book" w:hAnsi="Futura PT Book" w:cs="Futura PT Book" w:hint="default"/>
        <w:color w:val="58595B"/>
        <w:spacing w:val="-4"/>
        <w:w w:val="100"/>
        <w:sz w:val="19"/>
        <w:szCs w:val="19"/>
        <w:lang w:val="en-US" w:eastAsia="en-US" w:bidi="en-US"/>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621472CF"/>
    <w:multiLevelType w:val="hybridMultilevel"/>
    <w:tmpl w:val="8A823BAA"/>
    <w:lvl w:ilvl="0" w:tplc="F886F9AC">
      <w:numFmt w:val="bullet"/>
      <w:lvlText w:val="–"/>
      <w:lvlJc w:val="left"/>
      <w:pPr>
        <w:ind w:left="360" w:hanging="360"/>
      </w:pPr>
      <w:rPr>
        <w:rFonts w:ascii="Futura PT Book" w:eastAsia="Futura PT Book" w:hAnsi="Futura PT Book" w:cs="Futura PT Book" w:hint="default"/>
        <w:color w:val="58595B"/>
        <w:spacing w:val="-4"/>
        <w:w w:val="100"/>
        <w:sz w:val="19"/>
        <w:szCs w:val="19"/>
        <w:lang w:val="en-US" w:eastAsia="en-US" w:bidi="en-US"/>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63FA3A38"/>
    <w:multiLevelType w:val="hybridMultilevel"/>
    <w:tmpl w:val="1C58C308"/>
    <w:lvl w:ilvl="0" w:tplc="EC7E4C0C">
      <w:numFmt w:val="bullet"/>
      <w:lvlText w:val="–"/>
      <w:lvlJc w:val="left"/>
      <w:pPr>
        <w:ind w:left="825" w:hanging="284"/>
      </w:pPr>
      <w:rPr>
        <w:rFonts w:hint="default"/>
        <w:spacing w:val="-13"/>
        <w:w w:val="100"/>
        <w:lang w:val="en-US" w:eastAsia="en-US" w:bidi="en-US"/>
      </w:rPr>
    </w:lvl>
    <w:lvl w:ilvl="1" w:tplc="35BAACB8">
      <w:start w:val="1"/>
      <w:numFmt w:val="bullet"/>
      <w:lvlText w:val="-"/>
      <w:lvlJc w:val="left"/>
      <w:pPr>
        <w:ind w:left="710" w:hanging="284"/>
      </w:pPr>
      <w:rPr>
        <w:rFonts w:ascii="Courier New" w:hAnsi="Courier New" w:hint="default"/>
        <w:color w:val="58595B"/>
        <w:spacing w:val="-4"/>
        <w:w w:val="100"/>
        <w:sz w:val="19"/>
        <w:szCs w:val="19"/>
        <w:lang w:val="en-US" w:eastAsia="en-US" w:bidi="en-US"/>
      </w:rPr>
    </w:lvl>
    <w:lvl w:ilvl="2" w:tplc="22929BDE">
      <w:numFmt w:val="bullet"/>
      <w:pStyle w:val="ListL2"/>
      <w:lvlText w:val="–"/>
      <w:lvlJc w:val="left"/>
      <w:pPr>
        <w:ind w:left="1700" w:hanging="284"/>
      </w:pPr>
      <w:rPr>
        <w:rFonts w:ascii="Futura PT Book" w:eastAsia="Futura PT Book" w:hAnsi="Futura PT Book" w:cs="Futura PT Book" w:hint="default"/>
        <w:color w:val="58595B"/>
        <w:spacing w:val="-4"/>
        <w:w w:val="100"/>
        <w:sz w:val="19"/>
        <w:szCs w:val="19"/>
        <w:lang w:val="en-US" w:eastAsia="en-US" w:bidi="en-US"/>
      </w:rPr>
    </w:lvl>
    <w:lvl w:ilvl="3" w:tplc="501475AE">
      <w:numFmt w:val="bullet"/>
      <w:lvlText w:val="•"/>
      <w:lvlJc w:val="left"/>
      <w:pPr>
        <w:ind w:left="1471" w:hanging="284"/>
      </w:pPr>
      <w:rPr>
        <w:rFonts w:hint="default"/>
        <w:lang w:val="en-US" w:eastAsia="en-US" w:bidi="en-US"/>
      </w:rPr>
    </w:lvl>
    <w:lvl w:ilvl="4" w:tplc="160E9848">
      <w:numFmt w:val="bullet"/>
      <w:lvlText w:val="•"/>
      <w:lvlJc w:val="left"/>
      <w:pPr>
        <w:ind w:left="1242" w:hanging="284"/>
      </w:pPr>
      <w:rPr>
        <w:rFonts w:hint="default"/>
        <w:lang w:val="en-US" w:eastAsia="en-US" w:bidi="en-US"/>
      </w:rPr>
    </w:lvl>
    <w:lvl w:ilvl="5" w:tplc="906607C8">
      <w:numFmt w:val="bullet"/>
      <w:lvlText w:val="•"/>
      <w:lvlJc w:val="left"/>
      <w:pPr>
        <w:ind w:left="1013" w:hanging="284"/>
      </w:pPr>
      <w:rPr>
        <w:rFonts w:hint="default"/>
        <w:lang w:val="en-US" w:eastAsia="en-US" w:bidi="en-US"/>
      </w:rPr>
    </w:lvl>
    <w:lvl w:ilvl="6" w:tplc="C6042CA4">
      <w:numFmt w:val="bullet"/>
      <w:lvlText w:val="•"/>
      <w:lvlJc w:val="left"/>
      <w:pPr>
        <w:ind w:left="784" w:hanging="284"/>
      </w:pPr>
      <w:rPr>
        <w:rFonts w:hint="default"/>
        <w:lang w:val="en-US" w:eastAsia="en-US" w:bidi="en-US"/>
      </w:rPr>
    </w:lvl>
    <w:lvl w:ilvl="7" w:tplc="DAF2FF04">
      <w:numFmt w:val="bullet"/>
      <w:lvlText w:val="•"/>
      <w:lvlJc w:val="left"/>
      <w:pPr>
        <w:ind w:left="556" w:hanging="284"/>
      </w:pPr>
      <w:rPr>
        <w:rFonts w:hint="default"/>
        <w:lang w:val="en-US" w:eastAsia="en-US" w:bidi="en-US"/>
      </w:rPr>
    </w:lvl>
    <w:lvl w:ilvl="8" w:tplc="EC40FE74">
      <w:numFmt w:val="bullet"/>
      <w:lvlText w:val="•"/>
      <w:lvlJc w:val="left"/>
      <w:pPr>
        <w:ind w:left="327" w:hanging="284"/>
      </w:pPr>
      <w:rPr>
        <w:rFonts w:hint="default"/>
        <w:lang w:val="en-US" w:eastAsia="en-US" w:bidi="en-US"/>
      </w:rPr>
    </w:lvl>
  </w:abstractNum>
  <w:abstractNum w:abstractNumId="52" w15:restartNumberingAfterBreak="0">
    <w:nsid w:val="642767D1"/>
    <w:multiLevelType w:val="hybridMultilevel"/>
    <w:tmpl w:val="6F5A4382"/>
    <w:lvl w:ilvl="0" w:tplc="F886F9AC">
      <w:numFmt w:val="bullet"/>
      <w:lvlText w:val="–"/>
      <w:lvlJc w:val="left"/>
      <w:pPr>
        <w:ind w:left="360" w:hanging="360"/>
      </w:pPr>
      <w:rPr>
        <w:rFonts w:ascii="Futura PT Book" w:eastAsia="Futura PT Book" w:hAnsi="Futura PT Book" w:cs="Futura PT Book" w:hint="default"/>
        <w:color w:val="58595B"/>
        <w:spacing w:val="-4"/>
        <w:w w:val="100"/>
        <w:sz w:val="19"/>
        <w:szCs w:val="19"/>
        <w:lang w:val="en-US" w:eastAsia="en-US" w:bidi="en-US"/>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65276075"/>
    <w:multiLevelType w:val="hybridMultilevel"/>
    <w:tmpl w:val="F12E03DE"/>
    <w:lvl w:ilvl="0" w:tplc="F886F9AC">
      <w:numFmt w:val="bullet"/>
      <w:lvlText w:val="–"/>
      <w:lvlJc w:val="left"/>
      <w:pPr>
        <w:ind w:left="360" w:hanging="360"/>
      </w:pPr>
      <w:rPr>
        <w:rFonts w:ascii="Futura PT Book" w:eastAsia="Futura PT Book" w:hAnsi="Futura PT Book" w:cs="Futura PT Book" w:hint="default"/>
        <w:color w:val="58595B"/>
        <w:spacing w:val="-4"/>
        <w:w w:val="100"/>
        <w:sz w:val="19"/>
        <w:szCs w:val="19"/>
        <w:lang w:val="en-US" w:eastAsia="en-US" w:bidi="en-US"/>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682F2D5D"/>
    <w:multiLevelType w:val="hybridMultilevel"/>
    <w:tmpl w:val="11EC0822"/>
    <w:lvl w:ilvl="0" w:tplc="F886F9AC">
      <w:numFmt w:val="bullet"/>
      <w:lvlText w:val="–"/>
      <w:lvlJc w:val="left"/>
      <w:pPr>
        <w:ind w:left="360" w:hanging="360"/>
      </w:pPr>
      <w:rPr>
        <w:rFonts w:ascii="Futura PT Book" w:eastAsia="Futura PT Book" w:hAnsi="Futura PT Book" w:cs="Futura PT Book" w:hint="default"/>
        <w:color w:val="58595B"/>
        <w:spacing w:val="-4"/>
        <w:w w:val="100"/>
        <w:sz w:val="19"/>
        <w:szCs w:val="19"/>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8525344"/>
    <w:multiLevelType w:val="hybridMultilevel"/>
    <w:tmpl w:val="2834A57E"/>
    <w:lvl w:ilvl="0" w:tplc="EC7E4C0C">
      <w:numFmt w:val="bullet"/>
      <w:lvlText w:val="–"/>
      <w:lvlJc w:val="left"/>
      <w:pPr>
        <w:ind w:left="720" w:hanging="360"/>
      </w:pPr>
      <w:rPr>
        <w:rFonts w:hint="default"/>
        <w:spacing w:val="-13"/>
        <w:w w:val="100"/>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8A70CAD"/>
    <w:multiLevelType w:val="hybridMultilevel"/>
    <w:tmpl w:val="CF7EB4F0"/>
    <w:lvl w:ilvl="0" w:tplc="F886F9AC">
      <w:numFmt w:val="bullet"/>
      <w:lvlText w:val="–"/>
      <w:lvlJc w:val="left"/>
      <w:pPr>
        <w:ind w:left="644" w:hanging="360"/>
      </w:pPr>
      <w:rPr>
        <w:rFonts w:ascii="Futura PT Book" w:eastAsia="Futura PT Book" w:hAnsi="Futura PT Book" w:cs="Futura PT Book" w:hint="default"/>
        <w:color w:val="58595B"/>
        <w:spacing w:val="-4"/>
        <w:w w:val="100"/>
        <w:sz w:val="19"/>
        <w:szCs w:val="19"/>
        <w:lang w:val="en-US" w:eastAsia="en-US" w:bidi="en-US"/>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57" w15:restartNumberingAfterBreak="0">
    <w:nsid w:val="68FF3C64"/>
    <w:multiLevelType w:val="hybridMultilevel"/>
    <w:tmpl w:val="34D2B0A8"/>
    <w:lvl w:ilvl="0" w:tplc="F886F9AC">
      <w:numFmt w:val="bullet"/>
      <w:lvlText w:val="–"/>
      <w:lvlJc w:val="left"/>
      <w:pPr>
        <w:ind w:left="360" w:hanging="360"/>
      </w:pPr>
      <w:rPr>
        <w:rFonts w:ascii="Futura PT Book" w:eastAsia="Futura PT Book" w:hAnsi="Futura PT Book" w:cs="Futura PT Book" w:hint="default"/>
        <w:color w:val="58595B"/>
        <w:spacing w:val="-4"/>
        <w:w w:val="100"/>
        <w:sz w:val="19"/>
        <w:szCs w:val="19"/>
        <w:lang w:val="en-US" w:eastAsia="en-US" w:bidi="en-US"/>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698566A5"/>
    <w:multiLevelType w:val="hybridMultilevel"/>
    <w:tmpl w:val="0ACCA5B0"/>
    <w:lvl w:ilvl="0" w:tplc="35BAACB8">
      <w:start w:val="1"/>
      <w:numFmt w:val="bullet"/>
      <w:lvlText w:val="-"/>
      <w:lvlJc w:val="left"/>
      <w:pPr>
        <w:ind w:left="360" w:hanging="360"/>
      </w:pPr>
      <w:rPr>
        <w:rFonts w:ascii="Courier New" w:hAnsi="Courier New" w:hint="default"/>
        <w:color w:val="58595B"/>
        <w:spacing w:val="-4"/>
        <w:w w:val="100"/>
        <w:sz w:val="19"/>
        <w:szCs w:val="19"/>
        <w:lang w:val="en-US" w:eastAsia="en-US" w:bidi="en-US"/>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6A586E9E"/>
    <w:multiLevelType w:val="hybridMultilevel"/>
    <w:tmpl w:val="C4208A18"/>
    <w:lvl w:ilvl="0" w:tplc="F886F9AC">
      <w:numFmt w:val="bullet"/>
      <w:lvlText w:val="–"/>
      <w:lvlJc w:val="left"/>
      <w:pPr>
        <w:ind w:left="360" w:hanging="360"/>
      </w:pPr>
      <w:rPr>
        <w:rFonts w:ascii="Futura PT Book" w:eastAsia="Futura PT Book" w:hAnsi="Futura PT Book" w:cs="Futura PT Book" w:hint="default"/>
        <w:color w:val="58595B"/>
        <w:spacing w:val="-4"/>
        <w:w w:val="100"/>
        <w:sz w:val="19"/>
        <w:szCs w:val="19"/>
        <w:lang w:val="en-US" w:eastAsia="en-US" w:bidi="en-US"/>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6E05737D"/>
    <w:multiLevelType w:val="hybridMultilevel"/>
    <w:tmpl w:val="C9DEEB38"/>
    <w:lvl w:ilvl="0" w:tplc="35BAACB8">
      <w:start w:val="1"/>
      <w:numFmt w:val="bullet"/>
      <w:lvlText w:val="-"/>
      <w:lvlJc w:val="left"/>
      <w:pPr>
        <w:ind w:left="360" w:hanging="360"/>
      </w:pPr>
      <w:rPr>
        <w:rFonts w:ascii="Courier New" w:hAnsi="Courier New" w:hint="default"/>
        <w:color w:val="58595B"/>
        <w:spacing w:val="-4"/>
        <w:w w:val="100"/>
        <w:sz w:val="19"/>
        <w:szCs w:val="19"/>
        <w:lang w:val="en-US" w:eastAsia="en-US" w:bidi="en-US"/>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704E3ECA"/>
    <w:multiLevelType w:val="hybridMultilevel"/>
    <w:tmpl w:val="3CF60914"/>
    <w:lvl w:ilvl="0" w:tplc="35BAACB8">
      <w:start w:val="1"/>
      <w:numFmt w:val="bullet"/>
      <w:lvlText w:val="-"/>
      <w:lvlJc w:val="left"/>
      <w:pPr>
        <w:ind w:left="360" w:hanging="360"/>
      </w:pPr>
      <w:rPr>
        <w:rFonts w:ascii="Courier New" w:hAnsi="Courier New" w:hint="default"/>
        <w:color w:val="58595B"/>
        <w:spacing w:val="-4"/>
        <w:w w:val="100"/>
        <w:sz w:val="19"/>
        <w:szCs w:val="19"/>
        <w:lang w:val="en-US" w:eastAsia="en-US" w:bidi="en-US"/>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71C311A1"/>
    <w:multiLevelType w:val="hybridMultilevel"/>
    <w:tmpl w:val="114E3406"/>
    <w:lvl w:ilvl="0" w:tplc="35BAACB8">
      <w:start w:val="1"/>
      <w:numFmt w:val="bullet"/>
      <w:lvlText w:val="-"/>
      <w:lvlJc w:val="left"/>
      <w:pPr>
        <w:ind w:left="360" w:hanging="360"/>
      </w:pPr>
      <w:rPr>
        <w:rFonts w:ascii="Courier New" w:hAnsi="Courier New" w:hint="default"/>
        <w:color w:val="58595B"/>
        <w:spacing w:val="-4"/>
        <w:w w:val="100"/>
        <w:sz w:val="19"/>
        <w:szCs w:val="19"/>
        <w:lang w:val="en-US" w:eastAsia="en-US" w:bidi="en-US"/>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720A456D"/>
    <w:multiLevelType w:val="hybridMultilevel"/>
    <w:tmpl w:val="4D2AAE80"/>
    <w:lvl w:ilvl="0" w:tplc="35BAACB8">
      <w:start w:val="1"/>
      <w:numFmt w:val="bullet"/>
      <w:lvlText w:val="-"/>
      <w:lvlJc w:val="left"/>
      <w:pPr>
        <w:ind w:left="360" w:hanging="360"/>
      </w:pPr>
      <w:rPr>
        <w:rFonts w:ascii="Courier New" w:hAnsi="Courier New" w:hint="default"/>
        <w:color w:val="58595B"/>
        <w:spacing w:val="-4"/>
        <w:w w:val="100"/>
        <w:sz w:val="19"/>
        <w:szCs w:val="19"/>
        <w:lang w:val="en-US" w:eastAsia="en-US" w:bidi="en-US"/>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72532F34"/>
    <w:multiLevelType w:val="hybridMultilevel"/>
    <w:tmpl w:val="3E84C240"/>
    <w:lvl w:ilvl="0" w:tplc="F886F9AC">
      <w:numFmt w:val="bullet"/>
      <w:lvlText w:val="–"/>
      <w:lvlJc w:val="left"/>
      <w:pPr>
        <w:ind w:left="360" w:hanging="360"/>
      </w:pPr>
      <w:rPr>
        <w:rFonts w:ascii="Futura PT Book" w:eastAsia="Futura PT Book" w:hAnsi="Futura PT Book" w:cs="Futura PT Book" w:hint="default"/>
        <w:color w:val="58595B"/>
        <w:spacing w:val="-4"/>
        <w:w w:val="100"/>
        <w:sz w:val="19"/>
        <w:szCs w:val="19"/>
        <w:lang w:val="en-US" w:eastAsia="en-US" w:bidi="en-US"/>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728073C1"/>
    <w:multiLevelType w:val="hybridMultilevel"/>
    <w:tmpl w:val="195A11EA"/>
    <w:lvl w:ilvl="0" w:tplc="B5FC1454">
      <w:start w:val="1"/>
      <w:numFmt w:val="decimal"/>
      <w:pStyle w:val="TOC1"/>
      <w:lvlText w:val="%1"/>
      <w:lvlJc w:val="left"/>
      <w:pPr>
        <w:ind w:left="717" w:hanging="360"/>
      </w:pPr>
      <w:rPr>
        <w:rFonts w:hint="default"/>
        <w:b/>
        <w:i w:val="0"/>
        <w:color w:val="58595A"/>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6" w15:restartNumberingAfterBreak="0">
    <w:nsid w:val="73D038EE"/>
    <w:multiLevelType w:val="hybridMultilevel"/>
    <w:tmpl w:val="6AC47F00"/>
    <w:lvl w:ilvl="0" w:tplc="35BAACB8">
      <w:start w:val="1"/>
      <w:numFmt w:val="bullet"/>
      <w:lvlText w:val="-"/>
      <w:lvlJc w:val="left"/>
      <w:pPr>
        <w:ind w:left="786" w:hanging="360"/>
      </w:pPr>
      <w:rPr>
        <w:rFonts w:ascii="Courier New" w:hAnsi="Courier New" w:hint="default"/>
        <w:color w:val="58595B"/>
        <w:spacing w:val="-4"/>
        <w:w w:val="100"/>
        <w:sz w:val="19"/>
        <w:szCs w:val="19"/>
        <w:lang w:val="en-US" w:eastAsia="en-US" w:bidi="en-US"/>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67" w15:restartNumberingAfterBreak="0">
    <w:nsid w:val="79DD7863"/>
    <w:multiLevelType w:val="hybridMultilevel"/>
    <w:tmpl w:val="9CACE60A"/>
    <w:lvl w:ilvl="0" w:tplc="35BAACB8">
      <w:start w:val="1"/>
      <w:numFmt w:val="bullet"/>
      <w:lvlText w:val="-"/>
      <w:lvlJc w:val="left"/>
      <w:pPr>
        <w:ind w:left="360" w:hanging="360"/>
      </w:pPr>
      <w:rPr>
        <w:rFonts w:ascii="Courier New" w:hAnsi="Courier New" w:hint="default"/>
        <w:color w:val="58595B"/>
        <w:spacing w:val="-4"/>
        <w:w w:val="100"/>
        <w:sz w:val="19"/>
        <w:szCs w:val="19"/>
        <w:lang w:val="en-US" w:eastAsia="en-US" w:bidi="en-US"/>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1"/>
  </w:num>
  <w:num w:numId="2">
    <w:abstractNumId w:val="51"/>
  </w:num>
  <w:num w:numId="3">
    <w:abstractNumId w:val="11"/>
  </w:num>
  <w:num w:numId="4">
    <w:abstractNumId w:val="17"/>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47"/>
  </w:num>
  <w:num w:numId="16">
    <w:abstractNumId w:val="65"/>
  </w:num>
  <w:num w:numId="17">
    <w:abstractNumId w:val="27"/>
  </w:num>
  <w:num w:numId="18">
    <w:abstractNumId w:val="19"/>
  </w:num>
  <w:num w:numId="19">
    <w:abstractNumId w:val="55"/>
  </w:num>
  <w:num w:numId="20">
    <w:abstractNumId w:val="18"/>
  </w:num>
  <w:num w:numId="21">
    <w:abstractNumId w:val="15"/>
  </w:num>
  <w:num w:numId="22">
    <w:abstractNumId w:val="40"/>
  </w:num>
  <w:num w:numId="23">
    <w:abstractNumId w:val="64"/>
  </w:num>
  <w:num w:numId="24">
    <w:abstractNumId w:val="29"/>
  </w:num>
  <w:num w:numId="25">
    <w:abstractNumId w:val="36"/>
  </w:num>
  <w:num w:numId="26">
    <w:abstractNumId w:val="53"/>
  </w:num>
  <w:num w:numId="27">
    <w:abstractNumId w:val="30"/>
  </w:num>
  <w:num w:numId="28">
    <w:abstractNumId w:val="54"/>
  </w:num>
  <w:num w:numId="29">
    <w:abstractNumId w:val="57"/>
  </w:num>
  <w:num w:numId="30">
    <w:abstractNumId w:val="50"/>
  </w:num>
  <w:num w:numId="31">
    <w:abstractNumId w:val="21"/>
  </w:num>
  <w:num w:numId="32">
    <w:abstractNumId w:val="43"/>
  </w:num>
  <w:num w:numId="33">
    <w:abstractNumId w:val="59"/>
  </w:num>
  <w:num w:numId="34">
    <w:abstractNumId w:val="13"/>
  </w:num>
  <w:num w:numId="35">
    <w:abstractNumId w:val="33"/>
  </w:num>
  <w:num w:numId="36">
    <w:abstractNumId w:val="23"/>
  </w:num>
  <w:num w:numId="37">
    <w:abstractNumId w:val="48"/>
  </w:num>
  <w:num w:numId="38">
    <w:abstractNumId w:val="52"/>
  </w:num>
  <w:num w:numId="39">
    <w:abstractNumId w:val="37"/>
  </w:num>
  <w:num w:numId="40">
    <w:abstractNumId w:val="31"/>
  </w:num>
  <w:num w:numId="41">
    <w:abstractNumId w:val="38"/>
  </w:num>
  <w:num w:numId="42">
    <w:abstractNumId w:val="42"/>
  </w:num>
  <w:num w:numId="43">
    <w:abstractNumId w:val="45"/>
  </w:num>
  <w:num w:numId="44">
    <w:abstractNumId w:val="20"/>
  </w:num>
  <w:num w:numId="45">
    <w:abstractNumId w:val="56"/>
  </w:num>
  <w:num w:numId="46">
    <w:abstractNumId w:val="37"/>
  </w:num>
  <w:num w:numId="47">
    <w:abstractNumId w:val="46"/>
  </w:num>
  <w:num w:numId="48">
    <w:abstractNumId w:val="12"/>
  </w:num>
  <w:num w:numId="49">
    <w:abstractNumId w:val="49"/>
  </w:num>
  <w:num w:numId="50">
    <w:abstractNumId w:val="16"/>
  </w:num>
  <w:num w:numId="51">
    <w:abstractNumId w:val="67"/>
  </w:num>
  <w:num w:numId="52">
    <w:abstractNumId w:val="58"/>
  </w:num>
  <w:num w:numId="53">
    <w:abstractNumId w:val="62"/>
  </w:num>
  <w:num w:numId="54">
    <w:abstractNumId w:val="26"/>
  </w:num>
  <w:num w:numId="55">
    <w:abstractNumId w:val="34"/>
  </w:num>
  <w:num w:numId="56">
    <w:abstractNumId w:val="39"/>
  </w:num>
  <w:num w:numId="57">
    <w:abstractNumId w:val="32"/>
  </w:num>
  <w:num w:numId="58">
    <w:abstractNumId w:val="22"/>
  </w:num>
  <w:num w:numId="59">
    <w:abstractNumId w:val="14"/>
  </w:num>
  <w:num w:numId="60">
    <w:abstractNumId w:val="63"/>
  </w:num>
  <w:num w:numId="61">
    <w:abstractNumId w:val="35"/>
  </w:num>
  <w:num w:numId="62">
    <w:abstractNumId w:val="28"/>
  </w:num>
  <w:num w:numId="63">
    <w:abstractNumId w:val="24"/>
  </w:num>
  <w:num w:numId="64">
    <w:abstractNumId w:val="66"/>
  </w:num>
  <w:num w:numId="65">
    <w:abstractNumId w:val="61"/>
  </w:num>
  <w:num w:numId="66">
    <w:abstractNumId w:val="44"/>
  </w:num>
  <w:num w:numId="67">
    <w:abstractNumId w:val="60"/>
  </w:num>
  <w:num w:numId="68">
    <w:abstractNumId w:val="10"/>
  </w:num>
  <w:num w:numId="69">
    <w:abstractNumId w:val="2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characterSpacingControl w:val="doNotCompress"/>
  <w:hdrShapeDefaults>
    <o:shapedefaults v:ext="edit" spidmax="3073">
      <o:colormru v:ext="edit" colors="#f37a21"/>
    </o:shapedefaults>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5F5"/>
    <w:rsid w:val="000000D5"/>
    <w:rsid w:val="0000133A"/>
    <w:rsid w:val="00004438"/>
    <w:rsid w:val="00004D42"/>
    <w:rsid w:val="0000621E"/>
    <w:rsid w:val="000112D4"/>
    <w:rsid w:val="00011A81"/>
    <w:rsid w:val="00011ACD"/>
    <w:rsid w:val="0002059D"/>
    <w:rsid w:val="000213D0"/>
    <w:rsid w:val="0002557D"/>
    <w:rsid w:val="00027ADB"/>
    <w:rsid w:val="00030F0D"/>
    <w:rsid w:val="00031882"/>
    <w:rsid w:val="00032268"/>
    <w:rsid w:val="00032D7B"/>
    <w:rsid w:val="0003368F"/>
    <w:rsid w:val="0003549A"/>
    <w:rsid w:val="000367EA"/>
    <w:rsid w:val="00037699"/>
    <w:rsid w:val="00040BED"/>
    <w:rsid w:val="00041B5E"/>
    <w:rsid w:val="00043F90"/>
    <w:rsid w:val="00050A08"/>
    <w:rsid w:val="00052900"/>
    <w:rsid w:val="00053037"/>
    <w:rsid w:val="000532FD"/>
    <w:rsid w:val="00053384"/>
    <w:rsid w:val="00055369"/>
    <w:rsid w:val="00055D6E"/>
    <w:rsid w:val="000575BD"/>
    <w:rsid w:val="00061591"/>
    <w:rsid w:val="00061F0E"/>
    <w:rsid w:val="00062330"/>
    <w:rsid w:val="000655B0"/>
    <w:rsid w:val="00066FBA"/>
    <w:rsid w:val="00071E45"/>
    <w:rsid w:val="00073029"/>
    <w:rsid w:val="0007598B"/>
    <w:rsid w:val="000800FF"/>
    <w:rsid w:val="00081B3F"/>
    <w:rsid w:val="00083531"/>
    <w:rsid w:val="00085021"/>
    <w:rsid w:val="000872A9"/>
    <w:rsid w:val="00092753"/>
    <w:rsid w:val="00092838"/>
    <w:rsid w:val="00092A17"/>
    <w:rsid w:val="00092EEE"/>
    <w:rsid w:val="000957E2"/>
    <w:rsid w:val="000961D7"/>
    <w:rsid w:val="000A14FA"/>
    <w:rsid w:val="000A15E6"/>
    <w:rsid w:val="000A4462"/>
    <w:rsid w:val="000A51F9"/>
    <w:rsid w:val="000A64EE"/>
    <w:rsid w:val="000A65F1"/>
    <w:rsid w:val="000A73B8"/>
    <w:rsid w:val="000B0462"/>
    <w:rsid w:val="000B161F"/>
    <w:rsid w:val="000B29EA"/>
    <w:rsid w:val="000B47F0"/>
    <w:rsid w:val="000C0716"/>
    <w:rsid w:val="000C203E"/>
    <w:rsid w:val="000C3D03"/>
    <w:rsid w:val="000D1E90"/>
    <w:rsid w:val="000E1534"/>
    <w:rsid w:val="000E3AC1"/>
    <w:rsid w:val="000E4F17"/>
    <w:rsid w:val="000E5E14"/>
    <w:rsid w:val="000E5FBE"/>
    <w:rsid w:val="000E6ED1"/>
    <w:rsid w:val="000E6ED4"/>
    <w:rsid w:val="000F0E9D"/>
    <w:rsid w:val="001031CF"/>
    <w:rsid w:val="00103F8C"/>
    <w:rsid w:val="00103FBF"/>
    <w:rsid w:val="00104482"/>
    <w:rsid w:val="00104EDF"/>
    <w:rsid w:val="00105006"/>
    <w:rsid w:val="00110A8B"/>
    <w:rsid w:val="00110D57"/>
    <w:rsid w:val="001115FE"/>
    <w:rsid w:val="00111C89"/>
    <w:rsid w:val="0011392B"/>
    <w:rsid w:val="001142D0"/>
    <w:rsid w:val="001153DD"/>
    <w:rsid w:val="00120DFD"/>
    <w:rsid w:val="001254E6"/>
    <w:rsid w:val="0012555F"/>
    <w:rsid w:val="001268FC"/>
    <w:rsid w:val="00130AC5"/>
    <w:rsid w:val="001311FF"/>
    <w:rsid w:val="0014198E"/>
    <w:rsid w:val="001422F1"/>
    <w:rsid w:val="001445EA"/>
    <w:rsid w:val="00145199"/>
    <w:rsid w:val="00151012"/>
    <w:rsid w:val="001522B1"/>
    <w:rsid w:val="00152BEC"/>
    <w:rsid w:val="001558ED"/>
    <w:rsid w:val="0016039E"/>
    <w:rsid w:val="00170601"/>
    <w:rsid w:val="00172D34"/>
    <w:rsid w:val="00173189"/>
    <w:rsid w:val="00176FCE"/>
    <w:rsid w:val="00181BBB"/>
    <w:rsid w:val="001846F4"/>
    <w:rsid w:val="0018711E"/>
    <w:rsid w:val="00187AB9"/>
    <w:rsid w:val="00187C43"/>
    <w:rsid w:val="00190206"/>
    <w:rsid w:val="00192B4C"/>
    <w:rsid w:val="00194354"/>
    <w:rsid w:val="00196BF9"/>
    <w:rsid w:val="001A111A"/>
    <w:rsid w:val="001A38F5"/>
    <w:rsid w:val="001A4606"/>
    <w:rsid w:val="001A50DC"/>
    <w:rsid w:val="001B10C5"/>
    <w:rsid w:val="001B1302"/>
    <w:rsid w:val="001B149C"/>
    <w:rsid w:val="001B217B"/>
    <w:rsid w:val="001B2C5D"/>
    <w:rsid w:val="001C2185"/>
    <w:rsid w:val="001C3550"/>
    <w:rsid w:val="001C5C18"/>
    <w:rsid w:val="001C5F9D"/>
    <w:rsid w:val="001C6A11"/>
    <w:rsid w:val="001C75D9"/>
    <w:rsid w:val="001D24BF"/>
    <w:rsid w:val="001E1083"/>
    <w:rsid w:val="001E25A4"/>
    <w:rsid w:val="001E4266"/>
    <w:rsid w:val="001E7743"/>
    <w:rsid w:val="001F0A91"/>
    <w:rsid w:val="001F21E4"/>
    <w:rsid w:val="001F6895"/>
    <w:rsid w:val="00200667"/>
    <w:rsid w:val="00203458"/>
    <w:rsid w:val="00206CEB"/>
    <w:rsid w:val="00207D1D"/>
    <w:rsid w:val="00210661"/>
    <w:rsid w:val="00210AB3"/>
    <w:rsid w:val="002117A9"/>
    <w:rsid w:val="00212EF6"/>
    <w:rsid w:val="00214AD3"/>
    <w:rsid w:val="00215944"/>
    <w:rsid w:val="00216997"/>
    <w:rsid w:val="00217F05"/>
    <w:rsid w:val="00225EDB"/>
    <w:rsid w:val="0023010B"/>
    <w:rsid w:val="00234851"/>
    <w:rsid w:val="00235055"/>
    <w:rsid w:val="00237BBC"/>
    <w:rsid w:val="00241E9D"/>
    <w:rsid w:val="002457AA"/>
    <w:rsid w:val="00245E05"/>
    <w:rsid w:val="002466F4"/>
    <w:rsid w:val="00247857"/>
    <w:rsid w:val="00247ED8"/>
    <w:rsid w:val="00250B41"/>
    <w:rsid w:val="002531DC"/>
    <w:rsid w:val="002616E4"/>
    <w:rsid w:val="00261F23"/>
    <w:rsid w:val="00267951"/>
    <w:rsid w:val="00271FD4"/>
    <w:rsid w:val="00277AD9"/>
    <w:rsid w:val="00286D22"/>
    <w:rsid w:val="00290C67"/>
    <w:rsid w:val="00291377"/>
    <w:rsid w:val="00292C48"/>
    <w:rsid w:val="002958E3"/>
    <w:rsid w:val="00295921"/>
    <w:rsid w:val="002973BD"/>
    <w:rsid w:val="002A04D3"/>
    <w:rsid w:val="002A07F5"/>
    <w:rsid w:val="002A1FE5"/>
    <w:rsid w:val="002A636F"/>
    <w:rsid w:val="002B16FE"/>
    <w:rsid w:val="002B548B"/>
    <w:rsid w:val="002B7CD8"/>
    <w:rsid w:val="002C14FB"/>
    <w:rsid w:val="002C1539"/>
    <w:rsid w:val="002C1C84"/>
    <w:rsid w:val="002C65AA"/>
    <w:rsid w:val="002D01F0"/>
    <w:rsid w:val="002D0AB6"/>
    <w:rsid w:val="002D10A4"/>
    <w:rsid w:val="002D5002"/>
    <w:rsid w:val="002E03A2"/>
    <w:rsid w:val="002E192C"/>
    <w:rsid w:val="002E335D"/>
    <w:rsid w:val="002E3887"/>
    <w:rsid w:val="002E5500"/>
    <w:rsid w:val="002F049E"/>
    <w:rsid w:val="002F0C2D"/>
    <w:rsid w:val="002F0CF3"/>
    <w:rsid w:val="002F2F8B"/>
    <w:rsid w:val="002F3BF7"/>
    <w:rsid w:val="00305291"/>
    <w:rsid w:val="00306EF5"/>
    <w:rsid w:val="00307DCD"/>
    <w:rsid w:val="003117C5"/>
    <w:rsid w:val="003151AA"/>
    <w:rsid w:val="00316737"/>
    <w:rsid w:val="00316CEA"/>
    <w:rsid w:val="003171E4"/>
    <w:rsid w:val="003175FB"/>
    <w:rsid w:val="00321F9C"/>
    <w:rsid w:val="00323C4C"/>
    <w:rsid w:val="003245A2"/>
    <w:rsid w:val="0033209F"/>
    <w:rsid w:val="00335888"/>
    <w:rsid w:val="00336A11"/>
    <w:rsid w:val="00337557"/>
    <w:rsid w:val="00340245"/>
    <w:rsid w:val="0034122F"/>
    <w:rsid w:val="00342612"/>
    <w:rsid w:val="003430A1"/>
    <w:rsid w:val="00346C0C"/>
    <w:rsid w:val="00350641"/>
    <w:rsid w:val="00353279"/>
    <w:rsid w:val="00354CA1"/>
    <w:rsid w:val="0036071A"/>
    <w:rsid w:val="003622F4"/>
    <w:rsid w:val="00363642"/>
    <w:rsid w:val="003643C2"/>
    <w:rsid w:val="0036671B"/>
    <w:rsid w:val="00372311"/>
    <w:rsid w:val="003746D5"/>
    <w:rsid w:val="00377238"/>
    <w:rsid w:val="003777DB"/>
    <w:rsid w:val="00380C78"/>
    <w:rsid w:val="00381B45"/>
    <w:rsid w:val="003821A2"/>
    <w:rsid w:val="00382CDF"/>
    <w:rsid w:val="00382D02"/>
    <w:rsid w:val="0039124F"/>
    <w:rsid w:val="00391837"/>
    <w:rsid w:val="00391CF0"/>
    <w:rsid w:val="00392586"/>
    <w:rsid w:val="003932A6"/>
    <w:rsid w:val="00393EC9"/>
    <w:rsid w:val="00395A1D"/>
    <w:rsid w:val="003B116A"/>
    <w:rsid w:val="003B32FC"/>
    <w:rsid w:val="003B4291"/>
    <w:rsid w:val="003B53E0"/>
    <w:rsid w:val="003B6E6C"/>
    <w:rsid w:val="003C07DF"/>
    <w:rsid w:val="003C0BCE"/>
    <w:rsid w:val="003C1208"/>
    <w:rsid w:val="003C4029"/>
    <w:rsid w:val="003C4D9A"/>
    <w:rsid w:val="003D2632"/>
    <w:rsid w:val="003D6550"/>
    <w:rsid w:val="003E0305"/>
    <w:rsid w:val="003E0D91"/>
    <w:rsid w:val="003E3A07"/>
    <w:rsid w:val="003E629D"/>
    <w:rsid w:val="003E7A8F"/>
    <w:rsid w:val="003F223E"/>
    <w:rsid w:val="00406D59"/>
    <w:rsid w:val="00407CA2"/>
    <w:rsid w:val="00411065"/>
    <w:rsid w:val="00411C6A"/>
    <w:rsid w:val="00412560"/>
    <w:rsid w:val="0041554C"/>
    <w:rsid w:val="0041717A"/>
    <w:rsid w:val="00417AEF"/>
    <w:rsid w:val="00421B3D"/>
    <w:rsid w:val="00434B8B"/>
    <w:rsid w:val="00436107"/>
    <w:rsid w:val="004362BC"/>
    <w:rsid w:val="00436EBC"/>
    <w:rsid w:val="00437BB3"/>
    <w:rsid w:val="004412C3"/>
    <w:rsid w:val="004458C7"/>
    <w:rsid w:val="004468C7"/>
    <w:rsid w:val="00451BB9"/>
    <w:rsid w:val="00451BDF"/>
    <w:rsid w:val="00451DA5"/>
    <w:rsid w:val="00456016"/>
    <w:rsid w:val="0045686F"/>
    <w:rsid w:val="00456DE9"/>
    <w:rsid w:val="004576E3"/>
    <w:rsid w:val="00460625"/>
    <w:rsid w:val="00461B89"/>
    <w:rsid w:val="00462353"/>
    <w:rsid w:val="00462A55"/>
    <w:rsid w:val="004656E8"/>
    <w:rsid w:val="00465E0B"/>
    <w:rsid w:val="00466C58"/>
    <w:rsid w:val="00466DF0"/>
    <w:rsid w:val="00466FDD"/>
    <w:rsid w:val="00467D29"/>
    <w:rsid w:val="00471C14"/>
    <w:rsid w:val="004769F4"/>
    <w:rsid w:val="00483549"/>
    <w:rsid w:val="00483670"/>
    <w:rsid w:val="0048475E"/>
    <w:rsid w:val="00485759"/>
    <w:rsid w:val="00485FA3"/>
    <w:rsid w:val="00487B16"/>
    <w:rsid w:val="00487D44"/>
    <w:rsid w:val="004936EC"/>
    <w:rsid w:val="0049377B"/>
    <w:rsid w:val="004957DB"/>
    <w:rsid w:val="004A0BEE"/>
    <w:rsid w:val="004A2D65"/>
    <w:rsid w:val="004A32F6"/>
    <w:rsid w:val="004A33B1"/>
    <w:rsid w:val="004A556B"/>
    <w:rsid w:val="004A55B7"/>
    <w:rsid w:val="004B213F"/>
    <w:rsid w:val="004B320E"/>
    <w:rsid w:val="004B52DE"/>
    <w:rsid w:val="004B7808"/>
    <w:rsid w:val="004B7AE4"/>
    <w:rsid w:val="004C066D"/>
    <w:rsid w:val="004C16C2"/>
    <w:rsid w:val="004C2E30"/>
    <w:rsid w:val="004C553D"/>
    <w:rsid w:val="004C74F3"/>
    <w:rsid w:val="004D161C"/>
    <w:rsid w:val="004D2BA5"/>
    <w:rsid w:val="004D5F68"/>
    <w:rsid w:val="004D5FB9"/>
    <w:rsid w:val="004D792E"/>
    <w:rsid w:val="004E4553"/>
    <w:rsid w:val="004E6519"/>
    <w:rsid w:val="004E77AA"/>
    <w:rsid w:val="004F0384"/>
    <w:rsid w:val="004F1A26"/>
    <w:rsid w:val="004F1CBE"/>
    <w:rsid w:val="004F2508"/>
    <w:rsid w:val="004F3938"/>
    <w:rsid w:val="004F43FB"/>
    <w:rsid w:val="004F65CB"/>
    <w:rsid w:val="0050196C"/>
    <w:rsid w:val="00502B71"/>
    <w:rsid w:val="00502E75"/>
    <w:rsid w:val="00510BE2"/>
    <w:rsid w:val="0051182E"/>
    <w:rsid w:val="00515EF2"/>
    <w:rsid w:val="005206BB"/>
    <w:rsid w:val="00521325"/>
    <w:rsid w:val="00521BAC"/>
    <w:rsid w:val="005220D1"/>
    <w:rsid w:val="0052313A"/>
    <w:rsid w:val="00525884"/>
    <w:rsid w:val="00526A52"/>
    <w:rsid w:val="00530F1A"/>
    <w:rsid w:val="005315B0"/>
    <w:rsid w:val="00534DC2"/>
    <w:rsid w:val="005375BA"/>
    <w:rsid w:val="005413B6"/>
    <w:rsid w:val="00544ADD"/>
    <w:rsid w:val="00545A23"/>
    <w:rsid w:val="0054645A"/>
    <w:rsid w:val="005470B1"/>
    <w:rsid w:val="0055006F"/>
    <w:rsid w:val="005504A5"/>
    <w:rsid w:val="00552EA0"/>
    <w:rsid w:val="005546C4"/>
    <w:rsid w:val="00554858"/>
    <w:rsid w:val="00555918"/>
    <w:rsid w:val="00556D65"/>
    <w:rsid w:val="00561928"/>
    <w:rsid w:val="00562853"/>
    <w:rsid w:val="00565212"/>
    <w:rsid w:val="00567D25"/>
    <w:rsid w:val="005710B8"/>
    <w:rsid w:val="0057399B"/>
    <w:rsid w:val="005744DD"/>
    <w:rsid w:val="00575A98"/>
    <w:rsid w:val="0057671C"/>
    <w:rsid w:val="00580880"/>
    <w:rsid w:val="005813D3"/>
    <w:rsid w:val="00581833"/>
    <w:rsid w:val="00586245"/>
    <w:rsid w:val="005907C8"/>
    <w:rsid w:val="00592035"/>
    <w:rsid w:val="00592FB3"/>
    <w:rsid w:val="00596E7A"/>
    <w:rsid w:val="005A02E6"/>
    <w:rsid w:val="005A02F4"/>
    <w:rsid w:val="005A10FB"/>
    <w:rsid w:val="005A24AD"/>
    <w:rsid w:val="005A3E64"/>
    <w:rsid w:val="005A4492"/>
    <w:rsid w:val="005A63BA"/>
    <w:rsid w:val="005A737F"/>
    <w:rsid w:val="005A76B3"/>
    <w:rsid w:val="005A7829"/>
    <w:rsid w:val="005B18E2"/>
    <w:rsid w:val="005B3E83"/>
    <w:rsid w:val="005B4438"/>
    <w:rsid w:val="005B637D"/>
    <w:rsid w:val="005B7291"/>
    <w:rsid w:val="005B7F43"/>
    <w:rsid w:val="005C05C7"/>
    <w:rsid w:val="005C0D01"/>
    <w:rsid w:val="005C3254"/>
    <w:rsid w:val="005C3B62"/>
    <w:rsid w:val="005C526E"/>
    <w:rsid w:val="005C62B2"/>
    <w:rsid w:val="005D0AA1"/>
    <w:rsid w:val="005D3B23"/>
    <w:rsid w:val="005D3F5A"/>
    <w:rsid w:val="005E0247"/>
    <w:rsid w:val="005E07D0"/>
    <w:rsid w:val="005E281B"/>
    <w:rsid w:val="005E4B24"/>
    <w:rsid w:val="005E60F1"/>
    <w:rsid w:val="005E674C"/>
    <w:rsid w:val="005E758E"/>
    <w:rsid w:val="005F35B3"/>
    <w:rsid w:val="005F3FFB"/>
    <w:rsid w:val="006007E6"/>
    <w:rsid w:val="006013F3"/>
    <w:rsid w:val="006027EE"/>
    <w:rsid w:val="006035E0"/>
    <w:rsid w:val="00603DEC"/>
    <w:rsid w:val="006043DB"/>
    <w:rsid w:val="006047FB"/>
    <w:rsid w:val="00604A4A"/>
    <w:rsid w:val="006062C8"/>
    <w:rsid w:val="00614F47"/>
    <w:rsid w:val="006157F2"/>
    <w:rsid w:val="0061606F"/>
    <w:rsid w:val="00622C52"/>
    <w:rsid w:val="00623A62"/>
    <w:rsid w:val="00623C98"/>
    <w:rsid w:val="00624BE2"/>
    <w:rsid w:val="00625158"/>
    <w:rsid w:val="00626152"/>
    <w:rsid w:val="006261A2"/>
    <w:rsid w:val="00637B6E"/>
    <w:rsid w:val="00641C92"/>
    <w:rsid w:val="00643462"/>
    <w:rsid w:val="006500A1"/>
    <w:rsid w:val="006503CA"/>
    <w:rsid w:val="0065414C"/>
    <w:rsid w:val="00654358"/>
    <w:rsid w:val="00654399"/>
    <w:rsid w:val="006550D9"/>
    <w:rsid w:val="00657927"/>
    <w:rsid w:val="00662381"/>
    <w:rsid w:val="006626BE"/>
    <w:rsid w:val="0066303C"/>
    <w:rsid w:val="006669C5"/>
    <w:rsid w:val="006673D9"/>
    <w:rsid w:val="00671C3D"/>
    <w:rsid w:val="006733B0"/>
    <w:rsid w:val="00675279"/>
    <w:rsid w:val="006765B9"/>
    <w:rsid w:val="0067720A"/>
    <w:rsid w:val="006813E0"/>
    <w:rsid w:val="006817AC"/>
    <w:rsid w:val="00681A52"/>
    <w:rsid w:val="006824B5"/>
    <w:rsid w:val="00684C90"/>
    <w:rsid w:val="006851D8"/>
    <w:rsid w:val="00685449"/>
    <w:rsid w:val="00692F7D"/>
    <w:rsid w:val="00693365"/>
    <w:rsid w:val="006A0034"/>
    <w:rsid w:val="006A2064"/>
    <w:rsid w:val="006A34B7"/>
    <w:rsid w:val="006A55CA"/>
    <w:rsid w:val="006A63C7"/>
    <w:rsid w:val="006B1EF9"/>
    <w:rsid w:val="006B5059"/>
    <w:rsid w:val="006B52AB"/>
    <w:rsid w:val="006C03EC"/>
    <w:rsid w:val="006C181D"/>
    <w:rsid w:val="006C1EE2"/>
    <w:rsid w:val="006C38DE"/>
    <w:rsid w:val="006C6A72"/>
    <w:rsid w:val="006C7DE8"/>
    <w:rsid w:val="006D1ED4"/>
    <w:rsid w:val="006D53C3"/>
    <w:rsid w:val="006D65B4"/>
    <w:rsid w:val="006D6769"/>
    <w:rsid w:val="006D6A77"/>
    <w:rsid w:val="006D7011"/>
    <w:rsid w:val="006D742D"/>
    <w:rsid w:val="006E0657"/>
    <w:rsid w:val="006E1234"/>
    <w:rsid w:val="006E1ED4"/>
    <w:rsid w:val="006E2628"/>
    <w:rsid w:val="006E364C"/>
    <w:rsid w:val="006E73E5"/>
    <w:rsid w:val="006F4825"/>
    <w:rsid w:val="006F48C5"/>
    <w:rsid w:val="006F7F9C"/>
    <w:rsid w:val="007004F3"/>
    <w:rsid w:val="00704402"/>
    <w:rsid w:val="007053EF"/>
    <w:rsid w:val="007231B3"/>
    <w:rsid w:val="007321B7"/>
    <w:rsid w:val="00733DAE"/>
    <w:rsid w:val="00734D00"/>
    <w:rsid w:val="00737171"/>
    <w:rsid w:val="007424D5"/>
    <w:rsid w:val="007450F4"/>
    <w:rsid w:val="00750067"/>
    <w:rsid w:val="0075255F"/>
    <w:rsid w:val="00753440"/>
    <w:rsid w:val="0075392B"/>
    <w:rsid w:val="00753AA3"/>
    <w:rsid w:val="00753C69"/>
    <w:rsid w:val="00765BCD"/>
    <w:rsid w:val="00766B86"/>
    <w:rsid w:val="00770B7C"/>
    <w:rsid w:val="00772CD0"/>
    <w:rsid w:val="00773885"/>
    <w:rsid w:val="00773B63"/>
    <w:rsid w:val="00775A65"/>
    <w:rsid w:val="007760C6"/>
    <w:rsid w:val="00777A2E"/>
    <w:rsid w:val="007802F2"/>
    <w:rsid w:val="00780633"/>
    <w:rsid w:val="0078142B"/>
    <w:rsid w:val="00781AAB"/>
    <w:rsid w:val="00782162"/>
    <w:rsid w:val="00782B07"/>
    <w:rsid w:val="00783439"/>
    <w:rsid w:val="00784FE2"/>
    <w:rsid w:val="00785B9C"/>
    <w:rsid w:val="00793581"/>
    <w:rsid w:val="00793635"/>
    <w:rsid w:val="00795054"/>
    <w:rsid w:val="00796C77"/>
    <w:rsid w:val="007A1AC9"/>
    <w:rsid w:val="007A1BB9"/>
    <w:rsid w:val="007A31BD"/>
    <w:rsid w:val="007A574D"/>
    <w:rsid w:val="007A6470"/>
    <w:rsid w:val="007A655F"/>
    <w:rsid w:val="007B0CB0"/>
    <w:rsid w:val="007B2657"/>
    <w:rsid w:val="007B2A99"/>
    <w:rsid w:val="007B3721"/>
    <w:rsid w:val="007B4281"/>
    <w:rsid w:val="007B53B8"/>
    <w:rsid w:val="007B651B"/>
    <w:rsid w:val="007C1C22"/>
    <w:rsid w:val="007C2F16"/>
    <w:rsid w:val="007C3476"/>
    <w:rsid w:val="007C4DDD"/>
    <w:rsid w:val="007C6A5E"/>
    <w:rsid w:val="007C738A"/>
    <w:rsid w:val="007D158C"/>
    <w:rsid w:val="007D5A9A"/>
    <w:rsid w:val="007D7009"/>
    <w:rsid w:val="007E0EDB"/>
    <w:rsid w:val="007E10AD"/>
    <w:rsid w:val="007E1BCE"/>
    <w:rsid w:val="007F200C"/>
    <w:rsid w:val="007F359B"/>
    <w:rsid w:val="007F3E97"/>
    <w:rsid w:val="00800ACE"/>
    <w:rsid w:val="0081421D"/>
    <w:rsid w:val="00815854"/>
    <w:rsid w:val="008245FD"/>
    <w:rsid w:val="00826570"/>
    <w:rsid w:val="0082726B"/>
    <w:rsid w:val="00836E78"/>
    <w:rsid w:val="008419B7"/>
    <w:rsid w:val="00842063"/>
    <w:rsid w:val="00842554"/>
    <w:rsid w:val="00843B61"/>
    <w:rsid w:val="00844DC3"/>
    <w:rsid w:val="00847364"/>
    <w:rsid w:val="00847A1D"/>
    <w:rsid w:val="00854215"/>
    <w:rsid w:val="00860863"/>
    <w:rsid w:val="00861024"/>
    <w:rsid w:val="008613E1"/>
    <w:rsid w:val="00862375"/>
    <w:rsid w:val="00863854"/>
    <w:rsid w:val="00863E94"/>
    <w:rsid w:val="008659C2"/>
    <w:rsid w:val="00866A44"/>
    <w:rsid w:val="0086751E"/>
    <w:rsid w:val="00870AC6"/>
    <w:rsid w:val="00872387"/>
    <w:rsid w:val="00872610"/>
    <w:rsid w:val="00876F74"/>
    <w:rsid w:val="00877356"/>
    <w:rsid w:val="00877CED"/>
    <w:rsid w:val="008843AB"/>
    <w:rsid w:val="008854BF"/>
    <w:rsid w:val="0088552B"/>
    <w:rsid w:val="008920DA"/>
    <w:rsid w:val="00892CBD"/>
    <w:rsid w:val="00896233"/>
    <w:rsid w:val="00896433"/>
    <w:rsid w:val="008970C2"/>
    <w:rsid w:val="008A071B"/>
    <w:rsid w:val="008A313B"/>
    <w:rsid w:val="008A42EE"/>
    <w:rsid w:val="008B279A"/>
    <w:rsid w:val="008B2F43"/>
    <w:rsid w:val="008B7D62"/>
    <w:rsid w:val="008C32CC"/>
    <w:rsid w:val="008C3683"/>
    <w:rsid w:val="008C4FFB"/>
    <w:rsid w:val="008D2623"/>
    <w:rsid w:val="008D3AE5"/>
    <w:rsid w:val="008D716E"/>
    <w:rsid w:val="008D7E01"/>
    <w:rsid w:val="008E0DF4"/>
    <w:rsid w:val="008E24B0"/>
    <w:rsid w:val="008E2D2B"/>
    <w:rsid w:val="008E2D67"/>
    <w:rsid w:val="008E3C93"/>
    <w:rsid w:val="008E6CF5"/>
    <w:rsid w:val="008F007F"/>
    <w:rsid w:val="008F1F57"/>
    <w:rsid w:val="008F2C0D"/>
    <w:rsid w:val="008F4A1C"/>
    <w:rsid w:val="008F559C"/>
    <w:rsid w:val="0090015E"/>
    <w:rsid w:val="009015DE"/>
    <w:rsid w:val="00902023"/>
    <w:rsid w:val="00903F28"/>
    <w:rsid w:val="0090484B"/>
    <w:rsid w:val="00904AB4"/>
    <w:rsid w:val="00905DA0"/>
    <w:rsid w:val="0090775C"/>
    <w:rsid w:val="0091055E"/>
    <w:rsid w:val="00911DF7"/>
    <w:rsid w:val="009130D8"/>
    <w:rsid w:val="00913201"/>
    <w:rsid w:val="00913734"/>
    <w:rsid w:val="009169B3"/>
    <w:rsid w:val="009217CC"/>
    <w:rsid w:val="009217DE"/>
    <w:rsid w:val="009229C3"/>
    <w:rsid w:val="00925C8B"/>
    <w:rsid w:val="00926399"/>
    <w:rsid w:val="00926A31"/>
    <w:rsid w:val="009314EC"/>
    <w:rsid w:val="00931E8F"/>
    <w:rsid w:val="0093319D"/>
    <w:rsid w:val="00936F6B"/>
    <w:rsid w:val="00940B98"/>
    <w:rsid w:val="00941602"/>
    <w:rsid w:val="0094308A"/>
    <w:rsid w:val="00944DA4"/>
    <w:rsid w:val="00950D0E"/>
    <w:rsid w:val="00954248"/>
    <w:rsid w:val="0095450E"/>
    <w:rsid w:val="009601F4"/>
    <w:rsid w:val="00962BD6"/>
    <w:rsid w:val="009631A1"/>
    <w:rsid w:val="009638C2"/>
    <w:rsid w:val="009653B7"/>
    <w:rsid w:val="0096661B"/>
    <w:rsid w:val="0097098D"/>
    <w:rsid w:val="00971899"/>
    <w:rsid w:val="00971D0E"/>
    <w:rsid w:val="009732F5"/>
    <w:rsid w:val="00973A60"/>
    <w:rsid w:val="009749C7"/>
    <w:rsid w:val="00974E82"/>
    <w:rsid w:val="00977B7B"/>
    <w:rsid w:val="00977E6C"/>
    <w:rsid w:val="009829A3"/>
    <w:rsid w:val="00983BD0"/>
    <w:rsid w:val="00985EB9"/>
    <w:rsid w:val="00987DFC"/>
    <w:rsid w:val="009909C6"/>
    <w:rsid w:val="00991937"/>
    <w:rsid w:val="0099204A"/>
    <w:rsid w:val="00992924"/>
    <w:rsid w:val="00994592"/>
    <w:rsid w:val="009948E5"/>
    <w:rsid w:val="009A0C1F"/>
    <w:rsid w:val="009A22C5"/>
    <w:rsid w:val="009A40EF"/>
    <w:rsid w:val="009A5C2D"/>
    <w:rsid w:val="009A5DE2"/>
    <w:rsid w:val="009A6700"/>
    <w:rsid w:val="009A6CF9"/>
    <w:rsid w:val="009A6D0D"/>
    <w:rsid w:val="009B611A"/>
    <w:rsid w:val="009C4193"/>
    <w:rsid w:val="009C6299"/>
    <w:rsid w:val="009C68D5"/>
    <w:rsid w:val="009C749B"/>
    <w:rsid w:val="009D2CA5"/>
    <w:rsid w:val="009D2DEC"/>
    <w:rsid w:val="009D528B"/>
    <w:rsid w:val="009D6DC0"/>
    <w:rsid w:val="009D713B"/>
    <w:rsid w:val="009E12C3"/>
    <w:rsid w:val="009E18BA"/>
    <w:rsid w:val="009E23A6"/>
    <w:rsid w:val="009E3F98"/>
    <w:rsid w:val="009E4C50"/>
    <w:rsid w:val="009E5E65"/>
    <w:rsid w:val="009F04E4"/>
    <w:rsid w:val="009F0DC9"/>
    <w:rsid w:val="009F0F1F"/>
    <w:rsid w:val="009F16CB"/>
    <w:rsid w:val="009F1EBE"/>
    <w:rsid w:val="009F21ED"/>
    <w:rsid w:val="009F24E1"/>
    <w:rsid w:val="009F4D5D"/>
    <w:rsid w:val="00A00E05"/>
    <w:rsid w:val="00A012D9"/>
    <w:rsid w:val="00A0212B"/>
    <w:rsid w:val="00A0719B"/>
    <w:rsid w:val="00A07AEB"/>
    <w:rsid w:val="00A13963"/>
    <w:rsid w:val="00A20ED3"/>
    <w:rsid w:val="00A21D0B"/>
    <w:rsid w:val="00A2204F"/>
    <w:rsid w:val="00A2241A"/>
    <w:rsid w:val="00A22FB2"/>
    <w:rsid w:val="00A23AAB"/>
    <w:rsid w:val="00A24EE9"/>
    <w:rsid w:val="00A266AF"/>
    <w:rsid w:val="00A30152"/>
    <w:rsid w:val="00A3126A"/>
    <w:rsid w:val="00A3220F"/>
    <w:rsid w:val="00A3232B"/>
    <w:rsid w:val="00A32748"/>
    <w:rsid w:val="00A34CBE"/>
    <w:rsid w:val="00A3568A"/>
    <w:rsid w:val="00A370E3"/>
    <w:rsid w:val="00A403BF"/>
    <w:rsid w:val="00A40BB2"/>
    <w:rsid w:val="00A42E3B"/>
    <w:rsid w:val="00A44F64"/>
    <w:rsid w:val="00A45908"/>
    <w:rsid w:val="00A533A6"/>
    <w:rsid w:val="00A54416"/>
    <w:rsid w:val="00A54DBB"/>
    <w:rsid w:val="00A576C3"/>
    <w:rsid w:val="00A6028B"/>
    <w:rsid w:val="00A605AD"/>
    <w:rsid w:val="00A617A7"/>
    <w:rsid w:val="00A6405D"/>
    <w:rsid w:val="00A663B7"/>
    <w:rsid w:val="00A71013"/>
    <w:rsid w:val="00A72CF9"/>
    <w:rsid w:val="00A75743"/>
    <w:rsid w:val="00A75D61"/>
    <w:rsid w:val="00A763A0"/>
    <w:rsid w:val="00A80BD0"/>
    <w:rsid w:val="00A80F85"/>
    <w:rsid w:val="00A81C79"/>
    <w:rsid w:val="00A83600"/>
    <w:rsid w:val="00A8798D"/>
    <w:rsid w:val="00A914D5"/>
    <w:rsid w:val="00A938F7"/>
    <w:rsid w:val="00A94A2D"/>
    <w:rsid w:val="00A97D9B"/>
    <w:rsid w:val="00AA109F"/>
    <w:rsid w:val="00AA1554"/>
    <w:rsid w:val="00AA266A"/>
    <w:rsid w:val="00AA2F66"/>
    <w:rsid w:val="00AA59D1"/>
    <w:rsid w:val="00AB022D"/>
    <w:rsid w:val="00AB028F"/>
    <w:rsid w:val="00AB1495"/>
    <w:rsid w:val="00AB24AE"/>
    <w:rsid w:val="00AB26B0"/>
    <w:rsid w:val="00AB46F1"/>
    <w:rsid w:val="00AB6C42"/>
    <w:rsid w:val="00AB7827"/>
    <w:rsid w:val="00AC22C8"/>
    <w:rsid w:val="00AC4929"/>
    <w:rsid w:val="00AC6F92"/>
    <w:rsid w:val="00AD04B8"/>
    <w:rsid w:val="00AD1DEC"/>
    <w:rsid w:val="00AD3550"/>
    <w:rsid w:val="00AD3676"/>
    <w:rsid w:val="00AD4FC5"/>
    <w:rsid w:val="00AE0084"/>
    <w:rsid w:val="00AE1ECC"/>
    <w:rsid w:val="00AE484F"/>
    <w:rsid w:val="00AE4EE7"/>
    <w:rsid w:val="00AE596B"/>
    <w:rsid w:val="00AE6553"/>
    <w:rsid w:val="00AE788E"/>
    <w:rsid w:val="00AF2431"/>
    <w:rsid w:val="00AF45F0"/>
    <w:rsid w:val="00B00DAF"/>
    <w:rsid w:val="00B0206B"/>
    <w:rsid w:val="00B02240"/>
    <w:rsid w:val="00B10F05"/>
    <w:rsid w:val="00B1180C"/>
    <w:rsid w:val="00B11A81"/>
    <w:rsid w:val="00B146CA"/>
    <w:rsid w:val="00B14BC9"/>
    <w:rsid w:val="00B165D9"/>
    <w:rsid w:val="00B17301"/>
    <w:rsid w:val="00B20CC7"/>
    <w:rsid w:val="00B222AE"/>
    <w:rsid w:val="00B22772"/>
    <w:rsid w:val="00B23364"/>
    <w:rsid w:val="00B24F87"/>
    <w:rsid w:val="00B256FA"/>
    <w:rsid w:val="00B260CF"/>
    <w:rsid w:val="00B2611D"/>
    <w:rsid w:val="00B27105"/>
    <w:rsid w:val="00B35CEF"/>
    <w:rsid w:val="00B3738E"/>
    <w:rsid w:val="00B37DD3"/>
    <w:rsid w:val="00B41F85"/>
    <w:rsid w:val="00B4363F"/>
    <w:rsid w:val="00B50359"/>
    <w:rsid w:val="00B52AD1"/>
    <w:rsid w:val="00B53391"/>
    <w:rsid w:val="00B53AF0"/>
    <w:rsid w:val="00B55D42"/>
    <w:rsid w:val="00B55E0C"/>
    <w:rsid w:val="00B56514"/>
    <w:rsid w:val="00B609E1"/>
    <w:rsid w:val="00B61294"/>
    <w:rsid w:val="00B6185B"/>
    <w:rsid w:val="00B6238A"/>
    <w:rsid w:val="00B643B1"/>
    <w:rsid w:val="00B649DE"/>
    <w:rsid w:val="00B6721F"/>
    <w:rsid w:val="00B6787D"/>
    <w:rsid w:val="00B7089F"/>
    <w:rsid w:val="00B71222"/>
    <w:rsid w:val="00B71D3F"/>
    <w:rsid w:val="00B75056"/>
    <w:rsid w:val="00B81E39"/>
    <w:rsid w:val="00B83A38"/>
    <w:rsid w:val="00B87976"/>
    <w:rsid w:val="00B93169"/>
    <w:rsid w:val="00B938FF"/>
    <w:rsid w:val="00B9422E"/>
    <w:rsid w:val="00B95834"/>
    <w:rsid w:val="00B95FD4"/>
    <w:rsid w:val="00B96CC8"/>
    <w:rsid w:val="00B97176"/>
    <w:rsid w:val="00BA03D7"/>
    <w:rsid w:val="00BA0D8A"/>
    <w:rsid w:val="00BA1222"/>
    <w:rsid w:val="00BA35CE"/>
    <w:rsid w:val="00BA35DF"/>
    <w:rsid w:val="00BA4D19"/>
    <w:rsid w:val="00BB0B79"/>
    <w:rsid w:val="00BB2570"/>
    <w:rsid w:val="00BB5451"/>
    <w:rsid w:val="00BB62E8"/>
    <w:rsid w:val="00BC4B23"/>
    <w:rsid w:val="00BC52DA"/>
    <w:rsid w:val="00BD16E7"/>
    <w:rsid w:val="00BD1E22"/>
    <w:rsid w:val="00BD3A2E"/>
    <w:rsid w:val="00BD414E"/>
    <w:rsid w:val="00BD4C3C"/>
    <w:rsid w:val="00BD4E90"/>
    <w:rsid w:val="00BD5F40"/>
    <w:rsid w:val="00BD6236"/>
    <w:rsid w:val="00BE0A5A"/>
    <w:rsid w:val="00BE0CB4"/>
    <w:rsid w:val="00BE1FDD"/>
    <w:rsid w:val="00BE25FA"/>
    <w:rsid w:val="00BE27D4"/>
    <w:rsid w:val="00BE6C3C"/>
    <w:rsid w:val="00BF18D0"/>
    <w:rsid w:val="00BF1AC5"/>
    <w:rsid w:val="00BF6101"/>
    <w:rsid w:val="00C00A4F"/>
    <w:rsid w:val="00C00A81"/>
    <w:rsid w:val="00C02086"/>
    <w:rsid w:val="00C02414"/>
    <w:rsid w:val="00C0452D"/>
    <w:rsid w:val="00C0792E"/>
    <w:rsid w:val="00C23EF4"/>
    <w:rsid w:val="00C2540B"/>
    <w:rsid w:val="00C274A6"/>
    <w:rsid w:val="00C32073"/>
    <w:rsid w:val="00C33636"/>
    <w:rsid w:val="00C33C4B"/>
    <w:rsid w:val="00C3473C"/>
    <w:rsid w:val="00C375A5"/>
    <w:rsid w:val="00C415F5"/>
    <w:rsid w:val="00C45203"/>
    <w:rsid w:val="00C47934"/>
    <w:rsid w:val="00C47E29"/>
    <w:rsid w:val="00C501CB"/>
    <w:rsid w:val="00C50F82"/>
    <w:rsid w:val="00C532E6"/>
    <w:rsid w:val="00C54888"/>
    <w:rsid w:val="00C57678"/>
    <w:rsid w:val="00C60D77"/>
    <w:rsid w:val="00C6270B"/>
    <w:rsid w:val="00C62A3B"/>
    <w:rsid w:val="00C64233"/>
    <w:rsid w:val="00C658F7"/>
    <w:rsid w:val="00C761B3"/>
    <w:rsid w:val="00C81257"/>
    <w:rsid w:val="00C82911"/>
    <w:rsid w:val="00C84D82"/>
    <w:rsid w:val="00C850EC"/>
    <w:rsid w:val="00C863AE"/>
    <w:rsid w:val="00C92EDA"/>
    <w:rsid w:val="00C94840"/>
    <w:rsid w:val="00C972BD"/>
    <w:rsid w:val="00CA0EA6"/>
    <w:rsid w:val="00CA1531"/>
    <w:rsid w:val="00CA48A9"/>
    <w:rsid w:val="00CA6827"/>
    <w:rsid w:val="00CB00F0"/>
    <w:rsid w:val="00CB12E3"/>
    <w:rsid w:val="00CB1B7C"/>
    <w:rsid w:val="00CB3515"/>
    <w:rsid w:val="00CB3B8E"/>
    <w:rsid w:val="00CB6ACA"/>
    <w:rsid w:val="00CC14D3"/>
    <w:rsid w:val="00CC1BBC"/>
    <w:rsid w:val="00CC2F3E"/>
    <w:rsid w:val="00CC4FD4"/>
    <w:rsid w:val="00CC5165"/>
    <w:rsid w:val="00CC5178"/>
    <w:rsid w:val="00CC5903"/>
    <w:rsid w:val="00CD13AA"/>
    <w:rsid w:val="00CD25A0"/>
    <w:rsid w:val="00CD6FED"/>
    <w:rsid w:val="00CD7B64"/>
    <w:rsid w:val="00CE0C57"/>
    <w:rsid w:val="00CE3160"/>
    <w:rsid w:val="00CF158E"/>
    <w:rsid w:val="00CF1B45"/>
    <w:rsid w:val="00CF2090"/>
    <w:rsid w:val="00D021D5"/>
    <w:rsid w:val="00D03D7F"/>
    <w:rsid w:val="00D055E1"/>
    <w:rsid w:val="00D06176"/>
    <w:rsid w:val="00D065FE"/>
    <w:rsid w:val="00D101B4"/>
    <w:rsid w:val="00D141FD"/>
    <w:rsid w:val="00D15438"/>
    <w:rsid w:val="00D26034"/>
    <w:rsid w:val="00D27903"/>
    <w:rsid w:val="00D30F3D"/>
    <w:rsid w:val="00D3193A"/>
    <w:rsid w:val="00D32313"/>
    <w:rsid w:val="00D33BF6"/>
    <w:rsid w:val="00D34A4C"/>
    <w:rsid w:val="00D34C2E"/>
    <w:rsid w:val="00D35A78"/>
    <w:rsid w:val="00D4092A"/>
    <w:rsid w:val="00D442EF"/>
    <w:rsid w:val="00D5434D"/>
    <w:rsid w:val="00D5692B"/>
    <w:rsid w:val="00D61D8E"/>
    <w:rsid w:val="00D638E9"/>
    <w:rsid w:val="00D64178"/>
    <w:rsid w:val="00D649BF"/>
    <w:rsid w:val="00D66EDB"/>
    <w:rsid w:val="00D70C49"/>
    <w:rsid w:val="00D72132"/>
    <w:rsid w:val="00D73980"/>
    <w:rsid w:val="00D73CE8"/>
    <w:rsid w:val="00D769DB"/>
    <w:rsid w:val="00D80215"/>
    <w:rsid w:val="00D81BDA"/>
    <w:rsid w:val="00D821E9"/>
    <w:rsid w:val="00D84BE5"/>
    <w:rsid w:val="00D90429"/>
    <w:rsid w:val="00D946E5"/>
    <w:rsid w:val="00DA2F0C"/>
    <w:rsid w:val="00DA4CD5"/>
    <w:rsid w:val="00DA655E"/>
    <w:rsid w:val="00DA7BEF"/>
    <w:rsid w:val="00DB15D7"/>
    <w:rsid w:val="00DB5ECF"/>
    <w:rsid w:val="00DB6474"/>
    <w:rsid w:val="00DC379A"/>
    <w:rsid w:val="00DC37A5"/>
    <w:rsid w:val="00DC3AB3"/>
    <w:rsid w:val="00DC3FF3"/>
    <w:rsid w:val="00DC7289"/>
    <w:rsid w:val="00DC7857"/>
    <w:rsid w:val="00DC7AC0"/>
    <w:rsid w:val="00DD354F"/>
    <w:rsid w:val="00DD4912"/>
    <w:rsid w:val="00DD4F60"/>
    <w:rsid w:val="00DD5CA2"/>
    <w:rsid w:val="00DE22E8"/>
    <w:rsid w:val="00DE27B7"/>
    <w:rsid w:val="00DE2ED2"/>
    <w:rsid w:val="00DE578F"/>
    <w:rsid w:val="00DE58CB"/>
    <w:rsid w:val="00DE7C4D"/>
    <w:rsid w:val="00DE7E54"/>
    <w:rsid w:val="00DF0F86"/>
    <w:rsid w:val="00DF2FAE"/>
    <w:rsid w:val="00DF4660"/>
    <w:rsid w:val="00DF4954"/>
    <w:rsid w:val="00E01414"/>
    <w:rsid w:val="00E01EDD"/>
    <w:rsid w:val="00E02D87"/>
    <w:rsid w:val="00E042A1"/>
    <w:rsid w:val="00E0537E"/>
    <w:rsid w:val="00E10063"/>
    <w:rsid w:val="00E100A9"/>
    <w:rsid w:val="00E139B4"/>
    <w:rsid w:val="00E14083"/>
    <w:rsid w:val="00E14119"/>
    <w:rsid w:val="00E15F92"/>
    <w:rsid w:val="00E179E7"/>
    <w:rsid w:val="00E2107E"/>
    <w:rsid w:val="00E263FA"/>
    <w:rsid w:val="00E314EE"/>
    <w:rsid w:val="00E31988"/>
    <w:rsid w:val="00E31F89"/>
    <w:rsid w:val="00E32C22"/>
    <w:rsid w:val="00E32FB4"/>
    <w:rsid w:val="00E34F49"/>
    <w:rsid w:val="00E37FD6"/>
    <w:rsid w:val="00E4260D"/>
    <w:rsid w:val="00E43BDC"/>
    <w:rsid w:val="00E5094C"/>
    <w:rsid w:val="00E51C81"/>
    <w:rsid w:val="00E52762"/>
    <w:rsid w:val="00E52FBF"/>
    <w:rsid w:val="00E564DC"/>
    <w:rsid w:val="00E574AF"/>
    <w:rsid w:val="00E65CE7"/>
    <w:rsid w:val="00E72457"/>
    <w:rsid w:val="00E74C51"/>
    <w:rsid w:val="00E7785D"/>
    <w:rsid w:val="00E80FAE"/>
    <w:rsid w:val="00E8398A"/>
    <w:rsid w:val="00E83EA8"/>
    <w:rsid w:val="00E853B9"/>
    <w:rsid w:val="00E8567D"/>
    <w:rsid w:val="00E87677"/>
    <w:rsid w:val="00E87751"/>
    <w:rsid w:val="00E916D8"/>
    <w:rsid w:val="00E941CF"/>
    <w:rsid w:val="00E973F0"/>
    <w:rsid w:val="00EA1F97"/>
    <w:rsid w:val="00EA64A5"/>
    <w:rsid w:val="00EB4CDF"/>
    <w:rsid w:val="00EB5043"/>
    <w:rsid w:val="00EB52ED"/>
    <w:rsid w:val="00EB7EB7"/>
    <w:rsid w:val="00EC0A4B"/>
    <w:rsid w:val="00EC1EC6"/>
    <w:rsid w:val="00EC353B"/>
    <w:rsid w:val="00EC436D"/>
    <w:rsid w:val="00EC6E29"/>
    <w:rsid w:val="00EC74B9"/>
    <w:rsid w:val="00ED4F4C"/>
    <w:rsid w:val="00EE1BDC"/>
    <w:rsid w:val="00EE269D"/>
    <w:rsid w:val="00EE34DA"/>
    <w:rsid w:val="00EE69C5"/>
    <w:rsid w:val="00EE6EE0"/>
    <w:rsid w:val="00EF0424"/>
    <w:rsid w:val="00EF131C"/>
    <w:rsid w:val="00EF1EE0"/>
    <w:rsid w:val="00EF2952"/>
    <w:rsid w:val="00EF5D73"/>
    <w:rsid w:val="00EF63A7"/>
    <w:rsid w:val="00F00263"/>
    <w:rsid w:val="00F012E7"/>
    <w:rsid w:val="00F0205B"/>
    <w:rsid w:val="00F024B4"/>
    <w:rsid w:val="00F02A36"/>
    <w:rsid w:val="00F03ABE"/>
    <w:rsid w:val="00F05EE8"/>
    <w:rsid w:val="00F26439"/>
    <w:rsid w:val="00F34E6D"/>
    <w:rsid w:val="00F36701"/>
    <w:rsid w:val="00F42929"/>
    <w:rsid w:val="00F43091"/>
    <w:rsid w:val="00F44A4A"/>
    <w:rsid w:val="00F506B6"/>
    <w:rsid w:val="00F57333"/>
    <w:rsid w:val="00F601BD"/>
    <w:rsid w:val="00F601DF"/>
    <w:rsid w:val="00F61D95"/>
    <w:rsid w:val="00F62597"/>
    <w:rsid w:val="00F66666"/>
    <w:rsid w:val="00F67277"/>
    <w:rsid w:val="00F72B49"/>
    <w:rsid w:val="00F759E6"/>
    <w:rsid w:val="00F75A56"/>
    <w:rsid w:val="00F77943"/>
    <w:rsid w:val="00F8026E"/>
    <w:rsid w:val="00F81C06"/>
    <w:rsid w:val="00F8318B"/>
    <w:rsid w:val="00F83327"/>
    <w:rsid w:val="00F855FD"/>
    <w:rsid w:val="00F90618"/>
    <w:rsid w:val="00F91C22"/>
    <w:rsid w:val="00F93BCE"/>
    <w:rsid w:val="00F97485"/>
    <w:rsid w:val="00FA3D59"/>
    <w:rsid w:val="00FA5167"/>
    <w:rsid w:val="00FB072D"/>
    <w:rsid w:val="00FB0D1C"/>
    <w:rsid w:val="00FB17B5"/>
    <w:rsid w:val="00FB5CC5"/>
    <w:rsid w:val="00FB7586"/>
    <w:rsid w:val="00FB76C3"/>
    <w:rsid w:val="00FC0098"/>
    <w:rsid w:val="00FC15E6"/>
    <w:rsid w:val="00FC2BB6"/>
    <w:rsid w:val="00FC2D2A"/>
    <w:rsid w:val="00FC3E95"/>
    <w:rsid w:val="00FC64ED"/>
    <w:rsid w:val="00FD16F8"/>
    <w:rsid w:val="00FD24ED"/>
    <w:rsid w:val="00FD437C"/>
    <w:rsid w:val="00FE3540"/>
    <w:rsid w:val="00FE6544"/>
    <w:rsid w:val="00FE6E7E"/>
    <w:rsid w:val="00FE729E"/>
    <w:rsid w:val="00FE799F"/>
    <w:rsid w:val="00FF0D92"/>
    <w:rsid w:val="00FF4A2A"/>
    <w:rsid w:val="00FF4F1F"/>
    <w:rsid w:val="00FF5FF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colormru v:ext="edit" colors="#f37a21"/>
    </o:shapedefaults>
    <o:shapelayout v:ext="edit">
      <o:idmap v:ext="edit" data="2"/>
    </o:shapelayout>
  </w:shapeDefaults>
  <w:decimalSymbol w:val="."/>
  <w:listSeparator w:val=","/>
  <w14:docId w14:val="4A58452A"/>
  <w15:docId w15:val="{1B18190E-754B-4B1B-B032-14F097A7B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1D8E"/>
    <w:rPr>
      <w:rFonts w:ascii="Arial" w:eastAsia="Futura PT Book" w:hAnsi="Arial" w:cs="Futura PT Book"/>
      <w:lang w:val="en-AU" w:bidi="en-US"/>
    </w:rPr>
  </w:style>
  <w:style w:type="paragraph" w:styleId="Heading1">
    <w:name w:val="heading 1"/>
    <w:next w:val="Normal"/>
    <w:link w:val="Heading1Char"/>
    <w:uiPriority w:val="9"/>
    <w:qFormat/>
    <w:rsid w:val="006765B9"/>
    <w:pPr>
      <w:spacing w:before="58" w:after="840"/>
      <w:outlineLvl w:val="0"/>
    </w:pPr>
    <w:rPr>
      <w:rFonts w:ascii="Arial" w:eastAsia="Futura PT Heavy" w:hAnsi="Arial" w:cs="Futura PT Heavy"/>
      <w:b/>
      <w:color w:val="003E2D"/>
      <w:sz w:val="56"/>
      <w:szCs w:val="70"/>
      <w:lang w:val="en-AU" w:bidi="en-US"/>
    </w:rPr>
  </w:style>
  <w:style w:type="paragraph" w:styleId="Heading2">
    <w:name w:val="heading 2"/>
    <w:basedOn w:val="Normal"/>
    <w:uiPriority w:val="9"/>
    <w:unhideWhenUsed/>
    <w:qFormat/>
    <w:rsid w:val="00DE2ED2"/>
    <w:pPr>
      <w:spacing w:before="240"/>
      <w:outlineLvl w:val="1"/>
    </w:pPr>
    <w:rPr>
      <w:rFonts w:eastAsia="Futura PT Bold" w:cs="Futura PT Bold"/>
      <w:b/>
      <w:bCs/>
      <w:color w:val="003E2D" w:themeColor="text1"/>
      <w:sz w:val="36"/>
      <w:szCs w:val="36"/>
    </w:rPr>
  </w:style>
  <w:style w:type="paragraph" w:styleId="Heading3">
    <w:name w:val="heading 3"/>
    <w:link w:val="Heading3Char"/>
    <w:uiPriority w:val="9"/>
    <w:unhideWhenUsed/>
    <w:qFormat/>
    <w:rsid w:val="0075255F"/>
    <w:pPr>
      <w:spacing w:before="240"/>
      <w:outlineLvl w:val="2"/>
    </w:pPr>
    <w:rPr>
      <w:rFonts w:ascii="Arial" w:eastAsia="Tahoma" w:hAnsi="Arial" w:cs="Tahoma"/>
      <w:b/>
      <w:color w:val="003E2D" w:themeColor="text1"/>
      <w:sz w:val="28"/>
      <w:szCs w:val="28"/>
      <w:lang w:val="en-AU" w:bidi="en-US"/>
    </w:rPr>
  </w:style>
  <w:style w:type="paragraph" w:styleId="Heading4">
    <w:name w:val="heading 4"/>
    <w:link w:val="Heading4Char"/>
    <w:uiPriority w:val="9"/>
    <w:unhideWhenUsed/>
    <w:qFormat/>
    <w:rsid w:val="0075255F"/>
    <w:pPr>
      <w:spacing w:before="240" w:after="240"/>
      <w:outlineLvl w:val="3"/>
    </w:pPr>
    <w:rPr>
      <w:rFonts w:ascii="Arial" w:eastAsia="Futura PT Bold" w:hAnsi="Arial" w:cs="Futura PT Bold"/>
      <w:b/>
      <w:bCs/>
      <w:color w:val="003E2D" w:themeColor="text1"/>
      <w:szCs w:val="19"/>
      <w:lang w:val="en-AU" w:bidi="en-US"/>
    </w:rPr>
  </w:style>
  <w:style w:type="paragraph" w:styleId="Heading5">
    <w:name w:val="heading 5"/>
    <w:basedOn w:val="Normal"/>
    <w:next w:val="Normal"/>
    <w:link w:val="Heading5Char"/>
    <w:uiPriority w:val="9"/>
    <w:semiHidden/>
    <w:unhideWhenUsed/>
    <w:rsid w:val="00DB6474"/>
    <w:pPr>
      <w:keepNext/>
      <w:keepLines/>
      <w:spacing w:before="40"/>
      <w:outlineLvl w:val="4"/>
    </w:pPr>
    <w:rPr>
      <w:rFonts w:asciiTheme="majorHAnsi" w:eastAsiaTheme="majorEastAsia" w:hAnsiTheme="majorHAnsi" w:cstheme="majorBidi"/>
      <w:color w:val="5C9935" w:themeColor="accent1" w:themeShade="BF"/>
    </w:rPr>
  </w:style>
  <w:style w:type="paragraph" w:styleId="Heading6">
    <w:name w:val="heading 6"/>
    <w:basedOn w:val="Normal"/>
    <w:next w:val="Normal"/>
    <w:link w:val="Heading6Char"/>
    <w:uiPriority w:val="9"/>
    <w:semiHidden/>
    <w:unhideWhenUsed/>
    <w:qFormat/>
    <w:rsid w:val="00DB6474"/>
    <w:pPr>
      <w:keepNext/>
      <w:keepLines/>
      <w:spacing w:before="40"/>
      <w:outlineLvl w:val="5"/>
    </w:pPr>
    <w:rPr>
      <w:rFonts w:asciiTheme="majorHAnsi" w:eastAsiaTheme="majorEastAsia" w:hAnsiTheme="majorHAnsi" w:cstheme="majorBidi"/>
      <w:color w:val="3D6623" w:themeColor="accent1" w:themeShade="7F"/>
    </w:rPr>
  </w:style>
  <w:style w:type="paragraph" w:styleId="Heading7">
    <w:name w:val="heading 7"/>
    <w:basedOn w:val="Normal"/>
    <w:next w:val="Normal"/>
    <w:link w:val="Heading7Char"/>
    <w:uiPriority w:val="9"/>
    <w:semiHidden/>
    <w:unhideWhenUsed/>
    <w:qFormat/>
    <w:rsid w:val="00DB6474"/>
    <w:pPr>
      <w:keepNext/>
      <w:keepLines/>
      <w:spacing w:before="40"/>
      <w:outlineLvl w:val="6"/>
    </w:pPr>
    <w:rPr>
      <w:rFonts w:asciiTheme="majorHAnsi" w:eastAsiaTheme="majorEastAsia" w:hAnsiTheme="majorHAnsi" w:cstheme="majorBidi"/>
      <w:i/>
      <w:iCs/>
      <w:color w:val="3D6623" w:themeColor="accent1" w:themeShade="7F"/>
    </w:rPr>
  </w:style>
  <w:style w:type="paragraph" w:styleId="Heading8">
    <w:name w:val="heading 8"/>
    <w:basedOn w:val="Normal"/>
    <w:next w:val="Normal"/>
    <w:link w:val="Heading8Char"/>
    <w:uiPriority w:val="9"/>
    <w:semiHidden/>
    <w:unhideWhenUsed/>
    <w:qFormat/>
    <w:rsid w:val="00DB6474"/>
    <w:pPr>
      <w:keepNext/>
      <w:keepLines/>
      <w:spacing w:before="40"/>
      <w:outlineLvl w:val="7"/>
    </w:pPr>
    <w:rPr>
      <w:rFonts w:asciiTheme="majorHAnsi" w:eastAsiaTheme="majorEastAsia" w:hAnsiTheme="majorHAnsi" w:cstheme="majorBidi"/>
      <w:color w:val="00825E" w:themeColor="text1" w:themeTint="D8"/>
      <w:sz w:val="21"/>
      <w:szCs w:val="21"/>
    </w:rPr>
  </w:style>
  <w:style w:type="paragraph" w:styleId="Heading9">
    <w:name w:val="heading 9"/>
    <w:basedOn w:val="Normal"/>
    <w:next w:val="Normal"/>
    <w:link w:val="Heading9Char"/>
    <w:uiPriority w:val="9"/>
    <w:semiHidden/>
    <w:unhideWhenUsed/>
    <w:qFormat/>
    <w:rsid w:val="00DB6474"/>
    <w:pPr>
      <w:keepNext/>
      <w:keepLines/>
      <w:spacing w:before="40"/>
      <w:outlineLvl w:val="8"/>
    </w:pPr>
    <w:rPr>
      <w:rFonts w:asciiTheme="majorHAnsi" w:eastAsiaTheme="majorEastAsia" w:hAnsiTheme="majorHAnsi" w:cstheme="majorBidi"/>
      <w:i/>
      <w:iCs/>
      <w:color w:val="00825E"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TOCHeader"/>
    <w:link w:val="TOC1Char"/>
    <w:uiPriority w:val="39"/>
    <w:qFormat/>
    <w:rsid w:val="007A1BB9"/>
    <w:pPr>
      <w:numPr>
        <w:numId w:val="16"/>
      </w:numPr>
      <w:spacing w:after="120"/>
    </w:pPr>
    <w:rPr>
      <w:rFonts w:eastAsia="Tahoma" w:cs="Tahoma"/>
      <w:b/>
      <w:color w:val="58595A"/>
      <w:sz w:val="18"/>
      <w:szCs w:val="28"/>
    </w:rPr>
  </w:style>
  <w:style w:type="paragraph" w:styleId="TOC2">
    <w:name w:val="toc 2"/>
    <w:basedOn w:val="Normal"/>
    <w:next w:val="TOCHeader"/>
    <w:link w:val="TOC2Char"/>
    <w:uiPriority w:val="39"/>
    <w:qFormat/>
    <w:rsid w:val="007A1BB9"/>
    <w:pPr>
      <w:tabs>
        <w:tab w:val="right" w:leader="dot" w:pos="9020"/>
      </w:tabs>
      <w:spacing w:after="120"/>
      <w:ind w:left="964" w:hanging="255"/>
    </w:pPr>
    <w:rPr>
      <w:rFonts w:eastAsia="Tahoma" w:cs="Tahoma"/>
      <w:noProof/>
      <w:color w:val="58595A"/>
      <w:sz w:val="18"/>
      <w:szCs w:val="28"/>
    </w:rPr>
  </w:style>
  <w:style w:type="paragraph" w:styleId="TOC3">
    <w:name w:val="toc 3"/>
    <w:basedOn w:val="Normal"/>
    <w:uiPriority w:val="1"/>
    <w:qFormat/>
    <w:rsid w:val="00847364"/>
    <w:pPr>
      <w:spacing w:before="22"/>
    </w:pPr>
    <w:rPr>
      <w:rFonts w:eastAsia="Tahoma" w:cs="Tahoma"/>
      <w:b/>
      <w:sz w:val="28"/>
      <w:szCs w:val="28"/>
    </w:rPr>
  </w:style>
  <w:style w:type="paragraph" w:styleId="BodyText">
    <w:name w:val="Body Text"/>
    <w:basedOn w:val="Normal"/>
    <w:link w:val="BodyTextChar"/>
    <w:uiPriority w:val="1"/>
    <w:qFormat/>
    <w:rsid w:val="003932A6"/>
    <w:pPr>
      <w:spacing w:before="163" w:line="256" w:lineRule="auto"/>
      <w:ind w:right="143"/>
    </w:pPr>
    <w:rPr>
      <w:color w:val="58595B"/>
      <w:sz w:val="19"/>
      <w:szCs w:val="19"/>
    </w:rPr>
  </w:style>
  <w:style w:type="paragraph" w:styleId="ListParagraph">
    <w:name w:val="List Paragraph"/>
    <w:aliases w:val="List Paragraph1,Recommendation,Bullet table,Bullet L1,dot point 1,NFP GP Bulleted List"/>
    <w:basedOn w:val="Normal"/>
    <w:link w:val="ListParagraphChar"/>
    <w:uiPriority w:val="34"/>
    <w:qFormat/>
    <w:rsid w:val="00066FBA"/>
    <w:pPr>
      <w:tabs>
        <w:tab w:val="left" w:pos="1418"/>
      </w:tabs>
      <w:spacing w:before="186" w:line="256" w:lineRule="auto"/>
      <w:ind w:right="501"/>
    </w:pPr>
    <w:rPr>
      <w:color w:val="58595B"/>
      <w:sz w:val="19"/>
    </w:rPr>
  </w:style>
  <w:style w:type="paragraph" w:customStyle="1" w:styleId="TableParagraph">
    <w:name w:val="Table Paragraph"/>
    <w:basedOn w:val="Normal"/>
    <w:uiPriority w:val="1"/>
    <w:qFormat/>
    <w:rsid w:val="007A655F"/>
    <w:pPr>
      <w:spacing w:before="62"/>
      <w:ind w:left="50"/>
    </w:pPr>
    <w:rPr>
      <w:color w:val="58595A"/>
      <w:sz w:val="18"/>
      <w:szCs w:val="18"/>
    </w:rPr>
  </w:style>
  <w:style w:type="paragraph" w:styleId="Header">
    <w:name w:val="header"/>
    <w:basedOn w:val="Normal"/>
    <w:link w:val="HeaderChar"/>
    <w:uiPriority w:val="99"/>
    <w:unhideWhenUsed/>
    <w:rsid w:val="00D141FD"/>
    <w:pPr>
      <w:tabs>
        <w:tab w:val="center" w:pos="4680"/>
        <w:tab w:val="right" w:pos="9360"/>
      </w:tabs>
    </w:pPr>
  </w:style>
  <w:style w:type="character" w:customStyle="1" w:styleId="HeaderChar">
    <w:name w:val="Header Char"/>
    <w:basedOn w:val="DefaultParagraphFont"/>
    <w:link w:val="Header"/>
    <w:uiPriority w:val="99"/>
    <w:rsid w:val="00D141FD"/>
    <w:rPr>
      <w:rFonts w:ascii="Futura PT Book" w:eastAsia="Futura PT Book" w:hAnsi="Futura PT Book" w:cs="Futura PT Book"/>
      <w:lang w:bidi="en-US"/>
    </w:rPr>
  </w:style>
  <w:style w:type="paragraph" w:styleId="Footer">
    <w:name w:val="footer"/>
    <w:basedOn w:val="Normal"/>
    <w:link w:val="FooterChar"/>
    <w:uiPriority w:val="99"/>
    <w:unhideWhenUsed/>
    <w:rsid w:val="00D141FD"/>
    <w:pPr>
      <w:tabs>
        <w:tab w:val="center" w:pos="4680"/>
        <w:tab w:val="right" w:pos="9360"/>
      </w:tabs>
    </w:pPr>
  </w:style>
  <w:style w:type="character" w:customStyle="1" w:styleId="FooterChar">
    <w:name w:val="Footer Char"/>
    <w:basedOn w:val="DefaultParagraphFont"/>
    <w:link w:val="Footer"/>
    <w:uiPriority w:val="99"/>
    <w:rsid w:val="00D141FD"/>
    <w:rPr>
      <w:rFonts w:ascii="Futura PT Book" w:eastAsia="Futura PT Book" w:hAnsi="Futura PT Book" w:cs="Futura PT Book"/>
      <w:lang w:bidi="en-US"/>
    </w:rPr>
  </w:style>
  <w:style w:type="paragraph" w:styleId="NoSpacing">
    <w:name w:val="No Spacing"/>
    <w:uiPriority w:val="1"/>
    <w:qFormat/>
    <w:rsid w:val="00D61D8E"/>
    <w:rPr>
      <w:rFonts w:ascii="Arial" w:eastAsia="Futura PT Book" w:hAnsi="Arial" w:cs="Futura PT Book"/>
      <w:lang w:bidi="en-US"/>
    </w:rPr>
  </w:style>
  <w:style w:type="character" w:customStyle="1" w:styleId="Heading3Char">
    <w:name w:val="Heading 3 Char"/>
    <w:basedOn w:val="DefaultParagraphFont"/>
    <w:link w:val="Heading3"/>
    <w:uiPriority w:val="9"/>
    <w:rsid w:val="0075255F"/>
    <w:rPr>
      <w:rFonts w:ascii="Arial" w:eastAsia="Tahoma" w:hAnsi="Arial" w:cs="Tahoma"/>
      <w:b/>
      <w:color w:val="003E2D" w:themeColor="text1"/>
      <w:sz w:val="28"/>
      <w:szCs w:val="28"/>
      <w:lang w:val="en-AU" w:bidi="en-US"/>
    </w:rPr>
  </w:style>
  <w:style w:type="character" w:customStyle="1" w:styleId="BodyTextChar">
    <w:name w:val="Body Text Char"/>
    <w:basedOn w:val="DefaultParagraphFont"/>
    <w:link w:val="BodyText"/>
    <w:uiPriority w:val="1"/>
    <w:rsid w:val="00C658F7"/>
    <w:rPr>
      <w:rFonts w:ascii="Arial" w:eastAsia="Futura PT Book" w:hAnsi="Arial" w:cs="Futura PT Book"/>
      <w:color w:val="58595B"/>
      <w:sz w:val="19"/>
      <w:szCs w:val="19"/>
      <w:lang w:bidi="en-US"/>
    </w:rPr>
  </w:style>
  <w:style w:type="paragraph" w:styleId="FootnoteText">
    <w:name w:val="footnote text"/>
    <w:basedOn w:val="Normal"/>
    <w:link w:val="FootnoteTextChar"/>
    <w:uiPriority w:val="99"/>
    <w:semiHidden/>
    <w:unhideWhenUsed/>
    <w:rsid w:val="00554858"/>
    <w:rPr>
      <w:sz w:val="20"/>
      <w:szCs w:val="20"/>
    </w:rPr>
  </w:style>
  <w:style w:type="character" w:customStyle="1" w:styleId="FootnoteTextChar">
    <w:name w:val="Footnote Text Char"/>
    <w:basedOn w:val="DefaultParagraphFont"/>
    <w:link w:val="FootnoteText"/>
    <w:uiPriority w:val="99"/>
    <w:semiHidden/>
    <w:rsid w:val="00554858"/>
    <w:rPr>
      <w:rFonts w:ascii="Arial" w:eastAsia="Futura PT Book" w:hAnsi="Arial" w:cs="Futura PT Book"/>
      <w:sz w:val="20"/>
      <w:szCs w:val="20"/>
      <w:lang w:bidi="en-US"/>
    </w:rPr>
  </w:style>
  <w:style w:type="character" w:styleId="FootnoteReference">
    <w:name w:val="footnote reference"/>
    <w:basedOn w:val="DefaultParagraphFont"/>
    <w:uiPriority w:val="99"/>
    <w:semiHidden/>
    <w:unhideWhenUsed/>
    <w:rsid w:val="00554858"/>
    <w:rPr>
      <w:vertAlign w:val="superscript"/>
    </w:rPr>
  </w:style>
  <w:style w:type="paragraph" w:customStyle="1" w:styleId="Footnote">
    <w:name w:val="Footnote"/>
    <w:basedOn w:val="FootnoteText"/>
    <w:link w:val="FootnoteChar"/>
    <w:qFormat/>
    <w:rsid w:val="00554858"/>
    <w:rPr>
      <w:color w:val="58595A"/>
      <w:sz w:val="16"/>
      <w:szCs w:val="16"/>
    </w:rPr>
  </w:style>
  <w:style w:type="character" w:styleId="Hyperlink">
    <w:name w:val="Hyperlink"/>
    <w:basedOn w:val="DefaultParagraphFont"/>
    <w:uiPriority w:val="99"/>
    <w:unhideWhenUsed/>
    <w:rsid w:val="001E4266"/>
    <w:rPr>
      <w:color w:val="008F54" w:themeColor="accent2"/>
      <w:u w:val="single"/>
    </w:rPr>
  </w:style>
  <w:style w:type="character" w:customStyle="1" w:styleId="FootnoteChar">
    <w:name w:val="Footnote Char"/>
    <w:basedOn w:val="FootnoteTextChar"/>
    <w:link w:val="Footnote"/>
    <w:rsid w:val="00554858"/>
    <w:rPr>
      <w:rFonts w:ascii="Arial" w:eastAsia="Futura PT Book" w:hAnsi="Arial" w:cs="Futura PT Book"/>
      <w:color w:val="58595A"/>
      <w:sz w:val="16"/>
      <w:szCs w:val="16"/>
      <w:lang w:bidi="en-US"/>
    </w:rPr>
  </w:style>
  <w:style w:type="character" w:customStyle="1" w:styleId="UnresolvedMention1">
    <w:name w:val="Unresolved Mention1"/>
    <w:basedOn w:val="DefaultParagraphFont"/>
    <w:uiPriority w:val="99"/>
    <w:semiHidden/>
    <w:unhideWhenUsed/>
    <w:rsid w:val="009D2DEC"/>
    <w:rPr>
      <w:color w:val="605E5C"/>
      <w:shd w:val="clear" w:color="auto" w:fill="E1DFDD"/>
    </w:rPr>
  </w:style>
  <w:style w:type="table" w:styleId="TableGrid">
    <w:name w:val="Table Grid"/>
    <w:basedOn w:val="TableNormal"/>
    <w:uiPriority w:val="39"/>
    <w:rsid w:val="00AC2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BodyText"/>
    <w:link w:val="TableHeadingChar"/>
    <w:qFormat/>
    <w:rsid w:val="007A655F"/>
    <w:pPr>
      <w:spacing w:before="0"/>
    </w:pPr>
    <w:rPr>
      <w:b/>
      <w:bCs/>
      <w:color w:val="FFFFFF" w:themeColor="background1"/>
      <w:sz w:val="18"/>
      <w:szCs w:val="18"/>
    </w:rPr>
  </w:style>
  <w:style w:type="paragraph" w:customStyle="1" w:styleId="BulletsL2">
    <w:name w:val="Bullets L2"/>
    <w:basedOn w:val="Normal"/>
    <w:link w:val="BulletsL2Char"/>
    <w:rsid w:val="007A655F"/>
    <w:pPr>
      <w:numPr>
        <w:numId w:val="3"/>
      </w:numPr>
    </w:pPr>
  </w:style>
  <w:style w:type="character" w:customStyle="1" w:styleId="TableHeadingChar">
    <w:name w:val="Table Heading Char"/>
    <w:basedOn w:val="BodyTextChar"/>
    <w:link w:val="TableHeading"/>
    <w:rsid w:val="007A655F"/>
    <w:rPr>
      <w:rFonts w:ascii="Arial" w:eastAsia="Futura PT Book" w:hAnsi="Arial" w:cs="Futura PT Book"/>
      <w:b/>
      <w:bCs/>
      <w:color w:val="FFFFFF" w:themeColor="background1"/>
      <w:sz w:val="18"/>
      <w:szCs w:val="18"/>
      <w:lang w:bidi="en-US"/>
    </w:rPr>
  </w:style>
  <w:style w:type="paragraph" w:customStyle="1" w:styleId="TableList">
    <w:name w:val="Table List"/>
    <w:basedOn w:val="BulletsL2"/>
    <w:link w:val="TableListChar"/>
    <w:qFormat/>
    <w:rsid w:val="007A655F"/>
    <w:pPr>
      <w:ind w:left="453"/>
    </w:pPr>
    <w:rPr>
      <w:color w:val="58595A"/>
      <w:sz w:val="18"/>
      <w:szCs w:val="18"/>
    </w:rPr>
  </w:style>
  <w:style w:type="character" w:styleId="FollowedHyperlink">
    <w:name w:val="FollowedHyperlink"/>
    <w:basedOn w:val="DefaultParagraphFont"/>
    <w:uiPriority w:val="99"/>
    <w:semiHidden/>
    <w:unhideWhenUsed/>
    <w:rsid w:val="00F42929"/>
    <w:rPr>
      <w:color w:val="008F54" w:themeColor="followedHyperlink"/>
      <w:u w:val="single"/>
    </w:rPr>
  </w:style>
  <w:style w:type="character" w:customStyle="1" w:styleId="BulletsL2Char">
    <w:name w:val="Bullets L2 Char"/>
    <w:basedOn w:val="DefaultParagraphFont"/>
    <w:link w:val="BulletsL2"/>
    <w:rsid w:val="007A655F"/>
    <w:rPr>
      <w:rFonts w:ascii="Arial" w:eastAsia="Futura PT Book" w:hAnsi="Arial" w:cs="Futura PT Book"/>
      <w:lang w:val="en-AU" w:bidi="en-US"/>
    </w:rPr>
  </w:style>
  <w:style w:type="character" w:customStyle="1" w:styleId="TableListChar">
    <w:name w:val="Table List Char"/>
    <w:basedOn w:val="BulletsL2Char"/>
    <w:link w:val="TableList"/>
    <w:rsid w:val="007A655F"/>
    <w:rPr>
      <w:rFonts w:ascii="Arial" w:eastAsia="Futura PT Book" w:hAnsi="Arial" w:cs="Futura PT Book"/>
      <w:color w:val="58595A"/>
      <w:sz w:val="18"/>
      <w:szCs w:val="18"/>
      <w:lang w:val="en-AU" w:bidi="en-US"/>
    </w:rPr>
  </w:style>
  <w:style w:type="character" w:customStyle="1" w:styleId="Heading4Char">
    <w:name w:val="Heading 4 Char"/>
    <w:basedOn w:val="DefaultParagraphFont"/>
    <w:link w:val="Heading4"/>
    <w:uiPriority w:val="9"/>
    <w:rsid w:val="0075255F"/>
    <w:rPr>
      <w:rFonts w:ascii="Arial" w:eastAsia="Futura PT Bold" w:hAnsi="Arial" w:cs="Futura PT Bold"/>
      <w:b/>
      <w:bCs/>
      <w:color w:val="003E2D" w:themeColor="text1"/>
      <w:szCs w:val="19"/>
      <w:lang w:val="en-AU" w:bidi="en-US"/>
    </w:rPr>
  </w:style>
  <w:style w:type="paragraph" w:customStyle="1" w:styleId="Questionheading">
    <w:name w:val="Question heading"/>
    <w:link w:val="QuestionheadingChar"/>
    <w:qFormat/>
    <w:rsid w:val="00483670"/>
    <w:pPr>
      <w:spacing w:before="280"/>
      <w:ind w:left="737" w:right="246"/>
    </w:pPr>
    <w:rPr>
      <w:rFonts w:ascii="Arial" w:eastAsia="Tahoma" w:hAnsi="Arial" w:cs="Tahoma"/>
      <w:b/>
      <w:color w:val="003E2D" w:themeColor="text1"/>
      <w:sz w:val="24"/>
      <w:szCs w:val="24"/>
      <w:lang w:val="en-AU" w:bidi="en-US"/>
    </w:rPr>
  </w:style>
  <w:style w:type="character" w:customStyle="1" w:styleId="QuestionheadingChar">
    <w:name w:val="Question heading Char"/>
    <w:basedOn w:val="Heading3Char"/>
    <w:link w:val="Questionheading"/>
    <w:rsid w:val="00483670"/>
    <w:rPr>
      <w:rFonts w:ascii="Arial" w:eastAsia="Tahoma" w:hAnsi="Arial" w:cs="Tahoma"/>
      <w:b/>
      <w:color w:val="003E2D" w:themeColor="text1"/>
      <w:sz w:val="24"/>
      <w:szCs w:val="24"/>
      <w:lang w:val="en-AU" w:bidi="en-US"/>
    </w:rPr>
  </w:style>
  <w:style w:type="paragraph" w:customStyle="1" w:styleId="ListL2">
    <w:name w:val="List L2"/>
    <w:basedOn w:val="ListParagraph"/>
    <w:link w:val="ListL2Char"/>
    <w:qFormat/>
    <w:rsid w:val="00DE2ED2"/>
    <w:pPr>
      <w:numPr>
        <w:ilvl w:val="2"/>
        <w:numId w:val="2"/>
      </w:numPr>
    </w:pPr>
  </w:style>
  <w:style w:type="paragraph" w:customStyle="1" w:styleId="ListWhite">
    <w:name w:val="List White"/>
    <w:basedOn w:val="ListParagraph"/>
    <w:link w:val="ListWhiteChar"/>
    <w:qFormat/>
    <w:rsid w:val="001031CF"/>
    <w:pPr>
      <w:numPr>
        <w:numId w:val="4"/>
      </w:numPr>
      <w:spacing w:line="257" w:lineRule="auto"/>
      <w:ind w:left="284" w:right="499" w:hanging="284"/>
    </w:pPr>
    <w:rPr>
      <w:color w:val="FFFFFF" w:themeColor="background1"/>
    </w:rPr>
  </w:style>
  <w:style w:type="character" w:customStyle="1" w:styleId="ListParagraphChar">
    <w:name w:val="List Paragraph Char"/>
    <w:aliases w:val="List Paragraph1 Char,Recommendation Char,Bullet table Char,Bullet L1 Char,dot point 1 Char,NFP GP Bulleted List Char"/>
    <w:basedOn w:val="DefaultParagraphFont"/>
    <w:link w:val="ListParagraph"/>
    <w:uiPriority w:val="34"/>
    <w:rsid w:val="00DE2ED2"/>
    <w:rPr>
      <w:rFonts w:ascii="Arial" w:eastAsia="Futura PT Book" w:hAnsi="Arial" w:cs="Futura PT Book"/>
      <w:color w:val="58595B"/>
      <w:sz w:val="19"/>
      <w:lang w:val="en-AU" w:bidi="en-US"/>
    </w:rPr>
  </w:style>
  <w:style w:type="character" w:customStyle="1" w:styleId="ListL2Char">
    <w:name w:val="List L2 Char"/>
    <w:basedOn w:val="ListParagraphChar"/>
    <w:link w:val="ListL2"/>
    <w:rsid w:val="00DE2ED2"/>
    <w:rPr>
      <w:rFonts w:ascii="Arial" w:eastAsia="Futura PT Book" w:hAnsi="Arial" w:cs="Futura PT Book"/>
      <w:color w:val="58595B"/>
      <w:sz w:val="19"/>
      <w:lang w:val="en-AU" w:bidi="en-US"/>
    </w:rPr>
  </w:style>
  <w:style w:type="paragraph" w:customStyle="1" w:styleId="Figureheading">
    <w:name w:val="Figure heading"/>
    <w:basedOn w:val="BodyText"/>
    <w:link w:val="FigureheadingChar"/>
    <w:qFormat/>
    <w:rsid w:val="00AE6553"/>
    <w:pPr>
      <w:spacing w:after="240" w:line="257" w:lineRule="auto"/>
      <w:ind w:right="142"/>
    </w:pPr>
    <w:rPr>
      <w:b/>
      <w:color w:val="003E2D" w:themeColor="text2"/>
    </w:rPr>
  </w:style>
  <w:style w:type="character" w:customStyle="1" w:styleId="ListWhiteChar">
    <w:name w:val="List White Char"/>
    <w:basedOn w:val="ListParagraphChar"/>
    <w:link w:val="ListWhite"/>
    <w:rsid w:val="001031CF"/>
    <w:rPr>
      <w:rFonts w:ascii="Arial" w:eastAsia="Futura PT Book" w:hAnsi="Arial" w:cs="Futura PT Book"/>
      <w:color w:val="FFFFFF" w:themeColor="background1"/>
      <w:sz w:val="19"/>
      <w:lang w:val="en-AU" w:bidi="en-US"/>
    </w:rPr>
  </w:style>
  <w:style w:type="paragraph" w:customStyle="1" w:styleId="TOCHeader">
    <w:name w:val="TOC Header"/>
    <w:basedOn w:val="TOC1"/>
    <w:link w:val="TOCHeaderChar"/>
    <w:rsid w:val="00F855FD"/>
    <w:pPr>
      <w:tabs>
        <w:tab w:val="right" w:leader="dot" w:pos="9020"/>
      </w:tabs>
    </w:pPr>
    <w:rPr>
      <w:b w:val="0"/>
      <w:bCs/>
      <w:noProof/>
      <w:szCs w:val="18"/>
    </w:rPr>
  </w:style>
  <w:style w:type="character" w:customStyle="1" w:styleId="FigureheadingChar">
    <w:name w:val="Figure heading Char"/>
    <w:basedOn w:val="BodyTextChar"/>
    <w:link w:val="Figureheading"/>
    <w:rsid w:val="00AE6553"/>
    <w:rPr>
      <w:rFonts w:ascii="Arial" w:eastAsia="Futura PT Book" w:hAnsi="Arial" w:cs="Futura PT Book"/>
      <w:b/>
      <w:color w:val="003E2D" w:themeColor="text2"/>
      <w:sz w:val="19"/>
      <w:szCs w:val="19"/>
      <w:lang w:bidi="en-US"/>
    </w:rPr>
  </w:style>
  <w:style w:type="paragraph" w:customStyle="1" w:styleId="TOCBody">
    <w:name w:val="TOC Body"/>
    <w:basedOn w:val="TOC2"/>
    <w:link w:val="TOCBodyChar"/>
    <w:rsid w:val="00B55D42"/>
    <w:rPr>
      <w:szCs w:val="18"/>
    </w:rPr>
  </w:style>
  <w:style w:type="character" w:customStyle="1" w:styleId="TOC1Char">
    <w:name w:val="TOC 1 Char"/>
    <w:basedOn w:val="DefaultParagraphFont"/>
    <w:link w:val="TOC1"/>
    <w:uiPriority w:val="39"/>
    <w:rsid w:val="00173189"/>
    <w:rPr>
      <w:rFonts w:ascii="Arial" w:eastAsia="Tahoma" w:hAnsi="Arial" w:cs="Tahoma"/>
      <w:b/>
      <w:color w:val="58595A"/>
      <w:sz w:val="18"/>
      <w:szCs w:val="28"/>
      <w:lang w:val="en-AU" w:bidi="en-US"/>
    </w:rPr>
  </w:style>
  <w:style w:type="character" w:customStyle="1" w:styleId="TOCHeaderChar">
    <w:name w:val="TOC Header Char"/>
    <w:basedOn w:val="TOC1Char"/>
    <w:link w:val="TOCHeader"/>
    <w:rsid w:val="00F855FD"/>
    <w:rPr>
      <w:rFonts w:ascii="Arial" w:eastAsia="Tahoma" w:hAnsi="Arial" w:cs="Tahoma"/>
      <w:b w:val="0"/>
      <w:bCs/>
      <w:noProof/>
      <w:color w:val="58595A"/>
      <w:sz w:val="18"/>
      <w:szCs w:val="18"/>
      <w:lang w:val="en-AU" w:bidi="en-US"/>
    </w:rPr>
  </w:style>
  <w:style w:type="character" w:customStyle="1" w:styleId="TOC2Char">
    <w:name w:val="TOC 2 Char"/>
    <w:basedOn w:val="DefaultParagraphFont"/>
    <w:link w:val="TOC2"/>
    <w:uiPriority w:val="39"/>
    <w:rsid w:val="007A1BB9"/>
    <w:rPr>
      <w:rFonts w:ascii="Arial" w:eastAsia="Tahoma" w:hAnsi="Arial" w:cs="Tahoma"/>
      <w:noProof/>
      <w:color w:val="58595A"/>
      <w:sz w:val="18"/>
      <w:szCs w:val="28"/>
      <w:lang w:val="en-AU" w:bidi="en-US"/>
    </w:rPr>
  </w:style>
  <w:style w:type="character" w:customStyle="1" w:styleId="TOCBodyChar">
    <w:name w:val="TOC Body Char"/>
    <w:basedOn w:val="TOC2Char"/>
    <w:link w:val="TOCBody"/>
    <w:rsid w:val="00B55D42"/>
    <w:rPr>
      <w:rFonts w:ascii="Arial" w:eastAsia="Tahoma" w:hAnsi="Arial" w:cs="Tahoma"/>
      <w:noProof/>
      <w:color w:val="58595A"/>
      <w:sz w:val="18"/>
      <w:szCs w:val="18"/>
      <w:lang w:val="en-AU" w:bidi="en-US"/>
    </w:rPr>
  </w:style>
  <w:style w:type="character" w:styleId="LineNumber">
    <w:name w:val="line number"/>
    <w:basedOn w:val="DefaultParagraphFont"/>
    <w:uiPriority w:val="99"/>
    <w:semiHidden/>
    <w:unhideWhenUsed/>
    <w:rsid w:val="00055D6E"/>
  </w:style>
  <w:style w:type="paragraph" w:styleId="BalloonText">
    <w:name w:val="Balloon Text"/>
    <w:basedOn w:val="Normal"/>
    <w:link w:val="BalloonTextChar"/>
    <w:uiPriority w:val="99"/>
    <w:semiHidden/>
    <w:unhideWhenUsed/>
    <w:rsid w:val="00DB64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474"/>
    <w:rPr>
      <w:rFonts w:ascii="Segoe UI" w:eastAsia="Futura PT Book" w:hAnsi="Segoe UI" w:cs="Segoe UI"/>
      <w:sz w:val="18"/>
      <w:szCs w:val="18"/>
      <w:lang w:bidi="en-US"/>
    </w:rPr>
  </w:style>
  <w:style w:type="paragraph" w:styleId="Bibliography">
    <w:name w:val="Bibliography"/>
    <w:basedOn w:val="Normal"/>
    <w:next w:val="Normal"/>
    <w:uiPriority w:val="37"/>
    <w:semiHidden/>
    <w:unhideWhenUsed/>
    <w:rsid w:val="00DB6474"/>
  </w:style>
  <w:style w:type="paragraph" w:styleId="BlockText">
    <w:name w:val="Block Text"/>
    <w:basedOn w:val="Normal"/>
    <w:uiPriority w:val="99"/>
    <w:semiHidden/>
    <w:unhideWhenUsed/>
    <w:rsid w:val="00DB6474"/>
    <w:pPr>
      <w:pBdr>
        <w:top w:val="single" w:sz="2" w:space="10" w:color="7EC352" w:themeColor="accent1"/>
        <w:left w:val="single" w:sz="2" w:space="10" w:color="7EC352" w:themeColor="accent1"/>
        <w:bottom w:val="single" w:sz="2" w:space="10" w:color="7EC352" w:themeColor="accent1"/>
        <w:right w:val="single" w:sz="2" w:space="10" w:color="7EC352" w:themeColor="accent1"/>
      </w:pBdr>
      <w:ind w:left="1152" w:right="1152"/>
    </w:pPr>
    <w:rPr>
      <w:rFonts w:asciiTheme="minorHAnsi" w:eastAsiaTheme="minorEastAsia" w:hAnsiTheme="minorHAnsi" w:cstheme="minorBidi"/>
      <w:i/>
      <w:iCs/>
      <w:color w:val="7EC352" w:themeColor="accent1"/>
    </w:rPr>
  </w:style>
  <w:style w:type="paragraph" w:styleId="BodyText2">
    <w:name w:val="Body Text 2"/>
    <w:basedOn w:val="Normal"/>
    <w:link w:val="BodyText2Char"/>
    <w:uiPriority w:val="99"/>
    <w:semiHidden/>
    <w:unhideWhenUsed/>
    <w:rsid w:val="00DB6474"/>
    <w:pPr>
      <w:spacing w:after="120" w:line="480" w:lineRule="auto"/>
    </w:pPr>
  </w:style>
  <w:style w:type="character" w:customStyle="1" w:styleId="BodyText2Char">
    <w:name w:val="Body Text 2 Char"/>
    <w:basedOn w:val="DefaultParagraphFont"/>
    <w:link w:val="BodyText2"/>
    <w:uiPriority w:val="99"/>
    <w:semiHidden/>
    <w:rsid w:val="00DB6474"/>
    <w:rPr>
      <w:rFonts w:ascii="Arial" w:eastAsia="Futura PT Book" w:hAnsi="Arial" w:cs="Futura PT Book"/>
      <w:lang w:bidi="en-US"/>
    </w:rPr>
  </w:style>
  <w:style w:type="paragraph" w:styleId="BodyText3">
    <w:name w:val="Body Text 3"/>
    <w:basedOn w:val="Normal"/>
    <w:link w:val="BodyText3Char"/>
    <w:uiPriority w:val="99"/>
    <w:semiHidden/>
    <w:unhideWhenUsed/>
    <w:rsid w:val="00DB6474"/>
    <w:pPr>
      <w:spacing w:after="120"/>
    </w:pPr>
    <w:rPr>
      <w:sz w:val="16"/>
      <w:szCs w:val="16"/>
    </w:rPr>
  </w:style>
  <w:style w:type="character" w:customStyle="1" w:styleId="BodyText3Char">
    <w:name w:val="Body Text 3 Char"/>
    <w:basedOn w:val="DefaultParagraphFont"/>
    <w:link w:val="BodyText3"/>
    <w:uiPriority w:val="99"/>
    <w:semiHidden/>
    <w:rsid w:val="00DB6474"/>
    <w:rPr>
      <w:rFonts w:ascii="Arial" w:eastAsia="Futura PT Book" w:hAnsi="Arial" w:cs="Futura PT Book"/>
      <w:sz w:val="16"/>
      <w:szCs w:val="16"/>
      <w:lang w:bidi="en-US"/>
    </w:rPr>
  </w:style>
  <w:style w:type="paragraph" w:styleId="BodyTextFirstIndent">
    <w:name w:val="Body Text First Indent"/>
    <w:basedOn w:val="BodyText"/>
    <w:link w:val="BodyTextFirstIndentChar"/>
    <w:uiPriority w:val="99"/>
    <w:semiHidden/>
    <w:unhideWhenUsed/>
    <w:rsid w:val="00DB6474"/>
    <w:pPr>
      <w:spacing w:before="0" w:line="240" w:lineRule="auto"/>
      <w:ind w:right="0" w:firstLine="360"/>
    </w:pPr>
    <w:rPr>
      <w:color w:val="auto"/>
      <w:sz w:val="22"/>
      <w:szCs w:val="22"/>
    </w:rPr>
  </w:style>
  <w:style w:type="character" w:customStyle="1" w:styleId="BodyTextFirstIndentChar">
    <w:name w:val="Body Text First Indent Char"/>
    <w:basedOn w:val="BodyTextChar"/>
    <w:link w:val="BodyTextFirstIndent"/>
    <w:uiPriority w:val="99"/>
    <w:semiHidden/>
    <w:rsid w:val="00DB6474"/>
    <w:rPr>
      <w:rFonts w:ascii="Arial" w:eastAsia="Futura PT Book" w:hAnsi="Arial" w:cs="Futura PT Book"/>
      <w:color w:val="58595B"/>
      <w:sz w:val="19"/>
      <w:szCs w:val="19"/>
      <w:lang w:bidi="en-US"/>
    </w:rPr>
  </w:style>
  <w:style w:type="paragraph" w:styleId="BodyTextIndent">
    <w:name w:val="Body Text Indent"/>
    <w:basedOn w:val="Normal"/>
    <w:link w:val="BodyTextIndentChar"/>
    <w:uiPriority w:val="99"/>
    <w:semiHidden/>
    <w:unhideWhenUsed/>
    <w:rsid w:val="00DB6474"/>
    <w:pPr>
      <w:spacing w:after="120"/>
      <w:ind w:left="283"/>
    </w:pPr>
  </w:style>
  <w:style w:type="character" w:customStyle="1" w:styleId="BodyTextIndentChar">
    <w:name w:val="Body Text Indent Char"/>
    <w:basedOn w:val="DefaultParagraphFont"/>
    <w:link w:val="BodyTextIndent"/>
    <w:uiPriority w:val="99"/>
    <w:semiHidden/>
    <w:rsid w:val="00DB6474"/>
    <w:rPr>
      <w:rFonts w:ascii="Arial" w:eastAsia="Futura PT Book" w:hAnsi="Arial" w:cs="Futura PT Book"/>
      <w:lang w:bidi="en-US"/>
    </w:rPr>
  </w:style>
  <w:style w:type="paragraph" w:styleId="BodyTextFirstIndent2">
    <w:name w:val="Body Text First Indent 2"/>
    <w:basedOn w:val="BodyTextIndent"/>
    <w:link w:val="BodyTextFirstIndent2Char"/>
    <w:uiPriority w:val="99"/>
    <w:semiHidden/>
    <w:unhideWhenUsed/>
    <w:rsid w:val="00DB6474"/>
    <w:pPr>
      <w:spacing w:after="0"/>
      <w:ind w:left="360" w:firstLine="360"/>
    </w:pPr>
  </w:style>
  <w:style w:type="character" w:customStyle="1" w:styleId="BodyTextFirstIndent2Char">
    <w:name w:val="Body Text First Indent 2 Char"/>
    <w:basedOn w:val="BodyTextIndentChar"/>
    <w:link w:val="BodyTextFirstIndent2"/>
    <w:uiPriority w:val="99"/>
    <w:semiHidden/>
    <w:rsid w:val="00DB6474"/>
    <w:rPr>
      <w:rFonts w:ascii="Arial" w:eastAsia="Futura PT Book" w:hAnsi="Arial" w:cs="Futura PT Book"/>
      <w:lang w:bidi="en-US"/>
    </w:rPr>
  </w:style>
  <w:style w:type="paragraph" w:styleId="BodyTextIndent2">
    <w:name w:val="Body Text Indent 2"/>
    <w:basedOn w:val="Normal"/>
    <w:link w:val="BodyTextIndent2Char"/>
    <w:uiPriority w:val="99"/>
    <w:semiHidden/>
    <w:unhideWhenUsed/>
    <w:rsid w:val="00DB6474"/>
    <w:pPr>
      <w:spacing w:after="120" w:line="480" w:lineRule="auto"/>
      <w:ind w:left="283"/>
    </w:pPr>
  </w:style>
  <w:style w:type="character" w:customStyle="1" w:styleId="BodyTextIndent2Char">
    <w:name w:val="Body Text Indent 2 Char"/>
    <w:basedOn w:val="DefaultParagraphFont"/>
    <w:link w:val="BodyTextIndent2"/>
    <w:uiPriority w:val="99"/>
    <w:semiHidden/>
    <w:rsid w:val="00DB6474"/>
    <w:rPr>
      <w:rFonts w:ascii="Arial" w:eastAsia="Futura PT Book" w:hAnsi="Arial" w:cs="Futura PT Book"/>
      <w:lang w:bidi="en-US"/>
    </w:rPr>
  </w:style>
  <w:style w:type="paragraph" w:styleId="BodyTextIndent3">
    <w:name w:val="Body Text Indent 3"/>
    <w:basedOn w:val="Normal"/>
    <w:link w:val="BodyTextIndent3Char"/>
    <w:uiPriority w:val="99"/>
    <w:semiHidden/>
    <w:unhideWhenUsed/>
    <w:rsid w:val="00DB647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B6474"/>
    <w:rPr>
      <w:rFonts w:ascii="Arial" w:eastAsia="Futura PT Book" w:hAnsi="Arial" w:cs="Futura PT Book"/>
      <w:sz w:val="16"/>
      <w:szCs w:val="16"/>
      <w:lang w:bidi="en-US"/>
    </w:rPr>
  </w:style>
  <w:style w:type="paragraph" w:styleId="Caption">
    <w:name w:val="caption"/>
    <w:basedOn w:val="Normal"/>
    <w:next w:val="Normal"/>
    <w:uiPriority w:val="35"/>
    <w:semiHidden/>
    <w:unhideWhenUsed/>
    <w:qFormat/>
    <w:rsid w:val="00DB6474"/>
    <w:pPr>
      <w:spacing w:after="200"/>
    </w:pPr>
    <w:rPr>
      <w:i/>
      <w:iCs/>
      <w:color w:val="003E2D" w:themeColor="text2"/>
      <w:sz w:val="18"/>
      <w:szCs w:val="18"/>
    </w:rPr>
  </w:style>
  <w:style w:type="paragraph" w:styleId="Closing">
    <w:name w:val="Closing"/>
    <w:basedOn w:val="Normal"/>
    <w:link w:val="ClosingChar"/>
    <w:uiPriority w:val="99"/>
    <w:semiHidden/>
    <w:unhideWhenUsed/>
    <w:rsid w:val="00DB6474"/>
    <w:pPr>
      <w:ind w:left="4252"/>
    </w:pPr>
  </w:style>
  <w:style w:type="character" w:customStyle="1" w:styleId="ClosingChar">
    <w:name w:val="Closing Char"/>
    <w:basedOn w:val="DefaultParagraphFont"/>
    <w:link w:val="Closing"/>
    <w:uiPriority w:val="99"/>
    <w:semiHidden/>
    <w:rsid w:val="00DB6474"/>
    <w:rPr>
      <w:rFonts w:ascii="Arial" w:eastAsia="Futura PT Book" w:hAnsi="Arial" w:cs="Futura PT Book"/>
      <w:lang w:bidi="en-US"/>
    </w:rPr>
  </w:style>
  <w:style w:type="paragraph" w:styleId="CommentText">
    <w:name w:val="annotation text"/>
    <w:basedOn w:val="Normal"/>
    <w:link w:val="CommentTextChar"/>
    <w:unhideWhenUsed/>
    <w:rsid w:val="00DB6474"/>
    <w:rPr>
      <w:sz w:val="20"/>
      <w:szCs w:val="20"/>
    </w:rPr>
  </w:style>
  <w:style w:type="character" w:customStyle="1" w:styleId="CommentTextChar">
    <w:name w:val="Comment Text Char"/>
    <w:basedOn w:val="DefaultParagraphFont"/>
    <w:link w:val="CommentText"/>
    <w:rsid w:val="00DB6474"/>
    <w:rPr>
      <w:rFonts w:ascii="Arial" w:eastAsia="Futura PT Book" w:hAnsi="Arial" w:cs="Futura PT Book"/>
      <w:sz w:val="20"/>
      <w:szCs w:val="20"/>
      <w:lang w:bidi="en-US"/>
    </w:rPr>
  </w:style>
  <w:style w:type="paragraph" w:styleId="CommentSubject">
    <w:name w:val="annotation subject"/>
    <w:basedOn w:val="CommentText"/>
    <w:next w:val="CommentText"/>
    <w:link w:val="CommentSubjectChar"/>
    <w:uiPriority w:val="99"/>
    <w:semiHidden/>
    <w:unhideWhenUsed/>
    <w:rsid w:val="00DB6474"/>
    <w:rPr>
      <w:b/>
      <w:bCs/>
    </w:rPr>
  </w:style>
  <w:style w:type="character" w:customStyle="1" w:styleId="CommentSubjectChar">
    <w:name w:val="Comment Subject Char"/>
    <w:basedOn w:val="CommentTextChar"/>
    <w:link w:val="CommentSubject"/>
    <w:uiPriority w:val="99"/>
    <w:semiHidden/>
    <w:rsid w:val="00DB6474"/>
    <w:rPr>
      <w:rFonts w:ascii="Arial" w:eastAsia="Futura PT Book" w:hAnsi="Arial" w:cs="Futura PT Book"/>
      <w:b/>
      <w:bCs/>
      <w:sz w:val="20"/>
      <w:szCs w:val="20"/>
      <w:lang w:bidi="en-US"/>
    </w:rPr>
  </w:style>
  <w:style w:type="paragraph" w:styleId="Date">
    <w:name w:val="Date"/>
    <w:basedOn w:val="Normal"/>
    <w:next w:val="Normal"/>
    <w:link w:val="DateChar"/>
    <w:uiPriority w:val="99"/>
    <w:semiHidden/>
    <w:unhideWhenUsed/>
    <w:rsid w:val="00DB6474"/>
  </w:style>
  <w:style w:type="character" w:customStyle="1" w:styleId="DateChar">
    <w:name w:val="Date Char"/>
    <w:basedOn w:val="DefaultParagraphFont"/>
    <w:link w:val="Date"/>
    <w:uiPriority w:val="99"/>
    <w:semiHidden/>
    <w:rsid w:val="00DB6474"/>
    <w:rPr>
      <w:rFonts w:ascii="Arial" w:eastAsia="Futura PT Book" w:hAnsi="Arial" w:cs="Futura PT Book"/>
      <w:lang w:bidi="en-US"/>
    </w:rPr>
  </w:style>
  <w:style w:type="paragraph" w:styleId="DocumentMap">
    <w:name w:val="Document Map"/>
    <w:basedOn w:val="Normal"/>
    <w:link w:val="DocumentMapChar"/>
    <w:uiPriority w:val="99"/>
    <w:semiHidden/>
    <w:unhideWhenUsed/>
    <w:rsid w:val="00DB6474"/>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B6474"/>
    <w:rPr>
      <w:rFonts w:ascii="Segoe UI" w:eastAsia="Futura PT Book" w:hAnsi="Segoe UI" w:cs="Segoe UI"/>
      <w:sz w:val="16"/>
      <w:szCs w:val="16"/>
      <w:lang w:bidi="en-US"/>
    </w:rPr>
  </w:style>
  <w:style w:type="paragraph" w:styleId="E-mailSignature">
    <w:name w:val="E-mail Signature"/>
    <w:basedOn w:val="Normal"/>
    <w:link w:val="E-mailSignatureChar"/>
    <w:uiPriority w:val="99"/>
    <w:semiHidden/>
    <w:unhideWhenUsed/>
    <w:rsid w:val="00DB6474"/>
  </w:style>
  <w:style w:type="character" w:customStyle="1" w:styleId="E-mailSignatureChar">
    <w:name w:val="E-mail Signature Char"/>
    <w:basedOn w:val="DefaultParagraphFont"/>
    <w:link w:val="E-mailSignature"/>
    <w:uiPriority w:val="99"/>
    <w:semiHidden/>
    <w:rsid w:val="00DB6474"/>
    <w:rPr>
      <w:rFonts w:ascii="Arial" w:eastAsia="Futura PT Book" w:hAnsi="Arial" w:cs="Futura PT Book"/>
      <w:lang w:bidi="en-US"/>
    </w:rPr>
  </w:style>
  <w:style w:type="paragraph" w:styleId="EndnoteText">
    <w:name w:val="endnote text"/>
    <w:basedOn w:val="Normal"/>
    <w:link w:val="EndnoteTextChar"/>
    <w:uiPriority w:val="99"/>
    <w:semiHidden/>
    <w:unhideWhenUsed/>
    <w:rsid w:val="00DB6474"/>
    <w:rPr>
      <w:sz w:val="20"/>
      <w:szCs w:val="20"/>
    </w:rPr>
  </w:style>
  <w:style w:type="character" w:customStyle="1" w:styleId="EndnoteTextChar">
    <w:name w:val="Endnote Text Char"/>
    <w:basedOn w:val="DefaultParagraphFont"/>
    <w:link w:val="EndnoteText"/>
    <w:uiPriority w:val="99"/>
    <w:semiHidden/>
    <w:rsid w:val="00DB6474"/>
    <w:rPr>
      <w:rFonts w:ascii="Arial" w:eastAsia="Futura PT Book" w:hAnsi="Arial" w:cs="Futura PT Book"/>
      <w:sz w:val="20"/>
      <w:szCs w:val="20"/>
      <w:lang w:bidi="en-US"/>
    </w:rPr>
  </w:style>
  <w:style w:type="paragraph" w:styleId="EnvelopeAddress">
    <w:name w:val="envelope address"/>
    <w:basedOn w:val="Normal"/>
    <w:uiPriority w:val="99"/>
    <w:semiHidden/>
    <w:unhideWhenUsed/>
    <w:rsid w:val="00DB6474"/>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B6474"/>
    <w:rPr>
      <w:rFonts w:asciiTheme="majorHAnsi" w:eastAsiaTheme="majorEastAsia" w:hAnsiTheme="majorHAnsi" w:cstheme="majorBidi"/>
      <w:sz w:val="20"/>
      <w:szCs w:val="20"/>
    </w:rPr>
  </w:style>
  <w:style w:type="character" w:customStyle="1" w:styleId="Heading5Char">
    <w:name w:val="Heading 5 Char"/>
    <w:basedOn w:val="DefaultParagraphFont"/>
    <w:link w:val="Heading5"/>
    <w:uiPriority w:val="9"/>
    <w:semiHidden/>
    <w:rsid w:val="00DB6474"/>
    <w:rPr>
      <w:rFonts w:asciiTheme="majorHAnsi" w:eastAsiaTheme="majorEastAsia" w:hAnsiTheme="majorHAnsi" w:cstheme="majorBidi"/>
      <w:color w:val="5C9935" w:themeColor="accent1" w:themeShade="BF"/>
      <w:lang w:bidi="en-US"/>
    </w:rPr>
  </w:style>
  <w:style w:type="character" w:customStyle="1" w:styleId="Heading6Char">
    <w:name w:val="Heading 6 Char"/>
    <w:basedOn w:val="DefaultParagraphFont"/>
    <w:link w:val="Heading6"/>
    <w:uiPriority w:val="9"/>
    <w:semiHidden/>
    <w:rsid w:val="00DB6474"/>
    <w:rPr>
      <w:rFonts w:asciiTheme="majorHAnsi" w:eastAsiaTheme="majorEastAsia" w:hAnsiTheme="majorHAnsi" w:cstheme="majorBidi"/>
      <w:color w:val="3D6623" w:themeColor="accent1" w:themeShade="7F"/>
      <w:lang w:bidi="en-US"/>
    </w:rPr>
  </w:style>
  <w:style w:type="character" w:customStyle="1" w:styleId="Heading7Char">
    <w:name w:val="Heading 7 Char"/>
    <w:basedOn w:val="DefaultParagraphFont"/>
    <w:link w:val="Heading7"/>
    <w:uiPriority w:val="9"/>
    <w:semiHidden/>
    <w:rsid w:val="00DB6474"/>
    <w:rPr>
      <w:rFonts w:asciiTheme="majorHAnsi" w:eastAsiaTheme="majorEastAsia" w:hAnsiTheme="majorHAnsi" w:cstheme="majorBidi"/>
      <w:i/>
      <w:iCs/>
      <w:color w:val="3D6623" w:themeColor="accent1" w:themeShade="7F"/>
      <w:lang w:bidi="en-US"/>
    </w:rPr>
  </w:style>
  <w:style w:type="character" w:customStyle="1" w:styleId="Heading8Char">
    <w:name w:val="Heading 8 Char"/>
    <w:basedOn w:val="DefaultParagraphFont"/>
    <w:link w:val="Heading8"/>
    <w:uiPriority w:val="9"/>
    <w:semiHidden/>
    <w:rsid w:val="00DB6474"/>
    <w:rPr>
      <w:rFonts w:asciiTheme="majorHAnsi" w:eastAsiaTheme="majorEastAsia" w:hAnsiTheme="majorHAnsi" w:cstheme="majorBidi"/>
      <w:color w:val="00825E" w:themeColor="text1" w:themeTint="D8"/>
      <w:sz w:val="21"/>
      <w:szCs w:val="21"/>
      <w:lang w:bidi="en-US"/>
    </w:rPr>
  </w:style>
  <w:style w:type="character" w:customStyle="1" w:styleId="Heading9Char">
    <w:name w:val="Heading 9 Char"/>
    <w:basedOn w:val="DefaultParagraphFont"/>
    <w:link w:val="Heading9"/>
    <w:uiPriority w:val="9"/>
    <w:semiHidden/>
    <w:rsid w:val="00DB6474"/>
    <w:rPr>
      <w:rFonts w:asciiTheme="majorHAnsi" w:eastAsiaTheme="majorEastAsia" w:hAnsiTheme="majorHAnsi" w:cstheme="majorBidi"/>
      <w:i/>
      <w:iCs/>
      <w:color w:val="00825E" w:themeColor="text1" w:themeTint="D8"/>
      <w:sz w:val="21"/>
      <w:szCs w:val="21"/>
      <w:lang w:bidi="en-US"/>
    </w:rPr>
  </w:style>
  <w:style w:type="paragraph" w:styleId="HTMLAddress">
    <w:name w:val="HTML Address"/>
    <w:basedOn w:val="Normal"/>
    <w:link w:val="HTMLAddressChar"/>
    <w:uiPriority w:val="99"/>
    <w:semiHidden/>
    <w:unhideWhenUsed/>
    <w:rsid w:val="00DB6474"/>
    <w:rPr>
      <w:i/>
      <w:iCs/>
    </w:rPr>
  </w:style>
  <w:style w:type="character" w:customStyle="1" w:styleId="HTMLAddressChar">
    <w:name w:val="HTML Address Char"/>
    <w:basedOn w:val="DefaultParagraphFont"/>
    <w:link w:val="HTMLAddress"/>
    <w:uiPriority w:val="99"/>
    <w:semiHidden/>
    <w:rsid w:val="00DB6474"/>
    <w:rPr>
      <w:rFonts w:ascii="Arial" w:eastAsia="Futura PT Book" w:hAnsi="Arial" w:cs="Futura PT Book"/>
      <w:i/>
      <w:iCs/>
      <w:lang w:bidi="en-US"/>
    </w:rPr>
  </w:style>
  <w:style w:type="paragraph" w:styleId="HTMLPreformatted">
    <w:name w:val="HTML Preformatted"/>
    <w:basedOn w:val="Normal"/>
    <w:link w:val="HTMLPreformattedChar"/>
    <w:uiPriority w:val="99"/>
    <w:semiHidden/>
    <w:unhideWhenUsed/>
    <w:rsid w:val="00DB6474"/>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B6474"/>
    <w:rPr>
      <w:rFonts w:ascii="Consolas" w:eastAsia="Futura PT Book" w:hAnsi="Consolas" w:cs="Futura PT Book"/>
      <w:sz w:val="20"/>
      <w:szCs w:val="20"/>
      <w:lang w:bidi="en-US"/>
    </w:rPr>
  </w:style>
  <w:style w:type="paragraph" w:styleId="Index1">
    <w:name w:val="index 1"/>
    <w:basedOn w:val="Normal"/>
    <w:next w:val="Normal"/>
    <w:autoRedefine/>
    <w:uiPriority w:val="99"/>
    <w:semiHidden/>
    <w:unhideWhenUsed/>
    <w:rsid w:val="00DB6474"/>
    <w:pPr>
      <w:ind w:left="220" w:hanging="220"/>
    </w:pPr>
  </w:style>
  <w:style w:type="paragraph" w:styleId="Index2">
    <w:name w:val="index 2"/>
    <w:basedOn w:val="Normal"/>
    <w:next w:val="Normal"/>
    <w:autoRedefine/>
    <w:uiPriority w:val="99"/>
    <w:semiHidden/>
    <w:unhideWhenUsed/>
    <w:rsid w:val="00DB6474"/>
    <w:pPr>
      <w:ind w:left="440" w:hanging="220"/>
    </w:pPr>
  </w:style>
  <w:style w:type="paragraph" w:styleId="Index3">
    <w:name w:val="index 3"/>
    <w:basedOn w:val="Normal"/>
    <w:next w:val="Normal"/>
    <w:autoRedefine/>
    <w:uiPriority w:val="99"/>
    <w:semiHidden/>
    <w:unhideWhenUsed/>
    <w:rsid w:val="00DB6474"/>
    <w:pPr>
      <w:ind w:left="660" w:hanging="220"/>
    </w:pPr>
  </w:style>
  <w:style w:type="paragraph" w:styleId="Index4">
    <w:name w:val="index 4"/>
    <w:basedOn w:val="Normal"/>
    <w:next w:val="Normal"/>
    <w:autoRedefine/>
    <w:uiPriority w:val="99"/>
    <w:semiHidden/>
    <w:unhideWhenUsed/>
    <w:rsid w:val="00DB6474"/>
    <w:pPr>
      <w:ind w:left="880" w:hanging="220"/>
    </w:pPr>
  </w:style>
  <w:style w:type="paragraph" w:styleId="Index5">
    <w:name w:val="index 5"/>
    <w:basedOn w:val="Normal"/>
    <w:next w:val="Normal"/>
    <w:autoRedefine/>
    <w:uiPriority w:val="99"/>
    <w:semiHidden/>
    <w:unhideWhenUsed/>
    <w:rsid w:val="00DB6474"/>
    <w:pPr>
      <w:ind w:left="1100" w:hanging="220"/>
    </w:pPr>
  </w:style>
  <w:style w:type="paragraph" w:styleId="Index6">
    <w:name w:val="index 6"/>
    <w:basedOn w:val="Normal"/>
    <w:next w:val="Normal"/>
    <w:autoRedefine/>
    <w:uiPriority w:val="99"/>
    <w:semiHidden/>
    <w:unhideWhenUsed/>
    <w:rsid w:val="00DB6474"/>
    <w:pPr>
      <w:ind w:left="1320" w:hanging="220"/>
    </w:pPr>
  </w:style>
  <w:style w:type="paragraph" w:styleId="Index7">
    <w:name w:val="index 7"/>
    <w:basedOn w:val="Normal"/>
    <w:next w:val="Normal"/>
    <w:autoRedefine/>
    <w:uiPriority w:val="99"/>
    <w:semiHidden/>
    <w:unhideWhenUsed/>
    <w:rsid w:val="00DB6474"/>
    <w:pPr>
      <w:ind w:left="1540" w:hanging="220"/>
    </w:pPr>
  </w:style>
  <w:style w:type="paragraph" w:styleId="Index8">
    <w:name w:val="index 8"/>
    <w:basedOn w:val="Normal"/>
    <w:next w:val="Normal"/>
    <w:autoRedefine/>
    <w:uiPriority w:val="99"/>
    <w:semiHidden/>
    <w:unhideWhenUsed/>
    <w:rsid w:val="00DB6474"/>
    <w:pPr>
      <w:ind w:left="1760" w:hanging="220"/>
    </w:pPr>
  </w:style>
  <w:style w:type="paragraph" w:styleId="Index9">
    <w:name w:val="index 9"/>
    <w:basedOn w:val="Normal"/>
    <w:next w:val="Normal"/>
    <w:autoRedefine/>
    <w:uiPriority w:val="99"/>
    <w:semiHidden/>
    <w:unhideWhenUsed/>
    <w:rsid w:val="00DB6474"/>
    <w:pPr>
      <w:ind w:left="1980" w:hanging="220"/>
    </w:pPr>
  </w:style>
  <w:style w:type="paragraph" w:styleId="IndexHeading">
    <w:name w:val="index heading"/>
    <w:basedOn w:val="Normal"/>
    <w:next w:val="Index1"/>
    <w:uiPriority w:val="99"/>
    <w:semiHidden/>
    <w:unhideWhenUsed/>
    <w:rsid w:val="00DB6474"/>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DB6474"/>
    <w:pPr>
      <w:pBdr>
        <w:top w:val="single" w:sz="4" w:space="10" w:color="7EC352" w:themeColor="accent1"/>
        <w:bottom w:val="single" w:sz="4" w:space="10" w:color="7EC352" w:themeColor="accent1"/>
      </w:pBdr>
      <w:spacing w:before="360" w:after="360"/>
      <w:ind w:left="864" w:right="864"/>
      <w:jc w:val="center"/>
    </w:pPr>
    <w:rPr>
      <w:i/>
      <w:iCs/>
      <w:color w:val="7EC352" w:themeColor="accent1"/>
    </w:rPr>
  </w:style>
  <w:style w:type="character" w:customStyle="1" w:styleId="IntenseQuoteChar">
    <w:name w:val="Intense Quote Char"/>
    <w:basedOn w:val="DefaultParagraphFont"/>
    <w:link w:val="IntenseQuote"/>
    <w:uiPriority w:val="30"/>
    <w:rsid w:val="00DB6474"/>
    <w:rPr>
      <w:rFonts w:ascii="Arial" w:eastAsia="Futura PT Book" w:hAnsi="Arial" w:cs="Futura PT Book"/>
      <w:i/>
      <w:iCs/>
      <w:color w:val="7EC352" w:themeColor="accent1"/>
      <w:lang w:bidi="en-US"/>
    </w:rPr>
  </w:style>
  <w:style w:type="paragraph" w:styleId="List">
    <w:name w:val="List"/>
    <w:basedOn w:val="Normal"/>
    <w:uiPriority w:val="99"/>
    <w:semiHidden/>
    <w:unhideWhenUsed/>
    <w:rsid w:val="00DB6474"/>
    <w:pPr>
      <w:ind w:left="283" w:hanging="283"/>
      <w:contextualSpacing/>
    </w:pPr>
  </w:style>
  <w:style w:type="paragraph" w:styleId="List2">
    <w:name w:val="List 2"/>
    <w:basedOn w:val="Normal"/>
    <w:uiPriority w:val="99"/>
    <w:semiHidden/>
    <w:unhideWhenUsed/>
    <w:rsid w:val="00DB6474"/>
    <w:pPr>
      <w:ind w:left="566" w:hanging="283"/>
      <w:contextualSpacing/>
    </w:pPr>
  </w:style>
  <w:style w:type="paragraph" w:styleId="List3">
    <w:name w:val="List 3"/>
    <w:basedOn w:val="Normal"/>
    <w:uiPriority w:val="99"/>
    <w:semiHidden/>
    <w:unhideWhenUsed/>
    <w:rsid w:val="00DB6474"/>
    <w:pPr>
      <w:ind w:left="849" w:hanging="283"/>
      <w:contextualSpacing/>
    </w:pPr>
  </w:style>
  <w:style w:type="paragraph" w:styleId="List4">
    <w:name w:val="List 4"/>
    <w:basedOn w:val="Normal"/>
    <w:uiPriority w:val="99"/>
    <w:semiHidden/>
    <w:unhideWhenUsed/>
    <w:rsid w:val="00DB6474"/>
    <w:pPr>
      <w:ind w:left="1132" w:hanging="283"/>
      <w:contextualSpacing/>
    </w:pPr>
  </w:style>
  <w:style w:type="paragraph" w:styleId="List5">
    <w:name w:val="List 5"/>
    <w:basedOn w:val="Normal"/>
    <w:uiPriority w:val="99"/>
    <w:semiHidden/>
    <w:unhideWhenUsed/>
    <w:rsid w:val="00DB6474"/>
    <w:pPr>
      <w:ind w:left="1415" w:hanging="283"/>
      <w:contextualSpacing/>
    </w:pPr>
  </w:style>
  <w:style w:type="paragraph" w:styleId="ListBullet">
    <w:name w:val="List Bullet"/>
    <w:basedOn w:val="Normal"/>
    <w:uiPriority w:val="99"/>
    <w:semiHidden/>
    <w:unhideWhenUsed/>
    <w:rsid w:val="00DB6474"/>
    <w:pPr>
      <w:numPr>
        <w:numId w:val="5"/>
      </w:numPr>
      <w:contextualSpacing/>
    </w:pPr>
  </w:style>
  <w:style w:type="paragraph" w:styleId="ListBullet2">
    <w:name w:val="List Bullet 2"/>
    <w:basedOn w:val="Normal"/>
    <w:uiPriority w:val="99"/>
    <w:semiHidden/>
    <w:unhideWhenUsed/>
    <w:rsid w:val="00DB6474"/>
    <w:pPr>
      <w:numPr>
        <w:numId w:val="6"/>
      </w:numPr>
      <w:contextualSpacing/>
    </w:pPr>
  </w:style>
  <w:style w:type="paragraph" w:styleId="ListBullet3">
    <w:name w:val="List Bullet 3"/>
    <w:basedOn w:val="Normal"/>
    <w:uiPriority w:val="99"/>
    <w:semiHidden/>
    <w:unhideWhenUsed/>
    <w:rsid w:val="00DB6474"/>
    <w:pPr>
      <w:numPr>
        <w:numId w:val="7"/>
      </w:numPr>
      <w:contextualSpacing/>
    </w:pPr>
  </w:style>
  <w:style w:type="paragraph" w:styleId="ListBullet4">
    <w:name w:val="List Bullet 4"/>
    <w:basedOn w:val="Normal"/>
    <w:uiPriority w:val="99"/>
    <w:semiHidden/>
    <w:unhideWhenUsed/>
    <w:rsid w:val="00DB6474"/>
    <w:pPr>
      <w:numPr>
        <w:numId w:val="8"/>
      </w:numPr>
      <w:contextualSpacing/>
    </w:pPr>
  </w:style>
  <w:style w:type="paragraph" w:styleId="ListBullet5">
    <w:name w:val="List Bullet 5"/>
    <w:basedOn w:val="Normal"/>
    <w:uiPriority w:val="99"/>
    <w:semiHidden/>
    <w:unhideWhenUsed/>
    <w:rsid w:val="00DB6474"/>
    <w:pPr>
      <w:numPr>
        <w:numId w:val="9"/>
      </w:numPr>
      <w:contextualSpacing/>
    </w:pPr>
  </w:style>
  <w:style w:type="paragraph" w:styleId="ListContinue">
    <w:name w:val="List Continue"/>
    <w:basedOn w:val="Normal"/>
    <w:uiPriority w:val="99"/>
    <w:semiHidden/>
    <w:unhideWhenUsed/>
    <w:rsid w:val="00DB6474"/>
    <w:pPr>
      <w:spacing w:after="120"/>
      <w:ind w:left="283"/>
      <w:contextualSpacing/>
    </w:pPr>
  </w:style>
  <w:style w:type="paragraph" w:styleId="ListContinue2">
    <w:name w:val="List Continue 2"/>
    <w:basedOn w:val="Normal"/>
    <w:uiPriority w:val="99"/>
    <w:semiHidden/>
    <w:unhideWhenUsed/>
    <w:rsid w:val="00DB6474"/>
    <w:pPr>
      <w:spacing w:after="120"/>
      <w:ind w:left="566"/>
      <w:contextualSpacing/>
    </w:pPr>
  </w:style>
  <w:style w:type="paragraph" w:styleId="ListContinue3">
    <w:name w:val="List Continue 3"/>
    <w:basedOn w:val="Normal"/>
    <w:uiPriority w:val="99"/>
    <w:semiHidden/>
    <w:unhideWhenUsed/>
    <w:rsid w:val="00DB6474"/>
    <w:pPr>
      <w:spacing w:after="120"/>
      <w:ind w:left="849"/>
      <w:contextualSpacing/>
    </w:pPr>
  </w:style>
  <w:style w:type="paragraph" w:styleId="ListContinue4">
    <w:name w:val="List Continue 4"/>
    <w:basedOn w:val="Normal"/>
    <w:uiPriority w:val="99"/>
    <w:semiHidden/>
    <w:unhideWhenUsed/>
    <w:rsid w:val="00DB6474"/>
    <w:pPr>
      <w:spacing w:after="120"/>
      <w:ind w:left="1132"/>
      <w:contextualSpacing/>
    </w:pPr>
  </w:style>
  <w:style w:type="paragraph" w:styleId="ListContinue5">
    <w:name w:val="List Continue 5"/>
    <w:basedOn w:val="Normal"/>
    <w:uiPriority w:val="99"/>
    <w:semiHidden/>
    <w:unhideWhenUsed/>
    <w:rsid w:val="00DB6474"/>
    <w:pPr>
      <w:spacing w:after="120"/>
      <w:ind w:left="1415"/>
      <w:contextualSpacing/>
    </w:pPr>
  </w:style>
  <w:style w:type="paragraph" w:styleId="ListNumber">
    <w:name w:val="List Number"/>
    <w:basedOn w:val="Normal"/>
    <w:uiPriority w:val="99"/>
    <w:semiHidden/>
    <w:unhideWhenUsed/>
    <w:rsid w:val="00DB6474"/>
    <w:pPr>
      <w:numPr>
        <w:numId w:val="10"/>
      </w:numPr>
      <w:contextualSpacing/>
    </w:pPr>
  </w:style>
  <w:style w:type="paragraph" w:styleId="ListNumber2">
    <w:name w:val="List Number 2"/>
    <w:basedOn w:val="Normal"/>
    <w:uiPriority w:val="99"/>
    <w:semiHidden/>
    <w:unhideWhenUsed/>
    <w:rsid w:val="00DB6474"/>
    <w:pPr>
      <w:numPr>
        <w:numId w:val="11"/>
      </w:numPr>
      <w:contextualSpacing/>
    </w:pPr>
  </w:style>
  <w:style w:type="paragraph" w:styleId="ListNumber3">
    <w:name w:val="List Number 3"/>
    <w:basedOn w:val="Normal"/>
    <w:uiPriority w:val="99"/>
    <w:semiHidden/>
    <w:unhideWhenUsed/>
    <w:rsid w:val="00DB6474"/>
    <w:pPr>
      <w:numPr>
        <w:numId w:val="12"/>
      </w:numPr>
      <w:contextualSpacing/>
    </w:pPr>
  </w:style>
  <w:style w:type="paragraph" w:styleId="ListNumber4">
    <w:name w:val="List Number 4"/>
    <w:basedOn w:val="Normal"/>
    <w:uiPriority w:val="99"/>
    <w:semiHidden/>
    <w:unhideWhenUsed/>
    <w:rsid w:val="00DB6474"/>
    <w:pPr>
      <w:numPr>
        <w:numId w:val="13"/>
      </w:numPr>
      <w:contextualSpacing/>
    </w:pPr>
  </w:style>
  <w:style w:type="paragraph" w:styleId="ListNumber5">
    <w:name w:val="List Number 5"/>
    <w:basedOn w:val="Normal"/>
    <w:uiPriority w:val="99"/>
    <w:semiHidden/>
    <w:unhideWhenUsed/>
    <w:rsid w:val="00DB6474"/>
    <w:pPr>
      <w:numPr>
        <w:numId w:val="14"/>
      </w:numPr>
      <w:contextualSpacing/>
    </w:pPr>
  </w:style>
  <w:style w:type="paragraph" w:styleId="MacroText">
    <w:name w:val="macro"/>
    <w:link w:val="MacroTextChar"/>
    <w:uiPriority w:val="99"/>
    <w:semiHidden/>
    <w:unhideWhenUsed/>
    <w:rsid w:val="00DB6474"/>
    <w:pPr>
      <w:tabs>
        <w:tab w:val="left" w:pos="480"/>
        <w:tab w:val="left" w:pos="960"/>
        <w:tab w:val="left" w:pos="1440"/>
        <w:tab w:val="left" w:pos="1920"/>
        <w:tab w:val="left" w:pos="2400"/>
        <w:tab w:val="left" w:pos="2880"/>
        <w:tab w:val="left" w:pos="3360"/>
        <w:tab w:val="left" w:pos="3840"/>
        <w:tab w:val="left" w:pos="4320"/>
      </w:tabs>
    </w:pPr>
    <w:rPr>
      <w:rFonts w:ascii="Consolas" w:eastAsia="Futura PT Book" w:hAnsi="Consolas" w:cs="Futura PT Book"/>
      <w:sz w:val="20"/>
      <w:szCs w:val="20"/>
      <w:lang w:bidi="en-US"/>
    </w:rPr>
  </w:style>
  <w:style w:type="character" w:customStyle="1" w:styleId="MacroTextChar">
    <w:name w:val="Macro Text Char"/>
    <w:basedOn w:val="DefaultParagraphFont"/>
    <w:link w:val="MacroText"/>
    <w:uiPriority w:val="99"/>
    <w:semiHidden/>
    <w:rsid w:val="00DB6474"/>
    <w:rPr>
      <w:rFonts w:ascii="Consolas" w:eastAsia="Futura PT Book" w:hAnsi="Consolas" w:cs="Futura PT Book"/>
      <w:sz w:val="20"/>
      <w:szCs w:val="20"/>
      <w:lang w:bidi="en-US"/>
    </w:rPr>
  </w:style>
  <w:style w:type="paragraph" w:styleId="MessageHeader">
    <w:name w:val="Message Header"/>
    <w:basedOn w:val="Normal"/>
    <w:link w:val="MessageHeaderChar"/>
    <w:uiPriority w:val="99"/>
    <w:semiHidden/>
    <w:unhideWhenUsed/>
    <w:rsid w:val="00DB6474"/>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B6474"/>
    <w:rPr>
      <w:rFonts w:asciiTheme="majorHAnsi" w:eastAsiaTheme="majorEastAsia" w:hAnsiTheme="majorHAnsi" w:cstheme="majorBidi"/>
      <w:sz w:val="24"/>
      <w:szCs w:val="24"/>
      <w:shd w:val="pct20" w:color="auto" w:fill="auto"/>
      <w:lang w:bidi="en-US"/>
    </w:rPr>
  </w:style>
  <w:style w:type="paragraph" w:styleId="NormalWeb">
    <w:name w:val="Normal (Web)"/>
    <w:basedOn w:val="Normal"/>
    <w:uiPriority w:val="99"/>
    <w:semiHidden/>
    <w:unhideWhenUsed/>
    <w:rsid w:val="00DB6474"/>
    <w:rPr>
      <w:rFonts w:ascii="Times New Roman" w:hAnsi="Times New Roman" w:cs="Times New Roman"/>
      <w:sz w:val="24"/>
      <w:szCs w:val="24"/>
    </w:rPr>
  </w:style>
  <w:style w:type="paragraph" w:styleId="NormalIndent">
    <w:name w:val="Normal Indent"/>
    <w:basedOn w:val="Normal"/>
    <w:uiPriority w:val="99"/>
    <w:semiHidden/>
    <w:unhideWhenUsed/>
    <w:rsid w:val="00DB6474"/>
    <w:pPr>
      <w:ind w:left="720"/>
    </w:pPr>
  </w:style>
  <w:style w:type="paragraph" w:styleId="NoteHeading">
    <w:name w:val="Note Heading"/>
    <w:basedOn w:val="Normal"/>
    <w:next w:val="Normal"/>
    <w:link w:val="NoteHeadingChar"/>
    <w:uiPriority w:val="99"/>
    <w:semiHidden/>
    <w:unhideWhenUsed/>
    <w:rsid w:val="00DB6474"/>
  </w:style>
  <w:style w:type="character" w:customStyle="1" w:styleId="NoteHeadingChar">
    <w:name w:val="Note Heading Char"/>
    <w:basedOn w:val="DefaultParagraphFont"/>
    <w:link w:val="NoteHeading"/>
    <w:uiPriority w:val="99"/>
    <w:semiHidden/>
    <w:rsid w:val="00DB6474"/>
    <w:rPr>
      <w:rFonts w:ascii="Arial" w:eastAsia="Futura PT Book" w:hAnsi="Arial" w:cs="Futura PT Book"/>
      <w:lang w:bidi="en-US"/>
    </w:rPr>
  </w:style>
  <w:style w:type="paragraph" w:styleId="PlainText">
    <w:name w:val="Plain Text"/>
    <w:basedOn w:val="Normal"/>
    <w:link w:val="PlainTextChar"/>
    <w:uiPriority w:val="99"/>
    <w:semiHidden/>
    <w:unhideWhenUsed/>
    <w:rsid w:val="00DB6474"/>
    <w:rPr>
      <w:rFonts w:ascii="Consolas" w:hAnsi="Consolas"/>
      <w:sz w:val="21"/>
      <w:szCs w:val="21"/>
    </w:rPr>
  </w:style>
  <w:style w:type="character" w:customStyle="1" w:styleId="PlainTextChar">
    <w:name w:val="Plain Text Char"/>
    <w:basedOn w:val="DefaultParagraphFont"/>
    <w:link w:val="PlainText"/>
    <w:uiPriority w:val="99"/>
    <w:semiHidden/>
    <w:rsid w:val="00DB6474"/>
    <w:rPr>
      <w:rFonts w:ascii="Consolas" w:eastAsia="Futura PT Book" w:hAnsi="Consolas" w:cs="Futura PT Book"/>
      <w:sz w:val="21"/>
      <w:szCs w:val="21"/>
      <w:lang w:bidi="en-US"/>
    </w:rPr>
  </w:style>
  <w:style w:type="paragraph" w:styleId="Quote">
    <w:name w:val="Quote"/>
    <w:basedOn w:val="Normal"/>
    <w:next w:val="Normal"/>
    <w:link w:val="QuoteChar"/>
    <w:uiPriority w:val="29"/>
    <w:rsid w:val="00DB6474"/>
    <w:pPr>
      <w:spacing w:before="200" w:after="160"/>
      <w:ind w:left="864" w:right="864"/>
      <w:jc w:val="center"/>
    </w:pPr>
    <w:rPr>
      <w:i/>
      <w:iCs/>
      <w:color w:val="00AE7E" w:themeColor="text1" w:themeTint="BF"/>
    </w:rPr>
  </w:style>
  <w:style w:type="character" w:customStyle="1" w:styleId="QuoteChar">
    <w:name w:val="Quote Char"/>
    <w:basedOn w:val="DefaultParagraphFont"/>
    <w:link w:val="Quote"/>
    <w:uiPriority w:val="29"/>
    <w:rsid w:val="00DB6474"/>
    <w:rPr>
      <w:rFonts w:ascii="Arial" w:eastAsia="Futura PT Book" w:hAnsi="Arial" w:cs="Futura PT Book"/>
      <w:i/>
      <w:iCs/>
      <w:color w:val="00AE7E" w:themeColor="text1" w:themeTint="BF"/>
      <w:lang w:bidi="en-US"/>
    </w:rPr>
  </w:style>
  <w:style w:type="paragraph" w:styleId="Salutation">
    <w:name w:val="Salutation"/>
    <w:basedOn w:val="Normal"/>
    <w:next w:val="Normal"/>
    <w:link w:val="SalutationChar"/>
    <w:uiPriority w:val="99"/>
    <w:semiHidden/>
    <w:unhideWhenUsed/>
    <w:rsid w:val="00DB6474"/>
  </w:style>
  <w:style w:type="character" w:customStyle="1" w:styleId="SalutationChar">
    <w:name w:val="Salutation Char"/>
    <w:basedOn w:val="DefaultParagraphFont"/>
    <w:link w:val="Salutation"/>
    <w:uiPriority w:val="99"/>
    <w:semiHidden/>
    <w:rsid w:val="00DB6474"/>
    <w:rPr>
      <w:rFonts w:ascii="Arial" w:eastAsia="Futura PT Book" w:hAnsi="Arial" w:cs="Futura PT Book"/>
      <w:lang w:bidi="en-US"/>
    </w:rPr>
  </w:style>
  <w:style w:type="paragraph" w:styleId="Signature">
    <w:name w:val="Signature"/>
    <w:basedOn w:val="Normal"/>
    <w:link w:val="SignatureChar"/>
    <w:uiPriority w:val="99"/>
    <w:semiHidden/>
    <w:unhideWhenUsed/>
    <w:rsid w:val="00DB6474"/>
    <w:pPr>
      <w:ind w:left="4252"/>
    </w:pPr>
  </w:style>
  <w:style w:type="character" w:customStyle="1" w:styleId="SignatureChar">
    <w:name w:val="Signature Char"/>
    <w:basedOn w:val="DefaultParagraphFont"/>
    <w:link w:val="Signature"/>
    <w:uiPriority w:val="99"/>
    <w:semiHidden/>
    <w:rsid w:val="00DB6474"/>
    <w:rPr>
      <w:rFonts w:ascii="Arial" w:eastAsia="Futura PT Book" w:hAnsi="Arial" w:cs="Futura PT Book"/>
      <w:lang w:bidi="en-US"/>
    </w:rPr>
  </w:style>
  <w:style w:type="paragraph" w:styleId="Subtitle">
    <w:name w:val="Subtitle"/>
    <w:basedOn w:val="Normal"/>
    <w:next w:val="Normal"/>
    <w:link w:val="SubtitleChar"/>
    <w:uiPriority w:val="11"/>
    <w:rsid w:val="00DB6474"/>
    <w:pPr>
      <w:numPr>
        <w:ilvl w:val="1"/>
      </w:numPr>
      <w:spacing w:after="160"/>
    </w:pPr>
    <w:rPr>
      <w:rFonts w:asciiTheme="minorHAnsi" w:eastAsiaTheme="minorEastAsia" w:hAnsiTheme="minorHAnsi" w:cstheme="minorBidi"/>
      <w:color w:val="00DC9F" w:themeColor="text1" w:themeTint="A5"/>
      <w:spacing w:val="15"/>
    </w:rPr>
  </w:style>
  <w:style w:type="character" w:customStyle="1" w:styleId="SubtitleChar">
    <w:name w:val="Subtitle Char"/>
    <w:basedOn w:val="DefaultParagraphFont"/>
    <w:link w:val="Subtitle"/>
    <w:uiPriority w:val="11"/>
    <w:rsid w:val="00DB6474"/>
    <w:rPr>
      <w:rFonts w:eastAsiaTheme="minorEastAsia"/>
      <w:color w:val="00DC9F" w:themeColor="text1" w:themeTint="A5"/>
      <w:spacing w:val="15"/>
      <w:lang w:bidi="en-US"/>
    </w:rPr>
  </w:style>
  <w:style w:type="paragraph" w:styleId="TableofAuthorities">
    <w:name w:val="table of authorities"/>
    <w:basedOn w:val="Normal"/>
    <w:next w:val="Normal"/>
    <w:uiPriority w:val="99"/>
    <w:semiHidden/>
    <w:unhideWhenUsed/>
    <w:rsid w:val="00DB6474"/>
    <w:pPr>
      <w:ind w:left="220" w:hanging="220"/>
    </w:pPr>
  </w:style>
  <w:style w:type="paragraph" w:styleId="TableofFigures">
    <w:name w:val="table of figures"/>
    <w:basedOn w:val="Normal"/>
    <w:next w:val="Normal"/>
    <w:uiPriority w:val="99"/>
    <w:semiHidden/>
    <w:unhideWhenUsed/>
    <w:rsid w:val="00DB6474"/>
  </w:style>
  <w:style w:type="paragraph" w:styleId="Title">
    <w:name w:val="Title"/>
    <w:basedOn w:val="Normal"/>
    <w:next w:val="Normal"/>
    <w:link w:val="TitleChar"/>
    <w:uiPriority w:val="10"/>
    <w:rsid w:val="00DB647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6474"/>
    <w:rPr>
      <w:rFonts w:asciiTheme="majorHAnsi" w:eastAsiaTheme="majorEastAsia" w:hAnsiTheme="majorHAnsi" w:cstheme="majorBidi"/>
      <w:spacing w:val="-10"/>
      <w:kern w:val="28"/>
      <w:sz w:val="56"/>
      <w:szCs w:val="56"/>
      <w:lang w:bidi="en-US"/>
    </w:rPr>
  </w:style>
  <w:style w:type="paragraph" w:styleId="TOAHeading">
    <w:name w:val="toa heading"/>
    <w:basedOn w:val="Normal"/>
    <w:next w:val="Normal"/>
    <w:uiPriority w:val="99"/>
    <w:semiHidden/>
    <w:unhideWhenUsed/>
    <w:rsid w:val="00DB6474"/>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DB6474"/>
    <w:pPr>
      <w:spacing w:after="100"/>
      <w:ind w:left="660"/>
    </w:pPr>
  </w:style>
  <w:style w:type="paragraph" w:styleId="TOC5">
    <w:name w:val="toc 5"/>
    <w:basedOn w:val="Normal"/>
    <w:next w:val="Normal"/>
    <w:autoRedefine/>
    <w:uiPriority w:val="39"/>
    <w:unhideWhenUsed/>
    <w:rsid w:val="00DB6474"/>
    <w:pPr>
      <w:spacing w:after="100"/>
      <w:ind w:left="880"/>
    </w:pPr>
  </w:style>
  <w:style w:type="paragraph" w:styleId="TOC6">
    <w:name w:val="toc 6"/>
    <w:basedOn w:val="Normal"/>
    <w:next w:val="Normal"/>
    <w:autoRedefine/>
    <w:uiPriority w:val="39"/>
    <w:semiHidden/>
    <w:unhideWhenUsed/>
    <w:rsid w:val="00DB6474"/>
    <w:pPr>
      <w:spacing w:after="100"/>
      <w:ind w:left="1100"/>
    </w:pPr>
  </w:style>
  <w:style w:type="paragraph" w:styleId="TOC7">
    <w:name w:val="toc 7"/>
    <w:basedOn w:val="Normal"/>
    <w:next w:val="Normal"/>
    <w:autoRedefine/>
    <w:uiPriority w:val="39"/>
    <w:semiHidden/>
    <w:unhideWhenUsed/>
    <w:rsid w:val="00DB6474"/>
    <w:pPr>
      <w:spacing w:after="100"/>
      <w:ind w:left="1320"/>
    </w:pPr>
  </w:style>
  <w:style w:type="paragraph" w:styleId="TOC8">
    <w:name w:val="toc 8"/>
    <w:basedOn w:val="Normal"/>
    <w:next w:val="Normal"/>
    <w:autoRedefine/>
    <w:uiPriority w:val="39"/>
    <w:semiHidden/>
    <w:unhideWhenUsed/>
    <w:rsid w:val="00DB6474"/>
    <w:pPr>
      <w:spacing w:after="100"/>
      <w:ind w:left="1540"/>
    </w:pPr>
  </w:style>
  <w:style w:type="paragraph" w:styleId="TOC9">
    <w:name w:val="toc 9"/>
    <w:basedOn w:val="Normal"/>
    <w:next w:val="Normal"/>
    <w:autoRedefine/>
    <w:uiPriority w:val="39"/>
    <w:semiHidden/>
    <w:unhideWhenUsed/>
    <w:rsid w:val="00DB6474"/>
    <w:pPr>
      <w:spacing w:after="100"/>
      <w:ind w:left="1760"/>
    </w:pPr>
  </w:style>
  <w:style w:type="paragraph" w:styleId="TOCHeading">
    <w:name w:val="TOC Heading"/>
    <w:basedOn w:val="Heading1"/>
    <w:next w:val="Normal"/>
    <w:uiPriority w:val="39"/>
    <w:semiHidden/>
    <w:unhideWhenUsed/>
    <w:qFormat/>
    <w:rsid w:val="00DB6474"/>
    <w:pPr>
      <w:keepNext/>
      <w:keepLines/>
      <w:spacing w:before="240" w:after="0"/>
      <w:outlineLvl w:val="9"/>
    </w:pPr>
    <w:rPr>
      <w:rFonts w:asciiTheme="majorHAnsi" w:eastAsiaTheme="majorEastAsia" w:hAnsiTheme="majorHAnsi" w:cstheme="majorBidi"/>
      <w:b w:val="0"/>
      <w:color w:val="5C9935" w:themeColor="accent1" w:themeShade="BF"/>
      <w:sz w:val="32"/>
      <w:szCs w:val="32"/>
    </w:rPr>
  </w:style>
  <w:style w:type="table" w:customStyle="1" w:styleId="IHPA">
    <w:name w:val="IHPA"/>
    <w:basedOn w:val="TableNormal"/>
    <w:uiPriority w:val="99"/>
    <w:rsid w:val="00CF1B45"/>
    <w:pPr>
      <w:widowControl/>
      <w:autoSpaceDE/>
      <w:autoSpaceDN/>
    </w:pPr>
    <w:rPr>
      <w:rFonts w:ascii="Arial" w:hAnsi="Arial"/>
      <w:sz w:val="18"/>
    </w:rPr>
    <w:tblPr/>
    <w:tblStylePr w:type="firstRow">
      <w:pPr>
        <w:jc w:val="left"/>
      </w:pPr>
      <w:rPr>
        <w:rFonts w:ascii="Arial" w:hAnsi="Arial"/>
        <w:sz w:val="18"/>
      </w:rPr>
      <w:tblPr/>
      <w:tcPr>
        <w:shd w:val="clear" w:color="auto" w:fill="003E2D" w:themeFill="text1"/>
        <w:vAlign w:val="center"/>
      </w:tcPr>
    </w:tblStylePr>
    <w:tblStylePr w:type="lastRow">
      <w:rPr>
        <w:rFonts w:ascii="Arial" w:hAnsi="Arial"/>
        <w:sz w:val="18"/>
      </w:rPr>
      <w:tblPr/>
      <w:tcPr>
        <w:shd w:val="clear" w:color="auto" w:fill="FFFFFF" w:themeFill="background1"/>
      </w:tcPr>
    </w:tblStylePr>
  </w:style>
  <w:style w:type="character" w:styleId="CommentReference">
    <w:name w:val="annotation reference"/>
    <w:basedOn w:val="DefaultParagraphFont"/>
    <w:uiPriority w:val="99"/>
    <w:semiHidden/>
    <w:unhideWhenUsed/>
    <w:rsid w:val="005813D3"/>
    <w:rPr>
      <w:sz w:val="16"/>
      <w:szCs w:val="16"/>
    </w:rPr>
  </w:style>
  <w:style w:type="paragraph" w:customStyle="1" w:styleId="SectionNumber">
    <w:name w:val="Section Number"/>
    <w:link w:val="SectionNumberChar"/>
    <w:qFormat/>
    <w:rsid w:val="008F1F57"/>
    <w:pPr>
      <w:spacing w:after="3600"/>
    </w:pPr>
    <w:rPr>
      <w:rFonts w:ascii="Arial" w:eastAsia="Futura PT Heavy" w:hAnsi="Arial" w:cs="Arial"/>
      <w:b/>
      <w:noProof/>
      <w:color w:val="FFFFFF" w:themeColor="background1"/>
      <w:sz w:val="56"/>
      <w:szCs w:val="70"/>
      <w:lang w:val="en-AU" w:eastAsia="en-AU" w:bidi="en-US"/>
    </w:rPr>
  </w:style>
  <w:style w:type="paragraph" w:customStyle="1" w:styleId="Sectionheader">
    <w:name w:val="Section header"/>
    <w:basedOn w:val="Heading1"/>
    <w:link w:val="SectionheaderChar"/>
    <w:qFormat/>
    <w:rsid w:val="006765B9"/>
    <w:rPr>
      <w:rFonts w:cs="Arial"/>
    </w:rPr>
  </w:style>
  <w:style w:type="character" w:customStyle="1" w:styleId="Heading1Char">
    <w:name w:val="Heading 1 Char"/>
    <w:basedOn w:val="DefaultParagraphFont"/>
    <w:link w:val="Heading1"/>
    <w:uiPriority w:val="9"/>
    <w:rsid w:val="006765B9"/>
    <w:rPr>
      <w:rFonts w:ascii="Arial" w:eastAsia="Futura PT Heavy" w:hAnsi="Arial" w:cs="Futura PT Heavy"/>
      <w:b/>
      <w:color w:val="003E2D"/>
      <w:sz w:val="56"/>
      <w:szCs w:val="70"/>
      <w:lang w:val="en-AU" w:bidi="en-US"/>
    </w:rPr>
  </w:style>
  <w:style w:type="character" w:customStyle="1" w:styleId="SectionNumberChar">
    <w:name w:val="Section Number Char"/>
    <w:basedOn w:val="Heading1Char"/>
    <w:link w:val="SectionNumber"/>
    <w:rsid w:val="008F1F57"/>
    <w:rPr>
      <w:rFonts w:ascii="Arial" w:eastAsia="Futura PT Heavy" w:hAnsi="Arial" w:cs="Arial"/>
      <w:b/>
      <w:noProof/>
      <w:color w:val="FFFFFF" w:themeColor="background1"/>
      <w:sz w:val="56"/>
      <w:szCs w:val="70"/>
      <w:lang w:val="en-AU" w:eastAsia="en-AU" w:bidi="en-US"/>
    </w:rPr>
  </w:style>
  <w:style w:type="character" w:customStyle="1" w:styleId="SectionheaderChar">
    <w:name w:val="Section header Char"/>
    <w:basedOn w:val="Heading1Char"/>
    <w:link w:val="Sectionheader"/>
    <w:rsid w:val="006765B9"/>
    <w:rPr>
      <w:rFonts w:ascii="Arial" w:eastAsia="Futura PT Heavy" w:hAnsi="Arial" w:cs="Arial"/>
      <w:b/>
      <w:color w:val="003E2D"/>
      <w:sz w:val="56"/>
      <w:szCs w:val="70"/>
      <w:lang w:val="en-AU" w:bidi="en-US"/>
    </w:rPr>
  </w:style>
  <w:style w:type="paragraph" w:customStyle="1" w:styleId="Listparagraphwhite">
    <w:name w:val="List paragraph white"/>
    <w:basedOn w:val="ListParagraph"/>
    <w:link w:val="ListparagraphwhiteChar"/>
    <w:qFormat/>
    <w:rsid w:val="00EB7EB7"/>
    <w:pPr>
      <w:numPr>
        <w:numId w:val="15"/>
      </w:numPr>
    </w:pPr>
    <w:rPr>
      <w:rFonts w:cs="Arial"/>
      <w:color w:val="FFFFFF" w:themeColor="background1"/>
    </w:rPr>
  </w:style>
  <w:style w:type="character" w:customStyle="1" w:styleId="ListparagraphwhiteChar">
    <w:name w:val="List paragraph white Char"/>
    <w:basedOn w:val="ListParagraphChar"/>
    <w:link w:val="Listparagraphwhite"/>
    <w:rsid w:val="00EB7EB7"/>
    <w:rPr>
      <w:rFonts w:ascii="Arial" w:eastAsia="Futura PT Book" w:hAnsi="Arial" w:cs="Arial"/>
      <w:color w:val="FFFFFF" w:themeColor="background1"/>
      <w:sz w:val="19"/>
      <w:lang w:val="en-AU" w:bidi="en-US"/>
    </w:rPr>
  </w:style>
  <w:style w:type="paragraph" w:customStyle="1" w:styleId="CoverTitle">
    <w:name w:val="Cover Title"/>
    <w:link w:val="CoverTitleChar"/>
    <w:qFormat/>
    <w:rsid w:val="008659C2"/>
    <w:rPr>
      <w:rFonts w:ascii="Arial" w:eastAsia="Futura PT Heavy" w:hAnsi="Arial" w:cs="Arial"/>
      <w:b/>
      <w:bCs/>
      <w:color w:val="FFFFFF" w:themeColor="background1"/>
      <w:sz w:val="56"/>
      <w:szCs w:val="70"/>
      <w:lang w:val="en-AU" w:bidi="en-US"/>
    </w:rPr>
  </w:style>
  <w:style w:type="paragraph" w:customStyle="1" w:styleId="CoverYear">
    <w:name w:val="Cover Year"/>
    <w:link w:val="CoverYearChar"/>
    <w:qFormat/>
    <w:rsid w:val="008659C2"/>
    <w:pPr>
      <w:spacing w:after="480"/>
    </w:pPr>
    <w:rPr>
      <w:rFonts w:ascii="Arial" w:eastAsia="Futura PT Heavy" w:hAnsi="Arial" w:cs="Arial"/>
      <w:bCs/>
      <w:color w:val="FFFFFF" w:themeColor="background1"/>
      <w:sz w:val="56"/>
      <w:szCs w:val="70"/>
      <w:lang w:val="en-AU" w:bidi="en-US"/>
    </w:rPr>
  </w:style>
  <w:style w:type="character" w:customStyle="1" w:styleId="CoverTitleChar">
    <w:name w:val="Cover Title Char"/>
    <w:basedOn w:val="Heading1Char"/>
    <w:link w:val="CoverTitle"/>
    <w:rsid w:val="008659C2"/>
    <w:rPr>
      <w:rFonts w:ascii="Arial" w:eastAsia="Futura PT Heavy" w:hAnsi="Arial" w:cs="Arial"/>
      <w:b/>
      <w:bCs/>
      <w:color w:val="FFFFFF" w:themeColor="background1"/>
      <w:sz w:val="56"/>
      <w:szCs w:val="70"/>
      <w:lang w:val="en-AU" w:bidi="en-US"/>
    </w:rPr>
  </w:style>
  <w:style w:type="character" w:customStyle="1" w:styleId="CoverYearChar">
    <w:name w:val="Cover Year Char"/>
    <w:basedOn w:val="Heading1Char"/>
    <w:link w:val="CoverYear"/>
    <w:rsid w:val="008659C2"/>
    <w:rPr>
      <w:rFonts w:ascii="Arial" w:eastAsia="Futura PT Heavy" w:hAnsi="Arial" w:cs="Arial"/>
      <w:b w:val="0"/>
      <w:bCs/>
      <w:color w:val="FFFFFF" w:themeColor="background1"/>
      <w:sz w:val="56"/>
      <w:szCs w:val="70"/>
      <w:lang w:val="en-AU" w:bidi="en-US"/>
    </w:rPr>
  </w:style>
  <w:style w:type="table" w:styleId="TableGridLight">
    <w:name w:val="Grid Table Light"/>
    <w:basedOn w:val="TableNormal"/>
    <w:uiPriority w:val="40"/>
    <w:rsid w:val="00395A1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421B3D"/>
    <w:pPr>
      <w:widowControl/>
      <w:autoSpaceDE/>
      <w:autoSpaceDN/>
    </w:pPr>
    <w:rPr>
      <w:rFonts w:ascii="Arial" w:eastAsia="Futura PT Book" w:hAnsi="Arial" w:cs="Futura PT Book"/>
      <w:lang w:val="en-AU" w:bidi="en-US"/>
    </w:rPr>
  </w:style>
  <w:style w:type="character" w:styleId="IntenseReference">
    <w:name w:val="Intense Reference"/>
    <w:basedOn w:val="DefaultParagraphFont"/>
    <w:uiPriority w:val="32"/>
    <w:qFormat/>
    <w:rsid w:val="000E6ED1"/>
    <w:rPr>
      <w:b/>
      <w:bCs/>
      <w:i/>
      <w:smallCaps/>
      <w:color w:val="008F54" w:themeColor="accent2"/>
      <w:spacing w:val="5"/>
      <w:u w:val="none"/>
    </w:rPr>
  </w:style>
  <w:style w:type="character" w:styleId="UnresolvedMention">
    <w:name w:val="Unresolved Mention"/>
    <w:basedOn w:val="DefaultParagraphFont"/>
    <w:uiPriority w:val="99"/>
    <w:semiHidden/>
    <w:unhideWhenUsed/>
    <w:rsid w:val="00545A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874289">
      <w:bodyDiv w:val="1"/>
      <w:marLeft w:val="0"/>
      <w:marRight w:val="0"/>
      <w:marTop w:val="0"/>
      <w:marBottom w:val="0"/>
      <w:divBdr>
        <w:top w:val="none" w:sz="0" w:space="0" w:color="auto"/>
        <w:left w:val="none" w:sz="0" w:space="0" w:color="auto"/>
        <w:bottom w:val="none" w:sz="0" w:space="0" w:color="auto"/>
        <w:right w:val="none" w:sz="0" w:space="0" w:color="auto"/>
      </w:divBdr>
    </w:div>
    <w:div w:id="732394510">
      <w:bodyDiv w:val="1"/>
      <w:marLeft w:val="0"/>
      <w:marRight w:val="0"/>
      <w:marTop w:val="0"/>
      <w:marBottom w:val="0"/>
      <w:divBdr>
        <w:top w:val="none" w:sz="0" w:space="0" w:color="auto"/>
        <w:left w:val="none" w:sz="0" w:space="0" w:color="auto"/>
        <w:bottom w:val="none" w:sz="0" w:space="0" w:color="auto"/>
        <w:right w:val="none" w:sz="0" w:space="0" w:color="auto"/>
      </w:divBdr>
    </w:div>
    <w:div w:id="825557637">
      <w:bodyDiv w:val="1"/>
      <w:marLeft w:val="0"/>
      <w:marRight w:val="0"/>
      <w:marTop w:val="0"/>
      <w:marBottom w:val="0"/>
      <w:divBdr>
        <w:top w:val="none" w:sz="0" w:space="0" w:color="auto"/>
        <w:left w:val="none" w:sz="0" w:space="0" w:color="auto"/>
        <w:bottom w:val="none" w:sz="0" w:space="0" w:color="auto"/>
        <w:right w:val="none" w:sz="0" w:space="0" w:color="auto"/>
      </w:divBdr>
    </w:div>
    <w:div w:id="865676993">
      <w:bodyDiv w:val="1"/>
      <w:marLeft w:val="0"/>
      <w:marRight w:val="0"/>
      <w:marTop w:val="0"/>
      <w:marBottom w:val="0"/>
      <w:divBdr>
        <w:top w:val="none" w:sz="0" w:space="0" w:color="auto"/>
        <w:left w:val="none" w:sz="0" w:space="0" w:color="auto"/>
        <w:bottom w:val="none" w:sz="0" w:space="0" w:color="auto"/>
        <w:right w:val="none" w:sz="0" w:space="0" w:color="auto"/>
      </w:divBdr>
    </w:div>
    <w:div w:id="960379069">
      <w:bodyDiv w:val="1"/>
      <w:marLeft w:val="0"/>
      <w:marRight w:val="0"/>
      <w:marTop w:val="0"/>
      <w:marBottom w:val="0"/>
      <w:divBdr>
        <w:top w:val="none" w:sz="0" w:space="0" w:color="auto"/>
        <w:left w:val="none" w:sz="0" w:space="0" w:color="auto"/>
        <w:bottom w:val="none" w:sz="0" w:space="0" w:color="auto"/>
        <w:right w:val="none" w:sz="0" w:space="0" w:color="auto"/>
      </w:divBdr>
    </w:div>
    <w:div w:id="977806449">
      <w:bodyDiv w:val="1"/>
      <w:marLeft w:val="0"/>
      <w:marRight w:val="0"/>
      <w:marTop w:val="0"/>
      <w:marBottom w:val="0"/>
      <w:divBdr>
        <w:top w:val="none" w:sz="0" w:space="0" w:color="auto"/>
        <w:left w:val="none" w:sz="0" w:space="0" w:color="auto"/>
        <w:bottom w:val="none" w:sz="0" w:space="0" w:color="auto"/>
        <w:right w:val="none" w:sz="0" w:space="0" w:color="auto"/>
      </w:divBdr>
    </w:div>
    <w:div w:id="1008605181">
      <w:bodyDiv w:val="1"/>
      <w:marLeft w:val="0"/>
      <w:marRight w:val="0"/>
      <w:marTop w:val="0"/>
      <w:marBottom w:val="0"/>
      <w:divBdr>
        <w:top w:val="none" w:sz="0" w:space="0" w:color="auto"/>
        <w:left w:val="none" w:sz="0" w:space="0" w:color="auto"/>
        <w:bottom w:val="none" w:sz="0" w:space="0" w:color="auto"/>
        <w:right w:val="none" w:sz="0" w:space="0" w:color="auto"/>
      </w:divBdr>
    </w:div>
    <w:div w:id="1127622530">
      <w:bodyDiv w:val="1"/>
      <w:marLeft w:val="0"/>
      <w:marRight w:val="0"/>
      <w:marTop w:val="0"/>
      <w:marBottom w:val="0"/>
      <w:divBdr>
        <w:top w:val="none" w:sz="0" w:space="0" w:color="auto"/>
        <w:left w:val="none" w:sz="0" w:space="0" w:color="auto"/>
        <w:bottom w:val="none" w:sz="0" w:space="0" w:color="auto"/>
        <w:right w:val="none" w:sz="0" w:space="0" w:color="auto"/>
      </w:divBdr>
    </w:div>
    <w:div w:id="1209488621">
      <w:bodyDiv w:val="1"/>
      <w:marLeft w:val="0"/>
      <w:marRight w:val="0"/>
      <w:marTop w:val="0"/>
      <w:marBottom w:val="0"/>
      <w:divBdr>
        <w:top w:val="none" w:sz="0" w:space="0" w:color="auto"/>
        <w:left w:val="none" w:sz="0" w:space="0" w:color="auto"/>
        <w:bottom w:val="none" w:sz="0" w:space="0" w:color="auto"/>
        <w:right w:val="none" w:sz="0" w:space="0" w:color="auto"/>
      </w:divBdr>
    </w:div>
    <w:div w:id="1242712063">
      <w:bodyDiv w:val="1"/>
      <w:marLeft w:val="0"/>
      <w:marRight w:val="0"/>
      <w:marTop w:val="0"/>
      <w:marBottom w:val="0"/>
      <w:divBdr>
        <w:top w:val="none" w:sz="0" w:space="0" w:color="auto"/>
        <w:left w:val="none" w:sz="0" w:space="0" w:color="auto"/>
        <w:bottom w:val="none" w:sz="0" w:space="0" w:color="auto"/>
        <w:right w:val="none" w:sz="0" w:space="0" w:color="auto"/>
      </w:divBdr>
    </w:div>
    <w:div w:id="1392073695">
      <w:bodyDiv w:val="1"/>
      <w:marLeft w:val="0"/>
      <w:marRight w:val="0"/>
      <w:marTop w:val="0"/>
      <w:marBottom w:val="0"/>
      <w:divBdr>
        <w:top w:val="none" w:sz="0" w:space="0" w:color="auto"/>
        <w:left w:val="none" w:sz="0" w:space="0" w:color="auto"/>
        <w:bottom w:val="none" w:sz="0" w:space="0" w:color="auto"/>
        <w:right w:val="none" w:sz="0" w:space="0" w:color="auto"/>
      </w:divBdr>
    </w:div>
    <w:div w:id="1407805712">
      <w:bodyDiv w:val="1"/>
      <w:marLeft w:val="0"/>
      <w:marRight w:val="0"/>
      <w:marTop w:val="0"/>
      <w:marBottom w:val="0"/>
      <w:divBdr>
        <w:top w:val="none" w:sz="0" w:space="0" w:color="auto"/>
        <w:left w:val="none" w:sz="0" w:space="0" w:color="auto"/>
        <w:bottom w:val="none" w:sz="0" w:space="0" w:color="auto"/>
        <w:right w:val="none" w:sz="0" w:space="0" w:color="auto"/>
      </w:divBdr>
    </w:div>
    <w:div w:id="1751851173">
      <w:bodyDiv w:val="1"/>
      <w:marLeft w:val="0"/>
      <w:marRight w:val="0"/>
      <w:marTop w:val="0"/>
      <w:marBottom w:val="0"/>
      <w:divBdr>
        <w:top w:val="none" w:sz="0" w:space="0" w:color="auto"/>
        <w:left w:val="none" w:sz="0" w:space="0" w:color="auto"/>
        <w:bottom w:val="none" w:sz="0" w:space="0" w:color="auto"/>
        <w:right w:val="none" w:sz="0" w:space="0" w:color="auto"/>
      </w:divBdr>
    </w:div>
    <w:div w:id="2033799860">
      <w:bodyDiv w:val="1"/>
      <w:marLeft w:val="0"/>
      <w:marRight w:val="0"/>
      <w:marTop w:val="0"/>
      <w:marBottom w:val="0"/>
      <w:divBdr>
        <w:top w:val="none" w:sz="0" w:space="0" w:color="auto"/>
        <w:left w:val="none" w:sz="0" w:space="0" w:color="auto"/>
        <w:bottom w:val="none" w:sz="0" w:space="0" w:color="auto"/>
        <w:right w:val="none" w:sz="0" w:space="0" w:color="auto"/>
      </w:divBdr>
    </w:div>
    <w:div w:id="2124491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yperlink" Target="https://agedcare.royalcommission.gov.au/" TargetMode="External"/><Relationship Id="rId34" Type="http://schemas.openxmlformats.org/officeDocument/2006/relationships/image" Target="media/image10.png"/><Relationship Id="rId42" Type="http://schemas.openxmlformats.org/officeDocument/2006/relationships/header" Target="header12.xml"/><Relationship Id="rId47" Type="http://schemas.openxmlformats.org/officeDocument/2006/relationships/footer" Target="footer7.xml"/><Relationship Id="rId50" Type="http://schemas.openxmlformats.org/officeDocument/2006/relationships/hyperlink" Target="https://www.ihpa.gov.au/publications/governance-framework-development-admitted-care-classifications" TargetMode="External"/><Relationship Id="rId55" Type="http://schemas.openxmlformats.org/officeDocument/2006/relationships/hyperlink" Target="https://ace.ihpa.gov.au/Submissions.aspx" TargetMode="External"/><Relationship Id="rId63" Type="http://schemas.openxmlformats.org/officeDocument/2006/relationships/image" Target="media/image19.png"/><Relationship Id="rId68" Type="http://schemas.openxmlformats.org/officeDocument/2006/relationships/image" Target="media/image200.png"/><Relationship Id="rId76" Type="http://schemas.openxmlformats.org/officeDocument/2006/relationships/header" Target="header22.xml"/><Relationship Id="rId84" Type="http://schemas.openxmlformats.org/officeDocument/2006/relationships/hyperlink" Target="https://www.ihpa.gov.au/publications/national-pricing-model-technical-specifications-2022-23" TargetMode="External"/><Relationship Id="rId89" Type="http://schemas.openxmlformats.org/officeDocument/2006/relationships/hyperlink" Target="https://www.safetyandquality.gov.au/our-work/healthcare-variation/fourth-atlas-2021/fourth-atlas-2021-about-atlas" TargetMode="External"/><Relationship Id="rId97"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header" Target="header20.xml"/><Relationship Id="rId92"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8.png"/><Relationship Id="rId11" Type="http://schemas.openxmlformats.org/officeDocument/2006/relationships/image" Target="media/image3.jpg"/><Relationship Id="rId24" Type="http://schemas.openxmlformats.org/officeDocument/2006/relationships/image" Target="media/image6.png"/><Relationship Id="rId32" Type="http://schemas.openxmlformats.org/officeDocument/2006/relationships/header" Target="header8.xml"/><Relationship Id="rId37" Type="http://schemas.openxmlformats.org/officeDocument/2006/relationships/image" Target="media/image11.png"/><Relationship Id="rId40" Type="http://schemas.openxmlformats.org/officeDocument/2006/relationships/footer" Target="footer6.xml"/><Relationship Id="rId45" Type="http://schemas.openxmlformats.org/officeDocument/2006/relationships/image" Target="media/image14.png"/><Relationship Id="rId53" Type="http://schemas.openxmlformats.org/officeDocument/2006/relationships/hyperlink" Target="https://www.ihpa.gov.au/publications/national-pricing-model-consultation-policy-v2" TargetMode="External"/><Relationship Id="rId58" Type="http://schemas.openxmlformats.org/officeDocument/2006/relationships/hyperlink" Target="https://www.ihpa.gov.au/publications/mental-health-phase-care-clinical-refinement-project-final-report" TargetMode="External"/><Relationship Id="rId66" Type="http://schemas.openxmlformats.org/officeDocument/2006/relationships/hyperlink" Target="https://www.ihpa.gov.au/publications/national-pricing-model-technical-specifications-2022-23" TargetMode="External"/><Relationship Id="rId74" Type="http://schemas.openxmlformats.org/officeDocument/2006/relationships/hyperlink" Target="https://www.ihpa.gov.au/publications/impact-new-health-technology-framework-1" TargetMode="External"/><Relationship Id="rId79" Type="http://schemas.openxmlformats.org/officeDocument/2006/relationships/image" Target="media/image22.png"/><Relationship Id="rId87" Type="http://schemas.openxmlformats.org/officeDocument/2006/relationships/hyperlink" Target="https://www.ihpa.gov.au/publications/national-pricing-model-technical-specifications-2022-23" TargetMode="External"/><Relationship Id="rId5" Type="http://schemas.openxmlformats.org/officeDocument/2006/relationships/webSettings" Target="webSettings.xml"/><Relationship Id="rId61" Type="http://schemas.openxmlformats.org/officeDocument/2006/relationships/image" Target="media/image18.png"/><Relationship Id="rId82" Type="http://schemas.openxmlformats.org/officeDocument/2006/relationships/hyperlink" Target="https://www.safetyandquality.gov.au/our-work/indicators/australian-sentinel-events-list" TargetMode="External"/><Relationship Id="rId90" Type="http://schemas.openxmlformats.org/officeDocument/2006/relationships/header" Target="header25.xml"/><Relationship Id="rId95" Type="http://schemas.openxmlformats.org/officeDocument/2006/relationships/hyperlink" Target="http://www.ihpa.gov.au" TargetMode="External"/><Relationship Id="rId19" Type="http://schemas.openxmlformats.org/officeDocument/2006/relationships/image" Target="media/image5.png"/><Relationship Id="rId14" Type="http://schemas.openxmlformats.org/officeDocument/2006/relationships/header" Target="header4.xml"/><Relationship Id="rId22" Type="http://schemas.openxmlformats.org/officeDocument/2006/relationships/hyperlink" Target="https://www.ihpa.gov.au/publications/pricing-framework-australian-public-hospital-services-2022-23" TargetMode="External"/><Relationship Id="rId27" Type="http://schemas.openxmlformats.org/officeDocument/2006/relationships/image" Target="media/image7.png"/><Relationship Id="rId30" Type="http://schemas.openxmlformats.org/officeDocument/2006/relationships/image" Target="media/image80.png"/><Relationship Id="rId35" Type="http://schemas.openxmlformats.org/officeDocument/2006/relationships/header" Target="header9.xml"/><Relationship Id="rId43" Type="http://schemas.openxmlformats.org/officeDocument/2006/relationships/hyperlink" Target="https://www.ihpa.gov.au/publications/general-list-eligibility-policy-v7" TargetMode="External"/><Relationship Id="rId48" Type="http://schemas.openxmlformats.org/officeDocument/2006/relationships/header" Target="header15.xml"/><Relationship Id="rId56" Type="http://schemas.openxmlformats.org/officeDocument/2006/relationships/image" Target="media/image16.png"/><Relationship Id="rId64" Type="http://schemas.openxmlformats.org/officeDocument/2006/relationships/header" Target="header17.xml"/><Relationship Id="rId69" Type="http://schemas.openxmlformats.org/officeDocument/2006/relationships/header" Target="header18.xml"/><Relationship Id="rId77" Type="http://schemas.openxmlformats.org/officeDocument/2006/relationships/header" Target="header23.xml"/><Relationship Id="rId8" Type="http://schemas.openxmlformats.org/officeDocument/2006/relationships/image" Target="media/image2.jpeg"/><Relationship Id="rId51" Type="http://schemas.openxmlformats.org/officeDocument/2006/relationships/hyperlink" Target="https://www.ihpa.gov.au/past-consultations/development-admitted-care-classifications" TargetMode="External"/><Relationship Id="rId72" Type="http://schemas.openxmlformats.org/officeDocument/2006/relationships/image" Target="media/image21.png"/><Relationship Id="rId80" Type="http://schemas.openxmlformats.org/officeDocument/2006/relationships/image" Target="media/image220.png"/><Relationship Id="rId85" Type="http://schemas.openxmlformats.org/officeDocument/2006/relationships/hyperlink" Target="https://www.safetyandquality.gov.au/our-work/indicators/hospital-acquired-complications" TargetMode="External"/><Relationship Id="rId93" Type="http://schemas.openxmlformats.org/officeDocument/2006/relationships/hyperlink" Target="mailto:enquiries.ihpa@ihpa.gov.au"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6.xml"/><Relationship Id="rId33" Type="http://schemas.openxmlformats.org/officeDocument/2006/relationships/footer" Target="footer5.xml"/><Relationship Id="rId38" Type="http://schemas.openxmlformats.org/officeDocument/2006/relationships/image" Target="media/image12.png"/><Relationship Id="rId46" Type="http://schemas.openxmlformats.org/officeDocument/2006/relationships/header" Target="header14.xml"/><Relationship Id="rId59" Type="http://schemas.openxmlformats.org/officeDocument/2006/relationships/image" Target="media/image17.png"/><Relationship Id="rId67" Type="http://schemas.openxmlformats.org/officeDocument/2006/relationships/image" Target="media/image20.png"/><Relationship Id="rId20" Type="http://schemas.openxmlformats.org/officeDocument/2006/relationships/hyperlink" Target="https://archive.budget.gov.au/2021-22/index.htm" TargetMode="External"/><Relationship Id="rId41" Type="http://schemas.openxmlformats.org/officeDocument/2006/relationships/image" Target="media/image13.png"/><Relationship Id="rId54" Type="http://schemas.openxmlformats.org/officeDocument/2006/relationships/hyperlink" Target="https://www.who.int/standards/classifications/classification-of-diseases" TargetMode="External"/><Relationship Id="rId62" Type="http://schemas.openxmlformats.org/officeDocument/2006/relationships/header" Target="header16.xml"/><Relationship Id="rId70" Type="http://schemas.openxmlformats.org/officeDocument/2006/relationships/header" Target="header19.xml"/><Relationship Id="rId75" Type="http://schemas.openxmlformats.org/officeDocument/2006/relationships/header" Target="header21.xml"/><Relationship Id="rId83" Type="http://schemas.openxmlformats.org/officeDocument/2006/relationships/hyperlink" Target="https://www.ihpa.gov.au/publications/national-efficient-price-determination-2022-23" TargetMode="External"/><Relationship Id="rId88" Type="http://schemas.openxmlformats.org/officeDocument/2006/relationships/hyperlink" Target="https://www.safetyandquality.gov.au/our-work/indicators/avoidable-hospital-readmissions" TargetMode="External"/><Relationship Id="rId91" Type="http://schemas.openxmlformats.org/officeDocument/2006/relationships/image" Target="media/image23.jpeg"/><Relationship Id="rId96" Type="http://schemas.openxmlformats.org/officeDocument/2006/relationships/header" Target="header2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www.ihpa.gov.au/publications/national-efficient-cost-determination-2022-23" TargetMode="External"/><Relationship Id="rId28" Type="http://schemas.openxmlformats.org/officeDocument/2006/relationships/header" Target="header7.xml"/><Relationship Id="rId36" Type="http://schemas.openxmlformats.org/officeDocument/2006/relationships/header" Target="header10.xml"/><Relationship Id="rId49" Type="http://schemas.openxmlformats.org/officeDocument/2006/relationships/image" Target="media/image15.png"/><Relationship Id="rId57" Type="http://schemas.openxmlformats.org/officeDocument/2006/relationships/image" Target="media/image160.png"/><Relationship Id="rId10" Type="http://schemas.openxmlformats.org/officeDocument/2006/relationships/footer" Target="footer1.xml"/><Relationship Id="rId31" Type="http://schemas.openxmlformats.org/officeDocument/2006/relationships/image" Target="media/image9.png"/><Relationship Id="rId44" Type="http://schemas.openxmlformats.org/officeDocument/2006/relationships/header" Target="header13.xml"/><Relationship Id="rId52" Type="http://schemas.openxmlformats.org/officeDocument/2006/relationships/hyperlink" Target="https://www.ihpa.gov.au/publications/ar-drg-version-110" TargetMode="External"/><Relationship Id="rId60" Type="http://schemas.openxmlformats.org/officeDocument/2006/relationships/image" Target="media/image170.png"/><Relationship Id="rId65" Type="http://schemas.openxmlformats.org/officeDocument/2006/relationships/hyperlink" Target="https://www.ihpa.gov.au/publications/pricing-framework-australian-public-hospital-services-2022-23" TargetMode="External"/><Relationship Id="rId73" Type="http://schemas.openxmlformats.org/officeDocument/2006/relationships/image" Target="media/image210.png"/><Relationship Id="rId78" Type="http://schemas.openxmlformats.org/officeDocument/2006/relationships/hyperlink" Target="https://www.ihpa.gov.au/sites/default/files/consultation_paper_on_the_pricing_framework_for_australian_public_hospital_services_2022-23_pdf.pdf" TargetMode="External"/><Relationship Id="rId81" Type="http://schemas.openxmlformats.org/officeDocument/2006/relationships/header" Target="header24.xml"/><Relationship Id="rId86" Type="http://schemas.openxmlformats.org/officeDocument/2006/relationships/hyperlink" Target="https://www.ihpa.gov.au/publications/national-efficient-price-determination-2022-23" TargetMode="External"/><Relationship Id="rId94" Type="http://schemas.openxmlformats.org/officeDocument/2006/relationships/hyperlink" Target="https://twitter.com/ihpanews?lang=en"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3.xml"/><Relationship Id="rId39" Type="http://schemas.openxmlformats.org/officeDocument/2006/relationships/header" Target="header1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IHPA">
      <a:dk1>
        <a:srgbClr val="003E2D"/>
      </a:dk1>
      <a:lt1>
        <a:sysClr val="window" lastClr="FFFFFF"/>
      </a:lt1>
      <a:dk2>
        <a:srgbClr val="003E2D"/>
      </a:dk2>
      <a:lt2>
        <a:srgbClr val="FFFFFF"/>
      </a:lt2>
      <a:accent1>
        <a:srgbClr val="7EC352"/>
      </a:accent1>
      <a:accent2>
        <a:srgbClr val="008F54"/>
      </a:accent2>
      <a:accent3>
        <a:srgbClr val="C31F48"/>
      </a:accent3>
      <a:accent4>
        <a:srgbClr val="412B41"/>
      </a:accent4>
      <a:accent5>
        <a:srgbClr val="5F2F7E"/>
      </a:accent5>
      <a:accent6>
        <a:srgbClr val="009AB8"/>
      </a:accent6>
      <a:hlink>
        <a:srgbClr val="7EC352"/>
      </a:hlink>
      <a:folHlink>
        <a:srgbClr val="008F5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D92FA6-FC17-4E0F-88E4-15D9C98B0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38</Pages>
  <Words>10189</Words>
  <Characters>62130</Characters>
  <Application>Microsoft Office Word</Application>
  <DocSecurity>0</DocSecurity>
  <Lines>517</Lines>
  <Paragraphs>144</Paragraphs>
  <ScaleCrop>false</ScaleCrop>
  <HeadingPairs>
    <vt:vector size="2" baseType="variant">
      <vt:variant>
        <vt:lpstr>Title</vt:lpstr>
      </vt:variant>
      <vt:variant>
        <vt:i4>1</vt:i4>
      </vt:variant>
    </vt:vector>
  </HeadingPairs>
  <TitlesOfParts>
    <vt:vector size="1" baseType="lpstr">
      <vt:lpstr>Consultation Paper on the Pricing Framework for Australian Public Hospital Services 2020-21</vt:lpstr>
    </vt:vector>
  </TitlesOfParts>
  <Company/>
  <LinksUpToDate>false</LinksUpToDate>
  <CharactersWithSpaces>72175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Paper on the Pricing Framework for Australian Public Hospital Services 2020-21</dc:title>
  <dc:subject/>
  <dc:creator>IHPA - Independent Hospital Pricing Authority</dc:creator>
  <cp:keywords/>
  <dc:description/>
  <cp:lastModifiedBy>ISSAKHANY, Dabrina</cp:lastModifiedBy>
  <cp:revision>3</cp:revision>
  <cp:lastPrinted>2022-06-08T01:46:00Z</cp:lastPrinted>
  <dcterms:created xsi:type="dcterms:W3CDTF">2022-06-08T01:45:00Z</dcterms:created>
  <dcterms:modified xsi:type="dcterms:W3CDTF">2022-06-08T01:47:00Z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2019-06-17T00:00:00Z</vt:filetime>
  </property>
  <property fmtid="{D5CDD505-2E9C-101B-9397-08002B2CF9AE}" pid="3" name="Creator">
    <vt:lpwstr>Adobe InDesign 14.0 (Windows)</vt:lpwstr>
  </property>
  <property fmtid="{D5CDD505-2E9C-101B-9397-08002B2CF9AE}" pid="4" name="LastSaved">
    <vt:filetime>2019-06-19T00:00:00Z</vt:filetime>
  </property>
</Properties>
</file>