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5.xml" ContentType="application/vnd.openxmlformats-officedocument.wordprocessingml.footer+xml"/>
  <Override PartName="/word/header36.xml" ContentType="application/vnd.openxmlformats-officedocument.wordprocessingml.header+xml"/>
  <Override PartName="/word/footer2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D98E" w14:textId="4DDD8A6E" w:rsidR="003C360C" w:rsidRPr="009E365D" w:rsidRDefault="003C360C" w:rsidP="002A465C">
      <w:pPr>
        <w:pStyle w:val="TOCsubheadings"/>
      </w:pPr>
    </w:p>
    <w:p w14:paraId="4E49D884" w14:textId="77777777" w:rsidR="005107C4" w:rsidRDefault="005107C4" w:rsidP="005107C4">
      <w:r>
        <w:rPr>
          <w:noProof/>
        </w:rPr>
        <w:drawing>
          <wp:anchor distT="0" distB="0" distL="114300" distR="114300" simplePos="0" relativeHeight="251763712" behindDoc="0" locked="0" layoutInCell="1" allowOverlap="1" wp14:anchorId="742A3DB9" wp14:editId="6177AE19">
            <wp:simplePos x="914400" y="914400"/>
            <wp:positionH relativeFrom="column">
              <wp:align>left</wp:align>
            </wp:positionH>
            <wp:positionV relativeFrom="paragraph">
              <wp:align>top</wp:align>
            </wp:positionV>
            <wp:extent cx="1346200" cy="825500"/>
            <wp:effectExtent l="0" t="0" r="6350" b="0"/>
            <wp:wrapSquare wrapText="bothSides"/>
            <wp:docPr id="9" name="Graphic 9" descr="IHACP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HACPA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6200" cy="825500"/>
                    </a:xfrm>
                    <a:prstGeom prst="rect">
                      <a:avLst/>
                    </a:prstGeom>
                  </pic:spPr>
                </pic:pic>
              </a:graphicData>
            </a:graphic>
          </wp:anchor>
        </w:drawing>
      </w:r>
      <w:r>
        <w:br w:type="textWrapping" w:clear="all"/>
      </w:r>
    </w:p>
    <w:p w14:paraId="1A6955E9" w14:textId="77777777" w:rsidR="00916C26" w:rsidRPr="00910A4C" w:rsidRDefault="00916C26" w:rsidP="00916C26">
      <w:pPr>
        <w:pStyle w:val="CoverTitle"/>
        <w:spacing w:before="6720" w:after="480"/>
        <w:ind w:right="3073"/>
        <w:rPr>
          <w:sz w:val="60"/>
          <w:szCs w:val="60"/>
        </w:rPr>
      </w:pPr>
      <w:bookmarkStart w:id="0" w:name="_Toc132722895"/>
      <w:bookmarkStart w:id="1" w:name="_Toc135043498"/>
      <w:r>
        <w:rPr>
          <w:sz w:val="60"/>
          <w:szCs w:val="60"/>
        </w:rPr>
        <w:t xml:space="preserve">Consultation Paper on the Pricing Framework for Australian Public Hospital Services </w:t>
      </w:r>
      <w:r w:rsidRPr="000258BC">
        <w:rPr>
          <w:color w:val="54C1AF" w:themeColor="accent4"/>
          <w:sz w:val="60"/>
          <w:szCs w:val="60"/>
        </w:rPr>
        <w:t>202</w:t>
      </w:r>
      <w:r>
        <w:rPr>
          <w:color w:val="54C1AF" w:themeColor="accent4"/>
          <w:sz w:val="60"/>
          <w:szCs w:val="60"/>
        </w:rPr>
        <w:t>4</w:t>
      </w:r>
      <w:r w:rsidRPr="00E7350B">
        <w:rPr>
          <w:color w:val="54C1AF" w:themeColor="accent4"/>
          <w:sz w:val="60"/>
          <w:szCs w:val="60"/>
        </w:rPr>
        <w:t>–</w:t>
      </w:r>
      <w:r w:rsidRPr="000258BC">
        <w:rPr>
          <w:color w:val="54C1AF" w:themeColor="accent4"/>
          <w:sz w:val="60"/>
          <w:szCs w:val="60"/>
        </w:rPr>
        <w:t>2</w:t>
      </w:r>
      <w:r>
        <w:rPr>
          <w:color w:val="54C1AF" w:themeColor="accent4"/>
          <w:sz w:val="60"/>
          <w:szCs w:val="60"/>
        </w:rPr>
        <w:t>5</w:t>
      </w:r>
      <w:bookmarkEnd w:id="0"/>
      <w:bookmarkEnd w:id="1"/>
    </w:p>
    <w:p w14:paraId="24FFEE39" w14:textId="77777777" w:rsidR="00916C26" w:rsidRPr="000258BC" w:rsidRDefault="00916C26" w:rsidP="00916C26">
      <w:pPr>
        <w:pStyle w:val="Body"/>
        <w:rPr>
          <w:color w:val="FFFFFF" w:themeColor="background1"/>
        </w:rPr>
        <w:sectPr w:rsidR="00916C26" w:rsidRPr="000258BC" w:rsidSect="00EC36E3">
          <w:headerReference w:type="default" r:id="rId10"/>
          <w:footerReference w:type="default" r:id="rId11"/>
          <w:headerReference w:type="first" r:id="rId12"/>
          <w:pgSz w:w="11906" w:h="16838" w:code="9"/>
          <w:pgMar w:top="1440" w:right="1440" w:bottom="993" w:left="1440" w:header="708" w:footer="708" w:gutter="0"/>
          <w:cols w:space="708"/>
          <w:docGrid w:linePitch="360"/>
        </w:sectPr>
      </w:pPr>
      <w:bookmarkStart w:id="2" w:name="_Toc94521438"/>
      <w:r>
        <w:rPr>
          <w:color w:val="FFFFFF" w:themeColor="background1"/>
        </w:rPr>
        <w:t>June 2023</w:t>
      </w:r>
    </w:p>
    <w:p w14:paraId="60BBB862" w14:textId="481FF68E" w:rsidR="00916C26" w:rsidRDefault="00916C26" w:rsidP="00916C26">
      <w:pPr>
        <w:pStyle w:val="Heading4"/>
        <w:ind w:right="4064"/>
      </w:pPr>
      <w:r>
        <w:lastRenderedPageBreak/>
        <w:t>Consultation Paper on the Pricing Framework for Australian Public Hospital Services 2024</w:t>
      </w:r>
      <w:r w:rsidRPr="00E7350B">
        <w:t>–</w:t>
      </w:r>
      <w:r>
        <w:t xml:space="preserve">25 </w:t>
      </w:r>
      <w:r>
        <w:rPr>
          <w:rFonts w:hint="cs"/>
        </w:rPr>
        <w:t>—</w:t>
      </w:r>
      <w:r>
        <w:t xml:space="preserve">   June 2023</w:t>
      </w:r>
    </w:p>
    <w:p w14:paraId="1C9D6A6F" w14:textId="77777777" w:rsidR="00916C26" w:rsidRDefault="00916C26" w:rsidP="00916C26">
      <w:pPr>
        <w:pStyle w:val="Body"/>
        <w:ind w:right="4064"/>
      </w:pPr>
      <w:r>
        <w:rPr>
          <w:rFonts w:hint="cs"/>
        </w:rPr>
        <w:t>©</w:t>
      </w:r>
      <w:r>
        <w:t xml:space="preserve"> Independent Health and Aged Care Pricing Authority 2023</w:t>
      </w:r>
    </w:p>
    <w:p w14:paraId="5E08EE34" w14:textId="77777777" w:rsidR="00916C26" w:rsidRDefault="00916C26" w:rsidP="00916C26">
      <w:pPr>
        <w:pStyle w:val="Body"/>
        <w:ind w:right="4064"/>
      </w:pPr>
      <w:r>
        <w:t xml:space="preserve">This publication is available for your use under a </w:t>
      </w:r>
      <w:hyperlink r:id="rId13" w:history="1">
        <w:r w:rsidRPr="002C5ECE">
          <w:rPr>
            <w:rStyle w:val="HyperlinktextChar"/>
          </w:rPr>
          <w:t>Creative Commons BY Attribution 3.0 Australia licence</w:t>
        </w:r>
      </w:hyperlink>
      <w:r>
        <w:t>, with the exception of the Independent Health and Aged Care Pricing Authority logo, photographs, images, signatures and where otherwise stated. The full licence terms are available from the Creative Commons website.</w:t>
      </w:r>
    </w:p>
    <w:p w14:paraId="17A71E7B" w14:textId="77777777" w:rsidR="00916C26" w:rsidRDefault="00916C26" w:rsidP="00916C26">
      <w:pPr>
        <w:pStyle w:val="Body"/>
        <w:ind w:right="4064"/>
      </w:pPr>
      <w:r w:rsidRPr="0065414C">
        <w:rPr>
          <w:rFonts w:cs="Arial"/>
          <w:noProof/>
          <w:sz w:val="22"/>
          <w:lang w:eastAsia="en-AU"/>
        </w:rPr>
        <w:drawing>
          <wp:inline distT="0" distB="0" distL="0" distR="0" wp14:anchorId="467BE5A9" wp14:editId="1A266581">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4">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t xml:space="preserve"> </w:t>
      </w:r>
    </w:p>
    <w:p w14:paraId="01490325" w14:textId="77777777" w:rsidR="00916C26" w:rsidRDefault="00916C26" w:rsidP="00916C26">
      <w:pPr>
        <w:pStyle w:val="Body"/>
        <w:ind w:right="4064"/>
      </w:pPr>
      <w:r>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w:t>
      </w:r>
      <w:r>
        <w:rPr>
          <w:rFonts w:hint="cs"/>
        </w:rPr>
        <w:t> </w:t>
      </w:r>
      <w:r>
        <w:t>work).</w:t>
      </w:r>
    </w:p>
    <w:p w14:paraId="690A473B" w14:textId="77777777" w:rsidR="00916C26" w:rsidRPr="00D74538" w:rsidRDefault="00916C26" w:rsidP="00916C26">
      <w:pPr>
        <w:pStyle w:val="Body"/>
        <w:ind w:right="4064"/>
      </w:pPr>
      <w:r w:rsidRPr="00D74538">
        <w:t>Independent Health and Aged Care Pricing Authority material used 'as supplied'.</w:t>
      </w:r>
    </w:p>
    <w:p w14:paraId="4A5B8364" w14:textId="77777777" w:rsidR="00916C26" w:rsidRDefault="00916C26" w:rsidP="00916C26">
      <w:pPr>
        <w:pStyle w:val="Body"/>
        <w:ind w:right="4064"/>
      </w:pPr>
      <w:r>
        <w:t xml:space="preserve">Provided you have not modified or transformed Independent Health and Aged Care Pricing Authority material in any way including, for example, by changing Independent Health and Aged Care Pricing Authority text </w:t>
      </w:r>
      <w:r>
        <w:rPr>
          <w:rFonts w:hint="cs"/>
        </w:rPr>
        <w:t>–</w:t>
      </w:r>
      <w:r>
        <w:t xml:space="preserve"> then the Independent Health and Aged Care Pricing Authority prefers the following attribution:</w:t>
      </w:r>
    </w:p>
    <w:p w14:paraId="33CC7A48" w14:textId="77777777" w:rsidR="00916C26" w:rsidRPr="00D74538" w:rsidRDefault="00916C26" w:rsidP="00916C26">
      <w:pPr>
        <w:pStyle w:val="Body"/>
        <w:ind w:right="4064"/>
      </w:pPr>
      <w:r w:rsidRPr="00D74538">
        <w:t>Source: The Independent Health and Aged Care Pricing</w:t>
      </w:r>
      <w:r w:rsidRPr="00D74538">
        <w:rPr>
          <w:rFonts w:hint="cs"/>
        </w:rPr>
        <w:t> </w:t>
      </w:r>
      <w:r w:rsidRPr="00D74538">
        <w:t>Authority</w:t>
      </w:r>
    </w:p>
    <w:p w14:paraId="63681216" w14:textId="2A8AB993" w:rsidR="00DB238C" w:rsidRPr="00DB238C" w:rsidRDefault="00DB238C" w:rsidP="001B1269">
      <w:pPr>
        <w:pStyle w:val="Body"/>
        <w:sectPr w:rsidR="00DB238C" w:rsidRPr="00DB238C" w:rsidSect="000258BC">
          <w:headerReference w:type="default" r:id="rId15"/>
          <w:footerReference w:type="default" r:id="rId16"/>
          <w:pgSz w:w="11906" w:h="16838" w:code="9"/>
          <w:pgMar w:top="7371" w:right="1440" w:bottom="1440" w:left="1440" w:header="708" w:footer="708" w:gutter="0"/>
          <w:cols w:space="708"/>
          <w:docGrid w:linePitch="360"/>
        </w:sectPr>
      </w:pPr>
    </w:p>
    <w:p w14:paraId="0C8E1185" w14:textId="77777777" w:rsidR="00916C26" w:rsidRPr="00523D86" w:rsidRDefault="00916C26" w:rsidP="00916C26">
      <w:pPr>
        <w:pStyle w:val="Heading1"/>
        <w:spacing w:before="600" w:after="360" w:line="720" w:lineRule="exact"/>
      </w:pPr>
      <w:bookmarkStart w:id="3" w:name="_Toc132118401"/>
      <w:bookmarkStart w:id="4" w:name="_Toc135043499"/>
      <w:bookmarkEnd w:id="2"/>
      <w:r w:rsidRPr="00523D86">
        <w:rPr>
          <w:rFonts w:asciiTheme="majorHAnsi" w:hAnsiTheme="majorHAnsi" w:cs="Times New Roman (Headings CS)"/>
        </w:rPr>
        <w:lastRenderedPageBreak/>
        <w:t>Contents</w:t>
      </w:r>
      <w:bookmarkEnd w:id="3"/>
      <w:bookmarkEnd w:id="4"/>
    </w:p>
    <w:p w14:paraId="6352676E" w14:textId="670A9D7B" w:rsidR="00523D86" w:rsidRPr="00A85B02" w:rsidRDefault="00F94D88" w:rsidP="00523D86">
      <w:pPr>
        <w:pStyle w:val="TOC1"/>
        <w:rPr>
          <w:rFonts w:eastAsiaTheme="minorEastAsia" w:cstheme="minorBidi"/>
          <w:sz w:val="22"/>
          <w:szCs w:val="22"/>
          <w:lang w:eastAsia="en-AU"/>
        </w:rPr>
      </w:pPr>
      <w:r w:rsidRPr="00F17A9D">
        <w:rPr>
          <w:sz w:val="22"/>
          <w:szCs w:val="22"/>
        </w:rPr>
        <w:fldChar w:fldCharType="begin"/>
      </w:r>
      <w:r w:rsidRPr="00F17A9D">
        <w:rPr>
          <w:sz w:val="22"/>
          <w:szCs w:val="22"/>
        </w:rPr>
        <w:instrText xml:space="preserve"> TOC \o "1-2" \h \z \u </w:instrText>
      </w:r>
      <w:r w:rsidRPr="00F17A9D">
        <w:rPr>
          <w:sz w:val="22"/>
          <w:szCs w:val="22"/>
        </w:rPr>
        <w:fldChar w:fldCharType="separate"/>
      </w:r>
    </w:p>
    <w:p w14:paraId="6B56E510" w14:textId="27D56091" w:rsidR="00523D86" w:rsidRPr="00A85B02" w:rsidRDefault="00A830A7" w:rsidP="00523D86">
      <w:pPr>
        <w:pStyle w:val="TOC1"/>
        <w:rPr>
          <w:rFonts w:eastAsiaTheme="minorEastAsia" w:cstheme="minorBidi"/>
          <w:sz w:val="22"/>
          <w:szCs w:val="22"/>
          <w:lang w:eastAsia="en-AU"/>
        </w:rPr>
      </w:pPr>
      <w:hyperlink w:anchor="_Toc135043500" w:history="1">
        <w:r w:rsidR="00523D86" w:rsidRPr="00F17A9D">
          <w:rPr>
            <w:rStyle w:val="Hyperlink"/>
            <w:rFonts w:asciiTheme="majorHAnsi" w:hAnsiTheme="majorHAnsi" w:cs="Times New Roman (Headings CS)"/>
            <w:sz w:val="22"/>
            <w:szCs w:val="22"/>
          </w:rPr>
          <w:t>Abbreviations</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_Toc135043500 \h </w:instrText>
        </w:r>
        <w:r w:rsidR="00523D86" w:rsidRPr="00F17A9D">
          <w:rPr>
            <w:webHidden/>
            <w:sz w:val="22"/>
            <w:szCs w:val="22"/>
          </w:rPr>
        </w:r>
        <w:r w:rsidR="00523D86" w:rsidRPr="00F17A9D">
          <w:rPr>
            <w:webHidden/>
            <w:sz w:val="22"/>
            <w:szCs w:val="22"/>
          </w:rPr>
          <w:fldChar w:fldCharType="separate"/>
        </w:r>
        <w:r w:rsidR="008C33BE">
          <w:rPr>
            <w:webHidden/>
            <w:sz w:val="22"/>
            <w:szCs w:val="22"/>
          </w:rPr>
          <w:t>2</w:t>
        </w:r>
        <w:r w:rsidR="00523D86" w:rsidRPr="00F17A9D">
          <w:rPr>
            <w:webHidden/>
            <w:sz w:val="22"/>
            <w:szCs w:val="22"/>
          </w:rPr>
          <w:fldChar w:fldCharType="end"/>
        </w:r>
      </w:hyperlink>
    </w:p>
    <w:p w14:paraId="7F9E8B8C" w14:textId="58C4F850" w:rsidR="00523D86" w:rsidRPr="00A85B02" w:rsidRDefault="00A830A7" w:rsidP="00523D86">
      <w:pPr>
        <w:pStyle w:val="TOC1"/>
        <w:rPr>
          <w:rFonts w:eastAsiaTheme="minorEastAsia" w:cstheme="minorBidi"/>
          <w:sz w:val="22"/>
          <w:szCs w:val="22"/>
          <w:lang w:eastAsia="en-AU"/>
        </w:rPr>
      </w:pPr>
      <w:hyperlink w:anchor="_Toc135043501" w:history="1">
        <w:r w:rsidR="00523D86" w:rsidRPr="00F17A9D">
          <w:rPr>
            <w:rStyle w:val="Hyperlink"/>
            <w:rFonts w:asciiTheme="majorHAnsi" w:hAnsiTheme="majorHAnsi"/>
            <w:sz w:val="22"/>
            <w:szCs w:val="22"/>
          </w:rPr>
          <w:t>Introduction</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_Toc135043501 \h </w:instrText>
        </w:r>
        <w:r w:rsidR="00523D86" w:rsidRPr="00F17A9D">
          <w:rPr>
            <w:webHidden/>
            <w:sz w:val="22"/>
            <w:szCs w:val="22"/>
          </w:rPr>
        </w:r>
        <w:r w:rsidR="00523D86" w:rsidRPr="00F17A9D">
          <w:rPr>
            <w:webHidden/>
            <w:sz w:val="22"/>
            <w:szCs w:val="22"/>
          </w:rPr>
          <w:fldChar w:fldCharType="separate"/>
        </w:r>
        <w:r w:rsidR="008C33BE">
          <w:rPr>
            <w:webHidden/>
            <w:sz w:val="22"/>
            <w:szCs w:val="22"/>
          </w:rPr>
          <w:t>3</w:t>
        </w:r>
        <w:r w:rsidR="00523D86" w:rsidRPr="00F17A9D">
          <w:rPr>
            <w:webHidden/>
            <w:sz w:val="22"/>
            <w:szCs w:val="22"/>
          </w:rPr>
          <w:fldChar w:fldCharType="end"/>
        </w:r>
      </w:hyperlink>
    </w:p>
    <w:p w14:paraId="60CE9630" w14:textId="4BF3C058" w:rsidR="00523D86" w:rsidRPr="00A85B02" w:rsidRDefault="00A830A7" w:rsidP="00523D86">
      <w:pPr>
        <w:pStyle w:val="TOC1"/>
        <w:rPr>
          <w:rFonts w:eastAsiaTheme="minorEastAsia" w:cstheme="minorBidi"/>
          <w:sz w:val="22"/>
          <w:szCs w:val="22"/>
          <w:lang w:eastAsia="en-AU"/>
        </w:rPr>
      </w:pPr>
      <w:hyperlink w:anchor="_Toc135043505" w:history="1">
        <w:r w:rsidR="00523D86" w:rsidRPr="00F17A9D">
          <w:rPr>
            <w:rStyle w:val="Hyperlink"/>
            <w:rFonts w:asciiTheme="majorHAnsi" w:hAnsiTheme="majorHAnsi"/>
            <w:sz w:val="22"/>
            <w:szCs w:val="22"/>
          </w:rPr>
          <w:t>Pricing Guidelines</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_Toc135043505 \h </w:instrText>
        </w:r>
        <w:r w:rsidR="00523D86" w:rsidRPr="00F17A9D">
          <w:rPr>
            <w:webHidden/>
            <w:sz w:val="22"/>
            <w:szCs w:val="22"/>
          </w:rPr>
        </w:r>
        <w:r w:rsidR="00523D86" w:rsidRPr="00F17A9D">
          <w:rPr>
            <w:webHidden/>
            <w:sz w:val="22"/>
            <w:szCs w:val="22"/>
          </w:rPr>
          <w:fldChar w:fldCharType="separate"/>
        </w:r>
        <w:r w:rsidR="008C33BE">
          <w:rPr>
            <w:webHidden/>
            <w:sz w:val="22"/>
            <w:szCs w:val="22"/>
          </w:rPr>
          <w:t>6</w:t>
        </w:r>
        <w:r w:rsidR="00523D86" w:rsidRPr="00F17A9D">
          <w:rPr>
            <w:webHidden/>
            <w:sz w:val="22"/>
            <w:szCs w:val="22"/>
          </w:rPr>
          <w:fldChar w:fldCharType="end"/>
        </w:r>
      </w:hyperlink>
    </w:p>
    <w:p w14:paraId="5EECF831" w14:textId="28639883" w:rsidR="00523D86" w:rsidRPr="00A85B02" w:rsidRDefault="00A830A7" w:rsidP="00523D86">
      <w:pPr>
        <w:pStyle w:val="TOC1"/>
        <w:rPr>
          <w:rFonts w:eastAsiaTheme="minorEastAsia" w:cstheme="minorBidi"/>
          <w:sz w:val="22"/>
          <w:szCs w:val="22"/>
          <w:lang w:eastAsia="en-AU"/>
        </w:rPr>
      </w:pPr>
      <w:hyperlink w:anchor="_Toc135043507" w:history="1">
        <w:r w:rsidR="00523D86" w:rsidRPr="00F17A9D">
          <w:rPr>
            <w:rStyle w:val="Hyperlink"/>
            <w:rFonts w:asciiTheme="majorHAnsi" w:hAnsiTheme="majorHAnsi"/>
            <w:sz w:val="22"/>
            <w:szCs w:val="22"/>
          </w:rPr>
          <w:t>Classifications used to describe and price public hospital services</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_Toc135043507 \h </w:instrText>
        </w:r>
        <w:r w:rsidR="00523D86" w:rsidRPr="00F17A9D">
          <w:rPr>
            <w:webHidden/>
            <w:sz w:val="22"/>
            <w:szCs w:val="22"/>
          </w:rPr>
        </w:r>
        <w:r w:rsidR="00523D86" w:rsidRPr="00F17A9D">
          <w:rPr>
            <w:webHidden/>
            <w:sz w:val="22"/>
            <w:szCs w:val="22"/>
          </w:rPr>
          <w:fldChar w:fldCharType="separate"/>
        </w:r>
        <w:r w:rsidR="008C33BE">
          <w:rPr>
            <w:webHidden/>
            <w:sz w:val="22"/>
            <w:szCs w:val="22"/>
          </w:rPr>
          <w:t>9</w:t>
        </w:r>
        <w:r w:rsidR="00523D86" w:rsidRPr="00F17A9D">
          <w:rPr>
            <w:webHidden/>
            <w:sz w:val="22"/>
            <w:szCs w:val="22"/>
          </w:rPr>
          <w:fldChar w:fldCharType="end"/>
        </w:r>
      </w:hyperlink>
    </w:p>
    <w:p w14:paraId="7A52F2DB" w14:textId="68F609EA" w:rsidR="00523D86" w:rsidRPr="00A85B02" w:rsidRDefault="00A830A7" w:rsidP="00523D86">
      <w:pPr>
        <w:pStyle w:val="TOC1"/>
        <w:rPr>
          <w:rFonts w:eastAsiaTheme="minorEastAsia" w:cstheme="minorBidi"/>
          <w:sz w:val="22"/>
          <w:szCs w:val="22"/>
          <w:lang w:eastAsia="en-AU"/>
        </w:rPr>
      </w:pPr>
      <w:hyperlink w:anchor="_Toc135043514" w:history="1">
        <w:r w:rsidR="00523D86" w:rsidRPr="00F17A9D">
          <w:rPr>
            <w:rStyle w:val="Hyperlink"/>
            <w:rFonts w:asciiTheme="majorHAnsi" w:hAnsiTheme="majorHAnsi"/>
            <w:sz w:val="22"/>
            <w:szCs w:val="22"/>
          </w:rPr>
          <w:t>Setting the national efficient price</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_Toc135043514 \h </w:instrText>
        </w:r>
        <w:r w:rsidR="00523D86" w:rsidRPr="00F17A9D">
          <w:rPr>
            <w:webHidden/>
            <w:sz w:val="22"/>
            <w:szCs w:val="22"/>
          </w:rPr>
        </w:r>
        <w:r w:rsidR="00523D86" w:rsidRPr="00F17A9D">
          <w:rPr>
            <w:webHidden/>
            <w:sz w:val="22"/>
            <w:szCs w:val="22"/>
          </w:rPr>
          <w:fldChar w:fldCharType="separate"/>
        </w:r>
        <w:r w:rsidR="008C33BE">
          <w:rPr>
            <w:webHidden/>
            <w:sz w:val="22"/>
            <w:szCs w:val="22"/>
          </w:rPr>
          <w:t>15</w:t>
        </w:r>
        <w:r w:rsidR="00523D86" w:rsidRPr="00F17A9D">
          <w:rPr>
            <w:webHidden/>
            <w:sz w:val="22"/>
            <w:szCs w:val="22"/>
          </w:rPr>
          <w:fldChar w:fldCharType="end"/>
        </w:r>
      </w:hyperlink>
    </w:p>
    <w:p w14:paraId="2E087E5A" w14:textId="5E8D9935" w:rsidR="00523D86" w:rsidRPr="00A85B02" w:rsidRDefault="00A830A7" w:rsidP="00523D86">
      <w:pPr>
        <w:pStyle w:val="TOC1"/>
        <w:rPr>
          <w:rFonts w:eastAsiaTheme="minorEastAsia" w:cstheme="minorBidi"/>
          <w:sz w:val="22"/>
          <w:szCs w:val="22"/>
          <w:lang w:eastAsia="en-AU"/>
        </w:rPr>
      </w:pPr>
      <w:hyperlink w:anchor="_Toc135043521" w:history="1">
        <w:r w:rsidR="00523D86" w:rsidRPr="00F17A9D">
          <w:rPr>
            <w:rStyle w:val="Hyperlink"/>
            <w:rFonts w:asciiTheme="majorHAnsi" w:hAnsiTheme="majorHAnsi"/>
            <w:sz w:val="22"/>
            <w:szCs w:val="22"/>
          </w:rPr>
          <w:t>Setting the national efficient cost</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_Toc135043521 \h </w:instrText>
        </w:r>
        <w:r w:rsidR="00523D86" w:rsidRPr="00F17A9D">
          <w:rPr>
            <w:webHidden/>
            <w:sz w:val="22"/>
            <w:szCs w:val="22"/>
          </w:rPr>
        </w:r>
        <w:r w:rsidR="00523D86" w:rsidRPr="00F17A9D">
          <w:rPr>
            <w:webHidden/>
            <w:sz w:val="22"/>
            <w:szCs w:val="22"/>
          </w:rPr>
          <w:fldChar w:fldCharType="separate"/>
        </w:r>
        <w:r w:rsidR="008C33BE">
          <w:rPr>
            <w:webHidden/>
            <w:sz w:val="22"/>
            <w:szCs w:val="22"/>
          </w:rPr>
          <w:t>23</w:t>
        </w:r>
        <w:r w:rsidR="00523D86" w:rsidRPr="00F17A9D">
          <w:rPr>
            <w:webHidden/>
            <w:sz w:val="22"/>
            <w:szCs w:val="22"/>
          </w:rPr>
          <w:fldChar w:fldCharType="end"/>
        </w:r>
      </w:hyperlink>
    </w:p>
    <w:p w14:paraId="2E049282" w14:textId="787D2C62" w:rsidR="00523D86" w:rsidRPr="00A85B02" w:rsidRDefault="00A830A7" w:rsidP="00523D86">
      <w:pPr>
        <w:pStyle w:val="TOC1"/>
        <w:rPr>
          <w:rFonts w:eastAsiaTheme="minorEastAsia" w:cstheme="minorBidi"/>
          <w:sz w:val="22"/>
          <w:szCs w:val="22"/>
          <w:lang w:eastAsia="en-AU"/>
        </w:rPr>
      </w:pPr>
      <w:hyperlink w:anchor="_Toc135043528" w:history="1">
        <w:r w:rsidR="00523D86" w:rsidRPr="00F17A9D">
          <w:rPr>
            <w:rStyle w:val="Hyperlink"/>
            <w:rFonts w:asciiTheme="majorHAnsi" w:hAnsiTheme="majorHAnsi"/>
            <w:sz w:val="22"/>
            <w:szCs w:val="22"/>
          </w:rPr>
          <w:t>Data collection</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_Toc135043528 \h </w:instrText>
        </w:r>
        <w:r w:rsidR="00523D86" w:rsidRPr="00F17A9D">
          <w:rPr>
            <w:webHidden/>
            <w:sz w:val="22"/>
            <w:szCs w:val="22"/>
          </w:rPr>
        </w:r>
        <w:r w:rsidR="00523D86" w:rsidRPr="00F17A9D">
          <w:rPr>
            <w:webHidden/>
            <w:sz w:val="22"/>
            <w:szCs w:val="22"/>
          </w:rPr>
          <w:fldChar w:fldCharType="separate"/>
        </w:r>
        <w:r w:rsidR="008C33BE">
          <w:rPr>
            <w:webHidden/>
            <w:sz w:val="22"/>
            <w:szCs w:val="22"/>
          </w:rPr>
          <w:t>26</w:t>
        </w:r>
        <w:r w:rsidR="00523D86" w:rsidRPr="00F17A9D">
          <w:rPr>
            <w:webHidden/>
            <w:sz w:val="22"/>
            <w:szCs w:val="22"/>
          </w:rPr>
          <w:fldChar w:fldCharType="end"/>
        </w:r>
      </w:hyperlink>
    </w:p>
    <w:p w14:paraId="20A2A184" w14:textId="685F4AED" w:rsidR="00523D86" w:rsidRPr="00A85B02" w:rsidRDefault="00A830A7" w:rsidP="00523D86">
      <w:pPr>
        <w:pStyle w:val="TOC1"/>
        <w:rPr>
          <w:rFonts w:eastAsiaTheme="minorEastAsia" w:cstheme="minorBidi"/>
          <w:sz w:val="22"/>
          <w:szCs w:val="22"/>
          <w:lang w:eastAsia="en-AU"/>
        </w:rPr>
      </w:pPr>
      <w:hyperlink w:anchor="_Toc135043532" w:history="1">
        <w:r w:rsidR="00523D86" w:rsidRPr="00F17A9D">
          <w:rPr>
            <w:rStyle w:val="Hyperlink"/>
            <w:rFonts w:asciiTheme="majorHAnsi" w:hAnsiTheme="majorHAnsi"/>
            <w:sz w:val="22"/>
            <w:szCs w:val="22"/>
          </w:rPr>
          <w:t>Treatment of other Commonwealth Programs</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_Toc135043532 \h </w:instrText>
        </w:r>
        <w:r w:rsidR="00523D86" w:rsidRPr="00F17A9D">
          <w:rPr>
            <w:webHidden/>
            <w:sz w:val="22"/>
            <w:szCs w:val="22"/>
          </w:rPr>
        </w:r>
        <w:r w:rsidR="00523D86" w:rsidRPr="00F17A9D">
          <w:rPr>
            <w:webHidden/>
            <w:sz w:val="22"/>
            <w:szCs w:val="22"/>
          </w:rPr>
          <w:fldChar w:fldCharType="separate"/>
        </w:r>
        <w:r w:rsidR="008C33BE">
          <w:rPr>
            <w:webHidden/>
            <w:sz w:val="22"/>
            <w:szCs w:val="22"/>
          </w:rPr>
          <w:t>29</w:t>
        </w:r>
        <w:r w:rsidR="00523D86" w:rsidRPr="00F17A9D">
          <w:rPr>
            <w:webHidden/>
            <w:sz w:val="22"/>
            <w:szCs w:val="22"/>
          </w:rPr>
          <w:fldChar w:fldCharType="end"/>
        </w:r>
      </w:hyperlink>
    </w:p>
    <w:p w14:paraId="18087214" w14:textId="2DC417B0" w:rsidR="00523D86" w:rsidRPr="00A85B02" w:rsidRDefault="00A830A7" w:rsidP="00523D86">
      <w:pPr>
        <w:pStyle w:val="TOC1"/>
        <w:rPr>
          <w:rFonts w:eastAsiaTheme="minorEastAsia" w:cstheme="minorBidi"/>
          <w:sz w:val="22"/>
          <w:szCs w:val="22"/>
          <w:lang w:eastAsia="en-AU"/>
        </w:rPr>
      </w:pPr>
      <w:hyperlink w:anchor="_Toc135043534" w:history="1">
        <w:r w:rsidR="00523D86" w:rsidRPr="00F17A9D">
          <w:rPr>
            <w:rStyle w:val="Hyperlink"/>
            <w:rFonts w:asciiTheme="majorHAnsi" w:hAnsiTheme="majorHAnsi"/>
            <w:sz w:val="22"/>
            <w:szCs w:val="22"/>
          </w:rPr>
          <w:t>Future funding models</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_Toc135043534 \h </w:instrText>
        </w:r>
        <w:r w:rsidR="00523D86" w:rsidRPr="00F17A9D">
          <w:rPr>
            <w:webHidden/>
            <w:sz w:val="22"/>
            <w:szCs w:val="22"/>
          </w:rPr>
        </w:r>
        <w:r w:rsidR="00523D86" w:rsidRPr="00F17A9D">
          <w:rPr>
            <w:webHidden/>
            <w:sz w:val="22"/>
            <w:szCs w:val="22"/>
          </w:rPr>
          <w:fldChar w:fldCharType="separate"/>
        </w:r>
        <w:r w:rsidR="008C33BE">
          <w:rPr>
            <w:webHidden/>
            <w:sz w:val="22"/>
            <w:szCs w:val="22"/>
          </w:rPr>
          <w:t>31</w:t>
        </w:r>
        <w:r w:rsidR="00523D86" w:rsidRPr="00F17A9D">
          <w:rPr>
            <w:webHidden/>
            <w:sz w:val="22"/>
            <w:szCs w:val="22"/>
          </w:rPr>
          <w:fldChar w:fldCharType="end"/>
        </w:r>
      </w:hyperlink>
    </w:p>
    <w:p w14:paraId="15548527" w14:textId="2364DAEC" w:rsidR="00523D86" w:rsidRPr="00A85B02" w:rsidRDefault="00A830A7" w:rsidP="00523D86">
      <w:pPr>
        <w:pStyle w:val="TOC1"/>
        <w:rPr>
          <w:rFonts w:eastAsiaTheme="minorEastAsia" w:cstheme="minorBidi"/>
          <w:sz w:val="22"/>
          <w:szCs w:val="22"/>
          <w:lang w:eastAsia="en-AU"/>
        </w:rPr>
      </w:pPr>
      <w:hyperlink w:anchor="_Toc135043537" w:history="1">
        <w:r w:rsidR="00523D86" w:rsidRPr="00F17A9D">
          <w:rPr>
            <w:rStyle w:val="Hyperlink"/>
            <w:rFonts w:asciiTheme="majorHAnsi" w:hAnsiTheme="majorHAnsi"/>
            <w:sz w:val="22"/>
            <w:szCs w:val="22"/>
          </w:rPr>
          <w:t>Pricing and funding for safety and quality</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_Toc135043537 \h </w:instrText>
        </w:r>
        <w:r w:rsidR="00523D86" w:rsidRPr="00F17A9D">
          <w:rPr>
            <w:webHidden/>
            <w:sz w:val="22"/>
            <w:szCs w:val="22"/>
          </w:rPr>
        </w:r>
        <w:r w:rsidR="00523D86" w:rsidRPr="00F17A9D">
          <w:rPr>
            <w:webHidden/>
            <w:sz w:val="22"/>
            <w:szCs w:val="22"/>
          </w:rPr>
          <w:fldChar w:fldCharType="separate"/>
        </w:r>
        <w:r w:rsidR="008C33BE">
          <w:rPr>
            <w:webHidden/>
            <w:sz w:val="22"/>
            <w:szCs w:val="22"/>
          </w:rPr>
          <w:t>34</w:t>
        </w:r>
        <w:r w:rsidR="00523D86" w:rsidRPr="00F17A9D">
          <w:rPr>
            <w:webHidden/>
            <w:sz w:val="22"/>
            <w:szCs w:val="22"/>
          </w:rPr>
          <w:fldChar w:fldCharType="end"/>
        </w:r>
      </w:hyperlink>
    </w:p>
    <w:p w14:paraId="1212AC84" w14:textId="04FE2B9A" w:rsidR="00523D86" w:rsidRPr="00A85B02" w:rsidRDefault="00A830A7" w:rsidP="00523D86">
      <w:pPr>
        <w:pStyle w:val="TOC1"/>
        <w:rPr>
          <w:rFonts w:eastAsiaTheme="minorEastAsia" w:cstheme="minorBidi"/>
          <w:sz w:val="22"/>
          <w:szCs w:val="22"/>
          <w:lang w:eastAsia="en-AU"/>
        </w:rPr>
      </w:pPr>
      <w:hyperlink w:anchor="_Toc135043542" w:history="1">
        <w:r w:rsidR="00523D86" w:rsidRPr="00F17A9D">
          <w:rPr>
            <w:rStyle w:val="Hyperlink"/>
            <w:rFonts w:asciiTheme="majorHAnsi" w:hAnsiTheme="majorHAnsi"/>
            <w:sz w:val="22"/>
            <w:szCs w:val="22"/>
          </w:rPr>
          <w:t>Appendix</w:t>
        </w:r>
        <w:r w:rsidR="00523D86" w:rsidRPr="00F17A9D">
          <w:rPr>
            <w:webHidden/>
            <w:sz w:val="22"/>
            <w:szCs w:val="22"/>
          </w:rPr>
          <w:tab/>
        </w:r>
        <w:r w:rsidR="00523D86" w:rsidRPr="00F17A9D">
          <w:rPr>
            <w:webHidden/>
            <w:sz w:val="22"/>
            <w:szCs w:val="22"/>
          </w:rPr>
          <w:fldChar w:fldCharType="begin"/>
        </w:r>
        <w:r w:rsidR="00523D86" w:rsidRPr="00F17A9D">
          <w:rPr>
            <w:webHidden/>
            <w:sz w:val="22"/>
            <w:szCs w:val="22"/>
          </w:rPr>
          <w:instrText xml:space="preserve"> PAGEREF _Toc135043542 \h </w:instrText>
        </w:r>
        <w:r w:rsidR="00523D86" w:rsidRPr="00F17A9D">
          <w:rPr>
            <w:webHidden/>
            <w:sz w:val="22"/>
            <w:szCs w:val="22"/>
          </w:rPr>
        </w:r>
        <w:r w:rsidR="00523D86" w:rsidRPr="00F17A9D">
          <w:rPr>
            <w:webHidden/>
            <w:sz w:val="22"/>
            <w:szCs w:val="22"/>
          </w:rPr>
          <w:fldChar w:fldCharType="separate"/>
        </w:r>
        <w:r w:rsidR="008C33BE">
          <w:rPr>
            <w:webHidden/>
            <w:sz w:val="22"/>
            <w:szCs w:val="22"/>
          </w:rPr>
          <w:t>37</w:t>
        </w:r>
        <w:r w:rsidR="00523D86" w:rsidRPr="00F17A9D">
          <w:rPr>
            <w:webHidden/>
            <w:sz w:val="22"/>
            <w:szCs w:val="22"/>
          </w:rPr>
          <w:fldChar w:fldCharType="end"/>
        </w:r>
      </w:hyperlink>
    </w:p>
    <w:p w14:paraId="7A723878" w14:textId="71710DFB" w:rsidR="009474B2" w:rsidRPr="00596348" w:rsidRDefault="00F94D88" w:rsidP="00916C26">
      <w:pPr>
        <w:pStyle w:val="Body"/>
        <w:sectPr w:rsidR="009474B2" w:rsidRPr="00596348" w:rsidSect="00DB238C">
          <w:footerReference w:type="default" r:id="rId17"/>
          <w:pgSz w:w="11906" w:h="16838" w:code="9"/>
          <w:pgMar w:top="851" w:right="1440" w:bottom="1440" w:left="1440" w:header="708" w:footer="708" w:gutter="0"/>
          <w:pgNumType w:start="1"/>
          <w:cols w:space="708"/>
          <w:docGrid w:linePitch="360"/>
        </w:sectPr>
      </w:pPr>
      <w:r w:rsidRPr="00F17A9D">
        <w:rPr>
          <w:noProof/>
          <w:sz w:val="22"/>
          <w:szCs w:val="22"/>
        </w:rPr>
        <w:fldChar w:fldCharType="end"/>
      </w:r>
    </w:p>
    <w:p w14:paraId="1560D0F4" w14:textId="46476E67" w:rsidR="0009296B" w:rsidRPr="00523D86" w:rsidRDefault="007460B0" w:rsidP="000258BC">
      <w:pPr>
        <w:pStyle w:val="Heading1"/>
        <w:spacing w:before="600" w:line="720" w:lineRule="exact"/>
      </w:pPr>
      <w:bookmarkStart w:id="5" w:name="_Toc128394804"/>
      <w:bookmarkStart w:id="6" w:name="_Toc135043500"/>
      <w:r w:rsidRPr="00523D86">
        <w:rPr>
          <w:rFonts w:asciiTheme="majorHAnsi" w:hAnsiTheme="majorHAnsi" w:cs="Times New Roman (Headings CS)"/>
        </w:rPr>
        <w:lastRenderedPageBreak/>
        <w:t>Abbreviations</w:t>
      </w:r>
      <w:bookmarkEnd w:id="5"/>
      <w:bookmarkEnd w:id="6"/>
    </w:p>
    <w:tbl>
      <w:tblPr>
        <w:tblStyle w:val="TableGrid"/>
        <w:tblW w:w="5000" w:type="pct"/>
        <w:tblBorders>
          <w:top w:val="none" w:sz="0" w:space="0" w:color="auto"/>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Caption w:val="Abreviations"/>
        <w:tblDescription w:val="Table with list of abbreviations"/>
      </w:tblPr>
      <w:tblGrid>
        <w:gridCol w:w="1700"/>
        <w:gridCol w:w="7326"/>
      </w:tblGrid>
      <w:tr w:rsidR="003326A1" w:rsidRPr="00500515" w14:paraId="7E11049A" w14:textId="77777777" w:rsidTr="00B23A26">
        <w:tc>
          <w:tcPr>
            <w:tcW w:w="942" w:type="pct"/>
            <w:tcBorders>
              <w:top w:val="nil"/>
              <w:bottom w:val="nil"/>
              <w:right w:val="nil"/>
            </w:tcBorders>
            <w:shd w:val="clear" w:color="auto" w:fill="0080C4" w:themeFill="accent2"/>
            <w:vAlign w:val="bottom"/>
          </w:tcPr>
          <w:p w14:paraId="37F28035" w14:textId="77777777" w:rsidR="00916C26" w:rsidRPr="006271FA" w:rsidRDefault="00916C26" w:rsidP="00E252F3">
            <w:pPr>
              <w:pStyle w:val="Body"/>
              <w:spacing w:before="20" w:after="20"/>
              <w:rPr>
                <w:b/>
                <w:bCs/>
                <w:color w:val="FFFFFF" w:themeColor="background1"/>
                <w:sz w:val="16"/>
                <w:szCs w:val="16"/>
              </w:rPr>
            </w:pPr>
            <w:r w:rsidRPr="006271FA">
              <w:rPr>
                <w:b/>
                <w:bCs/>
                <w:color w:val="FFFFFF" w:themeColor="background1"/>
                <w:sz w:val="16"/>
                <w:szCs w:val="16"/>
              </w:rPr>
              <w:t>Abbreviations</w:t>
            </w:r>
          </w:p>
        </w:tc>
        <w:tc>
          <w:tcPr>
            <w:tcW w:w="4058" w:type="pct"/>
            <w:tcBorders>
              <w:top w:val="nil"/>
              <w:left w:val="nil"/>
              <w:bottom w:val="nil"/>
            </w:tcBorders>
            <w:shd w:val="clear" w:color="auto" w:fill="0080C4" w:themeFill="accent2"/>
            <w:vAlign w:val="bottom"/>
          </w:tcPr>
          <w:p w14:paraId="6D2D4DDD" w14:textId="77777777" w:rsidR="00916C26" w:rsidRPr="006271FA" w:rsidRDefault="00916C26" w:rsidP="00E252F3">
            <w:pPr>
              <w:pStyle w:val="Body"/>
              <w:spacing w:before="20" w:after="20"/>
              <w:rPr>
                <w:b/>
                <w:bCs/>
                <w:color w:val="FFFFFF" w:themeColor="background1"/>
                <w:sz w:val="16"/>
                <w:szCs w:val="16"/>
              </w:rPr>
            </w:pPr>
            <w:r w:rsidRPr="006271FA">
              <w:rPr>
                <w:b/>
                <w:bCs/>
                <w:color w:val="FFFFFF" w:themeColor="background1"/>
                <w:sz w:val="16"/>
                <w:szCs w:val="16"/>
              </w:rPr>
              <w:t>Full term</w:t>
            </w:r>
          </w:p>
        </w:tc>
      </w:tr>
      <w:tr w:rsidR="003326A1" w:rsidRPr="00500515" w14:paraId="0E0DAFC9" w14:textId="77777777" w:rsidTr="00B23A26">
        <w:tc>
          <w:tcPr>
            <w:tcW w:w="942" w:type="pct"/>
            <w:tcBorders>
              <w:top w:val="nil"/>
              <w:bottom w:val="single" w:sz="4" w:space="0" w:color="989393" w:themeColor="background2" w:themeShade="A6"/>
            </w:tcBorders>
          </w:tcPr>
          <w:p w14:paraId="6DEA88BF" w14:textId="77777777" w:rsidR="00916C26" w:rsidRPr="006271FA" w:rsidRDefault="00916C26" w:rsidP="00E252F3">
            <w:pPr>
              <w:pStyle w:val="Body"/>
              <w:spacing w:before="20" w:after="20"/>
              <w:rPr>
                <w:b/>
                <w:bCs/>
                <w:sz w:val="16"/>
                <w:szCs w:val="16"/>
              </w:rPr>
            </w:pPr>
            <w:r w:rsidRPr="006271FA">
              <w:rPr>
                <w:b/>
                <w:bCs/>
                <w:sz w:val="16"/>
                <w:szCs w:val="16"/>
              </w:rPr>
              <w:t>ABF</w:t>
            </w:r>
          </w:p>
        </w:tc>
        <w:tc>
          <w:tcPr>
            <w:tcW w:w="4058" w:type="pct"/>
            <w:tcBorders>
              <w:top w:val="nil"/>
              <w:bottom w:val="single" w:sz="4" w:space="0" w:color="989393" w:themeColor="background2" w:themeShade="A6"/>
            </w:tcBorders>
          </w:tcPr>
          <w:p w14:paraId="598CEA84" w14:textId="77777777" w:rsidR="00916C26" w:rsidRPr="006271FA" w:rsidRDefault="00916C26" w:rsidP="00E252F3">
            <w:pPr>
              <w:pStyle w:val="Body"/>
              <w:spacing w:before="20" w:after="20"/>
              <w:rPr>
                <w:sz w:val="16"/>
                <w:szCs w:val="16"/>
              </w:rPr>
            </w:pPr>
            <w:r w:rsidRPr="006271FA">
              <w:rPr>
                <w:sz w:val="16"/>
                <w:szCs w:val="16"/>
              </w:rPr>
              <w:t>Activity based funding</w:t>
            </w:r>
          </w:p>
        </w:tc>
      </w:tr>
      <w:tr w:rsidR="003326A1" w:rsidRPr="00500515" w14:paraId="586B2702" w14:textId="77777777" w:rsidTr="00B23A26">
        <w:tc>
          <w:tcPr>
            <w:tcW w:w="942" w:type="pct"/>
            <w:tcBorders>
              <w:top w:val="nil"/>
              <w:bottom w:val="single" w:sz="4" w:space="0" w:color="989393" w:themeColor="background2" w:themeShade="A6"/>
            </w:tcBorders>
          </w:tcPr>
          <w:p w14:paraId="3E1D5FBA" w14:textId="77777777" w:rsidR="00916C26" w:rsidRPr="006271FA" w:rsidRDefault="00916C26" w:rsidP="00E252F3">
            <w:pPr>
              <w:pStyle w:val="Body"/>
              <w:spacing w:before="20" w:after="20"/>
              <w:rPr>
                <w:b/>
                <w:bCs/>
                <w:sz w:val="16"/>
                <w:szCs w:val="16"/>
              </w:rPr>
            </w:pPr>
            <w:r w:rsidRPr="006271FA">
              <w:rPr>
                <w:b/>
                <w:bCs/>
                <w:sz w:val="16"/>
                <w:szCs w:val="16"/>
              </w:rPr>
              <w:t>ACE</w:t>
            </w:r>
          </w:p>
        </w:tc>
        <w:tc>
          <w:tcPr>
            <w:tcW w:w="4058" w:type="pct"/>
            <w:tcBorders>
              <w:top w:val="nil"/>
              <w:bottom w:val="single" w:sz="4" w:space="0" w:color="989393" w:themeColor="background2" w:themeShade="A6"/>
            </w:tcBorders>
          </w:tcPr>
          <w:p w14:paraId="07EE34C5" w14:textId="77777777" w:rsidR="00916C26" w:rsidRPr="006271FA" w:rsidRDefault="00916C26" w:rsidP="00E252F3">
            <w:pPr>
              <w:pStyle w:val="Body"/>
              <w:spacing w:before="20" w:after="20"/>
              <w:rPr>
                <w:sz w:val="16"/>
                <w:szCs w:val="16"/>
              </w:rPr>
            </w:pPr>
            <w:r w:rsidRPr="006271FA">
              <w:rPr>
                <w:sz w:val="16"/>
                <w:szCs w:val="16"/>
              </w:rPr>
              <w:t>Australian Classification Exchange</w:t>
            </w:r>
          </w:p>
        </w:tc>
      </w:tr>
      <w:tr w:rsidR="003326A1" w:rsidRPr="00500515" w14:paraId="69AC0FC8" w14:textId="77777777" w:rsidTr="00B23A26">
        <w:tc>
          <w:tcPr>
            <w:tcW w:w="942" w:type="pct"/>
            <w:tcBorders>
              <w:top w:val="single" w:sz="4" w:space="0" w:color="989393" w:themeColor="background2" w:themeShade="A6"/>
              <w:bottom w:val="single" w:sz="4" w:space="0" w:color="989393" w:themeColor="background2" w:themeShade="A6"/>
            </w:tcBorders>
          </w:tcPr>
          <w:p w14:paraId="21C44F78" w14:textId="77777777" w:rsidR="00916C26" w:rsidRPr="006271FA" w:rsidRDefault="00916C26" w:rsidP="00E252F3">
            <w:pPr>
              <w:pStyle w:val="Body"/>
              <w:spacing w:before="20" w:after="20"/>
              <w:rPr>
                <w:b/>
                <w:bCs/>
                <w:sz w:val="16"/>
                <w:szCs w:val="16"/>
              </w:rPr>
            </w:pPr>
            <w:r w:rsidRPr="006271FA">
              <w:rPr>
                <w:b/>
                <w:bCs/>
                <w:sz w:val="16"/>
                <w:szCs w:val="16"/>
              </w:rPr>
              <w:t>ACHI</w:t>
            </w:r>
          </w:p>
        </w:tc>
        <w:tc>
          <w:tcPr>
            <w:tcW w:w="4058" w:type="pct"/>
            <w:tcBorders>
              <w:top w:val="single" w:sz="4" w:space="0" w:color="989393" w:themeColor="background2" w:themeShade="A6"/>
              <w:bottom w:val="single" w:sz="4" w:space="0" w:color="989393" w:themeColor="background2" w:themeShade="A6"/>
            </w:tcBorders>
          </w:tcPr>
          <w:p w14:paraId="03297CF9" w14:textId="77777777" w:rsidR="00916C26" w:rsidRPr="006271FA" w:rsidRDefault="00916C26" w:rsidP="00E252F3">
            <w:pPr>
              <w:pStyle w:val="Body"/>
              <w:spacing w:before="20" w:after="20"/>
              <w:rPr>
                <w:sz w:val="16"/>
                <w:szCs w:val="16"/>
              </w:rPr>
            </w:pPr>
            <w:r w:rsidRPr="006271FA">
              <w:rPr>
                <w:sz w:val="16"/>
                <w:szCs w:val="16"/>
              </w:rPr>
              <w:t>Australian Classification of Health Interventions</w:t>
            </w:r>
          </w:p>
        </w:tc>
      </w:tr>
      <w:tr w:rsidR="003326A1" w:rsidRPr="00500515" w14:paraId="25D31B29" w14:textId="77777777" w:rsidTr="00B23A26">
        <w:tc>
          <w:tcPr>
            <w:tcW w:w="942" w:type="pct"/>
            <w:tcBorders>
              <w:top w:val="single" w:sz="4" w:space="0" w:color="989393" w:themeColor="background2" w:themeShade="A6"/>
              <w:bottom w:val="single" w:sz="4" w:space="0" w:color="989393" w:themeColor="background2" w:themeShade="A6"/>
            </w:tcBorders>
          </w:tcPr>
          <w:p w14:paraId="08E655C3" w14:textId="77777777" w:rsidR="00916C26" w:rsidRPr="006271FA" w:rsidRDefault="00916C26" w:rsidP="00E252F3">
            <w:pPr>
              <w:pStyle w:val="Body"/>
              <w:spacing w:before="20" w:after="20"/>
              <w:rPr>
                <w:b/>
                <w:bCs/>
                <w:sz w:val="16"/>
                <w:szCs w:val="16"/>
              </w:rPr>
            </w:pPr>
            <w:r w:rsidRPr="006271FA">
              <w:rPr>
                <w:b/>
                <w:bCs/>
                <w:sz w:val="16"/>
                <w:szCs w:val="16"/>
              </w:rPr>
              <w:t>ACS</w:t>
            </w:r>
          </w:p>
        </w:tc>
        <w:tc>
          <w:tcPr>
            <w:tcW w:w="4058" w:type="pct"/>
            <w:tcBorders>
              <w:top w:val="single" w:sz="4" w:space="0" w:color="989393" w:themeColor="background2" w:themeShade="A6"/>
              <w:bottom w:val="single" w:sz="4" w:space="0" w:color="989393" w:themeColor="background2" w:themeShade="A6"/>
            </w:tcBorders>
          </w:tcPr>
          <w:p w14:paraId="0774C5C0" w14:textId="77777777" w:rsidR="00916C26" w:rsidRPr="006271FA" w:rsidRDefault="00916C26" w:rsidP="00E252F3">
            <w:pPr>
              <w:pStyle w:val="Body"/>
              <w:spacing w:before="20" w:after="20"/>
              <w:rPr>
                <w:sz w:val="16"/>
                <w:szCs w:val="16"/>
              </w:rPr>
            </w:pPr>
            <w:r w:rsidRPr="006271FA">
              <w:rPr>
                <w:sz w:val="16"/>
                <w:szCs w:val="16"/>
              </w:rPr>
              <w:t>Australian Coding Standards</w:t>
            </w:r>
          </w:p>
        </w:tc>
      </w:tr>
      <w:tr w:rsidR="003326A1" w:rsidRPr="00500515" w14:paraId="02768C90" w14:textId="77777777" w:rsidTr="00B23A26">
        <w:tc>
          <w:tcPr>
            <w:tcW w:w="942" w:type="pct"/>
            <w:tcBorders>
              <w:top w:val="single" w:sz="4" w:space="0" w:color="989393" w:themeColor="background2" w:themeShade="A6"/>
              <w:bottom w:val="single" w:sz="4" w:space="0" w:color="989393" w:themeColor="background2" w:themeShade="A6"/>
            </w:tcBorders>
          </w:tcPr>
          <w:p w14:paraId="2EC5C784" w14:textId="77777777" w:rsidR="00916C26" w:rsidRPr="006271FA" w:rsidRDefault="00916C26" w:rsidP="00E252F3">
            <w:pPr>
              <w:pStyle w:val="Body"/>
              <w:spacing w:before="20" w:after="20"/>
              <w:rPr>
                <w:b/>
                <w:bCs/>
                <w:sz w:val="16"/>
                <w:szCs w:val="16"/>
              </w:rPr>
            </w:pPr>
            <w:r w:rsidRPr="006271FA">
              <w:rPr>
                <w:b/>
                <w:bCs/>
                <w:sz w:val="16"/>
                <w:szCs w:val="16"/>
              </w:rPr>
              <w:t>AECC</w:t>
            </w:r>
          </w:p>
        </w:tc>
        <w:tc>
          <w:tcPr>
            <w:tcW w:w="4058" w:type="pct"/>
            <w:tcBorders>
              <w:top w:val="single" w:sz="4" w:space="0" w:color="989393" w:themeColor="background2" w:themeShade="A6"/>
              <w:bottom w:val="single" w:sz="4" w:space="0" w:color="989393" w:themeColor="background2" w:themeShade="A6"/>
            </w:tcBorders>
          </w:tcPr>
          <w:p w14:paraId="7483E1B3" w14:textId="77777777" w:rsidR="00916C26" w:rsidRPr="006271FA" w:rsidRDefault="00916C26" w:rsidP="00E252F3">
            <w:pPr>
              <w:pStyle w:val="Body"/>
              <w:spacing w:before="20" w:after="20"/>
              <w:rPr>
                <w:sz w:val="16"/>
                <w:szCs w:val="16"/>
              </w:rPr>
            </w:pPr>
            <w:r w:rsidRPr="006271FA">
              <w:rPr>
                <w:sz w:val="16"/>
                <w:szCs w:val="16"/>
              </w:rPr>
              <w:t>Australian Emergency Care Classification</w:t>
            </w:r>
          </w:p>
        </w:tc>
      </w:tr>
      <w:tr w:rsidR="003326A1" w:rsidRPr="00500515" w14:paraId="248E0B0B" w14:textId="77777777" w:rsidTr="00B23A26">
        <w:tc>
          <w:tcPr>
            <w:tcW w:w="942" w:type="pct"/>
            <w:tcBorders>
              <w:top w:val="single" w:sz="4" w:space="0" w:color="989393" w:themeColor="background2" w:themeShade="A6"/>
              <w:bottom w:val="single" w:sz="4" w:space="0" w:color="989393" w:themeColor="background2" w:themeShade="A6"/>
            </w:tcBorders>
          </w:tcPr>
          <w:p w14:paraId="5A4C4E10" w14:textId="359CDB4A" w:rsidR="00552CF1" w:rsidRPr="006271FA" w:rsidRDefault="00552CF1" w:rsidP="00E252F3">
            <w:pPr>
              <w:pStyle w:val="Body"/>
              <w:spacing w:before="20" w:after="20"/>
              <w:rPr>
                <w:b/>
                <w:bCs/>
                <w:sz w:val="16"/>
                <w:szCs w:val="16"/>
              </w:rPr>
            </w:pPr>
            <w:r w:rsidRPr="006271FA">
              <w:rPr>
                <w:b/>
                <w:bCs/>
                <w:sz w:val="16"/>
                <w:szCs w:val="16"/>
              </w:rPr>
              <w:t>AHR</w:t>
            </w:r>
          </w:p>
        </w:tc>
        <w:tc>
          <w:tcPr>
            <w:tcW w:w="4058" w:type="pct"/>
            <w:tcBorders>
              <w:top w:val="single" w:sz="4" w:space="0" w:color="989393" w:themeColor="background2" w:themeShade="A6"/>
              <w:bottom w:val="single" w:sz="4" w:space="0" w:color="989393" w:themeColor="background2" w:themeShade="A6"/>
            </w:tcBorders>
          </w:tcPr>
          <w:p w14:paraId="3C5BB07A" w14:textId="1654B08C" w:rsidR="00552CF1" w:rsidRPr="006271FA" w:rsidRDefault="00552CF1" w:rsidP="00E252F3">
            <w:pPr>
              <w:pStyle w:val="Body"/>
              <w:spacing w:before="20" w:after="20"/>
              <w:rPr>
                <w:sz w:val="16"/>
                <w:szCs w:val="16"/>
              </w:rPr>
            </w:pPr>
            <w:r w:rsidRPr="006271FA">
              <w:rPr>
                <w:sz w:val="16"/>
                <w:szCs w:val="16"/>
              </w:rPr>
              <w:t xml:space="preserve">Avoidable </w:t>
            </w:r>
            <w:r w:rsidR="000D30A4" w:rsidRPr="006271FA">
              <w:rPr>
                <w:sz w:val="16"/>
                <w:szCs w:val="16"/>
              </w:rPr>
              <w:t>h</w:t>
            </w:r>
            <w:r w:rsidRPr="006271FA">
              <w:rPr>
                <w:sz w:val="16"/>
                <w:szCs w:val="16"/>
              </w:rPr>
              <w:t xml:space="preserve">ospital </w:t>
            </w:r>
            <w:r w:rsidR="000D30A4" w:rsidRPr="006271FA">
              <w:rPr>
                <w:sz w:val="16"/>
                <w:szCs w:val="16"/>
              </w:rPr>
              <w:t>r</w:t>
            </w:r>
            <w:r w:rsidRPr="006271FA">
              <w:rPr>
                <w:sz w:val="16"/>
                <w:szCs w:val="16"/>
              </w:rPr>
              <w:t>eadmission</w:t>
            </w:r>
          </w:p>
        </w:tc>
      </w:tr>
      <w:tr w:rsidR="003326A1" w:rsidRPr="00500515" w14:paraId="62BEB599" w14:textId="77777777" w:rsidTr="00B23A26">
        <w:tc>
          <w:tcPr>
            <w:tcW w:w="942" w:type="pct"/>
            <w:tcBorders>
              <w:top w:val="single" w:sz="4" w:space="0" w:color="989393" w:themeColor="background2" w:themeShade="A6"/>
              <w:bottom w:val="single" w:sz="4" w:space="0" w:color="989393" w:themeColor="background2" w:themeShade="A6"/>
            </w:tcBorders>
          </w:tcPr>
          <w:p w14:paraId="18FB1F98" w14:textId="77777777" w:rsidR="00916C26" w:rsidRPr="006271FA" w:rsidRDefault="00916C26" w:rsidP="00E252F3">
            <w:pPr>
              <w:pStyle w:val="Body"/>
              <w:spacing w:before="20" w:after="20"/>
              <w:rPr>
                <w:b/>
                <w:bCs/>
                <w:sz w:val="16"/>
                <w:szCs w:val="16"/>
              </w:rPr>
            </w:pPr>
            <w:r w:rsidRPr="006271FA">
              <w:rPr>
                <w:b/>
                <w:bCs/>
                <w:sz w:val="16"/>
                <w:szCs w:val="16"/>
              </w:rPr>
              <w:t>AMHCC</w:t>
            </w:r>
          </w:p>
        </w:tc>
        <w:tc>
          <w:tcPr>
            <w:tcW w:w="4058" w:type="pct"/>
            <w:tcBorders>
              <w:top w:val="single" w:sz="4" w:space="0" w:color="989393" w:themeColor="background2" w:themeShade="A6"/>
              <w:bottom w:val="single" w:sz="4" w:space="0" w:color="989393" w:themeColor="background2" w:themeShade="A6"/>
            </w:tcBorders>
          </w:tcPr>
          <w:p w14:paraId="74F7D54C" w14:textId="77777777" w:rsidR="00916C26" w:rsidRPr="006271FA" w:rsidRDefault="00916C26" w:rsidP="00E252F3">
            <w:pPr>
              <w:pStyle w:val="Body"/>
              <w:spacing w:before="20" w:after="20"/>
              <w:rPr>
                <w:sz w:val="16"/>
                <w:szCs w:val="16"/>
              </w:rPr>
            </w:pPr>
            <w:r w:rsidRPr="006271FA">
              <w:rPr>
                <w:sz w:val="16"/>
                <w:szCs w:val="16"/>
              </w:rPr>
              <w:t>Australian Mental Health Care Classification</w:t>
            </w:r>
          </w:p>
        </w:tc>
      </w:tr>
      <w:tr w:rsidR="003326A1" w:rsidRPr="00500515" w14:paraId="2795FA81" w14:textId="77777777" w:rsidTr="00B23A26">
        <w:tc>
          <w:tcPr>
            <w:tcW w:w="942" w:type="pct"/>
            <w:tcBorders>
              <w:top w:val="single" w:sz="4" w:space="0" w:color="989393" w:themeColor="background2" w:themeShade="A6"/>
              <w:bottom w:val="single" w:sz="4" w:space="0" w:color="989393" w:themeColor="background2" w:themeShade="A6"/>
            </w:tcBorders>
          </w:tcPr>
          <w:p w14:paraId="4949AB7D" w14:textId="77777777" w:rsidR="00916C26" w:rsidRPr="006271FA" w:rsidRDefault="00916C26" w:rsidP="00E252F3">
            <w:pPr>
              <w:pStyle w:val="Body"/>
              <w:spacing w:before="20" w:after="20"/>
              <w:rPr>
                <w:b/>
                <w:bCs/>
                <w:sz w:val="16"/>
                <w:szCs w:val="16"/>
              </w:rPr>
            </w:pPr>
            <w:r w:rsidRPr="006271FA">
              <w:rPr>
                <w:b/>
                <w:bCs/>
                <w:sz w:val="16"/>
                <w:szCs w:val="16"/>
              </w:rPr>
              <w:t>AN-SNAP</w:t>
            </w:r>
          </w:p>
        </w:tc>
        <w:tc>
          <w:tcPr>
            <w:tcW w:w="4058" w:type="pct"/>
            <w:tcBorders>
              <w:top w:val="single" w:sz="4" w:space="0" w:color="989393" w:themeColor="background2" w:themeShade="A6"/>
              <w:bottom w:val="single" w:sz="4" w:space="0" w:color="989393" w:themeColor="background2" w:themeShade="A6"/>
            </w:tcBorders>
          </w:tcPr>
          <w:p w14:paraId="2A44AC62" w14:textId="77777777" w:rsidR="00916C26" w:rsidRPr="006271FA" w:rsidRDefault="00916C26" w:rsidP="00E252F3">
            <w:pPr>
              <w:pStyle w:val="Body"/>
              <w:spacing w:before="20" w:after="20"/>
              <w:rPr>
                <w:sz w:val="16"/>
                <w:szCs w:val="16"/>
              </w:rPr>
            </w:pPr>
            <w:r w:rsidRPr="006271FA">
              <w:rPr>
                <w:sz w:val="16"/>
                <w:szCs w:val="16"/>
              </w:rPr>
              <w:t>Australian National Subacute and Non-Acute Patient Classification</w:t>
            </w:r>
          </w:p>
        </w:tc>
      </w:tr>
      <w:tr w:rsidR="003326A1" w:rsidRPr="00500515" w14:paraId="0FDB8D8F" w14:textId="77777777" w:rsidTr="00B23A26">
        <w:tc>
          <w:tcPr>
            <w:tcW w:w="942" w:type="pct"/>
            <w:tcBorders>
              <w:top w:val="single" w:sz="4" w:space="0" w:color="989393" w:themeColor="background2" w:themeShade="A6"/>
              <w:bottom w:val="single" w:sz="4" w:space="0" w:color="989393" w:themeColor="background2" w:themeShade="A6"/>
            </w:tcBorders>
          </w:tcPr>
          <w:p w14:paraId="5B7096AD" w14:textId="443DEE8A" w:rsidR="00AA47ED" w:rsidRPr="006271FA" w:rsidRDefault="00AA47ED">
            <w:pPr>
              <w:pStyle w:val="Body"/>
              <w:spacing w:before="20" w:after="20"/>
              <w:rPr>
                <w:b/>
                <w:bCs/>
                <w:sz w:val="16"/>
                <w:szCs w:val="16"/>
              </w:rPr>
            </w:pPr>
            <w:r w:rsidRPr="006271FA">
              <w:rPr>
                <w:b/>
                <w:bCs/>
                <w:sz w:val="16"/>
                <w:szCs w:val="16"/>
              </w:rPr>
              <w:t>APACHE</w:t>
            </w:r>
          </w:p>
        </w:tc>
        <w:tc>
          <w:tcPr>
            <w:tcW w:w="4058" w:type="pct"/>
            <w:tcBorders>
              <w:top w:val="single" w:sz="4" w:space="0" w:color="989393" w:themeColor="background2" w:themeShade="A6"/>
              <w:bottom w:val="single" w:sz="4" w:space="0" w:color="989393" w:themeColor="background2" w:themeShade="A6"/>
            </w:tcBorders>
          </w:tcPr>
          <w:p w14:paraId="095152A1" w14:textId="74D25AB9" w:rsidR="00AA47ED" w:rsidRPr="006271FA" w:rsidRDefault="00AA47ED">
            <w:pPr>
              <w:pStyle w:val="Body"/>
              <w:spacing w:before="20" w:after="20"/>
              <w:rPr>
                <w:sz w:val="16"/>
                <w:szCs w:val="16"/>
              </w:rPr>
            </w:pPr>
            <w:r w:rsidRPr="006271FA">
              <w:rPr>
                <w:sz w:val="16"/>
                <w:szCs w:val="16"/>
              </w:rPr>
              <w:t>Acute Physiology and Chronic Health Evaluation</w:t>
            </w:r>
          </w:p>
        </w:tc>
      </w:tr>
      <w:tr w:rsidR="003326A1" w:rsidRPr="00500515" w14:paraId="36F8E134" w14:textId="77777777" w:rsidTr="00B23A26">
        <w:tc>
          <w:tcPr>
            <w:tcW w:w="942" w:type="pct"/>
            <w:tcBorders>
              <w:top w:val="single" w:sz="4" w:space="0" w:color="989393" w:themeColor="background2" w:themeShade="A6"/>
              <w:bottom w:val="single" w:sz="4" w:space="0" w:color="989393" w:themeColor="background2" w:themeShade="A6"/>
            </w:tcBorders>
          </w:tcPr>
          <w:p w14:paraId="3FB7E49B" w14:textId="77777777" w:rsidR="00916C26" w:rsidRPr="006271FA" w:rsidRDefault="00916C26" w:rsidP="00E252F3">
            <w:pPr>
              <w:pStyle w:val="Body"/>
              <w:spacing w:before="20" w:after="20"/>
              <w:rPr>
                <w:b/>
                <w:bCs/>
                <w:sz w:val="16"/>
                <w:szCs w:val="16"/>
              </w:rPr>
            </w:pPr>
            <w:r w:rsidRPr="006271FA">
              <w:rPr>
                <w:b/>
                <w:bCs/>
                <w:sz w:val="16"/>
                <w:szCs w:val="16"/>
              </w:rPr>
              <w:t>AR-DRG</w:t>
            </w:r>
          </w:p>
        </w:tc>
        <w:tc>
          <w:tcPr>
            <w:tcW w:w="4058" w:type="pct"/>
            <w:tcBorders>
              <w:top w:val="single" w:sz="4" w:space="0" w:color="989393" w:themeColor="background2" w:themeShade="A6"/>
              <w:bottom w:val="single" w:sz="4" w:space="0" w:color="989393" w:themeColor="background2" w:themeShade="A6"/>
            </w:tcBorders>
          </w:tcPr>
          <w:p w14:paraId="0CC9DB90" w14:textId="77777777" w:rsidR="00916C26" w:rsidRPr="006271FA" w:rsidRDefault="00916C26" w:rsidP="00E252F3">
            <w:pPr>
              <w:pStyle w:val="Body"/>
              <w:spacing w:before="20" w:after="20"/>
              <w:rPr>
                <w:sz w:val="16"/>
                <w:szCs w:val="16"/>
              </w:rPr>
            </w:pPr>
            <w:r w:rsidRPr="006271FA">
              <w:rPr>
                <w:sz w:val="16"/>
                <w:szCs w:val="16"/>
              </w:rPr>
              <w:t>Australian Refined Diagnosis Related Group</w:t>
            </w:r>
          </w:p>
        </w:tc>
      </w:tr>
      <w:tr w:rsidR="003326A1" w:rsidRPr="00500515" w14:paraId="1BC4C9BC" w14:textId="77777777" w:rsidTr="00B23A26">
        <w:tc>
          <w:tcPr>
            <w:tcW w:w="942" w:type="pct"/>
            <w:tcBorders>
              <w:top w:val="single" w:sz="4" w:space="0" w:color="989393" w:themeColor="background2" w:themeShade="A6"/>
              <w:bottom w:val="single" w:sz="4" w:space="0" w:color="989393" w:themeColor="background2" w:themeShade="A6"/>
            </w:tcBorders>
          </w:tcPr>
          <w:p w14:paraId="04E46315" w14:textId="77777777" w:rsidR="00916C26" w:rsidRPr="006271FA" w:rsidRDefault="00916C26" w:rsidP="00E252F3">
            <w:pPr>
              <w:pStyle w:val="Body"/>
              <w:spacing w:before="20" w:after="20"/>
              <w:rPr>
                <w:b/>
                <w:bCs/>
                <w:sz w:val="16"/>
                <w:szCs w:val="16"/>
              </w:rPr>
            </w:pPr>
            <w:r w:rsidRPr="006271FA">
              <w:rPr>
                <w:b/>
                <w:bCs/>
                <w:sz w:val="16"/>
                <w:szCs w:val="16"/>
              </w:rPr>
              <w:t>ATTC</w:t>
            </w:r>
          </w:p>
        </w:tc>
        <w:tc>
          <w:tcPr>
            <w:tcW w:w="4058" w:type="pct"/>
            <w:tcBorders>
              <w:top w:val="single" w:sz="4" w:space="0" w:color="989393" w:themeColor="background2" w:themeShade="A6"/>
              <w:bottom w:val="single" w:sz="4" w:space="0" w:color="989393" w:themeColor="background2" w:themeShade="A6"/>
            </w:tcBorders>
          </w:tcPr>
          <w:p w14:paraId="48B9D247" w14:textId="77777777" w:rsidR="00916C26" w:rsidRPr="006271FA" w:rsidRDefault="00916C26" w:rsidP="00E252F3">
            <w:pPr>
              <w:pStyle w:val="Body"/>
              <w:spacing w:before="20" w:after="20"/>
              <w:rPr>
                <w:sz w:val="16"/>
                <w:szCs w:val="16"/>
              </w:rPr>
            </w:pPr>
            <w:r w:rsidRPr="006271FA">
              <w:rPr>
                <w:sz w:val="16"/>
                <w:szCs w:val="16"/>
              </w:rPr>
              <w:t>Australian Teaching and Training Classification</w:t>
            </w:r>
          </w:p>
        </w:tc>
      </w:tr>
      <w:tr w:rsidR="003326A1" w:rsidRPr="00500515" w14:paraId="1BDA7772" w14:textId="77777777" w:rsidTr="00B23A26">
        <w:tc>
          <w:tcPr>
            <w:tcW w:w="942" w:type="pct"/>
            <w:tcBorders>
              <w:top w:val="single" w:sz="4" w:space="0" w:color="989393" w:themeColor="background2" w:themeShade="A6"/>
              <w:bottom w:val="single" w:sz="4" w:space="0" w:color="989393" w:themeColor="background2" w:themeShade="A6"/>
            </w:tcBorders>
          </w:tcPr>
          <w:p w14:paraId="677BDFE6" w14:textId="77777777" w:rsidR="00916C26" w:rsidRPr="006271FA" w:rsidRDefault="00916C26" w:rsidP="00E252F3">
            <w:pPr>
              <w:pStyle w:val="Body"/>
              <w:spacing w:before="20" w:after="20"/>
              <w:rPr>
                <w:b/>
                <w:bCs/>
                <w:sz w:val="16"/>
                <w:szCs w:val="16"/>
              </w:rPr>
            </w:pPr>
            <w:r w:rsidRPr="006271FA">
              <w:rPr>
                <w:b/>
                <w:bCs/>
                <w:sz w:val="16"/>
                <w:szCs w:val="16"/>
              </w:rPr>
              <w:t>COVID-19</w:t>
            </w:r>
          </w:p>
        </w:tc>
        <w:tc>
          <w:tcPr>
            <w:tcW w:w="4058" w:type="pct"/>
            <w:tcBorders>
              <w:top w:val="single" w:sz="4" w:space="0" w:color="989393" w:themeColor="background2" w:themeShade="A6"/>
              <w:bottom w:val="single" w:sz="4" w:space="0" w:color="989393" w:themeColor="background2" w:themeShade="A6"/>
            </w:tcBorders>
          </w:tcPr>
          <w:p w14:paraId="16497A03" w14:textId="77777777" w:rsidR="00916C26" w:rsidRPr="006271FA" w:rsidRDefault="00916C26" w:rsidP="00E252F3">
            <w:pPr>
              <w:pStyle w:val="Body"/>
              <w:spacing w:before="20" w:after="20"/>
              <w:rPr>
                <w:sz w:val="16"/>
                <w:szCs w:val="16"/>
              </w:rPr>
            </w:pPr>
            <w:r w:rsidRPr="006271FA">
              <w:rPr>
                <w:sz w:val="16"/>
                <w:szCs w:val="16"/>
              </w:rPr>
              <w:t>Coronavirus disease 2019</w:t>
            </w:r>
          </w:p>
        </w:tc>
      </w:tr>
      <w:tr w:rsidR="003326A1" w:rsidRPr="00500515" w14:paraId="2825EF23" w14:textId="77777777" w:rsidTr="00B23A26">
        <w:tc>
          <w:tcPr>
            <w:tcW w:w="942" w:type="pct"/>
            <w:tcBorders>
              <w:top w:val="single" w:sz="4" w:space="0" w:color="989393" w:themeColor="background2" w:themeShade="A6"/>
              <w:bottom w:val="single" w:sz="4" w:space="0" w:color="989393" w:themeColor="background2" w:themeShade="A6"/>
            </w:tcBorders>
          </w:tcPr>
          <w:p w14:paraId="2330A1D0" w14:textId="42AFCF98" w:rsidR="006A7884" w:rsidRPr="006271FA" w:rsidRDefault="006A7884" w:rsidP="00E252F3">
            <w:pPr>
              <w:pStyle w:val="Body"/>
              <w:spacing w:before="20" w:after="20"/>
              <w:rPr>
                <w:b/>
                <w:bCs/>
                <w:sz w:val="16"/>
                <w:szCs w:val="16"/>
              </w:rPr>
            </w:pPr>
            <w:r w:rsidRPr="006271FA">
              <w:rPr>
                <w:b/>
                <w:bCs/>
                <w:sz w:val="16"/>
                <w:szCs w:val="16"/>
              </w:rPr>
              <w:t>DRG</w:t>
            </w:r>
          </w:p>
        </w:tc>
        <w:tc>
          <w:tcPr>
            <w:tcW w:w="4058" w:type="pct"/>
            <w:tcBorders>
              <w:top w:val="single" w:sz="4" w:space="0" w:color="989393" w:themeColor="background2" w:themeShade="A6"/>
              <w:bottom w:val="single" w:sz="4" w:space="0" w:color="989393" w:themeColor="background2" w:themeShade="A6"/>
            </w:tcBorders>
          </w:tcPr>
          <w:p w14:paraId="1BBC76CA" w14:textId="0CA6F5ED" w:rsidR="006A7884" w:rsidRPr="006271FA" w:rsidRDefault="006A7884" w:rsidP="00E252F3">
            <w:pPr>
              <w:pStyle w:val="Body"/>
              <w:spacing w:before="20" w:after="20"/>
              <w:rPr>
                <w:sz w:val="16"/>
                <w:szCs w:val="16"/>
              </w:rPr>
            </w:pPr>
            <w:r w:rsidRPr="006271FA">
              <w:rPr>
                <w:sz w:val="16"/>
                <w:szCs w:val="16"/>
              </w:rPr>
              <w:t>Diagnosis Related Group</w:t>
            </w:r>
          </w:p>
        </w:tc>
      </w:tr>
      <w:tr w:rsidR="003326A1" w:rsidRPr="00500515" w14:paraId="09AD2B65" w14:textId="77777777" w:rsidTr="00B23A26">
        <w:tc>
          <w:tcPr>
            <w:tcW w:w="942" w:type="pct"/>
            <w:tcBorders>
              <w:top w:val="single" w:sz="4" w:space="0" w:color="989393" w:themeColor="background2" w:themeShade="A6"/>
              <w:bottom w:val="single" w:sz="4" w:space="0" w:color="989393" w:themeColor="background2" w:themeShade="A6"/>
            </w:tcBorders>
          </w:tcPr>
          <w:p w14:paraId="2725064A" w14:textId="77777777" w:rsidR="00916C26" w:rsidRPr="006271FA" w:rsidRDefault="00916C26" w:rsidP="00E252F3">
            <w:pPr>
              <w:pStyle w:val="Body"/>
              <w:spacing w:before="20" w:after="20"/>
              <w:rPr>
                <w:b/>
                <w:bCs/>
                <w:sz w:val="16"/>
                <w:szCs w:val="16"/>
              </w:rPr>
            </w:pPr>
            <w:proofErr w:type="spellStart"/>
            <w:r w:rsidRPr="006271FA">
              <w:rPr>
                <w:b/>
                <w:bCs/>
                <w:sz w:val="16"/>
                <w:szCs w:val="16"/>
              </w:rPr>
              <w:t>eMR</w:t>
            </w:r>
            <w:proofErr w:type="spellEnd"/>
          </w:p>
        </w:tc>
        <w:tc>
          <w:tcPr>
            <w:tcW w:w="4058" w:type="pct"/>
            <w:tcBorders>
              <w:top w:val="single" w:sz="4" w:space="0" w:color="989393" w:themeColor="background2" w:themeShade="A6"/>
              <w:bottom w:val="single" w:sz="4" w:space="0" w:color="989393" w:themeColor="background2" w:themeShade="A6"/>
            </w:tcBorders>
          </w:tcPr>
          <w:p w14:paraId="526F0F5C" w14:textId="77777777" w:rsidR="00916C26" w:rsidRPr="006271FA" w:rsidRDefault="00916C26" w:rsidP="00E252F3">
            <w:pPr>
              <w:pStyle w:val="Body"/>
              <w:spacing w:before="20" w:after="20"/>
              <w:rPr>
                <w:sz w:val="16"/>
                <w:szCs w:val="16"/>
              </w:rPr>
            </w:pPr>
            <w:r w:rsidRPr="006271FA">
              <w:rPr>
                <w:sz w:val="16"/>
                <w:szCs w:val="16"/>
              </w:rPr>
              <w:t>Electronic medical record</w:t>
            </w:r>
          </w:p>
        </w:tc>
      </w:tr>
      <w:tr w:rsidR="003326A1" w:rsidRPr="00500515" w14:paraId="497B5058" w14:textId="77777777" w:rsidTr="00B23A26">
        <w:tc>
          <w:tcPr>
            <w:tcW w:w="942" w:type="pct"/>
            <w:tcBorders>
              <w:top w:val="single" w:sz="4" w:space="0" w:color="989393" w:themeColor="background2" w:themeShade="A6"/>
              <w:bottom w:val="single" w:sz="4" w:space="0" w:color="989393" w:themeColor="background2" w:themeShade="A6"/>
            </w:tcBorders>
          </w:tcPr>
          <w:p w14:paraId="29A5AE75" w14:textId="77777777" w:rsidR="00916C26" w:rsidRPr="006271FA" w:rsidRDefault="00916C26" w:rsidP="00E252F3">
            <w:pPr>
              <w:pStyle w:val="Body"/>
              <w:spacing w:before="20" w:after="20"/>
              <w:rPr>
                <w:b/>
                <w:bCs/>
                <w:sz w:val="16"/>
                <w:szCs w:val="16"/>
              </w:rPr>
            </w:pPr>
            <w:r w:rsidRPr="006271FA">
              <w:rPr>
                <w:b/>
                <w:bCs/>
                <w:sz w:val="16"/>
                <w:szCs w:val="16"/>
              </w:rPr>
              <w:t>HAC</w:t>
            </w:r>
          </w:p>
        </w:tc>
        <w:tc>
          <w:tcPr>
            <w:tcW w:w="4058" w:type="pct"/>
            <w:tcBorders>
              <w:top w:val="single" w:sz="4" w:space="0" w:color="989393" w:themeColor="background2" w:themeShade="A6"/>
              <w:bottom w:val="single" w:sz="4" w:space="0" w:color="989393" w:themeColor="background2" w:themeShade="A6"/>
            </w:tcBorders>
          </w:tcPr>
          <w:p w14:paraId="542278A6" w14:textId="77777777" w:rsidR="00916C26" w:rsidRPr="006271FA" w:rsidRDefault="00916C26" w:rsidP="00E252F3">
            <w:pPr>
              <w:pStyle w:val="Body"/>
              <w:spacing w:before="20" w:after="20"/>
              <w:rPr>
                <w:sz w:val="16"/>
                <w:szCs w:val="16"/>
              </w:rPr>
            </w:pPr>
            <w:r w:rsidRPr="006271FA">
              <w:rPr>
                <w:sz w:val="16"/>
                <w:szCs w:val="16"/>
              </w:rPr>
              <w:t>Hospital acquired complication</w:t>
            </w:r>
          </w:p>
        </w:tc>
      </w:tr>
      <w:tr w:rsidR="003326A1" w:rsidRPr="00500515" w14:paraId="55E51BCC" w14:textId="77777777" w:rsidTr="00B23A26">
        <w:tc>
          <w:tcPr>
            <w:tcW w:w="942" w:type="pct"/>
            <w:tcBorders>
              <w:top w:val="single" w:sz="4" w:space="0" w:color="989393" w:themeColor="background2" w:themeShade="A6"/>
              <w:bottom w:val="single" w:sz="4" w:space="0" w:color="989393" w:themeColor="background2" w:themeShade="A6"/>
            </w:tcBorders>
          </w:tcPr>
          <w:p w14:paraId="28C49EC6" w14:textId="3369D7D8" w:rsidR="00B23A26" w:rsidRPr="006271FA" w:rsidRDefault="00B23A26" w:rsidP="00E252F3">
            <w:pPr>
              <w:pStyle w:val="Body"/>
              <w:spacing w:before="20" w:after="20"/>
              <w:rPr>
                <w:b/>
                <w:bCs/>
                <w:sz w:val="16"/>
                <w:szCs w:val="16"/>
              </w:rPr>
            </w:pPr>
            <w:proofErr w:type="spellStart"/>
            <w:r w:rsidRPr="006271FA">
              <w:rPr>
                <w:b/>
                <w:bCs/>
                <w:sz w:val="16"/>
                <w:szCs w:val="16"/>
              </w:rPr>
              <w:t>HoNOS</w:t>
            </w:r>
            <w:proofErr w:type="spellEnd"/>
          </w:p>
        </w:tc>
        <w:tc>
          <w:tcPr>
            <w:tcW w:w="4058" w:type="pct"/>
            <w:tcBorders>
              <w:top w:val="single" w:sz="4" w:space="0" w:color="989393" w:themeColor="background2" w:themeShade="A6"/>
              <w:bottom w:val="single" w:sz="4" w:space="0" w:color="989393" w:themeColor="background2" w:themeShade="A6"/>
            </w:tcBorders>
          </w:tcPr>
          <w:p w14:paraId="1A0BE88D" w14:textId="4639136D" w:rsidR="00B23A26" w:rsidRPr="006271FA" w:rsidRDefault="00B23A26" w:rsidP="00E252F3">
            <w:pPr>
              <w:pStyle w:val="Body"/>
              <w:spacing w:before="20" w:after="20"/>
              <w:rPr>
                <w:sz w:val="16"/>
                <w:szCs w:val="16"/>
              </w:rPr>
            </w:pPr>
            <w:r w:rsidRPr="006271FA">
              <w:rPr>
                <w:sz w:val="16"/>
                <w:szCs w:val="16"/>
              </w:rPr>
              <w:t>Health of the Nation Outcome Scales</w:t>
            </w:r>
          </w:p>
        </w:tc>
      </w:tr>
      <w:tr w:rsidR="00BC6C8A" w:rsidRPr="00500515" w14:paraId="18851588" w14:textId="77777777" w:rsidTr="00B23A26">
        <w:tc>
          <w:tcPr>
            <w:tcW w:w="942" w:type="pct"/>
            <w:tcBorders>
              <w:top w:val="single" w:sz="4" w:space="0" w:color="989393" w:themeColor="background2" w:themeShade="A6"/>
              <w:bottom w:val="single" w:sz="4" w:space="0" w:color="989393" w:themeColor="background2" w:themeShade="A6"/>
            </w:tcBorders>
          </w:tcPr>
          <w:p w14:paraId="1B35675F" w14:textId="08F1DCE3" w:rsidR="00BC6C8A" w:rsidRPr="00BC6C8A" w:rsidRDefault="00BC6C8A" w:rsidP="00E252F3">
            <w:pPr>
              <w:pStyle w:val="Body"/>
              <w:spacing w:before="20" w:after="20"/>
              <w:rPr>
                <w:b/>
                <w:bCs/>
                <w:sz w:val="16"/>
                <w:szCs w:val="16"/>
              </w:rPr>
            </w:pPr>
            <w:r>
              <w:rPr>
                <w:b/>
                <w:bCs/>
                <w:sz w:val="16"/>
                <w:szCs w:val="16"/>
              </w:rPr>
              <w:t>HMM</w:t>
            </w:r>
          </w:p>
        </w:tc>
        <w:tc>
          <w:tcPr>
            <w:tcW w:w="4058" w:type="pct"/>
            <w:tcBorders>
              <w:top w:val="single" w:sz="4" w:space="0" w:color="989393" w:themeColor="background2" w:themeShade="A6"/>
              <w:bottom w:val="single" w:sz="4" w:space="0" w:color="989393" w:themeColor="background2" w:themeShade="A6"/>
            </w:tcBorders>
          </w:tcPr>
          <w:p w14:paraId="6ACB68EC" w14:textId="74ADDA72" w:rsidR="00BC6C8A" w:rsidRPr="00BC6C8A" w:rsidRDefault="00BC6C8A" w:rsidP="00E252F3">
            <w:pPr>
              <w:pStyle w:val="Body"/>
              <w:spacing w:before="20" w:after="20"/>
              <w:rPr>
                <w:sz w:val="16"/>
                <w:szCs w:val="16"/>
              </w:rPr>
            </w:pPr>
            <w:r>
              <w:rPr>
                <w:sz w:val="16"/>
                <w:szCs w:val="16"/>
              </w:rPr>
              <w:t>Health Ministers’ Meetings</w:t>
            </w:r>
          </w:p>
        </w:tc>
      </w:tr>
      <w:tr w:rsidR="003326A1" w:rsidRPr="00500515" w14:paraId="3F1A3975" w14:textId="77777777" w:rsidTr="00B23A26">
        <w:tc>
          <w:tcPr>
            <w:tcW w:w="942" w:type="pct"/>
            <w:tcBorders>
              <w:top w:val="single" w:sz="4" w:space="0" w:color="989393" w:themeColor="background2" w:themeShade="A6"/>
              <w:bottom w:val="single" w:sz="4" w:space="0" w:color="989393" w:themeColor="background2" w:themeShade="A6"/>
            </w:tcBorders>
          </w:tcPr>
          <w:p w14:paraId="1AC62A38" w14:textId="77777777" w:rsidR="00916C26" w:rsidRPr="006271FA" w:rsidRDefault="00916C26" w:rsidP="00E252F3">
            <w:pPr>
              <w:pStyle w:val="Body"/>
              <w:spacing w:before="20" w:after="20"/>
              <w:rPr>
                <w:b/>
                <w:bCs/>
                <w:sz w:val="16"/>
                <w:szCs w:val="16"/>
              </w:rPr>
            </w:pPr>
            <w:r w:rsidRPr="006271FA">
              <w:rPr>
                <w:b/>
                <w:bCs/>
                <w:sz w:val="16"/>
                <w:szCs w:val="16"/>
              </w:rPr>
              <w:t>ICD-10-AM</w:t>
            </w:r>
          </w:p>
        </w:tc>
        <w:tc>
          <w:tcPr>
            <w:tcW w:w="4058" w:type="pct"/>
            <w:tcBorders>
              <w:top w:val="single" w:sz="4" w:space="0" w:color="989393" w:themeColor="background2" w:themeShade="A6"/>
              <w:bottom w:val="single" w:sz="4" w:space="0" w:color="989393" w:themeColor="background2" w:themeShade="A6"/>
            </w:tcBorders>
          </w:tcPr>
          <w:p w14:paraId="3F4E6F8D" w14:textId="77777777" w:rsidR="00916C26" w:rsidRPr="006271FA" w:rsidRDefault="00916C26" w:rsidP="00E252F3">
            <w:pPr>
              <w:pStyle w:val="Body"/>
              <w:spacing w:before="20" w:after="20"/>
              <w:rPr>
                <w:sz w:val="16"/>
                <w:szCs w:val="16"/>
              </w:rPr>
            </w:pPr>
            <w:r w:rsidRPr="006271FA">
              <w:rPr>
                <w:sz w:val="16"/>
                <w:szCs w:val="16"/>
              </w:rPr>
              <w:t>International Statistical Classification of Diseases and Related Health Problems, Tenth Revision, Australian Modification</w:t>
            </w:r>
          </w:p>
        </w:tc>
      </w:tr>
      <w:tr w:rsidR="003326A1" w:rsidRPr="00500515" w14:paraId="2AE31A4E" w14:textId="77777777" w:rsidTr="00B23A26">
        <w:tc>
          <w:tcPr>
            <w:tcW w:w="942" w:type="pct"/>
            <w:tcBorders>
              <w:top w:val="single" w:sz="4" w:space="0" w:color="989393" w:themeColor="background2" w:themeShade="A6"/>
              <w:bottom w:val="single" w:sz="4" w:space="0" w:color="989393" w:themeColor="background2" w:themeShade="A6"/>
            </w:tcBorders>
          </w:tcPr>
          <w:p w14:paraId="6C1B110C" w14:textId="77777777" w:rsidR="00916C26" w:rsidRPr="006271FA" w:rsidRDefault="00916C26" w:rsidP="00E252F3">
            <w:pPr>
              <w:pStyle w:val="Body"/>
              <w:spacing w:before="20" w:after="20"/>
              <w:rPr>
                <w:b/>
                <w:bCs/>
                <w:sz w:val="16"/>
                <w:szCs w:val="16"/>
              </w:rPr>
            </w:pPr>
            <w:r w:rsidRPr="006271FA">
              <w:rPr>
                <w:b/>
                <w:bCs/>
                <w:sz w:val="16"/>
                <w:szCs w:val="16"/>
              </w:rPr>
              <w:t>ICD-11</w:t>
            </w:r>
          </w:p>
        </w:tc>
        <w:tc>
          <w:tcPr>
            <w:tcW w:w="4058" w:type="pct"/>
            <w:tcBorders>
              <w:top w:val="single" w:sz="4" w:space="0" w:color="989393" w:themeColor="background2" w:themeShade="A6"/>
              <w:bottom w:val="single" w:sz="4" w:space="0" w:color="989393" w:themeColor="background2" w:themeShade="A6"/>
            </w:tcBorders>
          </w:tcPr>
          <w:p w14:paraId="6569E781" w14:textId="77777777" w:rsidR="00916C26" w:rsidRPr="006271FA" w:rsidRDefault="00916C26" w:rsidP="00E252F3">
            <w:pPr>
              <w:pStyle w:val="Body"/>
              <w:spacing w:before="20" w:after="20"/>
              <w:rPr>
                <w:sz w:val="16"/>
                <w:szCs w:val="16"/>
              </w:rPr>
            </w:pPr>
            <w:r w:rsidRPr="006271FA">
              <w:rPr>
                <w:sz w:val="16"/>
                <w:szCs w:val="16"/>
              </w:rPr>
              <w:t>International Classification of Diseases 11th Revision</w:t>
            </w:r>
          </w:p>
        </w:tc>
      </w:tr>
      <w:tr w:rsidR="003326A1" w:rsidRPr="00500515" w14:paraId="01828A72" w14:textId="77777777" w:rsidTr="00B23A26">
        <w:tc>
          <w:tcPr>
            <w:tcW w:w="942" w:type="pct"/>
            <w:tcBorders>
              <w:top w:val="single" w:sz="4" w:space="0" w:color="989393" w:themeColor="background2" w:themeShade="A6"/>
              <w:bottom w:val="single" w:sz="4" w:space="0" w:color="989393" w:themeColor="background2" w:themeShade="A6"/>
            </w:tcBorders>
          </w:tcPr>
          <w:p w14:paraId="2FC5D98E" w14:textId="1928BD6E" w:rsidR="0015036D" w:rsidRPr="006271FA" w:rsidRDefault="0015036D" w:rsidP="00E252F3">
            <w:pPr>
              <w:pStyle w:val="Body"/>
              <w:spacing w:before="20" w:after="20"/>
              <w:rPr>
                <w:b/>
                <w:bCs/>
                <w:sz w:val="16"/>
                <w:szCs w:val="16"/>
              </w:rPr>
            </w:pPr>
            <w:r w:rsidRPr="006271FA">
              <w:rPr>
                <w:b/>
                <w:bCs/>
                <w:sz w:val="16"/>
                <w:szCs w:val="16"/>
              </w:rPr>
              <w:t>ICU</w:t>
            </w:r>
          </w:p>
        </w:tc>
        <w:tc>
          <w:tcPr>
            <w:tcW w:w="4058" w:type="pct"/>
            <w:tcBorders>
              <w:top w:val="single" w:sz="4" w:space="0" w:color="989393" w:themeColor="background2" w:themeShade="A6"/>
              <w:bottom w:val="single" w:sz="4" w:space="0" w:color="989393" w:themeColor="background2" w:themeShade="A6"/>
            </w:tcBorders>
          </w:tcPr>
          <w:p w14:paraId="5437F36D" w14:textId="13A8837F" w:rsidR="0015036D" w:rsidRPr="006271FA" w:rsidRDefault="0015036D" w:rsidP="00E252F3">
            <w:pPr>
              <w:pStyle w:val="Body"/>
              <w:spacing w:before="20" w:after="20"/>
              <w:rPr>
                <w:sz w:val="16"/>
                <w:szCs w:val="16"/>
              </w:rPr>
            </w:pPr>
            <w:r w:rsidRPr="006271FA">
              <w:rPr>
                <w:sz w:val="16"/>
                <w:szCs w:val="16"/>
              </w:rPr>
              <w:t>Intensive care unit</w:t>
            </w:r>
          </w:p>
        </w:tc>
      </w:tr>
      <w:tr w:rsidR="003326A1" w:rsidRPr="00500515" w14:paraId="526FDDBD" w14:textId="77777777" w:rsidTr="00B23A26">
        <w:tc>
          <w:tcPr>
            <w:tcW w:w="942" w:type="pct"/>
            <w:tcBorders>
              <w:top w:val="single" w:sz="4" w:space="0" w:color="989393" w:themeColor="background2" w:themeShade="A6"/>
              <w:bottom w:val="single" w:sz="4" w:space="0" w:color="989393" w:themeColor="background2" w:themeShade="A6"/>
            </w:tcBorders>
          </w:tcPr>
          <w:p w14:paraId="6574DF07" w14:textId="77777777" w:rsidR="00916C26" w:rsidRPr="006271FA" w:rsidRDefault="00916C26" w:rsidP="00E252F3">
            <w:pPr>
              <w:pStyle w:val="Body"/>
              <w:spacing w:before="20" w:after="20"/>
              <w:rPr>
                <w:b/>
                <w:bCs/>
                <w:sz w:val="16"/>
                <w:szCs w:val="16"/>
              </w:rPr>
            </w:pPr>
            <w:r w:rsidRPr="006271FA">
              <w:rPr>
                <w:b/>
                <w:bCs/>
                <w:sz w:val="16"/>
                <w:szCs w:val="16"/>
              </w:rPr>
              <w:t>IHACPA</w:t>
            </w:r>
          </w:p>
        </w:tc>
        <w:tc>
          <w:tcPr>
            <w:tcW w:w="4058" w:type="pct"/>
            <w:tcBorders>
              <w:top w:val="single" w:sz="4" w:space="0" w:color="989393" w:themeColor="background2" w:themeShade="A6"/>
              <w:bottom w:val="single" w:sz="4" w:space="0" w:color="989393" w:themeColor="background2" w:themeShade="A6"/>
            </w:tcBorders>
          </w:tcPr>
          <w:p w14:paraId="4F9CEE54" w14:textId="77777777" w:rsidR="00916C26" w:rsidRPr="006271FA" w:rsidRDefault="00916C26" w:rsidP="00E252F3">
            <w:pPr>
              <w:pStyle w:val="Body"/>
              <w:spacing w:before="20" w:after="20"/>
              <w:rPr>
                <w:sz w:val="16"/>
                <w:szCs w:val="16"/>
              </w:rPr>
            </w:pPr>
            <w:r w:rsidRPr="006271FA">
              <w:rPr>
                <w:sz w:val="16"/>
                <w:szCs w:val="16"/>
              </w:rPr>
              <w:t>Independent Health and Aged Care Pricing Authority</w:t>
            </w:r>
          </w:p>
        </w:tc>
      </w:tr>
      <w:tr w:rsidR="003326A1" w:rsidRPr="00500515" w14:paraId="0ADF2573" w14:textId="77777777" w:rsidTr="00B23A26">
        <w:tc>
          <w:tcPr>
            <w:tcW w:w="942" w:type="pct"/>
            <w:tcBorders>
              <w:top w:val="single" w:sz="4" w:space="0" w:color="989393" w:themeColor="background2" w:themeShade="A6"/>
              <w:bottom w:val="single" w:sz="4" w:space="0" w:color="989393" w:themeColor="background2" w:themeShade="A6"/>
            </w:tcBorders>
          </w:tcPr>
          <w:p w14:paraId="79FD3C8E" w14:textId="77777777" w:rsidR="00916C26" w:rsidRPr="006271FA" w:rsidRDefault="00916C26" w:rsidP="00E252F3">
            <w:pPr>
              <w:pStyle w:val="Body"/>
              <w:spacing w:before="20" w:after="20"/>
              <w:rPr>
                <w:b/>
                <w:bCs/>
                <w:sz w:val="16"/>
                <w:szCs w:val="16"/>
              </w:rPr>
            </w:pPr>
            <w:r w:rsidRPr="006271FA">
              <w:rPr>
                <w:b/>
                <w:bCs/>
                <w:sz w:val="16"/>
                <w:szCs w:val="16"/>
              </w:rPr>
              <w:t>LHN</w:t>
            </w:r>
          </w:p>
        </w:tc>
        <w:tc>
          <w:tcPr>
            <w:tcW w:w="4058" w:type="pct"/>
            <w:tcBorders>
              <w:top w:val="single" w:sz="4" w:space="0" w:color="989393" w:themeColor="background2" w:themeShade="A6"/>
              <w:bottom w:val="single" w:sz="4" w:space="0" w:color="989393" w:themeColor="background2" w:themeShade="A6"/>
            </w:tcBorders>
          </w:tcPr>
          <w:p w14:paraId="0308FD04" w14:textId="77777777" w:rsidR="00916C26" w:rsidRPr="006271FA" w:rsidRDefault="00916C26" w:rsidP="00E252F3">
            <w:pPr>
              <w:pStyle w:val="Body"/>
              <w:spacing w:before="20" w:after="20"/>
              <w:rPr>
                <w:sz w:val="16"/>
                <w:szCs w:val="16"/>
              </w:rPr>
            </w:pPr>
            <w:r w:rsidRPr="006271FA">
              <w:rPr>
                <w:sz w:val="16"/>
                <w:szCs w:val="16"/>
              </w:rPr>
              <w:t>Local hospital network</w:t>
            </w:r>
          </w:p>
        </w:tc>
      </w:tr>
      <w:tr w:rsidR="003326A1" w:rsidRPr="00500515" w14:paraId="37B268F7" w14:textId="77777777" w:rsidTr="00B23A26">
        <w:tc>
          <w:tcPr>
            <w:tcW w:w="942" w:type="pct"/>
            <w:tcBorders>
              <w:top w:val="single" w:sz="4" w:space="0" w:color="989393" w:themeColor="background2" w:themeShade="A6"/>
              <w:bottom w:val="single" w:sz="4" w:space="0" w:color="989393" w:themeColor="background2" w:themeShade="A6"/>
            </w:tcBorders>
          </w:tcPr>
          <w:p w14:paraId="2DAC5997" w14:textId="77777777" w:rsidR="00916C26" w:rsidRPr="006271FA" w:rsidRDefault="00916C26" w:rsidP="00E252F3">
            <w:pPr>
              <w:pStyle w:val="Body"/>
              <w:spacing w:before="20" w:after="20"/>
              <w:rPr>
                <w:b/>
                <w:bCs/>
                <w:sz w:val="16"/>
                <w:szCs w:val="16"/>
              </w:rPr>
            </w:pPr>
            <w:proofErr w:type="spellStart"/>
            <w:r w:rsidRPr="006271FA">
              <w:rPr>
                <w:b/>
                <w:bCs/>
                <w:sz w:val="16"/>
                <w:szCs w:val="16"/>
              </w:rPr>
              <w:t>MHPoC</w:t>
            </w:r>
            <w:proofErr w:type="spellEnd"/>
          </w:p>
        </w:tc>
        <w:tc>
          <w:tcPr>
            <w:tcW w:w="4058" w:type="pct"/>
            <w:tcBorders>
              <w:top w:val="single" w:sz="4" w:space="0" w:color="989393" w:themeColor="background2" w:themeShade="A6"/>
              <w:bottom w:val="single" w:sz="4" w:space="0" w:color="989393" w:themeColor="background2" w:themeShade="A6"/>
            </w:tcBorders>
          </w:tcPr>
          <w:p w14:paraId="47F5B1CA" w14:textId="77777777" w:rsidR="00916C26" w:rsidRPr="006271FA" w:rsidRDefault="00916C26" w:rsidP="00E252F3">
            <w:pPr>
              <w:pStyle w:val="Body"/>
              <w:spacing w:before="20" w:after="20"/>
              <w:rPr>
                <w:sz w:val="16"/>
                <w:szCs w:val="16"/>
              </w:rPr>
            </w:pPr>
            <w:r w:rsidRPr="006271FA">
              <w:rPr>
                <w:sz w:val="16"/>
                <w:szCs w:val="16"/>
              </w:rPr>
              <w:t>Mental Health Phase of Care</w:t>
            </w:r>
          </w:p>
        </w:tc>
      </w:tr>
      <w:tr w:rsidR="003326A1" w:rsidRPr="00500515" w14:paraId="2B9121A4" w14:textId="77777777" w:rsidTr="00B23A26">
        <w:tc>
          <w:tcPr>
            <w:tcW w:w="942" w:type="pct"/>
            <w:tcBorders>
              <w:top w:val="single" w:sz="4" w:space="0" w:color="989393" w:themeColor="background2" w:themeShade="A6"/>
              <w:bottom w:val="single" w:sz="4" w:space="0" w:color="989393" w:themeColor="background2" w:themeShade="A6"/>
            </w:tcBorders>
          </w:tcPr>
          <w:p w14:paraId="7C2ED794" w14:textId="77777777" w:rsidR="00916C26" w:rsidRPr="006271FA" w:rsidRDefault="00916C26" w:rsidP="00E252F3">
            <w:pPr>
              <w:pStyle w:val="Body"/>
              <w:spacing w:before="20" w:after="20"/>
              <w:rPr>
                <w:b/>
                <w:bCs/>
                <w:sz w:val="16"/>
                <w:szCs w:val="16"/>
              </w:rPr>
            </w:pPr>
            <w:r w:rsidRPr="006271FA">
              <w:rPr>
                <w:b/>
                <w:bCs/>
                <w:sz w:val="16"/>
                <w:szCs w:val="16"/>
              </w:rPr>
              <w:t>NBEDS</w:t>
            </w:r>
          </w:p>
        </w:tc>
        <w:tc>
          <w:tcPr>
            <w:tcW w:w="4058" w:type="pct"/>
            <w:tcBorders>
              <w:top w:val="single" w:sz="4" w:space="0" w:color="989393" w:themeColor="background2" w:themeShade="A6"/>
              <w:bottom w:val="single" w:sz="4" w:space="0" w:color="989393" w:themeColor="background2" w:themeShade="A6"/>
            </w:tcBorders>
          </w:tcPr>
          <w:p w14:paraId="2C1137A9" w14:textId="77777777" w:rsidR="00916C26" w:rsidRPr="006271FA" w:rsidRDefault="00916C26" w:rsidP="00E252F3">
            <w:pPr>
              <w:pStyle w:val="Body"/>
              <w:spacing w:before="20" w:after="20"/>
              <w:rPr>
                <w:sz w:val="16"/>
                <w:szCs w:val="16"/>
              </w:rPr>
            </w:pPr>
            <w:r w:rsidRPr="006271FA">
              <w:rPr>
                <w:sz w:val="16"/>
                <w:szCs w:val="16"/>
              </w:rPr>
              <w:t>National best endeavours data set</w:t>
            </w:r>
          </w:p>
        </w:tc>
      </w:tr>
      <w:tr w:rsidR="003326A1" w:rsidRPr="00500515" w14:paraId="6EAA5300" w14:textId="77777777" w:rsidTr="00B23A26">
        <w:tc>
          <w:tcPr>
            <w:tcW w:w="942" w:type="pct"/>
            <w:tcBorders>
              <w:top w:val="single" w:sz="4" w:space="0" w:color="989393" w:themeColor="background2" w:themeShade="A6"/>
              <w:bottom w:val="single" w:sz="4" w:space="0" w:color="989393" w:themeColor="background2" w:themeShade="A6"/>
            </w:tcBorders>
          </w:tcPr>
          <w:p w14:paraId="79C462D9" w14:textId="77777777" w:rsidR="00916C26" w:rsidRPr="006271FA" w:rsidRDefault="00916C26" w:rsidP="00E252F3">
            <w:pPr>
              <w:pStyle w:val="Body"/>
              <w:spacing w:before="20" w:after="20"/>
              <w:rPr>
                <w:b/>
                <w:bCs/>
                <w:sz w:val="16"/>
                <w:szCs w:val="16"/>
              </w:rPr>
            </w:pPr>
            <w:r w:rsidRPr="006271FA">
              <w:rPr>
                <w:b/>
                <w:bCs/>
                <w:sz w:val="16"/>
                <w:szCs w:val="16"/>
              </w:rPr>
              <w:t>NEC</w:t>
            </w:r>
          </w:p>
        </w:tc>
        <w:tc>
          <w:tcPr>
            <w:tcW w:w="4058" w:type="pct"/>
            <w:tcBorders>
              <w:top w:val="single" w:sz="4" w:space="0" w:color="989393" w:themeColor="background2" w:themeShade="A6"/>
              <w:bottom w:val="single" w:sz="4" w:space="0" w:color="989393" w:themeColor="background2" w:themeShade="A6"/>
            </w:tcBorders>
          </w:tcPr>
          <w:p w14:paraId="7E11099A" w14:textId="77777777" w:rsidR="00916C26" w:rsidRPr="006271FA" w:rsidRDefault="00916C26" w:rsidP="00E252F3">
            <w:pPr>
              <w:pStyle w:val="Body"/>
              <w:spacing w:before="20" w:after="20"/>
              <w:rPr>
                <w:sz w:val="16"/>
                <w:szCs w:val="16"/>
              </w:rPr>
            </w:pPr>
            <w:r w:rsidRPr="006271FA">
              <w:rPr>
                <w:sz w:val="16"/>
                <w:szCs w:val="16"/>
              </w:rPr>
              <w:t>National efficient cost</w:t>
            </w:r>
          </w:p>
        </w:tc>
      </w:tr>
      <w:tr w:rsidR="003326A1" w:rsidRPr="00500515" w14:paraId="3750427A" w14:textId="77777777" w:rsidTr="00B23A26">
        <w:tc>
          <w:tcPr>
            <w:tcW w:w="942" w:type="pct"/>
            <w:tcBorders>
              <w:top w:val="single" w:sz="4" w:space="0" w:color="989393" w:themeColor="background2" w:themeShade="A6"/>
              <w:bottom w:val="single" w:sz="4" w:space="0" w:color="989393" w:themeColor="background2" w:themeShade="A6"/>
            </w:tcBorders>
          </w:tcPr>
          <w:p w14:paraId="173F2329" w14:textId="77777777" w:rsidR="00916C26" w:rsidRPr="006271FA" w:rsidRDefault="00916C26" w:rsidP="00E252F3">
            <w:pPr>
              <w:pStyle w:val="Body"/>
              <w:spacing w:before="20" w:after="20"/>
              <w:rPr>
                <w:b/>
                <w:bCs/>
                <w:sz w:val="16"/>
                <w:szCs w:val="16"/>
              </w:rPr>
            </w:pPr>
            <w:r w:rsidRPr="006271FA">
              <w:rPr>
                <w:b/>
                <w:bCs/>
                <w:sz w:val="16"/>
                <w:szCs w:val="16"/>
              </w:rPr>
              <w:t>NEP</w:t>
            </w:r>
          </w:p>
        </w:tc>
        <w:tc>
          <w:tcPr>
            <w:tcW w:w="4058" w:type="pct"/>
            <w:tcBorders>
              <w:top w:val="single" w:sz="4" w:space="0" w:color="989393" w:themeColor="background2" w:themeShade="A6"/>
              <w:bottom w:val="single" w:sz="4" w:space="0" w:color="989393" w:themeColor="background2" w:themeShade="A6"/>
            </w:tcBorders>
          </w:tcPr>
          <w:p w14:paraId="6C348E9E" w14:textId="77777777" w:rsidR="00916C26" w:rsidRPr="006271FA" w:rsidRDefault="00916C26" w:rsidP="00E252F3">
            <w:pPr>
              <w:pStyle w:val="Body"/>
              <w:spacing w:before="20" w:after="20"/>
              <w:rPr>
                <w:sz w:val="16"/>
                <w:szCs w:val="16"/>
              </w:rPr>
            </w:pPr>
            <w:r w:rsidRPr="006271FA">
              <w:rPr>
                <w:sz w:val="16"/>
                <w:szCs w:val="16"/>
              </w:rPr>
              <w:t>National efficient price</w:t>
            </w:r>
          </w:p>
        </w:tc>
      </w:tr>
      <w:tr w:rsidR="003326A1" w:rsidRPr="00500515" w14:paraId="5E042A91" w14:textId="77777777" w:rsidTr="00B23A26">
        <w:tc>
          <w:tcPr>
            <w:tcW w:w="942" w:type="pct"/>
            <w:tcBorders>
              <w:top w:val="single" w:sz="4" w:space="0" w:color="989393" w:themeColor="background2" w:themeShade="A6"/>
              <w:bottom w:val="single" w:sz="4" w:space="0" w:color="989393" w:themeColor="background2" w:themeShade="A6"/>
            </w:tcBorders>
          </w:tcPr>
          <w:p w14:paraId="1D131E8F" w14:textId="77777777" w:rsidR="00916C26" w:rsidRPr="006271FA" w:rsidRDefault="00916C26" w:rsidP="00E252F3">
            <w:pPr>
              <w:pStyle w:val="Body"/>
              <w:spacing w:before="20" w:after="20"/>
              <w:rPr>
                <w:b/>
                <w:bCs/>
                <w:sz w:val="16"/>
                <w:szCs w:val="16"/>
              </w:rPr>
            </w:pPr>
            <w:r w:rsidRPr="006271FA">
              <w:rPr>
                <w:b/>
                <w:bCs/>
                <w:sz w:val="16"/>
                <w:szCs w:val="16"/>
              </w:rPr>
              <w:t>NHCDC</w:t>
            </w:r>
          </w:p>
        </w:tc>
        <w:tc>
          <w:tcPr>
            <w:tcW w:w="4058" w:type="pct"/>
            <w:tcBorders>
              <w:top w:val="single" w:sz="4" w:space="0" w:color="989393" w:themeColor="background2" w:themeShade="A6"/>
              <w:bottom w:val="single" w:sz="4" w:space="0" w:color="989393" w:themeColor="background2" w:themeShade="A6"/>
            </w:tcBorders>
          </w:tcPr>
          <w:p w14:paraId="01881E6F" w14:textId="77777777" w:rsidR="00916C26" w:rsidRPr="006271FA" w:rsidRDefault="00916C26" w:rsidP="00E252F3">
            <w:pPr>
              <w:pStyle w:val="Body"/>
              <w:spacing w:before="20" w:after="20"/>
              <w:rPr>
                <w:sz w:val="16"/>
                <w:szCs w:val="16"/>
              </w:rPr>
            </w:pPr>
            <w:r w:rsidRPr="006271FA">
              <w:rPr>
                <w:sz w:val="16"/>
                <w:szCs w:val="16"/>
              </w:rPr>
              <w:t>National Hospital Cost Data Collection</w:t>
            </w:r>
          </w:p>
        </w:tc>
      </w:tr>
      <w:tr w:rsidR="003326A1" w:rsidRPr="00500515" w14:paraId="6C194C2E" w14:textId="77777777" w:rsidTr="00B23A26">
        <w:tc>
          <w:tcPr>
            <w:tcW w:w="942" w:type="pct"/>
            <w:tcBorders>
              <w:top w:val="single" w:sz="4" w:space="0" w:color="989393" w:themeColor="background2" w:themeShade="A6"/>
              <w:bottom w:val="single" w:sz="4" w:space="0" w:color="989393" w:themeColor="background2" w:themeShade="A6"/>
            </w:tcBorders>
          </w:tcPr>
          <w:p w14:paraId="60E1D6E4" w14:textId="77777777" w:rsidR="00916C26" w:rsidRPr="006271FA" w:rsidRDefault="00916C26" w:rsidP="00E252F3">
            <w:pPr>
              <w:pStyle w:val="Body"/>
              <w:spacing w:before="20" w:after="20"/>
              <w:rPr>
                <w:b/>
                <w:bCs/>
                <w:sz w:val="16"/>
                <w:szCs w:val="16"/>
              </w:rPr>
            </w:pPr>
            <w:r w:rsidRPr="006271FA">
              <w:rPr>
                <w:b/>
                <w:bCs/>
                <w:sz w:val="16"/>
                <w:szCs w:val="16"/>
              </w:rPr>
              <w:t>NHRA</w:t>
            </w:r>
          </w:p>
        </w:tc>
        <w:tc>
          <w:tcPr>
            <w:tcW w:w="4058" w:type="pct"/>
            <w:tcBorders>
              <w:top w:val="single" w:sz="4" w:space="0" w:color="989393" w:themeColor="background2" w:themeShade="A6"/>
              <w:bottom w:val="single" w:sz="4" w:space="0" w:color="989393" w:themeColor="background2" w:themeShade="A6"/>
            </w:tcBorders>
          </w:tcPr>
          <w:p w14:paraId="52FDC271" w14:textId="77777777" w:rsidR="00916C26" w:rsidRPr="006271FA" w:rsidRDefault="00916C26" w:rsidP="00E252F3">
            <w:pPr>
              <w:pStyle w:val="Body"/>
              <w:spacing w:before="20" w:after="20"/>
              <w:rPr>
                <w:sz w:val="16"/>
                <w:szCs w:val="16"/>
              </w:rPr>
            </w:pPr>
            <w:r w:rsidRPr="006271FA">
              <w:rPr>
                <w:sz w:val="16"/>
                <w:szCs w:val="16"/>
              </w:rPr>
              <w:t>National Health Reform Agreement</w:t>
            </w:r>
          </w:p>
        </w:tc>
      </w:tr>
      <w:tr w:rsidR="003326A1" w:rsidRPr="00500515" w14:paraId="4FAC5D16" w14:textId="77777777" w:rsidTr="00B23A26">
        <w:tc>
          <w:tcPr>
            <w:tcW w:w="942" w:type="pct"/>
            <w:tcBorders>
              <w:top w:val="single" w:sz="4" w:space="0" w:color="989393" w:themeColor="background2" w:themeShade="A6"/>
              <w:bottom w:val="single" w:sz="4" w:space="0" w:color="989393" w:themeColor="background2" w:themeShade="A6"/>
            </w:tcBorders>
          </w:tcPr>
          <w:p w14:paraId="6862E42E" w14:textId="6130D0A0" w:rsidR="00CB7AB7" w:rsidRPr="006271FA" w:rsidRDefault="00CB7AB7" w:rsidP="00E252F3">
            <w:pPr>
              <w:pStyle w:val="Body"/>
              <w:spacing w:before="20" w:after="20"/>
              <w:rPr>
                <w:b/>
                <w:bCs/>
                <w:sz w:val="16"/>
                <w:szCs w:val="16"/>
              </w:rPr>
            </w:pPr>
            <w:r w:rsidRPr="006271FA">
              <w:rPr>
                <w:b/>
                <w:bCs/>
                <w:sz w:val="16"/>
                <w:szCs w:val="16"/>
              </w:rPr>
              <w:t>NMDS</w:t>
            </w:r>
          </w:p>
        </w:tc>
        <w:tc>
          <w:tcPr>
            <w:tcW w:w="4058" w:type="pct"/>
            <w:tcBorders>
              <w:top w:val="single" w:sz="4" w:space="0" w:color="989393" w:themeColor="background2" w:themeShade="A6"/>
              <w:bottom w:val="single" w:sz="4" w:space="0" w:color="989393" w:themeColor="background2" w:themeShade="A6"/>
            </w:tcBorders>
          </w:tcPr>
          <w:p w14:paraId="34D8AE6D" w14:textId="6874D003" w:rsidR="00CB7AB7" w:rsidRPr="006271FA" w:rsidRDefault="00CB7AB7" w:rsidP="00E252F3">
            <w:pPr>
              <w:pStyle w:val="Body"/>
              <w:spacing w:before="20" w:after="20"/>
              <w:rPr>
                <w:sz w:val="16"/>
                <w:szCs w:val="16"/>
              </w:rPr>
            </w:pPr>
            <w:r w:rsidRPr="006271FA">
              <w:rPr>
                <w:sz w:val="16"/>
                <w:szCs w:val="16"/>
              </w:rPr>
              <w:t>National Minimum Data Set</w:t>
            </w:r>
          </w:p>
        </w:tc>
      </w:tr>
      <w:tr w:rsidR="003326A1" w:rsidRPr="00500515" w14:paraId="393AA80C" w14:textId="77777777" w:rsidTr="00B23A26">
        <w:tc>
          <w:tcPr>
            <w:tcW w:w="942" w:type="pct"/>
            <w:tcBorders>
              <w:top w:val="single" w:sz="4" w:space="0" w:color="989393" w:themeColor="background2" w:themeShade="A6"/>
              <w:bottom w:val="single" w:sz="4" w:space="0" w:color="989393" w:themeColor="background2" w:themeShade="A6"/>
            </w:tcBorders>
          </w:tcPr>
          <w:p w14:paraId="124797B4" w14:textId="6584CDC0" w:rsidR="0015036D" w:rsidRPr="006271FA" w:rsidRDefault="0015036D" w:rsidP="00E252F3">
            <w:pPr>
              <w:pStyle w:val="Body"/>
              <w:spacing w:before="20" w:after="20"/>
              <w:rPr>
                <w:b/>
                <w:bCs/>
                <w:sz w:val="16"/>
                <w:szCs w:val="16"/>
              </w:rPr>
            </w:pPr>
            <w:r w:rsidRPr="006271FA">
              <w:rPr>
                <w:b/>
                <w:bCs/>
                <w:sz w:val="16"/>
                <w:szCs w:val="16"/>
              </w:rPr>
              <w:t>NPA</w:t>
            </w:r>
          </w:p>
        </w:tc>
        <w:tc>
          <w:tcPr>
            <w:tcW w:w="4058" w:type="pct"/>
            <w:tcBorders>
              <w:top w:val="single" w:sz="4" w:space="0" w:color="989393" w:themeColor="background2" w:themeShade="A6"/>
              <w:bottom w:val="single" w:sz="4" w:space="0" w:color="989393" w:themeColor="background2" w:themeShade="A6"/>
            </w:tcBorders>
          </w:tcPr>
          <w:p w14:paraId="5F9383F8" w14:textId="32D62E65" w:rsidR="0015036D" w:rsidRPr="006271FA" w:rsidRDefault="0015036D" w:rsidP="00E252F3">
            <w:pPr>
              <w:pStyle w:val="Body"/>
              <w:spacing w:before="20" w:after="20"/>
              <w:rPr>
                <w:sz w:val="16"/>
                <w:szCs w:val="16"/>
              </w:rPr>
            </w:pPr>
            <w:r w:rsidRPr="006271FA">
              <w:rPr>
                <w:sz w:val="16"/>
                <w:szCs w:val="16"/>
              </w:rPr>
              <w:t>National Partnership on COVID-19 Response Agreement</w:t>
            </w:r>
          </w:p>
        </w:tc>
      </w:tr>
      <w:tr w:rsidR="003326A1" w:rsidRPr="00500515" w14:paraId="5C669267" w14:textId="77777777" w:rsidTr="00B23A26">
        <w:tc>
          <w:tcPr>
            <w:tcW w:w="942" w:type="pct"/>
            <w:tcBorders>
              <w:top w:val="single" w:sz="4" w:space="0" w:color="989393" w:themeColor="background2" w:themeShade="A6"/>
              <w:bottom w:val="single" w:sz="4" w:space="0" w:color="989393" w:themeColor="background2" w:themeShade="A6"/>
            </w:tcBorders>
          </w:tcPr>
          <w:p w14:paraId="4BD2CC60" w14:textId="77777777" w:rsidR="00916C26" w:rsidRPr="006271FA" w:rsidRDefault="00916C26" w:rsidP="00E252F3">
            <w:pPr>
              <w:pStyle w:val="Body"/>
              <w:spacing w:before="20" w:after="20"/>
              <w:rPr>
                <w:b/>
                <w:bCs/>
                <w:sz w:val="16"/>
                <w:szCs w:val="16"/>
              </w:rPr>
            </w:pPr>
            <w:r w:rsidRPr="006271FA">
              <w:rPr>
                <w:b/>
                <w:bCs/>
                <w:sz w:val="16"/>
                <w:szCs w:val="16"/>
              </w:rPr>
              <w:t>NWAU</w:t>
            </w:r>
          </w:p>
        </w:tc>
        <w:tc>
          <w:tcPr>
            <w:tcW w:w="4058" w:type="pct"/>
            <w:tcBorders>
              <w:top w:val="single" w:sz="4" w:space="0" w:color="989393" w:themeColor="background2" w:themeShade="A6"/>
              <w:bottom w:val="single" w:sz="4" w:space="0" w:color="989393" w:themeColor="background2" w:themeShade="A6"/>
            </w:tcBorders>
          </w:tcPr>
          <w:p w14:paraId="70F75AE2" w14:textId="77777777" w:rsidR="00916C26" w:rsidRPr="006271FA" w:rsidRDefault="00916C26" w:rsidP="00E252F3">
            <w:pPr>
              <w:pStyle w:val="Body"/>
              <w:spacing w:before="20" w:after="20"/>
              <w:rPr>
                <w:sz w:val="16"/>
                <w:szCs w:val="16"/>
              </w:rPr>
            </w:pPr>
            <w:r w:rsidRPr="006271FA">
              <w:rPr>
                <w:sz w:val="16"/>
                <w:szCs w:val="16"/>
              </w:rPr>
              <w:t>National weighted activity unit</w:t>
            </w:r>
          </w:p>
        </w:tc>
      </w:tr>
      <w:tr w:rsidR="003326A1" w:rsidRPr="00500515" w14:paraId="27D42CB2" w14:textId="77777777" w:rsidTr="00B23A26">
        <w:tc>
          <w:tcPr>
            <w:tcW w:w="942" w:type="pct"/>
            <w:tcBorders>
              <w:top w:val="single" w:sz="4" w:space="0" w:color="989393" w:themeColor="background2" w:themeShade="A6"/>
              <w:bottom w:val="single" w:sz="4" w:space="0" w:color="989393" w:themeColor="background2" w:themeShade="A6"/>
            </w:tcBorders>
          </w:tcPr>
          <w:p w14:paraId="660B4E76" w14:textId="77777777" w:rsidR="00916C26" w:rsidRPr="006271FA" w:rsidRDefault="00916C26" w:rsidP="00E252F3">
            <w:pPr>
              <w:pStyle w:val="Body"/>
              <w:spacing w:before="20" w:after="20"/>
              <w:rPr>
                <w:b/>
                <w:bCs/>
                <w:sz w:val="16"/>
                <w:szCs w:val="16"/>
              </w:rPr>
            </w:pPr>
            <w:r w:rsidRPr="006271FA">
              <w:rPr>
                <w:b/>
                <w:bCs/>
                <w:sz w:val="16"/>
                <w:szCs w:val="16"/>
              </w:rPr>
              <w:t>The Addendum</w:t>
            </w:r>
          </w:p>
        </w:tc>
        <w:tc>
          <w:tcPr>
            <w:tcW w:w="4058" w:type="pct"/>
            <w:tcBorders>
              <w:top w:val="single" w:sz="4" w:space="0" w:color="989393" w:themeColor="background2" w:themeShade="A6"/>
              <w:bottom w:val="single" w:sz="4" w:space="0" w:color="989393" w:themeColor="background2" w:themeShade="A6"/>
            </w:tcBorders>
          </w:tcPr>
          <w:p w14:paraId="5ACDE4ED" w14:textId="77777777" w:rsidR="00916C26" w:rsidRPr="006271FA" w:rsidRDefault="00916C26" w:rsidP="00E252F3">
            <w:pPr>
              <w:pStyle w:val="Body"/>
              <w:spacing w:before="20" w:after="20"/>
              <w:rPr>
                <w:sz w:val="16"/>
                <w:szCs w:val="16"/>
              </w:rPr>
            </w:pPr>
            <w:r w:rsidRPr="006271FA">
              <w:rPr>
                <w:sz w:val="16"/>
                <w:szCs w:val="16"/>
              </w:rPr>
              <w:t>Addendum to the National Health Reform Agreement 2020–25</w:t>
            </w:r>
          </w:p>
        </w:tc>
      </w:tr>
      <w:tr w:rsidR="003326A1" w:rsidRPr="00500515" w14:paraId="6647C718" w14:textId="77777777" w:rsidTr="00B23A26">
        <w:tc>
          <w:tcPr>
            <w:tcW w:w="942" w:type="pct"/>
            <w:tcBorders>
              <w:top w:val="single" w:sz="4" w:space="0" w:color="989393" w:themeColor="background2" w:themeShade="A6"/>
              <w:bottom w:val="single" w:sz="4" w:space="0" w:color="989393" w:themeColor="background2" w:themeShade="A6"/>
            </w:tcBorders>
          </w:tcPr>
          <w:p w14:paraId="11C35EEA" w14:textId="77777777" w:rsidR="00916C26" w:rsidRPr="006271FA" w:rsidRDefault="00916C26" w:rsidP="00E252F3">
            <w:pPr>
              <w:pStyle w:val="Body"/>
              <w:spacing w:before="20" w:after="20"/>
              <w:rPr>
                <w:b/>
                <w:bCs/>
                <w:sz w:val="16"/>
                <w:szCs w:val="16"/>
              </w:rPr>
            </w:pPr>
            <w:r w:rsidRPr="006271FA">
              <w:rPr>
                <w:b/>
                <w:bCs/>
                <w:sz w:val="16"/>
                <w:szCs w:val="16"/>
              </w:rPr>
              <w:t>The Commission</w:t>
            </w:r>
          </w:p>
        </w:tc>
        <w:tc>
          <w:tcPr>
            <w:tcW w:w="4058" w:type="pct"/>
            <w:tcBorders>
              <w:top w:val="single" w:sz="4" w:space="0" w:color="989393" w:themeColor="background2" w:themeShade="A6"/>
              <w:bottom w:val="single" w:sz="4" w:space="0" w:color="989393" w:themeColor="background2" w:themeShade="A6"/>
            </w:tcBorders>
          </w:tcPr>
          <w:p w14:paraId="0F1CFDF8" w14:textId="77777777" w:rsidR="00916C26" w:rsidRPr="006271FA" w:rsidRDefault="00916C26" w:rsidP="00E252F3">
            <w:pPr>
              <w:pStyle w:val="Body"/>
              <w:spacing w:before="20" w:after="20"/>
              <w:rPr>
                <w:sz w:val="16"/>
                <w:szCs w:val="16"/>
              </w:rPr>
            </w:pPr>
            <w:r w:rsidRPr="006271FA">
              <w:rPr>
                <w:sz w:val="16"/>
                <w:szCs w:val="16"/>
              </w:rPr>
              <w:t>Australian Commission on Safety and Quality in Health Care</w:t>
            </w:r>
          </w:p>
        </w:tc>
      </w:tr>
      <w:tr w:rsidR="003326A1" w:rsidRPr="00500515" w14:paraId="02225DE0" w14:textId="77777777" w:rsidTr="00B23A26">
        <w:tc>
          <w:tcPr>
            <w:tcW w:w="942" w:type="pct"/>
            <w:tcBorders>
              <w:top w:val="single" w:sz="4" w:space="0" w:color="989393" w:themeColor="background2" w:themeShade="A6"/>
              <w:bottom w:val="single" w:sz="4" w:space="0" w:color="989393" w:themeColor="background2" w:themeShade="A6"/>
            </w:tcBorders>
          </w:tcPr>
          <w:p w14:paraId="6AADBFCE" w14:textId="77777777" w:rsidR="00916C26" w:rsidRPr="006271FA" w:rsidRDefault="00916C26" w:rsidP="00E252F3">
            <w:pPr>
              <w:pStyle w:val="Body"/>
              <w:spacing w:before="20" w:after="20"/>
              <w:rPr>
                <w:b/>
                <w:bCs/>
                <w:sz w:val="16"/>
                <w:szCs w:val="16"/>
              </w:rPr>
            </w:pPr>
            <w:r w:rsidRPr="006271FA">
              <w:rPr>
                <w:b/>
                <w:bCs/>
                <w:sz w:val="16"/>
                <w:szCs w:val="16"/>
              </w:rPr>
              <w:t>UDG</w:t>
            </w:r>
          </w:p>
        </w:tc>
        <w:tc>
          <w:tcPr>
            <w:tcW w:w="4058" w:type="pct"/>
            <w:tcBorders>
              <w:top w:val="single" w:sz="4" w:space="0" w:color="989393" w:themeColor="background2" w:themeShade="A6"/>
              <w:bottom w:val="single" w:sz="4" w:space="0" w:color="989393" w:themeColor="background2" w:themeShade="A6"/>
            </w:tcBorders>
          </w:tcPr>
          <w:p w14:paraId="26A424BE" w14:textId="77777777" w:rsidR="00916C26" w:rsidRPr="006271FA" w:rsidRDefault="00916C26" w:rsidP="00E252F3">
            <w:pPr>
              <w:pStyle w:val="Body"/>
              <w:spacing w:before="20" w:after="20"/>
              <w:rPr>
                <w:sz w:val="16"/>
                <w:szCs w:val="16"/>
              </w:rPr>
            </w:pPr>
            <w:r w:rsidRPr="006271FA">
              <w:rPr>
                <w:sz w:val="16"/>
                <w:szCs w:val="16"/>
              </w:rPr>
              <w:t>Urgency Disposition Group</w:t>
            </w:r>
          </w:p>
        </w:tc>
      </w:tr>
    </w:tbl>
    <w:p w14:paraId="46659482" w14:textId="77777777" w:rsidR="001376A3" w:rsidRDefault="001376A3" w:rsidP="001B1269">
      <w:pPr>
        <w:pStyle w:val="Body"/>
        <w:sectPr w:rsidR="001376A3" w:rsidSect="009474B2">
          <w:footerReference w:type="default" r:id="rId18"/>
          <w:pgSz w:w="11906" w:h="16838" w:code="9"/>
          <w:pgMar w:top="851" w:right="1440" w:bottom="1440" w:left="1440" w:header="708" w:footer="708" w:gutter="0"/>
          <w:cols w:space="708"/>
          <w:docGrid w:linePitch="360"/>
        </w:sectPr>
      </w:pPr>
    </w:p>
    <w:p w14:paraId="33621A44" w14:textId="77777777" w:rsidR="005107C4" w:rsidRPr="006B19D6" w:rsidRDefault="005107C4" w:rsidP="006B19D6">
      <w:pPr>
        <w:pStyle w:val="ChapterNumber"/>
        <w:spacing w:before="600"/>
        <w:jc w:val="left"/>
        <w:rPr>
          <w:color w:val="15272F" w:themeColor="accent3"/>
          <w:sz w:val="400"/>
          <w:szCs w:val="400"/>
        </w:rPr>
      </w:pPr>
      <w:r w:rsidRPr="006B19D6">
        <w:rPr>
          <w:color w:val="15272F" w:themeColor="accent3"/>
          <w:sz w:val="400"/>
          <w:szCs w:val="400"/>
        </w:rPr>
        <w:lastRenderedPageBreak/>
        <w:t>1</w:t>
      </w:r>
    </w:p>
    <w:p w14:paraId="55967858" w14:textId="77777777" w:rsidR="005107C4" w:rsidRPr="005107C4" w:rsidRDefault="005107C4" w:rsidP="000258BC">
      <w:pPr>
        <w:pStyle w:val="Heading-Sectionstart"/>
      </w:pPr>
      <w:bookmarkStart w:id="7" w:name="_Toc115086469"/>
      <w:bookmarkStart w:id="8" w:name="_Toc135043501"/>
      <w:r w:rsidRPr="005107C4">
        <w:t>Introduction</w:t>
      </w:r>
      <w:bookmarkEnd w:id="7"/>
      <w:bookmarkEnd w:id="8"/>
    </w:p>
    <w:p w14:paraId="2FED776D" w14:textId="77777777" w:rsidR="00C9543A" w:rsidRDefault="00C9543A" w:rsidP="001B1269">
      <w:pPr>
        <w:pStyle w:val="Body"/>
        <w:sectPr w:rsidR="00C9543A" w:rsidSect="00C9543A">
          <w:headerReference w:type="default" r:id="rId19"/>
          <w:footerReference w:type="default" r:id="rId20"/>
          <w:pgSz w:w="11906" w:h="16838" w:code="9"/>
          <w:pgMar w:top="851" w:right="1440" w:bottom="1440" w:left="1440" w:header="708" w:footer="708" w:gutter="0"/>
          <w:cols w:space="708"/>
          <w:docGrid w:linePitch="360"/>
        </w:sectPr>
      </w:pPr>
    </w:p>
    <w:p w14:paraId="278A7CAD" w14:textId="1CD432FB" w:rsidR="005914D5" w:rsidRDefault="005914D5" w:rsidP="001B1269">
      <w:pPr>
        <w:pStyle w:val="Body"/>
        <w:sectPr w:rsidR="005914D5" w:rsidSect="00F4029B">
          <w:headerReference w:type="default" r:id="rId21"/>
          <w:footerReference w:type="default" r:id="rId22"/>
          <w:pgSz w:w="11906" w:h="16838" w:code="9"/>
          <w:pgMar w:top="2410" w:right="1440" w:bottom="1440" w:left="1440" w:header="568" w:footer="708" w:gutter="0"/>
          <w:cols w:space="708"/>
          <w:docGrid w:linePitch="360"/>
        </w:sectPr>
      </w:pPr>
    </w:p>
    <w:p w14:paraId="6659F053" w14:textId="77777777" w:rsidR="00916C26" w:rsidRPr="00D207F8" w:rsidRDefault="00916C26" w:rsidP="00916C26">
      <w:pPr>
        <w:pStyle w:val="Heading2"/>
      </w:pPr>
      <w:bookmarkStart w:id="9" w:name="_Toc132118403"/>
      <w:bookmarkStart w:id="10" w:name="_Toc135043502"/>
      <w:r w:rsidRPr="00D207F8">
        <w:t xml:space="preserve">1.1 </w:t>
      </w:r>
      <w:r>
        <w:t>About IHACPA</w:t>
      </w:r>
      <w:bookmarkEnd w:id="9"/>
      <w:bookmarkEnd w:id="10"/>
    </w:p>
    <w:p w14:paraId="23658648" w14:textId="267DE2C5" w:rsidR="00916C26" w:rsidRDefault="00916C26" w:rsidP="00916C26">
      <w:pPr>
        <w:pStyle w:val="Body"/>
      </w:pPr>
      <w:r>
        <w:t xml:space="preserve">The Independent </w:t>
      </w:r>
      <w:r w:rsidR="00D85BFD">
        <w:t xml:space="preserve">Health and Aged Care </w:t>
      </w:r>
      <w:r>
        <w:t>Pricing Authority (IH</w:t>
      </w:r>
      <w:r w:rsidR="00D85BFD">
        <w:t>AC</w:t>
      </w:r>
      <w:r>
        <w:t xml:space="preserve">PA) was established under the </w:t>
      </w:r>
      <w:r w:rsidRPr="003F2F29">
        <w:rPr>
          <w:i/>
          <w:iCs/>
        </w:rPr>
        <w:t>National Health Reform Act 2011</w:t>
      </w:r>
      <w:r>
        <w:t xml:space="preserve"> to improve health outcomes for all Australians. </w:t>
      </w:r>
    </w:p>
    <w:p w14:paraId="08DD41BD" w14:textId="243C078C" w:rsidR="00916C26" w:rsidRDefault="008F18FE" w:rsidP="00916C26">
      <w:pPr>
        <w:pStyle w:val="Body"/>
      </w:pPr>
      <w:r>
        <w:t>IHACPA</w:t>
      </w:r>
      <w:r w:rsidR="00916C26">
        <w:t xml:space="preserve"> enable</w:t>
      </w:r>
      <w:r>
        <w:t>s</w:t>
      </w:r>
      <w:r w:rsidR="00916C26">
        <w:t xml:space="preserve"> the implementation of national activity based funding (ABF) of public hospital services through the annual determination of the national efficient price (NEP) and national efficient cost (NEC). These determinations play a crucial role in calculating the Commonwealth funding contribution to Australian public hospital services and offer a benchmark for the efficient cost of providing those services as outlined in the National Health Reform Agreement. </w:t>
      </w:r>
    </w:p>
    <w:p w14:paraId="5FB46ED0" w14:textId="77777777" w:rsidR="00916C26" w:rsidRPr="00D207F8" w:rsidRDefault="00916C26" w:rsidP="00916C26">
      <w:pPr>
        <w:pStyle w:val="Heading2"/>
        <w:spacing w:before="240"/>
      </w:pPr>
      <w:bookmarkStart w:id="11" w:name="_Toc132118404"/>
      <w:bookmarkStart w:id="12" w:name="_Toc135043503"/>
      <w:r w:rsidRPr="00D207F8">
        <w:t>1.</w:t>
      </w:r>
      <w:r>
        <w:t>2</w:t>
      </w:r>
      <w:r w:rsidRPr="00D207F8">
        <w:t xml:space="preserve"> </w:t>
      </w:r>
      <w:r>
        <w:t>About this Consultation Paper</w:t>
      </w:r>
      <w:bookmarkEnd w:id="11"/>
      <w:bookmarkEnd w:id="12"/>
    </w:p>
    <w:p w14:paraId="280C1195" w14:textId="6DAC909C" w:rsidR="00916C26" w:rsidRDefault="00916C26" w:rsidP="00916C26">
      <w:pPr>
        <w:pStyle w:val="Body"/>
      </w:pPr>
      <w:r>
        <w:t xml:space="preserve">The Pricing Framework for Australian Public Hospital Services (the Pricing Framework) is </w:t>
      </w:r>
      <w:r w:rsidR="00D85BFD">
        <w:t xml:space="preserve">one of </w:t>
      </w:r>
      <w:r>
        <w:t>IHACPA</w:t>
      </w:r>
      <w:r w:rsidR="00D85BFD">
        <w:t>’s</w:t>
      </w:r>
      <w:r>
        <w:t xml:space="preserve"> key policy document</w:t>
      </w:r>
      <w:r w:rsidR="00D85BFD">
        <w:t>s</w:t>
      </w:r>
      <w:r>
        <w:t xml:space="preserve"> and underpins the approach adopted by IHACPA to determine the NEP and NEC for Australian public hospital services. </w:t>
      </w:r>
    </w:p>
    <w:p w14:paraId="720B49CE" w14:textId="505FE487" w:rsidR="00916C26" w:rsidRDefault="00916C26" w:rsidP="00916C26">
      <w:pPr>
        <w:pStyle w:val="Body"/>
      </w:pPr>
      <w:r>
        <w:t>The Consultation Paper on the Pricing Framework for Australian Public Hospital Services (the Consultation Paper) is the primary mechanism for providing input to the Pricing Framework. The Consultation Paper 2024–25 provides an opportunity for public consultation on the development and refinement of the national ABF system, including policy decisions, classification systems and data collection, which will underpin the NEP and NEC Determinations for 2024–25 (NEP2</w:t>
      </w:r>
      <w:r w:rsidR="008F18FE">
        <w:t>4</w:t>
      </w:r>
      <w:r>
        <w:t xml:space="preserve"> and NEC24).</w:t>
      </w:r>
      <w:r w:rsidR="000F3CED" w:rsidRPr="000F3CED">
        <w:t xml:space="preserve"> </w:t>
      </w:r>
      <w:r w:rsidR="000F3CED">
        <w:t>The Pricing Framework benefits immensely from the contributions of states and territories, academic institutions</w:t>
      </w:r>
      <w:r w:rsidR="006A225D">
        <w:t>,</w:t>
      </w:r>
      <w:r w:rsidR="000F3CED">
        <w:t xml:space="preserve"> and other stakeholders.</w:t>
      </w:r>
    </w:p>
    <w:p w14:paraId="6E96321C" w14:textId="5D0EE889" w:rsidR="00FE2627" w:rsidRDefault="00916C26" w:rsidP="006271FA">
      <w:pPr>
        <w:pStyle w:val="Body"/>
        <w:keepNext/>
        <w:keepLines/>
      </w:pPr>
      <w:r>
        <w:t xml:space="preserve">This Consultation Paper will only apply to developing the NEP and NEC Determinations for Australian public hospital services. </w:t>
      </w:r>
      <w:r w:rsidR="006A031F">
        <w:t xml:space="preserve">The </w:t>
      </w:r>
      <w:r w:rsidR="00A155EE" w:rsidRPr="006A225D">
        <w:t>P</w:t>
      </w:r>
      <w:r w:rsidR="00AB093C" w:rsidRPr="006A225D">
        <w:t xml:space="preserve">ricing </w:t>
      </w:r>
      <w:r w:rsidR="00A155EE" w:rsidRPr="006A225D">
        <w:t>F</w:t>
      </w:r>
      <w:r w:rsidR="00AB093C" w:rsidRPr="006A225D">
        <w:t xml:space="preserve">ramework </w:t>
      </w:r>
      <w:r w:rsidR="00A155EE" w:rsidRPr="006A225D">
        <w:t xml:space="preserve">for </w:t>
      </w:r>
      <w:r w:rsidR="00AB093C" w:rsidRPr="006A225D">
        <w:t xml:space="preserve">Australian </w:t>
      </w:r>
      <w:r w:rsidR="00A155EE" w:rsidRPr="006A225D">
        <w:t>R</w:t>
      </w:r>
      <w:r w:rsidR="00AB093C" w:rsidRPr="006A225D">
        <w:t xml:space="preserve">esidential </w:t>
      </w:r>
      <w:r w:rsidR="00A155EE" w:rsidRPr="006A225D">
        <w:t>A</w:t>
      </w:r>
      <w:r w:rsidR="00AB093C" w:rsidRPr="006A225D">
        <w:t xml:space="preserve">ged </w:t>
      </w:r>
      <w:r w:rsidR="00A155EE" w:rsidRPr="006A225D">
        <w:t>C</w:t>
      </w:r>
      <w:r w:rsidR="00AB093C" w:rsidRPr="006A225D">
        <w:t xml:space="preserve">are </w:t>
      </w:r>
      <w:r w:rsidR="00A155EE" w:rsidRPr="006A225D">
        <w:t>S</w:t>
      </w:r>
      <w:r w:rsidR="00AB093C" w:rsidRPr="006A225D">
        <w:t>ervices</w:t>
      </w:r>
      <w:r w:rsidR="00A155EE" w:rsidRPr="006A225D">
        <w:t xml:space="preserve"> 2023</w:t>
      </w:r>
      <w:r w:rsidR="006A031F" w:rsidRPr="006A225D">
        <w:t>–</w:t>
      </w:r>
      <w:r w:rsidR="00A155EE" w:rsidRPr="006A225D">
        <w:t>24</w:t>
      </w:r>
      <w:r w:rsidR="00AB093C">
        <w:t xml:space="preserve"> </w:t>
      </w:r>
      <w:r w:rsidR="00646D56">
        <w:t>was</w:t>
      </w:r>
      <w:r w:rsidR="00FE2627">
        <w:t xml:space="preserve"> released </w:t>
      </w:r>
      <w:r w:rsidR="00FE2627" w:rsidRPr="00E252F3">
        <w:t xml:space="preserve">in </w:t>
      </w:r>
      <w:r w:rsidR="007A4680">
        <w:br/>
      </w:r>
      <w:r w:rsidR="00646D56">
        <w:t xml:space="preserve">May </w:t>
      </w:r>
      <w:r w:rsidR="00FE2627" w:rsidRPr="00E252F3">
        <w:t>2023</w:t>
      </w:r>
      <w:r w:rsidR="00AB093C" w:rsidRPr="00E252F3">
        <w:t xml:space="preserve">. Separate consultation papers </w:t>
      </w:r>
      <w:r w:rsidR="008209FD" w:rsidRPr="00E252F3">
        <w:t>to inform</w:t>
      </w:r>
      <w:r w:rsidR="008209FD">
        <w:t xml:space="preserve"> the development of</w:t>
      </w:r>
      <w:r w:rsidR="00AB093C">
        <w:t xml:space="preserve"> pricing </w:t>
      </w:r>
      <w:r w:rsidR="003F4E0F">
        <w:t xml:space="preserve">advice </w:t>
      </w:r>
      <w:r w:rsidR="00A155EE">
        <w:t xml:space="preserve">for </w:t>
      </w:r>
      <w:r w:rsidR="00AB093C">
        <w:t xml:space="preserve">Australian residential </w:t>
      </w:r>
      <w:r w:rsidR="00A155EE">
        <w:t xml:space="preserve">and </w:t>
      </w:r>
      <w:r w:rsidR="008209FD">
        <w:t>in-home</w:t>
      </w:r>
      <w:r w:rsidR="00A155EE">
        <w:t xml:space="preserve"> aged care services </w:t>
      </w:r>
      <w:r w:rsidR="003F4E0F">
        <w:t>will be released in due course</w:t>
      </w:r>
      <w:r w:rsidR="00FE2627">
        <w:t>.</w:t>
      </w:r>
    </w:p>
    <w:p w14:paraId="58C15E76" w14:textId="7834E469" w:rsidR="00916C26" w:rsidRDefault="00916C26" w:rsidP="003F2F29">
      <w:pPr>
        <w:pStyle w:val="Heading2"/>
      </w:pPr>
      <w:bookmarkStart w:id="13" w:name="_Toc132118406"/>
      <w:bookmarkStart w:id="14" w:name="_Toc135043504"/>
      <w:r>
        <w:t>1</w:t>
      </w:r>
      <w:r w:rsidRPr="005914D5">
        <w:t>.</w:t>
      </w:r>
      <w:r w:rsidR="00D85BFD">
        <w:t>3</w:t>
      </w:r>
      <w:r>
        <w:t xml:space="preserve"> Supporting documents</w:t>
      </w:r>
      <w:bookmarkEnd w:id="13"/>
      <w:bookmarkEnd w:id="14"/>
    </w:p>
    <w:p w14:paraId="0D51BF45" w14:textId="77777777" w:rsidR="00916C26" w:rsidRDefault="00916C26" w:rsidP="00916C26">
      <w:pPr>
        <w:pStyle w:val="Body"/>
      </w:pPr>
      <w:r>
        <w:t xml:space="preserve">This Consultation Paper builds on previous work in IHACPA’s work program and should be read in conjunction with the following documents: </w:t>
      </w:r>
    </w:p>
    <w:p w14:paraId="14236AD9" w14:textId="77777777" w:rsidR="00916C26" w:rsidRPr="002C5ECE" w:rsidRDefault="00A830A7" w:rsidP="00916C26">
      <w:pPr>
        <w:pStyle w:val="Hyperlinktext"/>
        <w:numPr>
          <w:ilvl w:val="0"/>
          <w:numId w:val="26"/>
        </w:numPr>
        <w:rPr>
          <w:i/>
          <w:iCs/>
        </w:rPr>
      </w:pPr>
      <w:hyperlink r:id="rId23" w:history="1">
        <w:r w:rsidR="00916C26" w:rsidRPr="002C5ECE">
          <w:rPr>
            <w:rStyle w:val="Hyperlink"/>
            <w:i/>
            <w:iCs/>
            <w:color w:val="009055" w:themeColor="accent5"/>
          </w:rPr>
          <w:t>Pricing Framework for Australian Public Hospital Services 2023–24</w:t>
        </w:r>
      </w:hyperlink>
      <w:r w:rsidR="00916C26" w:rsidRPr="002C5ECE">
        <w:rPr>
          <w:i/>
          <w:iCs/>
        </w:rPr>
        <w:t xml:space="preserve"> </w:t>
      </w:r>
    </w:p>
    <w:p w14:paraId="2DC6C3D3" w14:textId="470CBBC0" w:rsidR="00916C26" w:rsidRPr="002C5ECE" w:rsidRDefault="00A830A7" w:rsidP="00916C26">
      <w:pPr>
        <w:pStyle w:val="Hyperlinktext"/>
        <w:numPr>
          <w:ilvl w:val="0"/>
          <w:numId w:val="26"/>
        </w:numPr>
        <w:rPr>
          <w:i/>
          <w:iCs/>
        </w:rPr>
      </w:pPr>
      <w:hyperlink r:id="rId24" w:history="1">
        <w:r w:rsidR="00916C26" w:rsidRPr="002C5ECE">
          <w:rPr>
            <w:rStyle w:val="Hyperlink"/>
            <w:i/>
            <w:iCs/>
            <w:color w:val="009055" w:themeColor="accent5"/>
          </w:rPr>
          <w:t xml:space="preserve">Pricing Framework for Australian Public Hospital Services 2023–24 </w:t>
        </w:r>
        <w:r w:rsidR="00FE25E8">
          <w:rPr>
            <w:rStyle w:val="Hyperlink"/>
            <w:i/>
            <w:iCs/>
            <w:color w:val="009055" w:themeColor="accent5"/>
          </w:rPr>
          <w:t>–</w:t>
        </w:r>
        <w:r w:rsidR="00916C26" w:rsidRPr="002C5ECE">
          <w:rPr>
            <w:rStyle w:val="Hyperlink"/>
            <w:i/>
            <w:iCs/>
            <w:color w:val="009055" w:themeColor="accent5"/>
          </w:rPr>
          <w:t xml:space="preserve"> Consultation Report</w:t>
        </w:r>
      </w:hyperlink>
      <w:r w:rsidR="00916C26" w:rsidRPr="002C5ECE">
        <w:rPr>
          <w:i/>
          <w:iCs/>
        </w:rPr>
        <w:t xml:space="preserve"> </w:t>
      </w:r>
    </w:p>
    <w:p w14:paraId="3D5349F2" w14:textId="77777777" w:rsidR="00916C26" w:rsidRPr="002C5ECE" w:rsidRDefault="00A830A7" w:rsidP="00916C26">
      <w:pPr>
        <w:pStyle w:val="Hyperlinktext"/>
        <w:numPr>
          <w:ilvl w:val="0"/>
          <w:numId w:val="26"/>
        </w:numPr>
        <w:rPr>
          <w:i/>
          <w:iCs/>
        </w:rPr>
      </w:pPr>
      <w:hyperlink r:id="rId25" w:history="1">
        <w:r w:rsidR="00916C26" w:rsidRPr="002C5ECE">
          <w:rPr>
            <w:rStyle w:val="Hyperlink"/>
            <w:i/>
            <w:iCs/>
            <w:color w:val="009055" w:themeColor="accent5"/>
          </w:rPr>
          <w:t>National Efficient Price Determination 2023–24</w:t>
        </w:r>
      </w:hyperlink>
      <w:r w:rsidR="00916C26" w:rsidRPr="002C5ECE">
        <w:rPr>
          <w:i/>
          <w:iCs/>
        </w:rPr>
        <w:t xml:space="preserve"> </w:t>
      </w:r>
    </w:p>
    <w:p w14:paraId="3F48B004" w14:textId="2FA14727" w:rsidR="00916C26" w:rsidRDefault="00A830A7" w:rsidP="00916C26">
      <w:pPr>
        <w:pStyle w:val="Hyperlinktext"/>
        <w:numPr>
          <w:ilvl w:val="0"/>
          <w:numId w:val="26"/>
        </w:numPr>
        <w:rPr>
          <w:i/>
          <w:iCs/>
        </w:rPr>
      </w:pPr>
      <w:hyperlink r:id="rId26" w:history="1">
        <w:r w:rsidR="00916C26" w:rsidRPr="002C5ECE">
          <w:rPr>
            <w:rStyle w:val="Hyperlink"/>
            <w:i/>
            <w:iCs/>
            <w:color w:val="009055" w:themeColor="accent5"/>
          </w:rPr>
          <w:t>National Efficient Cost Determination 2023–24</w:t>
        </w:r>
      </w:hyperlink>
      <w:r w:rsidR="00916C26" w:rsidRPr="002C5ECE">
        <w:rPr>
          <w:i/>
          <w:iCs/>
        </w:rPr>
        <w:t>.</w:t>
      </w:r>
    </w:p>
    <w:p w14:paraId="5933616F" w14:textId="77777777" w:rsidR="00AB093C" w:rsidRDefault="00AB093C" w:rsidP="00AB093C">
      <w:pPr>
        <w:pStyle w:val="Hyperlinktext"/>
        <w:ind w:left="720"/>
        <w:rPr>
          <w:i/>
          <w:iCs/>
        </w:rPr>
      </w:pPr>
    </w:p>
    <w:tbl>
      <w:tblPr>
        <w:tblStyle w:val="TableGrid"/>
        <w:tblW w:w="4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0C4" w:themeFill="accent2"/>
        <w:tblCellMar>
          <w:top w:w="170" w:type="dxa"/>
          <w:left w:w="284" w:type="dxa"/>
          <w:bottom w:w="170" w:type="dxa"/>
          <w:right w:w="284" w:type="dxa"/>
        </w:tblCellMar>
        <w:tblLook w:val="04A0" w:firstRow="1" w:lastRow="0" w:firstColumn="1" w:lastColumn="0" w:noHBand="0" w:noVBand="1"/>
        <w:tblCaption w:val="Have your say box"/>
        <w:tblDescription w:val="Submissions close at 5pm AEDT on 14 October 2022.&#10;Submissions can be:&#10;o Completed via the online questionnaire&#10;o Emailed to submissions.ihacpa@ihacpa.gov.au&#10;o Mailed to:&#10;PO Box 483&#10;Darlinghurst NSW 1300&#10;• All submissions will be published on the IHACPA website unless respondents specifically identify sections that they believe should be kept confidential due to commercial or other reasons.&#10;• The Pricing Framework for Australian Aged Care Services 2023–24 will be published in early 2023.&#10;Enquiries&#10;• Enquiries related to this consultation process should be sent to: submissions.ihacpa@ihacpa.gov.au"/>
      </w:tblPr>
      <w:tblGrid>
        <w:gridCol w:w="4152"/>
      </w:tblGrid>
      <w:tr w:rsidR="00916C26" w:rsidRPr="00C800FF" w14:paraId="1FF88290" w14:textId="77777777" w:rsidTr="00AB093C">
        <w:trPr>
          <w:trHeight w:val="5761"/>
          <w:jc w:val="center"/>
        </w:trPr>
        <w:tc>
          <w:tcPr>
            <w:tcW w:w="5000" w:type="pct"/>
            <w:shd w:val="clear" w:color="auto" w:fill="E6F4F9"/>
          </w:tcPr>
          <w:p w14:paraId="17B30A0F" w14:textId="77777777" w:rsidR="00916C26" w:rsidRPr="006746C9" w:rsidRDefault="00916C26" w:rsidP="00CE68FD">
            <w:pPr>
              <w:pStyle w:val="Heading4"/>
              <w:spacing w:line="360" w:lineRule="auto"/>
              <w:outlineLvl w:val="3"/>
              <w:rPr>
                <w:color w:val="44546A" w:themeColor="text2"/>
              </w:rPr>
            </w:pPr>
            <w:bookmarkStart w:id="15" w:name="_Hlk94513117"/>
            <w:r w:rsidRPr="006746C9">
              <w:rPr>
                <w:noProof/>
                <w:color w:val="44546A" w:themeColor="text2"/>
              </w:rPr>
              <w:lastRenderedPageBreak/>
              <w:drawing>
                <wp:anchor distT="0" distB="0" distL="114300" distR="114300" simplePos="0" relativeHeight="251787264" behindDoc="0" locked="0" layoutInCell="1" allowOverlap="1" wp14:anchorId="224E79DC" wp14:editId="37A5B946">
                  <wp:simplePos x="0" y="0"/>
                  <wp:positionH relativeFrom="column">
                    <wp:posOffset>2540</wp:posOffset>
                  </wp:positionH>
                  <wp:positionV relativeFrom="paragraph">
                    <wp:posOffset>107315</wp:posOffset>
                  </wp:positionV>
                  <wp:extent cx="203200" cy="203200"/>
                  <wp:effectExtent l="0" t="0" r="0" b="0"/>
                  <wp:wrapThrough wrapText="bothSides">
                    <wp:wrapPolygon edited="0">
                      <wp:start x="2700" y="0"/>
                      <wp:lineTo x="0" y="4050"/>
                      <wp:lineTo x="0" y="16200"/>
                      <wp:lineTo x="4050" y="20250"/>
                      <wp:lineTo x="17550" y="20250"/>
                      <wp:lineTo x="20250" y="14850"/>
                      <wp:lineTo x="20250" y="4050"/>
                      <wp:lineTo x="16200" y="0"/>
                      <wp:lineTo x="2700" y="0"/>
                    </wp:wrapPolygon>
                  </wp:wrapThrough>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203200" cy="203200"/>
                          </a:xfrm>
                          <a:prstGeom prst="rect">
                            <a:avLst/>
                          </a:prstGeom>
                        </pic:spPr>
                      </pic:pic>
                    </a:graphicData>
                  </a:graphic>
                  <wp14:sizeRelH relativeFrom="margin">
                    <wp14:pctWidth>0</wp14:pctWidth>
                  </wp14:sizeRelH>
                </wp:anchor>
              </w:drawing>
            </w:r>
            <w:r w:rsidRPr="006746C9">
              <w:rPr>
                <w:color w:val="44546A" w:themeColor="text2"/>
              </w:rPr>
              <w:t>Have your say</w:t>
            </w:r>
          </w:p>
          <w:p w14:paraId="4A95A542" w14:textId="4E8B8167" w:rsidR="00916C26" w:rsidRPr="006746C9" w:rsidRDefault="00916C26" w:rsidP="00CE68FD">
            <w:pPr>
              <w:pStyle w:val="Bullets"/>
            </w:pPr>
            <w:r w:rsidRPr="006746C9">
              <w:t>Submissions close at 5pm AE</w:t>
            </w:r>
            <w:r w:rsidR="00646D56">
              <w:t>S</w:t>
            </w:r>
            <w:r w:rsidRPr="006746C9">
              <w:t xml:space="preserve">T on </w:t>
            </w:r>
            <w:r>
              <w:t>Friday 14 July 2023</w:t>
            </w:r>
            <w:r w:rsidRPr="006746C9">
              <w:t>.</w:t>
            </w:r>
          </w:p>
          <w:p w14:paraId="69F1BD93" w14:textId="77777777" w:rsidR="00916C26" w:rsidRPr="006746C9" w:rsidRDefault="00916C26" w:rsidP="00CE68FD">
            <w:pPr>
              <w:pStyle w:val="Bullets"/>
            </w:pPr>
            <w:r w:rsidRPr="006746C9">
              <w:t>Submissions can be:</w:t>
            </w:r>
          </w:p>
          <w:p w14:paraId="51C5986E" w14:textId="77777777" w:rsidR="00916C26" w:rsidRPr="006746C9" w:rsidRDefault="00916C26" w:rsidP="00CE68FD">
            <w:pPr>
              <w:pStyle w:val="BulletL2"/>
              <w:rPr>
                <w:color w:val="000000" w:themeColor="text1"/>
              </w:rPr>
            </w:pPr>
            <w:r w:rsidRPr="006746C9">
              <w:rPr>
                <w:color w:val="000000" w:themeColor="text1"/>
              </w:rPr>
              <w:t xml:space="preserve">Emailed to </w:t>
            </w:r>
            <w:hyperlink r:id="rId29" w:history="1">
              <w:r w:rsidRPr="002C5ECE">
                <w:rPr>
                  <w:rStyle w:val="HyperlinktextChar"/>
                </w:rPr>
                <w:t>submissions.ihacpa@ihacpa.gov.au</w:t>
              </w:r>
            </w:hyperlink>
          </w:p>
          <w:p w14:paraId="2475A5C7" w14:textId="77777777" w:rsidR="00916C26" w:rsidRPr="006746C9" w:rsidRDefault="00916C26" w:rsidP="00CE68FD">
            <w:pPr>
              <w:pStyle w:val="BulletL2"/>
            </w:pPr>
            <w:r w:rsidRPr="006746C9">
              <w:t>Mailed to:</w:t>
            </w:r>
            <w:r w:rsidRPr="006746C9">
              <w:br/>
              <w:t>PO Box 483</w:t>
            </w:r>
            <w:r w:rsidRPr="006746C9">
              <w:br/>
              <w:t>Darlinghurst NSW 1300</w:t>
            </w:r>
          </w:p>
          <w:p w14:paraId="506599C2" w14:textId="77777777" w:rsidR="00916C26" w:rsidRPr="006746C9" w:rsidRDefault="00916C26" w:rsidP="00CE68FD">
            <w:pPr>
              <w:pStyle w:val="Bullets"/>
            </w:pPr>
            <w:r w:rsidRPr="006746C9">
              <w:t>All submissions will be published on the </w:t>
            </w:r>
            <w:hyperlink r:id="rId30" w:history="1">
              <w:r w:rsidRPr="002C5ECE">
                <w:rPr>
                  <w:rStyle w:val="HyperlinktextChar"/>
                </w:rPr>
                <w:t>IHACPA website</w:t>
              </w:r>
            </w:hyperlink>
            <w:r w:rsidRPr="006746C9">
              <w:t xml:space="preserve"> unless respondents specifically identify sections that they believe should be kept confidential due to commercial or other reasons.</w:t>
            </w:r>
          </w:p>
          <w:p w14:paraId="64C898D7" w14:textId="0F8FF8E6" w:rsidR="00916C26" w:rsidRPr="006746C9" w:rsidRDefault="00916C26" w:rsidP="00CE68FD">
            <w:pPr>
              <w:pStyle w:val="Bullets"/>
            </w:pPr>
            <w:r w:rsidRPr="006746C9">
              <w:t xml:space="preserve">The </w:t>
            </w:r>
            <w:r w:rsidRPr="003F2F29">
              <w:rPr>
                <w:i/>
                <w:iCs/>
              </w:rPr>
              <w:t>Pricing Framework for Australian Public Hospital Services 2024</w:t>
            </w:r>
            <w:r w:rsidRPr="003F2F29">
              <w:rPr>
                <w:rFonts w:hint="cs"/>
                <w:i/>
                <w:iCs/>
              </w:rPr>
              <w:t>–</w:t>
            </w:r>
            <w:r w:rsidRPr="003F2F29">
              <w:rPr>
                <w:i/>
                <w:iCs/>
              </w:rPr>
              <w:t>25</w:t>
            </w:r>
            <w:r w:rsidRPr="006746C9">
              <w:t xml:space="preserve"> will be </w:t>
            </w:r>
            <w:r w:rsidR="00AB093C" w:rsidRPr="006746C9">
              <w:t xml:space="preserve">published in </w:t>
            </w:r>
            <w:r w:rsidR="00905BEB">
              <w:t>December</w:t>
            </w:r>
            <w:r w:rsidR="00AB093C" w:rsidRPr="006746C9">
              <w:t xml:space="preserve"> 202</w:t>
            </w:r>
            <w:r w:rsidR="00E3081F">
              <w:t>3</w:t>
            </w:r>
            <w:r w:rsidRPr="006746C9">
              <w:t>.</w:t>
            </w:r>
          </w:p>
          <w:p w14:paraId="7E9C697C" w14:textId="77777777" w:rsidR="00916C26" w:rsidRPr="006746C9" w:rsidRDefault="00916C26" w:rsidP="00CE68FD">
            <w:pPr>
              <w:pStyle w:val="Heading4"/>
              <w:spacing w:line="360" w:lineRule="auto"/>
              <w:outlineLvl w:val="3"/>
              <w:rPr>
                <w:color w:val="44546A" w:themeColor="text2"/>
              </w:rPr>
            </w:pPr>
            <w:r w:rsidRPr="006746C9">
              <w:rPr>
                <w:noProof/>
                <w:color w:val="44546A" w:themeColor="text2"/>
              </w:rPr>
              <w:drawing>
                <wp:anchor distT="0" distB="0" distL="114300" distR="114300" simplePos="0" relativeHeight="251788288" behindDoc="0" locked="0" layoutInCell="1" allowOverlap="1" wp14:anchorId="6BC18FCA" wp14:editId="7BB61EA8">
                  <wp:simplePos x="0" y="0"/>
                  <wp:positionH relativeFrom="column">
                    <wp:posOffset>2540</wp:posOffset>
                  </wp:positionH>
                  <wp:positionV relativeFrom="paragraph">
                    <wp:posOffset>26670</wp:posOffset>
                  </wp:positionV>
                  <wp:extent cx="203200" cy="203200"/>
                  <wp:effectExtent l="0" t="0" r="0" b="0"/>
                  <wp:wrapThrough wrapText="bothSides">
                    <wp:wrapPolygon edited="0">
                      <wp:start x="2700" y="0"/>
                      <wp:lineTo x="0" y="4050"/>
                      <wp:lineTo x="0" y="16200"/>
                      <wp:lineTo x="4050" y="20250"/>
                      <wp:lineTo x="17550" y="20250"/>
                      <wp:lineTo x="20250" y="14850"/>
                      <wp:lineTo x="20250" y="4050"/>
                      <wp:lineTo x="16200" y="0"/>
                      <wp:lineTo x="270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203200" cy="203200"/>
                          </a:xfrm>
                          <a:prstGeom prst="rect">
                            <a:avLst/>
                          </a:prstGeom>
                        </pic:spPr>
                      </pic:pic>
                    </a:graphicData>
                  </a:graphic>
                  <wp14:sizeRelH relativeFrom="margin">
                    <wp14:pctWidth>0</wp14:pctWidth>
                  </wp14:sizeRelH>
                </wp:anchor>
              </w:drawing>
            </w:r>
            <w:r w:rsidRPr="006746C9">
              <w:rPr>
                <w:color w:val="44546A" w:themeColor="text2"/>
              </w:rPr>
              <w:t>Enquiries</w:t>
            </w:r>
          </w:p>
          <w:p w14:paraId="607C69ED" w14:textId="58F01F4A" w:rsidR="00916C26" w:rsidRPr="006746C9" w:rsidRDefault="00916C26" w:rsidP="00AB093C">
            <w:pPr>
              <w:pStyle w:val="Bullets"/>
            </w:pPr>
            <w:r w:rsidRPr="006746C9">
              <w:t xml:space="preserve">Enquiries related to this consultation process should be </w:t>
            </w:r>
            <w:r w:rsidR="00FE25E8">
              <w:t>emailed</w:t>
            </w:r>
            <w:r w:rsidR="00FE25E8" w:rsidRPr="006746C9">
              <w:t xml:space="preserve"> </w:t>
            </w:r>
            <w:r w:rsidRPr="006746C9">
              <w:t xml:space="preserve">to: </w:t>
            </w:r>
            <w:hyperlink r:id="rId31" w:history="1">
              <w:r w:rsidRPr="002C5ECE">
                <w:rPr>
                  <w:rStyle w:val="HyperlinktextChar"/>
                </w:rPr>
                <w:t>submissions.ihacpa@ihacpa.gov.au</w:t>
              </w:r>
            </w:hyperlink>
            <w:r w:rsidRPr="006746C9">
              <w:t xml:space="preserve"> </w:t>
            </w:r>
          </w:p>
        </w:tc>
      </w:tr>
      <w:bookmarkEnd w:id="15"/>
    </w:tbl>
    <w:p w14:paraId="412023B2" w14:textId="157C4E9D" w:rsidR="00B54A0E" w:rsidRDefault="00B54A0E" w:rsidP="00916C26">
      <w:pPr>
        <w:sectPr w:rsidR="00B54A0E" w:rsidSect="00AD603F">
          <w:headerReference w:type="default" r:id="rId32"/>
          <w:type w:val="continuous"/>
          <w:pgSz w:w="11906" w:h="16838" w:code="9"/>
          <w:pgMar w:top="1440" w:right="1440" w:bottom="1440" w:left="1440" w:header="708" w:footer="708" w:gutter="0"/>
          <w:cols w:num="2" w:space="708"/>
          <w:docGrid w:linePitch="360"/>
        </w:sectPr>
      </w:pPr>
    </w:p>
    <w:p w14:paraId="2852452A" w14:textId="5338CE30" w:rsidR="0055477F" w:rsidRPr="005107C4" w:rsidRDefault="00905BEB" w:rsidP="006B19D6">
      <w:pPr>
        <w:pStyle w:val="ChapterNumber"/>
        <w:spacing w:before="600"/>
        <w:jc w:val="left"/>
        <w:rPr>
          <w:color w:val="15272F" w:themeColor="accent3"/>
        </w:rPr>
      </w:pPr>
      <w:r>
        <w:rPr>
          <w:color w:val="15272F" w:themeColor="accent3"/>
        </w:rPr>
        <w:lastRenderedPageBreak/>
        <w:t>2</w:t>
      </w:r>
    </w:p>
    <w:p w14:paraId="773432F2" w14:textId="2220195A" w:rsidR="0055477F" w:rsidRPr="005107C4" w:rsidRDefault="000C07E4" w:rsidP="000C07E4">
      <w:pPr>
        <w:pStyle w:val="Heading-Sectionstart"/>
        <w:ind w:right="4064"/>
      </w:pPr>
      <w:bookmarkStart w:id="16" w:name="_Toc135043505"/>
      <w:r>
        <w:t>Pricing Guidelines</w:t>
      </w:r>
      <w:bookmarkEnd w:id="16"/>
    </w:p>
    <w:p w14:paraId="28937430" w14:textId="77777777" w:rsidR="0055477F" w:rsidRDefault="0055477F" w:rsidP="0055477F">
      <w:pPr>
        <w:pStyle w:val="Body"/>
        <w:sectPr w:rsidR="0055477F" w:rsidSect="00C9543A">
          <w:headerReference w:type="default" r:id="rId33"/>
          <w:footerReference w:type="default" r:id="rId34"/>
          <w:pgSz w:w="11906" w:h="16838" w:code="9"/>
          <w:pgMar w:top="851" w:right="1440" w:bottom="1440" w:left="1440" w:header="708" w:footer="708" w:gutter="0"/>
          <w:cols w:space="708"/>
          <w:docGrid w:linePitch="360"/>
        </w:sectPr>
      </w:pPr>
    </w:p>
    <w:p w14:paraId="3BDD1C18" w14:textId="77777777" w:rsidR="0055477F" w:rsidRDefault="0055477F" w:rsidP="0055477F">
      <w:pPr>
        <w:pStyle w:val="Body"/>
        <w:sectPr w:rsidR="0055477F" w:rsidSect="00F4029B">
          <w:headerReference w:type="default" r:id="rId35"/>
          <w:footerReference w:type="default" r:id="rId36"/>
          <w:pgSz w:w="11906" w:h="16838" w:code="9"/>
          <w:pgMar w:top="2410" w:right="1440" w:bottom="1440" w:left="1440" w:header="568" w:footer="708" w:gutter="0"/>
          <w:cols w:space="708"/>
          <w:docGrid w:linePitch="360"/>
        </w:sectPr>
      </w:pPr>
    </w:p>
    <w:p w14:paraId="1426C2E0" w14:textId="5206DE0F" w:rsidR="000C07E4" w:rsidRDefault="00905BEB" w:rsidP="000C07E4">
      <w:pPr>
        <w:pStyle w:val="Heading2"/>
      </w:pPr>
      <w:bookmarkStart w:id="17" w:name="_Toc132118412"/>
      <w:bookmarkStart w:id="18" w:name="_Toc135043506"/>
      <w:r>
        <w:t>2</w:t>
      </w:r>
      <w:r w:rsidR="000C07E4">
        <w:t>.1 The Pricing Guidelines</w:t>
      </w:r>
      <w:bookmarkEnd w:id="17"/>
      <w:bookmarkEnd w:id="18"/>
    </w:p>
    <w:p w14:paraId="2E0EC05A" w14:textId="2FBFDCF9" w:rsidR="000C07E4" w:rsidRDefault="000C07E4" w:rsidP="000C07E4">
      <w:pPr>
        <w:pStyle w:val="Body"/>
      </w:pPr>
      <w:r>
        <w:t>The decisions made by the Independent Health and Aged Care Pricing Authority (IHACPA) in pricing in</w:t>
      </w:r>
      <w:r w:rsidR="003D5084">
        <w:noBreakHyphen/>
      </w:r>
      <w:r>
        <w:t>scope public hospital services are evidence</w:t>
      </w:r>
      <w:r w:rsidR="003D5084">
        <w:noBreakHyphen/>
      </w:r>
      <w:r>
        <w:t>based and use the latest activity and cost data supplied to IHACPA by the states and territories. In making these decisions, IHACPA balances a range of policy objectives</w:t>
      </w:r>
      <w:r w:rsidR="00FF4D1D">
        <w:t xml:space="preserve"> provided by the </w:t>
      </w:r>
      <w:r w:rsidR="00FF4D1D" w:rsidRPr="006271FA">
        <w:rPr>
          <w:i/>
          <w:iCs/>
        </w:rPr>
        <w:t>National Health Reform Act 2011</w:t>
      </w:r>
      <w:r w:rsidR="00FF4D1D">
        <w:t xml:space="preserve"> and the </w:t>
      </w:r>
      <w:r w:rsidR="007100C2">
        <w:t xml:space="preserve">Addendum to the </w:t>
      </w:r>
      <w:r w:rsidR="00FF4D1D">
        <w:t>National Health Reform Agreement 2020</w:t>
      </w:r>
      <w:r w:rsidR="00500515">
        <w:t>–</w:t>
      </w:r>
      <w:r w:rsidR="00FF4D1D">
        <w:t>2025. These objectives include</w:t>
      </w:r>
      <w:r>
        <w:t>,</w:t>
      </w:r>
      <w:r w:rsidR="00FF4D1D">
        <w:t xml:space="preserve"> but are not limited to, </w:t>
      </w:r>
      <w:r>
        <w:t>improving the efficiency and accessibility of public hospital services.</w:t>
      </w:r>
    </w:p>
    <w:p w14:paraId="06F60049" w14:textId="77777777" w:rsidR="000C07E4" w:rsidRDefault="000C07E4" w:rsidP="003F2F29">
      <w:pPr>
        <w:pStyle w:val="Body"/>
        <w:keepNext/>
        <w:keepLines/>
      </w:pPr>
      <w:r>
        <w:t xml:space="preserve">The Pricing Guidelines outlined in Figure 1, signal IHACPA’s commitment to transparency and accountability as it undertakes its work and comprise the overarching, process and system design guidelines within which IHACPA makes its policy decisions. </w:t>
      </w:r>
    </w:p>
    <w:p w14:paraId="26759DDA" w14:textId="77777777" w:rsidR="000C07E4" w:rsidRDefault="000C07E4" w:rsidP="000C07E4">
      <w:pPr>
        <w:pStyle w:val="Body"/>
      </w:pPr>
      <w:r>
        <w:t xml:space="preserve">In 2022, IHACPA reviewed the Pricing Guidelines and made minor amendments to the ‘Activity based funding (ABF) pre-eminence’ pricing guideline, updating it to ‘Using ABF where practical and appropriate’. </w:t>
      </w:r>
    </w:p>
    <w:p w14:paraId="43D2EE49" w14:textId="6F916429" w:rsidR="000C07E4" w:rsidRDefault="000C07E4" w:rsidP="006271FA">
      <w:pPr>
        <w:pStyle w:val="Body"/>
        <w:keepLines/>
      </w:pPr>
      <w:r>
        <w:t>IHACPA has reviewed the Pricing Guidelines in 2023 and is proposing minor amendments to the ‘Evidence-based’ Process Guideline, based on stakeholder feedback to the National Efficient Price Determination 2023–24.</w:t>
      </w:r>
    </w:p>
    <w:p w14:paraId="05339070" w14:textId="77777777" w:rsidR="00B53A61" w:rsidRDefault="00B53A61" w:rsidP="000C07E4">
      <w:pPr>
        <w:pStyle w:val="Body"/>
      </w:pPr>
    </w:p>
    <w:p w14:paraId="6A56ABF0" w14:textId="77777777" w:rsidR="00B53A61" w:rsidRDefault="00B53A61" w:rsidP="000C07E4">
      <w:pPr>
        <w:pStyle w:val="Body"/>
      </w:pPr>
    </w:p>
    <w:p w14:paraId="4E95FA9D" w14:textId="77777777" w:rsidR="00B53A61" w:rsidRDefault="00B53A61" w:rsidP="000C07E4">
      <w:pPr>
        <w:pStyle w:val="Body"/>
      </w:pPr>
    </w:p>
    <w:p w14:paraId="51B364A4" w14:textId="77777777" w:rsidR="00B53A61" w:rsidRDefault="00B53A61" w:rsidP="000C07E4">
      <w:pPr>
        <w:pStyle w:val="Body"/>
      </w:pPr>
    </w:p>
    <w:p w14:paraId="38999728" w14:textId="77777777" w:rsidR="00B53A61" w:rsidRDefault="00B53A61" w:rsidP="000C07E4">
      <w:pPr>
        <w:pStyle w:val="Body"/>
      </w:pPr>
    </w:p>
    <w:p w14:paraId="392A8B4D" w14:textId="77777777" w:rsidR="00B53A61" w:rsidRDefault="00B53A61" w:rsidP="000C07E4">
      <w:pPr>
        <w:pStyle w:val="Body"/>
      </w:pPr>
    </w:p>
    <w:p w14:paraId="0E1141A8" w14:textId="77777777" w:rsidR="00B53A61" w:rsidRDefault="00B53A61" w:rsidP="000C07E4">
      <w:pPr>
        <w:pStyle w:val="Body"/>
      </w:pPr>
    </w:p>
    <w:p w14:paraId="5FF36727" w14:textId="77777777" w:rsidR="00B53A61" w:rsidRDefault="00B53A61" w:rsidP="000C07E4">
      <w:pPr>
        <w:pStyle w:val="Body"/>
      </w:pPr>
    </w:p>
    <w:p w14:paraId="1DAEF642" w14:textId="77777777" w:rsidR="00B53A61" w:rsidRDefault="00B53A61" w:rsidP="000C07E4">
      <w:pPr>
        <w:pStyle w:val="Body"/>
      </w:pPr>
    </w:p>
    <w:p w14:paraId="51B169B1" w14:textId="77777777" w:rsidR="00B53A61" w:rsidRDefault="00B53A61" w:rsidP="000C07E4">
      <w:pPr>
        <w:pStyle w:val="Body"/>
      </w:pPr>
    </w:p>
    <w:p w14:paraId="4500984E" w14:textId="77777777" w:rsidR="00B53A61" w:rsidRDefault="00B53A61" w:rsidP="000C07E4">
      <w:pPr>
        <w:pStyle w:val="Body"/>
      </w:pPr>
    </w:p>
    <w:p w14:paraId="1BA7DB5A" w14:textId="77777777" w:rsidR="00B53A61" w:rsidRDefault="00B53A61" w:rsidP="000C07E4">
      <w:pPr>
        <w:pStyle w:val="Body"/>
      </w:pPr>
    </w:p>
    <w:p w14:paraId="6164334E" w14:textId="77777777" w:rsidR="00B53A61" w:rsidRDefault="00B53A61" w:rsidP="000C07E4">
      <w:pPr>
        <w:pStyle w:val="Body"/>
      </w:pPr>
    </w:p>
    <w:p w14:paraId="1B2ABF34" w14:textId="77777777" w:rsidR="00B53A61" w:rsidRDefault="00B53A61" w:rsidP="000C07E4">
      <w:pPr>
        <w:pStyle w:val="Body"/>
      </w:pPr>
    </w:p>
    <w:p w14:paraId="64827A66" w14:textId="77777777" w:rsidR="00B53A61" w:rsidRDefault="00B53A61" w:rsidP="000C07E4">
      <w:pPr>
        <w:pStyle w:val="Body"/>
      </w:pPr>
    </w:p>
    <w:p w14:paraId="6A4CD4F1" w14:textId="77777777" w:rsidR="00B53A61" w:rsidRDefault="00B53A61" w:rsidP="000C07E4">
      <w:pPr>
        <w:pStyle w:val="Body"/>
      </w:pPr>
    </w:p>
    <w:p w14:paraId="093589EB" w14:textId="7C9E91D0" w:rsidR="00B53A61" w:rsidRDefault="00B53A61" w:rsidP="000C07E4">
      <w:pPr>
        <w:pStyle w:val="Body"/>
        <w:sectPr w:rsidR="00B53A61" w:rsidSect="000C07E4">
          <w:headerReference w:type="default" r:id="rId37"/>
          <w:footerReference w:type="default" r:id="rId38"/>
          <w:type w:val="continuous"/>
          <w:pgSz w:w="11906" w:h="16838" w:code="9"/>
          <w:pgMar w:top="3544" w:right="1440" w:bottom="1440" w:left="1440" w:header="708" w:footer="708" w:gutter="0"/>
          <w:cols w:num="2" w:space="708"/>
          <w:docGrid w:linePitch="360"/>
        </w:sectPr>
      </w:pPr>
    </w:p>
    <w:p w14:paraId="3E37D7F2" w14:textId="43A52ABD" w:rsidR="000C07E4" w:rsidRDefault="000C07E4">
      <w:pPr>
        <w:rPr>
          <w:rFonts w:ascii="Josefin Sans" w:eastAsiaTheme="majorEastAsia" w:hAnsi="Josefin Sans" w:cstheme="majorBidi"/>
          <w:b/>
          <w:color w:val="104F99" w:themeColor="accent1"/>
          <w:sz w:val="36"/>
          <w:szCs w:val="26"/>
        </w:rPr>
      </w:pPr>
      <w:r>
        <w:br w:type="page"/>
      </w:r>
    </w:p>
    <w:p w14:paraId="26F4C267" w14:textId="77777777" w:rsidR="000C07E4" w:rsidRDefault="000C07E4" w:rsidP="000C07E4">
      <w:pPr>
        <w:pStyle w:val="FigureTableHeading"/>
        <w:rPr>
          <w:color w:val="auto"/>
        </w:rPr>
      </w:pPr>
      <w:r w:rsidRPr="00057E51">
        <w:rPr>
          <w:color w:val="auto"/>
        </w:rPr>
        <w:lastRenderedPageBreak/>
        <w:t xml:space="preserve">Figure 1: The Pricing </w:t>
      </w:r>
      <w:r>
        <w:rPr>
          <w:color w:val="auto"/>
        </w:rPr>
        <w:t>Guidelines</w:t>
      </w:r>
    </w:p>
    <w:p w14:paraId="16D2AD3B" w14:textId="77777777" w:rsidR="000C07E4" w:rsidRPr="00057E51" w:rsidRDefault="000C07E4" w:rsidP="000C07E4">
      <w:pPr>
        <w:pStyle w:val="FigureTableHeading"/>
        <w:rPr>
          <w:color w:val="auto"/>
        </w:rPr>
      </w:pPr>
    </w:p>
    <w:tbl>
      <w:tblPr>
        <w:tblStyle w:val="TableGrid"/>
        <w:tblW w:w="4988" w:type="pct"/>
        <w:tblBorders>
          <w:top w:val="none" w:sz="0" w:space="0" w:color="auto"/>
          <w:left w:val="none" w:sz="0" w:space="0" w:color="auto"/>
          <w:bottom w:val="none" w:sz="0" w:space="0" w:color="auto"/>
          <w:right w:val="none" w:sz="0" w:space="0" w:color="auto"/>
          <w:insideV w:val="none" w:sz="0" w:space="0" w:color="auto"/>
        </w:tblBorders>
        <w:shd w:val="clear" w:color="auto" w:fill="F2F2F2" w:themeFill="background1" w:themeFillShade="F2"/>
        <w:tblCellMar>
          <w:left w:w="170" w:type="dxa"/>
        </w:tblCellMar>
        <w:tblLook w:val="04A0" w:firstRow="1" w:lastRow="0" w:firstColumn="1" w:lastColumn="0" w:noHBand="0" w:noVBand="1"/>
        <w:tblCaption w:val="Figure 1: The Pricing Guidelines"/>
        <w:tblDescription w:val="Overarching Guidelines that articulate the policy intent behind the introduction of funding reform for public hospital services comprising ABF and block grant funding:&#10;Timely-quality care: Funding should support timely access to quality health services.&#10;Efficiency: ABF should improve the value of the public investment in hospital care and ensure a sustainable and efficient network of public hospital services.&#10;Fairness: ABF payments should be fair and equitable, including being based on the same price for the same service across public, private or not-for-profit providers of public hospital services and recognise the legitimate and unavoidable costs faced by some providers of public hospital services.&#10;Maintaining agreed roles and responsibilities of governments determined by the National Health Reform Agreement: Funding design should recognise the complementary responsibilities of each level of government in funding health services.&#10;Process Guidelines to guide the implementation of ABF and block grant funding arrangements:&#10;Transparency: All steps in the determination of ABF and block grant funding should be clear and transparent.&#10;Administrative ease: Funding arrangements should not unduly increase the administrative burden on hospitals and system managers.&#10;Stability: The payment relativities for ABF are consistent over time.&#10;Evidence-based: Funding should be based on best available information.&#10;System Design Guidelines to inform the options for design of ABF and block grant funding arrangements:&#10;Fostering clinical innovation: Pricing of public hospital services should respond in a timely way to introduction of evidence-based, effective new technology and innovations in the models of care that improve patient outcomes.&#10;Promoting value: Pricing supports innovative and alternative funding solutions that deliver efficient, high quality, patient centred care.&#10;Promoting harmonisation: Pricing should facilitate best practice provision of appropriate site of care.&#10;Minimising undesirable and inadvertent consequences: Funding design should minimise susceptibility to gaming, inappropriate rewards and perverse incentives.&#10;ABF pre-eminence: ABF should be used for funding public hospital services wherever practicable and compatible with delivering value in both outcomes and cost.&#10;Single unit of measure and price equivalence: ABF pricing should support dynamic efficiency and changes to models of care with the ready transferability of funding between different care types and service streams through a single unit of measure and relative weights.&#10;Patient-based: Adjustments to the standard price should be based on patient-related rather than provider-related characteristics wherever practicable.&#10;Public-private neutrality: ABF pricing should ensure that payments a local hospital network (LHN) receives for a public patient should be equal to payments made for a LHN service for a private patient."/>
      </w:tblPr>
      <w:tblGrid>
        <w:gridCol w:w="4502"/>
        <w:gridCol w:w="4502"/>
      </w:tblGrid>
      <w:tr w:rsidR="000C07E4" w:rsidRPr="00006991" w14:paraId="040C4C78" w14:textId="77777777" w:rsidTr="00007A9F">
        <w:trPr>
          <w:trHeight w:val="10582"/>
        </w:trPr>
        <w:tc>
          <w:tcPr>
            <w:tcW w:w="2500" w:type="pct"/>
            <w:shd w:val="clear" w:color="auto" w:fill="F2F2F2" w:themeFill="background1" w:themeFillShade="F2"/>
          </w:tcPr>
          <w:p w14:paraId="2B4C72AC" w14:textId="77777777" w:rsidR="000C07E4" w:rsidRPr="00006991" w:rsidRDefault="000C07E4" w:rsidP="00007A9F">
            <w:pPr>
              <w:pStyle w:val="BodyText"/>
              <w:keepLines/>
              <w:spacing w:after="120"/>
              <w:rPr>
                <w:rFonts w:cs="Arial"/>
                <w:b/>
                <w:bCs/>
              </w:rPr>
            </w:pPr>
            <w:r w:rsidRPr="00006991">
              <w:rPr>
                <w:rFonts w:cs="Arial"/>
                <w:b/>
                <w:bCs/>
                <w:noProof/>
                <w:lang w:eastAsia="en-AU" w:bidi="ar-SA"/>
              </w:rPr>
              <mc:AlternateContent>
                <mc:Choice Requires="wps">
                  <w:drawing>
                    <wp:anchor distT="0" distB="0" distL="114300" distR="114300" simplePos="0" relativeHeight="251810816" behindDoc="0" locked="0" layoutInCell="1" allowOverlap="1" wp14:anchorId="66DE45E6" wp14:editId="782C6C22">
                      <wp:simplePos x="0" y="0"/>
                      <wp:positionH relativeFrom="column">
                        <wp:posOffset>14604</wp:posOffset>
                      </wp:positionH>
                      <wp:positionV relativeFrom="paragraph">
                        <wp:posOffset>205105</wp:posOffset>
                      </wp:positionV>
                      <wp:extent cx="2543175" cy="0"/>
                      <wp:effectExtent l="0" t="0" r="0" b="0"/>
                      <wp:wrapNone/>
                      <wp:docPr id="62" name="Straight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4E4AB" id="Straight Connector 62" o:spid="_x0000_s1026" alt="&quot;&quot;"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1.15pt,16.15pt" to="201.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" strokecolor="#0080c4 [3205]" strokeweight=".5pt">
                      <v:stroke joinstyle="miter"/>
                    </v:line>
                  </w:pict>
                </mc:Fallback>
              </mc:AlternateContent>
            </w:r>
          </w:p>
          <w:p w14:paraId="2ED7F9D7" w14:textId="77777777" w:rsidR="000C07E4" w:rsidRPr="00006991" w:rsidRDefault="000C07E4" w:rsidP="00007A9F">
            <w:pPr>
              <w:pStyle w:val="Body"/>
              <w:spacing w:after="120"/>
            </w:pPr>
            <w:r w:rsidRPr="00006991">
              <w:rPr>
                <w:b/>
                <w:bCs/>
              </w:rPr>
              <w:t>Overarching Guidelines</w:t>
            </w:r>
            <w:r w:rsidRPr="00006991">
              <w:t> that articulate the policy intent behind the introduction of funding reform for public hospital services comprising ABF and block grant funding:</w:t>
            </w:r>
          </w:p>
          <w:p w14:paraId="2E988047" w14:textId="77777777" w:rsidR="000C07E4" w:rsidRPr="00006991" w:rsidRDefault="000C07E4" w:rsidP="00007A9F">
            <w:pPr>
              <w:pStyle w:val="Bullets"/>
              <w:spacing w:before="0" w:after="120"/>
            </w:pPr>
            <w:r w:rsidRPr="00006991">
              <w:rPr>
                <w:b/>
              </w:rPr>
              <w:t>Timely-quality care</w:t>
            </w:r>
            <w:r w:rsidRPr="00006991">
              <w:t>: Funding should support timely access to quality health services</w:t>
            </w:r>
            <w:r w:rsidRPr="00006991">
              <w:rPr>
                <w:spacing w:val="2"/>
              </w:rPr>
              <w:t>.</w:t>
            </w:r>
          </w:p>
          <w:p w14:paraId="2B7DEF19" w14:textId="77777777" w:rsidR="000C07E4" w:rsidRPr="00006991" w:rsidRDefault="000C07E4" w:rsidP="00007A9F">
            <w:pPr>
              <w:pStyle w:val="Bullets"/>
              <w:spacing w:before="0" w:after="120"/>
            </w:pPr>
            <w:r w:rsidRPr="00006991">
              <w:rPr>
                <w:b/>
              </w:rPr>
              <w:t>Efficiency</w:t>
            </w:r>
            <w:r w:rsidRPr="00006991">
              <w:t>: ABF should improve the value of the public investment in hospital care and ensure a sustainable and efficient network of public hospital services.</w:t>
            </w:r>
          </w:p>
          <w:p w14:paraId="194A5A9E" w14:textId="77777777" w:rsidR="000C07E4" w:rsidRPr="00006991" w:rsidRDefault="000C07E4" w:rsidP="00007A9F">
            <w:pPr>
              <w:pStyle w:val="Bullets"/>
              <w:spacing w:before="0" w:after="120"/>
            </w:pPr>
            <w:r w:rsidRPr="00006991">
              <w:rPr>
                <w:b/>
              </w:rPr>
              <w:t xml:space="preserve">Fairness: </w:t>
            </w:r>
            <w:r w:rsidRPr="00006991">
              <w:t>ABF payments should be fair and equitable, including being based on the same price for the same service across public, private or not-for-profit providers of public hospital services and recognise the legitimate and unavoidable costs faced by some providers of public hospital services.</w:t>
            </w:r>
          </w:p>
          <w:p w14:paraId="54830C48" w14:textId="77777777" w:rsidR="000C07E4" w:rsidRPr="00006991" w:rsidRDefault="000C07E4" w:rsidP="00007A9F">
            <w:pPr>
              <w:pStyle w:val="Bullets"/>
              <w:spacing w:before="0" w:after="120"/>
            </w:pPr>
            <w:r w:rsidRPr="00006991">
              <w:rPr>
                <w:b/>
                <w:spacing w:val="2"/>
              </w:rPr>
              <w:t xml:space="preserve">Maintaining </w:t>
            </w:r>
            <w:r w:rsidRPr="00006991">
              <w:rPr>
                <w:b/>
              </w:rPr>
              <w:t xml:space="preserve">agreed roles and responsibilities of governments determined by </w:t>
            </w:r>
            <w:r w:rsidRPr="00006991">
              <w:rPr>
                <w:b/>
                <w:spacing w:val="2"/>
              </w:rPr>
              <w:t xml:space="preserve">the National Health </w:t>
            </w:r>
            <w:r w:rsidRPr="00006991">
              <w:rPr>
                <w:b/>
              </w:rPr>
              <w:t xml:space="preserve">Reform Agreement: </w:t>
            </w:r>
            <w:r w:rsidRPr="00006991">
              <w:t>Funding design should recognise the complementary responsibilities of each level of government in</w:t>
            </w:r>
            <w:r>
              <w:t> </w:t>
            </w:r>
            <w:r w:rsidRPr="00006991">
              <w:t>funding health services.</w:t>
            </w:r>
          </w:p>
          <w:p w14:paraId="427AF86D" w14:textId="77777777" w:rsidR="000C07E4" w:rsidRPr="00006991" w:rsidRDefault="000C07E4" w:rsidP="00007A9F">
            <w:pPr>
              <w:pStyle w:val="Body"/>
              <w:spacing w:after="120"/>
            </w:pPr>
            <w:r w:rsidRPr="00006991">
              <w:rPr>
                <w:bCs/>
                <w:noProof/>
                <w:lang w:eastAsia="en-AU"/>
              </w:rPr>
              <mc:AlternateContent>
                <mc:Choice Requires="wps">
                  <w:drawing>
                    <wp:anchor distT="0" distB="0" distL="114300" distR="114300" simplePos="0" relativeHeight="251812864" behindDoc="0" locked="0" layoutInCell="1" allowOverlap="1" wp14:anchorId="5B3D3D8D" wp14:editId="576F24F6">
                      <wp:simplePos x="0" y="0"/>
                      <wp:positionH relativeFrom="column">
                        <wp:posOffset>0</wp:posOffset>
                      </wp:positionH>
                      <wp:positionV relativeFrom="paragraph">
                        <wp:posOffset>218109</wp:posOffset>
                      </wp:positionV>
                      <wp:extent cx="2543175" cy="0"/>
                      <wp:effectExtent l="0" t="0" r="0" b="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D80E1" id="Straight Connector 63" o:spid="_x0000_s1026" alt="&quot;&quot;"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0,17.15pt" to="200.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" strokecolor="#0080c4 [3205]" strokeweight=".5pt">
                      <v:stroke joinstyle="miter"/>
                    </v:line>
                  </w:pict>
                </mc:Fallback>
              </mc:AlternateContent>
            </w:r>
          </w:p>
          <w:p w14:paraId="02995860" w14:textId="77777777" w:rsidR="000C07E4" w:rsidRPr="00006991" w:rsidRDefault="000C07E4" w:rsidP="00007A9F">
            <w:pPr>
              <w:pStyle w:val="Body"/>
              <w:spacing w:after="120"/>
            </w:pPr>
            <w:r w:rsidRPr="00A82849">
              <w:rPr>
                <w:b/>
                <w:bCs/>
              </w:rPr>
              <w:t>Process Guidelines</w:t>
            </w:r>
            <w:r w:rsidRPr="00006991">
              <w:t xml:space="preserve"> to guide the implementation of ABF and block grant funding arrangements:</w:t>
            </w:r>
          </w:p>
          <w:p w14:paraId="6199A397" w14:textId="6B244089" w:rsidR="00AB093C" w:rsidRPr="00006991" w:rsidRDefault="000C07E4" w:rsidP="00AB093C">
            <w:pPr>
              <w:pStyle w:val="Bullets"/>
              <w:spacing w:before="0" w:after="120"/>
            </w:pPr>
            <w:r w:rsidRPr="00006991">
              <w:rPr>
                <w:b/>
              </w:rPr>
              <w:t xml:space="preserve">Transparency: </w:t>
            </w:r>
            <w:r w:rsidRPr="00006991">
              <w:t>All steps</w:t>
            </w:r>
            <w:r>
              <w:t xml:space="preserve"> </w:t>
            </w:r>
            <w:r w:rsidRPr="00006991">
              <w:t xml:space="preserve">in the determination of ABF and block grant </w:t>
            </w:r>
            <w:r w:rsidR="00AB093C" w:rsidRPr="00006991">
              <w:t>funding should be clear</w:t>
            </w:r>
            <w:r w:rsidR="00AB093C">
              <w:t xml:space="preserve"> and </w:t>
            </w:r>
            <w:r w:rsidR="00AB093C" w:rsidRPr="00006991">
              <w:t>transparent.</w:t>
            </w:r>
          </w:p>
          <w:p w14:paraId="60A4CF1A" w14:textId="5E25B60A" w:rsidR="000C07E4" w:rsidRPr="00006991" w:rsidRDefault="000C07E4" w:rsidP="00007A9F">
            <w:pPr>
              <w:pStyle w:val="Bullets"/>
              <w:spacing w:before="0" w:after="120"/>
            </w:pPr>
            <w:r w:rsidRPr="00006991">
              <w:rPr>
                <w:b/>
                <w:spacing w:val="2"/>
              </w:rPr>
              <w:t xml:space="preserve">Administrative </w:t>
            </w:r>
            <w:r w:rsidRPr="00006991">
              <w:rPr>
                <w:b/>
              </w:rPr>
              <w:t xml:space="preserve">ease: </w:t>
            </w:r>
            <w:r w:rsidRPr="00006991">
              <w:t>Funding arrangements should not unduly increase the administrative burden on hospitals and system managers.</w:t>
            </w:r>
          </w:p>
          <w:p w14:paraId="2DAA059E" w14:textId="77777777" w:rsidR="000C07E4" w:rsidRPr="00006991" w:rsidRDefault="000C07E4" w:rsidP="00007A9F">
            <w:pPr>
              <w:pStyle w:val="Bullets"/>
              <w:spacing w:before="0" w:after="120"/>
            </w:pPr>
            <w:r w:rsidRPr="00006991">
              <w:rPr>
                <w:b/>
                <w:spacing w:val="2"/>
              </w:rPr>
              <w:t xml:space="preserve">Stability: </w:t>
            </w:r>
            <w:r w:rsidRPr="00006991">
              <w:t>The payment relativities for ABF are consistent over time.</w:t>
            </w:r>
          </w:p>
          <w:p w14:paraId="6EA64AD3" w14:textId="05DFBB2C" w:rsidR="000C07E4" w:rsidRPr="00006991" w:rsidRDefault="000C07E4" w:rsidP="00007A9F">
            <w:pPr>
              <w:pStyle w:val="Bullets"/>
              <w:spacing w:before="0" w:after="120"/>
            </w:pPr>
            <w:r w:rsidRPr="00006991">
              <w:rPr>
                <w:b/>
                <w:spacing w:val="2"/>
              </w:rPr>
              <w:t xml:space="preserve">Evidence-based: </w:t>
            </w:r>
            <w:r w:rsidRPr="00006991">
              <w:t xml:space="preserve">Funding should be based on </w:t>
            </w:r>
            <w:r w:rsidR="00AB093C">
              <w:t xml:space="preserve">the </w:t>
            </w:r>
            <w:r w:rsidRPr="00006991">
              <w:t>best available</w:t>
            </w:r>
            <w:r w:rsidR="00205370">
              <w:t xml:space="preserve"> </w:t>
            </w:r>
            <w:r w:rsidRPr="00006991">
              <w:t>information</w:t>
            </w:r>
            <w:r w:rsidR="00AB093C">
              <w:t>, that is both nationally applicable and consistently reported</w:t>
            </w:r>
            <w:r w:rsidRPr="00006991">
              <w:t>.</w:t>
            </w:r>
          </w:p>
          <w:p w14:paraId="7C9164FA" w14:textId="77777777" w:rsidR="000C07E4" w:rsidRPr="00006991" w:rsidRDefault="000C07E4" w:rsidP="00007A9F">
            <w:pPr>
              <w:pStyle w:val="BodyText"/>
              <w:keepLines/>
              <w:spacing w:after="120"/>
              <w:rPr>
                <w:rFonts w:cs="Arial"/>
              </w:rPr>
            </w:pPr>
          </w:p>
        </w:tc>
        <w:tc>
          <w:tcPr>
            <w:tcW w:w="2500" w:type="pct"/>
            <w:tcBorders>
              <w:top w:val="nil"/>
            </w:tcBorders>
            <w:shd w:val="clear" w:color="auto" w:fill="F2F2F2" w:themeFill="background1" w:themeFillShade="F2"/>
          </w:tcPr>
          <w:p w14:paraId="70DBD369" w14:textId="77777777" w:rsidR="000C07E4" w:rsidRPr="00006991" w:rsidRDefault="000C07E4" w:rsidP="00007A9F">
            <w:pPr>
              <w:pStyle w:val="BodyText"/>
              <w:keepLines/>
              <w:spacing w:after="120"/>
              <w:ind w:right="106"/>
              <w:rPr>
                <w:rFonts w:cs="Arial"/>
                <w:b/>
              </w:rPr>
            </w:pPr>
            <w:r w:rsidRPr="00006991">
              <w:rPr>
                <w:rFonts w:cs="Arial"/>
                <w:b/>
                <w:bCs/>
                <w:noProof/>
                <w:lang w:eastAsia="en-AU" w:bidi="ar-SA"/>
              </w:rPr>
              <mc:AlternateContent>
                <mc:Choice Requires="wps">
                  <w:drawing>
                    <wp:anchor distT="0" distB="0" distL="114300" distR="114300" simplePos="0" relativeHeight="251811840" behindDoc="0" locked="0" layoutInCell="1" allowOverlap="1" wp14:anchorId="5DE9C9EE" wp14:editId="6CF4A41F">
                      <wp:simplePos x="0" y="0"/>
                      <wp:positionH relativeFrom="column">
                        <wp:posOffset>-1270</wp:posOffset>
                      </wp:positionH>
                      <wp:positionV relativeFrom="paragraph">
                        <wp:posOffset>204470</wp:posOffset>
                      </wp:positionV>
                      <wp:extent cx="2543175" cy="0"/>
                      <wp:effectExtent l="0" t="0" r="0" b="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E253C" id="Straight Connector 56" o:spid="_x0000_s1026" alt="&quot;&quot;"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pt,16.1pt" to="200.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" strokecolor="#0080c4 [3205]" strokeweight=".5pt">
                      <v:stroke joinstyle="miter"/>
                    </v:line>
                  </w:pict>
                </mc:Fallback>
              </mc:AlternateContent>
            </w:r>
          </w:p>
          <w:p w14:paraId="3C4A6871" w14:textId="77777777" w:rsidR="000C07E4" w:rsidRPr="00006991" w:rsidRDefault="000C07E4" w:rsidP="00007A9F">
            <w:pPr>
              <w:pStyle w:val="Body"/>
              <w:spacing w:after="120"/>
            </w:pPr>
            <w:r w:rsidRPr="00006991">
              <w:rPr>
                <w:b/>
              </w:rPr>
              <w:t xml:space="preserve">System Design Guidelines </w:t>
            </w:r>
            <w:r w:rsidRPr="00006991">
              <w:t>to inform the options for</w:t>
            </w:r>
            <w:r>
              <w:t> </w:t>
            </w:r>
            <w:r w:rsidRPr="00006991">
              <w:t>design of ABF and block grant funding arrangements:</w:t>
            </w:r>
          </w:p>
          <w:p w14:paraId="0D95964A" w14:textId="77777777" w:rsidR="000C07E4" w:rsidRPr="00006991" w:rsidRDefault="000C07E4" w:rsidP="00007A9F">
            <w:pPr>
              <w:pStyle w:val="Bullets"/>
              <w:spacing w:before="0" w:after="120"/>
            </w:pPr>
            <w:r w:rsidRPr="00006991">
              <w:rPr>
                <w:b/>
                <w:bCs/>
              </w:rPr>
              <w:t>Fostering clinical innovation:</w:t>
            </w:r>
            <w:r w:rsidRPr="00006991">
              <w:t xml:space="preserve"> Pricing of public hospital services should respond in a timely way to </w:t>
            </w:r>
            <w:r>
              <w:t xml:space="preserve">the </w:t>
            </w:r>
            <w:r w:rsidRPr="00006991">
              <w:t>introduction of evidence-based, effective new technology and innovations in</w:t>
            </w:r>
            <w:r>
              <w:t> </w:t>
            </w:r>
            <w:r w:rsidRPr="00006991">
              <w:t>the models of care that improve patient outcomes.</w:t>
            </w:r>
          </w:p>
          <w:p w14:paraId="3EB34330" w14:textId="77777777" w:rsidR="000C07E4" w:rsidRPr="00006991" w:rsidRDefault="000C07E4" w:rsidP="00007A9F">
            <w:pPr>
              <w:pStyle w:val="Bullets"/>
              <w:spacing w:before="0" w:after="120"/>
            </w:pPr>
            <w:r w:rsidRPr="00006991">
              <w:rPr>
                <w:b/>
              </w:rPr>
              <w:t>Promoting value</w:t>
            </w:r>
            <w:r w:rsidRPr="00006991">
              <w:t>: Pricing supports innovative and alternative funding solutions that deliver efficient, high quality, patient</w:t>
            </w:r>
            <w:r w:rsidRPr="00006991">
              <w:noBreakHyphen/>
              <w:t>centred care.</w:t>
            </w:r>
          </w:p>
          <w:p w14:paraId="7E256C04" w14:textId="77777777" w:rsidR="000C07E4" w:rsidRPr="00006991" w:rsidRDefault="000C07E4" w:rsidP="00007A9F">
            <w:pPr>
              <w:pStyle w:val="Bullets"/>
              <w:spacing w:before="0" w:after="120"/>
            </w:pPr>
            <w:r w:rsidRPr="00006991">
              <w:rPr>
                <w:b/>
              </w:rPr>
              <w:t xml:space="preserve">Promoting </w:t>
            </w:r>
            <w:r w:rsidRPr="00006991">
              <w:rPr>
                <w:b/>
                <w:spacing w:val="2"/>
              </w:rPr>
              <w:t xml:space="preserve">harmonisation: </w:t>
            </w:r>
            <w:r w:rsidRPr="00006991">
              <w:t>Pricing should facilitate best practice provision of appropriate site of care.</w:t>
            </w:r>
          </w:p>
          <w:p w14:paraId="7CADBEA6" w14:textId="77777777" w:rsidR="000C07E4" w:rsidRPr="00006991" w:rsidRDefault="000C07E4" w:rsidP="00007A9F">
            <w:pPr>
              <w:pStyle w:val="Bullets"/>
              <w:spacing w:before="0" w:after="120"/>
            </w:pPr>
            <w:r w:rsidRPr="00006991">
              <w:rPr>
                <w:b/>
                <w:spacing w:val="2"/>
              </w:rPr>
              <w:t xml:space="preserve">Minimising undesirable </w:t>
            </w:r>
            <w:r w:rsidRPr="00006991">
              <w:rPr>
                <w:b/>
              </w:rPr>
              <w:t xml:space="preserve">and </w:t>
            </w:r>
            <w:r w:rsidRPr="00006991">
              <w:rPr>
                <w:b/>
                <w:spacing w:val="2"/>
              </w:rPr>
              <w:t xml:space="preserve">inadvertent </w:t>
            </w:r>
            <w:r w:rsidRPr="00006991">
              <w:rPr>
                <w:b/>
              </w:rPr>
              <w:t xml:space="preserve">consequences: </w:t>
            </w:r>
            <w:r w:rsidRPr="00006991">
              <w:t>Funding design should minimise susceptibility to gaming, inappropriate rewards and perverse incentives.</w:t>
            </w:r>
          </w:p>
          <w:p w14:paraId="3077E768" w14:textId="77777777" w:rsidR="000C07E4" w:rsidRPr="0065414C" w:rsidRDefault="000C07E4" w:rsidP="00007A9F">
            <w:pPr>
              <w:pStyle w:val="Bullets"/>
              <w:spacing w:before="0" w:after="120"/>
            </w:pPr>
            <w:r>
              <w:rPr>
                <w:b/>
              </w:rPr>
              <w:t xml:space="preserve">Using </w:t>
            </w:r>
            <w:r w:rsidRPr="0065414C">
              <w:rPr>
                <w:b/>
              </w:rPr>
              <w:t xml:space="preserve">ABF </w:t>
            </w:r>
            <w:r>
              <w:rPr>
                <w:b/>
              </w:rPr>
              <w:t>where practicable and appropriate</w:t>
            </w:r>
            <w:r w:rsidRPr="0065414C">
              <w:rPr>
                <w:b/>
                <w:spacing w:val="2"/>
              </w:rPr>
              <w:t xml:space="preserve">: </w:t>
            </w:r>
            <w:r>
              <w:t>ABF should be used for funding public hospital services wherever practicable and compatible with delivering value in both outcomes and cost</w:t>
            </w:r>
            <w:r w:rsidRPr="0065414C">
              <w:t>.</w:t>
            </w:r>
          </w:p>
          <w:p w14:paraId="02F5596D" w14:textId="77777777" w:rsidR="000C07E4" w:rsidRPr="00006991" w:rsidRDefault="000C07E4" w:rsidP="00007A9F">
            <w:pPr>
              <w:pStyle w:val="Bullets"/>
              <w:spacing w:before="0" w:after="120"/>
            </w:pPr>
            <w:r w:rsidRPr="00006991">
              <w:rPr>
                <w:b/>
              </w:rPr>
              <w:t>Single unit of measure and price equivalence</w:t>
            </w:r>
            <w:r w:rsidRPr="00006991">
              <w:t>: ABF pricing should support dynamic efficiency and changes to models of care with the ready transferability of funding between different care types and service streams through a single unit of measure and relative weights.</w:t>
            </w:r>
          </w:p>
          <w:p w14:paraId="19745981" w14:textId="77777777" w:rsidR="000C07E4" w:rsidRPr="00006991" w:rsidRDefault="000C07E4" w:rsidP="00007A9F">
            <w:pPr>
              <w:pStyle w:val="Bullets"/>
              <w:spacing w:before="0" w:after="120"/>
              <w:rPr>
                <w:szCs w:val="19"/>
              </w:rPr>
            </w:pPr>
            <w:r w:rsidRPr="00006991">
              <w:rPr>
                <w:b/>
              </w:rPr>
              <w:t>Patient-based</w:t>
            </w:r>
            <w:bookmarkStart w:id="19" w:name="_Hlk133487315"/>
            <w:r w:rsidRPr="00006991">
              <w:t>: Adjustments to the standard price should be based on patient-related rather than provider-related characteristics wherever practicable.</w:t>
            </w:r>
            <w:bookmarkEnd w:id="19"/>
          </w:p>
          <w:p w14:paraId="1F9A7878" w14:textId="77777777" w:rsidR="000C07E4" w:rsidRPr="00006991" w:rsidRDefault="000C07E4" w:rsidP="00007A9F">
            <w:pPr>
              <w:pStyle w:val="Bullets"/>
              <w:spacing w:before="0" w:after="120"/>
            </w:pPr>
            <w:r w:rsidRPr="00006991">
              <w:rPr>
                <w:b/>
              </w:rPr>
              <w:t>Public-private neutrality</w:t>
            </w:r>
            <w:r w:rsidRPr="00006991">
              <w:t>: ABF pricing should ensure that payments a local hospital network (LHN) receives for a public patient should be equal to payments made for a LHN service for a private patient.</w:t>
            </w:r>
          </w:p>
        </w:tc>
      </w:tr>
    </w:tbl>
    <w:p w14:paraId="7F64263E" w14:textId="7E38C34E" w:rsidR="0055477F" w:rsidRDefault="0055477F" w:rsidP="0055477F">
      <w:pPr>
        <w:sectPr w:rsidR="0055477F" w:rsidSect="000C07E4">
          <w:headerReference w:type="default" r:id="rId39"/>
          <w:type w:val="continuous"/>
          <w:pgSz w:w="11906" w:h="16838" w:code="9"/>
          <w:pgMar w:top="1440" w:right="1440" w:bottom="1440" w:left="1440" w:header="708" w:footer="708" w:gutter="0"/>
          <w:cols w:space="708"/>
          <w:docGrid w:linePitch="360"/>
        </w:sectPr>
      </w:pPr>
    </w:p>
    <w:p w14:paraId="07A18FAC" w14:textId="77777777" w:rsidR="0055477F" w:rsidRDefault="0055477F" w:rsidP="0055477F">
      <w:pPr>
        <w:pStyle w:val="Body"/>
        <w:sectPr w:rsidR="0055477F" w:rsidSect="00E631E8">
          <w:footerReference w:type="default" r:id="rId40"/>
          <w:type w:val="continuous"/>
          <w:pgSz w:w="11906" w:h="16838" w:code="9"/>
          <w:pgMar w:top="851" w:right="1440" w:bottom="1440" w:left="1440" w:header="708" w:footer="708" w:gutter="0"/>
          <w:cols w:num="2" w:space="708"/>
          <w:docGrid w:linePitch="360"/>
        </w:sectPr>
      </w:pPr>
      <w:r>
        <w:br w:type="page"/>
      </w:r>
    </w:p>
    <w:p w14:paraId="5C117A12" w14:textId="4F760CCB" w:rsidR="0055477F" w:rsidRPr="005107C4" w:rsidRDefault="003F0B5B" w:rsidP="006B19D6">
      <w:pPr>
        <w:pStyle w:val="ChapterNumber"/>
        <w:spacing w:before="600"/>
        <w:jc w:val="left"/>
        <w:rPr>
          <w:color w:val="15272F" w:themeColor="accent3"/>
        </w:rPr>
      </w:pPr>
      <w:r>
        <w:rPr>
          <w:color w:val="15272F" w:themeColor="accent3"/>
        </w:rPr>
        <w:lastRenderedPageBreak/>
        <w:t>3</w:t>
      </w:r>
    </w:p>
    <w:p w14:paraId="2584F469" w14:textId="64BD237E" w:rsidR="0055477F" w:rsidRPr="005107C4" w:rsidRDefault="00E631E8" w:rsidP="00E631E8">
      <w:pPr>
        <w:pStyle w:val="Heading-Sectionstart"/>
        <w:ind w:right="3497"/>
      </w:pPr>
      <w:bookmarkStart w:id="20" w:name="_Toc132118415"/>
      <w:bookmarkStart w:id="21" w:name="_Toc135043507"/>
      <w:r>
        <w:t>Classifications used to describe and price public hospital services</w:t>
      </w:r>
      <w:bookmarkEnd w:id="20"/>
      <w:bookmarkEnd w:id="21"/>
    </w:p>
    <w:p w14:paraId="78A11AE3" w14:textId="77777777" w:rsidR="0055477F" w:rsidRDefault="0055477F" w:rsidP="0055477F">
      <w:pPr>
        <w:pStyle w:val="Body"/>
        <w:sectPr w:rsidR="0055477F" w:rsidSect="00C9543A">
          <w:headerReference w:type="default" r:id="rId41"/>
          <w:footerReference w:type="default" r:id="rId42"/>
          <w:pgSz w:w="11906" w:h="16838" w:code="9"/>
          <w:pgMar w:top="851" w:right="1440" w:bottom="1440" w:left="1440" w:header="708" w:footer="708" w:gutter="0"/>
          <w:cols w:space="708"/>
          <w:docGrid w:linePitch="360"/>
        </w:sectPr>
      </w:pPr>
    </w:p>
    <w:p w14:paraId="57915FE3" w14:textId="77777777" w:rsidR="0055477F" w:rsidRDefault="0055477F" w:rsidP="0055477F">
      <w:pPr>
        <w:pStyle w:val="Body"/>
        <w:sectPr w:rsidR="0055477F" w:rsidSect="00F4029B">
          <w:headerReference w:type="default" r:id="rId43"/>
          <w:footerReference w:type="default" r:id="rId44"/>
          <w:pgSz w:w="11906" w:h="16838" w:code="9"/>
          <w:pgMar w:top="2410" w:right="1440" w:bottom="1440" w:left="1440" w:header="568" w:footer="708" w:gutter="0"/>
          <w:cols w:space="708"/>
          <w:docGrid w:linePitch="360"/>
        </w:sectPr>
      </w:pPr>
    </w:p>
    <w:p w14:paraId="0DD7A7BF" w14:textId="77777777" w:rsidR="00E631E8" w:rsidRDefault="00E631E8" w:rsidP="006271FA">
      <w:pPr>
        <w:pStyle w:val="Body"/>
        <w:spacing w:before="180"/>
      </w:pPr>
      <w:r>
        <w:t xml:space="preserve">Classifications aim to facilitate a nationally consistent method of classifying patients, their treatments and associated costs in order to provide better management and funding of high quality and efficient health care services. </w:t>
      </w:r>
    </w:p>
    <w:p w14:paraId="254B0C8D" w14:textId="77777777" w:rsidR="00E631E8" w:rsidRDefault="00E631E8" w:rsidP="00E631E8">
      <w:pPr>
        <w:pStyle w:val="Body"/>
      </w:pPr>
      <w:r>
        <w:t xml:space="preserve">Effective classifications ensure that hospital data is grouped into appropriate classes, which contributes to the determination of a national efficient price (NEP) for public hospital services and allows Australian governments to provide funding to public hospitals based on the activity based funding (ABF) mechanism. </w:t>
      </w:r>
    </w:p>
    <w:p w14:paraId="4B2D3F9C" w14:textId="77777777" w:rsidR="00E631E8" w:rsidRDefault="00E631E8" w:rsidP="00E631E8">
      <w:pPr>
        <w:pStyle w:val="Body"/>
      </w:pPr>
      <w:r>
        <w:t xml:space="preserve">The Independent Health and Aged Care Pricing Authority (IHACPA) is responsible for reviewing and updating existing classifications, as well as introducing new classifications. </w:t>
      </w:r>
    </w:p>
    <w:p w14:paraId="21EE1AF7" w14:textId="3A5E51F4" w:rsidR="00E631E8" w:rsidRDefault="00E631E8" w:rsidP="00E631E8">
      <w:pPr>
        <w:pStyle w:val="Body"/>
      </w:pPr>
      <w:r>
        <w:t>There are currently</w:t>
      </w:r>
      <w:r w:rsidR="00366321">
        <w:t xml:space="preserve"> six</w:t>
      </w:r>
      <w:r>
        <w:t xml:space="preserve"> </w:t>
      </w:r>
      <w:r w:rsidR="00CC6DFD">
        <w:t xml:space="preserve">public hospital </w:t>
      </w:r>
      <w:r w:rsidR="00AB093C">
        <w:t xml:space="preserve">service categories in Australia which have classifications in use or in </w:t>
      </w:r>
      <w:r>
        <w:t xml:space="preserve">development: </w:t>
      </w:r>
    </w:p>
    <w:p w14:paraId="468D40A9" w14:textId="77777777" w:rsidR="00E631E8" w:rsidRDefault="00E631E8" w:rsidP="00E631E8">
      <w:pPr>
        <w:pStyle w:val="Bullets"/>
      </w:pPr>
      <w:r>
        <w:t>admitted acute care</w:t>
      </w:r>
    </w:p>
    <w:p w14:paraId="33F65F73" w14:textId="77777777" w:rsidR="00E631E8" w:rsidRDefault="00E631E8" w:rsidP="00E631E8">
      <w:pPr>
        <w:pStyle w:val="Bullets"/>
      </w:pPr>
      <w:r>
        <w:t xml:space="preserve">subacute and non-acute care </w:t>
      </w:r>
    </w:p>
    <w:p w14:paraId="0DB88045" w14:textId="77777777" w:rsidR="00E631E8" w:rsidRDefault="00E631E8" w:rsidP="00E631E8">
      <w:pPr>
        <w:pStyle w:val="Bullets"/>
      </w:pPr>
      <w:r>
        <w:t>emergency care</w:t>
      </w:r>
    </w:p>
    <w:p w14:paraId="7A1D8119" w14:textId="77777777" w:rsidR="00E631E8" w:rsidRDefault="00E631E8" w:rsidP="00E631E8">
      <w:pPr>
        <w:pStyle w:val="Bullets"/>
      </w:pPr>
      <w:r>
        <w:t>non-admitted care</w:t>
      </w:r>
    </w:p>
    <w:p w14:paraId="58EE9876" w14:textId="77777777" w:rsidR="00E631E8" w:rsidRDefault="00E631E8" w:rsidP="00E631E8">
      <w:pPr>
        <w:pStyle w:val="Bullets"/>
      </w:pPr>
      <w:r>
        <w:t>mental health care</w:t>
      </w:r>
    </w:p>
    <w:p w14:paraId="545BD4C9" w14:textId="77777777" w:rsidR="00E631E8" w:rsidRDefault="00E631E8" w:rsidP="00E631E8">
      <w:pPr>
        <w:pStyle w:val="Bullets"/>
        <w:spacing w:after="120"/>
      </w:pPr>
      <w:r>
        <w:t>teaching and training.</w:t>
      </w:r>
    </w:p>
    <w:p w14:paraId="61FF0EC4" w14:textId="2C82BF4B" w:rsidR="00E631E8" w:rsidRPr="00FF61D1" w:rsidRDefault="003F0B5B" w:rsidP="00E631E8">
      <w:pPr>
        <w:pStyle w:val="Heading2"/>
        <w:spacing w:before="240"/>
      </w:pPr>
      <w:bookmarkStart w:id="22" w:name="_Toc132118416"/>
      <w:bookmarkStart w:id="23" w:name="_Toc135043508"/>
      <w:r>
        <w:t>3</w:t>
      </w:r>
      <w:r w:rsidR="00E631E8">
        <w:t>.1 Admitted acute care</w:t>
      </w:r>
      <w:bookmarkEnd w:id="22"/>
      <w:bookmarkEnd w:id="23"/>
    </w:p>
    <w:p w14:paraId="10E656B0" w14:textId="3394EAB1" w:rsidR="00E631E8" w:rsidRDefault="00E631E8" w:rsidP="00E631E8">
      <w:pPr>
        <w:pStyle w:val="Body"/>
      </w:pPr>
      <w:r>
        <w:t xml:space="preserve">The Australian </w:t>
      </w:r>
      <w:r w:rsidRPr="00C17D94">
        <w:t xml:space="preserve">Refined Diagnosis Related Group (AR-DRG) classification is used </w:t>
      </w:r>
      <w:r w:rsidR="00B52299" w:rsidRPr="00C17D94">
        <w:t xml:space="preserve">to price </w:t>
      </w:r>
      <w:r w:rsidRPr="00C17D94">
        <w:t xml:space="preserve">admitted acute </w:t>
      </w:r>
      <w:r w:rsidR="00EF7F7E" w:rsidRPr="00C17D94">
        <w:t>patient services</w:t>
      </w:r>
      <w:r w:rsidRPr="00C17D94">
        <w:t>. AR-DRGs are underpinned by a set of classifications</w:t>
      </w:r>
      <w:r>
        <w:t xml:space="preserve"> and standards used to collect activity data for admitted care, which includes:</w:t>
      </w:r>
    </w:p>
    <w:p w14:paraId="6F985D79" w14:textId="77777777" w:rsidR="00E631E8" w:rsidRDefault="00E631E8" w:rsidP="00E631E8">
      <w:pPr>
        <w:pStyle w:val="Bullets"/>
      </w:pPr>
      <w:r>
        <w:t xml:space="preserve">International Statistical Classification of Diseases and Related Health Problems, Tenth Revision, Australian Modification (ICD-10-AM) </w:t>
      </w:r>
    </w:p>
    <w:p w14:paraId="4346EC5C" w14:textId="77777777" w:rsidR="00E631E8" w:rsidRDefault="00E631E8" w:rsidP="00E631E8">
      <w:pPr>
        <w:pStyle w:val="Bullets"/>
      </w:pPr>
      <w:r>
        <w:t xml:space="preserve">Australian Classification of Health Interventions (ACHI) </w:t>
      </w:r>
    </w:p>
    <w:p w14:paraId="12E65393" w14:textId="77777777" w:rsidR="00E631E8" w:rsidRDefault="00E631E8" w:rsidP="00E631E8">
      <w:pPr>
        <w:pStyle w:val="Bullets"/>
      </w:pPr>
      <w:r>
        <w:t>Australian Coding Standards (ACS).</w:t>
      </w:r>
    </w:p>
    <w:p w14:paraId="2920F330" w14:textId="77777777" w:rsidR="00E631E8" w:rsidRDefault="00E631E8" w:rsidP="006271FA">
      <w:pPr>
        <w:pStyle w:val="Bullets"/>
        <w:numPr>
          <w:ilvl w:val="0"/>
          <w:numId w:val="0"/>
        </w:numPr>
        <w:spacing w:before="240" w:after="160"/>
      </w:pPr>
      <w:r>
        <w:t>These are collectively known as ICD</w:t>
      </w:r>
      <w:r>
        <w:noBreakHyphen/>
        <w:t>10</w:t>
      </w:r>
      <w:r>
        <w:noBreakHyphen/>
        <w:t>AM/ACHI/ACS.</w:t>
      </w:r>
    </w:p>
    <w:p w14:paraId="701E4889" w14:textId="77777777" w:rsidR="00E631E8" w:rsidRPr="00C17D94" w:rsidRDefault="00E631E8" w:rsidP="006271FA">
      <w:pPr>
        <w:pStyle w:val="Bullets"/>
        <w:numPr>
          <w:ilvl w:val="0"/>
          <w:numId w:val="0"/>
        </w:numPr>
        <w:spacing w:before="240" w:after="160"/>
      </w:pPr>
      <w:r>
        <w:t xml:space="preserve">The AR-DRG and ICD-10-AM/ACHI/ACS classification systems have a three-year development cycle, to balance currency against the need for stability and to reduce the burden of implementation for stakeholders. These classifications have been developed in accordance with the </w:t>
      </w:r>
      <w:hyperlink r:id="rId45" w:history="1">
        <w:r w:rsidRPr="00E106FD">
          <w:rPr>
            <w:rStyle w:val="HyperlinktextChar"/>
            <w:i/>
            <w:iCs/>
          </w:rPr>
          <w:t>Governance Framework for the Development of the Admitted Care Classifications</w:t>
        </w:r>
      </w:hyperlink>
      <w:r w:rsidRPr="00E106FD">
        <w:rPr>
          <w:rStyle w:val="HyperlinktextChar"/>
          <w:i/>
          <w:iCs/>
        </w:rPr>
        <w:t xml:space="preserve"> </w:t>
      </w:r>
      <w:r>
        <w:t xml:space="preserve">(the Governance Framework) with relevant input from clinicians and other health sector stakeholders </w:t>
      </w:r>
      <w:r w:rsidRPr="00C17D94">
        <w:t xml:space="preserve">represented on IHACPA’s advisory committees. </w:t>
      </w:r>
    </w:p>
    <w:p w14:paraId="54D19047" w14:textId="1F33840B" w:rsidR="00E631E8" w:rsidRPr="00C17D94" w:rsidRDefault="00E631E8" w:rsidP="00F73347">
      <w:pPr>
        <w:pStyle w:val="Bullets"/>
        <w:numPr>
          <w:ilvl w:val="0"/>
          <w:numId w:val="0"/>
        </w:numPr>
      </w:pPr>
      <w:r w:rsidRPr="00C17D94">
        <w:t>For the</w:t>
      </w:r>
      <w:r w:rsidR="00B52299" w:rsidRPr="00C17D94">
        <w:t xml:space="preserve"> </w:t>
      </w:r>
      <w:r w:rsidR="00B52299" w:rsidRPr="00330FDB">
        <w:rPr>
          <w:i/>
          <w:iCs/>
        </w:rPr>
        <w:t>NEP Determination 2023–24</w:t>
      </w:r>
      <w:r w:rsidR="00EF7F7E" w:rsidRPr="00C17D94">
        <w:t xml:space="preserve"> (NEP23)</w:t>
      </w:r>
      <w:r w:rsidRPr="00C17D94">
        <w:t xml:space="preserve"> </w:t>
      </w:r>
      <w:r w:rsidR="00B52299" w:rsidRPr="00C17D94">
        <w:t>IHACPA used ICD-10-AM/ACHI/ACS Twelfth Edition and AR-DRG</w:t>
      </w:r>
      <w:r w:rsidR="00EF7F7E" w:rsidRPr="00C17D94">
        <w:t xml:space="preserve"> Version 11.0. For the </w:t>
      </w:r>
      <w:r w:rsidRPr="00C17D94">
        <w:t>NEP Determination 202</w:t>
      </w:r>
      <w:r w:rsidR="00205370" w:rsidRPr="00C17D94">
        <w:t>4</w:t>
      </w:r>
      <w:r w:rsidRPr="00C17D94">
        <w:t>–2</w:t>
      </w:r>
      <w:r w:rsidR="00205370" w:rsidRPr="00C17D94">
        <w:t>5</w:t>
      </w:r>
      <w:r w:rsidRPr="00C17D94">
        <w:t xml:space="preserve"> (NEP2</w:t>
      </w:r>
      <w:r w:rsidR="00205370" w:rsidRPr="00C17D94">
        <w:t>4</w:t>
      </w:r>
      <w:r w:rsidRPr="00C17D94">
        <w:t xml:space="preserve">), IHACPA </w:t>
      </w:r>
      <w:r w:rsidR="00EF7F7E" w:rsidRPr="00C17D94">
        <w:t>proposes to continue to</w:t>
      </w:r>
      <w:r w:rsidR="00CC6DFD" w:rsidRPr="00C17D94">
        <w:t xml:space="preserve"> use </w:t>
      </w:r>
      <w:r w:rsidRPr="00C17D94">
        <w:t>AR-DRG Version 11.0 and ICD</w:t>
      </w:r>
      <w:r w:rsidRPr="00C17D94">
        <w:noBreakHyphen/>
        <w:t>10</w:t>
      </w:r>
      <w:r w:rsidRPr="00C17D94">
        <w:noBreakHyphen/>
        <w:t>AM/ACHI/ACS Twelfth Edition to price admitted acute patient services.</w:t>
      </w:r>
    </w:p>
    <w:p w14:paraId="0698CBD6" w14:textId="540C3641" w:rsidR="00E631E8" w:rsidRPr="00C17D94" w:rsidRDefault="003F0B5B" w:rsidP="00E631E8">
      <w:pPr>
        <w:pStyle w:val="Heading3"/>
      </w:pPr>
      <w:r w:rsidRPr="00C17D94">
        <w:t>3</w:t>
      </w:r>
      <w:r w:rsidR="00E631E8" w:rsidRPr="00C17D94">
        <w:t>.1.1 ICD-10-</w:t>
      </w:r>
      <w:r w:rsidR="0090002E" w:rsidRPr="00C17D94">
        <w:t>AM</w:t>
      </w:r>
      <w:r w:rsidR="00E631E8" w:rsidRPr="00C17D94">
        <w:t>/ACHI/ACS Thirteenth Edition and AR-DRG Version 12.0</w:t>
      </w:r>
    </w:p>
    <w:p w14:paraId="2ED094A1" w14:textId="4A786A45" w:rsidR="00E631E8" w:rsidRPr="00C17D94" w:rsidRDefault="00E631E8" w:rsidP="006271FA">
      <w:pPr>
        <w:pStyle w:val="Bullets"/>
        <w:numPr>
          <w:ilvl w:val="0"/>
          <w:numId w:val="0"/>
        </w:numPr>
        <w:spacing w:before="240" w:after="160"/>
      </w:pPr>
      <w:r w:rsidRPr="00C17D94">
        <w:t>IHACPA commenced the development of ICD</w:t>
      </w:r>
      <w:r w:rsidR="003D5084" w:rsidRPr="00C17D94">
        <w:noBreakHyphen/>
      </w:r>
      <w:r w:rsidRPr="00C17D94">
        <w:t>10</w:t>
      </w:r>
      <w:r w:rsidR="003D5084" w:rsidRPr="00C17D94">
        <w:noBreakHyphen/>
      </w:r>
      <w:r w:rsidRPr="00C17D94">
        <w:t>AM/ACHI/ACS Thirteenth Edition and AR</w:t>
      </w:r>
      <w:r w:rsidR="003D5084" w:rsidRPr="00C17D94">
        <w:noBreakHyphen/>
      </w:r>
      <w:r w:rsidRPr="00C17D94">
        <w:t>DRG Version 12.0 in 2022.</w:t>
      </w:r>
    </w:p>
    <w:p w14:paraId="2DF73688" w14:textId="19006B81" w:rsidR="00AB093C" w:rsidRDefault="00AB093C" w:rsidP="006271FA">
      <w:pPr>
        <w:pStyle w:val="Bullets"/>
        <w:numPr>
          <w:ilvl w:val="0"/>
          <w:numId w:val="0"/>
        </w:numPr>
        <w:spacing w:before="240" w:after="160"/>
      </w:pPr>
      <w:r w:rsidRPr="00C17D94">
        <w:t xml:space="preserve">The work program for </w:t>
      </w:r>
      <w:r w:rsidR="00EF7F7E" w:rsidRPr="00C17D94">
        <w:t xml:space="preserve">the </w:t>
      </w:r>
      <w:r w:rsidRPr="00C17D94">
        <w:t>development</w:t>
      </w:r>
      <w:r w:rsidR="00EF7F7E" w:rsidRPr="00C17D94">
        <w:t xml:space="preserve"> of these classifications</w:t>
      </w:r>
      <w:r w:rsidRPr="00C17D94">
        <w:t xml:space="preserve"> is informed by the Governance Framework</w:t>
      </w:r>
      <w:r w:rsidRPr="00C17D94">
        <w:rPr>
          <w:i/>
          <w:iCs/>
        </w:rPr>
        <w:t xml:space="preserve"> </w:t>
      </w:r>
      <w:r w:rsidRPr="00C17D94">
        <w:t>and developed in consultation with stakeholders, working groups and advisory committees</w:t>
      </w:r>
      <w:r>
        <w:t xml:space="preserve">. </w:t>
      </w:r>
    </w:p>
    <w:p w14:paraId="7FF3DCC3" w14:textId="0891B9E1" w:rsidR="00AB093C" w:rsidRDefault="00AB093C" w:rsidP="006271FA">
      <w:pPr>
        <w:pStyle w:val="Bullets"/>
        <w:numPr>
          <w:ilvl w:val="0"/>
          <w:numId w:val="0"/>
        </w:numPr>
        <w:spacing w:before="240" w:after="160"/>
      </w:pPr>
      <w:r>
        <w:t>Major planned refinements for AR-DRG Version</w:t>
      </w:r>
      <w:r w:rsidR="003D5084">
        <w:t> </w:t>
      </w:r>
      <w:r>
        <w:t xml:space="preserve">12.0 include: </w:t>
      </w:r>
    </w:p>
    <w:p w14:paraId="4969317B" w14:textId="77777777" w:rsidR="00AB093C" w:rsidRDefault="00AB093C" w:rsidP="00AB093C">
      <w:pPr>
        <w:pStyle w:val="Bullets"/>
      </w:pPr>
      <w:r>
        <w:t>review of care types used in the development of AR-DRGs</w:t>
      </w:r>
    </w:p>
    <w:p w14:paraId="639C1346" w14:textId="57F7A8BA" w:rsidR="00AB093C" w:rsidRDefault="00AB093C" w:rsidP="00AB093C">
      <w:pPr>
        <w:pStyle w:val="Bullets"/>
      </w:pPr>
      <w:r>
        <w:lastRenderedPageBreak/>
        <w:t>review of the potential impact of coronavirus disease 2019 (COVID-19) on Version 12.0 development</w:t>
      </w:r>
    </w:p>
    <w:p w14:paraId="5310C47B" w14:textId="338E89AA" w:rsidR="00303752" w:rsidRDefault="00303752" w:rsidP="00AB093C">
      <w:pPr>
        <w:pStyle w:val="Bullets"/>
      </w:pPr>
      <w:r>
        <w:t>review of General Interventions to better define interventions that inform the Intervention Partition</w:t>
      </w:r>
    </w:p>
    <w:p w14:paraId="759C4B3A" w14:textId="77777777" w:rsidR="00AB093C" w:rsidRDefault="00AB093C" w:rsidP="00AB093C">
      <w:pPr>
        <w:pStyle w:val="Bullets"/>
      </w:pPr>
      <w:r>
        <w:t>review of poorly performing Major Diagnostic Categories</w:t>
      </w:r>
    </w:p>
    <w:p w14:paraId="17F8BFFF" w14:textId="5BC5CD27" w:rsidR="00AB093C" w:rsidRDefault="00AB093C" w:rsidP="00AB093C">
      <w:pPr>
        <w:pStyle w:val="Bullets"/>
      </w:pPr>
      <w:r>
        <w:t xml:space="preserve">review of Adjacent Diagnosis Related Group O66 </w:t>
      </w:r>
      <w:r w:rsidRPr="009A719E">
        <w:rPr>
          <w:i/>
          <w:iCs/>
        </w:rPr>
        <w:t>Antenatal and Other Admissions related to Preg</w:t>
      </w:r>
      <w:r w:rsidR="00366321">
        <w:rPr>
          <w:i/>
          <w:iCs/>
        </w:rPr>
        <w:t>n</w:t>
      </w:r>
      <w:r w:rsidRPr="009A719E">
        <w:rPr>
          <w:i/>
          <w:iCs/>
        </w:rPr>
        <w:t>ancy, Childbirth and the Puerperium</w:t>
      </w:r>
      <w:r>
        <w:t>.</w:t>
      </w:r>
    </w:p>
    <w:p w14:paraId="3CEA54C1" w14:textId="33FBC4DD" w:rsidR="00AB093C" w:rsidRPr="00B53B48" w:rsidRDefault="00AB093C" w:rsidP="006271FA">
      <w:pPr>
        <w:pStyle w:val="Bullets"/>
        <w:numPr>
          <w:ilvl w:val="0"/>
          <w:numId w:val="0"/>
        </w:numPr>
        <w:spacing w:before="240" w:after="160"/>
      </w:pPr>
      <w:r w:rsidRPr="00B53B48">
        <w:t>Major planned refinements for ICD</w:t>
      </w:r>
      <w:r w:rsidR="003D5084">
        <w:noBreakHyphen/>
      </w:r>
      <w:r w:rsidRPr="00B53B48">
        <w:t>10</w:t>
      </w:r>
      <w:r w:rsidR="003D5084">
        <w:noBreakHyphen/>
      </w:r>
      <w:r w:rsidRPr="00B53B48">
        <w:t>AM/ACHI/ACS Thirteenth Edition include:</w:t>
      </w:r>
    </w:p>
    <w:p w14:paraId="04C25605" w14:textId="3DE91908" w:rsidR="00AB093C" w:rsidRDefault="008D6F6B" w:rsidP="00AB093C">
      <w:pPr>
        <w:pStyle w:val="Bullets"/>
      </w:pPr>
      <w:r>
        <w:t xml:space="preserve">development </w:t>
      </w:r>
      <w:r w:rsidR="00AB093C">
        <w:t xml:space="preserve">of </w:t>
      </w:r>
      <w:r w:rsidR="000F19C2">
        <w:t xml:space="preserve">a </w:t>
      </w:r>
      <w:r w:rsidR="00AB093C">
        <w:t>cluster identifier</w:t>
      </w:r>
      <w:r w:rsidR="000F19C2">
        <w:t xml:space="preserve">, a new piece of metadata </w:t>
      </w:r>
      <w:r>
        <w:t>to</w:t>
      </w:r>
      <w:r w:rsidR="000F19C2">
        <w:t xml:space="preserve"> be reported alongside </w:t>
      </w:r>
      <w:r w:rsidR="006652CA">
        <w:br/>
      </w:r>
      <w:r w:rsidR="000F19C2">
        <w:t>ICD-10-AM codes to indicate the relationship between codes</w:t>
      </w:r>
      <w:r w:rsidR="00AB093C">
        <w:t xml:space="preserve"> </w:t>
      </w:r>
    </w:p>
    <w:p w14:paraId="2E6AB27E" w14:textId="77777777" w:rsidR="00AB093C" w:rsidRDefault="00AB093C" w:rsidP="00AB093C">
      <w:pPr>
        <w:pStyle w:val="Bullets"/>
      </w:pPr>
      <w:r>
        <w:t>the second stage of a major review to standardise the format and content of the ACS</w:t>
      </w:r>
    </w:p>
    <w:p w14:paraId="4E4E59D9" w14:textId="77777777" w:rsidR="00AB093C" w:rsidRDefault="00AB093C" w:rsidP="00AB093C">
      <w:pPr>
        <w:pStyle w:val="Bullets"/>
      </w:pPr>
      <w:r>
        <w:t>review of the ACS and classification development for procedural complications, organ procurement, anticoagulant use and subacute care</w:t>
      </w:r>
    </w:p>
    <w:p w14:paraId="2ED9BE03" w14:textId="1DDD37F3" w:rsidR="00AB093C" w:rsidRDefault="00AB093C" w:rsidP="00AB093C">
      <w:pPr>
        <w:pStyle w:val="Bullets"/>
      </w:pPr>
      <w:r>
        <w:t>inclusion of</w:t>
      </w:r>
      <w:r w:rsidR="006652CA">
        <w:t xml:space="preserve"> some</w:t>
      </w:r>
      <w:r>
        <w:t xml:space="preserve"> disease and/or health problems currently not classifiable in ICD</w:t>
      </w:r>
      <w:r w:rsidR="0016414F">
        <w:noBreakHyphen/>
      </w:r>
      <w:r>
        <w:t>10</w:t>
      </w:r>
      <w:r w:rsidR="0016414F">
        <w:noBreakHyphen/>
      </w:r>
      <w:r>
        <w:t>AM</w:t>
      </w:r>
    </w:p>
    <w:p w14:paraId="725B4D4E" w14:textId="77777777" w:rsidR="00AB093C" w:rsidRDefault="00AB093C" w:rsidP="00AB093C">
      <w:pPr>
        <w:pStyle w:val="Bullets"/>
      </w:pPr>
      <w:r>
        <w:t>development to further enhance the classification of social factors and other social determinants of health</w:t>
      </w:r>
    </w:p>
    <w:p w14:paraId="33B1AFD5" w14:textId="77777777" w:rsidR="00AB093C" w:rsidRPr="00B53B48" w:rsidRDefault="00AB093C" w:rsidP="00AB093C">
      <w:pPr>
        <w:pStyle w:val="Bullets"/>
      </w:pPr>
      <w:r>
        <w:t xml:space="preserve">updates to incorporate recent Medicare Benefits Schedule and Australian Schedule of Dental Services and Glossary updates. </w:t>
      </w:r>
    </w:p>
    <w:p w14:paraId="13FC2D1A" w14:textId="19B884DD" w:rsidR="00E631E8" w:rsidRDefault="003F0B5B" w:rsidP="00E631E8">
      <w:pPr>
        <w:pStyle w:val="Heading3"/>
      </w:pPr>
      <w:r>
        <w:t>3</w:t>
      </w:r>
      <w:r w:rsidR="00E631E8">
        <w:t>.1.2 ICD-11 readiness project</w:t>
      </w:r>
    </w:p>
    <w:p w14:paraId="4C5B063A" w14:textId="08DEB636" w:rsidR="00E631E8" w:rsidRDefault="00E631E8" w:rsidP="006271FA">
      <w:pPr>
        <w:pStyle w:val="Bullets"/>
        <w:numPr>
          <w:ilvl w:val="0"/>
          <w:numId w:val="0"/>
        </w:numPr>
        <w:spacing w:before="240" w:after="160"/>
      </w:pPr>
      <w:r>
        <w:t xml:space="preserve">The </w:t>
      </w:r>
      <w:hyperlink r:id="rId46" w:history="1">
        <w:r w:rsidRPr="006A225D">
          <w:rPr>
            <w:rStyle w:val="HyperlinktextChar"/>
          </w:rPr>
          <w:t>11th Revision of the International Classification of Diseases</w:t>
        </w:r>
      </w:hyperlink>
      <w:r>
        <w:t xml:space="preserve"> (ICD-11) was released by the World Health Organi</w:t>
      </w:r>
      <w:r w:rsidR="003D5084">
        <w:t>z</w:t>
      </w:r>
      <w:r>
        <w:t xml:space="preserve">ation (WHO) in June 2018 and came into effect as the international standard for recording and reporting of causes of illness, death and other health-related </w:t>
      </w:r>
      <w:r w:rsidR="006652CA">
        <w:t xml:space="preserve">episodes </w:t>
      </w:r>
      <w:r>
        <w:t>in February 2022.</w:t>
      </w:r>
    </w:p>
    <w:p w14:paraId="4575D38A" w14:textId="3181C0DC" w:rsidR="00E631E8" w:rsidRDefault="00E631E8" w:rsidP="006271FA">
      <w:pPr>
        <w:pStyle w:val="Bullets"/>
        <w:numPr>
          <w:ilvl w:val="0"/>
          <w:numId w:val="0"/>
        </w:numPr>
        <w:spacing w:before="240" w:after="160"/>
      </w:pPr>
      <w:r>
        <w:t xml:space="preserve">In response to the </w:t>
      </w:r>
      <w:r w:rsidRPr="00C905C1">
        <w:rPr>
          <w:i/>
          <w:iCs/>
        </w:rPr>
        <w:t>Consultation Paper on Australian Public Hospital Services 2023</w:t>
      </w:r>
      <w:bookmarkStart w:id="24" w:name="_Hlk134718902"/>
      <w:r w:rsidRPr="00C905C1">
        <w:rPr>
          <w:i/>
          <w:iCs/>
        </w:rPr>
        <w:t>–</w:t>
      </w:r>
      <w:bookmarkEnd w:id="24"/>
      <w:r w:rsidRPr="00C905C1">
        <w:rPr>
          <w:i/>
          <w:iCs/>
        </w:rPr>
        <w:t>24</w:t>
      </w:r>
      <w:r>
        <w:t>, stakeholders indicated their support for IHACPA’s proposal to prepare for the implementation of ICD-11 by refocussing resources to ICD-11 ‘readiness’ projects</w:t>
      </w:r>
      <w:r w:rsidR="00AB093C">
        <w:t>.</w:t>
      </w:r>
    </w:p>
    <w:p w14:paraId="2FABAC13" w14:textId="11F504C1" w:rsidR="00AB093C" w:rsidRDefault="00AB093C" w:rsidP="006271FA">
      <w:pPr>
        <w:pStyle w:val="Bullets"/>
        <w:numPr>
          <w:ilvl w:val="0"/>
          <w:numId w:val="0"/>
        </w:numPr>
        <w:spacing w:before="240" w:after="160"/>
      </w:pPr>
      <w:r>
        <w:t>In 2023, IHACPA commenced a project to map ICD</w:t>
      </w:r>
      <w:r>
        <w:noBreakHyphen/>
        <w:t>10</w:t>
      </w:r>
      <w:r>
        <w:noBreakHyphen/>
        <w:t>AM to ICD</w:t>
      </w:r>
      <w:r>
        <w:noBreakHyphen/>
        <w:t>11. It is anticipated this will provide insights into not only the gaps between ICD</w:t>
      </w:r>
      <w:r>
        <w:noBreakHyphen/>
        <w:t>10</w:t>
      </w:r>
      <w:r>
        <w:noBreakHyphen/>
        <w:t>AM and ICD</w:t>
      </w:r>
      <w:r>
        <w:noBreakHyphen/>
        <w:t>11 but identify the additional features that ICD</w:t>
      </w:r>
      <w:r>
        <w:noBreakHyphen/>
        <w:t>11 has to offer for the Australian setting, to inform future decisions about implementation. IHACPA will work with the</w:t>
      </w:r>
      <w:r w:rsidR="00370C53">
        <w:t xml:space="preserve"> </w:t>
      </w:r>
      <w:r w:rsidR="00370C53">
        <w:t>Australian ICD-11 Taskforce</w:t>
      </w:r>
      <w:r w:rsidR="00502641">
        <w:t xml:space="preserve"> </w:t>
      </w:r>
      <w:r w:rsidR="00303752">
        <w:t xml:space="preserve">to inform a decision on a potential implementation of ICD-11 in Australia. IHACPA will also work with </w:t>
      </w:r>
      <w:r w:rsidR="00507203">
        <w:t>WHO</w:t>
      </w:r>
      <w:r w:rsidR="00303752">
        <w:t>’s</w:t>
      </w:r>
      <w:r w:rsidR="00370C53">
        <w:t xml:space="preserve"> Family of International Classifications network </w:t>
      </w:r>
      <w:r w:rsidR="00303752">
        <w:t xml:space="preserve">in </w:t>
      </w:r>
      <w:r>
        <w:t>progress</w:t>
      </w:r>
      <w:r w:rsidR="00303752">
        <w:t>ing</w:t>
      </w:r>
      <w:r>
        <w:t xml:space="preserve"> this work </w:t>
      </w:r>
      <w:r w:rsidR="00303752">
        <w:t xml:space="preserve">and to </w:t>
      </w:r>
      <w:r>
        <w:t>share outcomes</w:t>
      </w:r>
      <w:r w:rsidR="00370C53">
        <w:t xml:space="preserve"> and </w:t>
      </w:r>
      <w:r w:rsidR="009378A0">
        <w:t>findings</w:t>
      </w:r>
      <w:r>
        <w:t xml:space="preserve"> with other countries undertaking similar projects.  </w:t>
      </w:r>
    </w:p>
    <w:p w14:paraId="4DFC09BF" w14:textId="2F119C8C" w:rsidR="00E631E8" w:rsidRPr="00E106FD" w:rsidRDefault="003F0B5B" w:rsidP="00E631E8">
      <w:pPr>
        <w:pStyle w:val="Heading2"/>
        <w:spacing w:before="240"/>
      </w:pPr>
      <w:bookmarkStart w:id="25" w:name="_Toc132118417"/>
      <w:bookmarkStart w:id="26" w:name="_Toc135043509"/>
      <w:r>
        <w:t>3</w:t>
      </w:r>
      <w:r w:rsidR="00E631E8" w:rsidRPr="00E106FD">
        <w:t>.2 Subacute and non-acute care</w:t>
      </w:r>
      <w:bookmarkEnd w:id="25"/>
      <w:bookmarkEnd w:id="26"/>
      <w:r w:rsidR="00E631E8" w:rsidRPr="00E106FD">
        <w:t xml:space="preserve"> </w:t>
      </w:r>
    </w:p>
    <w:p w14:paraId="590EC14C" w14:textId="77777777" w:rsidR="00E631E8" w:rsidRDefault="00E631E8" w:rsidP="00E631E8">
      <w:pPr>
        <w:pStyle w:val="Body"/>
      </w:pPr>
      <w:r>
        <w:t xml:space="preserve">The Australian National Subacute and Non-Acute Patient Classification (AN-SNAP) is used to price admitted subacute and non-acute services. </w:t>
      </w:r>
    </w:p>
    <w:p w14:paraId="261A6371" w14:textId="3511F976" w:rsidR="00E631E8" w:rsidRDefault="00E631E8" w:rsidP="00E631E8">
      <w:pPr>
        <w:pStyle w:val="Body"/>
      </w:pPr>
      <w:r>
        <w:t xml:space="preserve">For the </w:t>
      </w:r>
      <w:r w:rsidRPr="006A225D">
        <w:rPr>
          <w:i/>
          <w:iCs/>
        </w:rPr>
        <w:t>NEP Determination 2022–23</w:t>
      </w:r>
      <w:r w:rsidRPr="00F70320">
        <w:t xml:space="preserve"> (NEP22</w:t>
      </w:r>
      <w:r w:rsidRPr="00B7766D">
        <w:t xml:space="preserve">) and </w:t>
      </w:r>
      <w:r w:rsidR="00154B91" w:rsidRPr="00B7766D">
        <w:t xml:space="preserve">the </w:t>
      </w:r>
      <w:r w:rsidRPr="00B7766D">
        <w:t>NEP23</w:t>
      </w:r>
      <w:r>
        <w:t>, IHACPA used AN-SNAP Version 4.0 to price admitted subacute and non-acute services and AN-SNAP Version 5.0 to shadow price admitted subacute and non-acute services.</w:t>
      </w:r>
    </w:p>
    <w:p w14:paraId="5D65AFEE" w14:textId="51AF7ADA" w:rsidR="00E631E8" w:rsidRDefault="003F0B5B" w:rsidP="00E631E8">
      <w:pPr>
        <w:pStyle w:val="Heading3"/>
      </w:pPr>
      <w:r>
        <w:t>3</w:t>
      </w:r>
      <w:r w:rsidR="00E631E8">
        <w:t>.2.</w:t>
      </w:r>
      <w:r w:rsidR="00AB093C">
        <w:t>1</w:t>
      </w:r>
      <w:r w:rsidR="00E631E8">
        <w:t xml:space="preserve"> AN-SNAP Version 5.0</w:t>
      </w:r>
    </w:p>
    <w:p w14:paraId="211B1B0C" w14:textId="77777777" w:rsidR="00E631E8" w:rsidRDefault="00E631E8" w:rsidP="00E631E8">
      <w:pPr>
        <w:pStyle w:val="Body"/>
      </w:pPr>
      <w:r>
        <w:t>AN-SNAP Version 5.0 was released in December 2021 and has been developed through extensive statistical analysis and consultation with jurisdictions, clinicians and other experts</w:t>
      </w:r>
      <w:r w:rsidRPr="003F6A2F">
        <w:t>.</w:t>
      </w:r>
    </w:p>
    <w:p w14:paraId="27E9702E" w14:textId="4149FF44" w:rsidR="00E631E8" w:rsidRDefault="00E631E8" w:rsidP="00E631E8">
      <w:pPr>
        <w:pStyle w:val="Body"/>
      </w:pPr>
      <w:r>
        <w:t>AN-SNAP Version 5.0 represents a modest refinement of AN-SNAP Version 4.0</w:t>
      </w:r>
      <w:r w:rsidR="00154B91">
        <w:t xml:space="preserve"> with no major structural changes</w:t>
      </w:r>
      <w:r>
        <w:t>. The most significant</w:t>
      </w:r>
      <w:r w:rsidR="00154B91">
        <w:t xml:space="preserve"> refinement is the recognition of</w:t>
      </w:r>
      <w:r>
        <w:t xml:space="preserve"> frailty as a cost driver</w:t>
      </w:r>
      <w:r w:rsidR="00154B91">
        <w:t xml:space="preserve"> which has received support from clinicians and broader stakeholders</w:t>
      </w:r>
      <w:r w:rsidR="00CC6DFD">
        <w:t>.</w:t>
      </w:r>
      <w:r>
        <w:t xml:space="preserve"> </w:t>
      </w:r>
    </w:p>
    <w:p w14:paraId="5F3BD226" w14:textId="30427F71" w:rsidR="00154B91" w:rsidRDefault="00154B91" w:rsidP="00E631E8">
      <w:pPr>
        <w:pStyle w:val="Body"/>
      </w:pPr>
      <w:r>
        <w:t xml:space="preserve">IHACPA shadow priced admitted subacute and non-acute services using AN-SNAP Version 5.0 for NEP22 and NEP23. IHACPA’s analysis indicates there was minimal </w:t>
      </w:r>
      <w:r w:rsidRPr="00154B91">
        <w:t>difference in cost model results</w:t>
      </w:r>
      <w:r w:rsidR="002D232E">
        <w:t>,</w:t>
      </w:r>
      <w:r>
        <w:t xml:space="preserve"> data collection compliance </w:t>
      </w:r>
      <w:r w:rsidR="002D232E">
        <w:t>and funding impact b</w:t>
      </w:r>
      <w:r w:rsidRPr="00154B91">
        <w:t xml:space="preserve">etween </w:t>
      </w:r>
      <w:r w:rsidR="002D232E">
        <w:t>AN-SNAP</w:t>
      </w:r>
      <w:r w:rsidRPr="00154B91">
        <w:t xml:space="preserve"> </w:t>
      </w:r>
      <w:r>
        <w:t xml:space="preserve">Versions 4.0 and 5.0. </w:t>
      </w:r>
    </w:p>
    <w:p w14:paraId="557F82A3" w14:textId="28A15099" w:rsidR="00AB093C" w:rsidRDefault="00E631E8" w:rsidP="00AB093C">
      <w:pPr>
        <w:pStyle w:val="Body"/>
      </w:pPr>
      <w:r>
        <w:t>For NEP24, IHACPA proposes to progress to pricing admitted subacute and non-acute services using AN-SNAP Version 5.0, following two years of shadow pricing.</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significant barriers to pricing admitted subacute and non-acute care using AN-SNAP Version 5.0 for NEP24?"/>
      </w:tblPr>
      <w:tblGrid>
        <w:gridCol w:w="4149"/>
      </w:tblGrid>
      <w:tr w:rsidR="00E631E8" w:rsidRPr="006746C9" w14:paraId="7C74A6CD" w14:textId="77777777" w:rsidTr="00E252F3">
        <w:trPr>
          <w:trHeight w:val="1562"/>
          <w:jc w:val="center"/>
        </w:trPr>
        <w:tc>
          <w:tcPr>
            <w:tcW w:w="5000" w:type="pct"/>
            <w:tcBorders>
              <w:left w:val="nil"/>
            </w:tcBorders>
            <w:shd w:val="clear" w:color="auto" w:fill="E6F4F9"/>
          </w:tcPr>
          <w:p w14:paraId="6B75667C" w14:textId="77777777" w:rsidR="00E631E8" w:rsidRPr="006746C9" w:rsidRDefault="00E631E8" w:rsidP="00007A9F">
            <w:pPr>
              <w:pStyle w:val="Heading4"/>
              <w:spacing w:line="360" w:lineRule="auto"/>
              <w:outlineLvl w:val="3"/>
              <w:rPr>
                <w:color w:val="000000" w:themeColor="text1"/>
              </w:rPr>
            </w:pPr>
            <w:r w:rsidRPr="006746C9">
              <w:rPr>
                <w:noProof/>
                <w:color w:val="000000" w:themeColor="text1"/>
              </w:rPr>
              <w:drawing>
                <wp:anchor distT="0" distB="0" distL="114300" distR="114300" simplePos="0" relativeHeight="251814912" behindDoc="0" locked="0" layoutInCell="1" allowOverlap="1" wp14:anchorId="45687CFE" wp14:editId="548FED6B">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64"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4AAA25B0" w14:textId="06B9F355" w:rsidR="00E631E8" w:rsidRPr="006746C9" w:rsidRDefault="00E631E8" w:rsidP="0015036D">
            <w:pPr>
              <w:pStyle w:val="Bullets"/>
            </w:pPr>
            <w:r>
              <w:t xml:space="preserve">Are there any significant barriers to pricing </w:t>
            </w:r>
            <w:r w:rsidR="00CC6DFD">
              <w:t xml:space="preserve">admitted </w:t>
            </w:r>
            <w:r>
              <w:t>subacute and non-acute care using AN-SNAP Version 5.0 for NEP24?</w:t>
            </w:r>
          </w:p>
        </w:tc>
      </w:tr>
    </w:tbl>
    <w:p w14:paraId="2868A1FE" w14:textId="26B8C418" w:rsidR="00E631E8" w:rsidRDefault="007304FE" w:rsidP="00E252F3">
      <w:pPr>
        <w:pStyle w:val="Heading2"/>
        <w:spacing w:before="240"/>
      </w:pPr>
      <w:r>
        <w:br w:type="column"/>
      </w:r>
      <w:bookmarkStart w:id="27" w:name="_Toc132118418"/>
      <w:bookmarkStart w:id="28" w:name="_Toc135043510"/>
      <w:r w:rsidR="003F0B5B">
        <w:lastRenderedPageBreak/>
        <w:t>3</w:t>
      </w:r>
      <w:r w:rsidR="00E631E8">
        <w:t>.3 Emergency care</w:t>
      </w:r>
      <w:bookmarkEnd w:id="27"/>
      <w:bookmarkEnd w:id="28"/>
    </w:p>
    <w:p w14:paraId="0CF8501E" w14:textId="7FE6B026" w:rsidR="00AB093C" w:rsidRDefault="00E631E8" w:rsidP="00AB093C">
      <w:pPr>
        <w:pStyle w:val="Body"/>
      </w:pPr>
      <w:r>
        <w:t xml:space="preserve">IHACPA used the Australian Emergency Care Classification (AECC) Version 1.0 to price emergency department activities and Urgency Disposition Groups (UDGs) Version 1.3 to price emergency </w:t>
      </w:r>
      <w:r w:rsidR="00AB093C">
        <w:t>services for NEP2</w:t>
      </w:r>
      <w:r w:rsidR="00825598">
        <w:t>3</w:t>
      </w:r>
      <w:r w:rsidR="00AB093C">
        <w:t>.</w:t>
      </w:r>
      <w:r w:rsidR="00AA47ED">
        <w:t xml:space="preserve"> IHACPA will continue to adopt this approach for NEP24. </w:t>
      </w:r>
    </w:p>
    <w:p w14:paraId="39AC88F7" w14:textId="31D5C6BB" w:rsidR="00AB093C" w:rsidRDefault="003F0B5B" w:rsidP="00513DB0">
      <w:pPr>
        <w:pStyle w:val="Heading3"/>
      </w:pPr>
      <w:r>
        <w:t>3</w:t>
      </w:r>
      <w:r w:rsidR="00AB093C">
        <w:t xml:space="preserve">.3.1 Refinement of the AECC and </w:t>
      </w:r>
      <w:r w:rsidR="00CC6DFD">
        <w:t xml:space="preserve">the </w:t>
      </w:r>
      <w:r w:rsidR="00825598" w:rsidRPr="00825598">
        <w:t>Emergency Care Principal</w:t>
      </w:r>
      <w:r w:rsidR="00825598">
        <w:t xml:space="preserve"> Diagnosis</w:t>
      </w:r>
      <w:r w:rsidR="00AB093C">
        <w:t xml:space="preserve"> Short List</w:t>
      </w:r>
    </w:p>
    <w:p w14:paraId="2B0F3D2E" w14:textId="64777929" w:rsidR="00AB093C" w:rsidRDefault="00AB093C" w:rsidP="00513DB0">
      <w:pPr>
        <w:pStyle w:val="Body"/>
      </w:pPr>
      <w:r>
        <w:t xml:space="preserve">IHACPA is currently investigating several areas for refinement within the AECC, in consultation with its Emergency Care Advisory Working Group. These include updates to the complexity model based on the most recent national activity and cost data, and incorporation of investigations and procedures, paediatric complexity and Emergency Care Diagnosis Groups into the refinement work program. </w:t>
      </w:r>
    </w:p>
    <w:p w14:paraId="02AAD233" w14:textId="77777777" w:rsidR="00AB093C" w:rsidRDefault="00AB093C" w:rsidP="00513DB0">
      <w:pPr>
        <w:pStyle w:val="Body"/>
      </w:pPr>
      <w:r>
        <w:t xml:space="preserve">IHACPA released the Emergency Care Principal Diagnosis Short List (EPD Short List) Twelfth Edition in May </w:t>
      </w:r>
      <w:r w:rsidRPr="0025701F">
        <w:t>2023</w:t>
      </w:r>
      <w:r>
        <w:t>, which was</w:t>
      </w:r>
      <w:r w:rsidRPr="0025701F">
        <w:t xml:space="preserve"> updated to align with ICD-10-AM Twelfth Edition</w:t>
      </w:r>
      <w:r>
        <w:t>.</w:t>
      </w:r>
    </w:p>
    <w:p w14:paraId="6E4EA2C0" w14:textId="0D6A55A9" w:rsidR="00AB093C" w:rsidRDefault="00AB093C" w:rsidP="00513DB0">
      <w:pPr>
        <w:pStyle w:val="Body"/>
      </w:pPr>
      <w:r>
        <w:t xml:space="preserve">In 2023, IHACPA will commence development of the EPD Short List Thirteenth Edition. </w:t>
      </w:r>
    </w:p>
    <w:p w14:paraId="59C690BE" w14:textId="14DA2111" w:rsidR="00AB093C" w:rsidRDefault="003F0B5B" w:rsidP="00513DB0">
      <w:pPr>
        <w:pStyle w:val="Heading3"/>
      </w:pPr>
      <w:r>
        <w:t>3</w:t>
      </w:r>
      <w:r w:rsidR="00AB093C">
        <w:t>.</w:t>
      </w:r>
      <w:r w:rsidR="00292F54">
        <w:t>3</w:t>
      </w:r>
      <w:r w:rsidR="00AB093C">
        <w:t>.</w:t>
      </w:r>
      <w:r w:rsidR="00292F54">
        <w:t>2</w:t>
      </w:r>
      <w:r w:rsidR="00AB093C">
        <w:t xml:space="preserve"> Considering the use of AECC for emergency services</w:t>
      </w:r>
    </w:p>
    <w:p w14:paraId="31ABB6A5" w14:textId="0030520A" w:rsidR="00AB093C" w:rsidRDefault="00AB093C" w:rsidP="00513DB0">
      <w:pPr>
        <w:pStyle w:val="Body"/>
      </w:pPr>
      <w:bookmarkStart w:id="29" w:name="_Hlk131679427"/>
      <w:r>
        <w:t xml:space="preserve">In </w:t>
      </w:r>
      <w:r w:rsidRPr="0008613D">
        <w:t>2022–23</w:t>
      </w:r>
      <w:r>
        <w:t xml:space="preserve">, the </w:t>
      </w:r>
      <w:r w:rsidR="00945FFE">
        <w:t xml:space="preserve">Emergency service care </w:t>
      </w:r>
      <w:r w:rsidR="00945FFE" w:rsidRPr="00B439BC">
        <w:t xml:space="preserve">national best endeavours data set </w:t>
      </w:r>
      <w:r w:rsidR="00945FFE">
        <w:t xml:space="preserve">was updated to include </w:t>
      </w:r>
      <w:r>
        <w:t xml:space="preserve">refinements that will enable more detailed patient level activity data collection. </w:t>
      </w:r>
    </w:p>
    <w:p w14:paraId="238AA7D1" w14:textId="0BBEB2EA" w:rsidR="00AB093C" w:rsidRDefault="00AB093C" w:rsidP="00AB093C">
      <w:pPr>
        <w:pStyle w:val="Body"/>
      </w:pPr>
      <w:bookmarkStart w:id="30" w:name="_Hlk131679416"/>
      <w:bookmarkEnd w:id="29"/>
      <w:r>
        <w:t>IH</w:t>
      </w:r>
      <w:r w:rsidRPr="0008613D">
        <w:t xml:space="preserve">ACPA </w:t>
      </w:r>
      <w:r>
        <w:t xml:space="preserve">intends to review the first completed year of more detailed data collection </w:t>
      </w:r>
      <w:r w:rsidR="00945FFE">
        <w:t xml:space="preserve">prior to </w:t>
      </w:r>
      <w:r>
        <w:t>commen</w:t>
      </w:r>
      <w:r w:rsidR="00945FFE">
        <w:t>cing</w:t>
      </w:r>
      <w:r>
        <w:t xml:space="preserve"> analysis to assess the appropriateness of pricing emergency services using</w:t>
      </w:r>
      <w:bookmarkEnd w:id="30"/>
      <w:r>
        <w:t xml:space="preserve"> the AECC in </w:t>
      </w:r>
      <w:r w:rsidR="00292F54">
        <w:t xml:space="preserve">the </w:t>
      </w:r>
      <w:r>
        <w:t xml:space="preserve">future. </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iton questions"/>
        <w:tblDescription w:val="Are there any other areas in the AECC that IHACPA should consider as part of the classification refinement work program?&#10;What clinical areas and/or structural features should IHACPA consider in the development of the EPD Short List Thirteenth Edition?&#10;"/>
      </w:tblPr>
      <w:tblGrid>
        <w:gridCol w:w="4149"/>
      </w:tblGrid>
      <w:tr w:rsidR="00E631E8" w:rsidRPr="006746C9" w14:paraId="735956EB" w14:textId="77777777" w:rsidTr="00B90848">
        <w:trPr>
          <w:trHeight w:val="2413"/>
          <w:jc w:val="center"/>
        </w:trPr>
        <w:tc>
          <w:tcPr>
            <w:tcW w:w="5000" w:type="pct"/>
            <w:tcBorders>
              <w:left w:val="nil"/>
            </w:tcBorders>
            <w:shd w:val="clear" w:color="auto" w:fill="E6F4F9"/>
          </w:tcPr>
          <w:p w14:paraId="05626BBA" w14:textId="77777777" w:rsidR="00E631E8" w:rsidRPr="006746C9" w:rsidRDefault="00E631E8" w:rsidP="00007A9F">
            <w:pPr>
              <w:pStyle w:val="Heading4"/>
              <w:spacing w:line="360" w:lineRule="auto"/>
              <w:outlineLvl w:val="3"/>
              <w:rPr>
                <w:color w:val="000000" w:themeColor="text1"/>
              </w:rPr>
            </w:pPr>
            <w:r w:rsidRPr="006746C9">
              <w:rPr>
                <w:noProof/>
                <w:color w:val="000000" w:themeColor="text1"/>
              </w:rPr>
              <w:drawing>
                <wp:anchor distT="0" distB="0" distL="114300" distR="114300" simplePos="0" relativeHeight="251815936" behindDoc="0" locked="0" layoutInCell="1" allowOverlap="1" wp14:anchorId="30941736" wp14:editId="335D8AB9">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6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2BCB72F2" w14:textId="3B14036E" w:rsidR="00E631E8" w:rsidRPr="00761443" w:rsidRDefault="00E631E8" w:rsidP="00007A9F">
            <w:pPr>
              <w:pStyle w:val="Bullets"/>
            </w:pPr>
            <w:r w:rsidRPr="00761443">
              <w:t xml:space="preserve">Are there any other areas in the AECC that IHACPA should consider </w:t>
            </w:r>
            <w:r w:rsidR="00945FFE">
              <w:t>as part of the classification</w:t>
            </w:r>
            <w:r w:rsidR="00945FFE" w:rsidRPr="00761443">
              <w:t xml:space="preserve"> </w:t>
            </w:r>
            <w:r w:rsidRPr="00761443">
              <w:t>refinement work program?</w:t>
            </w:r>
          </w:p>
          <w:p w14:paraId="59B79844" w14:textId="09D45FD7" w:rsidR="00E631E8" w:rsidRPr="006746C9" w:rsidRDefault="009B0866" w:rsidP="00B90848">
            <w:pPr>
              <w:pStyle w:val="Bullets"/>
            </w:pPr>
            <w:r w:rsidRPr="00761443">
              <w:t>W</w:t>
            </w:r>
            <w:r w:rsidR="0025701F" w:rsidRPr="00761443">
              <w:t>h</w:t>
            </w:r>
            <w:r w:rsidR="00E631E8" w:rsidRPr="00761443">
              <w:t>at</w:t>
            </w:r>
            <w:r w:rsidR="00945FFE">
              <w:t xml:space="preserve"> clinical</w:t>
            </w:r>
            <w:r w:rsidR="00E631E8" w:rsidRPr="00761443">
              <w:t xml:space="preserve"> </w:t>
            </w:r>
            <w:r w:rsidR="0025701F" w:rsidRPr="00761443">
              <w:rPr>
                <w:rFonts w:eastAsia="Times New Roman" w:cs="Arial"/>
              </w:rPr>
              <w:t xml:space="preserve">areas </w:t>
            </w:r>
            <w:r w:rsidR="00945FFE">
              <w:rPr>
                <w:rFonts w:eastAsia="Times New Roman" w:cs="Arial"/>
              </w:rPr>
              <w:t>and/</w:t>
            </w:r>
            <w:r w:rsidR="0025701F" w:rsidRPr="00761443">
              <w:rPr>
                <w:rFonts w:eastAsia="Times New Roman" w:cs="Arial"/>
              </w:rPr>
              <w:t>or</w:t>
            </w:r>
            <w:r w:rsidR="00945FFE">
              <w:rPr>
                <w:rFonts w:eastAsia="Times New Roman" w:cs="Arial"/>
              </w:rPr>
              <w:t xml:space="preserve"> structural</w:t>
            </w:r>
            <w:r w:rsidR="0025701F" w:rsidRPr="00761443">
              <w:rPr>
                <w:rFonts w:eastAsia="Times New Roman" w:cs="Arial"/>
              </w:rPr>
              <w:t xml:space="preserve"> features should IHACPA consider in the development of the </w:t>
            </w:r>
            <w:r w:rsidR="00945FFE">
              <w:rPr>
                <w:rFonts w:eastAsia="Times New Roman" w:cs="Arial"/>
              </w:rPr>
              <w:t xml:space="preserve">EPD Short List </w:t>
            </w:r>
            <w:r w:rsidR="0025701F" w:rsidRPr="00761443">
              <w:rPr>
                <w:rFonts w:eastAsia="Times New Roman" w:cs="Arial"/>
              </w:rPr>
              <w:t>Thirteenth Edition</w:t>
            </w:r>
            <w:r w:rsidR="00E631E8" w:rsidRPr="00761443">
              <w:t>?</w:t>
            </w:r>
          </w:p>
        </w:tc>
      </w:tr>
    </w:tbl>
    <w:p w14:paraId="69C3AA36" w14:textId="1D859A06" w:rsidR="009B0866" w:rsidRDefault="003F0B5B" w:rsidP="009B0866">
      <w:pPr>
        <w:pStyle w:val="Heading2"/>
        <w:spacing w:before="240"/>
      </w:pPr>
      <w:bookmarkStart w:id="31" w:name="_Toc132118419"/>
      <w:bookmarkStart w:id="32" w:name="_Toc135043511"/>
      <w:r>
        <w:t>3</w:t>
      </w:r>
      <w:r w:rsidR="0090002E">
        <w:t>.</w:t>
      </w:r>
      <w:r w:rsidR="009B0866">
        <w:t>4 Non-admitted care</w:t>
      </w:r>
      <w:bookmarkEnd w:id="31"/>
      <w:bookmarkEnd w:id="32"/>
    </w:p>
    <w:p w14:paraId="1265BA5A" w14:textId="7E093460" w:rsidR="009B0866" w:rsidRDefault="003F0B5B" w:rsidP="009B0866">
      <w:pPr>
        <w:pStyle w:val="Heading3"/>
      </w:pPr>
      <w:r>
        <w:t>3</w:t>
      </w:r>
      <w:r w:rsidR="009B0866">
        <w:t>.4.1 Tier 2 Non-Admitted Services Classification</w:t>
      </w:r>
    </w:p>
    <w:p w14:paraId="5D77CCE7" w14:textId="77777777" w:rsidR="00436C72" w:rsidRDefault="00436C72" w:rsidP="00513DB0">
      <w:pPr>
        <w:pStyle w:val="Body"/>
      </w:pPr>
      <w:bookmarkStart w:id="33" w:name="_Hlk131679250"/>
      <w:r>
        <w:t xml:space="preserve">The Tier 2 Non-Admitted Services Classification (Tier 2) is the existing classification system used to price non-admitted services. </w:t>
      </w:r>
    </w:p>
    <w:p w14:paraId="57FC93AE" w14:textId="1032FB51" w:rsidR="00436C72" w:rsidRDefault="00436C72" w:rsidP="00513DB0">
      <w:pPr>
        <w:pStyle w:val="Body"/>
      </w:pPr>
      <w:r>
        <w:t xml:space="preserve">IHACPA used Tier </w:t>
      </w:r>
      <w:r w:rsidR="00723AD8">
        <w:t>2</w:t>
      </w:r>
      <w:r w:rsidR="00E3081F">
        <w:t xml:space="preserve"> </w:t>
      </w:r>
      <w:r>
        <w:t>Version 8.0 to price non-admitted services for NEP23.</w:t>
      </w:r>
      <w:r w:rsidR="00945FFE">
        <w:t xml:space="preserve"> Tier 2</w:t>
      </w:r>
      <w:r>
        <w:t xml:space="preserve"> Version 8.0 included the following new classes to better account for the activity being reported against existing Tier 2 classes and to collect applicable activity and cost data to inform price weight refinement:</w:t>
      </w:r>
    </w:p>
    <w:p w14:paraId="0FBA6B48" w14:textId="77777777" w:rsidR="00436C72" w:rsidRDefault="00436C72" w:rsidP="00513DB0">
      <w:pPr>
        <w:pStyle w:val="Bullets"/>
      </w:pPr>
      <w:r>
        <w:t>20.58 Long COVID</w:t>
      </w:r>
    </w:p>
    <w:p w14:paraId="7DB2604D" w14:textId="0A2603FB" w:rsidR="00436C72" w:rsidRDefault="00436C72" w:rsidP="00513DB0">
      <w:pPr>
        <w:pStyle w:val="Bullets"/>
      </w:pPr>
      <w:r>
        <w:t xml:space="preserve">40.65 Violence, </w:t>
      </w:r>
      <w:r w:rsidR="00945FFE">
        <w:t>a</w:t>
      </w:r>
      <w:r>
        <w:t xml:space="preserve">buse, and </w:t>
      </w:r>
      <w:r w:rsidR="00945FFE">
        <w:t>n</w:t>
      </w:r>
      <w:r>
        <w:t xml:space="preserve">eglect </w:t>
      </w:r>
      <w:r w:rsidR="00945FFE">
        <w:t>s</w:t>
      </w:r>
      <w:r>
        <w:t>ervices</w:t>
      </w:r>
    </w:p>
    <w:p w14:paraId="3F255E30" w14:textId="6F735D8B" w:rsidR="00436C72" w:rsidRDefault="00436C72" w:rsidP="00513DB0">
      <w:pPr>
        <w:pStyle w:val="Bullets"/>
      </w:pPr>
      <w:r>
        <w:t xml:space="preserve">40.66 Genetic </w:t>
      </w:r>
      <w:r w:rsidR="00292F54">
        <w:t>c</w:t>
      </w:r>
      <w:r>
        <w:t>ounselling</w:t>
      </w:r>
    </w:p>
    <w:p w14:paraId="179B26CA" w14:textId="77777777" w:rsidR="00436C72" w:rsidRDefault="00436C72" w:rsidP="00513DB0">
      <w:pPr>
        <w:pStyle w:val="Bullets"/>
      </w:pPr>
      <w:r>
        <w:t>40.67 Long COVID.</w:t>
      </w:r>
    </w:p>
    <w:p w14:paraId="362BD492" w14:textId="567013A7" w:rsidR="00436C72" w:rsidRDefault="00436C72" w:rsidP="00513DB0">
      <w:pPr>
        <w:pStyle w:val="Body"/>
      </w:pPr>
      <w:r>
        <w:t xml:space="preserve">IHACPA </w:t>
      </w:r>
      <w:r w:rsidR="00945FFE">
        <w:t xml:space="preserve">undertakes an ongoing program of </w:t>
      </w:r>
      <w:r w:rsidR="006F691C">
        <w:t xml:space="preserve">classification </w:t>
      </w:r>
      <w:r w:rsidR="00945FFE">
        <w:t xml:space="preserve">refinement </w:t>
      </w:r>
      <w:r>
        <w:t>to ensure the relevancy of Tier 2 for ABF purposes</w:t>
      </w:r>
      <w:r w:rsidR="00292F54">
        <w:t>,</w:t>
      </w:r>
      <w:r>
        <w:t xml:space="preserve"> while a new non-admitted care classification is developed. </w:t>
      </w:r>
    </w:p>
    <w:p w14:paraId="4A86BFED" w14:textId="24AECDE1" w:rsidR="00436C72" w:rsidRDefault="00436C72" w:rsidP="00513DB0">
      <w:pPr>
        <w:pStyle w:val="Body"/>
      </w:pPr>
      <w:r>
        <w:t>For NEP24, IHACPA has consulted with its advisory committees</w:t>
      </w:r>
      <w:r w:rsidR="00945FFE">
        <w:t xml:space="preserve"> and working groups</w:t>
      </w:r>
      <w:r>
        <w:t xml:space="preserve"> on additional refinements that could be made to Tier 2.</w:t>
      </w:r>
      <w:r w:rsidRPr="00862309">
        <w:t xml:space="preserve"> These include </w:t>
      </w:r>
      <w:bookmarkStart w:id="34" w:name="_Hlk131679551"/>
      <w:r w:rsidRPr="00862309">
        <w:t>potential refinements relating to the supervised administration of opioid agonist treatment</w:t>
      </w:r>
      <w:r w:rsidR="00945FFE">
        <w:t xml:space="preserve"> and </w:t>
      </w:r>
      <w:r w:rsidRPr="00862309">
        <w:t>home-based subcutaneous immunoglob</w:t>
      </w:r>
      <w:r>
        <w:t>ul</w:t>
      </w:r>
      <w:r w:rsidRPr="00862309">
        <w:t>in</w:t>
      </w:r>
      <w:r w:rsidR="00292F54">
        <w:t xml:space="preserve"> infusion</w:t>
      </w:r>
      <w:r w:rsidRPr="00862309">
        <w:t xml:space="preserve"> treatment</w:t>
      </w:r>
      <w:r w:rsidR="00945FFE">
        <w:t xml:space="preserve">. </w:t>
      </w:r>
    </w:p>
    <w:bookmarkEnd w:id="34"/>
    <w:p w14:paraId="2B455301" w14:textId="2AFFB067" w:rsidR="00436C72" w:rsidRPr="00761443" w:rsidRDefault="00436C72" w:rsidP="00513DB0">
      <w:pPr>
        <w:pStyle w:val="Body"/>
      </w:pPr>
      <w:r>
        <w:t xml:space="preserve">IHACPA is </w:t>
      </w:r>
      <w:r w:rsidR="00945FFE">
        <w:t xml:space="preserve">also </w:t>
      </w:r>
      <w:r w:rsidRPr="00761443">
        <w:t xml:space="preserve">working with jurisdictions to investigate whether </w:t>
      </w:r>
      <w:r w:rsidR="00945FFE">
        <w:t xml:space="preserve">refinements to </w:t>
      </w:r>
      <w:r w:rsidRPr="00761443">
        <w:t xml:space="preserve">Tier 2 </w:t>
      </w:r>
      <w:r w:rsidR="00945FFE">
        <w:t>are required to better</w:t>
      </w:r>
      <w:r w:rsidRPr="00761443">
        <w:t xml:space="preserve"> capture the activity being delivered by innovative models of care</w:t>
      </w:r>
      <w:r w:rsidR="00815CB0">
        <w:t xml:space="preserve"> developed by</w:t>
      </w:r>
      <w:r w:rsidRPr="00761443">
        <w:t xml:space="preserve"> jurisdictions. </w:t>
      </w:r>
    </w:p>
    <w:p w14:paraId="5F4F6CA7" w14:textId="77777777" w:rsidR="00F617B5" w:rsidRDefault="00436C72" w:rsidP="00513DB0">
      <w:pPr>
        <w:pStyle w:val="Body"/>
      </w:pPr>
      <w:r>
        <w:t xml:space="preserve">For NEP24, </w:t>
      </w:r>
      <w:r w:rsidR="00945FFE">
        <w:t>IHACPA will</w:t>
      </w:r>
      <w:r>
        <w:t xml:space="preserve"> continue using Tier 2 to price non-admitted services. The </w:t>
      </w:r>
      <w:r w:rsidR="00945FFE">
        <w:t xml:space="preserve">incorporation </w:t>
      </w:r>
      <w:r>
        <w:t xml:space="preserve">of any proposed refinements may result in </w:t>
      </w:r>
      <w:r w:rsidR="00945FFE">
        <w:t xml:space="preserve">an update to </w:t>
      </w:r>
      <w:r>
        <w:t xml:space="preserve">a new version of Tier 2. </w:t>
      </w:r>
    </w:p>
    <w:p w14:paraId="1D8E20D6" w14:textId="7ED8D424" w:rsidR="00436C72" w:rsidRPr="00AD7EB6" w:rsidRDefault="00436C72" w:rsidP="00513DB0">
      <w:pPr>
        <w:pStyle w:val="Body"/>
        <w:rPr>
          <w:color w:val="000000" w:themeColor="text1"/>
        </w:rPr>
      </w:pPr>
      <w:r>
        <w:lastRenderedPageBreak/>
        <w:t xml:space="preserve">IHACPA will consider the suitability </w:t>
      </w:r>
      <w:r w:rsidR="00945FFE">
        <w:t xml:space="preserve">of </w:t>
      </w:r>
      <w:r>
        <w:t>pricing or shadow pricing any new classes in Tier 2 in the development of NEP24.</w:t>
      </w:r>
    </w:p>
    <w:p w14:paraId="708E728D" w14:textId="20EAFF1C" w:rsidR="00436C72" w:rsidRDefault="003F0B5B" w:rsidP="00513DB0">
      <w:pPr>
        <w:pStyle w:val="Heading3"/>
      </w:pPr>
      <w:r>
        <w:t>3</w:t>
      </w:r>
      <w:r w:rsidR="00436C72">
        <w:t>.4.2 A new non-admitted care classification</w:t>
      </w:r>
    </w:p>
    <w:p w14:paraId="23CD8FFF" w14:textId="0CAF4203" w:rsidR="00436C72" w:rsidRDefault="00436C72" w:rsidP="00513DB0">
      <w:pPr>
        <w:pStyle w:val="Body"/>
      </w:pPr>
      <w:r>
        <w:t>IHACPA is developing a new non-admitted care classification to better describe patient characteristics and care complexity</w:t>
      </w:r>
      <w:r w:rsidR="00F617B5">
        <w:t>,</w:t>
      </w:r>
      <w:r>
        <w:t xml:space="preserve"> </w:t>
      </w:r>
      <w:r w:rsidR="00657346">
        <w:t>and</w:t>
      </w:r>
      <w:r>
        <w:t xml:space="preserve"> more accurately reflect the costs of non-admitted services. The new non-admitted care classification will also better account for changes in care delivery </w:t>
      </w:r>
      <w:r w:rsidR="00657346">
        <w:t xml:space="preserve">and models of care </w:t>
      </w:r>
      <w:r>
        <w:t>as services transition to the non-admitted setting</w:t>
      </w:r>
      <w:r w:rsidR="00657346">
        <w:t>.</w:t>
      </w:r>
    </w:p>
    <w:p w14:paraId="2019FE62" w14:textId="2D6E63E7" w:rsidR="00436C72" w:rsidRDefault="00436C72" w:rsidP="00513DB0">
      <w:pPr>
        <w:pStyle w:val="Body"/>
      </w:pPr>
      <w:r>
        <w:t xml:space="preserve">To inform the development of the new classification, IHACPA commenced a national costing study in 2018, which was suspended in 2020 due to the impact of COVID-19. </w:t>
      </w:r>
    </w:p>
    <w:p w14:paraId="2040B9CA" w14:textId="2DB954A7" w:rsidR="00436C72" w:rsidRPr="00C17D94" w:rsidRDefault="00657346" w:rsidP="00436C72">
      <w:pPr>
        <w:pStyle w:val="Body"/>
      </w:pPr>
      <w:r>
        <w:t>In 2023, IHACPA commenced the Australian Non</w:t>
      </w:r>
      <w:r w:rsidR="00292F54">
        <w:noBreakHyphen/>
      </w:r>
      <w:r>
        <w:t xml:space="preserve">Admitted Patient Classification Project, which aims to explore the feasibility of developing </w:t>
      </w:r>
      <w:r w:rsidR="00436C72" w:rsidRPr="005420BC">
        <w:t xml:space="preserve">a new non-admitted care classification through </w:t>
      </w:r>
      <w:r>
        <w:t xml:space="preserve">the </w:t>
      </w:r>
      <w:r w:rsidR="00436C72" w:rsidRPr="005420BC">
        <w:t xml:space="preserve">utilisation of the health information available </w:t>
      </w:r>
      <w:r>
        <w:t>with</w:t>
      </w:r>
      <w:r w:rsidR="00436C72" w:rsidRPr="005420BC">
        <w:t xml:space="preserve">in </w:t>
      </w:r>
      <w:r w:rsidR="00436C72">
        <w:t xml:space="preserve">jurisdictional </w:t>
      </w:r>
      <w:r>
        <w:t>electronic medical record (</w:t>
      </w:r>
      <w:proofErr w:type="spellStart"/>
      <w:r w:rsidR="00436C72">
        <w:t>eMR</w:t>
      </w:r>
      <w:proofErr w:type="spellEnd"/>
      <w:r>
        <w:t>)</w:t>
      </w:r>
      <w:r w:rsidR="00436C72">
        <w:t xml:space="preserve"> systems.</w:t>
      </w:r>
      <w:r w:rsidR="00436C72" w:rsidRPr="00AD7EB6">
        <w:t xml:space="preserve"> </w:t>
      </w:r>
      <w:r w:rsidR="00436C72">
        <w:t>This approach enable</w:t>
      </w:r>
      <w:r w:rsidR="00475026">
        <w:t>s</w:t>
      </w:r>
      <w:r w:rsidR="00436C72">
        <w:t xml:space="preserve"> the classification development process to recommence whilst minimising the administrative burden on states and territories and the impact on clinical service delivery </w:t>
      </w:r>
      <w:r w:rsidR="00436C72" w:rsidRPr="00C17D94">
        <w:t>associated with a traditional costing study.</w:t>
      </w:r>
    </w:p>
    <w:p w14:paraId="213A70A8" w14:textId="57A576E2" w:rsidR="00657346" w:rsidRPr="00862309" w:rsidRDefault="00657346" w:rsidP="00436C72">
      <w:pPr>
        <w:pStyle w:val="Body"/>
      </w:pPr>
      <w:r w:rsidRPr="00C17D94">
        <w:t xml:space="preserve">As part of the first stage of the project, IHACPA has </w:t>
      </w:r>
      <w:r w:rsidR="00ED3646" w:rsidRPr="00C17D94">
        <w:t xml:space="preserve">commenced </w:t>
      </w:r>
      <w:r w:rsidRPr="00C17D94">
        <w:t xml:space="preserve">a series of consultations with state and territory health departments and other relevant stakeholders to better understand </w:t>
      </w:r>
      <w:proofErr w:type="spellStart"/>
      <w:r w:rsidRPr="00C17D94">
        <w:t>eMR</w:t>
      </w:r>
      <w:proofErr w:type="spellEnd"/>
      <w:r w:rsidR="00475026" w:rsidRPr="00C17D94">
        <w:t xml:space="preserve"> and other</w:t>
      </w:r>
      <w:r w:rsidRPr="00C17D94">
        <w:t xml:space="preserve"> systems, the data elements available and the feasibility of utilising information from these systems to inform classification development.</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Are there any other proposed refinement areas for the Tier 2 Non Admitted Services Classification for 2024–25?"/>
      </w:tblPr>
      <w:tblGrid>
        <w:gridCol w:w="4149"/>
      </w:tblGrid>
      <w:tr w:rsidR="009B0866" w:rsidRPr="006746C9" w14:paraId="5B77F7F1" w14:textId="77777777" w:rsidTr="0068672F">
        <w:trPr>
          <w:trHeight w:val="1700"/>
          <w:jc w:val="center"/>
        </w:trPr>
        <w:tc>
          <w:tcPr>
            <w:tcW w:w="5000" w:type="pct"/>
            <w:tcBorders>
              <w:left w:val="nil"/>
            </w:tcBorders>
            <w:shd w:val="clear" w:color="auto" w:fill="E6F4F9"/>
          </w:tcPr>
          <w:bookmarkEnd w:id="33"/>
          <w:p w14:paraId="629CAA89" w14:textId="77777777" w:rsidR="009B0866" w:rsidRPr="006746C9" w:rsidRDefault="009B0866" w:rsidP="0068672F">
            <w:pPr>
              <w:pStyle w:val="Heading4"/>
              <w:spacing w:line="360" w:lineRule="auto"/>
              <w:outlineLvl w:val="3"/>
              <w:rPr>
                <w:color w:val="000000" w:themeColor="text1"/>
              </w:rPr>
            </w:pPr>
            <w:r w:rsidRPr="006746C9">
              <w:rPr>
                <w:noProof/>
                <w:color w:val="000000" w:themeColor="text1"/>
              </w:rPr>
              <w:drawing>
                <wp:anchor distT="0" distB="0" distL="114300" distR="114300" simplePos="0" relativeHeight="251834368" behindDoc="0" locked="0" layoutInCell="1" allowOverlap="1" wp14:anchorId="30BF8657" wp14:editId="3E91920B">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0"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2F47403C" w14:textId="5CD7BC87" w:rsidR="009B0866" w:rsidRPr="006746C9" w:rsidRDefault="009B0866" w:rsidP="0068672F">
            <w:pPr>
              <w:pStyle w:val="Bullets"/>
            </w:pPr>
            <w:r>
              <w:t>Are there any other</w:t>
            </w:r>
            <w:r w:rsidR="00657346">
              <w:t xml:space="preserve"> proposed refinement </w:t>
            </w:r>
            <w:r>
              <w:t xml:space="preserve">areas </w:t>
            </w:r>
            <w:r w:rsidR="00657346">
              <w:t>for</w:t>
            </w:r>
            <w:r>
              <w:t xml:space="preserve"> the Tier 2 Non</w:t>
            </w:r>
            <w:r w:rsidR="007304FE">
              <w:noBreakHyphen/>
            </w:r>
            <w:r>
              <w:t>Admitted Services Classification</w:t>
            </w:r>
            <w:r w:rsidR="00657346">
              <w:t xml:space="preserve"> for 2024</w:t>
            </w:r>
            <w:r w:rsidR="00292F54" w:rsidRPr="00E252F3">
              <w:t>–</w:t>
            </w:r>
            <w:r w:rsidR="00657346">
              <w:t>25</w:t>
            </w:r>
            <w:r>
              <w:t>?</w:t>
            </w:r>
          </w:p>
        </w:tc>
      </w:tr>
    </w:tbl>
    <w:p w14:paraId="246FB098" w14:textId="77777777" w:rsidR="009B0866" w:rsidRDefault="009B0866" w:rsidP="009B0866">
      <w:pPr>
        <w:pStyle w:val="BodyText"/>
      </w:pPr>
    </w:p>
    <w:p w14:paraId="6BD67B1A" w14:textId="1139074C" w:rsidR="009B0866" w:rsidRDefault="00500515" w:rsidP="009B0866">
      <w:pPr>
        <w:pStyle w:val="Heading2"/>
      </w:pPr>
      <w:bookmarkStart w:id="35" w:name="_Toc132118420"/>
      <w:bookmarkStart w:id="36" w:name="_Toc135043512"/>
      <w:r>
        <w:br w:type="column"/>
      </w:r>
      <w:r w:rsidR="003F0B5B">
        <w:t>3</w:t>
      </w:r>
      <w:r w:rsidR="009B0866">
        <w:t>.5 Mental health care</w:t>
      </w:r>
      <w:bookmarkEnd w:id="35"/>
      <w:bookmarkEnd w:id="36"/>
    </w:p>
    <w:p w14:paraId="5ECF248F" w14:textId="7BEC5953" w:rsidR="00436C72" w:rsidRDefault="003F0B5B" w:rsidP="00513DB0">
      <w:pPr>
        <w:pStyle w:val="Heading3"/>
      </w:pPr>
      <w:r>
        <w:t>3</w:t>
      </w:r>
      <w:r w:rsidR="00436C72">
        <w:t>.5.1 Admitted mental health care</w:t>
      </w:r>
    </w:p>
    <w:p w14:paraId="4BBA732A" w14:textId="77777777" w:rsidR="00436C72" w:rsidRDefault="00436C72" w:rsidP="00513DB0">
      <w:pPr>
        <w:pStyle w:val="Body"/>
      </w:pPr>
      <w:r>
        <w:t xml:space="preserve">For NEP23, IHACPA priced admitted mental health care using the Australia Mental Health Care Classification (AMHCC) Version 1.0. </w:t>
      </w:r>
    </w:p>
    <w:p w14:paraId="4AE0FDB4" w14:textId="3D90EA0C" w:rsidR="00436C72" w:rsidRDefault="00436C72" w:rsidP="00513DB0">
      <w:pPr>
        <w:pStyle w:val="Body"/>
      </w:pPr>
      <w:r>
        <w:t xml:space="preserve">As part of the work program </w:t>
      </w:r>
      <w:r w:rsidR="00AA47ED">
        <w:t xml:space="preserve">for </w:t>
      </w:r>
      <w:r w:rsidR="00657346">
        <w:t>the development of AMHCC Version 1.1</w:t>
      </w:r>
      <w:r>
        <w:t>, IHACPA has undertaken analysis to inform updates to the Health of the Nation Outcome Scales (</w:t>
      </w:r>
      <w:proofErr w:type="spellStart"/>
      <w:r>
        <w:t>HoNOS</w:t>
      </w:r>
      <w:proofErr w:type="spellEnd"/>
      <w:r>
        <w:t xml:space="preserve">) weights and thresholds </w:t>
      </w:r>
      <w:r w:rsidR="00657346">
        <w:t xml:space="preserve">and Life Skills Profile thresholds </w:t>
      </w:r>
      <w:r>
        <w:t>using</w:t>
      </w:r>
      <w:r w:rsidR="00657346">
        <w:t xml:space="preserve"> updated</w:t>
      </w:r>
      <w:r>
        <w:t xml:space="preserve"> national mental health </w:t>
      </w:r>
      <w:r w:rsidR="00292F54">
        <w:t xml:space="preserve">care </w:t>
      </w:r>
      <w:r>
        <w:t xml:space="preserve">activity and cost data collections. IHACPA is also proposing to allow phases with up to two missing </w:t>
      </w:r>
      <w:proofErr w:type="spellStart"/>
      <w:r>
        <w:t>HoNOS</w:t>
      </w:r>
      <w:proofErr w:type="spellEnd"/>
      <w:r>
        <w:t xml:space="preserve"> item scores to attract a valid complexity score and a high or moderate </w:t>
      </w:r>
      <w:proofErr w:type="spellStart"/>
      <w:r>
        <w:t>HoNOS</w:t>
      </w:r>
      <w:proofErr w:type="spellEnd"/>
      <w:r>
        <w:t xml:space="preserve"> complexity grouping, in line with the National Outcomes and </w:t>
      </w:r>
      <w:proofErr w:type="spellStart"/>
      <w:r>
        <w:t>Casemix</w:t>
      </w:r>
      <w:proofErr w:type="spellEnd"/>
      <w:r>
        <w:t xml:space="preserve"> Collection rules.</w:t>
      </w:r>
    </w:p>
    <w:p w14:paraId="3471CE5D" w14:textId="11AE54B0" w:rsidR="00436C72" w:rsidRDefault="00436C72" w:rsidP="00513DB0">
      <w:pPr>
        <w:pStyle w:val="Body"/>
      </w:pPr>
      <w:r>
        <w:t xml:space="preserve">IHACPA will consult with stakeholders through its advisory </w:t>
      </w:r>
      <w:r w:rsidR="00657346">
        <w:t xml:space="preserve">committees </w:t>
      </w:r>
      <w:r>
        <w:t>and working groups to finalise AMHCC Version 1.1 and to determine</w:t>
      </w:r>
      <w:r w:rsidR="00657346">
        <w:t xml:space="preserve"> the</w:t>
      </w:r>
      <w:r>
        <w:t xml:space="preserve"> refinement </w:t>
      </w:r>
      <w:r w:rsidR="00657346">
        <w:t xml:space="preserve">plan </w:t>
      </w:r>
      <w:r>
        <w:t>for AMHCC Version 2.0.</w:t>
      </w:r>
    </w:p>
    <w:p w14:paraId="0D0695D0" w14:textId="77777777" w:rsidR="00436C72" w:rsidRDefault="00436C72" w:rsidP="00513DB0">
      <w:pPr>
        <w:pStyle w:val="Body"/>
      </w:pPr>
      <w:r>
        <w:t xml:space="preserve">For NEP24, IHACPA will continue using AMHCC Version 1.0 to price admitted mental health care services. </w:t>
      </w:r>
    </w:p>
    <w:p w14:paraId="50ADFFBD" w14:textId="0E16EB6C" w:rsidR="00436C72" w:rsidRDefault="003F0B5B" w:rsidP="00513DB0">
      <w:pPr>
        <w:pStyle w:val="Heading3"/>
      </w:pPr>
      <w:r>
        <w:t>3</w:t>
      </w:r>
      <w:r w:rsidR="00436C72">
        <w:t>.5.2 Community mental health care</w:t>
      </w:r>
    </w:p>
    <w:p w14:paraId="3E38D1D3" w14:textId="2B516444" w:rsidR="00436C72" w:rsidRDefault="00436C72" w:rsidP="00513DB0">
      <w:pPr>
        <w:pStyle w:val="Body"/>
      </w:pPr>
      <w:r>
        <w:t xml:space="preserve">Clause A3 of the Addendum to the National Health Reform Agreement </w:t>
      </w:r>
      <w:r w:rsidR="00657346">
        <w:t>2020</w:t>
      </w:r>
      <w:r w:rsidR="00292F54">
        <w:t>–</w:t>
      </w:r>
      <w:r w:rsidR="00657346">
        <w:t xml:space="preserve">25 </w:t>
      </w:r>
      <w:r>
        <w:t xml:space="preserve">(the Addendum) and the Pricing Guidelines outline that Commonwealth funding is to be provided on the basis of ABF except </w:t>
      </w:r>
      <w:r w:rsidR="00292F54">
        <w:t xml:space="preserve">where </w:t>
      </w:r>
      <w:r>
        <w:t xml:space="preserve">it is neither practicable nor appropriate. </w:t>
      </w:r>
    </w:p>
    <w:p w14:paraId="24D64F2A" w14:textId="070FED22" w:rsidR="00436C72" w:rsidRDefault="00436C72" w:rsidP="00513DB0">
      <w:pPr>
        <w:pStyle w:val="Body"/>
      </w:pPr>
      <w:r>
        <w:t xml:space="preserve">Community mental health care is currently block funded as part of the </w:t>
      </w:r>
      <w:r w:rsidR="00657346">
        <w:t>N</w:t>
      </w:r>
      <w:r>
        <w:t xml:space="preserve">ational </w:t>
      </w:r>
      <w:r w:rsidR="00657346">
        <w:t>E</w:t>
      </w:r>
      <w:r>
        <w:t xml:space="preserve">fficient </w:t>
      </w:r>
      <w:r w:rsidR="00657346">
        <w:t>C</w:t>
      </w:r>
      <w:r>
        <w:t xml:space="preserve">ost </w:t>
      </w:r>
      <w:r w:rsidR="00657346">
        <w:t>D</w:t>
      </w:r>
      <w:r>
        <w:t xml:space="preserve">etermination, with jurisdictions advising IHACPA of their community mental health care expenditure each year. Introducing ABF for community mental health care </w:t>
      </w:r>
      <w:r w:rsidR="00E3081F">
        <w:t>aims</w:t>
      </w:r>
      <w:r>
        <w:t xml:space="preserve"> to improve the transparency of funding and alignment to the Pricing Guidelines by enabling funding to be based directly on the volume and type of care provided to consumers.</w:t>
      </w:r>
    </w:p>
    <w:p w14:paraId="4CA7CAFC" w14:textId="77777777" w:rsidR="00436C72" w:rsidRDefault="00436C72" w:rsidP="00513DB0">
      <w:pPr>
        <w:pStyle w:val="Body"/>
      </w:pPr>
      <w:r>
        <w:t>IHACPA shadow priced community mental health care services using AMHCC</w:t>
      </w:r>
      <w:r w:rsidRPr="00563FB0">
        <w:t xml:space="preserve"> </w:t>
      </w:r>
      <w:r>
        <w:t xml:space="preserve">Version 1.0 as part of the </w:t>
      </w:r>
      <w:r w:rsidRPr="006271FA">
        <w:t>NEP Determination 2021</w:t>
      </w:r>
      <w:r w:rsidRPr="006271FA">
        <w:rPr>
          <w:color w:val="000000" w:themeColor="text1"/>
        </w:rPr>
        <w:t>–</w:t>
      </w:r>
      <w:r w:rsidRPr="006271FA">
        <w:t>22</w:t>
      </w:r>
      <w:r>
        <w:t xml:space="preserve"> and NEP22. </w:t>
      </w:r>
    </w:p>
    <w:p w14:paraId="5C22FF62" w14:textId="511812EC" w:rsidR="00436C72" w:rsidRPr="00E9663D" w:rsidRDefault="00436C72" w:rsidP="00513DB0">
      <w:pPr>
        <w:pStyle w:val="Body"/>
      </w:pPr>
      <w:r>
        <w:t xml:space="preserve">IHACPA undertook a third year of shadow pricing for </w:t>
      </w:r>
      <w:r w:rsidR="00657346">
        <w:t xml:space="preserve">community mental health care for </w:t>
      </w:r>
      <w:r>
        <w:t xml:space="preserve">NEP23 to better </w:t>
      </w:r>
      <w:r w:rsidRPr="004957FE">
        <w:t xml:space="preserve">understand the composition of current community mental health </w:t>
      </w:r>
      <w:r w:rsidR="00657346">
        <w:t xml:space="preserve">care </w:t>
      </w:r>
      <w:r w:rsidRPr="004957FE">
        <w:t>block funding amounts</w:t>
      </w:r>
      <w:r>
        <w:t xml:space="preserve"> and to accurately assess </w:t>
      </w:r>
      <w:r w:rsidRPr="00E9663D">
        <w:t>the funding impact of transitioning from block funding to ABF</w:t>
      </w:r>
      <w:r>
        <w:t xml:space="preserve">. </w:t>
      </w:r>
      <w:r>
        <w:lastRenderedPageBreak/>
        <w:t xml:space="preserve">This information will </w:t>
      </w:r>
      <w:r w:rsidRPr="00E9663D">
        <w:t xml:space="preserve">enable IHACPA to compare block funding and ABF outcomes more directly and facilitate </w:t>
      </w:r>
      <w:r w:rsidR="00F617B5">
        <w:t xml:space="preserve">the </w:t>
      </w:r>
      <w:r>
        <w:t>refinement of</w:t>
      </w:r>
      <w:r w:rsidRPr="00E9663D">
        <w:t xml:space="preserve"> arrangements </w:t>
      </w:r>
      <w:r>
        <w:t xml:space="preserve">to support </w:t>
      </w:r>
      <w:r w:rsidRPr="004957FE">
        <w:t xml:space="preserve">the </w:t>
      </w:r>
      <w:r w:rsidRPr="00E9663D">
        <w:t xml:space="preserve">transition to ABF </w:t>
      </w:r>
      <w:r w:rsidRPr="005108DD">
        <w:t>and</w:t>
      </w:r>
      <w:r w:rsidRPr="00E9663D">
        <w:t xml:space="preserve"> </w:t>
      </w:r>
      <w:r>
        <w:t>promote</w:t>
      </w:r>
      <w:r w:rsidRPr="00E9663D">
        <w:t xml:space="preserve"> </w:t>
      </w:r>
      <w:r>
        <w:t>funding stability</w:t>
      </w:r>
      <w:r w:rsidRPr="00E9663D">
        <w:t>.</w:t>
      </w:r>
    </w:p>
    <w:p w14:paraId="45AC4AA3" w14:textId="62B3BFFE" w:rsidR="00436C72" w:rsidRDefault="00436C72" w:rsidP="00513DB0">
      <w:pPr>
        <w:pStyle w:val="Body"/>
      </w:pPr>
      <w:r w:rsidRPr="0075304B">
        <w:t xml:space="preserve">IHACPA </w:t>
      </w:r>
      <w:r w:rsidR="00657346">
        <w:t>will</w:t>
      </w:r>
      <w:r w:rsidR="00292F54">
        <w:t xml:space="preserve"> </w:t>
      </w:r>
      <w:r w:rsidRPr="0075304B">
        <w:t>consult with jurisdictions, the National Health Funding Body and the Administrator o</w:t>
      </w:r>
      <w:r w:rsidR="00292F54">
        <w:t>f</w:t>
      </w:r>
      <w:r w:rsidRPr="0075304B">
        <w:t xml:space="preserve"> the National Health Funding Pool to develop arrangements to support the transition from block funding to ABF for community mental health care services, including strategies to mitigate any identified funding risks. </w:t>
      </w:r>
    </w:p>
    <w:p w14:paraId="7DB8289A" w14:textId="62069DA7" w:rsidR="00436C72" w:rsidRPr="00DE7832" w:rsidRDefault="00436C72" w:rsidP="00436C72">
      <w:pPr>
        <w:pStyle w:val="Body"/>
      </w:pPr>
      <w:r>
        <w:t>Based on this</w:t>
      </w:r>
      <w:r w:rsidR="00657346">
        <w:t xml:space="preserve"> transition</w:t>
      </w:r>
      <w:r>
        <w:t xml:space="preserve"> plan, IHACPA proposes to price community mental health care services using AMHCC Version 1.0</w:t>
      </w:r>
      <w:r w:rsidR="00657346">
        <w:t xml:space="preserve"> for NEP24,</w:t>
      </w:r>
      <w:r>
        <w:t xml:space="preserve"> following three years of shadow pricing. </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Following three years of shadow pricing and the development of risk mitigation strategies to support the transition to ABF, are there any significant barriers to pricing community mental health care using AMHCC Version 1.0 for NEP24?&#10;Are there any other measures that will assist in transitioning community mental health care from block funding to ABF for NEP24?"/>
      </w:tblPr>
      <w:tblGrid>
        <w:gridCol w:w="4149"/>
      </w:tblGrid>
      <w:tr w:rsidR="009B0866" w:rsidRPr="006746C9" w14:paraId="7EF674D7" w14:textId="77777777" w:rsidTr="0068672F">
        <w:trPr>
          <w:trHeight w:val="1852"/>
          <w:jc w:val="center"/>
        </w:trPr>
        <w:tc>
          <w:tcPr>
            <w:tcW w:w="5000" w:type="pct"/>
            <w:tcBorders>
              <w:left w:val="nil"/>
            </w:tcBorders>
            <w:shd w:val="clear" w:color="auto" w:fill="E6F4F9"/>
          </w:tcPr>
          <w:p w14:paraId="79585F8A" w14:textId="77777777" w:rsidR="009B0866" w:rsidRPr="006746C9" w:rsidRDefault="009B0866" w:rsidP="0068672F">
            <w:pPr>
              <w:pStyle w:val="Heading4"/>
              <w:spacing w:line="360" w:lineRule="auto"/>
              <w:outlineLvl w:val="3"/>
              <w:rPr>
                <w:color w:val="000000" w:themeColor="text1"/>
              </w:rPr>
            </w:pPr>
            <w:bookmarkStart w:id="37" w:name="_Hlk131666913"/>
            <w:r w:rsidRPr="006746C9">
              <w:rPr>
                <w:noProof/>
                <w:color w:val="000000" w:themeColor="text1"/>
              </w:rPr>
              <w:drawing>
                <wp:anchor distT="0" distB="0" distL="114300" distR="114300" simplePos="0" relativeHeight="251835392" behindDoc="0" locked="0" layoutInCell="1" allowOverlap="1" wp14:anchorId="719C930C" wp14:editId="1EC23882">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08"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724DFBD0" w14:textId="1A499786" w:rsidR="00657346" w:rsidRPr="003F2F29" w:rsidRDefault="00657346" w:rsidP="00657346">
            <w:pPr>
              <w:pStyle w:val="Bullets"/>
            </w:pPr>
            <w:r w:rsidRPr="005108DD">
              <w:t xml:space="preserve">Following three years of shadow pricing and the development of risk mitigation strategies to support the transition to ABF, </w:t>
            </w:r>
            <w:r w:rsidRPr="003F2F29">
              <w:t>are there any significant barriers to pricing community mental health care using AMHCC Version 1.0 for NEP2</w:t>
            </w:r>
            <w:r>
              <w:t>4</w:t>
            </w:r>
            <w:r w:rsidRPr="003F2F29">
              <w:t>?</w:t>
            </w:r>
          </w:p>
          <w:p w14:paraId="71C07286" w14:textId="77777777" w:rsidR="009B0866" w:rsidRPr="006746C9" w:rsidRDefault="009B0866" w:rsidP="0068672F">
            <w:pPr>
              <w:pStyle w:val="Bullets"/>
            </w:pPr>
            <w:r w:rsidRPr="003F2F29">
              <w:t>Are there any other measures that will assist in transitioning community mental health care from block funding to ABF for NEP24?</w:t>
            </w:r>
          </w:p>
        </w:tc>
      </w:tr>
    </w:tbl>
    <w:p w14:paraId="4FED472D" w14:textId="6C96F78D" w:rsidR="009B0866" w:rsidRDefault="00C17D94" w:rsidP="009B0866">
      <w:pPr>
        <w:pStyle w:val="Heading2"/>
        <w:spacing w:before="240"/>
      </w:pPr>
      <w:bookmarkStart w:id="38" w:name="_Toc132118421"/>
      <w:bookmarkStart w:id="39" w:name="_Toc135043513"/>
      <w:bookmarkEnd w:id="37"/>
      <w:r>
        <w:br w:type="column"/>
      </w:r>
      <w:r w:rsidR="003F0B5B">
        <w:t>3</w:t>
      </w:r>
      <w:r w:rsidR="009B0866">
        <w:t>.6 Teaching and training</w:t>
      </w:r>
      <w:bookmarkEnd w:id="38"/>
      <w:bookmarkEnd w:id="39"/>
    </w:p>
    <w:p w14:paraId="5CD078EA" w14:textId="77777777" w:rsidR="009B0866" w:rsidRDefault="009B0866" w:rsidP="009B0866">
      <w:pPr>
        <w:pStyle w:val="Body"/>
      </w:pPr>
      <w:r>
        <w:t>Teaching and training activities represent an important aspect of the public hospital system alongside the provision of care to patients. However, the components required for ABF are not currently available to enable these activities to be priced. As a result, these activities are currently block funded, except where teaching and training is delivered in conjunction with patient care (embedded teaching and training), such as ward rounds. These costs are reported as part of routine care and the costs are reflected in the ABF price.</w:t>
      </w:r>
    </w:p>
    <w:p w14:paraId="3E5DE5A9" w14:textId="0908DDA3" w:rsidR="00436C72" w:rsidRDefault="009B0866" w:rsidP="00436C72">
      <w:pPr>
        <w:pStyle w:val="Body"/>
      </w:pPr>
      <w:r>
        <w:t xml:space="preserve">IHACPA has developed the Australian Teaching and Training Classification (ATTC) as a national classification for teaching and training activities </w:t>
      </w:r>
      <w:r w:rsidR="009112EB">
        <w:t xml:space="preserve">that </w:t>
      </w:r>
      <w:r>
        <w:t>occur in public hospitals. The ATTC aims to provide a nationally consistent approach to how teaching and training activities are classified, counted and costed.</w:t>
      </w:r>
      <w:r w:rsidRPr="003E012E">
        <w:t xml:space="preserve"> </w:t>
      </w:r>
    </w:p>
    <w:p w14:paraId="33406102" w14:textId="342B771B" w:rsidR="00436C72" w:rsidRDefault="00436C72" w:rsidP="00436C72">
      <w:pPr>
        <w:pStyle w:val="Body"/>
      </w:pPr>
      <w:r>
        <w:t>For NEP24, IHACPA will continue to determine block funding amounts for teaching, training and research activity based on advice from states and</w:t>
      </w:r>
      <w:r w:rsidR="00657346">
        <w:t xml:space="preserve"> </w:t>
      </w:r>
      <w:r>
        <w:t xml:space="preserve">territories and will continue to work with stakeholders to improve </w:t>
      </w:r>
      <w:r w:rsidR="00657346">
        <w:t xml:space="preserve">the </w:t>
      </w:r>
      <w:r w:rsidR="00657346" w:rsidRPr="00BF3982">
        <w:t>volume and quality of activity and cost data being reported</w:t>
      </w:r>
      <w:r>
        <w:t>.</w:t>
      </w:r>
    </w:p>
    <w:p w14:paraId="6BC78A9D" w14:textId="47D650AF" w:rsidR="0055477F" w:rsidRDefault="0055477F" w:rsidP="00436C72">
      <w:pPr>
        <w:pStyle w:val="Body"/>
        <w:sectPr w:rsidR="0055477F" w:rsidSect="00AD603F">
          <w:headerReference w:type="default" r:id="rId49"/>
          <w:type w:val="continuous"/>
          <w:pgSz w:w="11906" w:h="16838" w:code="9"/>
          <w:pgMar w:top="1440" w:right="1440" w:bottom="1440" w:left="1440" w:header="708" w:footer="708" w:gutter="0"/>
          <w:cols w:num="2" w:space="708"/>
          <w:docGrid w:linePitch="360"/>
        </w:sectPr>
      </w:pPr>
      <w:r>
        <w:br w:type="page"/>
      </w:r>
    </w:p>
    <w:p w14:paraId="076C8A96" w14:textId="489ABDA7" w:rsidR="0055477F" w:rsidRPr="005107C4" w:rsidRDefault="003F0B5B" w:rsidP="006B19D6">
      <w:pPr>
        <w:pStyle w:val="ChapterNumber"/>
        <w:spacing w:before="600"/>
        <w:jc w:val="left"/>
        <w:rPr>
          <w:color w:val="15272F" w:themeColor="accent3"/>
        </w:rPr>
      </w:pPr>
      <w:r>
        <w:rPr>
          <w:color w:val="15272F" w:themeColor="accent3"/>
        </w:rPr>
        <w:lastRenderedPageBreak/>
        <w:t>4</w:t>
      </w:r>
    </w:p>
    <w:p w14:paraId="6A0D5CC7" w14:textId="20C26660" w:rsidR="0055477F" w:rsidRPr="005107C4" w:rsidRDefault="00D05D0A" w:rsidP="00D05D0A">
      <w:pPr>
        <w:pStyle w:val="Heading-Sectionstart"/>
        <w:ind w:right="686"/>
      </w:pPr>
      <w:bookmarkStart w:id="40" w:name="_Toc135043514"/>
      <w:r>
        <w:t>Setting the national efficient price</w:t>
      </w:r>
      <w:bookmarkEnd w:id="40"/>
    </w:p>
    <w:p w14:paraId="1DAD38A7" w14:textId="77777777" w:rsidR="0055477F" w:rsidRDefault="0055477F" w:rsidP="0055477F">
      <w:pPr>
        <w:pStyle w:val="Body"/>
        <w:sectPr w:rsidR="0055477F" w:rsidSect="00D05D0A">
          <w:headerReference w:type="default" r:id="rId50"/>
          <w:footerReference w:type="default" r:id="rId51"/>
          <w:pgSz w:w="11906" w:h="16838" w:code="9"/>
          <w:pgMar w:top="851" w:right="4818" w:bottom="1440" w:left="1440" w:header="708" w:footer="708" w:gutter="0"/>
          <w:cols w:space="708"/>
          <w:docGrid w:linePitch="360"/>
        </w:sectPr>
      </w:pPr>
    </w:p>
    <w:p w14:paraId="196329E6" w14:textId="77777777" w:rsidR="0055477F" w:rsidRDefault="0055477F" w:rsidP="0055477F">
      <w:pPr>
        <w:pStyle w:val="Body"/>
        <w:sectPr w:rsidR="0055477F" w:rsidSect="00F4029B">
          <w:headerReference w:type="default" r:id="rId52"/>
          <w:footerReference w:type="default" r:id="rId53"/>
          <w:pgSz w:w="11906" w:h="16838" w:code="9"/>
          <w:pgMar w:top="2410" w:right="1440" w:bottom="1440" w:left="1440" w:header="568" w:footer="708" w:gutter="0"/>
          <w:cols w:space="708"/>
          <w:docGrid w:linePitch="360"/>
        </w:sectPr>
      </w:pPr>
    </w:p>
    <w:p w14:paraId="096C9187" w14:textId="51264DAC" w:rsidR="003E4723" w:rsidRDefault="003E4723" w:rsidP="003E4723">
      <w:pPr>
        <w:pStyle w:val="Body"/>
      </w:pPr>
      <w:r w:rsidRPr="00D645CA">
        <w:t>The Addendum to the National Health Reform</w:t>
      </w:r>
      <w:r>
        <w:t xml:space="preserve"> </w:t>
      </w:r>
      <w:r w:rsidRPr="00D645CA">
        <w:t>Agreement 2020–25 (the Addendum) specifies</w:t>
      </w:r>
      <w:r>
        <w:t xml:space="preserve"> </w:t>
      </w:r>
      <w:r w:rsidRPr="00D645CA">
        <w:t xml:space="preserve">that one of the Independent </w:t>
      </w:r>
      <w:r>
        <w:t>Health and Aged Care</w:t>
      </w:r>
      <w:r w:rsidRPr="00D645CA">
        <w:t xml:space="preserve"> Pricing</w:t>
      </w:r>
      <w:r>
        <w:t xml:space="preserve"> </w:t>
      </w:r>
      <w:r w:rsidRPr="00D645CA">
        <w:t>Authority’s (IH</w:t>
      </w:r>
      <w:r>
        <w:t>AC</w:t>
      </w:r>
      <w:r w:rsidRPr="00D645CA">
        <w:t>PA</w:t>
      </w:r>
      <w:r w:rsidR="009112EB">
        <w:t>’s</w:t>
      </w:r>
      <w:r w:rsidRPr="00D645CA">
        <w:t xml:space="preserve">) </w:t>
      </w:r>
      <w:r w:rsidR="00500515">
        <w:t xml:space="preserve">primary </w:t>
      </w:r>
      <w:r w:rsidRPr="00D645CA">
        <w:t xml:space="preserve">functions </w:t>
      </w:r>
      <w:r w:rsidR="009112EB">
        <w:t>is</w:t>
      </w:r>
      <w:r w:rsidR="009112EB" w:rsidRPr="00D645CA">
        <w:t xml:space="preserve"> </w:t>
      </w:r>
      <w:r w:rsidRPr="00D645CA">
        <w:t>to</w:t>
      </w:r>
      <w:r>
        <w:t xml:space="preserve"> </w:t>
      </w:r>
      <w:r w:rsidRPr="00D645CA">
        <w:t>determine the national efficient price (NEP) for</w:t>
      </w:r>
      <w:r>
        <w:t xml:space="preserve"> </w:t>
      </w:r>
      <w:r w:rsidRPr="00D645CA">
        <w:t>services provided on an activity basis in</w:t>
      </w:r>
      <w:r>
        <w:t xml:space="preserve"> A</w:t>
      </w:r>
      <w:r w:rsidRPr="00D645CA">
        <w:t>ustralian public hospitals.</w:t>
      </w:r>
      <w:r>
        <w:t xml:space="preserve"> </w:t>
      </w:r>
    </w:p>
    <w:p w14:paraId="251794DA" w14:textId="01878F96" w:rsidR="003E4723" w:rsidRDefault="00AA47ED" w:rsidP="003E4723">
      <w:pPr>
        <w:pStyle w:val="Body"/>
      </w:pPr>
      <w:r>
        <w:t xml:space="preserve">Coronavirus disease 2019 (COVID-19) has resulted in significant changes to models of care and service delivery in Australian public hospitals. </w:t>
      </w:r>
      <w:r w:rsidR="003E4723" w:rsidRPr="00D645CA">
        <w:t xml:space="preserve">The </w:t>
      </w:r>
      <w:r w:rsidR="003E4723" w:rsidRPr="0075304B">
        <w:rPr>
          <w:i/>
          <w:iCs/>
        </w:rPr>
        <w:t>Pricing Framework for Australian Public Hospital Services 2023–24</w:t>
      </w:r>
      <w:r w:rsidR="003E4723" w:rsidRPr="00D645CA">
        <w:t xml:space="preserve"> noted that</w:t>
      </w:r>
      <w:r w:rsidR="003E4723">
        <w:t xml:space="preserve"> </w:t>
      </w:r>
      <w:r>
        <w:t xml:space="preserve">due to </w:t>
      </w:r>
      <w:r w:rsidR="003E4723">
        <w:t xml:space="preserve">instability introduced into activity and cost data during 2019–20, 2020–21 and 2021–22 </w:t>
      </w:r>
      <w:r>
        <w:t>as a result of the</w:t>
      </w:r>
      <w:r w:rsidR="003E4723">
        <w:t xml:space="preserve"> COVID-19</w:t>
      </w:r>
      <w:r>
        <w:t xml:space="preserve"> pandemic response,</w:t>
      </w:r>
      <w:r w:rsidRPr="00AA47ED">
        <w:t xml:space="preserve"> </w:t>
      </w:r>
      <w:r>
        <w:t xml:space="preserve">IHACPA deferred further consideration of developing new adjustments or reviewing existing adjustments to future NEP Determinations and </w:t>
      </w:r>
      <w:r w:rsidR="003E4723" w:rsidRPr="00D645CA">
        <w:t>prioritised the</w:t>
      </w:r>
      <w:r w:rsidR="003E4723">
        <w:t xml:space="preserve"> </w:t>
      </w:r>
      <w:r w:rsidR="003E4723" w:rsidRPr="00D645CA">
        <w:t>investigation of refinements to the pricing model</w:t>
      </w:r>
      <w:r w:rsidR="003E4723">
        <w:t xml:space="preserve"> </w:t>
      </w:r>
      <w:r w:rsidR="003E4723" w:rsidRPr="00D645CA">
        <w:t>to account for COVID-19 in the development of</w:t>
      </w:r>
      <w:r w:rsidR="003E4723">
        <w:t xml:space="preserve"> </w:t>
      </w:r>
      <w:r w:rsidR="003E4723" w:rsidRPr="00D645CA">
        <w:t xml:space="preserve">the </w:t>
      </w:r>
      <w:r w:rsidR="003E4723" w:rsidRPr="00306EDB">
        <w:rPr>
          <w:i/>
          <w:iCs/>
        </w:rPr>
        <w:t>NEP Determination 2023–24</w:t>
      </w:r>
      <w:r w:rsidR="003E4723" w:rsidRPr="007B466C">
        <w:t xml:space="preserve"> (NEP2</w:t>
      </w:r>
      <w:r w:rsidR="003E4723" w:rsidRPr="00D417D1">
        <w:t>3</w:t>
      </w:r>
      <w:r w:rsidR="003E4723" w:rsidRPr="00F70320">
        <w:t xml:space="preserve">). </w:t>
      </w:r>
    </w:p>
    <w:p w14:paraId="01629AD7" w14:textId="779898A7" w:rsidR="00AA47ED" w:rsidRDefault="00AA47ED" w:rsidP="003E4723">
      <w:pPr>
        <w:pStyle w:val="Body"/>
      </w:pPr>
      <w:r>
        <w:t xml:space="preserve">For the development of the </w:t>
      </w:r>
      <w:r w:rsidRPr="006271FA">
        <w:t>NEP Determination 2024–25</w:t>
      </w:r>
      <w:r w:rsidRPr="00636829">
        <w:rPr>
          <w:i/>
          <w:iCs/>
        </w:rPr>
        <w:t xml:space="preserve"> </w:t>
      </w:r>
      <w:r>
        <w:t xml:space="preserve">(NEP24), assessment of the impact of COVID-19 on activity and cost data and any sustained changes in service delivery and models of care is important, to ensure such changes are adequately accounted for in the national pricing model. </w:t>
      </w:r>
    </w:p>
    <w:p w14:paraId="7F73BEB5" w14:textId="5694EFA4" w:rsidR="00825598" w:rsidRDefault="003F0B5B" w:rsidP="00825598">
      <w:pPr>
        <w:pStyle w:val="Heading2"/>
        <w:spacing w:before="240"/>
      </w:pPr>
      <w:bookmarkStart w:id="41" w:name="_Toc135043515"/>
      <w:bookmarkStart w:id="42" w:name="_Toc133232574"/>
      <w:r>
        <w:t>4</w:t>
      </w:r>
      <w:r w:rsidR="00825598">
        <w:t>.1 Impact of COVID-19</w:t>
      </w:r>
      <w:bookmarkEnd w:id="41"/>
    </w:p>
    <w:p w14:paraId="34A49867" w14:textId="5703D4B5" w:rsidR="00825598" w:rsidRPr="00B37648" w:rsidRDefault="003F0B5B" w:rsidP="00825598">
      <w:pPr>
        <w:pStyle w:val="Heading3"/>
      </w:pPr>
      <w:r>
        <w:t>4</w:t>
      </w:r>
      <w:r w:rsidR="00825598">
        <w:t xml:space="preserve">.1.1 </w:t>
      </w:r>
      <w:r w:rsidR="00825598" w:rsidRPr="00B37648">
        <w:t>Impact of COVID-19 on NEP23</w:t>
      </w:r>
    </w:p>
    <w:p w14:paraId="297787C7" w14:textId="13366038" w:rsidR="00825598" w:rsidRDefault="00825598" w:rsidP="00825598">
      <w:pPr>
        <w:pStyle w:val="Body"/>
      </w:pPr>
      <w:r>
        <w:t xml:space="preserve">The data underpinning a NEP Determination has a three-year time lag. NEP23 used costed activity data from 2020–21 which </w:t>
      </w:r>
      <w:r w:rsidR="003014E0">
        <w:t xml:space="preserve">was the first full financial year of </w:t>
      </w:r>
      <w:r>
        <w:t>data impacted by the COVID-19 pandemic response.</w:t>
      </w:r>
    </w:p>
    <w:p w14:paraId="69A0A765" w14:textId="2329EDD8" w:rsidR="00825598" w:rsidRDefault="00825598" w:rsidP="00825598">
      <w:pPr>
        <w:pStyle w:val="Body"/>
      </w:pPr>
      <w:r>
        <w:t>IHACPA’s analysis indicated that at a national level in 2020–21, activity across all care streams except for the admitted acute stream returned to a level that was not significantly different from pre-COVID</w:t>
      </w:r>
      <w:r w:rsidR="00BE55A4">
        <w:noBreakHyphen/>
      </w:r>
      <w:r>
        <w:t>19 trends. However, at the jurisdictional level, activity in Victoria in the admitted acute stream was below trend, with substantially higher costs in 2020–21 in comparison to historical trends.</w:t>
      </w:r>
    </w:p>
    <w:p w14:paraId="5342C02E" w14:textId="77777777" w:rsidR="00825598" w:rsidRDefault="00825598" w:rsidP="00825598">
      <w:pPr>
        <w:pStyle w:val="Body"/>
      </w:pPr>
      <w:r>
        <w:t>IHACPA also acknowledged that, due to its evolving nature, it was not possible to definitively account for the ongoing impact that COVID-19 may have on hospital service delivery and costs in 2023–24.</w:t>
      </w:r>
    </w:p>
    <w:p w14:paraId="42D39388" w14:textId="77777777" w:rsidR="00825598" w:rsidRDefault="00825598" w:rsidP="00825598">
      <w:pPr>
        <w:pStyle w:val="Body"/>
      </w:pPr>
      <w:r>
        <w:t>Based on these considerations, IHACPA undertook the following approach to account for the impact of COVID-19 in developing NEP23:</w:t>
      </w:r>
    </w:p>
    <w:p w14:paraId="49CF94AF" w14:textId="77777777" w:rsidR="00825598" w:rsidRDefault="00825598" w:rsidP="00825598">
      <w:pPr>
        <w:pStyle w:val="Bullets"/>
      </w:pPr>
      <w:r>
        <w:t>modification of admitted acute activity and cost data in Victoria during the lockdown period from August to October 2020 to approximate the volume of services that would have been delivered without the impact of COVID-19</w:t>
      </w:r>
    </w:p>
    <w:p w14:paraId="3B87D3F8" w14:textId="77777777" w:rsidR="00825598" w:rsidRDefault="00825598" w:rsidP="00825598">
      <w:pPr>
        <w:pStyle w:val="Bullets"/>
      </w:pPr>
      <w:r>
        <w:t xml:space="preserve">application of a set of assumptions underpinning NEP23 </w:t>
      </w:r>
    </w:p>
    <w:p w14:paraId="64DB9520" w14:textId="3CAC3CBB" w:rsidR="00825598" w:rsidRPr="007F4170" w:rsidRDefault="00825598" w:rsidP="00825598">
      <w:pPr>
        <w:pStyle w:val="Bullets"/>
        <w:rPr>
          <w:rStyle w:val="HyperlinktextChar"/>
          <w:i/>
          <w:iCs/>
        </w:rPr>
      </w:pPr>
      <w:r>
        <w:t xml:space="preserve">exemption of three end-classes from the </w:t>
      </w:r>
      <w:hyperlink r:id="rId54" w:history="1">
        <w:r w:rsidRPr="00912B82">
          <w:rPr>
            <w:rStyle w:val="HyperlinktextChar"/>
            <w:i/>
            <w:iCs/>
          </w:rPr>
          <w:t>National Pricing Model Stability Policy</w:t>
        </w:r>
      </w:hyperlink>
    </w:p>
    <w:p w14:paraId="56F4EA21" w14:textId="77777777" w:rsidR="00825598" w:rsidRPr="00B37648" w:rsidRDefault="00825598" w:rsidP="00825598">
      <w:pPr>
        <w:pStyle w:val="Bullets"/>
      </w:pPr>
      <w:r w:rsidRPr="00B37648">
        <w:t>development and application of the COVID-19 treatment adjustment to address the legitimate and unavoidable cost variations associated with treating patients for COVID-19.</w:t>
      </w:r>
    </w:p>
    <w:p w14:paraId="0CC6D759" w14:textId="3897A83A" w:rsidR="00825598" w:rsidRPr="00B37648" w:rsidRDefault="003F0B5B" w:rsidP="00825598">
      <w:pPr>
        <w:pStyle w:val="Heading3"/>
      </w:pPr>
      <w:r>
        <w:t>4</w:t>
      </w:r>
      <w:r w:rsidR="00825598">
        <w:t xml:space="preserve">.1.2 </w:t>
      </w:r>
      <w:r w:rsidR="00825598" w:rsidRPr="00B37648">
        <w:t>Plan to assess the impact of COVID-19 on NEP24</w:t>
      </w:r>
    </w:p>
    <w:p w14:paraId="43401F43" w14:textId="1BF195FC" w:rsidR="00825598" w:rsidRDefault="00825598" w:rsidP="00825598">
      <w:pPr>
        <w:pStyle w:val="Body"/>
      </w:pPr>
      <w:r>
        <w:t xml:space="preserve">The development of the NEP24 will use 2021–22 costed activity data, which will also represent a full financial year of activity that has been impacted by the COVID-19 pandemic response. </w:t>
      </w:r>
    </w:p>
    <w:p w14:paraId="0DFC3472" w14:textId="3A817D5B" w:rsidR="00825598" w:rsidRDefault="00825598" w:rsidP="00825598">
      <w:pPr>
        <w:pStyle w:val="Body"/>
      </w:pPr>
      <w:r>
        <w:t xml:space="preserve">IHACPA intends to analyse the impact of COVID-19 on the available data to determine whether modification of data impacted by the COVID-19 </w:t>
      </w:r>
      <w:r w:rsidR="00CA4C89">
        <w:t xml:space="preserve">pandemic </w:t>
      </w:r>
      <w:r>
        <w:t>response, development of assumptions or retention of the COVID-19 treatment adjustment are required for the development of NEP24.</w:t>
      </w:r>
    </w:p>
    <w:p w14:paraId="1F74AA7F" w14:textId="605425AD" w:rsidR="00825598" w:rsidRDefault="00825598" w:rsidP="00825598">
      <w:pPr>
        <w:pStyle w:val="Body"/>
      </w:pPr>
      <w:r>
        <w:t xml:space="preserve">IHACPA also intends to monitor the backlog of elective surgery and other deferred </w:t>
      </w:r>
      <w:r w:rsidR="00E3081F">
        <w:t xml:space="preserve">care </w:t>
      </w:r>
      <w:r>
        <w:t>to understand the impacts of these changes on activity and cost data.</w:t>
      </w:r>
    </w:p>
    <w:p w14:paraId="59BD7CA3" w14:textId="4FAFE8F4" w:rsidR="00825598" w:rsidRDefault="00500515" w:rsidP="00825598">
      <w:pPr>
        <w:pStyle w:val="Heading3"/>
      </w:pPr>
      <w:r>
        <w:br w:type="column"/>
      </w:r>
      <w:r w:rsidR="003F0B5B">
        <w:lastRenderedPageBreak/>
        <w:t>4</w:t>
      </w:r>
      <w:r w:rsidR="00825598">
        <w:t>.1.3 Review of the COVID-19 treatment adjustment</w:t>
      </w:r>
    </w:p>
    <w:p w14:paraId="55636363" w14:textId="1B03F5BA" w:rsidR="00825598" w:rsidRDefault="00825598" w:rsidP="00825598">
      <w:pPr>
        <w:pStyle w:val="Body"/>
      </w:pPr>
      <w:r>
        <w:t xml:space="preserve">In response to the observed clinical impacts of COVID-19 on cost and activity data, IHACPA introduced a COVID-19 treatment adjustment in NEP23. This adjustment aimed to recognise and account for the increased length of stay and associated cost of care for COVID-19 patients within certain AR-DRGs, compared to patients who did not have COVID-19. </w:t>
      </w:r>
      <w:r w:rsidR="009B2A7F">
        <w:t xml:space="preserve">A list of these AR-DRGs is available in Appendix P of the </w:t>
      </w:r>
      <w:hyperlink r:id="rId55" w:history="1">
        <w:r w:rsidR="009B2A7F" w:rsidRPr="00E252F3">
          <w:rPr>
            <w:rStyle w:val="HyperlinktextChar"/>
            <w:i/>
            <w:iCs/>
          </w:rPr>
          <w:t>NEP Determination 2023–24</w:t>
        </w:r>
      </w:hyperlink>
      <w:r w:rsidR="009B2A7F">
        <w:t>.</w:t>
      </w:r>
    </w:p>
    <w:p w14:paraId="60E8B590" w14:textId="5918A37D" w:rsidR="00825598" w:rsidRPr="00B101EA" w:rsidRDefault="00825598" w:rsidP="00825598">
      <w:pPr>
        <w:pStyle w:val="Body"/>
      </w:pPr>
      <w:r>
        <w:t xml:space="preserve">For NEP24, IHACPA will review the cost and activity data for 2021–22, as well as clinical advice on the current management and effects of </w:t>
      </w:r>
      <w:r w:rsidR="005C01C4">
        <w:br/>
      </w:r>
      <w:r>
        <w:t xml:space="preserve">COVID-19 on care and length of stay, to investigate whether the COVID-19 treatment adjustment is still required. </w:t>
      </w:r>
    </w:p>
    <w:p w14:paraId="5A8A4507" w14:textId="27353022" w:rsidR="00825598" w:rsidRPr="00B37648" w:rsidRDefault="003F0B5B" w:rsidP="00825598">
      <w:pPr>
        <w:pStyle w:val="Heading3"/>
      </w:pPr>
      <w:r>
        <w:t>4</w:t>
      </w:r>
      <w:r w:rsidR="00825598">
        <w:t xml:space="preserve">.1.4 </w:t>
      </w:r>
      <w:r w:rsidR="00825598" w:rsidRPr="00B37648">
        <w:t xml:space="preserve">Review of the </w:t>
      </w:r>
      <w:r w:rsidR="00825598" w:rsidRPr="00163849">
        <w:t xml:space="preserve">COVID-19 </w:t>
      </w:r>
      <w:r w:rsidR="00500515">
        <w:t>R</w:t>
      </w:r>
      <w:r w:rsidR="00825598" w:rsidRPr="00163849">
        <w:t xml:space="preserve">esponse </w:t>
      </w:r>
      <w:r w:rsidR="00CC7C08">
        <w:t>—</w:t>
      </w:r>
      <w:r w:rsidR="00825598" w:rsidRPr="00163849">
        <w:t xml:space="preserve"> </w:t>
      </w:r>
      <w:r w:rsidR="00500515">
        <w:t>C</w:t>
      </w:r>
      <w:r w:rsidR="00825598" w:rsidRPr="00163849">
        <w:t xml:space="preserve">osting and </w:t>
      </w:r>
      <w:r w:rsidR="00500515">
        <w:t>P</w:t>
      </w:r>
      <w:r w:rsidR="00825598" w:rsidRPr="00163849">
        <w:t xml:space="preserve">ricing </w:t>
      </w:r>
      <w:r w:rsidR="00500515">
        <w:t>G</w:t>
      </w:r>
      <w:r w:rsidR="00825598" w:rsidRPr="00163849">
        <w:t>uidelines</w:t>
      </w:r>
    </w:p>
    <w:p w14:paraId="05871715" w14:textId="77777777" w:rsidR="00825598" w:rsidRDefault="00825598" w:rsidP="00825598">
      <w:pPr>
        <w:pStyle w:val="Body"/>
      </w:pPr>
      <w:r>
        <w:t xml:space="preserve">In 2020, IHACPA published the </w:t>
      </w:r>
      <w:hyperlink r:id="rId56" w:history="1">
        <w:r w:rsidRPr="00B90848">
          <w:rPr>
            <w:rStyle w:val="HyperlinktextChar"/>
            <w:i/>
            <w:iCs/>
          </w:rPr>
          <w:t>COVID-19 Response – Costing and Pricing Guidelines</w:t>
        </w:r>
      </w:hyperlink>
      <w:r>
        <w:t xml:space="preserve">, to </w:t>
      </w:r>
      <w:bookmarkStart w:id="43" w:name="_Hlk133573014"/>
      <w:r>
        <w:t xml:space="preserve">specify IHACPA’s process for the costing and pricing of activity for the duration of the </w:t>
      </w:r>
      <w:r w:rsidRPr="009D079B">
        <w:rPr>
          <w:i/>
          <w:iCs/>
        </w:rPr>
        <w:t>National Partnership on COVID-19 Response Agreement</w:t>
      </w:r>
      <w:r>
        <w:t xml:space="preserve"> </w:t>
      </w:r>
      <w:bookmarkEnd w:id="43"/>
      <w:r>
        <w:t xml:space="preserve">(the NPA). The NPA provided financial assistance from the Commonwealth to states and territories for the additional costs incurred by health services in responding to the COVID-19 pandemic. </w:t>
      </w:r>
    </w:p>
    <w:p w14:paraId="2A8D2592" w14:textId="77777777" w:rsidR="00825598" w:rsidRDefault="00825598" w:rsidP="00825598">
      <w:pPr>
        <w:pStyle w:val="Body"/>
      </w:pPr>
      <w:r>
        <w:t xml:space="preserve">The </w:t>
      </w:r>
      <w:r w:rsidRPr="008C2BD1">
        <w:rPr>
          <w:i/>
          <w:iCs/>
        </w:rPr>
        <w:t>COVID-19 Response – Costing and Pricing Guidelines</w:t>
      </w:r>
      <w:r>
        <w:t xml:space="preserve"> includes the following measures that were reflected in the national pricing model:</w:t>
      </w:r>
    </w:p>
    <w:p w14:paraId="03E71A93" w14:textId="3C69A1CC" w:rsidR="00825598" w:rsidRDefault="00825598" w:rsidP="006271FA">
      <w:pPr>
        <w:pStyle w:val="Body"/>
        <w:keepLines/>
        <w:numPr>
          <w:ilvl w:val="0"/>
          <w:numId w:val="27"/>
        </w:numPr>
      </w:pPr>
      <w:r>
        <w:t>for the purpose of COVID-19 activity funded through the NPA</w:t>
      </w:r>
      <w:r w:rsidR="00526536">
        <w:t>,</w:t>
      </w:r>
      <w:r>
        <w:t xml:space="preserve"> the intensive care unit (ICU) loading will apply to any patient with a COVID-19 diagnosis code and ICU hours reported in the admitted patient care activity data set</w:t>
      </w:r>
    </w:p>
    <w:p w14:paraId="53F32649" w14:textId="6F29F9E6" w:rsidR="00825598" w:rsidRPr="008C2BD1" w:rsidRDefault="00825598" w:rsidP="006271FA">
      <w:pPr>
        <w:pStyle w:val="Body"/>
        <w:keepNext/>
        <w:keepLines/>
        <w:numPr>
          <w:ilvl w:val="0"/>
          <w:numId w:val="27"/>
        </w:numPr>
        <w:ind w:left="714" w:hanging="357"/>
      </w:pPr>
      <w:r>
        <w:t xml:space="preserve">the hospital acquired complications (HAC) adjustment and the avoidable hospital readmissions </w:t>
      </w:r>
      <w:r w:rsidR="005C01C4">
        <w:t xml:space="preserve">(AHR) </w:t>
      </w:r>
      <w:r>
        <w:t>adjustment</w:t>
      </w:r>
      <w:r>
        <w:rPr>
          <w:rStyle w:val="FootnoteReference"/>
        </w:rPr>
        <w:footnoteReference w:id="1"/>
      </w:r>
      <w:r>
        <w:t xml:space="preserve"> will not be applied to activity with a COVID-19 diagnosis.</w:t>
      </w:r>
    </w:p>
    <w:p w14:paraId="321090CB" w14:textId="0A06A7CE" w:rsidR="00825598" w:rsidRDefault="00825598" w:rsidP="00825598">
      <w:pPr>
        <w:pStyle w:val="Body"/>
      </w:pPr>
      <w:r>
        <w:t>These measures were implemented in the development of the NEP Determinations for 2021–22, 2022–23 and 2023–24. They were designed to be temporary arrangements to address significant uncertainty in the early stages of the pandemic around the clinical management of COVID-19 and its impact on ICU capacity</w:t>
      </w:r>
      <w:r w:rsidR="00153001">
        <w:t xml:space="preserve"> for the duration of the NPA</w:t>
      </w:r>
      <w:r>
        <w:t xml:space="preserve">. </w:t>
      </w:r>
    </w:p>
    <w:p w14:paraId="408F8028" w14:textId="15128505" w:rsidR="00825598" w:rsidRDefault="00BE2262" w:rsidP="00825598">
      <w:pPr>
        <w:pStyle w:val="Body"/>
      </w:pPr>
      <w:r>
        <w:t>Given f</w:t>
      </w:r>
      <w:r w:rsidR="00825598">
        <w:t>unding provided under the NPA</w:t>
      </w:r>
      <w:r w:rsidR="00526536">
        <w:t xml:space="preserve"> expired</w:t>
      </w:r>
      <w:r w:rsidR="00825598">
        <w:t xml:space="preserve"> in December 2023</w:t>
      </w:r>
      <w:r>
        <w:t>, for NEP24,</w:t>
      </w:r>
      <w:r w:rsidR="00825598">
        <w:t xml:space="preserve"> IHACPA intends to</w:t>
      </w:r>
      <w:r w:rsidR="000D43B4">
        <w:t xml:space="preserve"> </w:t>
      </w:r>
      <w:r w:rsidR="00A66E90">
        <w:t>review the</w:t>
      </w:r>
      <w:r w:rsidR="00CE40E5">
        <w:t xml:space="preserve"> temporary pricing measures outlined in the </w:t>
      </w:r>
      <w:r w:rsidR="00CE40E5" w:rsidRPr="008C2BD1">
        <w:rPr>
          <w:i/>
          <w:iCs/>
        </w:rPr>
        <w:t>COVID-19 Response – Costing and Pricing Guidelines</w:t>
      </w:r>
      <w:r w:rsidR="00CE40E5">
        <w:t>: the</w:t>
      </w:r>
      <w:r w:rsidR="00A66E90">
        <w:t xml:space="preserve"> applicability of </w:t>
      </w:r>
      <w:r w:rsidR="00825598">
        <w:t xml:space="preserve">the ICU </w:t>
      </w:r>
      <w:r w:rsidR="00526536">
        <w:t>loading</w:t>
      </w:r>
      <w:r w:rsidR="00825598">
        <w:t xml:space="preserve"> to patients with a COVID-19 diagnosis and</w:t>
      </w:r>
      <w:r w:rsidR="00526536">
        <w:t xml:space="preserve"> </w:t>
      </w:r>
      <w:r w:rsidR="00CE40E5">
        <w:t xml:space="preserve">withholding the </w:t>
      </w:r>
      <w:r w:rsidR="00825598">
        <w:t xml:space="preserve">HAC and AHR adjustments </w:t>
      </w:r>
      <w:r w:rsidR="00526536">
        <w:t>to activity with a COVID-19 diagnosis</w:t>
      </w:r>
      <w:r w:rsidR="00825598">
        <w:t>.</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
        <w:tblDescription w:val="How did the COVID-19 pandemic response impact activity and cost data in 2021–22, such as through significant events like lockdowns, and how should these impacts be accounted for in the NEP and National Efficient Cost Determinations for 2024–25?&#10;For NEP24, what evidence is available regarding the clinical management of patients with a COVID-19 diagnosis, including patients in an ICU, to support retention of the:&#10;o COVID-19 treatment adjustment&#10;o temporary ICU measure for COVID 19 patients&#10;o temporary HAC and AHR measures for COVID-19 patients? "/>
      </w:tblPr>
      <w:tblGrid>
        <w:gridCol w:w="4149"/>
      </w:tblGrid>
      <w:tr w:rsidR="00825598" w:rsidRPr="006746C9" w14:paraId="73D8D9A0" w14:textId="77777777" w:rsidTr="000C32C0">
        <w:trPr>
          <w:trHeight w:val="1401"/>
          <w:jc w:val="center"/>
        </w:trPr>
        <w:tc>
          <w:tcPr>
            <w:tcW w:w="5000" w:type="pct"/>
            <w:tcBorders>
              <w:left w:val="nil"/>
            </w:tcBorders>
            <w:shd w:val="clear" w:color="auto" w:fill="E6F4F9"/>
          </w:tcPr>
          <w:p w14:paraId="5C345226" w14:textId="77777777" w:rsidR="00825598" w:rsidRPr="006746C9" w:rsidRDefault="00825598" w:rsidP="000C32C0">
            <w:pPr>
              <w:pStyle w:val="Heading4"/>
              <w:spacing w:line="360" w:lineRule="auto"/>
              <w:outlineLvl w:val="3"/>
              <w:rPr>
                <w:color w:val="000000" w:themeColor="text1"/>
              </w:rPr>
            </w:pPr>
            <w:r>
              <w:br w:type="column"/>
            </w:r>
            <w:r w:rsidRPr="006746C9">
              <w:rPr>
                <w:noProof/>
                <w:color w:val="000000" w:themeColor="text1"/>
              </w:rPr>
              <w:drawing>
                <wp:anchor distT="0" distB="0" distL="114300" distR="114300" simplePos="0" relativeHeight="251847680" behindDoc="0" locked="0" layoutInCell="1" allowOverlap="1" wp14:anchorId="6121D7B8" wp14:editId="6A5D8CC7">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5E4070EB" w14:textId="3864D4A2" w:rsidR="00825598" w:rsidRPr="00B06A9B" w:rsidRDefault="00825598" w:rsidP="000C32C0">
            <w:pPr>
              <w:pStyle w:val="Bullets"/>
              <w:rPr>
                <w:b/>
                <w:bCs/>
              </w:rPr>
            </w:pPr>
            <w:r>
              <w:t xml:space="preserve">How did </w:t>
            </w:r>
            <w:r w:rsidR="009B2A7F">
              <w:t xml:space="preserve">the </w:t>
            </w:r>
            <w:r>
              <w:t xml:space="preserve">COVID-19 </w:t>
            </w:r>
            <w:r w:rsidR="009B2A7F">
              <w:t xml:space="preserve">pandemic response </w:t>
            </w:r>
            <w:r>
              <w:t>impact activity and cost data in</w:t>
            </w:r>
            <w:r w:rsidRPr="009E1AD0">
              <w:t xml:space="preserve"> 2021–22, </w:t>
            </w:r>
            <w:r>
              <w:t xml:space="preserve">such as through significant events like lockdowns, </w:t>
            </w:r>
            <w:r w:rsidRPr="009E1AD0">
              <w:t>and how should these impacts be accounted for in</w:t>
            </w:r>
            <w:r w:rsidR="005C01C4">
              <w:t xml:space="preserve"> the</w:t>
            </w:r>
            <w:r w:rsidRPr="009E1AD0">
              <w:t xml:space="preserve"> NEP</w:t>
            </w:r>
            <w:r w:rsidR="00B911FF">
              <w:t xml:space="preserve"> and National Efficient Cost Determinations for 2024–25</w:t>
            </w:r>
            <w:r w:rsidRPr="009E1AD0">
              <w:t>?</w:t>
            </w:r>
          </w:p>
          <w:p w14:paraId="053EC487" w14:textId="388EB8EB" w:rsidR="007F4170" w:rsidRPr="007F4170" w:rsidRDefault="007F4170" w:rsidP="00BE2262">
            <w:pPr>
              <w:pStyle w:val="Bullets"/>
              <w:rPr>
                <w:b/>
                <w:bCs/>
              </w:rPr>
            </w:pPr>
            <w:r>
              <w:t>For NEP24, w</w:t>
            </w:r>
            <w:r w:rsidR="00912B82">
              <w:t>hat</w:t>
            </w:r>
            <w:r w:rsidR="00825598">
              <w:t xml:space="preserve"> evidence </w:t>
            </w:r>
            <w:r w:rsidR="00153001">
              <w:t xml:space="preserve">is available </w:t>
            </w:r>
            <w:r w:rsidR="00BE2262">
              <w:t xml:space="preserve">regarding the clinical management of patients with a COVID-19 diagnosis, including patients in an ICU, </w:t>
            </w:r>
            <w:r w:rsidR="00825598">
              <w:t>to support retention of the</w:t>
            </w:r>
            <w:r>
              <w:t>:</w:t>
            </w:r>
          </w:p>
          <w:p w14:paraId="64AAFEE9" w14:textId="72EB3F39" w:rsidR="007F4170" w:rsidRPr="007F4170" w:rsidRDefault="00825598" w:rsidP="007F4170">
            <w:pPr>
              <w:pStyle w:val="BulletL2"/>
              <w:rPr>
                <w:b/>
                <w:bCs/>
              </w:rPr>
            </w:pPr>
            <w:r>
              <w:t>COVID-19 treatment adjustment</w:t>
            </w:r>
          </w:p>
          <w:p w14:paraId="2772FFE9" w14:textId="61BF9D6A" w:rsidR="007F4170" w:rsidRPr="007F4170" w:rsidRDefault="00BE2262" w:rsidP="007F4170">
            <w:pPr>
              <w:pStyle w:val="BulletL2"/>
              <w:rPr>
                <w:b/>
                <w:bCs/>
              </w:rPr>
            </w:pPr>
            <w:r>
              <w:t>temporary ICU</w:t>
            </w:r>
            <w:r w:rsidR="007F4170">
              <w:t xml:space="preserve"> measure for COVID</w:t>
            </w:r>
            <w:r w:rsidR="0015036D">
              <w:noBreakHyphen/>
            </w:r>
            <w:r w:rsidR="007F4170">
              <w:t>19 patients</w:t>
            </w:r>
          </w:p>
          <w:p w14:paraId="40CC2CA0" w14:textId="5198F6DF" w:rsidR="00825598" w:rsidRPr="00B101EA" w:rsidRDefault="007F4170" w:rsidP="007F4170">
            <w:pPr>
              <w:pStyle w:val="BulletL2"/>
              <w:rPr>
                <w:b/>
                <w:bCs/>
              </w:rPr>
            </w:pPr>
            <w:r>
              <w:t>temporary</w:t>
            </w:r>
            <w:r w:rsidR="00BE2262">
              <w:t xml:space="preserve"> HAC and AHR measures for COVID-19 patients</w:t>
            </w:r>
            <w:r w:rsidR="00825598">
              <w:t>?</w:t>
            </w:r>
            <w:r w:rsidR="00BE2262">
              <w:t xml:space="preserve"> </w:t>
            </w:r>
          </w:p>
        </w:tc>
      </w:tr>
    </w:tbl>
    <w:p w14:paraId="14B63A80" w14:textId="30752068" w:rsidR="003E4723" w:rsidRPr="00FF61D1" w:rsidRDefault="00500515" w:rsidP="003E4723">
      <w:pPr>
        <w:pStyle w:val="Heading2"/>
        <w:spacing w:before="240"/>
      </w:pPr>
      <w:bookmarkStart w:id="44" w:name="_Toc135043516"/>
      <w:r>
        <w:br w:type="column"/>
      </w:r>
      <w:r w:rsidR="003F0B5B">
        <w:lastRenderedPageBreak/>
        <w:t>4</w:t>
      </w:r>
      <w:r w:rsidR="003E4723">
        <w:t>.</w:t>
      </w:r>
      <w:r w:rsidR="00825598">
        <w:t>2</w:t>
      </w:r>
      <w:r w:rsidR="003E4723">
        <w:t xml:space="preserve"> Adjustments to the national efficient price</w:t>
      </w:r>
      <w:bookmarkEnd w:id="42"/>
      <w:bookmarkEnd w:id="44"/>
    </w:p>
    <w:p w14:paraId="3494E8B3" w14:textId="0FAE065E" w:rsidR="00500515" w:rsidRDefault="003E4723" w:rsidP="003E4723">
      <w:pPr>
        <w:pStyle w:val="Body"/>
      </w:pPr>
      <w:r>
        <w:t xml:space="preserve">Section 131(1)(d) of the </w:t>
      </w:r>
      <w:r w:rsidRPr="00E252F3">
        <w:rPr>
          <w:i/>
          <w:iCs/>
        </w:rPr>
        <w:t>National Health Reform Act 2011</w:t>
      </w:r>
      <w:r>
        <w:t xml:space="preserve"> (the NHR Act) allows IHACPA to determine ‘loadings’ or adjustments to the NEP to reflect legitimate and unavoidable cost variations in the delivery of public hospital services. </w:t>
      </w:r>
    </w:p>
    <w:p w14:paraId="2DEF0908" w14:textId="693515DF" w:rsidR="003E4723" w:rsidRDefault="003E4723" w:rsidP="003E4723">
      <w:pPr>
        <w:pStyle w:val="Body"/>
      </w:pPr>
      <w:r>
        <w:t>Clause A47 of the Addendum specifies that when making this assessment, IHACPA must have regard to legitimate and unavoidable variations in wage costs and other inputs which affect the costs of service delivery such as:</w:t>
      </w:r>
    </w:p>
    <w:p w14:paraId="463A4B27" w14:textId="0BEFF55D" w:rsidR="003E4723" w:rsidRDefault="003E4723" w:rsidP="003E4723">
      <w:pPr>
        <w:pStyle w:val="Bullets"/>
      </w:pPr>
      <w:r>
        <w:t>hospital type and size</w:t>
      </w:r>
    </w:p>
    <w:p w14:paraId="4561E970" w14:textId="0FA4B01A" w:rsidR="003E4723" w:rsidRDefault="003E4723" w:rsidP="003E4723">
      <w:pPr>
        <w:pStyle w:val="Bullets"/>
      </w:pPr>
      <w:r>
        <w:t>hospital location, including regional and remote status</w:t>
      </w:r>
    </w:p>
    <w:p w14:paraId="58455876" w14:textId="77777777" w:rsidR="003E4723" w:rsidRDefault="003E4723" w:rsidP="003E4723">
      <w:pPr>
        <w:pStyle w:val="Bullets"/>
      </w:pPr>
      <w:r>
        <w:t>patient complexity,</w:t>
      </w:r>
      <w:r w:rsidRPr="00AA09B8">
        <w:t xml:space="preserve"> </w:t>
      </w:r>
      <w:r>
        <w:t>including Indigenous status, which is not captured by the classification system.</w:t>
      </w:r>
    </w:p>
    <w:p w14:paraId="775F7A7C" w14:textId="0CF7BC33" w:rsidR="003E4723" w:rsidRDefault="00AA47ED" w:rsidP="003E4723">
      <w:pPr>
        <w:pStyle w:val="Body"/>
      </w:pPr>
      <w:r>
        <w:t>Development and application of a</w:t>
      </w:r>
      <w:r w:rsidR="003E4723">
        <w:t xml:space="preserve">djustments to the NEP is </w:t>
      </w:r>
      <w:r w:rsidR="004D49D7">
        <w:t xml:space="preserve">the </w:t>
      </w:r>
      <w:r w:rsidR="003E4723">
        <w:t>method</w:t>
      </w:r>
      <w:r w:rsidR="0015036D">
        <w:t xml:space="preserve"> that</w:t>
      </w:r>
      <w:r w:rsidR="003E4723">
        <w:t xml:space="preserve"> IHACPA applies to address legitimate and unavoidable cost variations in the delivery of public hospital services.</w:t>
      </w:r>
    </w:p>
    <w:p w14:paraId="24EADC29" w14:textId="77777777" w:rsidR="003E4723" w:rsidRDefault="003E4723" w:rsidP="003E4723">
      <w:pPr>
        <w:pStyle w:val="Body"/>
      </w:pPr>
      <w:r>
        <w:t xml:space="preserve">A list of all the adjustments IHACPA applies to the national pricing model is available in the </w:t>
      </w:r>
      <w:hyperlink r:id="rId57" w:history="1">
        <w:r w:rsidRPr="008A09CD">
          <w:rPr>
            <w:rStyle w:val="HyperlinktextChar"/>
            <w:i/>
            <w:iCs/>
          </w:rPr>
          <w:t>NEP Determination 2023–24</w:t>
        </w:r>
      </w:hyperlink>
      <w:r>
        <w:t xml:space="preserve"> on IHACPA’s website.</w:t>
      </w:r>
    </w:p>
    <w:p w14:paraId="610CE723" w14:textId="46194499" w:rsidR="003E4723" w:rsidRDefault="003F0B5B" w:rsidP="003E4723">
      <w:pPr>
        <w:pStyle w:val="Heading3"/>
      </w:pPr>
      <w:r>
        <w:t>4</w:t>
      </w:r>
      <w:r w:rsidR="00825598">
        <w:t xml:space="preserve">.2.1 </w:t>
      </w:r>
      <w:r w:rsidR="003E4723">
        <w:t>Assessment of adjustment proposals</w:t>
      </w:r>
    </w:p>
    <w:p w14:paraId="470C062D" w14:textId="3C049B94" w:rsidR="003E4723" w:rsidRDefault="003E4723" w:rsidP="003E4723">
      <w:pPr>
        <w:pStyle w:val="Body"/>
      </w:pPr>
      <w:r>
        <w:t>Each year, IHACPA</w:t>
      </w:r>
      <w:r>
        <w:rPr>
          <w:rFonts w:ascii="ArialMT" w:hAnsi="ArialMT" w:cs="ArialMT"/>
        </w:rPr>
        <w:t xml:space="preserve"> investigates adjustments that are either proposed by jurisdictions or stakeholders through IHACPA’s consultative mechanisms or identified by IHACPA through its review of the data and model performance. </w:t>
      </w:r>
      <w:r>
        <w:t>In order for IHACPA to assess adjustment proposals, stakeholders must outline the evidence or best available information to support both of the following eligibility criteria:</w:t>
      </w:r>
    </w:p>
    <w:p w14:paraId="3355CBBC" w14:textId="77777777" w:rsidR="003E4723" w:rsidRDefault="003E4723" w:rsidP="003E4723">
      <w:pPr>
        <w:pStyle w:val="Body"/>
        <w:numPr>
          <w:ilvl w:val="0"/>
          <w:numId w:val="29"/>
        </w:numPr>
        <w:spacing w:after="80"/>
        <w:ind w:left="714" w:hanging="357"/>
      </w:pPr>
      <w:r>
        <w:t>that a material difference in costs (between patients or provider groups) can legitimately be demonstrated; and</w:t>
      </w:r>
    </w:p>
    <w:p w14:paraId="7D75A789" w14:textId="77777777" w:rsidR="003E4723" w:rsidRDefault="003E4723" w:rsidP="003E4723">
      <w:pPr>
        <w:pStyle w:val="Body"/>
        <w:numPr>
          <w:ilvl w:val="0"/>
          <w:numId w:val="29"/>
        </w:numPr>
        <w:spacing w:before="80"/>
        <w:ind w:left="714" w:hanging="357"/>
      </w:pPr>
      <w:r>
        <w:t>those differences in costs are unavoidable.</w:t>
      </w:r>
    </w:p>
    <w:p w14:paraId="0059655D" w14:textId="16FBA37B" w:rsidR="00F65E8E" w:rsidRDefault="00F65E8E" w:rsidP="003E4723">
      <w:pPr>
        <w:pStyle w:val="Body"/>
      </w:pPr>
      <w:r>
        <w:t>As part of the assessment process, IHACPA considers adjustment proposals against the Pricing Guidelines, including a preference for adjust</w:t>
      </w:r>
      <w:r w:rsidRPr="00F65E8E">
        <w:t xml:space="preserve">ments </w:t>
      </w:r>
      <w:r>
        <w:t>to</w:t>
      </w:r>
      <w:r w:rsidRPr="00F65E8E">
        <w:t xml:space="preserve"> be based on patient-related rather than provider</w:t>
      </w:r>
      <w:r w:rsidR="0015036D">
        <w:noBreakHyphen/>
      </w:r>
      <w:r w:rsidRPr="00F65E8E">
        <w:t>related characteristics wherever practicable.</w:t>
      </w:r>
    </w:p>
    <w:p w14:paraId="25A93479" w14:textId="2C602ADF" w:rsidR="003E4723" w:rsidRDefault="003E4723" w:rsidP="003E4723">
      <w:pPr>
        <w:pStyle w:val="Body"/>
      </w:pPr>
      <w:r>
        <w:t xml:space="preserve">Without sufficient evidence reflecting how a cost variation meets the eligibility criteria, IHACPA is unable to progress requests for investigation. </w:t>
      </w:r>
    </w:p>
    <w:p w14:paraId="674EC99D" w14:textId="1FA39B3D" w:rsidR="003E4723" w:rsidRPr="00AB3D8A" w:rsidRDefault="003E4723" w:rsidP="003E4723">
      <w:pPr>
        <w:pStyle w:val="Body"/>
      </w:pPr>
      <w:r>
        <w:t xml:space="preserve">Further information about the eligibility criteria is provided in the </w:t>
      </w:r>
      <w:hyperlink r:id="rId58" w:history="1">
        <w:r w:rsidRPr="003D26BA">
          <w:rPr>
            <w:rStyle w:val="HyperlinktextChar"/>
            <w:i/>
            <w:iCs/>
          </w:rPr>
          <w:t>Adjustments to the National Efficient Price Policy</w:t>
        </w:r>
      </w:hyperlink>
      <w:r>
        <w:t xml:space="preserve"> </w:t>
      </w:r>
      <w:r w:rsidR="0015036D">
        <w:t xml:space="preserve">available </w:t>
      </w:r>
      <w:r>
        <w:t xml:space="preserve">on IHACPA’s website. </w:t>
      </w:r>
    </w:p>
    <w:p w14:paraId="54998D10" w14:textId="617B7B6B" w:rsidR="003E4723" w:rsidRDefault="003F0B5B" w:rsidP="003E4723">
      <w:pPr>
        <w:pStyle w:val="Heading3"/>
      </w:pPr>
      <w:r>
        <w:t>4</w:t>
      </w:r>
      <w:r w:rsidR="00825598">
        <w:t xml:space="preserve">.2.2 </w:t>
      </w:r>
      <w:r w:rsidR="004D49D7">
        <w:t>I</w:t>
      </w:r>
      <w:r w:rsidR="003E4723">
        <w:t xml:space="preserve">ntensive </w:t>
      </w:r>
      <w:r w:rsidR="004D49D7">
        <w:t>C</w:t>
      </w:r>
      <w:r w:rsidR="003E4723">
        <w:t xml:space="preserve">are </w:t>
      </w:r>
      <w:r w:rsidR="004D49D7">
        <w:t>U</w:t>
      </w:r>
      <w:r w:rsidR="003E4723">
        <w:t>nit adjustment</w:t>
      </w:r>
    </w:p>
    <w:p w14:paraId="40BC8B89" w14:textId="77777777" w:rsidR="00B7766D" w:rsidRDefault="003E4723" w:rsidP="003E4723">
      <w:pPr>
        <w:pStyle w:val="Body"/>
      </w:pPr>
      <w:r>
        <w:t xml:space="preserve">Since the </w:t>
      </w:r>
      <w:r w:rsidRPr="00306EDB">
        <w:rPr>
          <w:i/>
          <w:iCs/>
        </w:rPr>
        <w:t>NEP Determination 2012–13</w:t>
      </w:r>
      <w:r>
        <w:t xml:space="preserve"> (NEP12), IHACPA has applied an ICU adjustment for specified </w:t>
      </w:r>
      <w:r w:rsidR="00AE4C23">
        <w:t>ICUs</w:t>
      </w:r>
      <w:r w:rsidR="00A745FE">
        <w:t xml:space="preserve">, </w:t>
      </w:r>
      <w:r>
        <w:t xml:space="preserve">listed in Appendix D of the NEP Determination each year. </w:t>
      </w:r>
    </w:p>
    <w:p w14:paraId="5C3B27CA" w14:textId="077F7BC9" w:rsidR="00AE4C23" w:rsidRDefault="003E4723" w:rsidP="003E4723">
      <w:pPr>
        <w:pStyle w:val="Body"/>
      </w:pPr>
      <w:r>
        <w:t xml:space="preserve">The ICU adjustment was introduced to address legitimate and unavoidable cost variations </w:t>
      </w:r>
      <w:r w:rsidR="00AE4C23">
        <w:t xml:space="preserve">associated with treating patients in </w:t>
      </w:r>
      <w:r w:rsidR="00C37CC3">
        <w:t xml:space="preserve">specified </w:t>
      </w:r>
      <w:r w:rsidR="00AE4C23">
        <w:t>ICUs compared to other admitted patients</w:t>
      </w:r>
      <w:r w:rsidR="00130655">
        <w:t xml:space="preserve"> which was not reflected in patient </w:t>
      </w:r>
      <w:proofErr w:type="spellStart"/>
      <w:r w:rsidR="00130655">
        <w:t>casemix</w:t>
      </w:r>
      <w:proofErr w:type="spellEnd"/>
      <w:r w:rsidR="00130655">
        <w:t xml:space="preserve"> or characteristics in data collections and </w:t>
      </w:r>
      <w:r>
        <w:t xml:space="preserve">could not otherwise be adequately addressed through classification. </w:t>
      </w:r>
    </w:p>
    <w:p w14:paraId="6636D138" w14:textId="4EBB6CF1" w:rsidR="0094615C" w:rsidRPr="004628CE" w:rsidRDefault="004628CE" w:rsidP="0094615C">
      <w:pPr>
        <w:pStyle w:val="Body"/>
      </w:pPr>
      <w:r>
        <w:t xml:space="preserve">When introduced in </w:t>
      </w:r>
      <w:r w:rsidRPr="000C32C0">
        <w:t>201</w:t>
      </w:r>
      <w:r>
        <w:t>2</w:t>
      </w:r>
      <w:r w:rsidRPr="000C32C0">
        <w:t>–1</w:t>
      </w:r>
      <w:r>
        <w:t xml:space="preserve">3, the ICU adjustment </w:t>
      </w:r>
      <w:r w:rsidR="004430C6">
        <w:t xml:space="preserve">was </w:t>
      </w:r>
      <w:r>
        <w:t>applied to patients within a Diagnosis Related Group (DRG) where most patients do not normally receive treatment</w:t>
      </w:r>
      <w:r w:rsidR="00AE4C23">
        <w:t xml:space="preserve"> in an ICU</w:t>
      </w:r>
      <w:r w:rsidR="004430C6">
        <w:t xml:space="preserve">. At the time, ICUs eligible for the loading </w:t>
      </w:r>
      <w:r>
        <w:t>included ICUs listed as level</w:t>
      </w:r>
      <w:r w:rsidR="0015036D">
        <w:t> </w:t>
      </w:r>
      <w:r>
        <w:t xml:space="preserve">3 or above by the Australian and New Zealand Intensive Care Society or considered to meet that level by jurisdictions. </w:t>
      </w:r>
      <w:r w:rsidR="0094615C" w:rsidRPr="004628CE">
        <w:t xml:space="preserve">From </w:t>
      </w:r>
      <w:r w:rsidR="0094615C" w:rsidRPr="00990566">
        <w:t>2014–15</w:t>
      </w:r>
      <w:r w:rsidR="0094615C">
        <w:t xml:space="preserve"> onwards, only ICUs recognised as level 3 or equivalent by an independent external body were eligible for the ICU loading.</w:t>
      </w:r>
    </w:p>
    <w:p w14:paraId="60054A34" w14:textId="029AB242" w:rsidR="0094615C" w:rsidRDefault="0094615C" w:rsidP="0094615C">
      <w:pPr>
        <w:pStyle w:val="Body"/>
      </w:pPr>
      <w:r>
        <w:t xml:space="preserve">Currently, hospitals that consistently report more than 24,000 ICU hours and have more than 20 per cent of those hours reported with the use of mechanical ventilation are </w:t>
      </w:r>
      <w:r w:rsidR="0015036D">
        <w:t xml:space="preserve">generally </w:t>
      </w:r>
      <w:r>
        <w:t>considered to be eligible for the ICU adjustment</w:t>
      </w:r>
      <w:r w:rsidR="006A031F">
        <w:t>.</w:t>
      </w:r>
      <w:r>
        <w:t xml:space="preserve"> </w:t>
      </w:r>
      <w:r w:rsidR="0015036D">
        <w:t xml:space="preserve">However, </w:t>
      </w:r>
      <w:r w:rsidR="006A031F">
        <w:t xml:space="preserve">IHACPA and jurisdictions work together when determining whether a hospital meets the eligibility criteria for inclusion or exclusion from the ICU adjustment. </w:t>
      </w:r>
    </w:p>
    <w:p w14:paraId="2E763E91" w14:textId="3316D7AB" w:rsidR="003E4723" w:rsidRDefault="003E4723" w:rsidP="003E4723">
      <w:pPr>
        <w:pStyle w:val="Body"/>
      </w:pPr>
      <w:r>
        <w:t xml:space="preserve">Previously, IHACPA outlined its intention to review the eligibility criteria for the ICU adjustment for the </w:t>
      </w:r>
      <w:r w:rsidRPr="00306EDB">
        <w:rPr>
          <w:i/>
          <w:iCs/>
        </w:rPr>
        <w:t>NEP Determination 2022–23</w:t>
      </w:r>
      <w:r>
        <w:t>, however this work was delayed due to the impact of COVID-19.</w:t>
      </w:r>
    </w:p>
    <w:p w14:paraId="094B1307" w14:textId="1868F95F" w:rsidR="003E4723" w:rsidRDefault="003E4723" w:rsidP="003E4723">
      <w:pPr>
        <w:pStyle w:val="Body"/>
      </w:pPr>
      <w:r w:rsidRPr="00C465F3">
        <w:t xml:space="preserve">In response to the </w:t>
      </w:r>
      <w:r w:rsidRPr="00C465F3">
        <w:rPr>
          <w:i/>
          <w:iCs/>
        </w:rPr>
        <w:t>Consultation Paper on Australian Public Hospital Services 2023–24</w:t>
      </w:r>
      <w:r>
        <w:rPr>
          <w:i/>
          <w:iCs/>
        </w:rPr>
        <w:t xml:space="preserve"> </w:t>
      </w:r>
      <w:r w:rsidRPr="005112C6">
        <w:t>(the Consultation Paper),</w:t>
      </w:r>
      <w:r w:rsidRPr="00C465F3">
        <w:t xml:space="preserve"> </w:t>
      </w:r>
      <w:r>
        <w:t xml:space="preserve">stakeholders supported prioritisation of the review of the eligibility criteria for the ICU adjustment. In particular, stakeholders suggested that IHACPA reconsider the reliance on using mechanical ventilation hours </w:t>
      </w:r>
      <w:r w:rsidRPr="004771C2">
        <w:t>thresholds</w:t>
      </w:r>
      <w:r>
        <w:t xml:space="preserve"> in its eligibility criteria </w:t>
      </w:r>
      <w:r w:rsidRPr="004771C2">
        <w:t xml:space="preserve">and consider broadening the criteria to include other </w:t>
      </w:r>
      <w:r>
        <w:t xml:space="preserve">ICU </w:t>
      </w:r>
      <w:r w:rsidRPr="004771C2">
        <w:t>services</w:t>
      </w:r>
      <w:r>
        <w:t xml:space="preserve"> or high-cost treatments provided in the ICU,</w:t>
      </w:r>
      <w:r w:rsidRPr="004771C2">
        <w:t xml:space="preserve"> </w:t>
      </w:r>
      <w:r>
        <w:t>t</w:t>
      </w:r>
      <w:r w:rsidRPr="004771C2">
        <w:t>o reflect contemporary clinical practice</w:t>
      </w:r>
      <w:r>
        <w:t xml:space="preserve">. </w:t>
      </w:r>
      <w:r w:rsidR="00500515">
        <w:br w:type="column"/>
      </w:r>
      <w:r>
        <w:lastRenderedPageBreak/>
        <w:t xml:space="preserve">Other data items and measures that have been suggested for consideration include: </w:t>
      </w:r>
    </w:p>
    <w:p w14:paraId="2025988F" w14:textId="03B5525A" w:rsidR="003E4723" w:rsidRDefault="003E4723" w:rsidP="003E4723">
      <w:pPr>
        <w:pStyle w:val="Bullets"/>
      </w:pPr>
      <w:r>
        <w:t xml:space="preserve">clinically relevant Australian Classification of Health Interventions (ACHI) codes or Adjacent </w:t>
      </w:r>
      <w:r w:rsidR="004808E8">
        <w:t>DRGs</w:t>
      </w:r>
      <w:r>
        <w:t>, such as for non-invasive ventilation and/or continuous renal replacement therapy</w:t>
      </w:r>
    </w:p>
    <w:p w14:paraId="5D5A7572" w14:textId="0E5C7EB6" w:rsidR="003E4723" w:rsidRDefault="00FF7B01" w:rsidP="003E4723">
      <w:pPr>
        <w:pStyle w:val="Bullets"/>
      </w:pPr>
      <w:r>
        <w:t>non</w:t>
      </w:r>
      <w:r w:rsidR="003E4723">
        <w:t>-invasive ventilation hours</w:t>
      </w:r>
    </w:p>
    <w:p w14:paraId="72588BE6" w14:textId="3AAB2F82" w:rsidR="003E4723" w:rsidRDefault="003E4723" w:rsidP="003E4723">
      <w:pPr>
        <w:pStyle w:val="Bullets"/>
      </w:pPr>
      <w:r>
        <w:t>Acute Physiology and Chronic Health Evaluation (APACHE) scores.</w:t>
      </w:r>
    </w:p>
    <w:p w14:paraId="49FBEF90" w14:textId="48A5F640" w:rsidR="003E4723" w:rsidRPr="00990566" w:rsidRDefault="003E4723" w:rsidP="003E4723">
      <w:pPr>
        <w:pStyle w:val="Body"/>
      </w:pPr>
      <w:r>
        <w:t>For NEP24, IHACPA will review the ICU adjustment</w:t>
      </w:r>
      <w:r w:rsidR="00CB3887">
        <w:t xml:space="preserve"> including the eligibility criteria to be listed as a specified ICU</w:t>
      </w:r>
      <w:r w:rsidR="000D7B4B">
        <w:t>,</w:t>
      </w:r>
      <w:r w:rsidR="00CB3887">
        <w:t xml:space="preserve"> the underlying drivers of cost variation across different types of ICUs</w:t>
      </w:r>
      <w:r w:rsidR="000D7B4B">
        <w:t>, the materiality of the variation and whether it is unavoidable</w:t>
      </w:r>
      <w:r w:rsidR="00CB3887">
        <w:t>.</w:t>
      </w:r>
      <w:r w:rsidR="00FD74E7">
        <w:t xml:space="preserve"> IHACPA will also consider the Pricing Guidelines, </w:t>
      </w:r>
      <w:hyperlink r:id="rId59" w:history="1">
        <w:r w:rsidR="00FD74E7" w:rsidRPr="003D26BA">
          <w:rPr>
            <w:rStyle w:val="HyperlinktextChar"/>
            <w:i/>
            <w:iCs/>
          </w:rPr>
          <w:t>Adjustments to the National Efficient Price Policy</w:t>
        </w:r>
      </w:hyperlink>
      <w:r w:rsidR="00FD74E7">
        <w:rPr>
          <w:rStyle w:val="HyperlinktextChar"/>
          <w:u w:val="none"/>
        </w:rPr>
        <w:t xml:space="preserve"> </w:t>
      </w:r>
      <w:r w:rsidR="00FD74E7" w:rsidRPr="00990566">
        <w:t xml:space="preserve">and </w:t>
      </w:r>
      <w:hyperlink r:id="rId60" w:history="1">
        <w:r w:rsidR="00FD74E7" w:rsidRPr="00990566">
          <w:rPr>
            <w:rStyle w:val="HyperlinktextChar"/>
            <w:i/>
            <w:iCs/>
          </w:rPr>
          <w:t>National Pricing Model Materiality Policy</w:t>
        </w:r>
      </w:hyperlink>
      <w:r w:rsidR="00FD74E7" w:rsidRPr="00990566">
        <w:t xml:space="preserve"> in undertaking its review.</w:t>
      </w:r>
    </w:p>
    <w:p w14:paraId="4C6EF3D0" w14:textId="1B0324D8" w:rsidR="003E4723" w:rsidRDefault="003F0B5B" w:rsidP="003E4723">
      <w:pPr>
        <w:pStyle w:val="Heading3"/>
      </w:pPr>
      <w:r>
        <w:t>4</w:t>
      </w:r>
      <w:r w:rsidR="00825598">
        <w:t xml:space="preserve">.2.3 </w:t>
      </w:r>
      <w:r w:rsidR="004D49D7">
        <w:t xml:space="preserve">Paediatric adjustment </w:t>
      </w:r>
      <w:r w:rsidR="000D7B4B">
        <w:t xml:space="preserve">and </w:t>
      </w:r>
      <w:r w:rsidR="004D49D7">
        <w:t>e</w:t>
      </w:r>
      <w:r w:rsidR="003E4723">
        <w:t>ligibility criteria for specialised children’s hospitals</w:t>
      </w:r>
    </w:p>
    <w:p w14:paraId="578C5DEF" w14:textId="21E66DF0" w:rsidR="003E4723" w:rsidRDefault="003E4723" w:rsidP="003E4723">
      <w:pPr>
        <w:pStyle w:val="Body"/>
      </w:pPr>
      <w:r>
        <w:t xml:space="preserve">Since NEP12, IHACPA has also applied a </w:t>
      </w:r>
      <w:r w:rsidRPr="00B8131D">
        <w:t xml:space="preserve">paediatric adjustment to reflect the legitimate and unavoidable cost variations associated with treating patients who are 17 years of age or less </w:t>
      </w:r>
      <w:r>
        <w:t>that are</w:t>
      </w:r>
      <w:r w:rsidRPr="00B8131D">
        <w:t xml:space="preserve"> treated in a specialised children’s hospital</w:t>
      </w:r>
      <w:r>
        <w:t xml:space="preserve">, as specified in Appendix E of the </w:t>
      </w:r>
      <w:hyperlink r:id="rId61" w:history="1">
        <w:r w:rsidRPr="00990566">
          <w:rPr>
            <w:rStyle w:val="HyperlinktextChar"/>
            <w:i/>
            <w:iCs/>
          </w:rPr>
          <w:t>NEP Determination</w:t>
        </w:r>
        <w:r w:rsidR="004D49D7" w:rsidRPr="00990566">
          <w:rPr>
            <w:rStyle w:val="HyperlinktextChar"/>
            <w:i/>
            <w:iCs/>
          </w:rPr>
          <w:t xml:space="preserve"> 2023–24</w:t>
        </w:r>
      </w:hyperlink>
      <w:r w:rsidRPr="00B8131D">
        <w:t xml:space="preserve">. </w:t>
      </w:r>
      <w:r>
        <w:t xml:space="preserve">Hospitals with a </w:t>
      </w:r>
      <w:r w:rsidRPr="00B8131D">
        <w:t>Level 3 ICU or P</w:t>
      </w:r>
      <w:r>
        <w:t xml:space="preserve">aediatric </w:t>
      </w:r>
      <w:r w:rsidRPr="00B8131D">
        <w:t xml:space="preserve">ICU </w:t>
      </w:r>
      <w:r>
        <w:t>that u</w:t>
      </w:r>
      <w:r w:rsidRPr="00B8131D">
        <w:t>ndertake a substantial number of mechanical ventilation procedures on paediatric patients (on average, greater than one patient per week)</w:t>
      </w:r>
      <w:r>
        <w:t xml:space="preserve"> are deemed as s</w:t>
      </w:r>
      <w:r w:rsidRPr="00B8131D">
        <w:t>pecialised children’s hospitals</w:t>
      </w:r>
      <w:r>
        <w:t xml:space="preserve">, in consultation with states and territories. </w:t>
      </w:r>
    </w:p>
    <w:p w14:paraId="3EFC7ED4" w14:textId="12E136C8" w:rsidR="003E4723" w:rsidRDefault="003E4723" w:rsidP="003E4723">
      <w:pPr>
        <w:pStyle w:val="Body"/>
      </w:pPr>
      <w:r>
        <w:t xml:space="preserve">In response to </w:t>
      </w:r>
      <w:r w:rsidRPr="00C465F3">
        <w:t xml:space="preserve">the </w:t>
      </w:r>
      <w:r w:rsidRPr="005112C6">
        <w:t>Consultation Paper,</w:t>
      </w:r>
      <w:r>
        <w:t xml:space="preserve"> stakeholders supported IHACPA’s proposed review </w:t>
      </w:r>
      <w:r w:rsidR="00B168AF">
        <w:t xml:space="preserve">of </w:t>
      </w:r>
      <w:r>
        <w:t xml:space="preserve">the eligibility criteria for specialised children’s hospitals to better account for the cost variations of delivering services in these hospitals.  </w:t>
      </w:r>
    </w:p>
    <w:p w14:paraId="7841810E" w14:textId="0BED2D39" w:rsidR="003E4723" w:rsidRDefault="003E4723" w:rsidP="003E4723">
      <w:pPr>
        <w:pStyle w:val="Body"/>
        <w:rPr>
          <w:b/>
        </w:rPr>
      </w:pPr>
      <w:r>
        <w:t>For NEP24, IHACPA will review the eligibility criteria for specialised children’s hospitals</w:t>
      </w:r>
      <w:r w:rsidR="00CB3887">
        <w:t xml:space="preserve"> that underpins the paediatric adjustment,</w:t>
      </w:r>
      <w:r w:rsidR="004D49D7">
        <w:t xml:space="preserve"> including </w:t>
      </w:r>
      <w:r>
        <w:t>the underlying drivers of cost variation between specialised and non-specialised children’s hospitals</w:t>
      </w:r>
      <w:r w:rsidR="00252A24">
        <w:t>, the materiality of the variation and whether</w:t>
      </w:r>
      <w:r w:rsidR="000D7B4B">
        <w:t xml:space="preserve"> it is </w:t>
      </w:r>
      <w:r w:rsidR="00252A24">
        <w:t>unavoidable</w:t>
      </w:r>
      <w:r w:rsidR="00FD74E7">
        <w:t xml:space="preserve">. IHACPA will also consider the Pricing Guidelines, </w:t>
      </w:r>
      <w:hyperlink r:id="rId62" w:history="1">
        <w:r w:rsidR="00FD74E7" w:rsidRPr="003D26BA">
          <w:rPr>
            <w:rStyle w:val="HyperlinktextChar"/>
            <w:i/>
            <w:iCs/>
          </w:rPr>
          <w:t>Adjustments to the National Efficient Price Policy</w:t>
        </w:r>
      </w:hyperlink>
      <w:r w:rsidR="00FD74E7">
        <w:rPr>
          <w:rStyle w:val="HyperlinktextChar"/>
          <w:u w:val="none"/>
        </w:rPr>
        <w:t xml:space="preserve"> </w:t>
      </w:r>
      <w:r w:rsidR="00FD74E7" w:rsidRPr="004F74DC">
        <w:t xml:space="preserve">and </w:t>
      </w:r>
      <w:hyperlink r:id="rId63" w:history="1">
        <w:r w:rsidR="00FD74E7" w:rsidRPr="004F74DC">
          <w:rPr>
            <w:rStyle w:val="HyperlinktextChar"/>
            <w:i/>
            <w:iCs/>
          </w:rPr>
          <w:t>National Pricing Model Materiality Policy</w:t>
        </w:r>
      </w:hyperlink>
      <w:r w:rsidR="00FD74E7" w:rsidRPr="004F74DC">
        <w:t xml:space="preserve"> in undertaking its review.</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
        <w:tblDescription w:val="To inform the review of the ICU adjustment:&#10;o what available evidence demonstrates the underlying drivers of cost variation for complex ICUs? &#10;o what additional or alternative measures, other than mechanical ventilation hours, should IHACPA consider for inclusion in the eligibility criteria for a specified ICU? &#10;&#10;To inform the review of the paediatric adjustment:&#10;o what available evidence demonstrates the underlying drivers of cost variation between specialised and non-specialised children’s hospitals? &#10;o what additional or alternative measures should IHACPA consider for inclusion in the eligibility criteria for a specialised children’s hospital?&#10;"/>
      </w:tblPr>
      <w:tblGrid>
        <w:gridCol w:w="4149"/>
      </w:tblGrid>
      <w:tr w:rsidR="003E4723" w:rsidRPr="006746C9" w14:paraId="17B95529" w14:textId="77777777" w:rsidTr="00513DB0">
        <w:trPr>
          <w:trHeight w:val="2976"/>
          <w:jc w:val="center"/>
        </w:trPr>
        <w:tc>
          <w:tcPr>
            <w:tcW w:w="5000" w:type="pct"/>
            <w:tcBorders>
              <w:left w:val="nil"/>
            </w:tcBorders>
            <w:shd w:val="clear" w:color="auto" w:fill="E6F4F9"/>
          </w:tcPr>
          <w:p w14:paraId="0400FC49" w14:textId="77777777" w:rsidR="003E4723" w:rsidRPr="006746C9" w:rsidRDefault="003E4723" w:rsidP="00513DB0">
            <w:pPr>
              <w:pStyle w:val="Heading4"/>
              <w:spacing w:line="360" w:lineRule="auto"/>
              <w:outlineLvl w:val="3"/>
              <w:rPr>
                <w:color w:val="000000" w:themeColor="text1"/>
              </w:rPr>
            </w:pPr>
            <w:r w:rsidRPr="006746C9">
              <w:rPr>
                <w:noProof/>
                <w:color w:val="000000" w:themeColor="text1"/>
              </w:rPr>
              <w:drawing>
                <wp:anchor distT="0" distB="0" distL="114300" distR="114300" simplePos="0" relativeHeight="251839488" behindDoc="0" locked="0" layoutInCell="1" allowOverlap="1" wp14:anchorId="1AB6DEEF" wp14:editId="74933B3B">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1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32C33815" w14:textId="77777777" w:rsidR="000D7B4B" w:rsidRDefault="000D7B4B" w:rsidP="00513DB0">
            <w:pPr>
              <w:pStyle w:val="Bullets"/>
            </w:pPr>
            <w:r>
              <w:t>To inform the review of the ICU adjustment:</w:t>
            </w:r>
          </w:p>
          <w:p w14:paraId="06EB69B1" w14:textId="646C18DF" w:rsidR="000D7B4B" w:rsidRDefault="000D7B4B" w:rsidP="000D7B4B">
            <w:pPr>
              <w:pStyle w:val="BulletL2"/>
            </w:pPr>
            <w:r>
              <w:t>w</w:t>
            </w:r>
            <w:r w:rsidR="003E4723">
              <w:t>hat</w:t>
            </w:r>
            <w:r w:rsidR="00FD74E7">
              <w:t xml:space="preserve"> available evidence demonstrates </w:t>
            </w:r>
            <w:r w:rsidR="003E4723">
              <w:t>the underlying drivers of cost variation</w:t>
            </w:r>
            <w:r>
              <w:t xml:space="preserve"> </w:t>
            </w:r>
            <w:r w:rsidR="003E4723">
              <w:t>for complex ICUs</w:t>
            </w:r>
            <w:r w:rsidR="00E02600">
              <w:t>?</w:t>
            </w:r>
            <w:r w:rsidR="00FD74E7">
              <w:t xml:space="preserve"> </w:t>
            </w:r>
          </w:p>
          <w:p w14:paraId="34DB3C49" w14:textId="10425E1B" w:rsidR="003E4723" w:rsidRDefault="000D7B4B" w:rsidP="00990566">
            <w:pPr>
              <w:pStyle w:val="BulletL2"/>
            </w:pPr>
            <w:r>
              <w:t>w</w:t>
            </w:r>
            <w:r w:rsidRPr="00800D9D">
              <w:t xml:space="preserve">hat additional or alternative measures, other than </w:t>
            </w:r>
            <w:r w:rsidRPr="00EE5D26">
              <w:t>mechanical ventilation hours,</w:t>
            </w:r>
            <w:r w:rsidRPr="00800D9D">
              <w:t xml:space="preserve"> should IHACPA consider</w:t>
            </w:r>
            <w:r>
              <w:t xml:space="preserve"> for inclusion in the eligibility criteria for a specified ICU</w:t>
            </w:r>
            <w:r w:rsidR="003E4723">
              <w:t xml:space="preserve">? </w:t>
            </w:r>
          </w:p>
          <w:p w14:paraId="435E2DD8" w14:textId="77777777" w:rsidR="000D7B4B" w:rsidRDefault="000D7B4B" w:rsidP="00513DB0">
            <w:pPr>
              <w:pStyle w:val="Bullets"/>
            </w:pPr>
            <w:r>
              <w:t>To inform the review of the paediatric adjustment:</w:t>
            </w:r>
          </w:p>
          <w:p w14:paraId="2E2CEE67" w14:textId="3936CB7B" w:rsidR="000D7B4B" w:rsidRDefault="000D7B4B" w:rsidP="000D7B4B">
            <w:pPr>
              <w:pStyle w:val="BulletL2"/>
            </w:pPr>
            <w:r>
              <w:t xml:space="preserve">what </w:t>
            </w:r>
            <w:r w:rsidR="00FD74E7">
              <w:t xml:space="preserve">available evidence demonstrates </w:t>
            </w:r>
            <w:r>
              <w:t>the underlying drivers of cost variation between specialised and non-specialised children’s hospitals</w:t>
            </w:r>
            <w:r w:rsidR="00E02600">
              <w:t>?</w:t>
            </w:r>
            <w:r w:rsidR="00FD74E7">
              <w:t xml:space="preserve"> </w:t>
            </w:r>
          </w:p>
          <w:p w14:paraId="59A48619" w14:textId="29D8B0E7" w:rsidR="003E4723" w:rsidRPr="00800D9D" w:rsidRDefault="000D7B4B" w:rsidP="00990566">
            <w:pPr>
              <w:pStyle w:val="BulletL2"/>
            </w:pPr>
            <w:r>
              <w:t>w</w:t>
            </w:r>
            <w:r w:rsidR="003E4723" w:rsidRPr="00800D9D">
              <w:t>hat additional or alternative measures</w:t>
            </w:r>
            <w:r>
              <w:t xml:space="preserve"> </w:t>
            </w:r>
            <w:r w:rsidR="003E4723" w:rsidRPr="00800D9D">
              <w:t>should IHACPA consider</w:t>
            </w:r>
            <w:r>
              <w:t xml:space="preserve"> for inclusion </w:t>
            </w:r>
            <w:r w:rsidR="006A7884">
              <w:t>i</w:t>
            </w:r>
            <w:r>
              <w:t xml:space="preserve">n the </w:t>
            </w:r>
            <w:r w:rsidR="003E4723" w:rsidRPr="00800D9D">
              <w:t xml:space="preserve">eligibility </w:t>
            </w:r>
            <w:r w:rsidRPr="00800D9D">
              <w:t>criteria</w:t>
            </w:r>
            <w:r>
              <w:t xml:space="preserve"> for a specialised children’s hospital</w:t>
            </w:r>
            <w:r w:rsidR="003E4723" w:rsidRPr="00800D9D">
              <w:t>?</w:t>
            </w:r>
          </w:p>
        </w:tc>
      </w:tr>
    </w:tbl>
    <w:p w14:paraId="3C04C4D6" w14:textId="18C50A6B" w:rsidR="003E4723" w:rsidRDefault="003F0B5B" w:rsidP="003E4723">
      <w:pPr>
        <w:pStyle w:val="Heading2"/>
        <w:spacing w:before="240"/>
      </w:pPr>
      <w:bookmarkStart w:id="45" w:name="_Toc133232575"/>
      <w:bookmarkStart w:id="46" w:name="_Toc135043517"/>
      <w:r>
        <w:t>4</w:t>
      </w:r>
      <w:r w:rsidR="003E4723">
        <w:t>.</w:t>
      </w:r>
      <w:r w:rsidR="00825598">
        <w:t>3</w:t>
      </w:r>
      <w:r w:rsidR="003E4723">
        <w:t xml:space="preserve"> NEP indexation methodology</w:t>
      </w:r>
      <w:bookmarkEnd w:id="45"/>
      <w:bookmarkEnd w:id="46"/>
      <w:r w:rsidR="003E4723">
        <w:t xml:space="preserve"> </w:t>
      </w:r>
    </w:p>
    <w:p w14:paraId="1E000F66" w14:textId="77777777" w:rsidR="003E4723" w:rsidRDefault="003E4723" w:rsidP="003E4723">
      <w:pPr>
        <w:pStyle w:val="Body"/>
      </w:pPr>
      <w:r>
        <w:t>The data underpinning a NEP Determination has a three-year time lag. As part of the NEP development, IHACPA indexes costs from the latest available data to estimate those in the year of the pricing model.</w:t>
      </w:r>
      <w:r w:rsidRPr="00DA21D6">
        <w:t xml:space="preserve"> IHACPA uses the five most recent years of available patient costed admitted acute activity data to </w:t>
      </w:r>
      <w:r>
        <w:t xml:space="preserve">calculate </w:t>
      </w:r>
      <w:r w:rsidRPr="00DA21D6">
        <w:t xml:space="preserve">an indexation rate. </w:t>
      </w:r>
    </w:p>
    <w:p w14:paraId="035B84BD" w14:textId="60C703CB" w:rsidR="003E4723" w:rsidRDefault="003E4723" w:rsidP="003E4723">
      <w:pPr>
        <w:pStyle w:val="Body"/>
      </w:pPr>
      <w:r>
        <w:t xml:space="preserve">In response to </w:t>
      </w:r>
      <w:r w:rsidRPr="00C465F3">
        <w:t xml:space="preserve">the </w:t>
      </w:r>
      <w:r w:rsidRPr="005112C6">
        <w:t>Consultation Paper</w:t>
      </w:r>
      <w:r>
        <w:t>,</w:t>
      </w:r>
      <w:r w:rsidRPr="005112C6">
        <w:t xml:space="preserve"> stakeholders</w:t>
      </w:r>
      <w:r>
        <w:t xml:space="preserve"> claimed a range of economic indicators were suggestive of input costs increasing at a faster rate than what is reflected in the available historical cost data captured in the National Hospital Cost Data Collection (NHCDC). Examples of costs drivers identified by stakeholders included staff wage increases, and increased costs associated with commodity and utility prices due to inflation and supply chain disruption. </w:t>
      </w:r>
    </w:p>
    <w:p w14:paraId="0F4A7259" w14:textId="77777777" w:rsidR="00B7766D" w:rsidRDefault="00B7766D" w:rsidP="003E4723">
      <w:pPr>
        <w:pStyle w:val="Body"/>
      </w:pPr>
    </w:p>
    <w:p w14:paraId="58A2A634" w14:textId="77777777" w:rsidR="00B7766D" w:rsidRDefault="00B7766D" w:rsidP="003E4723">
      <w:pPr>
        <w:pStyle w:val="Body"/>
      </w:pPr>
    </w:p>
    <w:p w14:paraId="0A288BC1" w14:textId="77777777" w:rsidR="00B7766D" w:rsidRDefault="00B7766D" w:rsidP="003E4723">
      <w:pPr>
        <w:pStyle w:val="Body"/>
      </w:pPr>
    </w:p>
    <w:p w14:paraId="435EE364" w14:textId="77777777" w:rsidR="00B7766D" w:rsidRDefault="00B7766D" w:rsidP="003E4723">
      <w:pPr>
        <w:pStyle w:val="Body"/>
      </w:pPr>
    </w:p>
    <w:p w14:paraId="6980751B" w14:textId="6D95482E" w:rsidR="0042528A" w:rsidRDefault="003E4723" w:rsidP="003E4723">
      <w:pPr>
        <w:pStyle w:val="Body"/>
      </w:pPr>
      <w:r>
        <w:lastRenderedPageBreak/>
        <w:t>For NEP24, IHACPA will review</w:t>
      </w:r>
      <w:r w:rsidR="00ED3646">
        <w:t xml:space="preserve"> </w:t>
      </w:r>
      <w:r>
        <w:t>the NEP indexation methodology in consultation with jurisdictions. The review will include testing alternative indexation methodologies and modelling techniques, exploring the appropriateness of using hospital cost data from other care streams, using other available price indices</w:t>
      </w:r>
      <w:r w:rsidR="0042528A">
        <w:t xml:space="preserve"> that demonstrate </w:t>
      </w:r>
      <w:r w:rsidR="0042528A" w:rsidRPr="0042528A">
        <w:t xml:space="preserve">growth in </w:t>
      </w:r>
      <w:r w:rsidR="0042528A">
        <w:t>specific</w:t>
      </w:r>
      <w:r w:rsidR="0042528A" w:rsidRPr="0042528A">
        <w:t xml:space="preserve"> cost</w:t>
      </w:r>
      <w:r w:rsidR="0042528A">
        <w:t xml:space="preserve"> components such as labour costs</w:t>
      </w:r>
      <w:r>
        <w:t>, or using more granular cost data for the purposes of calculating NEP indexation rates.</w:t>
      </w:r>
      <w:r w:rsidRPr="000A0554">
        <w:t xml:space="preserve"> </w:t>
      </w:r>
    </w:p>
    <w:p w14:paraId="6900017A" w14:textId="496958CC" w:rsidR="003E4723" w:rsidRDefault="003E4723" w:rsidP="003E4723">
      <w:pPr>
        <w:pStyle w:val="Body"/>
      </w:pPr>
      <w:r w:rsidRPr="000A0554">
        <w:t>IHACPA will consider the suitability for shadow pricing</w:t>
      </w:r>
      <w:r>
        <w:t xml:space="preserve"> any changes to the </w:t>
      </w:r>
      <w:r w:rsidRPr="000A0554">
        <w:t>indexation methodology in the development of NEP24</w:t>
      </w:r>
      <w:r>
        <w:t xml:space="preserve">, </w:t>
      </w:r>
      <w:r w:rsidRPr="000A0554">
        <w:t>as required in the Addendum.</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To inform the NEP indexation methodology review, what alternative indices or metrics are publicly available and applicable at a national level, that demonstrate an evidence-based correlation between price inflation and cost increases in the delivery of Australian public hospital services? Additionally, what are the underlying drivers of cost growth contributing to these cost increases?"/>
      </w:tblPr>
      <w:tblGrid>
        <w:gridCol w:w="4149"/>
      </w:tblGrid>
      <w:tr w:rsidR="003E4723" w:rsidRPr="006746C9" w14:paraId="70A82A27" w14:textId="77777777" w:rsidTr="00513DB0">
        <w:trPr>
          <w:trHeight w:val="1141"/>
          <w:jc w:val="center"/>
        </w:trPr>
        <w:tc>
          <w:tcPr>
            <w:tcW w:w="5000" w:type="pct"/>
            <w:tcBorders>
              <w:left w:val="nil"/>
            </w:tcBorders>
            <w:shd w:val="clear" w:color="auto" w:fill="E6F4F9"/>
          </w:tcPr>
          <w:p w14:paraId="404595B7" w14:textId="6A404EB7" w:rsidR="003E4723" w:rsidRPr="006746C9" w:rsidRDefault="003E4723" w:rsidP="00513DB0">
            <w:pPr>
              <w:pStyle w:val="Heading4"/>
              <w:spacing w:line="360" w:lineRule="auto"/>
              <w:outlineLvl w:val="3"/>
              <w:rPr>
                <w:color w:val="000000" w:themeColor="text1"/>
              </w:rPr>
            </w:pPr>
            <w:bookmarkStart w:id="47" w:name="_Hlk132662077"/>
            <w:r w:rsidRPr="006746C9">
              <w:rPr>
                <w:noProof/>
                <w:color w:val="000000" w:themeColor="text1"/>
              </w:rPr>
              <w:drawing>
                <wp:anchor distT="0" distB="0" distL="114300" distR="114300" simplePos="0" relativeHeight="251840512" behindDoc="0" locked="0" layoutInCell="1" allowOverlap="1" wp14:anchorId="4F54406B" wp14:editId="6E38179E">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21"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00B1795B" w:rsidRPr="006746C9">
              <w:rPr>
                <w:color w:val="44546A" w:themeColor="text2"/>
              </w:rPr>
              <w:t xml:space="preserve">Consultation </w:t>
            </w:r>
            <w:r w:rsidRPr="006746C9">
              <w:rPr>
                <w:color w:val="44546A" w:themeColor="text2"/>
              </w:rPr>
              <w:t>questions</w:t>
            </w:r>
          </w:p>
          <w:p w14:paraId="488D52A4" w14:textId="647AAB4A" w:rsidR="003E4723" w:rsidRPr="006746C9" w:rsidRDefault="00552CF1" w:rsidP="00513DB0">
            <w:pPr>
              <w:pStyle w:val="Bullets"/>
            </w:pPr>
            <w:r>
              <w:t>To inform the NEP indexation methodology review, w</w:t>
            </w:r>
            <w:r w:rsidR="003E4723">
              <w:t xml:space="preserve">hat </w:t>
            </w:r>
            <w:r w:rsidR="00211B53">
              <w:t>alternative</w:t>
            </w:r>
            <w:r w:rsidR="003E4723">
              <w:t xml:space="preserve"> indices or </w:t>
            </w:r>
            <w:r w:rsidR="00B1795B">
              <w:t xml:space="preserve">metrics </w:t>
            </w:r>
            <w:r w:rsidR="00C71620">
              <w:t xml:space="preserve">are publicly available and applicable at a national level, that demonstrate an evidence-based </w:t>
            </w:r>
            <w:r w:rsidR="00211B53">
              <w:t>correlat</w:t>
            </w:r>
            <w:r w:rsidR="00C71620">
              <w:t xml:space="preserve">ion between price inflation and cost increases in </w:t>
            </w:r>
            <w:r w:rsidR="0042528A">
              <w:t xml:space="preserve">the </w:t>
            </w:r>
            <w:r w:rsidR="00C71620">
              <w:t>deliver</w:t>
            </w:r>
            <w:r w:rsidR="0042528A">
              <w:t>y of</w:t>
            </w:r>
            <w:r w:rsidR="00C71620">
              <w:t xml:space="preserve"> </w:t>
            </w:r>
            <w:r w:rsidR="003E4723">
              <w:t>Australian public hospital services</w:t>
            </w:r>
            <w:r>
              <w:t>? Additionally, what are the underlying drivers of cost growth contributing to these cost increases</w:t>
            </w:r>
            <w:r w:rsidR="003E4723">
              <w:t>?</w:t>
            </w:r>
          </w:p>
        </w:tc>
      </w:tr>
    </w:tbl>
    <w:p w14:paraId="4EB0A4F0" w14:textId="0A2C8DDF" w:rsidR="003E4723" w:rsidRDefault="003F0B5B" w:rsidP="003E4723">
      <w:pPr>
        <w:pStyle w:val="Heading2"/>
        <w:spacing w:before="240"/>
      </w:pPr>
      <w:bookmarkStart w:id="48" w:name="_Toc133232577"/>
      <w:bookmarkStart w:id="49" w:name="_Toc135043518"/>
      <w:bookmarkEnd w:id="47"/>
      <w:r>
        <w:t>4</w:t>
      </w:r>
      <w:r w:rsidR="003E4723">
        <w:t>.4 Harmonising price weights across care settings</w:t>
      </w:r>
      <w:bookmarkEnd w:id="48"/>
      <w:bookmarkEnd w:id="49"/>
    </w:p>
    <w:p w14:paraId="69B472BC" w14:textId="77777777" w:rsidR="003E4723" w:rsidRDefault="003E4723" w:rsidP="003E4723">
      <w:pPr>
        <w:pStyle w:val="Body"/>
      </w:pPr>
      <w:r>
        <w:t>IHACPA’s Pricing Guidelines include an objective for price harmonisation whereby pricing should facilitate best practice provision of appropriate site of care.</w:t>
      </w:r>
    </w:p>
    <w:p w14:paraId="4AA2978C" w14:textId="77777777" w:rsidR="003E4723" w:rsidRDefault="003E4723" w:rsidP="003E4723">
      <w:pPr>
        <w:pStyle w:val="Body"/>
      </w:pPr>
      <w:r w:rsidRPr="00B93ECF">
        <w:rPr>
          <w:rFonts w:ascii="Fira Sans regular" w:eastAsia="Fira Sans regular" w:hAnsi="Fira Sans regular" w:cs="Times New Roman"/>
          <w:noProof/>
          <w:sz w:val="22"/>
          <w:szCs w:val="22"/>
          <w:lang w:eastAsia="en-AU"/>
        </w:rPr>
        <mc:AlternateContent>
          <mc:Choice Requires="wps">
            <w:drawing>
              <wp:inline distT="0" distB="0" distL="0" distR="0" wp14:anchorId="144D7AF7" wp14:editId="157F8428">
                <wp:extent cx="2610485" cy="1047750"/>
                <wp:effectExtent l="0" t="0" r="0" b="0"/>
                <wp:docPr id="2" name="Text Box 29" descr="Price harmonisation is a method to reduce and eliminate financial incentives for hospitals to admit patients that could otherwise be treated on a non-admitted basis due to a higher price for the same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047750"/>
                        </a:xfrm>
                        <a:prstGeom prst="rect">
                          <a:avLst/>
                        </a:prstGeom>
                        <a:solidFill>
                          <a:srgbClr val="0A4F98"/>
                        </a:solidFill>
                        <a:ln w="12700">
                          <a:noFill/>
                          <a:miter lim="800000"/>
                          <a:headEnd/>
                          <a:tailEnd/>
                        </a:ln>
                      </wps:spPr>
                      <wps:txbx>
                        <w:txbxContent>
                          <w:p w14:paraId="53A9B2F1" w14:textId="77777777" w:rsidR="003E4723" w:rsidRPr="00027A5C" w:rsidRDefault="003E4723" w:rsidP="003E4723">
                            <w:pPr>
                              <w:pStyle w:val="Body"/>
                              <w:rPr>
                                <w:b/>
                                <w:color w:val="FFFFFF" w:themeColor="background1"/>
                              </w:rPr>
                            </w:pPr>
                            <w:r w:rsidRPr="00D6055B">
                              <w:rPr>
                                <w:color w:val="FFFFFF" w:themeColor="background1"/>
                              </w:rPr>
                              <w:t>Price harmonisation is a method to reduce and eliminate financial incentives for hospitals to admit patients that could otherwise be treated on a non-admitted basis due to a higher price for the same service</w:t>
                            </w:r>
                            <w:r>
                              <w:rPr>
                                <w:color w:val="FFFFFF" w:themeColor="background1"/>
                              </w:rPr>
                              <w:t>s</w:t>
                            </w:r>
                            <w:r w:rsidRPr="00B93ECF">
                              <w:rPr>
                                <w:color w:val="FFFFFF"/>
                              </w:rPr>
                              <w:t>.</w:t>
                            </w:r>
                          </w:p>
                        </w:txbxContent>
                      </wps:txbx>
                      <wps:bodyPr rot="0" vert="horz" wrap="square" lIns="144000" tIns="0" rIns="144000" bIns="144000" anchor="t" anchorCtr="0" upright="1">
                        <a:noAutofit/>
                      </wps:bodyPr>
                    </wps:wsp>
                  </a:graphicData>
                </a:graphic>
              </wp:inline>
            </w:drawing>
          </mc:Choice>
          <mc:Fallback>
            <w:pict>
              <v:shapetype w14:anchorId="144D7AF7" id="_x0000_t202" coordsize="21600,21600" o:spt="202" path="m,l,21600r21600,l21600,xe">
                <v:stroke joinstyle="miter"/>
                <v:path gradientshapeok="t" o:connecttype="rect"/>
              </v:shapetype>
              <v:shape id="Text Box 29" o:spid="_x0000_s1026" type="#_x0000_t202" alt="Price harmonisation is a method to reduce and eliminate financial incentives for hospitals to admit patients that could otherwise be treated on a non-admitted basis due to a higher price for the same services." style="width:205.5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" fillcolor="#0a4f98" stroked="f" strokeweight="1pt">
                <v:textbox inset="4mm,0,4mm,4mm">
                  <w:txbxContent>
                    <w:p w14:paraId="53A9B2F1" w14:textId="77777777" w:rsidR="003E4723" w:rsidRPr="00027A5C" w:rsidRDefault="003E4723" w:rsidP="003E4723">
                      <w:pPr>
                        <w:pStyle w:val="Body"/>
                        <w:rPr>
                          <w:b/>
                          <w:color w:val="FFFFFF" w:themeColor="background1"/>
                        </w:rPr>
                      </w:pPr>
                      <w:r w:rsidRPr="00D6055B">
                        <w:rPr>
                          <w:color w:val="FFFFFF" w:themeColor="background1"/>
                        </w:rPr>
                        <w:t>Price harmonisation is a method to reduce and eliminate financial incentives for hospitals to admit patients that could otherwise be treated on a non-admitted basis due to a higher price for the same service</w:t>
                      </w:r>
                      <w:r>
                        <w:rPr>
                          <w:color w:val="FFFFFF" w:themeColor="background1"/>
                        </w:rPr>
                        <w:t>s</w:t>
                      </w:r>
                      <w:r w:rsidRPr="00B93ECF">
                        <w:rPr>
                          <w:color w:val="FFFFFF"/>
                        </w:rPr>
                        <w:t>.</w:t>
                      </w:r>
                    </w:p>
                  </w:txbxContent>
                </v:textbox>
                <w10:anchorlock/>
              </v:shape>
            </w:pict>
          </mc:Fallback>
        </mc:AlternateContent>
      </w:r>
    </w:p>
    <w:p w14:paraId="4A9893BE" w14:textId="5A68B777" w:rsidR="00E37FBE" w:rsidRDefault="003E4723" w:rsidP="00E37FBE">
      <w:pPr>
        <w:pStyle w:val="Body"/>
        <w:keepLines/>
      </w:pPr>
      <w:r>
        <w:t xml:space="preserve">In response to the Consultation Paper, stakeholders supported IHACPA undertaking work to harmonise price weights across care settings. </w:t>
      </w:r>
    </w:p>
    <w:p w14:paraId="5A9CBC5C" w14:textId="7A3B28C9" w:rsidR="003E4723" w:rsidRDefault="003E4723" w:rsidP="006271FA">
      <w:pPr>
        <w:pStyle w:val="Body"/>
        <w:keepLines/>
      </w:pPr>
      <w:r>
        <w:t xml:space="preserve">IHACPA notes that progressing price harmonisation requires further analysis of the stability of the underlying data, the suitability of services for harmonisation and the potential unintended consequences of pursuing price harmonisation. In particular, data linkage challenges and unexplained differences in reported costs across settings have hindered progression of price harmonisation for chemotherapy and dialysis in past years, despite stakeholder </w:t>
      </w:r>
      <w:r w:rsidR="00F77BB1">
        <w:t xml:space="preserve">support and </w:t>
      </w:r>
      <w:r>
        <w:t xml:space="preserve">feedback recommending harmonisation of these services. </w:t>
      </w:r>
    </w:p>
    <w:p w14:paraId="49F301D8" w14:textId="77777777" w:rsidR="003E4723" w:rsidRDefault="003E4723" w:rsidP="003E4723">
      <w:pPr>
        <w:pStyle w:val="Body"/>
      </w:pPr>
      <w:r>
        <w:t xml:space="preserve">For these reasons </w:t>
      </w:r>
      <w:r w:rsidRPr="00AC04B2">
        <w:t>IHACPA will consider opportunities to harmonise prices for similar services across settings for future Determinations</w:t>
      </w:r>
      <w:r>
        <w:t>.</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What potential risks should IHACPA consider in progressing price harmonisation of chemotherapy and dialysis for future NEP Determinations?&#10;&#10;Are there any other public hospital services that are potential candidates for price weight harmonisation across settings?"/>
      </w:tblPr>
      <w:tblGrid>
        <w:gridCol w:w="4149"/>
      </w:tblGrid>
      <w:tr w:rsidR="003E4723" w:rsidRPr="006746C9" w14:paraId="7B9E3CE8" w14:textId="77777777" w:rsidTr="00513DB0">
        <w:trPr>
          <w:trHeight w:val="1141"/>
          <w:jc w:val="center"/>
        </w:trPr>
        <w:tc>
          <w:tcPr>
            <w:tcW w:w="5000" w:type="pct"/>
            <w:tcBorders>
              <w:left w:val="nil"/>
            </w:tcBorders>
            <w:shd w:val="clear" w:color="auto" w:fill="E6F4F9"/>
          </w:tcPr>
          <w:p w14:paraId="0A9A8EF1" w14:textId="77777777" w:rsidR="003E4723" w:rsidRPr="006746C9" w:rsidRDefault="003E4723" w:rsidP="00513DB0">
            <w:pPr>
              <w:pStyle w:val="Heading4"/>
              <w:spacing w:line="360" w:lineRule="auto"/>
              <w:outlineLvl w:val="3"/>
              <w:rPr>
                <w:color w:val="000000" w:themeColor="text1"/>
              </w:rPr>
            </w:pPr>
            <w:r w:rsidRPr="006746C9">
              <w:rPr>
                <w:noProof/>
                <w:color w:val="000000" w:themeColor="text1"/>
              </w:rPr>
              <w:drawing>
                <wp:anchor distT="0" distB="0" distL="114300" distR="114300" simplePos="0" relativeHeight="251842560" behindDoc="0" locked="0" layoutInCell="1" allowOverlap="1" wp14:anchorId="08461BA5" wp14:editId="049F342E">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4"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666A745D" w14:textId="0154F94E" w:rsidR="003E4723" w:rsidRDefault="00F77BB1" w:rsidP="00513DB0">
            <w:pPr>
              <w:pStyle w:val="Bullets"/>
            </w:pPr>
            <w:r>
              <w:t>What</w:t>
            </w:r>
            <w:r w:rsidR="00091670">
              <w:t xml:space="preserve"> potential</w:t>
            </w:r>
            <w:r>
              <w:t xml:space="preserve"> risks should IHACPA consider in progressing</w:t>
            </w:r>
            <w:r w:rsidR="0042528A">
              <w:t xml:space="preserve"> </w:t>
            </w:r>
            <w:r w:rsidR="00B1795B">
              <w:t>price harmonisation of chemotherapy and dialysis for future NEP Determinations?</w:t>
            </w:r>
          </w:p>
          <w:p w14:paraId="1CFEF233" w14:textId="698C02D9" w:rsidR="003E4723" w:rsidRPr="006746C9" w:rsidRDefault="003E4723" w:rsidP="00513DB0">
            <w:pPr>
              <w:pStyle w:val="Bullets"/>
            </w:pPr>
            <w:r>
              <w:t>Are there any other public hospital services that are potential candidates for price weight harmonisation across settings?</w:t>
            </w:r>
          </w:p>
        </w:tc>
      </w:tr>
    </w:tbl>
    <w:p w14:paraId="00937AD5" w14:textId="6A4B6652" w:rsidR="003E4723" w:rsidRDefault="003F0B5B" w:rsidP="003E4723">
      <w:pPr>
        <w:pStyle w:val="Heading2"/>
        <w:spacing w:before="240"/>
      </w:pPr>
      <w:bookmarkStart w:id="50" w:name="_Toc133232578"/>
      <w:bookmarkStart w:id="51" w:name="_Toc135043519"/>
      <w:r>
        <w:t>4</w:t>
      </w:r>
      <w:r w:rsidR="003E4723">
        <w:t>.5 Unqualified newborns</w:t>
      </w:r>
      <w:bookmarkEnd w:id="50"/>
      <w:bookmarkEnd w:id="51"/>
    </w:p>
    <w:p w14:paraId="34DBFC3F" w14:textId="77777777" w:rsidR="003E4723" w:rsidRDefault="003E4723" w:rsidP="003E4723">
      <w:pPr>
        <w:pStyle w:val="Body"/>
      </w:pPr>
      <w:r w:rsidRPr="00C465F3">
        <w:t xml:space="preserve">In response to the </w:t>
      </w:r>
      <w:r w:rsidRPr="005112C6">
        <w:t>Consultation Paper,</w:t>
      </w:r>
      <w:r w:rsidRPr="00C465F3">
        <w:t xml:space="preserve"> </w:t>
      </w:r>
      <w:r>
        <w:t xml:space="preserve">stakeholders supported prioritisation of the proposed investigation into how costs for unqualified newborns are accounted for in the national pricing model and assessing whether methodology changes are required. </w:t>
      </w:r>
    </w:p>
    <w:p w14:paraId="7668BF92" w14:textId="77777777" w:rsidR="003E4723" w:rsidRDefault="003E4723" w:rsidP="003E4723">
      <w:pPr>
        <w:pStyle w:val="Body"/>
      </w:pPr>
      <w:r>
        <w:t>At present, a newborn qualification status is assigned to each patient day within a newborn episode of care. A newborn patient day is considered qualified if the infant meets at least one of the following criteria</w:t>
      </w:r>
      <w:r>
        <w:rPr>
          <w:rStyle w:val="FootnoteReference"/>
        </w:rPr>
        <w:footnoteReference w:id="2"/>
      </w:r>
      <w:r>
        <w:t>:</w:t>
      </w:r>
    </w:p>
    <w:p w14:paraId="2B8A42B5" w14:textId="77777777" w:rsidR="003E4723" w:rsidRDefault="003E4723" w:rsidP="003E4723">
      <w:pPr>
        <w:pStyle w:val="Bullets"/>
      </w:pPr>
      <w:r>
        <w:t>is the second or subsequent live born infant of a multiple birth, whose mother is currently an admitted patient</w:t>
      </w:r>
    </w:p>
    <w:p w14:paraId="722DE2F5" w14:textId="77777777" w:rsidR="003E4723" w:rsidRDefault="003E4723" w:rsidP="003E4723">
      <w:pPr>
        <w:pStyle w:val="Bullets"/>
      </w:pPr>
      <w:r>
        <w:t>is admitted to an intensive care facility in a hospital, being a facility approved by the Commonwealth Minister for the purpose of the provision of special care</w:t>
      </w:r>
    </w:p>
    <w:p w14:paraId="6568BC99" w14:textId="2CFA4AB3" w:rsidR="003E4723" w:rsidRDefault="003E4723" w:rsidP="003E4723">
      <w:pPr>
        <w:pStyle w:val="Bullets"/>
      </w:pPr>
      <w:r>
        <w:t>is admitted to or remains in hospital without its mother.</w:t>
      </w:r>
    </w:p>
    <w:p w14:paraId="7E18337D" w14:textId="2A464D9E" w:rsidR="003E4723" w:rsidRDefault="003E4723" w:rsidP="003E4723">
      <w:pPr>
        <w:pStyle w:val="Body"/>
      </w:pPr>
      <w:r>
        <w:lastRenderedPageBreak/>
        <w:t>A newborn patient day is considered unqualified if the infant does not meet any of the above criteria. Unqualified newborns are therefore not considered in-scope for admitted patient data collections for activity based funding (ABF). Their costs are assigned to the mother’s episode and included in the</w:t>
      </w:r>
      <w:r w:rsidR="00970294">
        <w:t xml:space="preserve"> DRG price for the</w:t>
      </w:r>
      <w:r>
        <w:t xml:space="preserve"> delivery.</w:t>
      </w:r>
    </w:p>
    <w:p w14:paraId="017C308F" w14:textId="3FFC73AB" w:rsidR="003E4723" w:rsidRDefault="003E4723" w:rsidP="003E4723">
      <w:pPr>
        <w:pStyle w:val="Body"/>
        <w:keepLines/>
      </w:pPr>
      <w:r>
        <w:t xml:space="preserve">Previously, stakeholders noted that the current approach to pricing newborn episodes of care does not reflect </w:t>
      </w:r>
      <w:r w:rsidR="006A7884">
        <w:t xml:space="preserve">the </w:t>
      </w:r>
      <w:r>
        <w:t>increased care being provided to newborns outside of the ICU setting, and that bundling of unqualified newborns within the maternal DRG may not adequately reflect the cost of care. Stakeholders recommended costs associated with both qualified and unqualified newborns should be assigned to separate DRG prices, independent of the mother’s admitted episode. Stakeholders also recommended reviewing the definitions and business rules for unqualified newborns.</w:t>
      </w:r>
    </w:p>
    <w:p w14:paraId="145F9207" w14:textId="73E4577A" w:rsidR="003E4723" w:rsidRDefault="003E4723" w:rsidP="003E4723">
      <w:pPr>
        <w:pStyle w:val="Body"/>
      </w:pPr>
      <w:r>
        <w:t xml:space="preserve">On the basis of this feedback, IHACPA will </w:t>
      </w:r>
      <w:r w:rsidR="00DD1273">
        <w:t xml:space="preserve">commence a </w:t>
      </w:r>
      <w:r>
        <w:t xml:space="preserve">review </w:t>
      </w:r>
      <w:r w:rsidR="00DD1273">
        <w:t xml:space="preserve">of </w:t>
      </w:r>
      <w:r>
        <w:t xml:space="preserve">the pricing methodology for unqualified newborns in </w:t>
      </w:r>
      <w:r w:rsidRPr="00D645CA">
        <w:t>202</w:t>
      </w:r>
      <w:r>
        <w:t>3</w:t>
      </w:r>
      <w:r w:rsidRPr="00D645CA">
        <w:t>–2</w:t>
      </w:r>
      <w:r>
        <w:t>4</w:t>
      </w:r>
      <w:r w:rsidR="00970294">
        <w:t xml:space="preserve"> with a view to remove any unintended pricing incentives that may affect service delivery and care decisions. IHACPA</w:t>
      </w:r>
      <w:r>
        <w:t xml:space="preserve"> not</w:t>
      </w:r>
      <w:r w:rsidR="00970294">
        <w:t>es</w:t>
      </w:r>
      <w:r>
        <w:t xml:space="preserve"> available cost data is limited and changes may be required to jurisdictional costing practices to support refinements to the methodology. As such, changes resulting from this review </w:t>
      </w:r>
      <w:r w:rsidR="00970294">
        <w:t>will</w:t>
      </w:r>
      <w:r>
        <w:t xml:space="preserve"> require sufficient lead time and would likely be considered for implementation in future Determinations. </w:t>
      </w:r>
    </w:p>
    <w:p w14:paraId="3171D33D" w14:textId="169FADEB" w:rsidR="003E4723" w:rsidRDefault="003E4723" w:rsidP="003E4723">
      <w:pPr>
        <w:pStyle w:val="Body"/>
      </w:pPr>
      <w:r>
        <w:t xml:space="preserve">In addition, </w:t>
      </w:r>
      <w:r w:rsidRPr="00540500">
        <w:t>IHACPA notes that the criteria for determining qualification status</w:t>
      </w:r>
      <w:r>
        <w:t>,</w:t>
      </w:r>
      <w:r w:rsidRPr="00540500">
        <w:t xml:space="preserve"> which is set</w:t>
      </w:r>
      <w:r>
        <w:t> </w:t>
      </w:r>
      <w:r w:rsidRPr="00540500">
        <w:t>out in legislation</w:t>
      </w:r>
      <w:r>
        <w:t>,</w:t>
      </w:r>
      <w:r w:rsidRPr="00540500">
        <w:t xml:space="preserve"> </w:t>
      </w:r>
      <w:r w:rsidR="00970294">
        <w:t>is</w:t>
      </w:r>
      <w:r w:rsidRPr="00540500">
        <w:t xml:space="preserve"> out</w:t>
      </w:r>
      <w:r>
        <w:noBreakHyphen/>
      </w:r>
      <w:r w:rsidRPr="00540500">
        <w:t xml:space="preserve">of-scope for this review. </w:t>
      </w:r>
      <w:r>
        <w:t>IHACPA’s review of the pricing methodology will focus on any changes that can be considered within the current legislative framework</w:t>
      </w:r>
      <w:r w:rsidR="00970294">
        <w:t xml:space="preserve"> and IHACPA’s remit under the </w:t>
      </w:r>
      <w:r w:rsidR="00970294" w:rsidRPr="00E252F3">
        <w:rPr>
          <w:i/>
          <w:iCs/>
        </w:rPr>
        <w:t>National Health Reform Act 2011</w:t>
      </w:r>
      <w:r w:rsidR="00970294">
        <w:t>.</w:t>
      </w:r>
      <w:r>
        <w:t xml:space="preserve"> </w:t>
      </w:r>
    </w:p>
    <w:p w14:paraId="422F0515" w14:textId="575C67E4" w:rsidR="003E4723" w:rsidRDefault="00E37FBE" w:rsidP="003E4723">
      <w:pPr>
        <w:pStyle w:val="Heading2"/>
        <w:spacing w:before="240"/>
      </w:pPr>
      <w:bookmarkStart w:id="52" w:name="_Toc133232579"/>
      <w:bookmarkStart w:id="53" w:name="_Toc135043520"/>
      <w:r>
        <w:br w:type="column"/>
      </w:r>
      <w:r w:rsidR="003F0B5B">
        <w:t>4</w:t>
      </w:r>
      <w:r w:rsidR="003E4723">
        <w:t>.6 Setting the national efficient price for private patients in public hospitals</w:t>
      </w:r>
      <w:bookmarkEnd w:id="52"/>
      <w:bookmarkEnd w:id="53"/>
      <w:r w:rsidR="003E4723">
        <w:t xml:space="preserve"> </w:t>
      </w:r>
    </w:p>
    <w:p w14:paraId="20E2D5DD" w14:textId="77777777" w:rsidR="003E4723" w:rsidRDefault="003E4723" w:rsidP="003E4723">
      <w:pPr>
        <w:pStyle w:val="Body"/>
      </w:pPr>
      <w:r>
        <w:t xml:space="preserve">The Addendum specifies that IHACPA will adjust the price for privately insured patients in public hospitals to the extent required to achieve overall payment parity between public and private patients in the relevant state or territory, taking into account all hospital revenues. </w:t>
      </w:r>
    </w:p>
    <w:p w14:paraId="393353F4" w14:textId="576AA82A" w:rsidR="003E4723" w:rsidRDefault="003E4723" w:rsidP="003E4723">
      <w:pPr>
        <w:pStyle w:val="Body"/>
      </w:pPr>
      <w:r>
        <w:t>In addressing clauses A13, A43 and A44 of the Addendum, IHACPA developed the following definition of financial neutrality and payment parity in terms of revenue per national weighted activity unit (NWAU) for the given year, excluding private patient adjustments.</w:t>
      </w:r>
    </w:p>
    <w:p w14:paraId="01289B39" w14:textId="77777777" w:rsidR="003E4723" w:rsidRDefault="003E4723" w:rsidP="003E4723">
      <w:pPr>
        <w:pStyle w:val="Body"/>
      </w:pPr>
      <w:r w:rsidRPr="00B93ECF">
        <w:rPr>
          <w:rFonts w:ascii="Fira Sans regular" w:eastAsia="Fira Sans regular" w:hAnsi="Fira Sans regular" w:cs="Times New Roman"/>
          <w:noProof/>
          <w:sz w:val="22"/>
          <w:szCs w:val="22"/>
          <w:lang w:eastAsia="en-AU"/>
        </w:rPr>
        <mc:AlternateContent>
          <mc:Choice Requires="wps">
            <w:drawing>
              <wp:inline distT="0" distB="0" distL="0" distR="0" wp14:anchorId="39E38B63" wp14:editId="69672476">
                <wp:extent cx="2610485" cy="1469036"/>
                <wp:effectExtent l="0" t="0" r="0" b="0"/>
                <wp:docPr id="116" name="Text Box 29" descr="The sum of revenue a local hospital network (LHN) receives for public patient NWAU (Commonwealth and state or territory ABF payments) should be equal to payments made for a LHN service for private patient NWAU (Commonwealth and state or territory ABF payments, insurer payments and Medicare Benefit Schedule payment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469036"/>
                        </a:xfrm>
                        <a:prstGeom prst="rect">
                          <a:avLst/>
                        </a:prstGeom>
                        <a:solidFill>
                          <a:srgbClr val="0A4F98"/>
                        </a:solidFill>
                        <a:ln w="12700">
                          <a:noFill/>
                          <a:miter lim="800000"/>
                          <a:headEnd/>
                          <a:tailEnd/>
                        </a:ln>
                      </wps:spPr>
                      <wps:txbx>
                        <w:txbxContent>
                          <w:p w14:paraId="3042B027" w14:textId="77777777" w:rsidR="003E4723" w:rsidRPr="00B93ECF" w:rsidRDefault="003E4723" w:rsidP="003E4723">
                            <w:pPr>
                              <w:pStyle w:val="Body"/>
                              <w:rPr>
                                <w:b/>
                                <w:color w:val="FFFFFF"/>
                              </w:rPr>
                            </w:pPr>
                            <w:r w:rsidRPr="00B93ECF">
                              <w:rPr>
                                <w:color w:val="FFFFFF"/>
                              </w:rPr>
                              <w:t>The sum of revenue a local hospital network (LHN) receives for public patient NWAU (Commonwealth and state or territory ABF payments) should be equal to payments made for a LHN service for private patient NWAU (Commonwealth and state or territory ABF payments, insurer payments and Medicare Benefit Schedule payments).</w:t>
                            </w:r>
                          </w:p>
                        </w:txbxContent>
                      </wps:txbx>
                      <wps:bodyPr rot="0" vert="horz" wrap="square" lIns="144000" tIns="0" rIns="144000" bIns="144000" anchor="t" anchorCtr="0" upright="1">
                        <a:noAutofit/>
                      </wps:bodyPr>
                    </wps:wsp>
                  </a:graphicData>
                </a:graphic>
              </wp:inline>
            </w:drawing>
          </mc:Choice>
          <mc:Fallback>
            <w:pict>
              <v:shape w14:anchorId="39E38B63" id="_x0000_s1027" type="#_x0000_t202" alt="The sum of revenue a local hospital network (LHN) receives for public patient NWAU (Commonwealth and state or territory ABF payments) should be equal to payments made for a LHN service for private patient NWAU (Commonwealth and state or territory ABF payments, insurer payments and Medicare Benefit Schedule payments)." style="width:205.55pt;height:1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" fillcolor="#0a4f98" stroked="f" strokeweight="1pt">
                <v:textbox inset="4mm,0,4mm,4mm">
                  <w:txbxContent>
                    <w:p w14:paraId="3042B027" w14:textId="77777777" w:rsidR="003E4723" w:rsidRPr="00B93ECF" w:rsidRDefault="003E4723" w:rsidP="003E4723">
                      <w:pPr>
                        <w:pStyle w:val="Body"/>
                        <w:rPr>
                          <w:b/>
                          <w:color w:val="FFFFFF"/>
                        </w:rPr>
                      </w:pPr>
                      <w:r w:rsidRPr="00B93ECF">
                        <w:rPr>
                          <w:color w:val="FFFFFF"/>
                        </w:rPr>
                        <w:t>The sum of revenue a local hospital network (LHN) receives for public patient NWAU (Commonwealth and state or territory ABF payments) should be equal to payments made for a LHN service for private patient NWAU (Commonwealth and state or territory ABF payments, insurer payments and Medicare Benefit Schedule payments).</w:t>
                      </w:r>
                    </w:p>
                  </w:txbxContent>
                </v:textbox>
                <w10:anchorlock/>
              </v:shape>
            </w:pict>
          </mc:Fallback>
        </mc:AlternateContent>
      </w:r>
    </w:p>
    <w:p w14:paraId="0DD79C8C" w14:textId="77777777" w:rsidR="003E4723" w:rsidRDefault="003E4723" w:rsidP="003E4723">
      <w:pPr>
        <w:pStyle w:val="Body"/>
      </w:pPr>
      <w:r w:rsidRPr="00B93ECF">
        <w:t xml:space="preserve">IHACPA </w:t>
      </w:r>
      <w:r>
        <w:t>determines</w:t>
      </w:r>
      <w:r w:rsidRPr="00B93ECF">
        <w:t xml:space="preserve"> a private patient </w:t>
      </w:r>
      <w:r>
        <w:t xml:space="preserve">adjustment </w:t>
      </w:r>
      <w:r w:rsidRPr="00B93ECF">
        <w:t xml:space="preserve">methodology that ensures financial neutrality and payment parity with respect to all patients, regardless of whether patients elect to be private or public. Stakeholders provided feedback regarding the limits and consistency of data used in the methodology, and the methodology’s potential impact on the growth of public NWAU.  </w:t>
      </w:r>
    </w:p>
    <w:p w14:paraId="239D5B3D" w14:textId="77777777" w:rsidR="003E4723" w:rsidRDefault="003E4723" w:rsidP="003E4723">
      <w:pPr>
        <w:pStyle w:val="Body"/>
      </w:pPr>
      <w:r>
        <w:t>In fulfilling its functions under clause A44 of the Addendum, IHACPA intends to adopt the same methodology for NEP24.</w:t>
      </w:r>
    </w:p>
    <w:p w14:paraId="66C1F0DD" w14:textId="0A3E2050" w:rsidR="003E4723" w:rsidRPr="00A95011" w:rsidRDefault="003F0B5B" w:rsidP="003E4723">
      <w:pPr>
        <w:pStyle w:val="Heading3"/>
      </w:pPr>
      <w:r>
        <w:t>4</w:t>
      </w:r>
      <w:r w:rsidR="00CB169C">
        <w:t xml:space="preserve">.6.1 </w:t>
      </w:r>
      <w:r w:rsidR="003E4723" w:rsidRPr="00A95011">
        <w:t>Phasing out the private patient correction factor</w:t>
      </w:r>
    </w:p>
    <w:p w14:paraId="39422B3C" w14:textId="77777777" w:rsidR="003E4723" w:rsidRDefault="003E4723" w:rsidP="003E4723">
      <w:pPr>
        <w:pStyle w:val="Body"/>
      </w:pPr>
      <w:r>
        <w:t xml:space="preserve">The collection of private patient medical expenses has previously been problematic in the NHCDC, which led to the introduction of the private patient correction factor as an interim solution for the issue of missing private patient costs in the NHCDC. </w:t>
      </w:r>
    </w:p>
    <w:p w14:paraId="3A816FF8" w14:textId="77777777" w:rsidR="003E4723" w:rsidRDefault="003E4723" w:rsidP="003E4723">
      <w:pPr>
        <w:pStyle w:val="Body"/>
      </w:pPr>
      <w:r>
        <w:t>The implementation of the Australian Hospital Patient Costing Standards Version 4.0 aimed to address the issue of missing costs in the NHCDC, meaning the private patient correction factor is no longer required.</w:t>
      </w:r>
    </w:p>
    <w:p w14:paraId="73F37DA2" w14:textId="22EC6B1D" w:rsidR="00B1795B" w:rsidRDefault="000A664D" w:rsidP="000A664D">
      <w:pPr>
        <w:pStyle w:val="Body"/>
      </w:pPr>
      <w:r>
        <w:lastRenderedPageBreak/>
        <w:t>At present, the private patient correction ‘adds back’ costs of private patients which are met through alternative funding sources</w:t>
      </w:r>
      <w:r w:rsidR="00F13D91">
        <w:t xml:space="preserve">, for example, where a jurisdiction </w:t>
      </w:r>
      <w:r>
        <w:t>do</w:t>
      </w:r>
      <w:r w:rsidR="00F13D91">
        <w:t>es</w:t>
      </w:r>
      <w:r>
        <w:t xml:space="preserve"> not report private patient costs within their NHCDC submissions. </w:t>
      </w:r>
      <w:r w:rsidR="00B1795B">
        <w:t xml:space="preserve">IHACPA will assess 2021–22 cost data and continue to consult with </w:t>
      </w:r>
      <w:r w:rsidR="00F13D91">
        <w:t xml:space="preserve">jurisdictions </w:t>
      </w:r>
      <w:r w:rsidR="00B1795B">
        <w:t>on phasing out the private patient correction factor.</w:t>
      </w:r>
    </w:p>
    <w:p w14:paraId="663502BC" w14:textId="77777777" w:rsidR="003E4723" w:rsidRDefault="003E4723" w:rsidP="003E4723">
      <w:pPr>
        <w:pStyle w:val="Body"/>
      </w:pPr>
    </w:p>
    <w:p w14:paraId="28BCD267" w14:textId="77777777" w:rsidR="0055477F" w:rsidRDefault="0055477F" w:rsidP="0055477F">
      <w:pPr>
        <w:pStyle w:val="Heading2"/>
      </w:pPr>
    </w:p>
    <w:p w14:paraId="45837397" w14:textId="77777777" w:rsidR="00D05D0A" w:rsidRDefault="00D05D0A" w:rsidP="00D05D0A">
      <w:pPr>
        <w:sectPr w:rsidR="00D05D0A" w:rsidSect="00AD603F">
          <w:headerReference w:type="default" r:id="rId64"/>
          <w:type w:val="continuous"/>
          <w:pgSz w:w="11906" w:h="16838" w:code="9"/>
          <w:pgMar w:top="1440" w:right="1440" w:bottom="1440" w:left="1440" w:header="708" w:footer="708" w:gutter="0"/>
          <w:cols w:num="2" w:space="708"/>
          <w:docGrid w:linePitch="360"/>
          <w15:footnoteColumns w:val="1"/>
        </w:sectPr>
      </w:pPr>
    </w:p>
    <w:p w14:paraId="6E90B396" w14:textId="71711E50" w:rsidR="00D05D0A" w:rsidRPr="005107C4" w:rsidRDefault="003F0B5B" w:rsidP="006B19D6">
      <w:pPr>
        <w:pStyle w:val="ChapterNumber"/>
        <w:spacing w:before="600"/>
        <w:jc w:val="left"/>
        <w:rPr>
          <w:color w:val="15272F" w:themeColor="accent3"/>
        </w:rPr>
      </w:pPr>
      <w:r>
        <w:rPr>
          <w:color w:val="15272F" w:themeColor="accent3"/>
        </w:rPr>
        <w:lastRenderedPageBreak/>
        <w:t>5</w:t>
      </w:r>
    </w:p>
    <w:p w14:paraId="2C2A313A" w14:textId="77777777" w:rsidR="003E4723" w:rsidRPr="006271FA" w:rsidRDefault="003E4723" w:rsidP="006271FA">
      <w:pPr>
        <w:pStyle w:val="Heading1"/>
        <w:ind w:right="3214"/>
        <w:rPr>
          <w:color w:val="54C1AF" w:themeColor="accent4"/>
        </w:rPr>
      </w:pPr>
      <w:bookmarkStart w:id="54" w:name="_Toc133232584"/>
      <w:bookmarkStart w:id="55" w:name="_Toc135043521"/>
      <w:r w:rsidRPr="006271FA">
        <w:rPr>
          <w:color w:val="54C1AF" w:themeColor="accent4"/>
        </w:rPr>
        <w:t>Setting the national efficient cost</w:t>
      </w:r>
      <w:bookmarkEnd w:id="54"/>
      <w:bookmarkEnd w:id="55"/>
    </w:p>
    <w:p w14:paraId="69BCB47F" w14:textId="77777777" w:rsidR="00D05D0A" w:rsidRDefault="00D05D0A" w:rsidP="00D05D0A">
      <w:pPr>
        <w:pStyle w:val="Body"/>
        <w:sectPr w:rsidR="00D05D0A" w:rsidSect="00C9543A">
          <w:headerReference w:type="default" r:id="rId65"/>
          <w:footerReference w:type="default" r:id="rId66"/>
          <w:pgSz w:w="11906" w:h="16838" w:code="9"/>
          <w:pgMar w:top="851" w:right="1440" w:bottom="1440" w:left="1440" w:header="708" w:footer="708" w:gutter="0"/>
          <w:cols w:space="708"/>
          <w:docGrid w:linePitch="360"/>
        </w:sectPr>
      </w:pPr>
    </w:p>
    <w:p w14:paraId="07656CB8" w14:textId="77777777" w:rsidR="00D05D0A" w:rsidRDefault="00D05D0A" w:rsidP="00D05D0A">
      <w:pPr>
        <w:pStyle w:val="Body"/>
        <w:sectPr w:rsidR="00D05D0A" w:rsidSect="00F4029B">
          <w:headerReference w:type="default" r:id="rId67"/>
          <w:footerReference w:type="default" r:id="rId68"/>
          <w:pgSz w:w="11906" w:h="16838" w:code="9"/>
          <w:pgMar w:top="2410" w:right="1440" w:bottom="1440" w:left="1440" w:header="568" w:footer="708" w:gutter="0"/>
          <w:cols w:space="708"/>
          <w:docGrid w:linePitch="360"/>
        </w:sectPr>
      </w:pPr>
    </w:p>
    <w:p w14:paraId="64377EB4" w14:textId="1BA4D302" w:rsidR="003E4723" w:rsidRPr="00FF61D1" w:rsidRDefault="003F0B5B" w:rsidP="003E4723">
      <w:pPr>
        <w:pStyle w:val="Heading2"/>
      </w:pPr>
      <w:bookmarkStart w:id="56" w:name="_Toc133232585"/>
      <w:bookmarkStart w:id="57" w:name="_Toc135043522"/>
      <w:r>
        <w:t>5</w:t>
      </w:r>
      <w:r w:rsidR="003E4723">
        <w:t>.1 Overview</w:t>
      </w:r>
      <w:bookmarkEnd w:id="56"/>
      <w:bookmarkEnd w:id="57"/>
    </w:p>
    <w:p w14:paraId="4004B6E7" w14:textId="77777777" w:rsidR="003E4723" w:rsidRPr="00D53E7B" w:rsidRDefault="003E4723" w:rsidP="003E4723">
      <w:pPr>
        <w:pStyle w:val="Body"/>
      </w:pPr>
      <w:r w:rsidRPr="00D53E7B">
        <w:t xml:space="preserve">The Independent Health and Aged Care Pricing Authority (IHACPA) developed the national efficient cost (NEC) for services that are not suitable for activity based funding (ABF), as provided by the Addendum to the National Health Reform Agreement (NHRA) 2020–25 (the Addendum). Such services include small rural hospitals, which are funded by a block allocation based on their size, location and the type of services provided. </w:t>
      </w:r>
    </w:p>
    <w:p w14:paraId="0FE98AE5" w14:textId="77777777" w:rsidR="003E4723" w:rsidRPr="00D53E7B" w:rsidRDefault="003E4723" w:rsidP="003E4723">
      <w:pPr>
        <w:pStyle w:val="Body"/>
      </w:pPr>
      <w:r w:rsidRPr="00D53E7B">
        <w:t>A low volume threshold is used to determine whether a public hospital is eligible to receive block funding. All hospital activity is included in assessing the hospital against the low volume threshold. This includes admitted acute and subacute, non</w:t>
      </w:r>
      <w:r>
        <w:noBreakHyphen/>
      </w:r>
      <w:r w:rsidRPr="00D53E7B">
        <w:t xml:space="preserve">admitted and emergency department activity. </w:t>
      </w:r>
    </w:p>
    <w:p w14:paraId="0D8237E7" w14:textId="1D3FB597" w:rsidR="003E4723" w:rsidRDefault="003F0B5B" w:rsidP="003E4723">
      <w:pPr>
        <w:pStyle w:val="Heading2"/>
        <w:spacing w:before="240"/>
      </w:pPr>
      <w:bookmarkStart w:id="58" w:name="_Toc133232586"/>
      <w:bookmarkStart w:id="59" w:name="_Toc135043523"/>
      <w:r>
        <w:t>5</w:t>
      </w:r>
      <w:r w:rsidR="003E4723" w:rsidRPr="008651E2">
        <w:t>.2. The ‘fixed-plus</w:t>
      </w:r>
      <w:r w:rsidR="003E4723">
        <w:t>-</w:t>
      </w:r>
      <w:r w:rsidR="003E4723" w:rsidRPr="008651E2">
        <w:t>variable’ model</w:t>
      </w:r>
      <w:bookmarkEnd w:id="58"/>
      <w:bookmarkEnd w:id="59"/>
    </w:p>
    <w:p w14:paraId="57A7620C" w14:textId="77777777" w:rsidR="003E4723" w:rsidRPr="00D53E7B" w:rsidRDefault="003E4723" w:rsidP="003E4723">
      <w:pPr>
        <w:pStyle w:val="Body"/>
      </w:pPr>
      <w:r w:rsidRPr="00D53E7B">
        <w:t xml:space="preserve">Both ABF and block-funding approaches cover services that are within the scope of the NHRA. The key difference is that the ABF model calculates an efficient price per episode of care, while the block funded model calculates an efficient cost for the hospital. </w:t>
      </w:r>
    </w:p>
    <w:p w14:paraId="4B694AFD" w14:textId="45912DA6" w:rsidR="003E4723" w:rsidRPr="00D53E7B" w:rsidRDefault="00F86044" w:rsidP="003E4723">
      <w:pPr>
        <w:pStyle w:val="Body"/>
      </w:pPr>
      <w:r>
        <w:t>Since</w:t>
      </w:r>
      <w:r w:rsidRPr="00D53E7B">
        <w:t xml:space="preserve"> </w:t>
      </w:r>
      <w:r w:rsidR="003E4723" w:rsidRPr="00D53E7B">
        <w:t xml:space="preserve">the </w:t>
      </w:r>
      <w:r w:rsidR="003E4723" w:rsidRPr="00306EDB">
        <w:rPr>
          <w:i/>
          <w:iCs/>
        </w:rPr>
        <w:t>NEC Determination 2020–21</w:t>
      </w:r>
      <w:r w:rsidR="003E4723" w:rsidRPr="00D53E7B">
        <w:t xml:space="preserve">, IHACPA </w:t>
      </w:r>
      <w:r>
        <w:t xml:space="preserve">has used a </w:t>
      </w:r>
      <w:r w:rsidR="003E4723" w:rsidRPr="00D53E7B">
        <w:t xml:space="preserve">‘fixed-plus-variable’ model where the total modelled cost of each hospital is based on a fixed component as well as a variable ABF style component. Under this approach, the fixed component decreases while the variable component increases, reflecting volume of activity. </w:t>
      </w:r>
    </w:p>
    <w:p w14:paraId="216EA394" w14:textId="77777777" w:rsidR="003E4723" w:rsidRDefault="003E4723" w:rsidP="003E4723">
      <w:pPr>
        <w:pStyle w:val="Body"/>
      </w:pPr>
      <w:r w:rsidRPr="00D53E7B">
        <w:t>IH</w:t>
      </w:r>
      <w:r>
        <w:t>AC</w:t>
      </w:r>
      <w:r w:rsidRPr="00D53E7B">
        <w:t xml:space="preserve">PA will continue to use the ‘fixed-plus-variable’ model for the </w:t>
      </w:r>
      <w:r w:rsidRPr="006271FA">
        <w:t>NEC Determination 2024–25</w:t>
      </w:r>
      <w:r w:rsidRPr="00021082">
        <w:t xml:space="preserve"> </w:t>
      </w:r>
      <w:r w:rsidRPr="00D53E7B">
        <w:t>(NEC24).</w:t>
      </w:r>
    </w:p>
    <w:p w14:paraId="2C862C2C" w14:textId="79D73D51" w:rsidR="003E4723" w:rsidRPr="00D53E7B" w:rsidRDefault="003E4723" w:rsidP="003E4723">
      <w:pPr>
        <w:pStyle w:val="Body"/>
      </w:pPr>
    </w:p>
    <w:p w14:paraId="325971CC" w14:textId="30262EBC" w:rsidR="003E4723" w:rsidRDefault="003F0B5B" w:rsidP="003E4723">
      <w:pPr>
        <w:pStyle w:val="Heading2"/>
        <w:spacing w:before="240"/>
      </w:pPr>
      <w:bookmarkStart w:id="60" w:name="_Toc133232587"/>
      <w:bookmarkStart w:id="61" w:name="_Toc135043524"/>
      <w:r>
        <w:t>5</w:t>
      </w:r>
      <w:r w:rsidR="003E4723">
        <w:t>.3 Standalone hospitals providing specialist mental health services</w:t>
      </w:r>
      <w:bookmarkEnd w:id="60"/>
      <w:bookmarkEnd w:id="61"/>
      <w:r w:rsidR="003E4723">
        <w:t xml:space="preserve"> </w:t>
      </w:r>
    </w:p>
    <w:p w14:paraId="2C6F6279" w14:textId="77777777" w:rsidR="003E4723" w:rsidRDefault="003E4723" w:rsidP="003E4723">
      <w:pPr>
        <w:pStyle w:val="Body"/>
      </w:pPr>
      <w:r>
        <w:t xml:space="preserve">Other block funded hospitals such as standalone </w:t>
      </w:r>
      <w:r w:rsidRPr="008651E2">
        <w:t xml:space="preserve">hospitals providing specialist mental health services (for example, psychiatric hospitals) are treated separately from the ‘fixed-plus-variable’ cost model. </w:t>
      </w:r>
    </w:p>
    <w:p w14:paraId="48217ABF" w14:textId="77777777" w:rsidR="003E4723" w:rsidRDefault="003E4723" w:rsidP="003E4723">
      <w:pPr>
        <w:pStyle w:val="Body"/>
      </w:pPr>
      <w:r w:rsidRPr="008651E2">
        <w:t xml:space="preserve">The efficient cost of these hospitals is currently determined in consultation with the relevant state or territory with reference to their total in-scope reported expenditure. </w:t>
      </w:r>
    </w:p>
    <w:p w14:paraId="469FA5C2" w14:textId="7E94032C" w:rsidR="00171962" w:rsidRDefault="003E4723" w:rsidP="003E4723">
      <w:pPr>
        <w:pStyle w:val="Body"/>
      </w:pPr>
      <w:r w:rsidRPr="008651E2">
        <w:t>IH</w:t>
      </w:r>
      <w:r>
        <w:t>AC</w:t>
      </w:r>
      <w:r w:rsidRPr="008651E2">
        <w:t xml:space="preserve">PA </w:t>
      </w:r>
      <w:r w:rsidR="00F86044">
        <w:t>priced</w:t>
      </w:r>
      <w:r w:rsidRPr="008651E2">
        <w:t xml:space="preserve"> admitted mental health care using the Australian Mental Health Care Classification (AMHCC) Version 1.0 for the National Efficient Price (NEP) Determination</w:t>
      </w:r>
      <w:r w:rsidR="00F86044">
        <w:t>s for</w:t>
      </w:r>
      <w:r w:rsidRPr="008651E2">
        <w:t xml:space="preserve"> 2022–23</w:t>
      </w:r>
      <w:r w:rsidR="00F86044">
        <w:t xml:space="preserve"> and </w:t>
      </w:r>
      <w:r w:rsidR="003379C6">
        <w:br/>
      </w:r>
      <w:r w:rsidR="00F86044" w:rsidRPr="008651E2">
        <w:t>202</w:t>
      </w:r>
      <w:r w:rsidR="00F86044">
        <w:t>3</w:t>
      </w:r>
      <w:r w:rsidR="00F86044" w:rsidRPr="008651E2">
        <w:t>–2</w:t>
      </w:r>
      <w:r w:rsidR="00F86044">
        <w:t>4</w:t>
      </w:r>
      <w:r w:rsidRPr="008651E2">
        <w:t>.</w:t>
      </w:r>
      <w:r w:rsidR="00171962">
        <w:t xml:space="preserve"> </w:t>
      </w:r>
      <w:r w:rsidR="00092BA9">
        <w:t xml:space="preserve">In the 2021–22 financial year, some standalone </w:t>
      </w:r>
      <w:r w:rsidR="00092BA9" w:rsidRPr="008651E2">
        <w:t>hospitals providing specialist mental health services</w:t>
      </w:r>
      <w:r w:rsidR="00092BA9">
        <w:t xml:space="preserve"> reported admitted mental health care activity as part of the</w:t>
      </w:r>
      <w:r w:rsidR="00970294">
        <w:t xml:space="preserve"> </w:t>
      </w:r>
      <w:r w:rsidR="00FC1B15">
        <w:t>A</w:t>
      </w:r>
      <w:r w:rsidR="00970294">
        <w:t>ctivity based funding</w:t>
      </w:r>
      <w:r w:rsidR="00092BA9">
        <w:t xml:space="preserve"> Mental </w:t>
      </w:r>
      <w:r w:rsidR="00970294">
        <w:t>h</w:t>
      </w:r>
      <w:r w:rsidR="00092BA9">
        <w:t xml:space="preserve">ealth </w:t>
      </w:r>
      <w:r w:rsidR="00970294">
        <w:t>care n</w:t>
      </w:r>
      <w:r w:rsidR="00092BA9">
        <w:t xml:space="preserve">ational </w:t>
      </w:r>
      <w:r w:rsidR="00970294">
        <w:t>b</w:t>
      </w:r>
      <w:r w:rsidR="00092BA9">
        <w:t xml:space="preserve">est </w:t>
      </w:r>
      <w:r w:rsidR="00970294">
        <w:t>e</w:t>
      </w:r>
      <w:r w:rsidR="00092BA9">
        <w:t xml:space="preserve">ndeavours </w:t>
      </w:r>
      <w:r w:rsidR="00970294">
        <w:t>d</w:t>
      </w:r>
      <w:r w:rsidR="00092BA9">
        <w:t xml:space="preserve">ata </w:t>
      </w:r>
      <w:r w:rsidR="00970294">
        <w:t>s</w:t>
      </w:r>
      <w:r w:rsidR="00092BA9">
        <w:t xml:space="preserve">et. </w:t>
      </w:r>
    </w:p>
    <w:p w14:paraId="01B37385" w14:textId="19A4E7E3" w:rsidR="003E4723" w:rsidRPr="008651E2" w:rsidRDefault="003E4723" w:rsidP="003E4723">
      <w:pPr>
        <w:pStyle w:val="Body"/>
      </w:pPr>
      <w:r w:rsidRPr="008651E2">
        <w:t>IH</w:t>
      </w:r>
      <w:r>
        <w:t>AC</w:t>
      </w:r>
      <w:r w:rsidRPr="008651E2">
        <w:t xml:space="preserve">PA will work with jurisdictions to </w:t>
      </w:r>
      <w:r w:rsidR="00092BA9">
        <w:t xml:space="preserve">review activity and cost data from standalone </w:t>
      </w:r>
      <w:r w:rsidR="00092BA9" w:rsidRPr="008651E2">
        <w:t xml:space="preserve">hospitals providing specialist mental health services </w:t>
      </w:r>
      <w:r w:rsidR="00092BA9">
        <w:t xml:space="preserve">that received block funding in the NEC Determination 2023–24 </w:t>
      </w:r>
      <w:r w:rsidR="00092BA9" w:rsidRPr="00092BA9">
        <w:t>to determine if they</w:t>
      </w:r>
      <w:r w:rsidR="00092BA9">
        <w:t xml:space="preserve"> continue to meet </w:t>
      </w:r>
      <w:r w:rsidR="00092BA9" w:rsidRPr="00092BA9">
        <w:t xml:space="preserve">the ‘low-volume’ threshold </w:t>
      </w:r>
      <w:r w:rsidR="00092BA9">
        <w:t xml:space="preserve">and if not, </w:t>
      </w:r>
      <w:r w:rsidRPr="008651E2">
        <w:t xml:space="preserve">investigate the feasibility of transitioning </w:t>
      </w:r>
      <w:r w:rsidR="00092BA9">
        <w:t>them</w:t>
      </w:r>
      <w:r w:rsidRPr="008651E2">
        <w:t xml:space="preserve"> to ABF in the development of NEC2</w:t>
      </w:r>
      <w:r>
        <w:t>4</w:t>
      </w:r>
      <w:r w:rsidRPr="008651E2">
        <w:t>.</w:t>
      </w:r>
    </w:p>
    <w:p w14:paraId="5C636F62" w14:textId="1FA40B24" w:rsidR="003E4723" w:rsidRDefault="003F0B5B" w:rsidP="003E4723">
      <w:pPr>
        <w:pStyle w:val="Heading2"/>
        <w:spacing w:before="240"/>
      </w:pPr>
      <w:bookmarkStart w:id="62" w:name="_Toc133232588"/>
      <w:bookmarkStart w:id="63" w:name="_Toc135043525"/>
      <w:r>
        <w:t>5</w:t>
      </w:r>
      <w:r w:rsidR="003E4723">
        <w:t>.</w:t>
      </w:r>
      <w:r w:rsidR="00CC7C08">
        <w:t xml:space="preserve">4 </w:t>
      </w:r>
      <w:r w:rsidR="003E4723">
        <w:t>NEC indexation methodology</w:t>
      </w:r>
      <w:bookmarkEnd w:id="62"/>
      <w:bookmarkEnd w:id="63"/>
    </w:p>
    <w:p w14:paraId="6DB4FA0A" w14:textId="19108641" w:rsidR="003E4723" w:rsidRDefault="003E4723" w:rsidP="003E4723">
      <w:pPr>
        <w:pStyle w:val="Body"/>
      </w:pPr>
      <w:r w:rsidRPr="00C465F3">
        <w:t xml:space="preserve">In response to the </w:t>
      </w:r>
      <w:r w:rsidRPr="00C465F3">
        <w:rPr>
          <w:i/>
          <w:iCs/>
        </w:rPr>
        <w:t>Consultation Paper on Australian Public Hospital Services 2023–24</w:t>
      </w:r>
      <w:r>
        <w:rPr>
          <w:i/>
          <w:iCs/>
        </w:rPr>
        <w:t xml:space="preserve"> </w:t>
      </w:r>
      <w:r w:rsidRPr="005112C6">
        <w:t>(the Consultation Paper)</w:t>
      </w:r>
      <w:r>
        <w:t>, s</w:t>
      </w:r>
      <w:r w:rsidRPr="008651E2">
        <w:t>takeholders advised</w:t>
      </w:r>
      <w:r>
        <w:t xml:space="preserve"> of a range of</w:t>
      </w:r>
      <w:r w:rsidR="00970294">
        <w:t xml:space="preserve"> ongoing</w:t>
      </w:r>
      <w:r>
        <w:t xml:space="preserve"> cost pressures for regional or remote hospitals that may not be reflected in the cost data such as</w:t>
      </w:r>
      <w:r w:rsidRPr="00C94FB3">
        <w:t xml:space="preserve"> </w:t>
      </w:r>
      <w:r>
        <w:t xml:space="preserve">costs associated with rural workforce shortages, </w:t>
      </w:r>
      <w:r w:rsidR="00970294">
        <w:t>and</w:t>
      </w:r>
      <w:r>
        <w:t xml:space="preserve"> regional and remote specific costs, including patient transport costs. </w:t>
      </w:r>
    </w:p>
    <w:p w14:paraId="52E930A4" w14:textId="77777777" w:rsidR="003E4723" w:rsidRDefault="003E4723" w:rsidP="003E4723">
      <w:pPr>
        <w:pStyle w:val="Body"/>
      </w:pPr>
      <w:r>
        <w:lastRenderedPageBreak/>
        <w:t xml:space="preserve">Similar to the NEP indexation methodology, the NEC indexation methodology is based on historical data, however it is developed using expenditure data that incorporates both costs and volumes of activity. The purpose of the NEC indexation rate is to also account for growth in volume and growth in unit costs. </w:t>
      </w:r>
    </w:p>
    <w:p w14:paraId="3F017297" w14:textId="29FB1B32" w:rsidR="0081230C" w:rsidRDefault="003E4723" w:rsidP="003E4723">
      <w:pPr>
        <w:pStyle w:val="Body"/>
      </w:pPr>
      <w:bookmarkStart w:id="64" w:name="_Hlk132274711"/>
      <w:r>
        <w:t>For NEC24, IHACPA will review the NEC indexation methodology in consultation with jurisdictions. The review will include testing alternative indexation methodologies and modelling techniques and exploring the appropriateness of using hospital cost data from other care streams or using more granular cost data for the purposes of calculating NEC indexation rates.</w:t>
      </w:r>
      <w:r w:rsidRPr="000A0554">
        <w:t xml:space="preserve"> IHACPA will consider the suitability for shadow pricing</w:t>
      </w:r>
      <w:r>
        <w:t xml:space="preserve"> any changes to the </w:t>
      </w:r>
      <w:r w:rsidRPr="000A0554">
        <w:t>indexation methodology in the development of NE</w:t>
      </w:r>
      <w:r>
        <w:t>C</w:t>
      </w:r>
      <w:r w:rsidRPr="000A0554">
        <w:t>24</w:t>
      </w:r>
      <w:r>
        <w:t xml:space="preserve">, </w:t>
      </w:r>
      <w:r w:rsidRPr="000A0554">
        <w:t>as required in the Addendum.</w:t>
      </w:r>
    </w:p>
    <w:tbl>
      <w:tblPr>
        <w:tblStyle w:val="TableGrid"/>
        <w:tblpPr w:leftFromText="180" w:rightFromText="180" w:vertAnchor="text" w:horzAnchor="margin" w:tblpY="44"/>
        <w:tblW w:w="4988" w:type="pct"/>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
        <w:tblDescription w:val="To inform the NEC indexation methodology review, what alternative indices or metrics are publicly available and applicable at a national level, that demonstrate an evidence-based correlation between price inflation and cost increases in the expenditure of small rural hospitals, specialist metropolitan hospitals or block-funded services? Additionally, what are the underlying drivers of cost growth unique to these services? "/>
      </w:tblPr>
      <w:tblGrid>
        <w:gridCol w:w="4149"/>
      </w:tblGrid>
      <w:tr w:rsidR="009D0AE6" w:rsidRPr="006746C9" w14:paraId="7CB05B93" w14:textId="77777777" w:rsidTr="000C32C0">
        <w:trPr>
          <w:trHeight w:val="1141"/>
        </w:trPr>
        <w:tc>
          <w:tcPr>
            <w:tcW w:w="5000" w:type="pct"/>
            <w:tcBorders>
              <w:left w:val="nil"/>
            </w:tcBorders>
            <w:shd w:val="clear" w:color="auto" w:fill="E6F4F9"/>
          </w:tcPr>
          <w:p w14:paraId="58F58939" w14:textId="190B6BDE" w:rsidR="009D0AE6" w:rsidRPr="006746C9" w:rsidRDefault="009D0AE6" w:rsidP="000C32C0">
            <w:pPr>
              <w:pStyle w:val="Heading4"/>
              <w:keepNext w:val="0"/>
              <w:spacing w:line="360" w:lineRule="auto"/>
              <w:outlineLvl w:val="3"/>
              <w:rPr>
                <w:color w:val="000000" w:themeColor="text1"/>
              </w:rPr>
            </w:pPr>
            <w:bookmarkStart w:id="65" w:name="_Toc133232589"/>
            <w:r w:rsidRPr="006746C9">
              <w:rPr>
                <w:noProof/>
                <w:color w:val="000000" w:themeColor="text1"/>
              </w:rPr>
              <w:drawing>
                <wp:anchor distT="0" distB="0" distL="114300" distR="114300" simplePos="0" relativeHeight="251854848" behindDoc="0" locked="0" layoutInCell="1" allowOverlap="1" wp14:anchorId="14B60BD1" wp14:editId="26F01CAE">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6"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00B1795B" w:rsidRPr="006746C9">
              <w:rPr>
                <w:color w:val="44546A" w:themeColor="text2"/>
              </w:rPr>
              <w:t xml:space="preserve"> Consultation questions</w:t>
            </w:r>
          </w:p>
          <w:p w14:paraId="74B27145" w14:textId="4A31859B" w:rsidR="009D0AE6" w:rsidRPr="006746C9" w:rsidRDefault="00B911FF" w:rsidP="000C32C0">
            <w:pPr>
              <w:pStyle w:val="Bullets"/>
            </w:pPr>
            <w:r>
              <w:t xml:space="preserve">To inform the NEC indexation methodology review, what alternative indices or </w:t>
            </w:r>
            <w:r w:rsidR="00B1795B">
              <w:t xml:space="preserve">metrics </w:t>
            </w:r>
            <w:r>
              <w:t xml:space="preserve">are publicly available and applicable at a national level, that demonstrate an evidence-based correlation between price inflation and cost increases in the expenditure of small rural hospitals, specialist metropolitan hospitals or block-funded services? Additionally, what are the underlying drivers of cost growth unique to these services? </w:t>
            </w:r>
          </w:p>
        </w:tc>
      </w:tr>
    </w:tbl>
    <w:p w14:paraId="4825C52A" w14:textId="77777777" w:rsidR="009D0AE6" w:rsidRDefault="009D0AE6" w:rsidP="009D0AE6">
      <w:pPr>
        <w:pStyle w:val="Body"/>
      </w:pPr>
    </w:p>
    <w:p w14:paraId="3A039F5E" w14:textId="266FC010" w:rsidR="009D0AE6" w:rsidRDefault="003F0B5B" w:rsidP="009D0AE6">
      <w:pPr>
        <w:pStyle w:val="Heading2"/>
      </w:pPr>
      <w:bookmarkStart w:id="66" w:name="_Toc135043526"/>
      <w:r>
        <w:t>5</w:t>
      </w:r>
      <w:r w:rsidR="0081230C">
        <w:t>.</w:t>
      </w:r>
      <w:r w:rsidR="00CC7C08">
        <w:t xml:space="preserve">5 </w:t>
      </w:r>
      <w:r w:rsidR="0081230C">
        <w:t>Quality assurance of public health expenditure data</w:t>
      </w:r>
      <w:bookmarkEnd w:id="66"/>
      <w:r w:rsidR="0081230C">
        <w:t xml:space="preserve"> </w:t>
      </w:r>
    </w:p>
    <w:p w14:paraId="74EC10A6" w14:textId="77777777" w:rsidR="00835DFF" w:rsidRDefault="0081230C" w:rsidP="00835DFF">
      <w:pPr>
        <w:pStyle w:val="Body"/>
        <w:rPr>
          <w:rStyle w:val="BodyChar"/>
          <w:bCs/>
        </w:rPr>
      </w:pPr>
      <w:r w:rsidRPr="00990566">
        <w:rPr>
          <w:rStyle w:val="BodyChar"/>
          <w:bCs/>
        </w:rPr>
        <w:t>IHACPA uses public hospital expenditure as reported in the National Public Hospital Establishments Database to determine the NEC for block funded hospitals.</w:t>
      </w:r>
    </w:p>
    <w:p w14:paraId="4A1D5A06" w14:textId="77777777" w:rsidR="003D4A06" w:rsidRDefault="0081230C" w:rsidP="00835DFF">
      <w:pPr>
        <w:pStyle w:val="Body"/>
        <w:rPr>
          <w:rStyle w:val="BodyChar"/>
          <w:bCs/>
        </w:rPr>
      </w:pPr>
      <w:r w:rsidRPr="00990566">
        <w:rPr>
          <w:rStyle w:val="BodyChar"/>
          <w:bCs/>
        </w:rPr>
        <w:t xml:space="preserve">In the Consultation Paper, IHACPA noted that it is exploring the development of an independent quality assurance process for the public health expenditure included in Local Hospital Networks and Public hospital establishments national minimum data set. </w:t>
      </w:r>
    </w:p>
    <w:p w14:paraId="4666A766" w14:textId="7CF47AF1" w:rsidR="00835DFF" w:rsidRDefault="0081230C" w:rsidP="00835DFF">
      <w:pPr>
        <w:pStyle w:val="Body"/>
        <w:rPr>
          <w:rStyle w:val="BodyChar"/>
          <w:bCs/>
        </w:rPr>
      </w:pPr>
      <w:r w:rsidRPr="00990566">
        <w:rPr>
          <w:rStyle w:val="BodyChar"/>
          <w:bCs/>
        </w:rPr>
        <w:t xml:space="preserve">This process will help to ensure high quality input data for cost modelling for the NEC Determination is maintained and aligns with the quality assurance process adopted to inform the NEP Determinations. </w:t>
      </w:r>
    </w:p>
    <w:p w14:paraId="2AA84A1D" w14:textId="5F7E6974" w:rsidR="00835DFF" w:rsidRDefault="0081230C" w:rsidP="00835DFF">
      <w:pPr>
        <w:pStyle w:val="Body"/>
        <w:rPr>
          <w:rStyle w:val="BodyChar"/>
          <w:bCs/>
        </w:rPr>
      </w:pPr>
      <w:r w:rsidRPr="00990566">
        <w:rPr>
          <w:rStyle w:val="BodyChar"/>
          <w:bCs/>
        </w:rPr>
        <w:t>Following consultation with the Australian Institute of Health and Welfare, IHACPA has</w:t>
      </w:r>
      <w:r w:rsidR="00A96BDE" w:rsidRPr="00A96BDE">
        <w:rPr>
          <w:rStyle w:val="BodyChar"/>
          <w:bCs/>
        </w:rPr>
        <w:t xml:space="preserve"> </w:t>
      </w:r>
      <w:r w:rsidR="00A96BDE">
        <w:rPr>
          <w:rStyle w:val="BodyChar"/>
          <w:bCs/>
        </w:rPr>
        <w:t xml:space="preserve">implemented a series of additional internal data validation and quality checks of the public health expenditure data as part of the </w:t>
      </w:r>
      <w:r w:rsidR="00C21018">
        <w:rPr>
          <w:rStyle w:val="BodyChar"/>
          <w:bCs/>
        </w:rPr>
        <w:t>model development underpinning the</w:t>
      </w:r>
      <w:r w:rsidR="00A96BDE">
        <w:rPr>
          <w:rStyle w:val="BodyChar"/>
          <w:bCs/>
        </w:rPr>
        <w:t xml:space="preserve"> NEC </w:t>
      </w:r>
      <w:r w:rsidR="00C21018">
        <w:rPr>
          <w:rStyle w:val="BodyChar"/>
          <w:bCs/>
        </w:rPr>
        <w:t>Determination</w:t>
      </w:r>
      <w:r w:rsidR="00A96BDE">
        <w:rPr>
          <w:rStyle w:val="BodyChar"/>
          <w:bCs/>
        </w:rPr>
        <w:t>.</w:t>
      </w:r>
      <w:r w:rsidRPr="00990566">
        <w:rPr>
          <w:rStyle w:val="BodyChar"/>
          <w:bCs/>
        </w:rPr>
        <w:t xml:space="preserve"> </w:t>
      </w:r>
    </w:p>
    <w:p w14:paraId="76C6AA33" w14:textId="2028CB1F" w:rsidR="00835DFF" w:rsidRDefault="003F0B5B" w:rsidP="00835DFF">
      <w:pPr>
        <w:pStyle w:val="Heading2"/>
        <w:keepNext w:val="0"/>
        <w:keepLines w:val="0"/>
      </w:pPr>
      <w:bookmarkStart w:id="67" w:name="_Toc135043527"/>
      <w:r>
        <w:t>5</w:t>
      </w:r>
      <w:r w:rsidR="003E4723">
        <w:t>.</w:t>
      </w:r>
      <w:r w:rsidR="00CC7C08">
        <w:t>6</w:t>
      </w:r>
      <w:r w:rsidR="003E4723">
        <w:t xml:space="preserve"> New high cost, highly specialised therapies</w:t>
      </w:r>
      <w:bookmarkEnd w:id="65"/>
      <w:bookmarkEnd w:id="67"/>
      <w:r w:rsidR="003E4723">
        <w:t xml:space="preserve"> </w:t>
      </w:r>
    </w:p>
    <w:p w14:paraId="391E0E99" w14:textId="0AB8C8BF" w:rsidR="00835DFF" w:rsidRDefault="003E4723" w:rsidP="00835DFF">
      <w:pPr>
        <w:pStyle w:val="Body"/>
      </w:pPr>
      <w:r>
        <w:t xml:space="preserve">The annual NEC Determination includes block funded costs for the delivery of high cost, highly specialised therapies, as provided by clauses </w:t>
      </w:r>
      <w:r w:rsidR="00B84F54">
        <w:br/>
      </w:r>
      <w:r>
        <w:t xml:space="preserve">C11–C12 of the Addendum. These clauses contain specific arrangements for new high cost, highly specialised therapies recommended for delivery in public hospitals by the Medical Services Advisory Committee. </w:t>
      </w:r>
    </w:p>
    <w:p w14:paraId="48A01CDF" w14:textId="77777777" w:rsidR="00835DFF" w:rsidRDefault="003E4723" w:rsidP="00835DFF">
      <w:pPr>
        <w:pStyle w:val="Body"/>
      </w:pPr>
      <w:r>
        <w:t xml:space="preserve">For 2024–25, the following high cost, highly specialised therapies have been recommended for delivery in public hospitals based on advice from the Commonwealth: </w:t>
      </w:r>
    </w:p>
    <w:p w14:paraId="4AB0A801" w14:textId="77777777" w:rsidR="00835DFF" w:rsidRDefault="003E4723" w:rsidP="00835DFF">
      <w:pPr>
        <w:pStyle w:val="Bullets"/>
      </w:pPr>
      <w:r>
        <w:t>Kymriah</w:t>
      </w:r>
      <w:r w:rsidRPr="006271FA">
        <w:rPr>
          <w:vertAlign w:val="superscript"/>
        </w:rPr>
        <w:t>®</w:t>
      </w:r>
      <w:r>
        <w:t xml:space="preserve"> – for the treatment of acute lymphoblastic leukaemia in children and young adults </w:t>
      </w:r>
    </w:p>
    <w:p w14:paraId="39663C8D" w14:textId="457BEB25" w:rsidR="00835DFF" w:rsidRDefault="003E4723" w:rsidP="00835DFF">
      <w:pPr>
        <w:pStyle w:val="Bullets"/>
      </w:pPr>
      <w:r>
        <w:t>Kymriah</w:t>
      </w:r>
      <w:r w:rsidRPr="006271FA">
        <w:rPr>
          <w:vertAlign w:val="superscript"/>
        </w:rPr>
        <w:t>®</w:t>
      </w:r>
      <w:r>
        <w:t xml:space="preserve"> or </w:t>
      </w:r>
      <w:proofErr w:type="spellStart"/>
      <w:r>
        <w:t>Yescarta</w:t>
      </w:r>
      <w:proofErr w:type="spellEnd"/>
      <w:r w:rsidRPr="006271FA">
        <w:rPr>
          <w:vertAlign w:val="superscript"/>
        </w:rPr>
        <w:t>®</w:t>
      </w:r>
      <w:r>
        <w:t xml:space="preserve"> – for the treatment of diffuse large B-cell lymphoma, primary mediastinal large B</w:t>
      </w:r>
      <w:r w:rsidR="005D57E6">
        <w:t>-</w:t>
      </w:r>
      <w:r>
        <w:t xml:space="preserve">cell lymphoma and transformed follicular lymphoma </w:t>
      </w:r>
    </w:p>
    <w:p w14:paraId="394A687A" w14:textId="77777777" w:rsidR="00835DFF" w:rsidRDefault="003E4723" w:rsidP="00835DFF">
      <w:pPr>
        <w:pStyle w:val="Bullets"/>
      </w:pPr>
      <w:proofErr w:type="spellStart"/>
      <w:r>
        <w:t>Qarziba</w:t>
      </w:r>
      <w:proofErr w:type="spellEnd"/>
      <w:r w:rsidRPr="006271FA">
        <w:rPr>
          <w:vertAlign w:val="superscript"/>
        </w:rPr>
        <w:t>®</w:t>
      </w:r>
      <w:r>
        <w:t xml:space="preserve"> – for the treatment of high-risk neuroblastoma </w:t>
      </w:r>
    </w:p>
    <w:p w14:paraId="75A915D2" w14:textId="77777777" w:rsidR="00835DFF" w:rsidRDefault="003E4723" w:rsidP="00835DFF">
      <w:pPr>
        <w:pStyle w:val="Bullets"/>
      </w:pPr>
      <w:r>
        <w:t xml:space="preserve">Luxturna™ – for the treatment of inherited retinal dystrophies </w:t>
      </w:r>
    </w:p>
    <w:p w14:paraId="0412F941" w14:textId="2C5FE38B" w:rsidR="00835DFF" w:rsidRDefault="003E4723" w:rsidP="00835DFF">
      <w:pPr>
        <w:pStyle w:val="Bullets"/>
      </w:pPr>
      <w:proofErr w:type="spellStart"/>
      <w:r>
        <w:t>Tecartus</w:t>
      </w:r>
      <w:proofErr w:type="spellEnd"/>
      <w:r w:rsidRPr="006271FA">
        <w:rPr>
          <w:vertAlign w:val="superscript"/>
        </w:rPr>
        <w:t>®</w:t>
      </w:r>
      <w:r>
        <w:t xml:space="preserve"> – for the treatment of relapsed or refractory mantle cell lymphoma. </w:t>
      </w:r>
      <w:bookmarkEnd w:id="64"/>
    </w:p>
    <w:p w14:paraId="3A81CD21" w14:textId="6786B07B" w:rsidR="00F83BA1" w:rsidRDefault="003E4723" w:rsidP="00835DFF">
      <w:pPr>
        <w:pStyle w:val="Body"/>
      </w:pPr>
      <w:r w:rsidRPr="00F83BA1">
        <w:t xml:space="preserve">The indicative block funded costs for the delivery of these high cost, highly specialised therapies based on the advice of states and territories will be included in NEC24. </w:t>
      </w:r>
    </w:p>
    <w:p w14:paraId="356C885D" w14:textId="1FB82E08" w:rsidR="00835DFF" w:rsidRDefault="00835DFF" w:rsidP="00835DFF">
      <w:pPr>
        <w:pStyle w:val="Body"/>
      </w:pPr>
    </w:p>
    <w:p w14:paraId="77CA9F00" w14:textId="3342C8C0" w:rsidR="00835DFF" w:rsidRDefault="00835DFF" w:rsidP="00835DFF">
      <w:pPr>
        <w:pStyle w:val="Body"/>
      </w:pPr>
    </w:p>
    <w:p w14:paraId="241C2A12" w14:textId="77777777" w:rsidR="00835DFF" w:rsidRDefault="00835DFF" w:rsidP="00835DFF">
      <w:pPr>
        <w:pStyle w:val="Body"/>
      </w:pPr>
    </w:p>
    <w:p w14:paraId="6CEA0D1E" w14:textId="112E5BBB" w:rsidR="00F83BA1" w:rsidRDefault="00F83BA1" w:rsidP="00835DFF">
      <w:pPr>
        <w:keepNext/>
        <w:keepLines/>
        <w:sectPr w:rsidR="00F83BA1" w:rsidSect="00AD603F">
          <w:headerReference w:type="default" r:id="rId69"/>
          <w:type w:val="continuous"/>
          <w:pgSz w:w="11906" w:h="16838" w:code="9"/>
          <w:pgMar w:top="1440" w:right="1440" w:bottom="1440" w:left="1440" w:header="708" w:footer="708" w:gutter="0"/>
          <w:cols w:num="2" w:space="708"/>
          <w:docGrid w:linePitch="360"/>
        </w:sectPr>
      </w:pPr>
    </w:p>
    <w:p w14:paraId="6EE07056" w14:textId="18528552" w:rsidR="0055477F" w:rsidRDefault="0055477F" w:rsidP="0055477F">
      <w:pPr>
        <w:sectPr w:rsidR="0055477F" w:rsidSect="00AD603F">
          <w:headerReference w:type="default" r:id="rId70"/>
          <w:type w:val="continuous"/>
          <w:pgSz w:w="11906" w:h="16838" w:code="9"/>
          <w:pgMar w:top="1440" w:right="1440" w:bottom="1440" w:left="1440" w:header="708" w:footer="708" w:gutter="0"/>
          <w:cols w:num="2" w:space="708"/>
          <w:docGrid w:linePitch="360"/>
        </w:sectPr>
      </w:pPr>
    </w:p>
    <w:p w14:paraId="4C4A00AD" w14:textId="11301EB0" w:rsidR="009D0AE6" w:rsidRPr="005107C4" w:rsidRDefault="003F0B5B" w:rsidP="009D0AE6">
      <w:pPr>
        <w:pStyle w:val="ChapterNumber"/>
        <w:spacing w:before="600"/>
        <w:jc w:val="left"/>
        <w:rPr>
          <w:color w:val="15272F" w:themeColor="accent3"/>
        </w:rPr>
      </w:pPr>
      <w:r>
        <w:rPr>
          <w:color w:val="15272F" w:themeColor="accent3"/>
        </w:rPr>
        <w:lastRenderedPageBreak/>
        <w:t>6</w:t>
      </w:r>
    </w:p>
    <w:p w14:paraId="4E08BC32" w14:textId="77777777" w:rsidR="009D0AE6" w:rsidRPr="005107C4" w:rsidRDefault="009D0AE6" w:rsidP="009D0AE6">
      <w:pPr>
        <w:pStyle w:val="Heading-Sectionstart"/>
      </w:pPr>
      <w:bookmarkStart w:id="68" w:name="_Toc132118428"/>
      <w:bookmarkStart w:id="69" w:name="_Toc135043528"/>
      <w:r>
        <w:t>Data collection</w:t>
      </w:r>
      <w:bookmarkEnd w:id="68"/>
      <w:bookmarkEnd w:id="69"/>
    </w:p>
    <w:p w14:paraId="4028B1B7" w14:textId="77777777" w:rsidR="009D0AE6" w:rsidRDefault="009D0AE6" w:rsidP="009D0AE6">
      <w:pPr>
        <w:pStyle w:val="Body"/>
        <w:sectPr w:rsidR="009D0AE6" w:rsidSect="00C9543A">
          <w:headerReference w:type="default" r:id="rId71"/>
          <w:footerReference w:type="default" r:id="rId72"/>
          <w:pgSz w:w="11906" w:h="16838" w:code="9"/>
          <w:pgMar w:top="851" w:right="1440" w:bottom="1440" w:left="1440" w:header="708" w:footer="708" w:gutter="0"/>
          <w:cols w:space="708"/>
          <w:docGrid w:linePitch="360"/>
        </w:sectPr>
      </w:pPr>
    </w:p>
    <w:p w14:paraId="7436945E" w14:textId="77777777" w:rsidR="009D0AE6" w:rsidRDefault="009D0AE6" w:rsidP="009D0AE6">
      <w:pPr>
        <w:pStyle w:val="Body"/>
        <w:sectPr w:rsidR="009D0AE6" w:rsidSect="00F4029B">
          <w:headerReference w:type="default" r:id="rId73"/>
          <w:footerReference w:type="default" r:id="rId74"/>
          <w:pgSz w:w="11906" w:h="16838" w:code="9"/>
          <w:pgMar w:top="2410" w:right="1440" w:bottom="1440" w:left="1440" w:header="568" w:footer="708" w:gutter="0"/>
          <w:cols w:space="708"/>
          <w:docGrid w:linePitch="360"/>
        </w:sectPr>
      </w:pPr>
    </w:p>
    <w:p w14:paraId="6CE6C0A6" w14:textId="77777777" w:rsidR="009D0AE6" w:rsidRDefault="009D0AE6" w:rsidP="009D0AE6">
      <w:pPr>
        <w:pStyle w:val="Body"/>
      </w:pPr>
      <w:r>
        <w:t xml:space="preserve">Under the Addendum to the National Health Reform Agreement 2020–25 (the Addendum), the Independent Health and Aged Care Pricing Authority (IHACPA) is required to develop, refine and maintain systems as necessary to determine the national efficient price (NEP) and national efficient cost (NEC), including classifications, costing methodologies and data collections. </w:t>
      </w:r>
    </w:p>
    <w:p w14:paraId="6B798CB9" w14:textId="77777777" w:rsidR="009D0AE6" w:rsidRDefault="009D0AE6" w:rsidP="009D0AE6">
      <w:pPr>
        <w:pStyle w:val="Body"/>
      </w:pPr>
      <w:r>
        <w:t xml:space="preserve">To facilitate the collection of accurate activity, cost and expenditure data for the annual NEP and NEC determinations, IHACPA works with states and territories to develop appropriate data specifications and to acquire, validate and maintain data within the IHACPA information technology environment. </w:t>
      </w:r>
    </w:p>
    <w:p w14:paraId="31188F1E" w14:textId="77777777" w:rsidR="009D0AE6" w:rsidRDefault="009D0AE6" w:rsidP="009D0AE6">
      <w:pPr>
        <w:pStyle w:val="Body"/>
      </w:pPr>
      <w:r>
        <w:t xml:space="preserve">In developing these data specifications, IHACPA is guided by the principle of data rationalisation, including the concept of ‘single provision, multiple use’, as outlined in the Addendum. </w:t>
      </w:r>
    </w:p>
    <w:p w14:paraId="163739C2" w14:textId="07DB9A4D" w:rsidR="009D0AE6" w:rsidRDefault="003F0B5B" w:rsidP="009D0AE6">
      <w:pPr>
        <w:pStyle w:val="Heading2"/>
        <w:spacing w:before="240"/>
      </w:pPr>
      <w:bookmarkStart w:id="70" w:name="_Toc132118429"/>
      <w:bookmarkStart w:id="71" w:name="_Toc135043529"/>
      <w:r>
        <w:t>6</w:t>
      </w:r>
      <w:r w:rsidR="009D0AE6">
        <w:t xml:space="preserve">.1 </w:t>
      </w:r>
      <w:r w:rsidR="00236183">
        <w:t>A</w:t>
      </w:r>
      <w:r w:rsidR="009D0AE6">
        <w:t>ssurance of cost data</w:t>
      </w:r>
      <w:bookmarkEnd w:id="70"/>
      <w:bookmarkEnd w:id="71"/>
      <w:r w:rsidR="009D0AE6">
        <w:t xml:space="preserve"> </w:t>
      </w:r>
    </w:p>
    <w:p w14:paraId="5FAF825E" w14:textId="77777777" w:rsidR="009D0AE6" w:rsidRDefault="009D0AE6" w:rsidP="009D0AE6">
      <w:pPr>
        <w:pStyle w:val="Body"/>
      </w:pPr>
      <w:r>
        <w:t>Each year, IHACPA commissions an independent financial review (IFR) of the National Hospital Cost Data Collection (NHCDC) to ensure that the quality of NHCDC data is robust, fit-for-purpose, and includes in-scope costs in accordance with the Australian Hospital Patient Costing Standards (AHPCS).</w:t>
      </w:r>
    </w:p>
    <w:p w14:paraId="6B294782" w14:textId="415BBB09" w:rsidR="009D0AE6" w:rsidRDefault="009D0AE6" w:rsidP="009D0AE6">
      <w:pPr>
        <w:pStyle w:val="Body"/>
      </w:pPr>
      <w:r>
        <w:t>Stakeholder feedback suggested that the current NHCDC quality assurance activities and the IFR process results in the duplication of some information submitted by states and territories. IHACPA’s review of all information collected through the NHCDC quality assurance activities and the IFR confirmed this and identified some variation in relation to whether information is collected at the jurisdiction, health network or hospital level.</w:t>
      </w:r>
    </w:p>
    <w:p w14:paraId="29A92DA1" w14:textId="772312AC" w:rsidR="009D0AE6" w:rsidRDefault="009D0AE6" w:rsidP="009D0AE6">
      <w:pPr>
        <w:pStyle w:val="Body"/>
      </w:pPr>
      <w:r>
        <w:t xml:space="preserve">IHACPA </w:t>
      </w:r>
      <w:r w:rsidR="00236183">
        <w:t>will not</w:t>
      </w:r>
      <w:r>
        <w:t xml:space="preserve"> undertake the IFR on the 2021–22 NHCDC data. Instead, IHACPA </w:t>
      </w:r>
      <w:r w:rsidR="00236183">
        <w:t xml:space="preserve">will hold bilateral meetings with each jurisdiction to review their NHCDC submission and data quality statement to understand how the NHCDC data has been prepared </w:t>
      </w:r>
      <w:r>
        <w:t>and</w:t>
      </w:r>
      <w:r w:rsidR="00236183">
        <w:t xml:space="preserve"> if it is</w:t>
      </w:r>
      <w:r>
        <w:t xml:space="preserve"> consistent with the AHPCS.</w:t>
      </w:r>
    </w:p>
    <w:p w14:paraId="10AF210F" w14:textId="6DF9F697" w:rsidR="00236183" w:rsidRDefault="00236183" w:rsidP="009D0AE6">
      <w:pPr>
        <w:pStyle w:val="Body"/>
      </w:pPr>
      <w:r>
        <w:t>IHACPA will publish a report including information collected and opinion</w:t>
      </w:r>
      <w:r w:rsidR="00B84F54">
        <w:t>s</w:t>
      </w:r>
      <w:r>
        <w:t xml:space="preserve"> developed through this assurance process.</w:t>
      </w: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What assurance approaches should IHACPA consider, to ensure NHCDC data is prepared in line with the AHPCS, and that would reduce duplication of data reporting for states and territories?"/>
      </w:tblPr>
      <w:tblGrid>
        <w:gridCol w:w="4149"/>
      </w:tblGrid>
      <w:tr w:rsidR="009D0AE6" w:rsidRPr="006746C9" w14:paraId="567FD8A2" w14:textId="77777777" w:rsidTr="00E252F3">
        <w:trPr>
          <w:trHeight w:val="1824"/>
          <w:jc w:val="center"/>
        </w:trPr>
        <w:tc>
          <w:tcPr>
            <w:tcW w:w="5000" w:type="pct"/>
            <w:tcBorders>
              <w:left w:val="nil"/>
            </w:tcBorders>
            <w:shd w:val="clear" w:color="auto" w:fill="E6F4F9"/>
          </w:tcPr>
          <w:p w14:paraId="5A484670" w14:textId="77777777" w:rsidR="009D0AE6" w:rsidRPr="006746C9" w:rsidRDefault="009D0AE6" w:rsidP="000C32C0">
            <w:pPr>
              <w:pStyle w:val="Heading4"/>
              <w:spacing w:line="360" w:lineRule="auto"/>
              <w:outlineLvl w:val="3"/>
              <w:rPr>
                <w:color w:val="000000" w:themeColor="text1"/>
              </w:rPr>
            </w:pPr>
            <w:bookmarkStart w:id="72" w:name="_Hlk132274476"/>
            <w:r w:rsidRPr="006746C9">
              <w:rPr>
                <w:noProof/>
                <w:color w:val="000000" w:themeColor="text1"/>
              </w:rPr>
              <w:drawing>
                <wp:anchor distT="0" distB="0" distL="114300" distR="114300" simplePos="0" relativeHeight="251851776" behindDoc="0" locked="0" layoutInCell="1" allowOverlap="1" wp14:anchorId="66E67837" wp14:editId="329ED0B7">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22"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21C3256F" w14:textId="1CD92CA8" w:rsidR="009D0AE6" w:rsidRPr="006746C9" w:rsidRDefault="009D0AE6" w:rsidP="000C32C0">
            <w:pPr>
              <w:pStyle w:val="Bullets"/>
            </w:pPr>
            <w:r>
              <w:t xml:space="preserve">What assurance </w:t>
            </w:r>
            <w:r w:rsidRPr="00007BFF">
              <w:t xml:space="preserve">approaches </w:t>
            </w:r>
            <w:r>
              <w:t>should IHACPA consider</w:t>
            </w:r>
            <w:r w:rsidR="00646D56">
              <w:t>,</w:t>
            </w:r>
            <w:r>
              <w:t xml:space="preserve"> to ensure</w:t>
            </w:r>
            <w:r w:rsidRPr="00007BFF">
              <w:t xml:space="preserve"> NHCDC data is </w:t>
            </w:r>
            <w:r w:rsidR="00236183">
              <w:t xml:space="preserve">prepared in line with the </w:t>
            </w:r>
            <w:r w:rsidR="00236183" w:rsidRPr="00636687">
              <w:t>AHPCS</w:t>
            </w:r>
            <w:r w:rsidR="00236183">
              <w:t xml:space="preserve">, and </w:t>
            </w:r>
            <w:r w:rsidR="00646D56">
              <w:t xml:space="preserve">that would </w:t>
            </w:r>
            <w:r w:rsidR="00236183">
              <w:t>reduce</w:t>
            </w:r>
            <w:r w:rsidR="00236183" w:rsidRPr="00007BFF" w:rsidDel="00236183">
              <w:t xml:space="preserve"> </w:t>
            </w:r>
            <w:r w:rsidRPr="00007BFF">
              <w:t xml:space="preserve">duplication of data </w:t>
            </w:r>
            <w:r w:rsidR="00236183">
              <w:t xml:space="preserve">reporting </w:t>
            </w:r>
            <w:r>
              <w:t>for states and territories?</w:t>
            </w:r>
          </w:p>
        </w:tc>
      </w:tr>
      <w:bookmarkEnd w:id="72"/>
    </w:tbl>
    <w:p w14:paraId="01A6995E" w14:textId="77777777" w:rsidR="009D0AE6" w:rsidRDefault="009D0AE6" w:rsidP="009D0AE6"/>
    <w:p w14:paraId="6F566ECE" w14:textId="1C4CA441" w:rsidR="009D0AE6" w:rsidRDefault="003F0B5B" w:rsidP="009D0AE6">
      <w:pPr>
        <w:pStyle w:val="Heading2"/>
      </w:pPr>
      <w:bookmarkStart w:id="73" w:name="_Toc132118438"/>
      <w:bookmarkStart w:id="74" w:name="_Toc135043530"/>
      <w:r>
        <w:t>6</w:t>
      </w:r>
      <w:r w:rsidR="009D0AE6">
        <w:t>.2 Virtual models of care</w:t>
      </w:r>
      <w:bookmarkEnd w:id="73"/>
      <w:bookmarkEnd w:id="74"/>
    </w:p>
    <w:p w14:paraId="61E5D5DD" w14:textId="77777777" w:rsidR="009D0AE6" w:rsidRDefault="009D0AE6" w:rsidP="009D0AE6">
      <w:pPr>
        <w:pStyle w:val="Body"/>
      </w:pPr>
      <w:r>
        <w:t xml:space="preserve">In the </w:t>
      </w:r>
      <w:r w:rsidRPr="0074152E">
        <w:rPr>
          <w:i/>
          <w:iCs/>
        </w:rPr>
        <w:t>Consultation Paper on the Pricing Framework for Australian Public Hospital Services 2023–24</w:t>
      </w:r>
      <w:r>
        <w:t xml:space="preserve">, IHACPA outlined its intention to investigate innovative models of care and services related to virtual care, with an initial focus on virtual care delivered by emergency departments. </w:t>
      </w:r>
    </w:p>
    <w:p w14:paraId="494A5C6C" w14:textId="340476D9" w:rsidR="009D0AE6" w:rsidRDefault="009D0AE6" w:rsidP="009D0AE6">
      <w:pPr>
        <w:pStyle w:val="Body"/>
      </w:pPr>
      <w:r>
        <w:t xml:space="preserve">Stakeholders indicated support for this investigation and provided feedback demonstrating the diversity of </w:t>
      </w:r>
      <w:r w:rsidR="00CA4465">
        <w:t xml:space="preserve">virtual care </w:t>
      </w:r>
      <w:r>
        <w:t>services</w:t>
      </w:r>
      <w:r w:rsidR="00CA4465">
        <w:t>, models of service delivery</w:t>
      </w:r>
      <w:r>
        <w:t xml:space="preserve"> and settings where </w:t>
      </w:r>
      <w:r w:rsidR="00CA4465">
        <w:t xml:space="preserve">virtual care </w:t>
      </w:r>
      <w:r>
        <w:t xml:space="preserve">services are </w:t>
      </w:r>
      <w:r w:rsidR="00BE55A4">
        <w:t xml:space="preserve">being </w:t>
      </w:r>
      <w:r>
        <w:t xml:space="preserve">provided. IHACPA is working with other government agencies and jurisdictions to develop a staged approach to facilitate the inclusion of virtual care in national data collections, </w:t>
      </w:r>
      <w:r w:rsidR="00CA4465">
        <w:t xml:space="preserve">with a view </w:t>
      </w:r>
      <w:r w:rsidR="00101BB5">
        <w:t xml:space="preserve">to </w:t>
      </w:r>
      <w:r w:rsidR="00CA4465">
        <w:t>minimising</w:t>
      </w:r>
      <w:r w:rsidRPr="00AE7B02">
        <w:t xml:space="preserve"> the implementation burden </w:t>
      </w:r>
      <w:r>
        <w:t>for jurisdictions.</w:t>
      </w:r>
    </w:p>
    <w:p w14:paraId="44C86C9B" w14:textId="2646EFBD" w:rsidR="009D0AE6" w:rsidRDefault="009D0AE6" w:rsidP="009D0AE6">
      <w:pPr>
        <w:pStyle w:val="Body"/>
      </w:pPr>
      <w:r>
        <w:t xml:space="preserve">For 2023–24, IHACPA has developed data request specifications in consultation with jurisdictions for the collection of emergency virtual care </w:t>
      </w:r>
      <w:r w:rsidR="00CA4465">
        <w:t xml:space="preserve">activity data from 1 July 2023 </w:t>
      </w:r>
      <w:r>
        <w:t xml:space="preserve">as part of an initial project to collect virtual care data </w:t>
      </w:r>
      <w:r w:rsidR="00CA4465">
        <w:t xml:space="preserve">to </w:t>
      </w:r>
      <w:r>
        <w:t>inform future data collection refinements.</w:t>
      </w:r>
    </w:p>
    <w:p w14:paraId="57FB5A30" w14:textId="77777777" w:rsidR="009D0AE6" w:rsidRPr="0074152E" w:rsidRDefault="009D0AE6" w:rsidP="009D0AE6">
      <w:pPr>
        <w:pStyle w:val="Body"/>
      </w:pPr>
    </w:p>
    <w:tbl>
      <w:tblPr>
        <w:tblStyle w:val="TableGrid"/>
        <w:tblW w:w="4988" w:type="pct"/>
        <w:jc w:val="center"/>
        <w:tblBorders>
          <w:top w:val="none" w:sz="0" w:space="0" w:color="auto"/>
          <w:left w:val="single" w:sz="8" w:space="0" w:color="E5E5E5"/>
          <w:bottom w:val="none" w:sz="0" w:space="0" w:color="auto"/>
          <w:right w:val="none" w:sz="0" w:space="0" w:color="auto"/>
          <w:insideH w:val="none" w:sz="0" w:space="0" w:color="auto"/>
          <w:insideV w:val="none" w:sz="0" w:space="0" w:color="auto"/>
        </w:tblBorders>
        <w:shd w:val="clear" w:color="auto" w:fill="FAFAFA"/>
        <w:tblCellMar>
          <w:top w:w="170" w:type="dxa"/>
          <w:left w:w="284" w:type="dxa"/>
          <w:bottom w:w="170" w:type="dxa"/>
          <w:right w:w="284" w:type="dxa"/>
        </w:tblCellMar>
        <w:tblLook w:val="04A0" w:firstRow="1" w:lastRow="0" w:firstColumn="1" w:lastColumn="0" w:noHBand="0" w:noVBand="1"/>
        <w:tblCaption w:val="Consultation questions"/>
        <w:tblDescription w:val="Given virtual care is a broad and evolving space, what secific areas and care streams where virtual care is being delivered should IHACPA prioritise for further investigation to inform future data collection, classification and pricing refinement?   &#10;&#10;Do jurisdictions have the capacity to submit cost data for activity reported under the emergency care virtual care data specifications?"/>
      </w:tblPr>
      <w:tblGrid>
        <w:gridCol w:w="4149"/>
      </w:tblGrid>
      <w:tr w:rsidR="009D0AE6" w:rsidRPr="006746C9" w14:paraId="653C15B8" w14:textId="77777777" w:rsidTr="000C32C0">
        <w:trPr>
          <w:trHeight w:val="1141"/>
          <w:jc w:val="center"/>
        </w:trPr>
        <w:tc>
          <w:tcPr>
            <w:tcW w:w="5000" w:type="pct"/>
            <w:tcBorders>
              <w:left w:val="nil"/>
            </w:tcBorders>
            <w:shd w:val="clear" w:color="auto" w:fill="E6F4F9"/>
          </w:tcPr>
          <w:p w14:paraId="60BFC225" w14:textId="77777777" w:rsidR="009D0AE6" w:rsidRPr="006746C9" w:rsidRDefault="009D0AE6" w:rsidP="000C32C0">
            <w:pPr>
              <w:pStyle w:val="Heading4"/>
              <w:spacing w:line="360" w:lineRule="auto"/>
              <w:outlineLvl w:val="3"/>
              <w:rPr>
                <w:color w:val="000000" w:themeColor="text1"/>
              </w:rPr>
            </w:pPr>
            <w:r w:rsidRPr="006746C9">
              <w:rPr>
                <w:noProof/>
                <w:color w:val="000000" w:themeColor="text1"/>
              </w:rPr>
              <w:lastRenderedPageBreak/>
              <w:drawing>
                <wp:anchor distT="0" distB="0" distL="114300" distR="114300" simplePos="0" relativeHeight="251852800" behindDoc="0" locked="0" layoutInCell="1" allowOverlap="1" wp14:anchorId="11B9C431" wp14:editId="1EA838C3">
                  <wp:simplePos x="0" y="0"/>
                  <wp:positionH relativeFrom="column">
                    <wp:posOffset>2540</wp:posOffset>
                  </wp:positionH>
                  <wp:positionV relativeFrom="paragraph">
                    <wp:posOffset>103505</wp:posOffset>
                  </wp:positionV>
                  <wp:extent cx="202565" cy="202565"/>
                  <wp:effectExtent l="0" t="0" r="635" b="635"/>
                  <wp:wrapThrough wrapText="bothSides">
                    <wp:wrapPolygon edited="0">
                      <wp:start x="2708" y="0"/>
                      <wp:lineTo x="0" y="4063"/>
                      <wp:lineTo x="0" y="16251"/>
                      <wp:lineTo x="4063" y="20313"/>
                      <wp:lineTo x="17605" y="20313"/>
                      <wp:lineTo x="20313" y="14897"/>
                      <wp:lineTo x="20313" y="4063"/>
                      <wp:lineTo x="16251" y="0"/>
                      <wp:lineTo x="2708" y="0"/>
                    </wp:wrapPolygon>
                  </wp:wrapThrough>
                  <wp:docPr id="1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202565" cy="202565"/>
                          </a:xfrm>
                          <a:prstGeom prst="rect">
                            <a:avLst/>
                          </a:prstGeom>
                        </pic:spPr>
                      </pic:pic>
                    </a:graphicData>
                  </a:graphic>
                  <wp14:sizeRelH relativeFrom="margin">
                    <wp14:pctWidth>0</wp14:pctWidth>
                  </wp14:sizeRelH>
                </wp:anchor>
              </w:drawing>
            </w:r>
            <w:r w:rsidRPr="006746C9">
              <w:rPr>
                <w:color w:val="000000" w:themeColor="text1"/>
              </w:rPr>
              <w:br w:type="column"/>
            </w:r>
            <w:r w:rsidRPr="006746C9">
              <w:rPr>
                <w:color w:val="44546A" w:themeColor="text2"/>
              </w:rPr>
              <w:t>Consultation questions</w:t>
            </w:r>
          </w:p>
          <w:p w14:paraId="3787F60F" w14:textId="0A67E281" w:rsidR="009D0AE6" w:rsidRDefault="009D0AE6" w:rsidP="000C32C0">
            <w:pPr>
              <w:pStyle w:val="Bullets"/>
            </w:pPr>
            <w:r>
              <w:t xml:space="preserve">Given virtual care is a broad and evolving space, what </w:t>
            </w:r>
            <w:r w:rsidRPr="00300FD7">
              <w:t xml:space="preserve">specific areas and care streams where virtual care is </w:t>
            </w:r>
            <w:r w:rsidR="00CA4465">
              <w:t xml:space="preserve">being </w:t>
            </w:r>
            <w:r w:rsidRPr="00300FD7">
              <w:t xml:space="preserve">delivered should </w:t>
            </w:r>
            <w:r>
              <w:t>IHACPA prioritise for further investigation</w:t>
            </w:r>
            <w:r w:rsidR="00951EA9">
              <w:t xml:space="preserve"> </w:t>
            </w:r>
            <w:r w:rsidR="00A85B02">
              <w:t xml:space="preserve">to inform </w:t>
            </w:r>
            <w:r w:rsidR="00A85B02" w:rsidRPr="00A85B02">
              <w:t>future data collection, classification and pricing refinement</w:t>
            </w:r>
            <w:r>
              <w:t xml:space="preserve">?   </w:t>
            </w:r>
          </w:p>
          <w:p w14:paraId="31B0C32B" w14:textId="17BBCF5B" w:rsidR="009D0AE6" w:rsidRPr="006746C9" w:rsidRDefault="00CA4465" w:rsidP="000C32C0">
            <w:pPr>
              <w:pStyle w:val="Bullets"/>
            </w:pPr>
            <w:r>
              <w:t xml:space="preserve">Do jurisdictions have the capacity to </w:t>
            </w:r>
            <w:r w:rsidR="003158D9">
              <w:t xml:space="preserve">submit </w:t>
            </w:r>
            <w:r w:rsidR="00236183">
              <w:t xml:space="preserve">cost </w:t>
            </w:r>
            <w:r w:rsidR="003158D9">
              <w:t xml:space="preserve">data for </w:t>
            </w:r>
            <w:r w:rsidR="00236183">
              <w:t>activity reported under the emergency care virtual care data specifications</w:t>
            </w:r>
            <w:r>
              <w:t>?</w:t>
            </w:r>
          </w:p>
        </w:tc>
      </w:tr>
    </w:tbl>
    <w:p w14:paraId="4D1A3086" w14:textId="387CE189" w:rsidR="009D0AE6" w:rsidRDefault="0062157F" w:rsidP="009D0AE6">
      <w:pPr>
        <w:pStyle w:val="Heading2"/>
        <w:spacing w:before="240"/>
      </w:pPr>
      <w:bookmarkStart w:id="75" w:name="_Toc135043531"/>
      <w:r>
        <w:br w:type="column"/>
      </w:r>
      <w:r w:rsidR="009D0AE6">
        <w:t>6.</w:t>
      </w:r>
      <w:r w:rsidR="003F0B5B">
        <w:t>3</w:t>
      </w:r>
      <w:r w:rsidR="009D0AE6">
        <w:t xml:space="preserve"> Organ donation, retrieval and transplantation</w:t>
      </w:r>
      <w:bookmarkEnd w:id="75"/>
    </w:p>
    <w:p w14:paraId="00C4681D" w14:textId="77777777" w:rsidR="009D0AE6" w:rsidRDefault="009D0AE6" w:rsidP="009D0AE6">
      <w:pPr>
        <w:pStyle w:val="Body"/>
      </w:pPr>
      <w:r>
        <w:t xml:space="preserve">In 2018, the </w:t>
      </w:r>
      <w:r w:rsidRPr="00B93ECF">
        <w:rPr>
          <w:i/>
          <w:iCs/>
        </w:rPr>
        <w:t>Review of the Australian organ donation, retrieval and transplantation system – Final Report</w:t>
      </w:r>
      <w:r>
        <w:t xml:space="preserve"> made two recommendations for IHACPA to conduct a costing study and classification review of organ donation, retrieval and transplantation and of non-admitted pre and post organ transplantation care.</w:t>
      </w:r>
    </w:p>
    <w:p w14:paraId="2181CF5B" w14:textId="53257E61" w:rsidR="0062157F" w:rsidRDefault="009D0AE6" w:rsidP="0062157F">
      <w:pPr>
        <w:pStyle w:val="Body"/>
      </w:pPr>
      <w:r>
        <w:t xml:space="preserve">IHACPA is developing a project plan outlining the scope, timeframes and proposed approach to undertaking this investigation, in consultation with its advisory committees, jurisdictions, and the Australian Institute </w:t>
      </w:r>
      <w:r w:rsidR="00466DAB">
        <w:t xml:space="preserve">of </w:t>
      </w:r>
      <w:r>
        <w:t>Health and Welfare</w:t>
      </w:r>
      <w:r w:rsidR="00466DAB">
        <w:t xml:space="preserve"> (AIHW)</w:t>
      </w:r>
      <w:r>
        <w:t>.</w:t>
      </w:r>
    </w:p>
    <w:p w14:paraId="1E511461" w14:textId="606E1E36" w:rsidR="009D0AE6" w:rsidRDefault="009D0AE6" w:rsidP="0062157F">
      <w:pPr>
        <w:pStyle w:val="Body"/>
      </w:pPr>
      <w:r>
        <w:t xml:space="preserve">In addition, </w:t>
      </w:r>
      <w:r w:rsidRPr="00005318">
        <w:t xml:space="preserve">IHACPA will commence work to </w:t>
      </w:r>
      <w:r>
        <w:t xml:space="preserve">investigate the </w:t>
      </w:r>
      <w:r w:rsidRPr="00005318">
        <w:t>develop</w:t>
      </w:r>
      <w:r>
        <w:t>ment</w:t>
      </w:r>
      <w:r w:rsidRPr="00005318">
        <w:t xml:space="preserve"> </w:t>
      </w:r>
      <w:r>
        <w:t xml:space="preserve">of </w:t>
      </w:r>
      <w:r w:rsidRPr="00005318">
        <w:t>a posthumous organ</w:t>
      </w:r>
      <w:r w:rsidR="00951EA9">
        <w:t xml:space="preserve"> </w:t>
      </w:r>
      <w:r w:rsidRPr="00005318">
        <w:t>procurement National Best Endeavours Data Set in 202</w:t>
      </w:r>
      <w:r w:rsidR="00CA4465">
        <w:t>4</w:t>
      </w:r>
      <w:r w:rsidRPr="00005318">
        <w:t>–2</w:t>
      </w:r>
      <w:r w:rsidR="00CA4465">
        <w:t>5</w:t>
      </w:r>
      <w:r w:rsidRPr="00005318">
        <w:t>, or an appropriate alternative data collection</w:t>
      </w:r>
      <w:r>
        <w:t>, i</w:t>
      </w:r>
      <w:r w:rsidRPr="00005318">
        <w:t xml:space="preserve">n consultation with the Commonwealth Department of Health and Aged Care and the </w:t>
      </w:r>
      <w:r w:rsidR="00466DAB">
        <w:t>AIHW</w:t>
      </w:r>
      <w:r>
        <w:t xml:space="preserve">. </w:t>
      </w:r>
    </w:p>
    <w:p w14:paraId="13FE929E" w14:textId="77777777" w:rsidR="009D0AE6" w:rsidRDefault="009D0AE6" w:rsidP="0062157F">
      <w:pPr>
        <w:keepNext/>
        <w:keepLines/>
      </w:pPr>
    </w:p>
    <w:p w14:paraId="284B7255" w14:textId="77777777" w:rsidR="009D0AE6" w:rsidRDefault="009D0AE6" w:rsidP="0062157F">
      <w:pPr>
        <w:keepNext/>
        <w:keepLines/>
      </w:pPr>
    </w:p>
    <w:p w14:paraId="716DE82D" w14:textId="77777777" w:rsidR="009D0AE6" w:rsidRDefault="009D0AE6" w:rsidP="0062157F">
      <w:pPr>
        <w:keepNext/>
        <w:keepLines/>
      </w:pPr>
    </w:p>
    <w:p w14:paraId="2070FEDF" w14:textId="77777777" w:rsidR="009D0AE6" w:rsidRDefault="009D0AE6" w:rsidP="0062157F">
      <w:pPr>
        <w:keepNext/>
        <w:keepLines/>
      </w:pPr>
    </w:p>
    <w:p w14:paraId="29EE7E44" w14:textId="77777777" w:rsidR="009D0AE6" w:rsidRDefault="009D0AE6" w:rsidP="0062157F">
      <w:pPr>
        <w:keepNext/>
        <w:keepLines/>
      </w:pPr>
    </w:p>
    <w:p w14:paraId="3D6EB498" w14:textId="77777777" w:rsidR="009D0AE6" w:rsidRDefault="009D0AE6" w:rsidP="0062157F">
      <w:pPr>
        <w:keepNext/>
        <w:keepLines/>
      </w:pPr>
    </w:p>
    <w:p w14:paraId="5B130668" w14:textId="77777777" w:rsidR="009D0AE6" w:rsidRDefault="009D0AE6" w:rsidP="0062157F">
      <w:pPr>
        <w:keepNext/>
        <w:keepLines/>
      </w:pPr>
    </w:p>
    <w:p w14:paraId="03E99FCC" w14:textId="77777777" w:rsidR="009D0AE6" w:rsidRDefault="009D0AE6" w:rsidP="0062157F">
      <w:pPr>
        <w:keepNext/>
        <w:keepLines/>
      </w:pPr>
    </w:p>
    <w:p w14:paraId="34A40AAF" w14:textId="77777777" w:rsidR="009D0AE6" w:rsidRDefault="009D0AE6" w:rsidP="0062157F">
      <w:pPr>
        <w:keepNext/>
        <w:keepLines/>
      </w:pPr>
    </w:p>
    <w:p w14:paraId="143AB08C" w14:textId="77777777" w:rsidR="009D0AE6" w:rsidRDefault="009D0AE6" w:rsidP="0062157F">
      <w:pPr>
        <w:keepNext/>
        <w:keepLines/>
      </w:pPr>
    </w:p>
    <w:p w14:paraId="2A939D96" w14:textId="77777777" w:rsidR="009D0AE6" w:rsidRDefault="009D0AE6" w:rsidP="0062157F">
      <w:pPr>
        <w:keepNext/>
        <w:keepLines/>
      </w:pPr>
    </w:p>
    <w:p w14:paraId="7C115C34" w14:textId="77777777" w:rsidR="009D0AE6" w:rsidRDefault="009D0AE6" w:rsidP="0062157F">
      <w:pPr>
        <w:keepNext/>
        <w:keepLines/>
      </w:pPr>
    </w:p>
    <w:p w14:paraId="410B397E" w14:textId="77777777" w:rsidR="009D0AE6" w:rsidRDefault="009D0AE6" w:rsidP="0062157F">
      <w:pPr>
        <w:keepNext/>
        <w:keepLines/>
      </w:pPr>
    </w:p>
    <w:p w14:paraId="66A96153" w14:textId="77777777" w:rsidR="009D0AE6" w:rsidRDefault="009D0AE6" w:rsidP="0062157F">
      <w:pPr>
        <w:keepNext/>
        <w:keepLines/>
      </w:pPr>
    </w:p>
    <w:p w14:paraId="0B07A318" w14:textId="77777777" w:rsidR="009D0AE6" w:rsidRDefault="009D0AE6" w:rsidP="0062157F">
      <w:pPr>
        <w:keepNext/>
        <w:keepLines/>
      </w:pPr>
    </w:p>
    <w:p w14:paraId="3F087F73" w14:textId="77777777" w:rsidR="009D0AE6" w:rsidRDefault="009D0AE6" w:rsidP="009D0AE6"/>
    <w:p w14:paraId="440E2D4D" w14:textId="77777777" w:rsidR="009D0AE6" w:rsidRDefault="009D0AE6" w:rsidP="009D0AE6"/>
    <w:p w14:paraId="6EECCA99" w14:textId="77777777" w:rsidR="009D0AE6" w:rsidRDefault="009D0AE6" w:rsidP="009D0AE6">
      <w:pPr>
        <w:sectPr w:rsidR="009D0AE6" w:rsidSect="00AD603F">
          <w:headerReference w:type="default" r:id="rId75"/>
          <w:type w:val="continuous"/>
          <w:pgSz w:w="11906" w:h="16838" w:code="9"/>
          <w:pgMar w:top="1440" w:right="1440" w:bottom="1440" w:left="1440" w:header="708" w:footer="708" w:gutter="0"/>
          <w:cols w:num="2" w:space="708"/>
          <w:docGrid w:linePitch="360"/>
        </w:sectPr>
      </w:pPr>
    </w:p>
    <w:p w14:paraId="0D253171" w14:textId="77777777" w:rsidR="009D0AE6" w:rsidRDefault="009D0AE6" w:rsidP="009D0AE6">
      <w:pPr>
        <w:sectPr w:rsidR="009D0AE6" w:rsidSect="00AD603F">
          <w:headerReference w:type="default" r:id="rId76"/>
          <w:type w:val="continuous"/>
          <w:pgSz w:w="11906" w:h="16838" w:code="9"/>
          <w:pgMar w:top="1440" w:right="1440" w:bottom="1440" w:left="1440" w:header="708" w:footer="708" w:gutter="0"/>
          <w:cols w:num="2" w:space="708"/>
          <w:docGrid w:linePitch="360"/>
        </w:sectPr>
      </w:pPr>
    </w:p>
    <w:p w14:paraId="6F9AECB0" w14:textId="77777777" w:rsidR="00B879B3" w:rsidRPr="005107C4" w:rsidRDefault="00B879B3" w:rsidP="00B879B3">
      <w:pPr>
        <w:pStyle w:val="ChapterNumber"/>
        <w:spacing w:before="600"/>
        <w:jc w:val="left"/>
        <w:rPr>
          <w:color w:val="15272F" w:themeColor="accent3"/>
        </w:rPr>
      </w:pPr>
      <w:r>
        <w:rPr>
          <w:color w:val="15272F" w:themeColor="accent3"/>
        </w:rPr>
        <w:lastRenderedPageBreak/>
        <w:t>7</w:t>
      </w:r>
    </w:p>
    <w:p w14:paraId="2577128D" w14:textId="0FA540A0" w:rsidR="00B879B3" w:rsidRPr="005107C4" w:rsidRDefault="00B879B3" w:rsidP="006271FA">
      <w:pPr>
        <w:pStyle w:val="Heading-Sectionstart"/>
        <w:ind w:right="3497"/>
      </w:pPr>
      <w:bookmarkStart w:id="76" w:name="_Toc135043532"/>
      <w:r>
        <w:t>Treatment of other Commonwealth Programs</w:t>
      </w:r>
      <w:bookmarkEnd w:id="76"/>
    </w:p>
    <w:p w14:paraId="640F7360" w14:textId="77777777" w:rsidR="00B879B3" w:rsidRDefault="00B879B3" w:rsidP="00B879B3">
      <w:pPr>
        <w:pStyle w:val="Body"/>
        <w:sectPr w:rsidR="00B879B3" w:rsidSect="00C9543A">
          <w:headerReference w:type="default" r:id="rId77"/>
          <w:footerReference w:type="default" r:id="rId78"/>
          <w:pgSz w:w="11906" w:h="16838" w:code="9"/>
          <w:pgMar w:top="851" w:right="1440" w:bottom="1440" w:left="1440" w:header="708" w:footer="708" w:gutter="0"/>
          <w:cols w:space="708"/>
          <w:docGrid w:linePitch="360"/>
        </w:sectPr>
      </w:pPr>
    </w:p>
    <w:p w14:paraId="3FCA2701" w14:textId="77777777" w:rsidR="00B879B3" w:rsidRDefault="00B879B3" w:rsidP="00B879B3">
      <w:pPr>
        <w:pStyle w:val="Body"/>
        <w:sectPr w:rsidR="00B879B3" w:rsidSect="00F4029B">
          <w:headerReference w:type="default" r:id="rId79"/>
          <w:footerReference w:type="default" r:id="rId80"/>
          <w:pgSz w:w="11906" w:h="16838" w:code="9"/>
          <w:pgMar w:top="2410" w:right="1440" w:bottom="1440" w:left="1440" w:header="568" w:footer="708" w:gutter="0"/>
          <w:cols w:space="708"/>
          <w:docGrid w:linePitch="360"/>
        </w:sectPr>
      </w:pPr>
    </w:p>
    <w:p w14:paraId="311C1AEF" w14:textId="40041478" w:rsidR="00B879B3" w:rsidRDefault="006C3233" w:rsidP="00990566">
      <w:pPr>
        <w:pStyle w:val="Heading2"/>
      </w:pPr>
      <w:bookmarkStart w:id="77" w:name="_Toc135043533"/>
      <w:r>
        <w:t>7.1 Overview</w:t>
      </w:r>
      <w:bookmarkEnd w:id="77"/>
    </w:p>
    <w:p w14:paraId="4A0447C4" w14:textId="77777777" w:rsidR="006C3233" w:rsidRDefault="006C3233" w:rsidP="006C3233">
      <w:pPr>
        <w:pStyle w:val="Body"/>
      </w:pPr>
      <w:r>
        <w:t xml:space="preserve">To prevent a public hospital service being funded more than once, the Addendum to the National Health Reform Agreement 2020–25 (the Addendum) requires the Independent Health and Aged Care Authority (IHACPA) to discount Commonwealth funding provided to public hospitals through programs other than the National Health Reform Agreement. </w:t>
      </w:r>
    </w:p>
    <w:p w14:paraId="7BF2938E" w14:textId="77777777" w:rsidR="006C3233" w:rsidRDefault="006C3233" w:rsidP="006C3233">
      <w:pPr>
        <w:pStyle w:val="Body"/>
      </w:pPr>
      <w:r>
        <w:t xml:space="preserve">The two major programs are blood products (through the National Blood Agreement) and Commonwealth pharmaceutical programs. </w:t>
      </w:r>
    </w:p>
    <w:p w14:paraId="1F81CB73" w14:textId="76267826" w:rsidR="006C3233" w:rsidRDefault="006C3233" w:rsidP="006C3233">
      <w:pPr>
        <w:pStyle w:val="Body"/>
      </w:pPr>
      <w:r>
        <w:t>Consistent with clauses A9 and A46(e) of the Addendum, blood expenditure that has been reported in the National Hospital Cost Data Collection (NHCDC) by states and territories will be removed in determining the national efficient price (NEP), as Commonwealth funding for this program is provided directly to the National Blood Authority.</w:t>
      </w:r>
    </w:p>
    <w:p w14:paraId="7AA8D5AC" w14:textId="0F0A7E82" w:rsidR="006C3233" w:rsidRDefault="00E37FBE" w:rsidP="006C3233">
      <w:pPr>
        <w:pStyle w:val="Body"/>
      </w:pPr>
      <w:r>
        <w:br w:type="column"/>
      </w:r>
      <w:r w:rsidR="006C3233">
        <w:t xml:space="preserve">The following Commonwealth funded pharmaceutical programs will also be removed prior to determining the underlying cost data for the NEP determination given that they are already funded separately: </w:t>
      </w:r>
    </w:p>
    <w:p w14:paraId="77B36F22" w14:textId="77777777" w:rsidR="006C3233" w:rsidRDefault="006C3233" w:rsidP="006C3233">
      <w:pPr>
        <w:pStyle w:val="Bullets"/>
      </w:pPr>
      <w:r>
        <w:t xml:space="preserve">Highly Specialised Drugs (Section 100 funding) </w:t>
      </w:r>
    </w:p>
    <w:p w14:paraId="6D4467B2" w14:textId="2991FCCC" w:rsidR="006C3233" w:rsidRDefault="006C3233" w:rsidP="006C3233">
      <w:pPr>
        <w:pStyle w:val="Bullets"/>
      </w:pPr>
      <w:r>
        <w:t xml:space="preserve">Pharmaceutical Reform Agreements – Pharmaceutical Benefits Scheme (PBS) Access Program </w:t>
      </w:r>
    </w:p>
    <w:p w14:paraId="779215FC" w14:textId="49FFDF47" w:rsidR="006C3233" w:rsidRDefault="006C3233" w:rsidP="006C3233">
      <w:pPr>
        <w:pStyle w:val="Bullets"/>
      </w:pPr>
      <w:r>
        <w:t>Pharmaceutical Reform Agreements – Efficient Funding of Chemotherapy (Section 100 funding).</w:t>
      </w:r>
    </w:p>
    <w:p w14:paraId="25AC8F58" w14:textId="328845F6" w:rsidR="006C3233" w:rsidRDefault="003265AB" w:rsidP="00990566">
      <w:pPr>
        <w:pStyle w:val="Body"/>
        <w:rPr>
          <w:rFonts w:ascii="Calibri" w:hAnsi="Calibri"/>
        </w:rPr>
      </w:pPr>
      <w:r>
        <w:t>IHACPA’s process to remove</w:t>
      </w:r>
      <w:r w:rsidR="00951EA9">
        <w:t xml:space="preserve"> PBS</w:t>
      </w:r>
      <w:r w:rsidR="006C3233">
        <w:t xml:space="preserve"> payments</w:t>
      </w:r>
      <w:r w:rsidR="00B1795B">
        <w:t xml:space="preserve"> </w:t>
      </w:r>
      <w:r w:rsidR="00951EA9">
        <w:t xml:space="preserve">from the NHCDC involves linking the benefits </w:t>
      </w:r>
      <w:r w:rsidR="006C3233">
        <w:t xml:space="preserve">to </w:t>
      </w:r>
      <w:r>
        <w:t xml:space="preserve">the </w:t>
      </w:r>
      <w:r w:rsidR="006C3233">
        <w:t xml:space="preserve">corresponding hospital episodes where possible, as well as removing aggregate amounts where payments cannot be linked. </w:t>
      </w:r>
    </w:p>
    <w:p w14:paraId="794EC22A" w14:textId="7775DCB7" w:rsidR="006C3233" w:rsidRDefault="006C3233" w:rsidP="00990566">
      <w:pPr>
        <w:pStyle w:val="Body"/>
      </w:pPr>
      <w:r>
        <w:t xml:space="preserve">In 2023–24, IHACPA intends to commence a review </w:t>
      </w:r>
      <w:r w:rsidR="00C26938">
        <w:t>of th</w:t>
      </w:r>
      <w:r w:rsidR="003265AB">
        <w:t>is</w:t>
      </w:r>
      <w:r>
        <w:t xml:space="preserve"> linking process</w:t>
      </w:r>
      <w:r w:rsidR="003265AB">
        <w:t xml:space="preserve"> and explore</w:t>
      </w:r>
      <w:r w:rsidR="00C26938">
        <w:t xml:space="preserve"> </w:t>
      </w:r>
      <w:r>
        <w:t xml:space="preserve">potential </w:t>
      </w:r>
      <w:r w:rsidR="003265AB">
        <w:t xml:space="preserve">process </w:t>
      </w:r>
      <w:r>
        <w:t>improvements</w:t>
      </w:r>
      <w:r w:rsidR="00C26938">
        <w:t xml:space="preserve"> to </w:t>
      </w:r>
      <w:r w:rsidR="003265AB">
        <w:t xml:space="preserve">ensure the </w:t>
      </w:r>
      <w:r>
        <w:t>amounts</w:t>
      </w:r>
      <w:r w:rsidR="003265AB">
        <w:t xml:space="preserve"> </w:t>
      </w:r>
      <w:r>
        <w:t xml:space="preserve">deducted from individual hospital episodes </w:t>
      </w:r>
      <w:r w:rsidR="003265AB">
        <w:t>bett</w:t>
      </w:r>
      <w:r>
        <w:t xml:space="preserve">er reflect </w:t>
      </w:r>
      <w:r w:rsidR="003265AB">
        <w:t xml:space="preserve">the </w:t>
      </w:r>
      <w:r>
        <w:t>associated PBS payments</w:t>
      </w:r>
      <w:r w:rsidR="003265AB">
        <w:t xml:space="preserve"> and </w:t>
      </w:r>
      <w:r>
        <w:t>in turn</w:t>
      </w:r>
      <w:r w:rsidR="003265AB">
        <w:t>,</w:t>
      </w:r>
      <w:r>
        <w:t xml:space="preserve"> improve the representativeness of resulting prices.</w:t>
      </w:r>
    </w:p>
    <w:p w14:paraId="7792C682" w14:textId="77777777" w:rsidR="00B879B3" w:rsidRDefault="00B879B3" w:rsidP="00B879B3"/>
    <w:p w14:paraId="54D6586B" w14:textId="77777777" w:rsidR="00B879B3" w:rsidRDefault="00B879B3" w:rsidP="00B879B3"/>
    <w:p w14:paraId="3E0AEFFD" w14:textId="77777777" w:rsidR="00B879B3" w:rsidRDefault="00B879B3" w:rsidP="00B879B3"/>
    <w:p w14:paraId="44A5A50F" w14:textId="77777777" w:rsidR="00B879B3" w:rsidRDefault="00B879B3" w:rsidP="00B879B3"/>
    <w:p w14:paraId="21BA1CB9" w14:textId="77777777" w:rsidR="00B879B3" w:rsidRDefault="00B879B3" w:rsidP="00B879B3"/>
    <w:p w14:paraId="7BECAABD" w14:textId="77777777" w:rsidR="00B879B3" w:rsidRDefault="00B879B3" w:rsidP="00B879B3"/>
    <w:p w14:paraId="415F0414" w14:textId="77777777" w:rsidR="00B879B3" w:rsidRDefault="00B879B3" w:rsidP="00B879B3"/>
    <w:p w14:paraId="752C50FF" w14:textId="77777777" w:rsidR="00B879B3" w:rsidRDefault="00B879B3" w:rsidP="00B879B3"/>
    <w:p w14:paraId="402C4FC1" w14:textId="77777777" w:rsidR="00B879B3" w:rsidRDefault="00B879B3" w:rsidP="00B879B3"/>
    <w:p w14:paraId="7EFC8889" w14:textId="77777777" w:rsidR="00B879B3" w:rsidRDefault="00B879B3" w:rsidP="00B879B3"/>
    <w:p w14:paraId="390EDF6A" w14:textId="77777777" w:rsidR="00B879B3" w:rsidRDefault="00B879B3" w:rsidP="00B879B3"/>
    <w:p w14:paraId="0A9DB1DD" w14:textId="77777777" w:rsidR="00B879B3" w:rsidRDefault="00B879B3" w:rsidP="00B879B3">
      <w:pPr>
        <w:sectPr w:rsidR="00B879B3" w:rsidSect="00AD603F">
          <w:headerReference w:type="default" r:id="rId81"/>
          <w:type w:val="continuous"/>
          <w:pgSz w:w="11906" w:h="16838" w:code="9"/>
          <w:pgMar w:top="1440" w:right="1440" w:bottom="1440" w:left="1440" w:header="708" w:footer="708" w:gutter="0"/>
          <w:cols w:num="2" w:space="708"/>
          <w:docGrid w:linePitch="360"/>
        </w:sectPr>
      </w:pPr>
    </w:p>
    <w:p w14:paraId="5EBD2248" w14:textId="77777777" w:rsidR="00B879B3" w:rsidRDefault="00B879B3" w:rsidP="00B879B3">
      <w:pPr>
        <w:sectPr w:rsidR="00B879B3" w:rsidSect="00AD603F">
          <w:headerReference w:type="default" r:id="rId82"/>
          <w:type w:val="continuous"/>
          <w:pgSz w:w="11906" w:h="16838" w:code="9"/>
          <w:pgMar w:top="1440" w:right="1440" w:bottom="1440" w:left="1440" w:header="708" w:footer="708" w:gutter="0"/>
          <w:cols w:num="2" w:space="708"/>
          <w:docGrid w:linePitch="360"/>
        </w:sectPr>
      </w:pPr>
    </w:p>
    <w:p w14:paraId="4EB527C7" w14:textId="63552B62" w:rsidR="0055477F" w:rsidRPr="005107C4" w:rsidRDefault="006B06BB" w:rsidP="006B19D6">
      <w:pPr>
        <w:pStyle w:val="ChapterNumber"/>
        <w:spacing w:before="600"/>
        <w:jc w:val="left"/>
        <w:rPr>
          <w:color w:val="15272F" w:themeColor="accent3"/>
        </w:rPr>
      </w:pPr>
      <w:r>
        <w:rPr>
          <w:color w:val="15272F" w:themeColor="accent3"/>
        </w:rPr>
        <w:lastRenderedPageBreak/>
        <w:t>8</w:t>
      </w:r>
    </w:p>
    <w:p w14:paraId="47D3334E" w14:textId="77777777" w:rsidR="00F83BA1" w:rsidRPr="00D207F8" w:rsidRDefault="00F83BA1" w:rsidP="00F83BA1">
      <w:pPr>
        <w:pStyle w:val="Heading1"/>
        <w:spacing w:before="600" w:line="720" w:lineRule="exact"/>
        <w:ind w:right="4064"/>
        <w:rPr>
          <w:color w:val="54C1AF" w:themeColor="accent4"/>
        </w:rPr>
      </w:pPr>
      <w:bookmarkStart w:id="78" w:name="_Toc132118435"/>
      <w:bookmarkStart w:id="79" w:name="_Toc135043534"/>
      <w:r>
        <w:rPr>
          <w:color w:val="54C1AF" w:themeColor="accent4"/>
        </w:rPr>
        <w:t>Future funding models</w:t>
      </w:r>
      <w:bookmarkEnd w:id="78"/>
      <w:bookmarkEnd w:id="79"/>
    </w:p>
    <w:p w14:paraId="16C3E85E" w14:textId="30E477C3" w:rsidR="0055477F" w:rsidRPr="005107C4" w:rsidRDefault="0055477F" w:rsidP="0055477F">
      <w:pPr>
        <w:pStyle w:val="Heading-Sectionstart"/>
      </w:pPr>
    </w:p>
    <w:p w14:paraId="74B62747" w14:textId="77777777" w:rsidR="0055477F" w:rsidRDefault="0055477F" w:rsidP="0055477F">
      <w:pPr>
        <w:pStyle w:val="Body"/>
        <w:sectPr w:rsidR="0055477F" w:rsidSect="00C9543A">
          <w:headerReference w:type="default" r:id="rId83"/>
          <w:footerReference w:type="default" r:id="rId84"/>
          <w:pgSz w:w="11906" w:h="16838" w:code="9"/>
          <w:pgMar w:top="851" w:right="1440" w:bottom="1440" w:left="1440" w:header="708" w:footer="708" w:gutter="0"/>
          <w:cols w:space="708"/>
          <w:docGrid w:linePitch="360"/>
        </w:sectPr>
      </w:pPr>
    </w:p>
    <w:p w14:paraId="0B0DB36D" w14:textId="6EAB6003" w:rsidR="0055477F" w:rsidRDefault="0055477F" w:rsidP="0055477F">
      <w:pPr>
        <w:pStyle w:val="Body"/>
        <w:sectPr w:rsidR="0055477F" w:rsidSect="00F4029B">
          <w:headerReference w:type="default" r:id="rId85"/>
          <w:footerReference w:type="default" r:id="rId86"/>
          <w:pgSz w:w="11906" w:h="16838" w:code="9"/>
          <w:pgMar w:top="2410" w:right="1440" w:bottom="1440" w:left="1440" w:header="568" w:footer="708" w:gutter="0"/>
          <w:cols w:space="708"/>
          <w:docGrid w:linePitch="360"/>
        </w:sectPr>
      </w:pPr>
    </w:p>
    <w:p w14:paraId="5DC4E27F" w14:textId="556E43A3" w:rsidR="003E4723" w:rsidRDefault="006B06BB" w:rsidP="00334AE4">
      <w:pPr>
        <w:pStyle w:val="Heading2"/>
        <w:spacing w:before="100" w:beforeAutospacing="1"/>
      </w:pPr>
      <w:bookmarkStart w:id="80" w:name="_Toc133232591"/>
      <w:bookmarkStart w:id="81" w:name="_Toc135043535"/>
      <w:r>
        <w:t>8</w:t>
      </w:r>
      <w:r w:rsidR="003E4723">
        <w:t>.1 Overview</w:t>
      </w:r>
      <w:bookmarkEnd w:id="80"/>
      <w:bookmarkEnd w:id="81"/>
    </w:p>
    <w:p w14:paraId="3313682B" w14:textId="77777777" w:rsidR="00F83BA1" w:rsidRDefault="00F83BA1" w:rsidP="00F83BA1">
      <w:pPr>
        <w:pStyle w:val="Body"/>
      </w:pPr>
      <w:r>
        <w:t xml:space="preserve">Activity based funding (ABF) has been an effective funding mechanism since it was introduced to Australian public hospitals in 2012. By setting a national efficient price (NEP) for each ABF hospital service, it has contributed to creating a more equitable and transparent system of hospital funding across Australia and enabled a stable and sustainable rate of growth in public hospital costs. </w:t>
      </w:r>
    </w:p>
    <w:p w14:paraId="3550A5F0" w14:textId="42C0F6B2" w:rsidR="00334AE4" w:rsidRDefault="00F83BA1" w:rsidP="00334AE4">
      <w:pPr>
        <w:pStyle w:val="Body"/>
      </w:pPr>
      <w:r>
        <w:t>ABF will continue to be the best pricing and funding mechanism for many hospital services, however, the existing ABF system could benefit from the incorporation of alternate funding models that have</w:t>
      </w:r>
      <w:r w:rsidR="005944DB">
        <w:t xml:space="preserve"> </w:t>
      </w:r>
      <w:r w:rsidR="00334AE4">
        <w:t>the potential to create better incentives for improved continuity of care, use of evidence-based care pathways and substitution of the most effective service response. This is consistent with the move</w:t>
      </w:r>
      <w:r w:rsidR="00334AE4" w:rsidRPr="00334AE4">
        <w:t xml:space="preserve"> </w:t>
      </w:r>
      <w:r w:rsidR="00334AE4">
        <w:t>towards value-based care and a focus on outcomes over volume of services.</w:t>
      </w:r>
    </w:p>
    <w:p w14:paraId="6B01DCEA" w14:textId="723DF75B" w:rsidR="00334AE4" w:rsidRDefault="00334AE4" w:rsidP="00334AE4">
      <w:pPr>
        <w:pStyle w:val="Body"/>
      </w:pPr>
      <w:r>
        <w:t xml:space="preserve">The Addendum to the </w:t>
      </w:r>
      <w:r>
        <w:rPr>
          <w:rFonts w:cs="Arial"/>
        </w:rPr>
        <w:t>National Health Reform Agreement 2020</w:t>
      </w:r>
      <w:r>
        <w:t>–25 (the Addendum) stipulates that the Independent Health and Aged Care Pricing Authority (IHACPA) will support the exploration and trial of new and innovative approaches to public hospital funding through:</w:t>
      </w:r>
    </w:p>
    <w:p w14:paraId="4E306FB1" w14:textId="4E474502" w:rsidR="00334AE4" w:rsidRDefault="00334AE4" w:rsidP="00334AE4">
      <w:pPr>
        <w:pStyle w:val="Bullets"/>
      </w:pPr>
      <w:r w:rsidRPr="00334AE4">
        <w:t>developing a funding methodology for approval from the Health Ministers’ Meetings (HMM)</w:t>
      </w:r>
      <w:r>
        <w:rPr>
          <w:rStyle w:val="FootnoteReference"/>
        </w:rPr>
        <w:footnoteReference w:id="3"/>
      </w:r>
      <w:r>
        <w:t xml:space="preserve"> that does not penalise states and territories undertaking trials of innovative models of care</w:t>
      </w:r>
    </w:p>
    <w:p w14:paraId="763AD9D1" w14:textId="77777777" w:rsidR="00334AE4" w:rsidRDefault="00334AE4" w:rsidP="00334AE4">
      <w:pPr>
        <w:pStyle w:val="Bullets"/>
      </w:pPr>
      <w:r>
        <w:t>advising the Commonwealth and states and territories on the application of the aforementioned methodology and on any issues it foresees with the proposed trial, with regard to the national funding model</w:t>
      </w:r>
    </w:p>
    <w:p w14:paraId="4AC32BB3" w14:textId="77777777" w:rsidR="00334AE4" w:rsidRDefault="00334AE4" w:rsidP="00334AE4">
      <w:pPr>
        <w:pStyle w:val="Bullets"/>
      </w:pPr>
      <w:r>
        <w:t>providing advice to HMM on any proposal to translate an innovative funding model to the national funding model, to inform consideration on the matter.</w:t>
      </w:r>
    </w:p>
    <w:p w14:paraId="46088F97" w14:textId="09B51CA8" w:rsidR="00F83BA1" w:rsidRDefault="00334AE4" w:rsidP="00334AE4">
      <w:pPr>
        <w:pStyle w:val="Heading2"/>
        <w:spacing w:before="120"/>
      </w:pPr>
      <w:bookmarkStart w:id="82" w:name="_Toc132118437"/>
      <w:bookmarkStart w:id="83" w:name="_Toc135043536"/>
      <w:r>
        <w:br w:type="column"/>
      </w:r>
      <w:r w:rsidR="006B06BB">
        <w:t>8</w:t>
      </w:r>
      <w:r w:rsidR="00F83BA1">
        <w:t>.2 Trialling of innovative models of care</w:t>
      </w:r>
      <w:bookmarkEnd w:id="82"/>
      <w:bookmarkEnd w:id="83"/>
    </w:p>
    <w:p w14:paraId="51797CD4" w14:textId="77777777" w:rsidR="00F83BA1" w:rsidRDefault="00F83BA1" w:rsidP="00F83BA1">
      <w:pPr>
        <w:pStyle w:val="Body"/>
      </w:pPr>
      <w:r>
        <w:t xml:space="preserve">Clause A99 of the Addendum stipulates that states and territories can seek to trial innovative models of care, either: </w:t>
      </w:r>
    </w:p>
    <w:p w14:paraId="3CB6BD36" w14:textId="77777777" w:rsidR="00F83BA1" w:rsidRDefault="00F83BA1" w:rsidP="00F83BA1">
      <w:pPr>
        <w:pStyle w:val="Bullets"/>
      </w:pPr>
      <w:r>
        <w:t>as an ABF service with shadow pricing, reporting, and appropriate interim block funding arrangements for the trial period; or</w:t>
      </w:r>
    </w:p>
    <w:p w14:paraId="4985A58C" w14:textId="77777777" w:rsidR="00F83BA1" w:rsidRDefault="00F83BA1" w:rsidP="00F83BA1">
      <w:pPr>
        <w:pStyle w:val="Bullets"/>
      </w:pPr>
      <w:r>
        <w:t>as a block funded service, with reporting against the national model and program outcomes for the innovative funding model.</w:t>
      </w:r>
    </w:p>
    <w:p w14:paraId="79C36B8D" w14:textId="7CF3D45A" w:rsidR="00F83BA1" w:rsidRDefault="00F83BA1" w:rsidP="00F83BA1">
      <w:pPr>
        <w:pStyle w:val="Body"/>
      </w:pPr>
      <w:r>
        <w:t xml:space="preserve">IHACPA’s role </w:t>
      </w:r>
      <w:r w:rsidR="00A91600">
        <w:t xml:space="preserve">as outlined in the Addendum, </w:t>
      </w:r>
      <w:r>
        <w:t>is to provide advice and facilitate exploration and trial of new and innovative approaches to public hospital funding.</w:t>
      </w:r>
      <w:r w:rsidR="00F13CDE">
        <w:t xml:space="preserve"> </w:t>
      </w:r>
    </w:p>
    <w:p w14:paraId="55764250" w14:textId="7C54E0E7" w:rsidR="001C44D4" w:rsidRDefault="006E4348" w:rsidP="001C44D4">
      <w:pPr>
        <w:pStyle w:val="Body"/>
      </w:pPr>
      <w:r>
        <w:t xml:space="preserve">As part of the </w:t>
      </w:r>
      <w:r w:rsidRPr="00C045F3">
        <w:rPr>
          <w:i/>
          <w:iCs/>
        </w:rPr>
        <w:t>Update to the National Efficient Cost Supplementary Determination 2022–23</w:t>
      </w:r>
      <w:r>
        <w:t xml:space="preserve">, IHACPA included </w:t>
      </w:r>
      <w:r w:rsidRPr="006E4348">
        <w:t xml:space="preserve">block-funded expenditure amounts </w:t>
      </w:r>
      <w:r w:rsidR="001C44D4" w:rsidRPr="00990566">
        <w:t xml:space="preserve">for </w:t>
      </w:r>
      <w:r w:rsidR="001C44D4">
        <w:t xml:space="preserve">the following </w:t>
      </w:r>
      <w:r w:rsidR="001C44D4" w:rsidRPr="00990566">
        <w:t>f</w:t>
      </w:r>
      <w:r w:rsidR="00552CF1">
        <w:t>our</w:t>
      </w:r>
      <w:r w:rsidR="001C44D4" w:rsidRPr="00990566">
        <w:t xml:space="preserve"> innovative models of care</w:t>
      </w:r>
      <w:r w:rsidR="001C44D4">
        <w:t xml:space="preserve"> proposed by New South Wales (NSW),</w:t>
      </w:r>
      <w:r w:rsidR="001C44D4" w:rsidRPr="00990566">
        <w:t xml:space="preserve"> based on a pending interim agreement with the </w:t>
      </w:r>
      <w:r w:rsidR="001C44D4" w:rsidRPr="001C44D4">
        <w:t>C</w:t>
      </w:r>
      <w:r w:rsidR="001C44D4">
        <w:t>ommonwealth</w:t>
      </w:r>
      <w:r w:rsidR="001C44D4" w:rsidRPr="00990566">
        <w:t xml:space="preserve"> to trial these models under clause A97 of the Addendum</w:t>
      </w:r>
      <w:r w:rsidR="001C44D4">
        <w:t>:</w:t>
      </w:r>
    </w:p>
    <w:p w14:paraId="348E47A2" w14:textId="3069B63E" w:rsidR="00D417D1" w:rsidRDefault="001C44D4" w:rsidP="00F70320">
      <w:pPr>
        <w:pStyle w:val="Bullets"/>
      </w:pPr>
      <w:r>
        <w:t xml:space="preserve">Northern Sydney Local Health District Frail Aged – a program that </w:t>
      </w:r>
      <w:r w:rsidRPr="001C44D4">
        <w:t>aims to deliver proactive and timely</w:t>
      </w:r>
      <w:r>
        <w:t xml:space="preserve"> community</w:t>
      </w:r>
      <w:r w:rsidRPr="001C44D4">
        <w:t xml:space="preserve"> care </w:t>
      </w:r>
      <w:r>
        <w:t>for</w:t>
      </w:r>
      <w:r w:rsidRPr="001C44D4">
        <w:t xml:space="preserve"> people at high</w:t>
      </w:r>
      <w:r>
        <w:noBreakHyphen/>
      </w:r>
      <w:r w:rsidRPr="001C44D4">
        <w:t>risk of an unplanned hospital admission</w:t>
      </w:r>
    </w:p>
    <w:p w14:paraId="0C24A2DC" w14:textId="5F45076A" w:rsidR="001C44D4" w:rsidRDefault="001C44D4" w:rsidP="001C44D4">
      <w:pPr>
        <w:pStyle w:val="Bullets"/>
      </w:pPr>
      <w:r>
        <w:t xml:space="preserve">Royal Prince Alfred Virtual Hospital – a program that </w:t>
      </w:r>
      <w:r w:rsidRPr="001C44D4">
        <w:t>aims to improve patient outcomes and experiences, accommodate increasing demand, enhance access to a specialised workforce and ensure sustainability of services</w:t>
      </w:r>
      <w:r>
        <w:t xml:space="preserve"> through virtual service provision</w:t>
      </w:r>
    </w:p>
    <w:p w14:paraId="3E553BEC" w14:textId="18077C73" w:rsidR="00D417D1" w:rsidRDefault="001C44D4" w:rsidP="00334AE4">
      <w:pPr>
        <w:pStyle w:val="Bullets"/>
      </w:pPr>
      <w:proofErr w:type="spellStart"/>
      <w:r>
        <w:t>Telestroke</w:t>
      </w:r>
      <w:proofErr w:type="spellEnd"/>
      <w:r>
        <w:t xml:space="preserve"> – a </w:t>
      </w:r>
      <w:r w:rsidRPr="001C44D4">
        <w:t xml:space="preserve">program </w:t>
      </w:r>
      <w:r>
        <w:t xml:space="preserve">that </w:t>
      </w:r>
      <w:r w:rsidRPr="001C44D4">
        <w:t>aims to connect emergency department doctors to stroke specialists via video consultation</w:t>
      </w:r>
    </w:p>
    <w:p w14:paraId="0FC56A89" w14:textId="223FCDF7" w:rsidR="00D417D1" w:rsidRDefault="00334AE4" w:rsidP="001C44D4">
      <w:pPr>
        <w:pStyle w:val="Bullets"/>
      </w:pPr>
      <w:r>
        <w:br w:type="column"/>
      </w:r>
      <w:r w:rsidR="00D417D1">
        <w:lastRenderedPageBreak/>
        <w:t xml:space="preserve">Virtual Clinical Care Centre - </w:t>
      </w:r>
      <w:r w:rsidR="00D417D1" w:rsidRPr="001C44D4">
        <w:t>a secondary triage program targeted at decreasing transfers for low acuity patients from Residential Aged Care Facilities to hospital via ambulance</w:t>
      </w:r>
      <w:r w:rsidR="00D417D1">
        <w:t xml:space="preserve"> and in turn reducing increased demand for ambulance services.</w:t>
      </w:r>
    </w:p>
    <w:p w14:paraId="3DA8FDD4" w14:textId="58033FC8" w:rsidR="00F83BA1" w:rsidRPr="00300FD7" w:rsidRDefault="00F83BA1" w:rsidP="00334AE4">
      <w:pPr>
        <w:pStyle w:val="Bullets"/>
        <w:numPr>
          <w:ilvl w:val="0"/>
          <w:numId w:val="0"/>
        </w:numPr>
        <w:spacing w:before="240"/>
        <w:ind w:left="113"/>
      </w:pPr>
      <w:r>
        <w:t>IHACPA</w:t>
      </w:r>
      <w:r w:rsidR="00BC3ACE">
        <w:t xml:space="preserve"> will continue to</w:t>
      </w:r>
      <w:r w:rsidR="00F13CDE">
        <w:t xml:space="preserve"> work</w:t>
      </w:r>
      <w:r>
        <w:t xml:space="preserve"> with jurisdictions to</w:t>
      </w:r>
      <w:r w:rsidR="00F13CDE">
        <w:t xml:space="preserve"> develop and</w:t>
      </w:r>
      <w:r>
        <w:t xml:space="preserve"> </w:t>
      </w:r>
      <w:r w:rsidR="00F13CDE">
        <w:t>provide</w:t>
      </w:r>
      <w:r>
        <w:t xml:space="preserve"> </w:t>
      </w:r>
      <w:r w:rsidR="00F13CDE">
        <w:t xml:space="preserve">advisory </w:t>
      </w:r>
      <w:r>
        <w:t xml:space="preserve">support </w:t>
      </w:r>
      <w:r w:rsidR="00F13CDE">
        <w:t xml:space="preserve">for </w:t>
      </w:r>
      <w:r>
        <w:t>the trialling of innovative models of care, under bilateral agreements between states and territories and the Commonwealth.</w:t>
      </w:r>
    </w:p>
    <w:p w14:paraId="20AA246D" w14:textId="77777777" w:rsidR="0055477F" w:rsidRDefault="0055477F" w:rsidP="0055477F">
      <w:pPr>
        <w:sectPr w:rsidR="0055477F" w:rsidSect="00AD603F">
          <w:headerReference w:type="default" r:id="rId87"/>
          <w:type w:val="continuous"/>
          <w:pgSz w:w="11906" w:h="16838" w:code="9"/>
          <w:pgMar w:top="1440" w:right="1440" w:bottom="1440" w:left="1440" w:header="708" w:footer="708" w:gutter="0"/>
          <w:cols w:num="2" w:space="708"/>
          <w:docGrid w:linePitch="360"/>
          <w15:footnoteColumns w:val="1"/>
        </w:sectPr>
      </w:pPr>
      <w:r>
        <w:br w:type="page"/>
      </w:r>
    </w:p>
    <w:p w14:paraId="3A441F52" w14:textId="0FB2BF04" w:rsidR="0055477F" w:rsidRPr="005107C4" w:rsidRDefault="006B06BB" w:rsidP="006B19D6">
      <w:pPr>
        <w:pStyle w:val="ChapterNumber"/>
        <w:spacing w:before="600"/>
        <w:jc w:val="left"/>
        <w:rPr>
          <w:color w:val="15272F" w:themeColor="accent3"/>
        </w:rPr>
      </w:pPr>
      <w:r>
        <w:rPr>
          <w:color w:val="15272F" w:themeColor="accent3"/>
        </w:rPr>
        <w:lastRenderedPageBreak/>
        <w:t>9</w:t>
      </w:r>
    </w:p>
    <w:p w14:paraId="62726FB1" w14:textId="02C601DB" w:rsidR="0055477F" w:rsidRPr="005107C4" w:rsidRDefault="00F83BA1" w:rsidP="009D4541">
      <w:pPr>
        <w:pStyle w:val="Heading-Sectionstart"/>
        <w:ind w:right="2930"/>
      </w:pPr>
      <w:bookmarkStart w:id="84" w:name="_Toc132118439"/>
      <w:bookmarkStart w:id="85" w:name="_Toc135043537"/>
      <w:r>
        <w:t>Pricing and funding for safety and quality</w:t>
      </w:r>
      <w:bookmarkEnd w:id="84"/>
      <w:bookmarkEnd w:id="85"/>
    </w:p>
    <w:p w14:paraId="5B33D083" w14:textId="77777777" w:rsidR="0055477F" w:rsidRDefault="0055477F" w:rsidP="0055477F">
      <w:pPr>
        <w:pStyle w:val="Body"/>
        <w:sectPr w:rsidR="0055477F" w:rsidSect="00C9543A">
          <w:headerReference w:type="default" r:id="rId88"/>
          <w:footerReference w:type="default" r:id="rId89"/>
          <w:pgSz w:w="11906" w:h="16838" w:code="9"/>
          <w:pgMar w:top="851" w:right="1440" w:bottom="1440" w:left="1440" w:header="708" w:footer="708" w:gutter="0"/>
          <w:cols w:space="708"/>
          <w:docGrid w:linePitch="360"/>
        </w:sectPr>
      </w:pPr>
    </w:p>
    <w:p w14:paraId="6DD30B0D" w14:textId="77777777" w:rsidR="0055477F" w:rsidRDefault="0055477F" w:rsidP="0055477F">
      <w:pPr>
        <w:pStyle w:val="Body"/>
        <w:sectPr w:rsidR="0055477F" w:rsidSect="00F4029B">
          <w:headerReference w:type="default" r:id="rId90"/>
          <w:footerReference w:type="default" r:id="rId91"/>
          <w:pgSz w:w="11906" w:h="16838" w:code="9"/>
          <w:pgMar w:top="2410" w:right="1440" w:bottom="1440" w:left="1440" w:header="568" w:footer="708" w:gutter="0"/>
          <w:cols w:space="708"/>
          <w:docGrid w:linePitch="360"/>
        </w:sectPr>
      </w:pPr>
    </w:p>
    <w:p w14:paraId="63133D72" w14:textId="5756AA62" w:rsidR="003E4723" w:rsidRPr="00F674D9" w:rsidRDefault="006B06BB" w:rsidP="003E4723">
      <w:pPr>
        <w:pStyle w:val="Heading2"/>
      </w:pPr>
      <w:bookmarkStart w:id="86" w:name="_Toc133232594"/>
      <w:bookmarkStart w:id="87" w:name="_Toc135043538"/>
      <w:r>
        <w:t>9</w:t>
      </w:r>
      <w:r w:rsidR="003E4723" w:rsidRPr="00F674D9">
        <w:t>.1 Overview</w:t>
      </w:r>
      <w:bookmarkEnd w:id="86"/>
      <w:bookmarkEnd w:id="87"/>
    </w:p>
    <w:p w14:paraId="233A126C" w14:textId="77777777" w:rsidR="00F83BA1" w:rsidRDefault="00F83BA1" w:rsidP="00F83BA1">
      <w:pPr>
        <w:pStyle w:val="Body"/>
      </w:pPr>
      <w:r>
        <w:t xml:space="preserve">The Independent Health and Aged Care Pricing Authority (IHACPA) and the Australian Commission on Safety and Quality in Health Care (the Commission) follow a collaborative work program to incorporate safety and quality measures into determining the national efficient price (NEP), as required under the Addendum to the National Health Reform Agreement 2020–25 (the Addendum). </w:t>
      </w:r>
    </w:p>
    <w:p w14:paraId="05E18CA2" w14:textId="77777777" w:rsidR="00F83BA1" w:rsidRDefault="00F83BA1" w:rsidP="00F83BA1">
      <w:pPr>
        <w:pStyle w:val="Body"/>
      </w:pPr>
      <w:r>
        <w:t xml:space="preserve">Under the Addendum, IHACPA is required to incorporate safety and quality into the pricing and funding of public hospital services to improve patient outcomes across three key areas: sentinel events, hospital acquired complications (HACs) and avoidable hospital readmissions. </w:t>
      </w:r>
    </w:p>
    <w:p w14:paraId="38DCDCB2" w14:textId="77777777" w:rsidR="00F83BA1" w:rsidRPr="00F674D9" w:rsidRDefault="00F83BA1" w:rsidP="00F83BA1">
      <w:pPr>
        <w:pStyle w:val="Body"/>
      </w:pPr>
      <w:r>
        <w:t>The funding adjustments applied as part of the safety and quality reforms not only act as a price signal, but also aim to improve awareness of areas that clinicians and hospital managers can work on to address and improve patient care.</w:t>
      </w:r>
    </w:p>
    <w:p w14:paraId="0C0B7B33" w14:textId="32D358B4" w:rsidR="00F83BA1" w:rsidRDefault="006B06BB" w:rsidP="00F83BA1">
      <w:pPr>
        <w:pStyle w:val="Heading2"/>
        <w:spacing w:before="240"/>
      </w:pPr>
      <w:bookmarkStart w:id="88" w:name="_Toc132118441"/>
      <w:bookmarkStart w:id="89" w:name="_Toc135043539"/>
      <w:r>
        <w:t>9</w:t>
      </w:r>
      <w:r w:rsidR="00F83BA1">
        <w:t>.2 Sentinel events</w:t>
      </w:r>
      <w:bookmarkEnd w:id="88"/>
      <w:bookmarkEnd w:id="89"/>
    </w:p>
    <w:p w14:paraId="2F820189" w14:textId="77777777" w:rsidR="00F83BA1" w:rsidRDefault="00F83BA1" w:rsidP="00F83BA1">
      <w:pPr>
        <w:pStyle w:val="Body"/>
      </w:pPr>
      <w:r>
        <w:t xml:space="preserve">Sentinel events are defined by the Commission as a subset of adverse patient safety events that are wholly preventable and result in serious harm to, or death of, a patient. </w:t>
      </w:r>
    </w:p>
    <w:p w14:paraId="2981AC7A" w14:textId="77777777" w:rsidR="00F83BA1" w:rsidRDefault="00F83BA1" w:rsidP="00F83BA1">
      <w:pPr>
        <w:pStyle w:val="Body"/>
      </w:pPr>
      <w:r>
        <w:t xml:space="preserve">Since 1 July 2017, IHACPA has specified that an episode of care including a sentinel event will be assigned a national weighted activity unit (NWAU) of zero. This approach is applied to all hospitals, whether funded on an activity or block funded basis. </w:t>
      </w:r>
    </w:p>
    <w:p w14:paraId="6EC297A3" w14:textId="77777777" w:rsidR="00F83BA1" w:rsidRDefault="00F83BA1" w:rsidP="00F83BA1">
      <w:pPr>
        <w:pStyle w:val="Body"/>
      </w:pPr>
      <w:r>
        <w:t xml:space="preserve">As per the Addendum (clauses A165–A166), IHACPA will continue to apply this funding adjustment for episodes with a sentinel event for the </w:t>
      </w:r>
      <w:r w:rsidRPr="006271FA">
        <w:t>NEP Determination 2024–25</w:t>
      </w:r>
      <w:r>
        <w:t xml:space="preserve"> (NEP24) using Version 2.0 of the </w:t>
      </w:r>
      <w:hyperlink r:id="rId92" w:history="1">
        <w:r w:rsidRPr="00306EDB">
          <w:rPr>
            <w:rStyle w:val="HyperlinktextChar"/>
          </w:rPr>
          <w:t>Australian Sentinel Events List</w:t>
        </w:r>
      </w:hyperlink>
      <w:r w:rsidRPr="00306EDB">
        <w:t xml:space="preserve"> </w:t>
      </w:r>
      <w:r>
        <w:t>published on the Commission’s website.</w:t>
      </w:r>
    </w:p>
    <w:p w14:paraId="3A4047D2" w14:textId="70FEC8D4" w:rsidR="00F83BA1" w:rsidRDefault="006B06BB" w:rsidP="00F83BA1">
      <w:pPr>
        <w:pStyle w:val="Heading2"/>
      </w:pPr>
      <w:bookmarkStart w:id="90" w:name="_Toc132118442"/>
      <w:bookmarkStart w:id="91" w:name="_Toc135043540"/>
      <w:r>
        <w:t>9</w:t>
      </w:r>
      <w:r w:rsidR="00F83BA1">
        <w:t>.3 Hospital acquired complications</w:t>
      </w:r>
      <w:bookmarkEnd w:id="90"/>
      <w:bookmarkEnd w:id="91"/>
    </w:p>
    <w:p w14:paraId="4F1003A7" w14:textId="77777777" w:rsidR="00F83BA1" w:rsidRDefault="00F83BA1" w:rsidP="00F83BA1">
      <w:pPr>
        <w:pStyle w:val="Body"/>
      </w:pPr>
      <w:r>
        <w:t xml:space="preserve">A HAC is a complication that occurs during a hospital stay and for which clinical risk mitigation strategies may reduce (but not necessarily eliminate) the risk of that complication occurring. </w:t>
      </w:r>
    </w:p>
    <w:p w14:paraId="3468F8A2" w14:textId="77777777" w:rsidR="00F83BA1" w:rsidRDefault="00F83BA1" w:rsidP="00F83BA1">
      <w:pPr>
        <w:pStyle w:val="Body"/>
      </w:pPr>
      <w:r>
        <w:t xml:space="preserve">The funding adjustment for HACs reduces funding for any episode of admitted acute care where a HAC occurs. This approach incorporates a risk adjustment model and recognises that the presence of a HAC increases the complexity of an episode of care or the length of stay, driving an increase in the cost of care. </w:t>
      </w:r>
    </w:p>
    <w:p w14:paraId="3A1725F6" w14:textId="77777777" w:rsidR="00F83BA1" w:rsidRDefault="00F83BA1" w:rsidP="00F83BA1">
      <w:pPr>
        <w:pStyle w:val="Body"/>
      </w:pPr>
      <w:r>
        <w:t xml:space="preserve">Further information on the HACs funding approach is included in the </w:t>
      </w:r>
      <w:hyperlink r:id="rId93" w:history="1">
        <w:r w:rsidRPr="008A09CD">
          <w:rPr>
            <w:rStyle w:val="HyperlinktextChar"/>
            <w:i/>
            <w:iCs/>
          </w:rPr>
          <w:t>NEP Determination 2023–24</w:t>
        </w:r>
      </w:hyperlink>
      <w:r>
        <w:t xml:space="preserve"> and the </w:t>
      </w:r>
      <w:hyperlink r:id="rId94" w:history="1">
        <w:r w:rsidRPr="008A09CD">
          <w:rPr>
            <w:rStyle w:val="HyperlinktextChar"/>
            <w:i/>
            <w:iCs/>
          </w:rPr>
          <w:t>National Pricing Model Technical Specifications 2023–24</w:t>
        </w:r>
      </w:hyperlink>
      <w:r>
        <w:t xml:space="preserve">. </w:t>
      </w:r>
    </w:p>
    <w:p w14:paraId="2518104E" w14:textId="77777777" w:rsidR="00F83BA1" w:rsidRDefault="00F83BA1" w:rsidP="00F83BA1">
      <w:pPr>
        <w:pStyle w:val="Body"/>
      </w:pPr>
      <w:r>
        <w:t>The Commission is responsible for the ongoing curation of the HACs list to ensure it remains clinically relevant.</w:t>
      </w:r>
    </w:p>
    <w:p w14:paraId="2736542F" w14:textId="77777777" w:rsidR="00F83BA1" w:rsidRDefault="00F83BA1" w:rsidP="00F83BA1">
      <w:pPr>
        <w:pStyle w:val="Body"/>
      </w:pPr>
      <w:r>
        <w:t xml:space="preserve">For NEP24, IHACPA will use Version 3.1 of the </w:t>
      </w:r>
      <w:hyperlink r:id="rId95" w:history="1">
        <w:r w:rsidRPr="00306EDB">
          <w:rPr>
            <w:rStyle w:val="HyperlinktextChar"/>
          </w:rPr>
          <w:t>HACs list</w:t>
        </w:r>
      </w:hyperlink>
      <w:r>
        <w:t xml:space="preserve"> on the Commission’s website to implement the HACs funding adjustment.</w:t>
      </w:r>
    </w:p>
    <w:p w14:paraId="6A484C5D" w14:textId="796B6C3E" w:rsidR="00F83BA1" w:rsidRDefault="006B06BB" w:rsidP="00F83BA1">
      <w:pPr>
        <w:pStyle w:val="Heading2"/>
        <w:spacing w:before="240"/>
      </w:pPr>
      <w:bookmarkStart w:id="92" w:name="_Toc132118443"/>
      <w:bookmarkStart w:id="93" w:name="_Toc135043541"/>
      <w:r>
        <w:t>9</w:t>
      </w:r>
      <w:r w:rsidR="00F83BA1">
        <w:t>.4 Avoidable hospital readmissions</w:t>
      </w:r>
      <w:bookmarkEnd w:id="92"/>
      <w:bookmarkEnd w:id="93"/>
    </w:p>
    <w:p w14:paraId="72A67BF3" w14:textId="77777777" w:rsidR="00F83BA1" w:rsidRDefault="00F83BA1" w:rsidP="00F83BA1">
      <w:pPr>
        <w:pStyle w:val="Body"/>
      </w:pPr>
      <w:r>
        <w:t>Unplanned hospital readmissions are a measure of potential issues with the quality, continuity and integration of care provided to patients during or subsequent to their initial hospital admission.</w:t>
      </w:r>
    </w:p>
    <w:p w14:paraId="77EE1641" w14:textId="244B5D87" w:rsidR="00F83BA1" w:rsidRDefault="00F83BA1" w:rsidP="00F83BA1">
      <w:pPr>
        <w:pStyle w:val="Body"/>
      </w:pPr>
      <w:r>
        <w:t>An avoidable hospital readmission</w:t>
      </w:r>
      <w:r w:rsidR="000D30A4">
        <w:t xml:space="preserve"> (AHR)</w:t>
      </w:r>
      <w:r>
        <w:t xml:space="preserve"> occurs when a patient who has been discharged from hospital (the index admission) is admitted again within a certain time interval (the readmission), and the readmission is clinically related to the index admission and has the potential to be avoided through improved clinical management and/or appropriate discharge planning in the index admission. </w:t>
      </w:r>
    </w:p>
    <w:p w14:paraId="03D8BAEC" w14:textId="3126870B" w:rsidR="00F83BA1" w:rsidRDefault="00F83BA1" w:rsidP="00F83BA1">
      <w:pPr>
        <w:pStyle w:val="Body"/>
      </w:pPr>
      <w:r>
        <w:lastRenderedPageBreak/>
        <w:t xml:space="preserve">From 1 July 2021, IHACPA has implemented a funding adjustment for </w:t>
      </w:r>
      <w:r w:rsidR="000D30A4">
        <w:t>AHRs</w:t>
      </w:r>
      <w:r>
        <w:t xml:space="preserve"> and involves the application of a risk adjusted NWAU reduction to the index episode, based on the total NWAU of the readmission episode, to apply where there is a readmission to any hospital within the same jurisdiction. </w:t>
      </w:r>
    </w:p>
    <w:p w14:paraId="2C87943A" w14:textId="77777777" w:rsidR="00F83BA1" w:rsidRDefault="00F83BA1" w:rsidP="00F83BA1">
      <w:pPr>
        <w:pStyle w:val="Body"/>
      </w:pPr>
      <w:r>
        <w:t xml:space="preserve">IHACPA developed a discrete risk adjustment model for each readmission condition, which assigns the risk of being readmitted for each episode of care. </w:t>
      </w:r>
    </w:p>
    <w:p w14:paraId="684E3A27" w14:textId="2E177EB3" w:rsidR="00F83BA1" w:rsidRDefault="00F83BA1" w:rsidP="00F83BA1">
      <w:pPr>
        <w:pStyle w:val="Body"/>
      </w:pPr>
      <w:r>
        <w:t xml:space="preserve">Further information on the </w:t>
      </w:r>
      <w:r w:rsidR="000D30A4">
        <w:t>AHRs</w:t>
      </w:r>
      <w:r>
        <w:t xml:space="preserve"> funding approach is included in the </w:t>
      </w:r>
      <w:hyperlink r:id="rId96" w:history="1">
        <w:r w:rsidRPr="008A09CD">
          <w:rPr>
            <w:rStyle w:val="HyperlinktextChar"/>
            <w:i/>
            <w:iCs/>
          </w:rPr>
          <w:t>NEP Determination 2023–24</w:t>
        </w:r>
      </w:hyperlink>
      <w:r>
        <w:t xml:space="preserve">, and the </w:t>
      </w:r>
      <w:hyperlink r:id="rId97" w:history="1">
        <w:r w:rsidRPr="008A09CD">
          <w:rPr>
            <w:rStyle w:val="HyperlinktextChar"/>
            <w:i/>
            <w:iCs/>
          </w:rPr>
          <w:t>National Pricing Model Technical Specifications 2023–24</w:t>
        </w:r>
      </w:hyperlink>
      <w:r>
        <w:t xml:space="preserve">. </w:t>
      </w:r>
    </w:p>
    <w:p w14:paraId="1C19D624" w14:textId="62EB8A9C" w:rsidR="00F83BA1" w:rsidRDefault="00F83BA1" w:rsidP="00F83BA1">
      <w:pPr>
        <w:pStyle w:val="Body"/>
      </w:pPr>
      <w:r>
        <w:t xml:space="preserve">For NEP24, IHACPA will use Version 1.0 of the </w:t>
      </w:r>
      <w:hyperlink r:id="rId98" w:history="1">
        <w:r w:rsidR="000D30A4" w:rsidRPr="00A308E6">
          <w:rPr>
            <w:rStyle w:val="HyperlinktextChar"/>
          </w:rPr>
          <w:t>AHRs</w:t>
        </w:r>
        <w:r w:rsidRPr="00A308E6">
          <w:rPr>
            <w:rStyle w:val="HyperlinktextChar"/>
          </w:rPr>
          <w:t xml:space="preserve"> list</w:t>
        </w:r>
      </w:hyperlink>
      <w:r>
        <w:t xml:space="preserve"> on the Commission’s website to implement the avoidable hospital readmissions funding adjustment.</w:t>
      </w:r>
    </w:p>
    <w:p w14:paraId="45C3AF65" w14:textId="1E97A7D7" w:rsidR="003E4723" w:rsidRPr="001F27AD" w:rsidRDefault="003E4723" w:rsidP="003E4723">
      <w:pPr>
        <w:pStyle w:val="Body"/>
        <w:sectPr w:rsidR="003E4723" w:rsidRPr="001F27AD" w:rsidSect="00AD603F">
          <w:headerReference w:type="default" r:id="rId99"/>
          <w:type w:val="continuous"/>
          <w:pgSz w:w="11906" w:h="16838" w:code="9"/>
          <w:pgMar w:top="1440" w:right="1440" w:bottom="1440" w:left="1440" w:header="708" w:footer="708" w:gutter="0"/>
          <w:cols w:num="2" w:space="708"/>
          <w:docGrid w:linePitch="360"/>
        </w:sectPr>
      </w:pPr>
      <w:r>
        <w:br w:type="page"/>
      </w:r>
    </w:p>
    <w:p w14:paraId="6383D8AB" w14:textId="595A3420" w:rsidR="0098306A" w:rsidRPr="005107C4" w:rsidRDefault="0098306A" w:rsidP="0098306A">
      <w:pPr>
        <w:pStyle w:val="Heading-Sectionstart"/>
        <w:spacing w:before="9480"/>
        <w:ind w:right="2931"/>
      </w:pPr>
      <w:bookmarkStart w:id="94" w:name="_Toc135043542"/>
      <w:r>
        <w:lastRenderedPageBreak/>
        <w:t>Appendix</w:t>
      </w:r>
      <w:bookmarkEnd w:id="94"/>
    </w:p>
    <w:p w14:paraId="541C14A7" w14:textId="77777777" w:rsidR="0098306A" w:rsidRDefault="0098306A" w:rsidP="0098306A">
      <w:pPr>
        <w:pStyle w:val="Body"/>
        <w:sectPr w:rsidR="0098306A" w:rsidSect="00C9543A">
          <w:headerReference w:type="default" r:id="rId100"/>
          <w:footerReference w:type="default" r:id="rId101"/>
          <w:pgSz w:w="11906" w:h="16838" w:code="9"/>
          <w:pgMar w:top="851" w:right="1440" w:bottom="1440" w:left="1440" w:header="708" w:footer="708" w:gutter="0"/>
          <w:cols w:space="708"/>
          <w:docGrid w:linePitch="360"/>
        </w:sectPr>
      </w:pPr>
    </w:p>
    <w:p w14:paraId="444B3CD8" w14:textId="77777777" w:rsidR="00EE1A03" w:rsidRDefault="00EE1A03" w:rsidP="00EE1A03">
      <w:pPr>
        <w:pStyle w:val="Body"/>
      </w:pPr>
    </w:p>
    <w:p w14:paraId="3FE934B4" w14:textId="77777777" w:rsidR="00EE1A03" w:rsidRDefault="00EE1A03" w:rsidP="00EE1A03">
      <w:pPr>
        <w:pStyle w:val="Body"/>
        <w:sectPr w:rsidR="00EE1A03" w:rsidSect="00F4029B">
          <w:headerReference w:type="default" r:id="rId102"/>
          <w:footerReference w:type="default" r:id="rId103"/>
          <w:pgSz w:w="11906" w:h="16838" w:code="9"/>
          <w:pgMar w:top="2410" w:right="1440" w:bottom="1440" w:left="1440" w:header="568" w:footer="708" w:gutter="0"/>
          <w:cols w:space="708"/>
          <w:docGrid w:linePitch="360"/>
        </w:sectPr>
      </w:pPr>
    </w:p>
    <w:tbl>
      <w:tblPr>
        <w:tblStyle w:val="TableGrid"/>
        <w:tblW w:w="5000" w:type="pct"/>
        <w:tblLook w:val="04A0" w:firstRow="1" w:lastRow="0" w:firstColumn="1" w:lastColumn="0" w:noHBand="0" w:noVBand="1"/>
        <w:tblCaption w:val="Appendix A Consultation questions"/>
        <w:tblDescription w:val="Table with 19 rows. Row one: Questions | Page number&#10;1. Are there any significant barriers to pricing admitted subacute and non-acute care using AN-SNAP Version 5.0 for NEP24? Page number 11&#10;&#10;2. Are there any other areas in the AECC that IHACPA should consider as part of the classification refinement work program? Page number 12&#10;&#10;3. What clinical areas and/or structural features should IHACPA consider in the development of the EPD Short List Thirteenth Edition? Page number 12&#10;&#10;4. Are there any other proposed refinement areas for the Tier 2 Non-Admitted Services Classification for 2024–25? Page number 13&#10;&#10;5. Following three years of shadow pricing and the development of risk mitigation strategies to support the transition to ABF, are there any significant barriers to pricing community mental health care using AMHCC Version 1.0 for NEP24? Page number 14&#10;&#10;6. Are there any other measures that will assist in transitioning community mental health care from block funding to ABF for NEP24? Page number 14&#10;&#10;7. How did the COVID-19 pandemic response impact activity and cost data in 2021–22, such as through significant events like lockdowns, and how should these impacts be accounted for in the NEP and National Efficient Cost Determination’s for 2024–25? Page number 16&#10;&#10;8. For NEP24, what evidence is available regarding the clinical management of patients with a COVID-19 diagnosis, including patients in an ICU, to support retention of the:&#10;• COVID-19 treatment adjustment&#10;• temporary ICU measure for COVID-19 patients&#10;• temporary HAC and AHR measures for COVID-19 patients? Page number 17&#10;&#10;9. To inform the review of the ICU adjustment:&#10;• what available evidence demonstrates the underlying drivers of cost variation for complex ICUs? &#10;• what additional or alternative measures, other than mechanical ventilation hours, should IHACPA consider for inclusion in the eligibility criteria for a specified ICU? Page number 19&#10;&#10;10. To inform the review of the paediatric adjustment:&#10;• what available evidence demonstrates the underlying drivers of cost variation between specialised and non-specialised children’s hospitals? &#10;• what additional or alternative measures should IHACPA consider for inclusion in the eligibility criteria for a specialised children’s hospital? Page number 19&#10;&#10;11. To inform the NEP indexation methodology review, what alternative indices or metrics are publicly available and applicable at a national level, that demonstrate an evidence-based correlation between price inflation and cost increases in the delivery of Australian public hospital services? Additionally, what are the underlying drivers of cost growth contributing to these cost increases? Page number 20&#10;&#10;12. What potential risks should IHACPA consider in progressing price harmonisation of chemotherapy and dialysis for future NEP Determinations? Page number 20&#10;&#10;13. Are there any other public hospital services that are potential candidates for price weight harmonisation across settings? Page number 20&#10;&#10;14. To inform the NEC indexation methodology review, what alternative indices or metrics are publicly available and applicable at a national level, that demonstrate an evidence-based correlation between price inflation and cost increases in the expenditure of small rural hospitals, specialist metropolitan hospitals or block-funded services? Additionally, what are the underlying drivers of cost growth unique to these services?  Page number 25&#10;&#10;15. What assurance approaches should IHACPA consider, to ensure NHCDC data is prepared in line with the AHPCS, and that would reduce duplication of data reporting for states and territories? Page number 27&#10;&#10;16. Given virtual care is a broad and evolving space, what specific areas and care streams where virtual care is being delivered should IHACPA prioritise for further investigation to inform future data collection, classification and pricing refinement?    Page number 28&#10;&#10;17. Do jurisdictions have the capacity to submit cost data for activity reported under the emergency care virtual care data specifications?  Page number 28&#10;&#10;18. Are there any further comments you wish to provide to inform the development of the NEP and NEC Determinations for 2024–25?  Page number 39"/>
      </w:tblPr>
      <w:tblGrid>
        <w:gridCol w:w="667"/>
        <w:gridCol w:w="7460"/>
        <w:gridCol w:w="889"/>
      </w:tblGrid>
      <w:tr w:rsidR="003F0B5B" w14:paraId="3743980D" w14:textId="77777777" w:rsidTr="00E252F3">
        <w:trPr>
          <w:cantSplit/>
        </w:trPr>
        <w:tc>
          <w:tcPr>
            <w:tcW w:w="4507" w:type="pct"/>
            <w:gridSpan w:val="2"/>
            <w:shd w:val="clear" w:color="auto" w:fill="104F99" w:themeFill="accent1"/>
          </w:tcPr>
          <w:p w14:paraId="5994498A" w14:textId="2A04536D" w:rsidR="003F0B5B" w:rsidRPr="003F0B5B" w:rsidRDefault="003F0B5B" w:rsidP="003F0B5B">
            <w:pPr>
              <w:pStyle w:val="TableParagraph"/>
              <w:spacing w:before="120" w:after="120"/>
              <w:ind w:left="51"/>
              <w:rPr>
                <w:b/>
                <w:bCs/>
              </w:rPr>
            </w:pPr>
            <w:bookmarkStart w:id="95" w:name="_Hlk135744147"/>
            <w:r w:rsidRPr="003F0B5B">
              <w:rPr>
                <w:b/>
                <w:bCs/>
                <w:color w:val="FFFFFF" w:themeColor="background1"/>
              </w:rPr>
              <w:t>Question</w:t>
            </w:r>
          </w:p>
        </w:tc>
        <w:tc>
          <w:tcPr>
            <w:tcW w:w="493" w:type="pct"/>
            <w:shd w:val="clear" w:color="auto" w:fill="104F99" w:themeFill="accent1"/>
          </w:tcPr>
          <w:p w14:paraId="28D6107F" w14:textId="4025E153" w:rsidR="003F0B5B" w:rsidRDefault="003F0B5B" w:rsidP="003F0B5B">
            <w:pPr>
              <w:pStyle w:val="TableParagraph"/>
              <w:spacing w:before="120" w:after="120"/>
              <w:ind w:left="51"/>
            </w:pPr>
            <w:r w:rsidRPr="003F0B5B">
              <w:rPr>
                <w:b/>
                <w:bCs/>
                <w:color w:val="FFFFFF" w:themeColor="background1"/>
              </w:rPr>
              <w:t>Page</w:t>
            </w:r>
          </w:p>
        </w:tc>
      </w:tr>
      <w:tr w:rsidR="00E85280" w14:paraId="32111C21" w14:textId="77777777" w:rsidTr="00E252F3">
        <w:trPr>
          <w:cantSplit/>
          <w:trHeight w:val="598"/>
        </w:trPr>
        <w:tc>
          <w:tcPr>
            <w:tcW w:w="370" w:type="pct"/>
          </w:tcPr>
          <w:p w14:paraId="372D023D" w14:textId="3EEE0487" w:rsidR="00E85280" w:rsidRDefault="00E85280" w:rsidP="003F0B5B">
            <w:pPr>
              <w:pStyle w:val="TableParagraph"/>
              <w:spacing w:before="120" w:after="120"/>
              <w:ind w:left="51"/>
            </w:pPr>
            <w:r>
              <w:t>1</w:t>
            </w:r>
          </w:p>
        </w:tc>
        <w:tc>
          <w:tcPr>
            <w:tcW w:w="4137" w:type="pct"/>
          </w:tcPr>
          <w:p w14:paraId="54BBBDFE" w14:textId="013160F0" w:rsidR="00E85280" w:rsidRDefault="001A238C" w:rsidP="00D078BB">
            <w:pPr>
              <w:pStyle w:val="TableParagraph"/>
              <w:spacing w:before="120" w:after="120"/>
              <w:ind w:left="51"/>
            </w:pPr>
            <w:r>
              <w:t>Are there any significant barriers to pricing admitted subacute and non-acute care using AN-SNAP Version 5.0 for NEP24?</w:t>
            </w:r>
          </w:p>
        </w:tc>
        <w:tc>
          <w:tcPr>
            <w:tcW w:w="493" w:type="pct"/>
          </w:tcPr>
          <w:p w14:paraId="41749F53" w14:textId="78AF2940" w:rsidR="00E85280" w:rsidRDefault="00180C42" w:rsidP="003F0B5B">
            <w:pPr>
              <w:pStyle w:val="TableParagraph"/>
              <w:spacing w:before="120" w:after="120"/>
              <w:ind w:left="51"/>
            </w:pPr>
            <w:r>
              <w:t>1</w:t>
            </w:r>
            <w:r w:rsidR="0020730C">
              <w:t>1</w:t>
            </w:r>
          </w:p>
        </w:tc>
      </w:tr>
      <w:tr w:rsidR="008D11E4" w14:paraId="06240C9B" w14:textId="77777777" w:rsidTr="00E252F3">
        <w:trPr>
          <w:cantSplit/>
        </w:trPr>
        <w:tc>
          <w:tcPr>
            <w:tcW w:w="370" w:type="pct"/>
          </w:tcPr>
          <w:p w14:paraId="5570E3D2" w14:textId="5E6077A1" w:rsidR="008D11E4" w:rsidRDefault="001A238C" w:rsidP="008D11E4">
            <w:pPr>
              <w:pStyle w:val="TableParagraph"/>
              <w:spacing w:before="120" w:after="120"/>
              <w:ind w:left="51"/>
            </w:pPr>
            <w:r>
              <w:t>2</w:t>
            </w:r>
          </w:p>
        </w:tc>
        <w:tc>
          <w:tcPr>
            <w:tcW w:w="4137" w:type="pct"/>
          </w:tcPr>
          <w:p w14:paraId="66E0D437" w14:textId="35DA4E48" w:rsidR="008D11E4" w:rsidRDefault="001A238C" w:rsidP="00180C42">
            <w:pPr>
              <w:pStyle w:val="TableParagraph"/>
              <w:spacing w:before="120" w:after="120"/>
              <w:ind w:left="51"/>
            </w:pPr>
            <w:r w:rsidRPr="00761443">
              <w:t xml:space="preserve">Are there any other areas in the AECC that IHACPA should consider </w:t>
            </w:r>
            <w:r>
              <w:t>as part of the classification</w:t>
            </w:r>
            <w:r w:rsidRPr="00761443">
              <w:t xml:space="preserve"> refinement work program?</w:t>
            </w:r>
          </w:p>
        </w:tc>
        <w:tc>
          <w:tcPr>
            <w:tcW w:w="493" w:type="pct"/>
          </w:tcPr>
          <w:p w14:paraId="5A3A3585" w14:textId="75896B78" w:rsidR="008D11E4" w:rsidRDefault="00180C42" w:rsidP="008D11E4">
            <w:pPr>
              <w:pStyle w:val="TableParagraph"/>
              <w:spacing w:before="120" w:after="120"/>
              <w:ind w:left="51"/>
            </w:pPr>
            <w:r>
              <w:t>1</w:t>
            </w:r>
            <w:r w:rsidR="0020730C">
              <w:t>2</w:t>
            </w:r>
          </w:p>
        </w:tc>
      </w:tr>
      <w:tr w:rsidR="008D11E4" w14:paraId="4D559354" w14:textId="77777777" w:rsidTr="00E252F3">
        <w:trPr>
          <w:cantSplit/>
        </w:trPr>
        <w:tc>
          <w:tcPr>
            <w:tcW w:w="370" w:type="pct"/>
          </w:tcPr>
          <w:p w14:paraId="30044F41" w14:textId="12F9E997" w:rsidR="008D11E4" w:rsidRDefault="001A238C" w:rsidP="008D11E4">
            <w:pPr>
              <w:pStyle w:val="TableParagraph"/>
              <w:spacing w:before="120" w:after="120"/>
              <w:ind w:left="51"/>
            </w:pPr>
            <w:r>
              <w:t>3</w:t>
            </w:r>
          </w:p>
        </w:tc>
        <w:tc>
          <w:tcPr>
            <w:tcW w:w="4137" w:type="pct"/>
          </w:tcPr>
          <w:p w14:paraId="30614C40" w14:textId="2F42B92D" w:rsidR="008D11E4" w:rsidRDefault="001A238C" w:rsidP="008D11E4">
            <w:pPr>
              <w:pStyle w:val="TableParagraph"/>
              <w:spacing w:before="120" w:after="120"/>
              <w:ind w:left="51"/>
            </w:pPr>
            <w:r w:rsidRPr="00761443">
              <w:t>What</w:t>
            </w:r>
            <w:r>
              <w:t xml:space="preserve"> clinical</w:t>
            </w:r>
            <w:r w:rsidRPr="00761443">
              <w:t xml:space="preserve"> </w:t>
            </w:r>
            <w:r w:rsidRPr="00D078BB">
              <w:t>areas and/or structural features should IHACPA consider in the development of the EPD Short List Thirteenth Edition</w:t>
            </w:r>
            <w:r w:rsidRPr="00761443">
              <w:t>?</w:t>
            </w:r>
          </w:p>
        </w:tc>
        <w:tc>
          <w:tcPr>
            <w:tcW w:w="493" w:type="pct"/>
          </w:tcPr>
          <w:p w14:paraId="1FB712B6" w14:textId="20141B8C" w:rsidR="008D11E4" w:rsidRDefault="00180C42" w:rsidP="008D11E4">
            <w:pPr>
              <w:pStyle w:val="TableParagraph"/>
              <w:spacing w:before="120" w:after="120"/>
              <w:ind w:left="51"/>
            </w:pPr>
            <w:r>
              <w:t>1</w:t>
            </w:r>
            <w:r w:rsidR="0020730C">
              <w:t>2</w:t>
            </w:r>
          </w:p>
        </w:tc>
      </w:tr>
      <w:tr w:rsidR="008D11E4" w14:paraId="1A079149" w14:textId="77777777" w:rsidTr="00E252F3">
        <w:trPr>
          <w:cantSplit/>
        </w:trPr>
        <w:tc>
          <w:tcPr>
            <w:tcW w:w="370" w:type="pct"/>
          </w:tcPr>
          <w:p w14:paraId="6701D4BB" w14:textId="2DC6C326" w:rsidR="008D11E4" w:rsidRDefault="001A238C" w:rsidP="008D11E4">
            <w:pPr>
              <w:pStyle w:val="TableParagraph"/>
              <w:spacing w:before="120" w:after="120"/>
              <w:ind w:left="51"/>
            </w:pPr>
            <w:r>
              <w:t>4</w:t>
            </w:r>
          </w:p>
        </w:tc>
        <w:tc>
          <w:tcPr>
            <w:tcW w:w="4137" w:type="pct"/>
          </w:tcPr>
          <w:p w14:paraId="4C4AF442" w14:textId="2FFAC25E" w:rsidR="008D11E4" w:rsidRDefault="001A238C" w:rsidP="008D11E4">
            <w:pPr>
              <w:pStyle w:val="TableParagraph"/>
              <w:spacing w:before="120" w:after="120"/>
              <w:ind w:left="51"/>
            </w:pPr>
            <w:r>
              <w:t>Are there any other proposed refinement areas for the Tier 2 Non-Admitted Services Classification for 2024</w:t>
            </w:r>
            <w:r w:rsidR="00292F54" w:rsidRPr="004C5377">
              <w:rPr>
                <w:i/>
                <w:iCs/>
              </w:rPr>
              <w:t>–</w:t>
            </w:r>
            <w:r>
              <w:t>25?</w:t>
            </w:r>
          </w:p>
        </w:tc>
        <w:tc>
          <w:tcPr>
            <w:tcW w:w="493" w:type="pct"/>
          </w:tcPr>
          <w:p w14:paraId="72895826" w14:textId="7805AB59" w:rsidR="008D11E4" w:rsidRDefault="00180C42" w:rsidP="008D11E4">
            <w:pPr>
              <w:pStyle w:val="TableParagraph"/>
              <w:spacing w:before="120" w:after="120"/>
              <w:ind w:left="51"/>
            </w:pPr>
            <w:r>
              <w:t>1</w:t>
            </w:r>
            <w:r w:rsidR="0020730C">
              <w:t>3</w:t>
            </w:r>
          </w:p>
        </w:tc>
      </w:tr>
      <w:tr w:rsidR="008D11E4" w14:paraId="5F3398C3" w14:textId="77777777" w:rsidTr="00E252F3">
        <w:trPr>
          <w:cantSplit/>
        </w:trPr>
        <w:tc>
          <w:tcPr>
            <w:tcW w:w="370" w:type="pct"/>
          </w:tcPr>
          <w:p w14:paraId="2F5D4B27" w14:textId="41FF6771" w:rsidR="008D11E4" w:rsidRDefault="001A238C" w:rsidP="008D11E4">
            <w:pPr>
              <w:pStyle w:val="TableParagraph"/>
              <w:spacing w:before="120" w:after="120"/>
              <w:ind w:left="51"/>
            </w:pPr>
            <w:r>
              <w:t>5</w:t>
            </w:r>
          </w:p>
        </w:tc>
        <w:tc>
          <w:tcPr>
            <w:tcW w:w="4137" w:type="pct"/>
          </w:tcPr>
          <w:p w14:paraId="2918E266" w14:textId="725C4EB8" w:rsidR="008D11E4" w:rsidRDefault="001A238C" w:rsidP="00D078BB">
            <w:pPr>
              <w:pStyle w:val="TableParagraph"/>
              <w:spacing w:before="120" w:after="120"/>
              <w:ind w:left="51"/>
            </w:pPr>
            <w:r w:rsidRPr="001A238C">
              <w:t>Following three years of shadow pricing and the development of risk mitigation strategies to support the transition to ABF, are there any significant barriers to pricing community mental health care using AMHCC Version 1.0 for NEP24?</w:t>
            </w:r>
          </w:p>
        </w:tc>
        <w:tc>
          <w:tcPr>
            <w:tcW w:w="493" w:type="pct"/>
          </w:tcPr>
          <w:p w14:paraId="3AB2249E" w14:textId="5A461BD4" w:rsidR="008D11E4" w:rsidRDefault="00180C42" w:rsidP="008D11E4">
            <w:pPr>
              <w:pStyle w:val="TableParagraph"/>
              <w:spacing w:before="120" w:after="120"/>
              <w:ind w:left="51"/>
            </w:pPr>
            <w:r>
              <w:t>1</w:t>
            </w:r>
            <w:r w:rsidR="0020730C">
              <w:t>4</w:t>
            </w:r>
          </w:p>
        </w:tc>
      </w:tr>
      <w:tr w:rsidR="008D11E4" w14:paraId="004FD367" w14:textId="1562FADF" w:rsidTr="00E252F3">
        <w:trPr>
          <w:cantSplit/>
        </w:trPr>
        <w:tc>
          <w:tcPr>
            <w:tcW w:w="370" w:type="pct"/>
          </w:tcPr>
          <w:p w14:paraId="59786919" w14:textId="5A44E692" w:rsidR="008D11E4" w:rsidRDefault="00A96BDE" w:rsidP="008D11E4">
            <w:pPr>
              <w:pStyle w:val="TableParagraph"/>
              <w:spacing w:before="120" w:after="120"/>
              <w:ind w:left="51"/>
            </w:pPr>
            <w:r>
              <w:t>6</w:t>
            </w:r>
          </w:p>
        </w:tc>
        <w:tc>
          <w:tcPr>
            <w:tcW w:w="4137" w:type="pct"/>
          </w:tcPr>
          <w:p w14:paraId="7B64D260" w14:textId="02CAD955" w:rsidR="008D11E4" w:rsidRDefault="008D11E4" w:rsidP="008D11E4">
            <w:pPr>
              <w:pStyle w:val="TableParagraph"/>
              <w:spacing w:before="120" w:after="120"/>
              <w:ind w:left="51"/>
            </w:pPr>
            <w:r w:rsidRPr="003F2F29">
              <w:t>Are there any other measures that will assist in transitioning community mental health care from block funding to ABF for NEP24?</w:t>
            </w:r>
          </w:p>
        </w:tc>
        <w:tc>
          <w:tcPr>
            <w:tcW w:w="493" w:type="pct"/>
          </w:tcPr>
          <w:p w14:paraId="65E79519" w14:textId="6194DEF2" w:rsidR="008D11E4" w:rsidRDefault="00180C42" w:rsidP="008D11E4">
            <w:pPr>
              <w:pStyle w:val="TableParagraph"/>
              <w:spacing w:before="120" w:after="120"/>
              <w:ind w:left="51"/>
            </w:pPr>
            <w:r>
              <w:t>1</w:t>
            </w:r>
            <w:r w:rsidR="0020730C">
              <w:t>4</w:t>
            </w:r>
          </w:p>
        </w:tc>
      </w:tr>
      <w:tr w:rsidR="008D11E4" w14:paraId="187E450D" w14:textId="77777777" w:rsidTr="00E252F3">
        <w:trPr>
          <w:cantSplit/>
        </w:trPr>
        <w:tc>
          <w:tcPr>
            <w:tcW w:w="370" w:type="pct"/>
          </w:tcPr>
          <w:p w14:paraId="116DB870" w14:textId="204E6773" w:rsidR="008D11E4" w:rsidRDefault="00A96BDE" w:rsidP="008D11E4">
            <w:pPr>
              <w:pStyle w:val="TableParagraph"/>
              <w:spacing w:before="120" w:after="120"/>
              <w:ind w:left="51"/>
            </w:pPr>
            <w:r>
              <w:t>7</w:t>
            </w:r>
          </w:p>
        </w:tc>
        <w:tc>
          <w:tcPr>
            <w:tcW w:w="4137" w:type="pct"/>
          </w:tcPr>
          <w:p w14:paraId="39496600" w14:textId="642224EA" w:rsidR="008D11E4" w:rsidRPr="00FA649B" w:rsidRDefault="00FA649B" w:rsidP="00FA649B">
            <w:pPr>
              <w:pStyle w:val="TableParagraph"/>
              <w:spacing w:before="120" w:after="120"/>
              <w:ind w:left="51"/>
            </w:pPr>
            <w:r>
              <w:t>How did the COVID-19 pandemic response impact activity and cost data in</w:t>
            </w:r>
            <w:r w:rsidRPr="009E1AD0">
              <w:t xml:space="preserve"> 2021–22, </w:t>
            </w:r>
            <w:r>
              <w:t xml:space="preserve">such as through significant events like lockdowns, </w:t>
            </w:r>
            <w:r w:rsidRPr="009E1AD0">
              <w:t xml:space="preserve">and how should these impacts be accounted for in </w:t>
            </w:r>
            <w:r w:rsidR="005C01C4">
              <w:t xml:space="preserve">the </w:t>
            </w:r>
            <w:r w:rsidRPr="009E1AD0">
              <w:t>NEP</w:t>
            </w:r>
            <w:r>
              <w:t xml:space="preserve"> and National Efficient Cost Determinations for 2024–25</w:t>
            </w:r>
            <w:r w:rsidRPr="009E1AD0">
              <w:t>?</w:t>
            </w:r>
          </w:p>
        </w:tc>
        <w:tc>
          <w:tcPr>
            <w:tcW w:w="493" w:type="pct"/>
          </w:tcPr>
          <w:p w14:paraId="4FDAD084" w14:textId="6F7EE49E" w:rsidR="008D11E4" w:rsidRDefault="00180C42" w:rsidP="008D11E4">
            <w:pPr>
              <w:pStyle w:val="TableParagraph"/>
              <w:spacing w:before="120" w:after="120"/>
              <w:ind w:left="51"/>
            </w:pPr>
            <w:r>
              <w:t>1</w:t>
            </w:r>
            <w:r w:rsidR="0020730C">
              <w:t>7</w:t>
            </w:r>
          </w:p>
        </w:tc>
      </w:tr>
      <w:tr w:rsidR="008D11E4" w14:paraId="583A8FB9" w14:textId="77777777" w:rsidTr="00E252F3">
        <w:trPr>
          <w:cantSplit/>
        </w:trPr>
        <w:tc>
          <w:tcPr>
            <w:tcW w:w="370" w:type="pct"/>
          </w:tcPr>
          <w:p w14:paraId="1778EF91" w14:textId="7AE37CA4" w:rsidR="008D11E4" w:rsidRDefault="00A96BDE" w:rsidP="008D11E4">
            <w:pPr>
              <w:pStyle w:val="TableParagraph"/>
              <w:spacing w:before="120" w:after="120"/>
              <w:ind w:left="51"/>
            </w:pPr>
            <w:r>
              <w:t>8</w:t>
            </w:r>
          </w:p>
        </w:tc>
        <w:tc>
          <w:tcPr>
            <w:tcW w:w="4137" w:type="pct"/>
          </w:tcPr>
          <w:p w14:paraId="4318F17E" w14:textId="77777777" w:rsidR="00FA649B" w:rsidRPr="00990566" w:rsidRDefault="00FA649B" w:rsidP="00990566">
            <w:pPr>
              <w:pStyle w:val="TableParagraph"/>
              <w:spacing w:before="120" w:after="120"/>
              <w:ind w:left="51"/>
            </w:pPr>
            <w:r>
              <w:t>For NEP24, what evidence is available regarding the clinical management of patients with a COVID-19 diagnosis, including patients in an ICU, to support retention of the:</w:t>
            </w:r>
          </w:p>
          <w:p w14:paraId="2EF549D0" w14:textId="77777777" w:rsidR="00FA649B" w:rsidRPr="00990566" w:rsidRDefault="00FA649B" w:rsidP="004D49D7">
            <w:pPr>
              <w:pStyle w:val="BulletL2"/>
              <w:rPr>
                <w:color w:val="58595A"/>
              </w:rPr>
            </w:pPr>
            <w:r w:rsidRPr="00990566">
              <w:rPr>
                <w:color w:val="58595A"/>
              </w:rPr>
              <w:t>COVID-19 treatment adjustment</w:t>
            </w:r>
          </w:p>
          <w:p w14:paraId="39DAAD70" w14:textId="77777777" w:rsidR="00FA649B" w:rsidRPr="00990566" w:rsidRDefault="00FA649B" w:rsidP="004D49D7">
            <w:pPr>
              <w:pStyle w:val="BulletL2"/>
              <w:rPr>
                <w:color w:val="58595A"/>
              </w:rPr>
            </w:pPr>
            <w:r w:rsidRPr="00990566">
              <w:rPr>
                <w:color w:val="58595A"/>
              </w:rPr>
              <w:t>temporary ICU measure for COVID-19 patients</w:t>
            </w:r>
          </w:p>
          <w:p w14:paraId="158B5430" w14:textId="67E43BE5" w:rsidR="008D11E4" w:rsidRPr="004D49D7" w:rsidRDefault="00FA649B" w:rsidP="00990566">
            <w:pPr>
              <w:pStyle w:val="BulletL2"/>
            </w:pPr>
            <w:r w:rsidRPr="00990566">
              <w:rPr>
                <w:color w:val="58595A"/>
              </w:rPr>
              <w:t>temporary HAC and AHR measures for COVID-19 patients?</w:t>
            </w:r>
          </w:p>
        </w:tc>
        <w:tc>
          <w:tcPr>
            <w:tcW w:w="493" w:type="pct"/>
          </w:tcPr>
          <w:p w14:paraId="1D2965FE" w14:textId="3B92FFDE" w:rsidR="008D11E4" w:rsidRDefault="00180C42" w:rsidP="008D11E4">
            <w:pPr>
              <w:pStyle w:val="TableParagraph"/>
              <w:spacing w:before="120" w:after="120"/>
              <w:ind w:left="51"/>
            </w:pPr>
            <w:r>
              <w:t>1</w:t>
            </w:r>
            <w:r w:rsidR="0020730C">
              <w:t>7</w:t>
            </w:r>
          </w:p>
        </w:tc>
      </w:tr>
      <w:tr w:rsidR="008D11E4" w14:paraId="0E324DD4" w14:textId="77777777" w:rsidTr="00E252F3">
        <w:trPr>
          <w:cantSplit/>
        </w:trPr>
        <w:tc>
          <w:tcPr>
            <w:tcW w:w="370" w:type="pct"/>
          </w:tcPr>
          <w:p w14:paraId="4A25B11D" w14:textId="0431A5EE" w:rsidR="008D11E4" w:rsidRDefault="00A96BDE" w:rsidP="008D11E4">
            <w:pPr>
              <w:pStyle w:val="TableParagraph"/>
              <w:spacing w:before="120" w:after="120"/>
              <w:ind w:left="51"/>
            </w:pPr>
            <w:r>
              <w:t>9</w:t>
            </w:r>
          </w:p>
        </w:tc>
        <w:tc>
          <w:tcPr>
            <w:tcW w:w="4137" w:type="pct"/>
          </w:tcPr>
          <w:p w14:paraId="62009CC8" w14:textId="77777777" w:rsidR="007D7592" w:rsidRDefault="007D7592" w:rsidP="00990566">
            <w:pPr>
              <w:pStyle w:val="TableParagraph"/>
              <w:spacing w:before="120" w:after="120"/>
              <w:ind w:left="51"/>
            </w:pPr>
            <w:r>
              <w:t>To inform the review of the ICU adjustment:</w:t>
            </w:r>
          </w:p>
          <w:p w14:paraId="4C8BA2C3" w14:textId="6C01B4A8" w:rsidR="007D7592" w:rsidRPr="00990566" w:rsidRDefault="007D7592" w:rsidP="007D7592">
            <w:pPr>
              <w:pStyle w:val="BulletL2"/>
              <w:rPr>
                <w:color w:val="58595A"/>
              </w:rPr>
            </w:pPr>
            <w:r w:rsidRPr="00990566">
              <w:rPr>
                <w:color w:val="58595A"/>
              </w:rPr>
              <w:t>what available evidence demonstrates the underlying drivers of cost variation for complex ICUs</w:t>
            </w:r>
            <w:r w:rsidR="00E02600">
              <w:rPr>
                <w:color w:val="58595A"/>
              </w:rPr>
              <w:t>?</w:t>
            </w:r>
            <w:r w:rsidRPr="00990566">
              <w:rPr>
                <w:color w:val="58595A"/>
              </w:rPr>
              <w:t xml:space="preserve"> </w:t>
            </w:r>
          </w:p>
          <w:p w14:paraId="23088D20" w14:textId="3B0E97DB" w:rsidR="008D11E4" w:rsidRDefault="007D7592" w:rsidP="00990566">
            <w:pPr>
              <w:pStyle w:val="BulletL2"/>
            </w:pPr>
            <w:r w:rsidRPr="00990566">
              <w:rPr>
                <w:color w:val="58595A"/>
              </w:rPr>
              <w:t xml:space="preserve">what additional or alternative measures, other than mechanical ventilation hours, should IHACPA consider for inclusion in the eligibility criteria for a specified ICU? </w:t>
            </w:r>
          </w:p>
        </w:tc>
        <w:tc>
          <w:tcPr>
            <w:tcW w:w="493" w:type="pct"/>
          </w:tcPr>
          <w:p w14:paraId="1A1AB8DA" w14:textId="5E4449A3" w:rsidR="008D11E4" w:rsidRDefault="00180C42" w:rsidP="008D11E4">
            <w:pPr>
              <w:pStyle w:val="TableParagraph"/>
              <w:spacing w:before="120" w:after="120"/>
              <w:ind w:left="51"/>
            </w:pPr>
            <w:r>
              <w:t>1</w:t>
            </w:r>
            <w:r w:rsidR="0020730C">
              <w:t>9</w:t>
            </w:r>
          </w:p>
        </w:tc>
      </w:tr>
      <w:tr w:rsidR="008D11E4" w14:paraId="419B29F5" w14:textId="77777777" w:rsidTr="00E252F3">
        <w:trPr>
          <w:cantSplit/>
        </w:trPr>
        <w:tc>
          <w:tcPr>
            <w:tcW w:w="370" w:type="pct"/>
          </w:tcPr>
          <w:p w14:paraId="478A6202" w14:textId="348A73D0" w:rsidR="008D11E4" w:rsidRDefault="00A96BDE" w:rsidP="008D11E4">
            <w:pPr>
              <w:pStyle w:val="TableParagraph"/>
              <w:spacing w:before="120" w:after="120"/>
              <w:ind w:left="51"/>
            </w:pPr>
            <w:r>
              <w:t>10</w:t>
            </w:r>
          </w:p>
        </w:tc>
        <w:tc>
          <w:tcPr>
            <w:tcW w:w="4137" w:type="pct"/>
          </w:tcPr>
          <w:p w14:paraId="1F4E44E4" w14:textId="77777777" w:rsidR="007D7592" w:rsidRDefault="007D7592" w:rsidP="00990566">
            <w:pPr>
              <w:pStyle w:val="TableParagraph"/>
              <w:spacing w:before="120" w:after="120"/>
              <w:ind w:left="51"/>
            </w:pPr>
            <w:r>
              <w:t>To inform the review of the paediatric adjustment:</w:t>
            </w:r>
          </w:p>
          <w:p w14:paraId="460B838C" w14:textId="187C76F0" w:rsidR="007D7592" w:rsidRPr="00990566" w:rsidRDefault="007D7592" w:rsidP="007D7592">
            <w:pPr>
              <w:pStyle w:val="BulletL2"/>
              <w:rPr>
                <w:color w:val="58595A"/>
              </w:rPr>
            </w:pPr>
            <w:r w:rsidRPr="00990566">
              <w:rPr>
                <w:color w:val="58595A"/>
              </w:rPr>
              <w:t>what available evidence demonstrates the underlying drivers of cost variation between specialised and non-specialised children’s hospitals</w:t>
            </w:r>
            <w:r w:rsidR="00E02600">
              <w:rPr>
                <w:color w:val="58595A"/>
              </w:rPr>
              <w:t>?</w:t>
            </w:r>
            <w:r w:rsidRPr="00990566">
              <w:rPr>
                <w:color w:val="58595A"/>
              </w:rPr>
              <w:t xml:space="preserve"> </w:t>
            </w:r>
          </w:p>
          <w:p w14:paraId="22DEC5E3" w14:textId="790762A9" w:rsidR="008D11E4" w:rsidRDefault="007D7592" w:rsidP="00990566">
            <w:pPr>
              <w:pStyle w:val="BulletL2"/>
            </w:pPr>
            <w:r w:rsidRPr="00990566">
              <w:rPr>
                <w:color w:val="58595A"/>
              </w:rPr>
              <w:t xml:space="preserve">what additional or alternative measures should IHACPA consider for inclusion </w:t>
            </w:r>
            <w:r w:rsidR="006A7884">
              <w:rPr>
                <w:color w:val="58595A"/>
              </w:rPr>
              <w:t>i</w:t>
            </w:r>
            <w:r w:rsidRPr="00990566">
              <w:rPr>
                <w:color w:val="58595A"/>
              </w:rPr>
              <w:t>n the eligibility criteria for a specialised children’s hospital?</w:t>
            </w:r>
          </w:p>
        </w:tc>
        <w:tc>
          <w:tcPr>
            <w:tcW w:w="493" w:type="pct"/>
          </w:tcPr>
          <w:p w14:paraId="575A632A" w14:textId="65CB3991" w:rsidR="008D11E4" w:rsidRDefault="00180C42" w:rsidP="008D11E4">
            <w:pPr>
              <w:pStyle w:val="TableParagraph"/>
              <w:spacing w:before="120" w:after="120"/>
              <w:ind w:left="51"/>
            </w:pPr>
            <w:r>
              <w:t>1</w:t>
            </w:r>
            <w:r w:rsidR="0020730C">
              <w:t>9</w:t>
            </w:r>
          </w:p>
        </w:tc>
      </w:tr>
      <w:tr w:rsidR="008D11E4" w14:paraId="26E459B8" w14:textId="77777777" w:rsidTr="00E252F3">
        <w:trPr>
          <w:cantSplit/>
        </w:trPr>
        <w:tc>
          <w:tcPr>
            <w:tcW w:w="370" w:type="pct"/>
          </w:tcPr>
          <w:p w14:paraId="761DDB17" w14:textId="43F28571" w:rsidR="008D11E4" w:rsidRDefault="00A96BDE" w:rsidP="008D11E4">
            <w:pPr>
              <w:pStyle w:val="TableParagraph"/>
              <w:spacing w:before="120" w:after="120"/>
              <w:ind w:left="51"/>
            </w:pPr>
            <w:r>
              <w:t>11</w:t>
            </w:r>
          </w:p>
        </w:tc>
        <w:tc>
          <w:tcPr>
            <w:tcW w:w="4137" w:type="pct"/>
          </w:tcPr>
          <w:p w14:paraId="726AF62A" w14:textId="49F606DC" w:rsidR="008D11E4" w:rsidRDefault="00FA649B" w:rsidP="008D11E4">
            <w:pPr>
              <w:pStyle w:val="TableParagraph"/>
              <w:spacing w:before="120" w:after="120"/>
              <w:ind w:left="51"/>
            </w:pPr>
            <w:r>
              <w:t xml:space="preserve">To inform the NEP indexation methodology review, what alternative indices or </w:t>
            </w:r>
            <w:r w:rsidR="001A238C">
              <w:t xml:space="preserve">metrics </w:t>
            </w:r>
            <w:r>
              <w:t>are publicly available and applicable at a national level, that demonstrate an evidence-based correlation between price inflation and cost increases in the delivery of Australian public hospital services? Additionally, what are the underlying drivers of cost growth contributing to these cost increases?</w:t>
            </w:r>
          </w:p>
        </w:tc>
        <w:tc>
          <w:tcPr>
            <w:tcW w:w="493" w:type="pct"/>
          </w:tcPr>
          <w:p w14:paraId="0C72B05B" w14:textId="2E4ACE6D" w:rsidR="008D11E4" w:rsidRDefault="0020730C" w:rsidP="008D11E4">
            <w:pPr>
              <w:pStyle w:val="TableParagraph"/>
              <w:spacing w:before="120" w:after="120"/>
              <w:ind w:left="51"/>
            </w:pPr>
            <w:r>
              <w:t>20</w:t>
            </w:r>
          </w:p>
        </w:tc>
      </w:tr>
      <w:tr w:rsidR="008D11E4" w14:paraId="37BF8B11" w14:textId="689E9825" w:rsidTr="00E252F3">
        <w:trPr>
          <w:cantSplit/>
        </w:trPr>
        <w:tc>
          <w:tcPr>
            <w:tcW w:w="370" w:type="pct"/>
          </w:tcPr>
          <w:p w14:paraId="5EEB6964" w14:textId="7E71F258" w:rsidR="008D11E4" w:rsidRDefault="008D11E4" w:rsidP="008D11E4">
            <w:pPr>
              <w:pStyle w:val="TableParagraph"/>
              <w:spacing w:before="120" w:after="120"/>
              <w:ind w:left="51"/>
            </w:pPr>
            <w:r>
              <w:lastRenderedPageBreak/>
              <w:t>1</w:t>
            </w:r>
            <w:r w:rsidR="00A96BDE">
              <w:t>2</w:t>
            </w:r>
          </w:p>
        </w:tc>
        <w:tc>
          <w:tcPr>
            <w:tcW w:w="4137" w:type="pct"/>
          </w:tcPr>
          <w:p w14:paraId="08370895" w14:textId="4FD6571E" w:rsidR="008D11E4" w:rsidRDefault="00091670" w:rsidP="00990566">
            <w:pPr>
              <w:pStyle w:val="TableParagraph"/>
              <w:spacing w:before="120" w:after="120"/>
              <w:ind w:left="0"/>
            </w:pPr>
            <w:r>
              <w:t>What potential risks should IHACPA consider in progressing</w:t>
            </w:r>
            <w:r w:rsidR="00FA649B">
              <w:t xml:space="preserve"> price harmonisation of chemotherapy and dialysis for future NEP Determinations?</w:t>
            </w:r>
          </w:p>
        </w:tc>
        <w:tc>
          <w:tcPr>
            <w:tcW w:w="493" w:type="pct"/>
          </w:tcPr>
          <w:p w14:paraId="4250FB25" w14:textId="247CC001" w:rsidR="008D11E4" w:rsidRDefault="0020730C" w:rsidP="008D11E4">
            <w:pPr>
              <w:pStyle w:val="TableParagraph"/>
              <w:spacing w:before="120" w:after="120"/>
              <w:ind w:left="51"/>
            </w:pPr>
            <w:r>
              <w:t>20</w:t>
            </w:r>
          </w:p>
        </w:tc>
      </w:tr>
      <w:tr w:rsidR="008D11E4" w14:paraId="732345E5" w14:textId="3905DAFA" w:rsidTr="00E252F3">
        <w:trPr>
          <w:cantSplit/>
        </w:trPr>
        <w:tc>
          <w:tcPr>
            <w:tcW w:w="370" w:type="pct"/>
          </w:tcPr>
          <w:p w14:paraId="7B805D6F" w14:textId="746B24A8" w:rsidR="008D11E4" w:rsidRDefault="008D11E4" w:rsidP="008D11E4">
            <w:pPr>
              <w:pStyle w:val="TableParagraph"/>
              <w:spacing w:before="120" w:after="120"/>
              <w:ind w:left="51"/>
            </w:pPr>
            <w:r>
              <w:t>1</w:t>
            </w:r>
            <w:r w:rsidR="00A96BDE">
              <w:t>3</w:t>
            </w:r>
          </w:p>
        </w:tc>
        <w:tc>
          <w:tcPr>
            <w:tcW w:w="4137" w:type="pct"/>
          </w:tcPr>
          <w:p w14:paraId="068D6D7A" w14:textId="3D63E330" w:rsidR="008D11E4" w:rsidRDefault="008D11E4" w:rsidP="008D11E4">
            <w:pPr>
              <w:pStyle w:val="TableParagraph"/>
              <w:spacing w:before="120" w:after="120"/>
              <w:ind w:left="51"/>
            </w:pPr>
            <w:r w:rsidRPr="00B8566D">
              <w:t>Are there any other public hospital services that are potential candidates for price weight harmonisation across settings?</w:t>
            </w:r>
          </w:p>
        </w:tc>
        <w:tc>
          <w:tcPr>
            <w:tcW w:w="493" w:type="pct"/>
          </w:tcPr>
          <w:p w14:paraId="7AADA86D" w14:textId="179F1482" w:rsidR="008D11E4" w:rsidRDefault="0020730C" w:rsidP="008D11E4">
            <w:pPr>
              <w:pStyle w:val="TableParagraph"/>
              <w:spacing w:before="120" w:after="120"/>
              <w:ind w:left="51"/>
            </w:pPr>
            <w:r>
              <w:t>20</w:t>
            </w:r>
          </w:p>
        </w:tc>
      </w:tr>
      <w:tr w:rsidR="008D11E4" w14:paraId="1BF19022" w14:textId="77777777" w:rsidTr="00E252F3">
        <w:trPr>
          <w:cantSplit/>
          <w:trHeight w:val="432"/>
        </w:trPr>
        <w:tc>
          <w:tcPr>
            <w:tcW w:w="370" w:type="pct"/>
          </w:tcPr>
          <w:p w14:paraId="15D6D613" w14:textId="4D6A49A0" w:rsidR="008D11E4" w:rsidRDefault="008D11E4" w:rsidP="008D11E4">
            <w:pPr>
              <w:pStyle w:val="TableParagraph"/>
              <w:spacing w:before="120" w:after="120"/>
              <w:ind w:left="51"/>
            </w:pPr>
            <w:r>
              <w:t>1</w:t>
            </w:r>
            <w:r w:rsidR="00A96BDE">
              <w:t>4</w:t>
            </w:r>
          </w:p>
        </w:tc>
        <w:tc>
          <w:tcPr>
            <w:tcW w:w="4137" w:type="pct"/>
          </w:tcPr>
          <w:p w14:paraId="6DDF5ADC" w14:textId="01975E10" w:rsidR="008D11E4" w:rsidRPr="00B8566D" w:rsidRDefault="00FA649B" w:rsidP="008D11E4">
            <w:pPr>
              <w:pStyle w:val="TableParagraph"/>
              <w:spacing w:before="120" w:after="120"/>
              <w:ind w:left="51"/>
            </w:pPr>
            <w:r>
              <w:t xml:space="preserve">To inform the NEC indexation methodology review, what alternative indices or </w:t>
            </w:r>
            <w:r w:rsidR="001A238C">
              <w:t xml:space="preserve">metrics </w:t>
            </w:r>
            <w:r>
              <w:t xml:space="preserve">are publicly available and applicable at a national level, that demonstrate an evidence-based correlation between price inflation and cost increases in the expenditure of small rural hospitals, specialist metropolitan hospitals or block-funded services? Additionally, what are the underlying drivers of cost growth unique to these services? </w:t>
            </w:r>
          </w:p>
        </w:tc>
        <w:tc>
          <w:tcPr>
            <w:tcW w:w="493" w:type="pct"/>
          </w:tcPr>
          <w:p w14:paraId="2CADA076" w14:textId="3D12F8BF" w:rsidR="008D11E4" w:rsidRDefault="00180C42" w:rsidP="008D11E4">
            <w:pPr>
              <w:pStyle w:val="TableParagraph"/>
              <w:spacing w:before="120" w:after="120"/>
              <w:ind w:left="51"/>
            </w:pPr>
            <w:r>
              <w:t>2</w:t>
            </w:r>
            <w:r w:rsidR="0020730C">
              <w:t>5</w:t>
            </w:r>
          </w:p>
        </w:tc>
      </w:tr>
      <w:tr w:rsidR="008D11E4" w14:paraId="081A857A" w14:textId="77777777" w:rsidTr="00E252F3">
        <w:trPr>
          <w:cantSplit/>
          <w:trHeight w:val="441"/>
        </w:trPr>
        <w:tc>
          <w:tcPr>
            <w:tcW w:w="370" w:type="pct"/>
          </w:tcPr>
          <w:p w14:paraId="298404DB" w14:textId="2700449C" w:rsidR="008D11E4" w:rsidRDefault="008D11E4" w:rsidP="008D11E4">
            <w:pPr>
              <w:pStyle w:val="TableParagraph"/>
              <w:spacing w:before="120" w:after="120"/>
              <w:ind w:left="51"/>
            </w:pPr>
            <w:r>
              <w:t>1</w:t>
            </w:r>
            <w:r w:rsidR="00A96BDE">
              <w:t>5</w:t>
            </w:r>
          </w:p>
        </w:tc>
        <w:tc>
          <w:tcPr>
            <w:tcW w:w="4137" w:type="pct"/>
          </w:tcPr>
          <w:p w14:paraId="48BB18E1" w14:textId="74B0976E" w:rsidR="008D11E4" w:rsidRPr="00B8566D" w:rsidRDefault="008D11E4" w:rsidP="008D11E4">
            <w:pPr>
              <w:pStyle w:val="TableParagraph"/>
              <w:spacing w:before="120" w:after="120"/>
              <w:ind w:left="51"/>
            </w:pPr>
            <w:r>
              <w:t xml:space="preserve">What assurance </w:t>
            </w:r>
            <w:r w:rsidRPr="00007BFF">
              <w:t xml:space="preserve">approaches </w:t>
            </w:r>
            <w:r>
              <w:t>should IHACPA consider</w:t>
            </w:r>
            <w:r w:rsidR="00646D56">
              <w:t>,</w:t>
            </w:r>
            <w:r>
              <w:t xml:space="preserve"> to ensure</w:t>
            </w:r>
            <w:r w:rsidRPr="00007BFF">
              <w:t xml:space="preserve"> NHCDC data is </w:t>
            </w:r>
            <w:r w:rsidR="00214CF9">
              <w:t xml:space="preserve">prepared in line with the </w:t>
            </w:r>
            <w:r w:rsidR="00214CF9" w:rsidRPr="00636687">
              <w:t>AHPCS</w:t>
            </w:r>
            <w:r w:rsidR="00214CF9">
              <w:t xml:space="preserve">, and </w:t>
            </w:r>
            <w:r w:rsidR="00646D56">
              <w:t xml:space="preserve">that would </w:t>
            </w:r>
            <w:r w:rsidR="00214CF9">
              <w:t>reduce</w:t>
            </w:r>
            <w:r w:rsidR="00214CF9" w:rsidRPr="00007BFF" w:rsidDel="00236183">
              <w:t xml:space="preserve"> </w:t>
            </w:r>
            <w:r w:rsidRPr="00007BFF">
              <w:t xml:space="preserve">duplication of data </w:t>
            </w:r>
            <w:r w:rsidR="00214CF9">
              <w:t>reporting</w:t>
            </w:r>
            <w:r>
              <w:t xml:space="preserve"> for states and territories?</w:t>
            </w:r>
          </w:p>
        </w:tc>
        <w:tc>
          <w:tcPr>
            <w:tcW w:w="493" w:type="pct"/>
          </w:tcPr>
          <w:p w14:paraId="4CB648FA" w14:textId="1FE51B0D" w:rsidR="008D11E4" w:rsidRDefault="00180C42" w:rsidP="008D11E4">
            <w:pPr>
              <w:pStyle w:val="TableParagraph"/>
              <w:spacing w:before="120" w:after="120"/>
              <w:ind w:left="51"/>
            </w:pPr>
            <w:r>
              <w:t>2</w:t>
            </w:r>
            <w:r w:rsidR="0020730C">
              <w:t>7</w:t>
            </w:r>
          </w:p>
        </w:tc>
      </w:tr>
      <w:tr w:rsidR="008D11E4" w14:paraId="30800750" w14:textId="77777777" w:rsidTr="00E252F3">
        <w:trPr>
          <w:cantSplit/>
          <w:trHeight w:val="416"/>
        </w:trPr>
        <w:tc>
          <w:tcPr>
            <w:tcW w:w="370" w:type="pct"/>
          </w:tcPr>
          <w:p w14:paraId="4CBB34E1" w14:textId="56D6DC78" w:rsidR="008D11E4" w:rsidRDefault="004D49D7" w:rsidP="008D11E4">
            <w:pPr>
              <w:pStyle w:val="TableParagraph"/>
              <w:spacing w:before="120" w:after="120"/>
              <w:ind w:left="51"/>
            </w:pPr>
            <w:r>
              <w:t>1</w:t>
            </w:r>
            <w:r w:rsidR="00A96BDE">
              <w:t>6</w:t>
            </w:r>
          </w:p>
        </w:tc>
        <w:tc>
          <w:tcPr>
            <w:tcW w:w="4137" w:type="pct"/>
          </w:tcPr>
          <w:p w14:paraId="44E8761A" w14:textId="75EB9D0D" w:rsidR="008D11E4" w:rsidRPr="00B8566D" w:rsidRDefault="008D11E4" w:rsidP="008D11E4">
            <w:pPr>
              <w:pStyle w:val="TableParagraph"/>
              <w:spacing w:before="120" w:after="120"/>
              <w:ind w:left="51"/>
            </w:pPr>
            <w:r w:rsidRPr="00C24A3E">
              <w:t>Given virtual care is a broad and evolving space, what specific areas and care streams where virtual care is</w:t>
            </w:r>
            <w:r w:rsidR="00214CF9">
              <w:t xml:space="preserve"> being</w:t>
            </w:r>
            <w:r w:rsidRPr="00C24A3E">
              <w:t xml:space="preserve"> delivered should IHACPA prioritise for further investigation</w:t>
            </w:r>
            <w:r w:rsidR="00D078BB">
              <w:t xml:space="preserve"> </w:t>
            </w:r>
            <w:r w:rsidR="00A85B02">
              <w:t xml:space="preserve">to inform </w:t>
            </w:r>
            <w:r w:rsidR="00A85B02" w:rsidRPr="00A85B02">
              <w:t>future data collection, classification and pricing refinement</w:t>
            </w:r>
            <w:r w:rsidRPr="00C24A3E">
              <w:t xml:space="preserve">?   </w:t>
            </w:r>
          </w:p>
        </w:tc>
        <w:tc>
          <w:tcPr>
            <w:tcW w:w="493" w:type="pct"/>
          </w:tcPr>
          <w:p w14:paraId="25079F89" w14:textId="7576822C" w:rsidR="008D11E4" w:rsidRDefault="00180C42" w:rsidP="008D11E4">
            <w:pPr>
              <w:pStyle w:val="TableParagraph"/>
              <w:spacing w:before="120" w:after="120"/>
              <w:ind w:left="51"/>
            </w:pPr>
            <w:r>
              <w:t>2</w:t>
            </w:r>
            <w:r w:rsidR="0020730C">
              <w:t>8</w:t>
            </w:r>
          </w:p>
        </w:tc>
      </w:tr>
      <w:tr w:rsidR="008D11E4" w14:paraId="655F3BAE" w14:textId="77777777" w:rsidTr="00E252F3">
        <w:trPr>
          <w:cantSplit/>
          <w:trHeight w:val="416"/>
        </w:trPr>
        <w:tc>
          <w:tcPr>
            <w:tcW w:w="370" w:type="pct"/>
          </w:tcPr>
          <w:p w14:paraId="0D5EB39E" w14:textId="0BD4D3DE" w:rsidR="008D11E4" w:rsidRDefault="004D49D7" w:rsidP="008D11E4">
            <w:pPr>
              <w:pStyle w:val="TableParagraph"/>
              <w:spacing w:before="120" w:after="120"/>
              <w:ind w:left="51"/>
            </w:pPr>
            <w:r>
              <w:t>1</w:t>
            </w:r>
            <w:r w:rsidR="00A96BDE">
              <w:t>7</w:t>
            </w:r>
          </w:p>
        </w:tc>
        <w:tc>
          <w:tcPr>
            <w:tcW w:w="4137" w:type="pct"/>
          </w:tcPr>
          <w:p w14:paraId="051D7C7C" w14:textId="272A2122" w:rsidR="008D11E4" w:rsidRPr="00B8566D" w:rsidRDefault="00236183" w:rsidP="008D11E4">
            <w:pPr>
              <w:pStyle w:val="TableParagraph"/>
              <w:spacing w:before="120" w:after="120"/>
              <w:ind w:left="51"/>
            </w:pPr>
            <w:r>
              <w:t>Do jurisdictions have the capacity to</w:t>
            </w:r>
            <w:r w:rsidR="00A85B02">
              <w:t xml:space="preserve"> submit</w:t>
            </w:r>
            <w:r>
              <w:t xml:space="preserve"> cost</w:t>
            </w:r>
            <w:r w:rsidR="00A85B02">
              <w:t xml:space="preserve"> data for </w:t>
            </w:r>
            <w:r>
              <w:t xml:space="preserve">activity reported under the emergency care virtual care data specifications? </w:t>
            </w:r>
          </w:p>
        </w:tc>
        <w:tc>
          <w:tcPr>
            <w:tcW w:w="493" w:type="pct"/>
          </w:tcPr>
          <w:p w14:paraId="573D4A7B" w14:textId="0F77D0CF" w:rsidR="008D11E4" w:rsidRDefault="00180C42" w:rsidP="008D11E4">
            <w:pPr>
              <w:pStyle w:val="TableParagraph"/>
              <w:spacing w:before="120" w:after="120"/>
              <w:ind w:left="51"/>
            </w:pPr>
            <w:r>
              <w:t>2</w:t>
            </w:r>
            <w:r w:rsidR="0020730C">
              <w:t>8</w:t>
            </w:r>
          </w:p>
        </w:tc>
      </w:tr>
      <w:tr w:rsidR="000C7FB4" w14:paraId="3FC8D6D9" w14:textId="77777777" w:rsidTr="00E252F3">
        <w:trPr>
          <w:cantSplit/>
          <w:trHeight w:val="416"/>
        </w:trPr>
        <w:tc>
          <w:tcPr>
            <w:tcW w:w="370" w:type="pct"/>
          </w:tcPr>
          <w:p w14:paraId="25316BCF" w14:textId="387DCF91" w:rsidR="000C7FB4" w:rsidRDefault="000C7FB4" w:rsidP="008D11E4">
            <w:pPr>
              <w:pStyle w:val="TableParagraph"/>
              <w:spacing w:before="120" w:after="120"/>
              <w:ind w:left="51"/>
            </w:pPr>
            <w:r>
              <w:t>18</w:t>
            </w:r>
          </w:p>
        </w:tc>
        <w:tc>
          <w:tcPr>
            <w:tcW w:w="4137" w:type="pct"/>
          </w:tcPr>
          <w:p w14:paraId="7401BB43" w14:textId="7830E798" w:rsidR="000C7FB4" w:rsidRDefault="00F73347" w:rsidP="006271FA">
            <w:pPr>
              <w:pStyle w:val="TableParagraph"/>
              <w:spacing w:before="120" w:after="120"/>
            </w:pPr>
            <w:r>
              <w:t xml:space="preserve">Do you have any </w:t>
            </w:r>
            <w:r w:rsidR="000C7FB4">
              <w:t xml:space="preserve">further </w:t>
            </w:r>
            <w:r w:rsidR="007214F9">
              <w:t>comments</w:t>
            </w:r>
            <w:r w:rsidR="000C7FB4">
              <w:t xml:space="preserve"> </w:t>
            </w:r>
            <w:r>
              <w:t>t</w:t>
            </w:r>
            <w:r w:rsidR="007214F9">
              <w:t>o inform the development of the NEP and NEC Determinations for 2024–25</w:t>
            </w:r>
            <w:r w:rsidR="000C7FB4">
              <w:t xml:space="preserve">? </w:t>
            </w:r>
          </w:p>
        </w:tc>
        <w:tc>
          <w:tcPr>
            <w:tcW w:w="493" w:type="pct"/>
          </w:tcPr>
          <w:p w14:paraId="0179FC18" w14:textId="56E5C05A" w:rsidR="000C7FB4" w:rsidRDefault="00C17D94" w:rsidP="008D11E4">
            <w:pPr>
              <w:pStyle w:val="TableParagraph"/>
              <w:spacing w:before="120" w:after="120"/>
              <w:ind w:left="51"/>
            </w:pPr>
            <w:r>
              <w:t>39</w:t>
            </w:r>
          </w:p>
        </w:tc>
      </w:tr>
      <w:bookmarkEnd w:id="95"/>
    </w:tbl>
    <w:p w14:paraId="4C0000FF" w14:textId="6845E146" w:rsidR="00EE1A03" w:rsidRDefault="00EE1A03" w:rsidP="00EE1A03">
      <w:pPr>
        <w:pStyle w:val="Body"/>
      </w:pPr>
    </w:p>
    <w:p w14:paraId="04101C02" w14:textId="77777777" w:rsidR="00EE1A03" w:rsidRDefault="00EE1A03" w:rsidP="003F2F29">
      <w:pPr>
        <w:pStyle w:val="Body"/>
      </w:pPr>
    </w:p>
    <w:p w14:paraId="36F9608F" w14:textId="012BB01E" w:rsidR="00EE1A03" w:rsidRPr="001F27AD" w:rsidRDefault="00EE1A03" w:rsidP="003F2F29">
      <w:pPr>
        <w:pStyle w:val="Body"/>
        <w:sectPr w:rsidR="00EE1A03" w:rsidRPr="001F27AD" w:rsidSect="00B879B3">
          <w:headerReference w:type="default" r:id="rId104"/>
          <w:type w:val="continuous"/>
          <w:pgSz w:w="11906" w:h="16838" w:code="9"/>
          <w:pgMar w:top="1440" w:right="1440" w:bottom="1440" w:left="1440" w:header="708" w:footer="708" w:gutter="0"/>
          <w:cols w:space="708"/>
          <w:docGrid w:linePitch="360"/>
        </w:sectPr>
      </w:pPr>
    </w:p>
    <w:p w14:paraId="0EECA720" w14:textId="77777777" w:rsidR="00395005" w:rsidRPr="00395005" w:rsidRDefault="00395005" w:rsidP="00395005"/>
    <w:p w14:paraId="0D6310CA" w14:textId="77777777" w:rsidR="00702AC3" w:rsidRPr="00B51BE6" w:rsidRDefault="00702AC3" w:rsidP="001B1269">
      <w:pPr>
        <w:pStyle w:val="Body"/>
      </w:pPr>
      <w:r w:rsidRPr="00B51BE6">
        <w:rPr>
          <w:noProof/>
        </w:rPr>
        <w:drawing>
          <wp:inline distT="0" distB="0" distL="0" distR="0" wp14:anchorId="1840BF9E" wp14:editId="37A7D3E9">
            <wp:extent cx="1764880" cy="396484"/>
            <wp:effectExtent l="0" t="0" r="6985" b="3810"/>
            <wp:docPr id="107" name="Picture 107" descr="IHAC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IHACPA logo "/>
                    <pic:cNvPicPr>
                      <a:picLocks noChangeAspect="1" noChangeArrowheads="1"/>
                    </pic:cNvPicPr>
                  </pic:nvPicPr>
                  <pic:blipFill>
                    <a:blip r:embed="rId105" cstate="print">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bwMode="auto">
                    <a:xfrm>
                      <a:off x="0" y="0"/>
                      <a:ext cx="1764880" cy="396484"/>
                    </a:xfrm>
                    <a:prstGeom prst="rect">
                      <a:avLst/>
                    </a:prstGeom>
                  </pic:spPr>
                </pic:pic>
              </a:graphicData>
            </a:graphic>
          </wp:inline>
        </w:drawing>
      </w:r>
    </w:p>
    <w:p w14:paraId="2C87DF7D" w14:textId="77777777" w:rsidR="00702AC3" w:rsidRPr="00D268AB" w:rsidRDefault="00702AC3" w:rsidP="001B1269">
      <w:pPr>
        <w:pStyle w:val="Body"/>
        <w:rPr>
          <w:color w:val="FFFFFF" w:themeColor="background1"/>
        </w:rPr>
      </w:pPr>
      <w:r w:rsidRPr="00D268AB">
        <w:rPr>
          <w:color w:val="FFFFFF" w:themeColor="background1"/>
        </w:rPr>
        <w:t>Independent Health and Aged Care Pricing Authority</w:t>
      </w:r>
    </w:p>
    <w:p w14:paraId="73958A89" w14:textId="3C183AEC" w:rsidR="00702AC3" w:rsidRPr="00D268AB" w:rsidRDefault="00234F6E" w:rsidP="001B1269">
      <w:pPr>
        <w:pStyle w:val="Body"/>
        <w:rPr>
          <w:color w:val="54C1AF" w:themeColor="accent4"/>
        </w:rPr>
      </w:pPr>
      <w:r w:rsidRPr="00D268AB">
        <w:rPr>
          <w:color w:val="54C1AF" w:themeColor="accent4"/>
        </w:rPr>
        <w:t xml:space="preserve">Eora Nation, </w:t>
      </w:r>
      <w:r w:rsidR="00702AC3" w:rsidRPr="00D268AB">
        <w:rPr>
          <w:color w:val="54C1AF" w:themeColor="accent4"/>
        </w:rPr>
        <w:t>Level 12, 1 Oxford Street</w:t>
      </w:r>
      <w:r w:rsidR="00702AC3" w:rsidRPr="00D268AB">
        <w:rPr>
          <w:color w:val="54C1AF" w:themeColor="accent4"/>
        </w:rPr>
        <w:br/>
        <w:t>Sydney NSW 2000</w:t>
      </w:r>
    </w:p>
    <w:p w14:paraId="4AF09897" w14:textId="587EC1CB" w:rsidR="00702AC3" w:rsidRPr="00D268AB" w:rsidRDefault="00702AC3" w:rsidP="00D268AB">
      <w:pPr>
        <w:pStyle w:val="Body"/>
        <w:rPr>
          <w:color w:val="FFFFFF" w:themeColor="background1"/>
        </w:rPr>
      </w:pPr>
      <w:r w:rsidRPr="00D268AB">
        <w:rPr>
          <w:color w:val="FFFFFF" w:themeColor="background1"/>
        </w:rPr>
        <w:t>Phone</w:t>
      </w:r>
      <w:r w:rsidR="00D268AB">
        <w:rPr>
          <w:color w:val="FFFFFF" w:themeColor="background1"/>
        </w:rPr>
        <w:t>:</w:t>
      </w:r>
      <w:r w:rsidRPr="00D268AB">
        <w:rPr>
          <w:color w:val="FFFFFF" w:themeColor="background1"/>
        </w:rPr>
        <w:t xml:space="preserve"> </w:t>
      </w:r>
      <w:r w:rsidRPr="00D268AB">
        <w:rPr>
          <w:color w:val="54C1AF" w:themeColor="accent4"/>
        </w:rPr>
        <w:t>02 8215 1100</w:t>
      </w:r>
      <w:r w:rsidRPr="00D268AB">
        <w:rPr>
          <w:color w:val="FFFFFF" w:themeColor="background1"/>
        </w:rPr>
        <w:br/>
        <w:t>Email</w:t>
      </w:r>
      <w:r w:rsidR="00D268AB">
        <w:rPr>
          <w:color w:val="FFFFFF" w:themeColor="background1"/>
        </w:rPr>
        <w:t>:</w:t>
      </w:r>
      <w:r w:rsidRPr="00D268AB">
        <w:rPr>
          <w:color w:val="FFFFFF" w:themeColor="background1"/>
        </w:rPr>
        <w:t xml:space="preserve"> </w:t>
      </w:r>
      <w:hyperlink r:id="rId107" w:history="1">
        <w:r w:rsidR="00AB7FDC" w:rsidRPr="00D268AB">
          <w:rPr>
            <w:rStyle w:val="Hyperlink"/>
            <w:color w:val="54C1AF" w:themeColor="accent4"/>
            <w:u w:val="none"/>
          </w:rPr>
          <w:t>enquiries.ihacpa@ihacpa.gov.au</w:t>
        </w:r>
      </w:hyperlink>
      <w:r w:rsidRPr="00D268AB">
        <w:rPr>
          <w:color w:val="FFFFFF" w:themeColor="background1"/>
        </w:rPr>
        <w:br/>
        <w:t>Twitter</w:t>
      </w:r>
      <w:r w:rsidR="00D268AB">
        <w:rPr>
          <w:color w:val="FFFFFF" w:themeColor="background1"/>
        </w:rPr>
        <w:t>:</w:t>
      </w:r>
      <w:r w:rsidRPr="00D268AB">
        <w:rPr>
          <w:color w:val="FFFFFF" w:themeColor="background1"/>
        </w:rPr>
        <w:t xml:space="preserve"> </w:t>
      </w:r>
      <w:r w:rsidRPr="00D268AB">
        <w:rPr>
          <w:color w:val="54C1AF" w:themeColor="accent4"/>
        </w:rPr>
        <w:t>@IHACPA</w:t>
      </w:r>
    </w:p>
    <w:p w14:paraId="7C344808" w14:textId="4D278D82" w:rsidR="008D7ADC" w:rsidRPr="00D268AB" w:rsidRDefault="00702AC3" w:rsidP="001B1269">
      <w:pPr>
        <w:pStyle w:val="Body"/>
        <w:rPr>
          <w:color w:val="54C1AF" w:themeColor="accent4"/>
        </w:rPr>
      </w:pPr>
      <w:r w:rsidRPr="00D268AB">
        <w:rPr>
          <w:color w:val="54C1AF" w:themeColor="accent4"/>
        </w:rPr>
        <w:t>www.ihacpa.gov.au</w:t>
      </w:r>
    </w:p>
    <w:sectPr w:rsidR="008D7ADC" w:rsidRPr="00D268AB" w:rsidSect="00DE4874">
      <w:headerReference w:type="default" r:id="rId108"/>
      <w:footerReference w:type="default" r:id="rId109"/>
      <w:pgSz w:w="11906" w:h="16838" w:code="9"/>
      <w:pgMar w:top="1440" w:right="1440" w:bottom="1440" w:left="1440" w:header="708" w:footer="708" w:gutter="0"/>
      <w:cols w:space="8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52E8" w14:textId="77777777" w:rsidR="00A830A7" w:rsidRDefault="00A830A7" w:rsidP="001D7B7B">
      <w:pPr>
        <w:spacing w:after="0" w:line="240" w:lineRule="auto"/>
      </w:pPr>
      <w:r>
        <w:separator/>
      </w:r>
    </w:p>
    <w:p w14:paraId="55DF9334" w14:textId="77777777" w:rsidR="00A830A7" w:rsidRDefault="00A830A7"/>
  </w:endnote>
  <w:endnote w:type="continuationSeparator" w:id="0">
    <w:p w14:paraId="2C6AC716" w14:textId="77777777" w:rsidR="00A830A7" w:rsidRDefault="00A830A7" w:rsidP="001D7B7B">
      <w:pPr>
        <w:spacing w:after="0" w:line="240" w:lineRule="auto"/>
      </w:pPr>
      <w:r>
        <w:continuationSeparator/>
      </w:r>
    </w:p>
    <w:p w14:paraId="176474BB" w14:textId="77777777" w:rsidR="00A830A7" w:rsidRDefault="00A83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regular">
    <w:altName w:val="Cambria"/>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efin Sans">
    <w:panose1 w:val="00000000000000000000"/>
    <w:charset w:val="00"/>
    <w:family w:val="auto"/>
    <w:pitch w:val="variable"/>
    <w:sig w:usb0="A00000FF" w:usb1="4000204B" w:usb2="00000000" w:usb3="00000000" w:csb0="00000193" w:csb1="00000000"/>
  </w:font>
  <w:font w:name="Fira Sans">
    <w:panose1 w:val="020B0503050000020004"/>
    <w:charset w:val="00"/>
    <w:family w:val="swiss"/>
    <w:pitch w:val="variable"/>
    <w:sig w:usb0="600002FF" w:usb1="00000001" w:usb2="00000000" w:usb3="00000000" w:csb0="0000019F" w:csb1="00000000"/>
  </w:font>
  <w:font w:name="Josefin Sans Bold">
    <w:panose1 w:val="00000000000000000000"/>
    <w:charset w:val="00"/>
    <w:family w:val="auto"/>
    <w:pitch w:val="variable"/>
    <w:sig w:usb0="A00000FF" w:usb1="4000204B" w:usb2="00000000" w:usb3="00000000" w:csb0="00000193" w:csb1="00000000"/>
  </w:font>
  <w:font w:name="Futura PT Book">
    <w:altName w:val="MS Gothic"/>
    <w:panose1 w:val="00000000000000000000"/>
    <w:charset w:val="00"/>
    <w:family w:val="swiss"/>
    <w:notTrueType/>
    <w:pitch w:val="variable"/>
    <w:sig w:usb0="A00002FF" w:usb1="5000204B" w:usb2="00000000" w:usb3="00000000" w:csb0="00000097" w:csb1="00000000"/>
  </w:font>
  <w:font w:name="Times New Roman (Headings CS)">
    <w:altName w:val="Times New Roman"/>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CFFA" w14:textId="77777777" w:rsidR="00916C26" w:rsidRPr="004C3F97" w:rsidRDefault="00916C26">
    <w:pPr>
      <w:pStyle w:val="Footer"/>
      <w:rPr>
        <w:color w:val="FFFFFF" w:themeColor="background1"/>
        <w:sz w:val="18"/>
        <w:szCs w:val="18"/>
      </w:rPr>
    </w:pPr>
    <w:r w:rsidRPr="004C3F97">
      <w:rPr>
        <w:color w:val="FFFFFF" w:themeColor="background1"/>
        <w:sz w:val="18"/>
        <w:szCs w:val="18"/>
      </w:rPr>
      <w:t>Independent Health and Aged Care Pricing Authority</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0343" w14:textId="77777777" w:rsidR="0055477F" w:rsidRPr="00916C26" w:rsidRDefault="0055477F"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9870" w14:textId="77777777" w:rsidR="0055477F" w:rsidRPr="00EF6ED4" w:rsidRDefault="0055477F" w:rsidP="00EF6E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5A69" w14:textId="77777777" w:rsidR="0055477F" w:rsidRPr="00916C26" w:rsidRDefault="0055477F"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5961" w14:textId="77777777" w:rsidR="0055477F" w:rsidRPr="00EF6ED4" w:rsidRDefault="0055477F" w:rsidP="00EF6ED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D3A3" w14:textId="77777777" w:rsidR="0055477F" w:rsidRPr="00916C26" w:rsidRDefault="0055477F"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3F57" w14:textId="77777777" w:rsidR="00D05D0A" w:rsidRPr="00EF6ED4" w:rsidRDefault="00D05D0A" w:rsidP="00EF6ED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3B7D" w14:textId="77777777" w:rsidR="00D05D0A" w:rsidRPr="00916C26" w:rsidRDefault="00D05D0A"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82EB" w14:textId="77777777" w:rsidR="009D0AE6" w:rsidRPr="00EF6ED4" w:rsidRDefault="009D0AE6" w:rsidP="00EF6ED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F2E4" w14:textId="77777777" w:rsidR="009D0AE6" w:rsidRPr="00916C26" w:rsidRDefault="009D0AE6"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3C73" w14:textId="77777777" w:rsidR="00B879B3" w:rsidRPr="00EF6ED4" w:rsidRDefault="00B879B3" w:rsidP="00EF6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C430" w14:textId="1A0DB801" w:rsidR="00D74538" w:rsidRPr="00526F1C" w:rsidRDefault="00D74538" w:rsidP="005C6720">
    <w:pPr>
      <w:pStyle w:val="Footer"/>
      <w:tabs>
        <w:tab w:val="left" w:pos="1134"/>
      </w:tabs>
      <w:jc w:val="right"/>
      <w:rPr>
        <w:color w:val="000000" w:themeColor="text1"/>
        <w:sz w:val="18"/>
        <w:szCs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6E70" w14:textId="77777777" w:rsidR="00B879B3" w:rsidRPr="00916C26" w:rsidRDefault="00B879B3"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444" w14:textId="77777777" w:rsidR="0055477F" w:rsidRPr="00EF6ED4" w:rsidRDefault="0055477F" w:rsidP="00EF6ED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DD3F" w14:textId="77777777" w:rsidR="0055477F" w:rsidRPr="00916C26" w:rsidRDefault="0055477F"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AA83" w14:textId="77777777" w:rsidR="0055477F" w:rsidRPr="00EF6ED4" w:rsidRDefault="0055477F" w:rsidP="00EF6ED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CA20" w14:textId="77777777" w:rsidR="0055477F" w:rsidRPr="00916C26" w:rsidRDefault="0055477F"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5661" w14:textId="77777777" w:rsidR="0098306A" w:rsidRPr="00EF6ED4" w:rsidRDefault="0098306A" w:rsidP="00EF6ED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A26D" w14:textId="77777777" w:rsidR="00EE1A03" w:rsidRPr="00916C26" w:rsidRDefault="00EE1A03"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9553" w14:textId="3A368D89" w:rsidR="00D74538" w:rsidRPr="00526F1C" w:rsidRDefault="00D74538" w:rsidP="005C6720">
    <w:pPr>
      <w:pStyle w:val="Footer"/>
      <w:tabs>
        <w:tab w:val="left" w:pos="1134"/>
      </w:tabs>
      <w:jc w:val="right"/>
      <w:rPr>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5B78" w14:textId="5D9F979D" w:rsidR="00D74538" w:rsidRPr="00916C26" w:rsidRDefault="00916C26"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1</w:t>
    </w:r>
    <w:r w:rsidRPr="00526F1C">
      <w:rPr>
        <w:noProof/>
        <w:color w:val="000000" w:themeColor="text1"/>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B683" w14:textId="378B954B" w:rsidR="00D74538" w:rsidRPr="00916C26" w:rsidRDefault="00916C26"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A204" w14:textId="3BB14FEA" w:rsidR="00EF6ED4" w:rsidRPr="00EF6ED4" w:rsidRDefault="00EF6ED4" w:rsidP="00EF6E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CA0D" w14:textId="55D1BCBF" w:rsidR="00EF6ED4" w:rsidRPr="00916C26" w:rsidRDefault="00916C26"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8D29" w14:textId="77777777" w:rsidR="0055477F" w:rsidRPr="00EF6ED4" w:rsidRDefault="0055477F" w:rsidP="00EF6E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6132" w14:textId="77777777" w:rsidR="0055477F" w:rsidRPr="00916C26" w:rsidRDefault="0055477F" w:rsidP="00916C26">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sz w:val="18"/>
        <w:szCs w:val="18"/>
      </w:rPr>
      <w:t>6</w:t>
    </w:r>
    <w:r w:rsidRPr="00526F1C">
      <w:rPr>
        <w:noProof/>
        <w:color w:val="000000" w:themeColor="text1"/>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EEA2" w14:textId="77777777" w:rsidR="000C07E4" w:rsidRPr="00EF6ED4" w:rsidRDefault="000C07E4" w:rsidP="00EF6ED4">
    <w:pPr>
      <w:pStyle w:val="Footer"/>
      <w:tabs>
        <w:tab w:val="left" w:pos="1134"/>
      </w:tabs>
      <w:jc w:val="right"/>
      <w:rPr>
        <w:color w:val="000000" w:themeColor="text1"/>
        <w:sz w:val="18"/>
        <w:szCs w:val="18"/>
      </w:rPr>
    </w:pPr>
    <w:r w:rsidRPr="00526F1C">
      <w:rPr>
        <w:b/>
        <w:bCs/>
        <w:color w:val="000000" w:themeColor="text1"/>
        <w:sz w:val="18"/>
        <w:szCs w:val="18"/>
      </w:rPr>
      <w:t>IHACPA</w:t>
    </w:r>
    <w:r w:rsidRPr="00526F1C">
      <w:rPr>
        <w:color w:val="000000" w:themeColor="text1"/>
        <w:sz w:val="18"/>
        <w:szCs w:val="18"/>
      </w:rPr>
      <w:tab/>
    </w:r>
    <w:r>
      <w:rPr>
        <w:color w:val="000000" w:themeColor="text1"/>
        <w:sz w:val="18"/>
        <w:szCs w:val="18"/>
      </w:rPr>
      <w:t>Consultation Paper on the Pricing Framework for Australian Public Hospital Services 2024</w:t>
    </w:r>
    <w:r>
      <w:rPr>
        <w:color w:val="000000" w:themeColor="text1"/>
        <w:sz w:val="18"/>
        <w:szCs w:val="18"/>
      </w:rPr>
      <w:softHyphen/>
    </w:r>
    <w:r>
      <w:t>–</w:t>
    </w:r>
    <w:r>
      <w:rPr>
        <w:color w:val="000000" w:themeColor="text1"/>
        <w:sz w:val="18"/>
        <w:szCs w:val="18"/>
      </w:rPr>
      <w:t>25</w:t>
    </w:r>
    <w:r w:rsidRPr="00526F1C">
      <w:rPr>
        <w:color w:val="000000" w:themeColor="text1"/>
        <w:sz w:val="18"/>
        <w:szCs w:val="18"/>
      </w:rPr>
      <w:ptab w:relativeTo="margin" w:alignment="right" w:leader="none"/>
    </w:r>
    <w:r w:rsidRPr="00526F1C">
      <w:rPr>
        <w:color w:val="000000" w:themeColor="text1"/>
        <w:sz w:val="18"/>
        <w:szCs w:val="18"/>
      </w:rPr>
      <w:fldChar w:fldCharType="begin"/>
    </w:r>
    <w:r w:rsidRPr="00526F1C">
      <w:rPr>
        <w:color w:val="000000" w:themeColor="text1"/>
        <w:sz w:val="18"/>
        <w:szCs w:val="18"/>
      </w:rPr>
      <w:instrText xml:space="preserve"> PAGE   \* MERGEFORMAT </w:instrText>
    </w:r>
    <w:r w:rsidRPr="00526F1C">
      <w:rPr>
        <w:color w:val="000000" w:themeColor="text1"/>
        <w:sz w:val="18"/>
        <w:szCs w:val="18"/>
      </w:rPr>
      <w:fldChar w:fldCharType="separate"/>
    </w:r>
    <w:r>
      <w:rPr>
        <w:color w:val="000000" w:themeColor="text1"/>
      </w:rPr>
      <w:t>3</w:t>
    </w:r>
    <w:r w:rsidRPr="00526F1C">
      <w:rPr>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3DE9" w14:textId="77777777" w:rsidR="00A830A7" w:rsidRDefault="00A830A7" w:rsidP="001D7B7B">
      <w:pPr>
        <w:spacing w:after="0" w:line="240" w:lineRule="auto"/>
      </w:pPr>
      <w:r>
        <w:separator/>
      </w:r>
    </w:p>
    <w:p w14:paraId="08AADAFB" w14:textId="77777777" w:rsidR="00A830A7" w:rsidRDefault="00A830A7"/>
  </w:footnote>
  <w:footnote w:type="continuationSeparator" w:id="0">
    <w:p w14:paraId="0AF1643E" w14:textId="77777777" w:rsidR="00A830A7" w:rsidRDefault="00A830A7" w:rsidP="001D7B7B">
      <w:pPr>
        <w:spacing w:after="0" w:line="240" w:lineRule="auto"/>
      </w:pPr>
      <w:r>
        <w:continuationSeparator/>
      </w:r>
    </w:p>
    <w:p w14:paraId="699F5CF0" w14:textId="77777777" w:rsidR="00A830A7" w:rsidRDefault="00A830A7"/>
  </w:footnote>
  <w:footnote w:id="1">
    <w:p w14:paraId="30A182D7" w14:textId="0731A6F6" w:rsidR="00825598" w:rsidRDefault="00825598" w:rsidP="00825598">
      <w:pPr>
        <w:pStyle w:val="FootnoteText"/>
      </w:pPr>
      <w:r>
        <w:rPr>
          <w:rStyle w:val="FootnoteReference"/>
        </w:rPr>
        <w:footnoteRef/>
      </w:r>
      <w:r>
        <w:t xml:space="preserve"> </w:t>
      </w:r>
      <w:r w:rsidRPr="009E1AD0">
        <w:rPr>
          <w:sz w:val="18"/>
          <w:szCs w:val="18"/>
        </w:rPr>
        <w:t xml:space="preserve">The avoidable hospital readmissions adjustment was introduced in the </w:t>
      </w:r>
      <w:r w:rsidRPr="00306EDB">
        <w:rPr>
          <w:i/>
          <w:iCs/>
          <w:sz w:val="18"/>
          <w:szCs w:val="18"/>
        </w:rPr>
        <w:t>NEP Determination 2021–22</w:t>
      </w:r>
      <w:r w:rsidRPr="00006532">
        <w:rPr>
          <w:sz w:val="18"/>
          <w:szCs w:val="18"/>
        </w:rPr>
        <w:t xml:space="preserve"> (NEP21)</w:t>
      </w:r>
      <w:r w:rsidRPr="009E1AD0">
        <w:rPr>
          <w:sz w:val="18"/>
          <w:szCs w:val="18"/>
        </w:rPr>
        <w:t xml:space="preserve">. Whilst not explicitly included in the </w:t>
      </w:r>
      <w:r w:rsidRPr="009E1AD0">
        <w:rPr>
          <w:i/>
          <w:iCs/>
          <w:sz w:val="18"/>
          <w:szCs w:val="18"/>
        </w:rPr>
        <w:t>COVID-19 Response – Costing and Pricing Guidelines</w:t>
      </w:r>
      <w:r w:rsidRPr="009E1AD0">
        <w:rPr>
          <w:sz w:val="18"/>
          <w:szCs w:val="18"/>
        </w:rPr>
        <w:t>, as part of its introduction in NEP21, the decision was made that the avoidable hospital admissions adjustment would also not be applied to activity with a COVID-19 diagnosis</w:t>
      </w:r>
      <w:r>
        <w:t>.</w:t>
      </w:r>
    </w:p>
  </w:footnote>
  <w:footnote w:id="2">
    <w:p w14:paraId="32B692E0" w14:textId="77777777" w:rsidR="003E4723" w:rsidRDefault="003E4723" w:rsidP="003E4723">
      <w:pPr>
        <w:pStyle w:val="FootnoteText"/>
      </w:pPr>
      <w:r>
        <w:rPr>
          <w:rStyle w:val="FootnoteReference"/>
        </w:rPr>
        <w:footnoteRef/>
      </w:r>
      <w:r>
        <w:t xml:space="preserve"> </w:t>
      </w:r>
      <w:r w:rsidRPr="0075304B">
        <w:rPr>
          <w:sz w:val="18"/>
          <w:szCs w:val="18"/>
        </w:rPr>
        <w:t xml:space="preserve">Newborn qualification status. Available at: </w:t>
      </w:r>
      <w:hyperlink r:id="rId1" w:history="1">
        <w:r w:rsidRPr="00DF4500">
          <w:rPr>
            <w:rStyle w:val="HyperlinktextChar"/>
          </w:rPr>
          <w:t>https://meteor.aihw.gov.au/content/index.phtml/itemId/327254</w:t>
        </w:r>
      </w:hyperlink>
      <w:r>
        <w:t xml:space="preserve"> </w:t>
      </w:r>
    </w:p>
  </w:footnote>
  <w:footnote w:id="3">
    <w:p w14:paraId="11D7E840" w14:textId="77777777" w:rsidR="00334AE4" w:rsidRPr="003F2F29" w:rsidRDefault="00334AE4" w:rsidP="00334AE4">
      <w:pPr>
        <w:autoSpaceDE w:val="0"/>
        <w:autoSpaceDN w:val="0"/>
        <w:adjustRightInd w:val="0"/>
        <w:spacing w:after="0" w:line="240" w:lineRule="auto"/>
        <w:rPr>
          <w:sz w:val="18"/>
          <w:szCs w:val="18"/>
        </w:rPr>
      </w:pPr>
      <w:r>
        <w:rPr>
          <w:rStyle w:val="FootnoteReference"/>
        </w:rPr>
        <w:footnoteRef/>
      </w:r>
      <w:r>
        <w:t xml:space="preserve"> </w:t>
      </w:r>
      <w:r w:rsidRPr="003F2F29">
        <w:rPr>
          <w:rFonts w:cs="Arial"/>
          <w:sz w:val="18"/>
          <w:szCs w:val="18"/>
        </w:rPr>
        <w:t>The Council of Australian Governments has been dissolved. The Health Ministers’ Meeting, comprised of all</w:t>
      </w:r>
      <w:r>
        <w:rPr>
          <w:rFonts w:cs="Arial"/>
          <w:sz w:val="18"/>
          <w:szCs w:val="18"/>
        </w:rPr>
        <w:t xml:space="preserve"> </w:t>
      </w:r>
      <w:r w:rsidRPr="003F2F29">
        <w:rPr>
          <w:rFonts w:cs="Arial"/>
          <w:sz w:val="18"/>
          <w:szCs w:val="18"/>
        </w:rPr>
        <w:t>Australian health ministers, has been established as its replacement to consider matters previously brought to the</w:t>
      </w:r>
      <w:r>
        <w:rPr>
          <w:rFonts w:cs="Arial"/>
          <w:sz w:val="18"/>
          <w:szCs w:val="18"/>
        </w:rPr>
        <w:t xml:space="preserve"> </w:t>
      </w:r>
      <w:r w:rsidRPr="003F2F29">
        <w:rPr>
          <w:rFonts w:cs="Arial"/>
          <w:sz w:val="18"/>
          <w:szCs w:val="18"/>
        </w:rPr>
        <w:t>Council of Australian Governments Health Council, including matters relating to the national bodies.</w:t>
      </w:r>
    </w:p>
    <w:p w14:paraId="1F2F4DBF" w14:textId="22F58850" w:rsidR="00334AE4" w:rsidRDefault="00334A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CAAA" w14:textId="77777777" w:rsidR="00916C26" w:rsidRDefault="00916C26">
    <w:pPr>
      <w:pStyle w:val="Header"/>
    </w:pPr>
    <w:r>
      <w:rPr>
        <w:noProof/>
      </w:rPr>
      <w:drawing>
        <wp:anchor distT="0" distB="0" distL="114300" distR="114300" simplePos="0" relativeHeight="251648512" behindDoc="1" locked="0" layoutInCell="1" allowOverlap="1" wp14:anchorId="29821B32" wp14:editId="7F5A0954">
          <wp:simplePos x="0" y="0"/>
          <wp:positionH relativeFrom="page">
            <wp:align>left</wp:align>
          </wp:positionH>
          <wp:positionV relativeFrom="paragraph">
            <wp:posOffset>-497931</wp:posOffset>
          </wp:positionV>
          <wp:extent cx="7585075" cy="10720705"/>
          <wp:effectExtent l="0" t="0" r="0" b="444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5075" cy="10720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D770" w14:textId="77777777" w:rsidR="0055477F" w:rsidRPr="00AD603F" w:rsidRDefault="0055477F" w:rsidP="00AD603F">
    <w:pPr>
      <w:pStyle w:val="Header"/>
    </w:pPr>
  </w:p>
  <w:p w14:paraId="703BF68C" w14:textId="77777777" w:rsidR="0055477F" w:rsidRDefault="0055477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E247" w14:textId="77777777" w:rsidR="0055477F" w:rsidRDefault="0055477F">
    <w:pPr>
      <w:pStyle w:val="Header"/>
    </w:pPr>
    <w:r>
      <w:rPr>
        <w:noProof/>
      </w:rPr>
      <w:drawing>
        <wp:anchor distT="0" distB="0" distL="114300" distR="114300" simplePos="0" relativeHeight="251652608" behindDoc="1" locked="0" layoutInCell="1" allowOverlap="1" wp14:anchorId="7E6E89B6" wp14:editId="71A60579">
          <wp:simplePos x="0" y="0"/>
          <wp:positionH relativeFrom="margin">
            <wp:posOffset>-914400</wp:posOffset>
          </wp:positionH>
          <wp:positionV relativeFrom="paragraph">
            <wp:posOffset>-438785</wp:posOffset>
          </wp:positionV>
          <wp:extent cx="7548863" cy="1066990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F63C" w14:textId="561C3335" w:rsidR="0055477F" w:rsidRPr="00693E58" w:rsidRDefault="0055477F" w:rsidP="00D207F8">
    <w:pPr>
      <w:pStyle w:val="Heading1"/>
      <w:spacing w:before="600" w:line="720" w:lineRule="exact"/>
    </w:pPr>
    <w:r>
      <w:rPr>
        <w:noProof/>
      </w:rPr>
      <w:drawing>
        <wp:anchor distT="0" distB="0" distL="114300" distR="114300" simplePos="0" relativeHeight="251653632" behindDoc="1" locked="0" layoutInCell="1" allowOverlap="1" wp14:anchorId="092CE4A0" wp14:editId="02548552">
          <wp:simplePos x="0" y="0"/>
          <wp:positionH relativeFrom="page">
            <wp:align>right</wp:align>
          </wp:positionH>
          <wp:positionV relativeFrom="paragraph">
            <wp:posOffset>582295</wp:posOffset>
          </wp:positionV>
          <wp:extent cx="7563003" cy="1957093"/>
          <wp:effectExtent l="0" t="0" r="0" b="0"/>
          <wp:wrapNone/>
          <wp:docPr id="8"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3F0B5B">
      <w:t>3</w:t>
    </w:r>
    <w:r>
      <w:t xml:space="preserve">. </w:t>
    </w:r>
    <w:r w:rsidR="00E631E8" w:rsidRPr="00B50C0B">
      <w:t>Classifications used to describe and price public hospital services</w:t>
    </w:r>
  </w:p>
  <w:p w14:paraId="4D5543A6" w14:textId="77777777" w:rsidR="0055477F" w:rsidRDefault="005547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AA2C" w14:textId="01C51BFE" w:rsidR="0055477F" w:rsidRPr="00AD603F" w:rsidRDefault="0055477F" w:rsidP="00AD60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AE8D" w14:textId="77777777" w:rsidR="0055477F" w:rsidRDefault="0055477F">
    <w:pPr>
      <w:pStyle w:val="Header"/>
    </w:pPr>
    <w:r>
      <w:rPr>
        <w:noProof/>
      </w:rPr>
      <w:drawing>
        <wp:anchor distT="0" distB="0" distL="114300" distR="114300" simplePos="0" relativeHeight="251654656" behindDoc="1" locked="0" layoutInCell="1" allowOverlap="1" wp14:anchorId="72B5439E" wp14:editId="2EF00B6C">
          <wp:simplePos x="0" y="0"/>
          <wp:positionH relativeFrom="margin">
            <wp:posOffset>-914400</wp:posOffset>
          </wp:positionH>
          <wp:positionV relativeFrom="paragraph">
            <wp:posOffset>-438785</wp:posOffset>
          </wp:positionV>
          <wp:extent cx="7548863" cy="1066990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8DFB" w14:textId="12E55039" w:rsidR="0055477F" w:rsidRPr="00693E58" w:rsidRDefault="0055477F" w:rsidP="00D05D0A">
    <w:pPr>
      <w:pStyle w:val="Heading1"/>
      <w:spacing w:before="600" w:line="720" w:lineRule="exact"/>
      <w:ind w:right="379"/>
    </w:pPr>
    <w:r>
      <w:rPr>
        <w:noProof/>
      </w:rPr>
      <w:drawing>
        <wp:anchor distT="0" distB="0" distL="114300" distR="114300" simplePos="0" relativeHeight="251655680" behindDoc="1" locked="0" layoutInCell="1" allowOverlap="1" wp14:anchorId="49F2EE00" wp14:editId="47740D92">
          <wp:simplePos x="0" y="0"/>
          <wp:positionH relativeFrom="margin">
            <wp:posOffset>-914400</wp:posOffset>
          </wp:positionH>
          <wp:positionV relativeFrom="paragraph">
            <wp:posOffset>125095</wp:posOffset>
          </wp:positionV>
          <wp:extent cx="7563003" cy="1957093"/>
          <wp:effectExtent l="0" t="0" r="0" b="0"/>
          <wp:wrapNone/>
          <wp:docPr id="12"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3F0B5B">
      <w:t>4</w:t>
    </w:r>
    <w:r>
      <w:t xml:space="preserve">. </w:t>
    </w:r>
    <w:r w:rsidR="00D05D0A">
      <w:rPr>
        <w:rFonts w:asciiTheme="majorHAnsi" w:hAnsiTheme="majorHAnsi" w:cs="Times New Roman (Headings CS)"/>
      </w:rPr>
      <w:t>Setting the national efficient price</w:t>
    </w:r>
  </w:p>
  <w:p w14:paraId="4DA9B6D7" w14:textId="77777777" w:rsidR="0055477F" w:rsidRDefault="0055477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1BC4" w14:textId="77777777" w:rsidR="00D05D0A" w:rsidRPr="00AD603F" w:rsidRDefault="00D05D0A" w:rsidP="00AD603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656A" w14:textId="77777777" w:rsidR="00D05D0A" w:rsidRDefault="00D05D0A">
    <w:pPr>
      <w:pStyle w:val="Header"/>
    </w:pPr>
    <w:r>
      <w:rPr>
        <w:noProof/>
      </w:rPr>
      <w:drawing>
        <wp:anchor distT="0" distB="0" distL="114300" distR="114300" simplePos="0" relativeHeight="251661824" behindDoc="1" locked="0" layoutInCell="1" allowOverlap="1" wp14:anchorId="03F666EB" wp14:editId="1ED70882">
          <wp:simplePos x="0" y="0"/>
          <wp:positionH relativeFrom="margin">
            <wp:posOffset>-914400</wp:posOffset>
          </wp:positionH>
          <wp:positionV relativeFrom="paragraph">
            <wp:posOffset>-438785</wp:posOffset>
          </wp:positionV>
          <wp:extent cx="7548863" cy="1066990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E49B" w14:textId="024357A1" w:rsidR="00D05D0A" w:rsidRPr="00693E58" w:rsidRDefault="00D05D0A" w:rsidP="00F83BA1">
    <w:pPr>
      <w:pStyle w:val="Heading1"/>
      <w:spacing w:before="600" w:line="720" w:lineRule="exact"/>
      <w:ind w:right="379"/>
    </w:pPr>
    <w:r>
      <w:rPr>
        <w:noProof/>
      </w:rPr>
      <w:drawing>
        <wp:anchor distT="0" distB="0" distL="114300" distR="114300" simplePos="0" relativeHeight="251662848" behindDoc="1" locked="0" layoutInCell="1" allowOverlap="1" wp14:anchorId="3A6E337A" wp14:editId="59571990">
          <wp:simplePos x="0" y="0"/>
          <wp:positionH relativeFrom="margin">
            <wp:posOffset>-914400</wp:posOffset>
          </wp:positionH>
          <wp:positionV relativeFrom="paragraph">
            <wp:posOffset>112395</wp:posOffset>
          </wp:positionV>
          <wp:extent cx="7563003" cy="1957093"/>
          <wp:effectExtent l="0" t="0" r="0" b="0"/>
          <wp:wrapNone/>
          <wp:docPr id="22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3F0B5B">
      <w:t>5</w:t>
    </w:r>
    <w:r>
      <w:t xml:space="preserve">. </w:t>
    </w:r>
    <w:r w:rsidR="00F83BA1">
      <w:rPr>
        <w:rFonts w:asciiTheme="majorHAnsi" w:hAnsiTheme="majorHAnsi" w:cs="Times New Roman (Headings CS)"/>
      </w:rPr>
      <w:t>Setting the national efficient cost</w:t>
    </w:r>
  </w:p>
  <w:p w14:paraId="6DD3E380" w14:textId="77777777" w:rsidR="00D05D0A" w:rsidRDefault="00D05D0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79E8" w14:textId="77777777" w:rsidR="00D05D0A" w:rsidRPr="00AD603F" w:rsidRDefault="00D05D0A" w:rsidP="00AD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B4C4" w14:textId="77777777" w:rsidR="00916C26" w:rsidRPr="00385C49" w:rsidRDefault="00916C26" w:rsidP="00831817">
    <w:pPr>
      <w:pStyle w:val="Heading1"/>
      <w:spacing w:before="600" w:line="720" w:lineRule="exact"/>
    </w:pPr>
    <w:r>
      <w:rPr>
        <w:noProof/>
      </w:rPr>
      <w:drawing>
        <wp:anchor distT="0" distB="0" distL="114300" distR="114300" simplePos="0" relativeHeight="251649536" behindDoc="1" locked="0" layoutInCell="1" allowOverlap="1" wp14:anchorId="3C24D640" wp14:editId="6C3C1D1B">
          <wp:simplePos x="0" y="0"/>
          <wp:positionH relativeFrom="margin">
            <wp:posOffset>-913765</wp:posOffset>
          </wp:positionH>
          <wp:positionV relativeFrom="paragraph">
            <wp:posOffset>-265497</wp:posOffset>
          </wp:positionV>
          <wp:extent cx="7563003" cy="1957093"/>
          <wp:effectExtent l="0" t="0" r="0" b="0"/>
          <wp:wrapNone/>
          <wp:docPr id="21"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t>2</w:t>
    </w:r>
    <w:r w:rsidRPr="00385C49">
      <w:t xml:space="preserve">. </w:t>
    </w:r>
    <w:r>
      <w:t xml:space="preserve">Impact of </w:t>
    </w:r>
    <w:r w:rsidRPr="00B82DE1">
      <w:rPr>
        <w:rFonts w:asciiTheme="majorHAnsi" w:hAnsiTheme="majorHAnsi" w:cs="Times New Roman (Headings CS)"/>
      </w:rPr>
      <w:t>COVID</w:t>
    </w:r>
    <w:r>
      <w:t>-19</w:t>
    </w:r>
  </w:p>
  <w:p w14:paraId="48D7B073" w14:textId="77777777" w:rsidR="00916C26" w:rsidRDefault="00916C2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9A83" w14:textId="77777777" w:rsidR="0055477F" w:rsidRPr="00AD603F" w:rsidRDefault="0055477F" w:rsidP="00AD603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F0E0" w14:textId="77777777" w:rsidR="009D0AE6" w:rsidRDefault="009D0AE6">
    <w:pPr>
      <w:pStyle w:val="Header"/>
    </w:pPr>
    <w:r>
      <w:rPr>
        <w:noProof/>
      </w:rPr>
      <w:drawing>
        <wp:anchor distT="0" distB="0" distL="114300" distR="114300" simplePos="0" relativeHeight="251665920" behindDoc="1" locked="0" layoutInCell="1" allowOverlap="1" wp14:anchorId="3D7EA9AB" wp14:editId="3F3FDD16">
          <wp:simplePos x="0" y="0"/>
          <wp:positionH relativeFrom="margin">
            <wp:posOffset>-914400</wp:posOffset>
          </wp:positionH>
          <wp:positionV relativeFrom="paragraph">
            <wp:posOffset>-438785</wp:posOffset>
          </wp:positionV>
          <wp:extent cx="7548863" cy="10669905"/>
          <wp:effectExtent l="0" t="0" r="0" b="0"/>
          <wp:wrapNone/>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C4DA" w14:textId="6C856273" w:rsidR="009D0AE6" w:rsidRPr="00693E58" w:rsidRDefault="009D0AE6" w:rsidP="00D207F8">
    <w:pPr>
      <w:pStyle w:val="Heading1"/>
      <w:spacing w:before="600" w:line="720" w:lineRule="exact"/>
    </w:pPr>
    <w:r>
      <w:rPr>
        <w:noProof/>
      </w:rPr>
      <w:drawing>
        <wp:anchor distT="0" distB="0" distL="114300" distR="114300" simplePos="0" relativeHeight="251666944" behindDoc="1" locked="0" layoutInCell="1" allowOverlap="1" wp14:anchorId="10117847" wp14:editId="093FE2C2">
          <wp:simplePos x="0" y="0"/>
          <wp:positionH relativeFrom="margin">
            <wp:posOffset>-914400</wp:posOffset>
          </wp:positionH>
          <wp:positionV relativeFrom="paragraph">
            <wp:posOffset>-362585</wp:posOffset>
          </wp:positionV>
          <wp:extent cx="7563003" cy="1957093"/>
          <wp:effectExtent l="0" t="0" r="0" b="0"/>
          <wp:wrapNone/>
          <wp:docPr id="230"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3F0B5B">
      <w:t>6</w:t>
    </w:r>
    <w:r>
      <w:t xml:space="preserve">. </w:t>
    </w:r>
    <w:r>
      <w:rPr>
        <w:rFonts w:asciiTheme="majorHAnsi" w:hAnsiTheme="majorHAnsi" w:cs="Times New Roman (Headings CS)"/>
      </w:rPr>
      <w:t>Data collection</w:t>
    </w:r>
  </w:p>
  <w:p w14:paraId="12B0CE51" w14:textId="77777777" w:rsidR="009D0AE6" w:rsidRDefault="009D0AE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EAD7" w14:textId="77777777" w:rsidR="009D0AE6" w:rsidRPr="00AD603F" w:rsidRDefault="009D0AE6" w:rsidP="00AD603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95FD" w14:textId="77777777" w:rsidR="009D0AE6" w:rsidRPr="00AD603F" w:rsidRDefault="009D0AE6" w:rsidP="00AD603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AC3D" w14:textId="77777777" w:rsidR="00B879B3" w:rsidRDefault="00B879B3">
    <w:pPr>
      <w:pStyle w:val="Header"/>
    </w:pPr>
    <w:r>
      <w:rPr>
        <w:noProof/>
      </w:rPr>
      <w:drawing>
        <wp:anchor distT="0" distB="0" distL="114300" distR="114300" simplePos="0" relativeHeight="251667968" behindDoc="1" locked="0" layoutInCell="1" allowOverlap="1" wp14:anchorId="729A9EB2" wp14:editId="30C70D53">
          <wp:simplePos x="0" y="0"/>
          <wp:positionH relativeFrom="margin">
            <wp:posOffset>-914400</wp:posOffset>
          </wp:positionH>
          <wp:positionV relativeFrom="paragraph">
            <wp:posOffset>-438785</wp:posOffset>
          </wp:positionV>
          <wp:extent cx="7548863" cy="10669905"/>
          <wp:effectExtent l="0" t="0" r="0" b="0"/>
          <wp:wrapNone/>
          <wp:docPr id="234"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1496" w14:textId="7FF2E6C9" w:rsidR="00B879B3" w:rsidRPr="006B06BB" w:rsidRDefault="00B879B3" w:rsidP="00D207F8">
    <w:pPr>
      <w:pStyle w:val="Heading1"/>
      <w:spacing w:before="600" w:line="720" w:lineRule="exact"/>
      <w:rPr>
        <w:szCs w:val="60"/>
      </w:rPr>
    </w:pPr>
    <w:r w:rsidRPr="006B06BB">
      <w:rPr>
        <w:noProof/>
        <w:szCs w:val="60"/>
      </w:rPr>
      <w:drawing>
        <wp:anchor distT="0" distB="0" distL="114300" distR="114300" simplePos="0" relativeHeight="251668992" behindDoc="1" locked="0" layoutInCell="1" allowOverlap="1" wp14:anchorId="5F56E9F7" wp14:editId="756D5851">
          <wp:simplePos x="0" y="0"/>
          <wp:positionH relativeFrom="margin">
            <wp:posOffset>-914400</wp:posOffset>
          </wp:positionH>
          <wp:positionV relativeFrom="paragraph">
            <wp:posOffset>180340</wp:posOffset>
          </wp:positionV>
          <wp:extent cx="7563003" cy="1957093"/>
          <wp:effectExtent l="0" t="0" r="0" b="0"/>
          <wp:wrapNone/>
          <wp:docPr id="235"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Pr="006B06BB">
      <w:rPr>
        <w:szCs w:val="60"/>
      </w:rPr>
      <w:t xml:space="preserve">7. </w:t>
    </w:r>
    <w:r w:rsidR="003F0B5B" w:rsidRPr="006B06BB">
      <w:rPr>
        <w:rFonts w:asciiTheme="majorHAnsi" w:hAnsiTheme="majorHAnsi" w:cs="Times New Roman (Headings CS)"/>
        <w:szCs w:val="60"/>
      </w:rPr>
      <w:t xml:space="preserve">Treatment of other Commonwealth programs </w:t>
    </w:r>
  </w:p>
  <w:p w14:paraId="262995B6" w14:textId="77777777" w:rsidR="00B879B3" w:rsidRDefault="00B879B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D2D" w14:textId="77777777" w:rsidR="00B879B3" w:rsidRPr="00AD603F" w:rsidRDefault="00B879B3" w:rsidP="00AD603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B324" w14:textId="77777777" w:rsidR="00B879B3" w:rsidRPr="00AD603F" w:rsidRDefault="00B879B3" w:rsidP="00AD603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1EB0" w14:textId="77777777" w:rsidR="0055477F" w:rsidRDefault="0055477F">
    <w:pPr>
      <w:pStyle w:val="Header"/>
    </w:pPr>
    <w:r>
      <w:rPr>
        <w:noProof/>
      </w:rPr>
      <w:drawing>
        <wp:anchor distT="0" distB="0" distL="114300" distR="114300" simplePos="0" relativeHeight="251656704" behindDoc="1" locked="0" layoutInCell="1" allowOverlap="1" wp14:anchorId="61436C34" wp14:editId="729B0451">
          <wp:simplePos x="0" y="0"/>
          <wp:positionH relativeFrom="margin">
            <wp:posOffset>-914400</wp:posOffset>
          </wp:positionH>
          <wp:positionV relativeFrom="paragraph">
            <wp:posOffset>-438785</wp:posOffset>
          </wp:positionV>
          <wp:extent cx="7548863" cy="10669905"/>
          <wp:effectExtent l="0" t="0" r="0" b="0"/>
          <wp:wrapNone/>
          <wp:docPr id="249" name="Picture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6AF1" w14:textId="330F69C9" w:rsidR="00D74538" w:rsidRDefault="00D7453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D261" w14:textId="541EC100" w:rsidR="0055477F" w:rsidRPr="00693E58" w:rsidRDefault="0055477F" w:rsidP="00D207F8">
    <w:pPr>
      <w:pStyle w:val="Heading1"/>
      <w:spacing w:before="600" w:line="720" w:lineRule="exact"/>
    </w:pPr>
    <w:r>
      <w:rPr>
        <w:noProof/>
      </w:rPr>
      <w:drawing>
        <wp:anchor distT="0" distB="0" distL="114300" distR="114300" simplePos="0" relativeHeight="251657728" behindDoc="1" locked="0" layoutInCell="1" allowOverlap="1" wp14:anchorId="40019A2D" wp14:editId="188488D7">
          <wp:simplePos x="0" y="0"/>
          <wp:positionH relativeFrom="margin">
            <wp:posOffset>-914400</wp:posOffset>
          </wp:positionH>
          <wp:positionV relativeFrom="paragraph">
            <wp:posOffset>-362585</wp:posOffset>
          </wp:positionV>
          <wp:extent cx="7563003" cy="1957093"/>
          <wp:effectExtent l="0" t="0" r="0" b="0"/>
          <wp:wrapNone/>
          <wp:docPr id="250"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6B06BB">
      <w:t>8</w:t>
    </w:r>
    <w:r>
      <w:t xml:space="preserve">. </w:t>
    </w:r>
    <w:r w:rsidR="00F83BA1">
      <w:rPr>
        <w:rFonts w:asciiTheme="majorHAnsi" w:hAnsiTheme="majorHAnsi" w:cs="Times New Roman (Headings CS)"/>
      </w:rPr>
      <w:t>Future funding models</w:t>
    </w:r>
  </w:p>
  <w:p w14:paraId="2E8E8C69" w14:textId="77777777" w:rsidR="0055477F" w:rsidRDefault="0055477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782A" w14:textId="77777777" w:rsidR="0055477F" w:rsidRPr="00AD603F" w:rsidRDefault="0055477F" w:rsidP="00AD603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94EA" w14:textId="77777777" w:rsidR="0055477F" w:rsidRDefault="0055477F">
    <w:pPr>
      <w:pStyle w:val="Header"/>
    </w:pPr>
    <w:r>
      <w:rPr>
        <w:noProof/>
      </w:rPr>
      <w:drawing>
        <wp:anchor distT="0" distB="0" distL="114300" distR="114300" simplePos="0" relativeHeight="251658752" behindDoc="1" locked="0" layoutInCell="1" allowOverlap="1" wp14:anchorId="46EBCAE3" wp14:editId="5ED34B3E">
          <wp:simplePos x="0" y="0"/>
          <wp:positionH relativeFrom="margin">
            <wp:posOffset>-914400</wp:posOffset>
          </wp:positionH>
          <wp:positionV relativeFrom="paragraph">
            <wp:posOffset>-438785</wp:posOffset>
          </wp:positionV>
          <wp:extent cx="7548863" cy="10669905"/>
          <wp:effectExtent l="0" t="0" r="0" b="0"/>
          <wp:wrapNone/>
          <wp:docPr id="251" name="Picture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3E8A" w14:textId="3ADF0B12" w:rsidR="0055477F" w:rsidRPr="00693E58" w:rsidRDefault="0055477F" w:rsidP="00D207F8">
    <w:pPr>
      <w:pStyle w:val="Heading1"/>
      <w:spacing w:before="600" w:line="720" w:lineRule="exact"/>
    </w:pPr>
    <w:r>
      <w:rPr>
        <w:noProof/>
      </w:rPr>
      <w:drawing>
        <wp:anchor distT="0" distB="0" distL="114300" distR="114300" simplePos="0" relativeHeight="251659776" behindDoc="1" locked="0" layoutInCell="1" allowOverlap="1" wp14:anchorId="6AFA6F20" wp14:editId="440F4D30">
          <wp:simplePos x="0" y="0"/>
          <wp:positionH relativeFrom="margin">
            <wp:posOffset>-914400</wp:posOffset>
          </wp:positionH>
          <wp:positionV relativeFrom="paragraph">
            <wp:posOffset>155575</wp:posOffset>
          </wp:positionV>
          <wp:extent cx="7563003" cy="1957093"/>
          <wp:effectExtent l="0" t="0" r="0" b="0"/>
          <wp:wrapNone/>
          <wp:docPr id="252"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6B06BB">
      <w:t>9</w:t>
    </w:r>
    <w:r>
      <w:t xml:space="preserve">. </w:t>
    </w:r>
    <w:r w:rsidR="00F83BA1">
      <w:rPr>
        <w:rFonts w:asciiTheme="majorHAnsi" w:hAnsiTheme="majorHAnsi" w:cs="Times New Roman (Headings CS)"/>
      </w:rPr>
      <w:t>Pricing and funding for safety and quality</w:t>
    </w:r>
  </w:p>
  <w:p w14:paraId="61BC032E" w14:textId="77777777" w:rsidR="0055477F" w:rsidRDefault="0055477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40B" w14:textId="77777777" w:rsidR="003E4723" w:rsidRPr="00AD603F" w:rsidRDefault="003E4723" w:rsidP="00AD603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A866" w14:textId="77777777" w:rsidR="0098306A" w:rsidRDefault="0098306A">
    <w:pPr>
      <w:pStyle w:val="Header"/>
    </w:pPr>
    <w:r>
      <w:rPr>
        <w:noProof/>
      </w:rPr>
      <w:drawing>
        <wp:anchor distT="0" distB="0" distL="114300" distR="114300" simplePos="0" relativeHeight="251664896" behindDoc="1" locked="0" layoutInCell="1" allowOverlap="1" wp14:anchorId="37DF484D" wp14:editId="0BE5878B">
          <wp:simplePos x="0" y="0"/>
          <wp:positionH relativeFrom="margin">
            <wp:posOffset>-914400</wp:posOffset>
          </wp:positionH>
          <wp:positionV relativeFrom="paragraph">
            <wp:posOffset>-438785</wp:posOffset>
          </wp:positionV>
          <wp:extent cx="7548863" cy="1066990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6E9D" w14:textId="7FDC1282" w:rsidR="00EE1A03" w:rsidRPr="00693E58" w:rsidRDefault="00EE1A03" w:rsidP="00D207F8">
    <w:pPr>
      <w:pStyle w:val="Heading1"/>
      <w:spacing w:before="600" w:line="720" w:lineRule="exact"/>
    </w:pPr>
    <w:r>
      <w:rPr>
        <w:noProof/>
      </w:rPr>
      <w:drawing>
        <wp:anchor distT="0" distB="0" distL="114300" distR="114300" simplePos="0" relativeHeight="251663872" behindDoc="1" locked="0" layoutInCell="1" allowOverlap="1" wp14:anchorId="4AA914D0" wp14:editId="53905EAE">
          <wp:simplePos x="0" y="0"/>
          <wp:positionH relativeFrom="margin">
            <wp:posOffset>-914400</wp:posOffset>
          </wp:positionH>
          <wp:positionV relativeFrom="paragraph">
            <wp:posOffset>155575</wp:posOffset>
          </wp:positionV>
          <wp:extent cx="7563003" cy="1957093"/>
          <wp:effectExtent l="0" t="0" r="0" b="0"/>
          <wp:wrapNone/>
          <wp:docPr id="20"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Pr>
        <w:noProof/>
      </w:rPr>
      <w:t>Appendix A: Consultation questions</w:t>
    </w:r>
  </w:p>
  <w:p w14:paraId="65686B7A" w14:textId="77777777" w:rsidR="00EE1A03" w:rsidRDefault="00EE1A0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920C" w14:textId="77777777" w:rsidR="00916C26" w:rsidRPr="00AD603F" w:rsidRDefault="00916C26" w:rsidP="00AD603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577E" w14:textId="400CC36B" w:rsidR="00D74538" w:rsidRPr="006569B3" w:rsidRDefault="00D268AB" w:rsidP="00A5369B">
    <w:pPr>
      <w:pStyle w:val="Header"/>
    </w:pPr>
    <w:r>
      <w:rPr>
        <w:noProof/>
      </w:rPr>
      <w:drawing>
        <wp:anchor distT="0" distB="0" distL="114300" distR="114300" simplePos="0" relativeHeight="251647488" behindDoc="1" locked="0" layoutInCell="1" allowOverlap="1" wp14:anchorId="44B1A840" wp14:editId="265EB617">
          <wp:simplePos x="0" y="0"/>
          <wp:positionH relativeFrom="page">
            <wp:posOffset>3175</wp:posOffset>
          </wp:positionH>
          <wp:positionV relativeFrom="paragraph">
            <wp:posOffset>-438785</wp:posOffset>
          </wp:positionV>
          <wp:extent cx="7544864" cy="10664456"/>
          <wp:effectExtent l="0" t="0" r="0" b="3810"/>
          <wp:wrapNone/>
          <wp:docPr id="18" name="Picture 1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4864" cy="1066445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D49F" w14:textId="6FB481A6" w:rsidR="00D74538" w:rsidRDefault="005107C4">
    <w:pPr>
      <w:pStyle w:val="Header"/>
    </w:pPr>
    <w:r>
      <w:rPr>
        <w:noProof/>
      </w:rPr>
      <w:drawing>
        <wp:anchor distT="0" distB="0" distL="114300" distR="114300" simplePos="0" relativeHeight="251645440" behindDoc="1" locked="0" layoutInCell="1" allowOverlap="1" wp14:anchorId="3532EAF8" wp14:editId="53D45EA2">
          <wp:simplePos x="0" y="0"/>
          <wp:positionH relativeFrom="margin">
            <wp:posOffset>-914400</wp:posOffset>
          </wp:positionH>
          <wp:positionV relativeFrom="paragraph">
            <wp:posOffset>-438785</wp:posOffset>
          </wp:positionV>
          <wp:extent cx="7548863" cy="1066990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DB16" w14:textId="5E923986" w:rsidR="00D74538" w:rsidRPr="00693E58" w:rsidRDefault="00D207F8" w:rsidP="00D207F8">
    <w:pPr>
      <w:pStyle w:val="Heading1"/>
      <w:spacing w:before="600" w:line="720" w:lineRule="exact"/>
    </w:pPr>
    <w:r>
      <w:rPr>
        <w:noProof/>
      </w:rPr>
      <w:drawing>
        <wp:anchor distT="0" distB="0" distL="114300" distR="114300" simplePos="0" relativeHeight="251646464" behindDoc="1" locked="0" layoutInCell="1" allowOverlap="1" wp14:anchorId="2AEA5109" wp14:editId="607FAA5B">
          <wp:simplePos x="0" y="0"/>
          <wp:positionH relativeFrom="margin">
            <wp:posOffset>-914400</wp:posOffset>
          </wp:positionH>
          <wp:positionV relativeFrom="paragraph">
            <wp:posOffset>-362585</wp:posOffset>
          </wp:positionV>
          <wp:extent cx="7563003" cy="1957093"/>
          <wp:effectExtent l="0" t="0" r="0" b="0"/>
          <wp:wrapNone/>
          <wp:docPr id="23"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D74538" w:rsidRPr="00693E58">
      <w:t>1</w:t>
    </w:r>
    <w:r w:rsidR="00D74538">
      <w:t xml:space="preserve">. </w:t>
    </w:r>
    <w:r w:rsidR="00D268AB">
      <w:rPr>
        <w:rFonts w:asciiTheme="majorHAnsi" w:hAnsiTheme="majorHAnsi" w:cs="Times New Roman (Headings CS)"/>
      </w:rPr>
      <w:t>Introduction</w:t>
    </w:r>
  </w:p>
  <w:p w14:paraId="74D9B407" w14:textId="1A48CD13" w:rsidR="00D74538" w:rsidRDefault="00D745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B1BC" w14:textId="2DC549D5" w:rsidR="00D74538" w:rsidRPr="00AD603F" w:rsidRDefault="00D74538" w:rsidP="00AD60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8FED" w14:textId="77777777" w:rsidR="0055477F" w:rsidRDefault="0055477F">
    <w:pPr>
      <w:pStyle w:val="Header"/>
    </w:pPr>
    <w:r>
      <w:rPr>
        <w:noProof/>
      </w:rPr>
      <w:drawing>
        <wp:anchor distT="0" distB="0" distL="114300" distR="114300" simplePos="0" relativeHeight="251650560" behindDoc="1" locked="0" layoutInCell="1" allowOverlap="1" wp14:anchorId="741D1CED" wp14:editId="1BEBA118">
          <wp:simplePos x="0" y="0"/>
          <wp:positionH relativeFrom="margin">
            <wp:posOffset>-914400</wp:posOffset>
          </wp:positionH>
          <wp:positionV relativeFrom="paragraph">
            <wp:posOffset>-438785</wp:posOffset>
          </wp:positionV>
          <wp:extent cx="7548863" cy="1066990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63" cy="10669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2073" w14:textId="6A2E80BE" w:rsidR="0055477F" w:rsidRPr="00693E58" w:rsidRDefault="0055477F" w:rsidP="00D207F8">
    <w:pPr>
      <w:pStyle w:val="Heading1"/>
      <w:spacing w:before="600" w:line="720" w:lineRule="exact"/>
    </w:pPr>
    <w:r>
      <w:rPr>
        <w:noProof/>
      </w:rPr>
      <w:drawing>
        <wp:anchor distT="0" distB="0" distL="114300" distR="114300" simplePos="0" relativeHeight="251651584" behindDoc="1" locked="0" layoutInCell="1" allowOverlap="1" wp14:anchorId="398FC5E6" wp14:editId="5BA7DA86">
          <wp:simplePos x="0" y="0"/>
          <wp:positionH relativeFrom="margin">
            <wp:posOffset>-914400</wp:posOffset>
          </wp:positionH>
          <wp:positionV relativeFrom="paragraph">
            <wp:posOffset>-362585</wp:posOffset>
          </wp:positionV>
          <wp:extent cx="7563003" cy="1957093"/>
          <wp:effectExtent l="0" t="0" r="0" b="0"/>
          <wp:wrapNone/>
          <wp:docPr id="25"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3003" cy="1957093"/>
                  </a:xfrm>
                  <a:prstGeom prst="rect">
                    <a:avLst/>
                  </a:prstGeom>
                </pic:spPr>
              </pic:pic>
            </a:graphicData>
          </a:graphic>
          <wp14:sizeRelH relativeFrom="margin">
            <wp14:pctWidth>0</wp14:pctWidth>
          </wp14:sizeRelH>
          <wp14:sizeRelV relativeFrom="margin">
            <wp14:pctHeight>0</wp14:pctHeight>
          </wp14:sizeRelV>
        </wp:anchor>
      </w:drawing>
    </w:r>
    <w:r w:rsidR="00905BEB">
      <w:t>2</w:t>
    </w:r>
    <w:r>
      <w:t xml:space="preserve">. </w:t>
    </w:r>
    <w:r w:rsidR="000C07E4">
      <w:rPr>
        <w:rFonts w:asciiTheme="majorHAnsi" w:hAnsiTheme="majorHAnsi" w:cs="Times New Roman (Headings CS)"/>
      </w:rPr>
      <w:t>Pricing Guidelines</w:t>
    </w:r>
  </w:p>
  <w:p w14:paraId="1703DDC8" w14:textId="77777777" w:rsidR="0055477F" w:rsidRDefault="005547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9DC0" w14:textId="77777777" w:rsidR="000C07E4" w:rsidRPr="00385C49" w:rsidRDefault="000C07E4" w:rsidP="00385C49">
    <w:pPr>
      <w:pStyle w:val="Heading1"/>
      <w:spacing w:before="600" w:line="720" w:lineRule="exact"/>
    </w:pPr>
    <w:r>
      <w:rPr>
        <w:noProof/>
      </w:rPr>
      <w:drawing>
        <wp:anchor distT="0" distB="0" distL="114300" distR="114300" simplePos="0" relativeHeight="251660800" behindDoc="1" locked="0" layoutInCell="1" allowOverlap="1" wp14:anchorId="24C210F2" wp14:editId="4410ECDB">
          <wp:simplePos x="0" y="0"/>
          <wp:positionH relativeFrom="margin">
            <wp:posOffset>-907415</wp:posOffset>
          </wp:positionH>
          <wp:positionV relativeFrom="paragraph">
            <wp:posOffset>-412799</wp:posOffset>
          </wp:positionV>
          <wp:extent cx="7562850" cy="1957070"/>
          <wp:effectExtent l="0" t="0" r="0" b="0"/>
          <wp:wrapNone/>
          <wp:docPr id="26"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562850" cy="1957070"/>
                  </a:xfrm>
                  <a:prstGeom prst="rect">
                    <a:avLst/>
                  </a:prstGeom>
                </pic:spPr>
              </pic:pic>
            </a:graphicData>
          </a:graphic>
          <wp14:sizeRelH relativeFrom="margin">
            <wp14:pctWidth>0</wp14:pctWidth>
          </wp14:sizeRelH>
          <wp14:sizeRelV relativeFrom="margin">
            <wp14:pctHeight>0</wp14:pctHeight>
          </wp14:sizeRelV>
        </wp:anchor>
      </w:drawing>
    </w:r>
    <w:r>
      <w:t>3</w:t>
    </w:r>
    <w:r w:rsidRPr="00385C49">
      <w:t xml:space="preserve">. </w:t>
    </w:r>
    <w:r>
      <w:t>Pricing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FC6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D421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548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B44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F20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06D0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D05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D2F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C0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00D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F57F6"/>
    <w:multiLevelType w:val="hybridMultilevel"/>
    <w:tmpl w:val="6B925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735A7E"/>
    <w:multiLevelType w:val="hybridMultilevel"/>
    <w:tmpl w:val="B40254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0D37B7D"/>
    <w:multiLevelType w:val="hybridMultilevel"/>
    <w:tmpl w:val="EE387B58"/>
    <w:lvl w:ilvl="0" w:tplc="7898F600">
      <w:start w:val="1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4D502F"/>
    <w:multiLevelType w:val="hybridMultilevel"/>
    <w:tmpl w:val="DE78529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CB13A69"/>
    <w:multiLevelType w:val="hybridMultilevel"/>
    <w:tmpl w:val="1752150C"/>
    <w:lvl w:ilvl="0" w:tplc="0C090001">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5" w15:restartNumberingAfterBreak="0">
    <w:nsid w:val="3C820D2F"/>
    <w:multiLevelType w:val="hybridMultilevel"/>
    <w:tmpl w:val="E74C1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1663DE"/>
    <w:multiLevelType w:val="hybridMultilevel"/>
    <w:tmpl w:val="F67A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C26AE"/>
    <w:multiLevelType w:val="hybridMultilevel"/>
    <w:tmpl w:val="32683CB4"/>
    <w:lvl w:ilvl="0" w:tplc="0C09000F">
      <w:start w:val="1"/>
      <w:numFmt w:val="decimal"/>
      <w:lvlText w:val="%1."/>
      <w:lvlJc w:val="left"/>
      <w:pPr>
        <w:ind w:left="1080" w:hanging="720"/>
      </w:pPr>
      <w:rPr>
        <w:rFonts w:hint="default"/>
      </w:rPr>
    </w:lvl>
    <w:lvl w:ilvl="1" w:tplc="110694E2">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1E212A7"/>
    <w:multiLevelType w:val="hybridMultilevel"/>
    <w:tmpl w:val="F758A8C0"/>
    <w:lvl w:ilvl="0" w:tplc="72B4D3B2">
      <w:numFmt w:val="bullet"/>
      <w:pStyle w:val="Bullets"/>
      <w:lvlText w:val="•"/>
      <w:lvlJc w:val="left"/>
      <w:pPr>
        <w:ind w:left="1761" w:hanging="720"/>
      </w:pPr>
      <w:rPr>
        <w:rFonts w:ascii="Arial" w:eastAsiaTheme="minorHAnsi" w:hAnsi="Arial" w:cs="Arial" w:hint="default"/>
      </w:rPr>
    </w:lvl>
    <w:lvl w:ilvl="1" w:tplc="110694E2">
      <w:start w:val="1"/>
      <w:numFmt w:val="bullet"/>
      <w:pStyle w:val="BulletL2"/>
      <w:lvlText w:val="o"/>
      <w:lvlJc w:val="left"/>
      <w:pPr>
        <w:ind w:left="2121" w:hanging="360"/>
      </w:pPr>
      <w:rPr>
        <w:rFonts w:ascii="Courier New" w:hAnsi="Courier New" w:cs="Courier New" w:hint="default"/>
      </w:rPr>
    </w:lvl>
    <w:lvl w:ilvl="2" w:tplc="34090005" w:tentative="1">
      <w:start w:val="1"/>
      <w:numFmt w:val="bullet"/>
      <w:lvlText w:val=""/>
      <w:lvlJc w:val="left"/>
      <w:pPr>
        <w:ind w:left="2841" w:hanging="360"/>
      </w:pPr>
      <w:rPr>
        <w:rFonts w:ascii="Wingdings" w:hAnsi="Wingdings" w:hint="default"/>
      </w:rPr>
    </w:lvl>
    <w:lvl w:ilvl="3" w:tplc="34090001" w:tentative="1">
      <w:start w:val="1"/>
      <w:numFmt w:val="bullet"/>
      <w:lvlText w:val=""/>
      <w:lvlJc w:val="left"/>
      <w:pPr>
        <w:ind w:left="3561" w:hanging="360"/>
      </w:pPr>
      <w:rPr>
        <w:rFonts w:ascii="Symbol" w:hAnsi="Symbol" w:hint="default"/>
      </w:rPr>
    </w:lvl>
    <w:lvl w:ilvl="4" w:tplc="34090003" w:tentative="1">
      <w:start w:val="1"/>
      <w:numFmt w:val="bullet"/>
      <w:lvlText w:val="o"/>
      <w:lvlJc w:val="left"/>
      <w:pPr>
        <w:ind w:left="4281" w:hanging="360"/>
      </w:pPr>
      <w:rPr>
        <w:rFonts w:ascii="Courier New" w:hAnsi="Courier New" w:cs="Courier New" w:hint="default"/>
      </w:rPr>
    </w:lvl>
    <w:lvl w:ilvl="5" w:tplc="34090005" w:tentative="1">
      <w:start w:val="1"/>
      <w:numFmt w:val="bullet"/>
      <w:lvlText w:val=""/>
      <w:lvlJc w:val="left"/>
      <w:pPr>
        <w:ind w:left="5001" w:hanging="360"/>
      </w:pPr>
      <w:rPr>
        <w:rFonts w:ascii="Wingdings" w:hAnsi="Wingdings" w:hint="default"/>
      </w:rPr>
    </w:lvl>
    <w:lvl w:ilvl="6" w:tplc="34090001" w:tentative="1">
      <w:start w:val="1"/>
      <w:numFmt w:val="bullet"/>
      <w:lvlText w:val=""/>
      <w:lvlJc w:val="left"/>
      <w:pPr>
        <w:ind w:left="5721" w:hanging="360"/>
      </w:pPr>
      <w:rPr>
        <w:rFonts w:ascii="Symbol" w:hAnsi="Symbol" w:hint="default"/>
      </w:rPr>
    </w:lvl>
    <w:lvl w:ilvl="7" w:tplc="34090003" w:tentative="1">
      <w:start w:val="1"/>
      <w:numFmt w:val="bullet"/>
      <w:lvlText w:val="o"/>
      <w:lvlJc w:val="left"/>
      <w:pPr>
        <w:ind w:left="6441" w:hanging="360"/>
      </w:pPr>
      <w:rPr>
        <w:rFonts w:ascii="Courier New" w:hAnsi="Courier New" w:cs="Courier New" w:hint="default"/>
      </w:rPr>
    </w:lvl>
    <w:lvl w:ilvl="8" w:tplc="34090005" w:tentative="1">
      <w:start w:val="1"/>
      <w:numFmt w:val="bullet"/>
      <w:lvlText w:val=""/>
      <w:lvlJc w:val="left"/>
      <w:pPr>
        <w:ind w:left="7161" w:hanging="360"/>
      </w:pPr>
      <w:rPr>
        <w:rFonts w:ascii="Wingdings" w:hAnsi="Wingdings" w:hint="default"/>
      </w:rPr>
    </w:lvl>
  </w:abstractNum>
  <w:abstractNum w:abstractNumId="19" w15:restartNumberingAfterBreak="0">
    <w:nsid w:val="5CCD79E3"/>
    <w:multiLevelType w:val="hybridMultilevel"/>
    <w:tmpl w:val="A84873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F28552A"/>
    <w:multiLevelType w:val="hybridMultilevel"/>
    <w:tmpl w:val="02885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CC6E20"/>
    <w:multiLevelType w:val="hybridMultilevel"/>
    <w:tmpl w:val="A91883E4"/>
    <w:lvl w:ilvl="0" w:tplc="26AC0AAC">
      <w:start w:val="1"/>
      <w:numFmt w:val="decimal"/>
      <w:pStyle w:val="Numberlist"/>
      <w:lvlText w:val="%1."/>
      <w:lvlJc w:val="left"/>
      <w:pPr>
        <w:ind w:left="473"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6F04391"/>
    <w:multiLevelType w:val="hybridMultilevel"/>
    <w:tmpl w:val="BBCE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BE529C"/>
    <w:multiLevelType w:val="hybridMultilevel"/>
    <w:tmpl w:val="6C5C9C7A"/>
    <w:lvl w:ilvl="0" w:tplc="9A729A5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5860C3"/>
    <w:multiLevelType w:val="hybridMultilevel"/>
    <w:tmpl w:val="C66C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FA0B5F"/>
    <w:multiLevelType w:val="hybridMultilevel"/>
    <w:tmpl w:val="FD3800FA"/>
    <w:lvl w:ilvl="0" w:tplc="0C090001">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num w:numId="1">
    <w:abstractNumId w:val="11"/>
  </w:num>
  <w:num w:numId="2">
    <w:abstractNumId w:val="18"/>
  </w:num>
  <w:num w:numId="3">
    <w:abstractNumId w:val="19"/>
  </w:num>
  <w:num w:numId="4">
    <w:abstractNumId w:val="21"/>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21"/>
    <w:lvlOverride w:ilvl="0">
      <w:lvl w:ilvl="0" w:tplc="26AC0AAC">
        <w:start w:val="1"/>
        <w:numFmt w:val="decimal"/>
        <w:pStyle w:val="Numberlist"/>
        <w:lvlText w:val="%1."/>
        <w:lvlJc w:val="left"/>
        <w:pPr>
          <w:ind w:left="340" w:hanging="227"/>
        </w:pPr>
        <w:rPr>
          <w:rFonts w:hint="default"/>
        </w:rPr>
      </w:lvl>
    </w:lvlOverride>
    <w:lvlOverride w:ilvl="1">
      <w:lvl w:ilvl="1" w:tplc="34090019" w:tentative="1">
        <w:start w:val="1"/>
        <w:numFmt w:val="lowerLetter"/>
        <w:lvlText w:val="%2."/>
        <w:lvlJc w:val="left"/>
        <w:pPr>
          <w:ind w:left="1440" w:hanging="360"/>
        </w:pPr>
      </w:lvl>
    </w:lvlOverride>
    <w:lvlOverride w:ilvl="2">
      <w:lvl w:ilvl="2" w:tplc="3409001B" w:tentative="1">
        <w:start w:val="1"/>
        <w:numFmt w:val="lowerRoman"/>
        <w:lvlText w:val="%3."/>
        <w:lvlJc w:val="right"/>
        <w:pPr>
          <w:ind w:left="2160" w:hanging="180"/>
        </w:pPr>
      </w:lvl>
    </w:lvlOverride>
    <w:lvlOverride w:ilvl="3">
      <w:lvl w:ilvl="3" w:tplc="3409000F" w:tentative="1">
        <w:start w:val="1"/>
        <w:numFmt w:val="decimal"/>
        <w:lvlText w:val="%4."/>
        <w:lvlJc w:val="left"/>
        <w:pPr>
          <w:ind w:left="2880" w:hanging="360"/>
        </w:pPr>
      </w:lvl>
    </w:lvlOverride>
    <w:lvlOverride w:ilvl="4">
      <w:lvl w:ilvl="4" w:tplc="34090019" w:tentative="1">
        <w:start w:val="1"/>
        <w:numFmt w:val="lowerLetter"/>
        <w:lvlText w:val="%5."/>
        <w:lvlJc w:val="left"/>
        <w:pPr>
          <w:ind w:left="3600" w:hanging="360"/>
        </w:pPr>
      </w:lvl>
    </w:lvlOverride>
    <w:lvlOverride w:ilvl="5">
      <w:lvl w:ilvl="5" w:tplc="3409001B" w:tentative="1">
        <w:start w:val="1"/>
        <w:numFmt w:val="lowerRoman"/>
        <w:lvlText w:val="%6."/>
        <w:lvlJc w:val="right"/>
        <w:pPr>
          <w:ind w:left="4320" w:hanging="180"/>
        </w:pPr>
      </w:lvl>
    </w:lvlOverride>
    <w:lvlOverride w:ilvl="6">
      <w:lvl w:ilvl="6" w:tplc="3409000F" w:tentative="1">
        <w:start w:val="1"/>
        <w:numFmt w:val="decimal"/>
        <w:lvlText w:val="%7."/>
        <w:lvlJc w:val="left"/>
        <w:pPr>
          <w:ind w:left="5040" w:hanging="360"/>
        </w:pPr>
      </w:lvl>
    </w:lvlOverride>
    <w:lvlOverride w:ilvl="7">
      <w:lvl w:ilvl="7" w:tplc="34090019" w:tentative="1">
        <w:start w:val="1"/>
        <w:numFmt w:val="lowerLetter"/>
        <w:lvlText w:val="%8."/>
        <w:lvlJc w:val="left"/>
        <w:pPr>
          <w:ind w:left="5760" w:hanging="360"/>
        </w:pPr>
      </w:lvl>
    </w:lvlOverride>
    <w:lvlOverride w:ilvl="8">
      <w:lvl w:ilvl="8" w:tplc="3409001B" w:tentative="1">
        <w:start w:val="1"/>
        <w:numFmt w:val="lowerRoman"/>
        <w:lvlText w:val="%9."/>
        <w:lvlJc w:val="right"/>
        <w:pPr>
          <w:ind w:left="6480" w:hanging="180"/>
        </w:pPr>
      </w:lvl>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12"/>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3"/>
  </w:num>
  <w:num w:numId="25">
    <w:abstractNumId w:val="17"/>
  </w:num>
  <w:num w:numId="26">
    <w:abstractNumId w:val="24"/>
  </w:num>
  <w:num w:numId="27">
    <w:abstractNumId w:val="20"/>
  </w:num>
  <w:num w:numId="28">
    <w:abstractNumId w:val="10"/>
  </w:num>
  <w:num w:numId="29">
    <w:abstractNumId w:val="15"/>
  </w:num>
  <w:num w:numId="30">
    <w:abstractNumId w:val="22"/>
  </w:num>
  <w:num w:numId="31">
    <w:abstractNumId w:val="13"/>
  </w:num>
  <w:num w:numId="32">
    <w:abstractNumId w:val="25"/>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03"/>
    <w:rsid w:val="00004908"/>
    <w:rsid w:val="00005318"/>
    <w:rsid w:val="00006532"/>
    <w:rsid w:val="000100C2"/>
    <w:rsid w:val="00013812"/>
    <w:rsid w:val="00021082"/>
    <w:rsid w:val="00025820"/>
    <w:rsid w:val="000258BC"/>
    <w:rsid w:val="00027A5C"/>
    <w:rsid w:val="00033D4E"/>
    <w:rsid w:val="00040F88"/>
    <w:rsid w:val="00045047"/>
    <w:rsid w:val="00050402"/>
    <w:rsid w:val="000523A1"/>
    <w:rsid w:val="00052AA1"/>
    <w:rsid w:val="00053FF2"/>
    <w:rsid w:val="00064F58"/>
    <w:rsid w:val="00077F5C"/>
    <w:rsid w:val="00081553"/>
    <w:rsid w:val="000827C4"/>
    <w:rsid w:val="000832F1"/>
    <w:rsid w:val="00091670"/>
    <w:rsid w:val="0009296B"/>
    <w:rsid w:val="00092BA9"/>
    <w:rsid w:val="000947D6"/>
    <w:rsid w:val="000958E3"/>
    <w:rsid w:val="00095DAE"/>
    <w:rsid w:val="000A38F8"/>
    <w:rsid w:val="000A4ADC"/>
    <w:rsid w:val="000A664D"/>
    <w:rsid w:val="000A6B59"/>
    <w:rsid w:val="000B04E0"/>
    <w:rsid w:val="000C07E4"/>
    <w:rsid w:val="000C3ED8"/>
    <w:rsid w:val="000C4417"/>
    <w:rsid w:val="000C44CF"/>
    <w:rsid w:val="000C7FB4"/>
    <w:rsid w:val="000D30A4"/>
    <w:rsid w:val="000D43B4"/>
    <w:rsid w:val="000D45EC"/>
    <w:rsid w:val="000D7B4B"/>
    <w:rsid w:val="000E154B"/>
    <w:rsid w:val="000E1BAE"/>
    <w:rsid w:val="000E24B5"/>
    <w:rsid w:val="000E5A6B"/>
    <w:rsid w:val="000F0BD4"/>
    <w:rsid w:val="000F19C2"/>
    <w:rsid w:val="000F1DE7"/>
    <w:rsid w:val="000F3CED"/>
    <w:rsid w:val="000F76BA"/>
    <w:rsid w:val="00100E2C"/>
    <w:rsid w:val="001013C8"/>
    <w:rsid w:val="00101BB5"/>
    <w:rsid w:val="00103315"/>
    <w:rsid w:val="00116005"/>
    <w:rsid w:val="001249BF"/>
    <w:rsid w:val="001268B1"/>
    <w:rsid w:val="00130655"/>
    <w:rsid w:val="00130C7A"/>
    <w:rsid w:val="0013236E"/>
    <w:rsid w:val="001324EF"/>
    <w:rsid w:val="001362C0"/>
    <w:rsid w:val="00136DD0"/>
    <w:rsid w:val="001376A3"/>
    <w:rsid w:val="00137F51"/>
    <w:rsid w:val="0015036D"/>
    <w:rsid w:val="00151EAF"/>
    <w:rsid w:val="00153001"/>
    <w:rsid w:val="00154B91"/>
    <w:rsid w:val="00156C81"/>
    <w:rsid w:val="0016177F"/>
    <w:rsid w:val="0016414F"/>
    <w:rsid w:val="0016431A"/>
    <w:rsid w:val="00165AA9"/>
    <w:rsid w:val="00171197"/>
    <w:rsid w:val="00171962"/>
    <w:rsid w:val="00180C42"/>
    <w:rsid w:val="001870D0"/>
    <w:rsid w:val="00191293"/>
    <w:rsid w:val="001913A2"/>
    <w:rsid w:val="00192DB7"/>
    <w:rsid w:val="00193819"/>
    <w:rsid w:val="001A0F98"/>
    <w:rsid w:val="001A1BE6"/>
    <w:rsid w:val="001A238C"/>
    <w:rsid w:val="001A5DF3"/>
    <w:rsid w:val="001A65D0"/>
    <w:rsid w:val="001B1269"/>
    <w:rsid w:val="001C181E"/>
    <w:rsid w:val="001C1EC0"/>
    <w:rsid w:val="001C28E0"/>
    <w:rsid w:val="001C44D4"/>
    <w:rsid w:val="001C5EFB"/>
    <w:rsid w:val="001D1546"/>
    <w:rsid w:val="001D48EB"/>
    <w:rsid w:val="001D7B7B"/>
    <w:rsid w:val="001E439D"/>
    <w:rsid w:val="001E7A44"/>
    <w:rsid w:val="001F11BD"/>
    <w:rsid w:val="001F1B5F"/>
    <w:rsid w:val="001F27AD"/>
    <w:rsid w:val="0020305C"/>
    <w:rsid w:val="00205370"/>
    <w:rsid w:val="00205A99"/>
    <w:rsid w:val="0020730C"/>
    <w:rsid w:val="0021104F"/>
    <w:rsid w:val="00211B53"/>
    <w:rsid w:val="00214CF9"/>
    <w:rsid w:val="00220B79"/>
    <w:rsid w:val="00222458"/>
    <w:rsid w:val="002229CA"/>
    <w:rsid w:val="00227787"/>
    <w:rsid w:val="00230349"/>
    <w:rsid w:val="0023085A"/>
    <w:rsid w:val="0023198B"/>
    <w:rsid w:val="00234F6E"/>
    <w:rsid w:val="00236183"/>
    <w:rsid w:val="0024256D"/>
    <w:rsid w:val="00247567"/>
    <w:rsid w:val="00252A24"/>
    <w:rsid w:val="0025438E"/>
    <w:rsid w:val="0025701F"/>
    <w:rsid w:val="00257ACE"/>
    <w:rsid w:val="00260DCB"/>
    <w:rsid w:val="00262026"/>
    <w:rsid w:val="002627C0"/>
    <w:rsid w:val="00262C9A"/>
    <w:rsid w:val="002702B1"/>
    <w:rsid w:val="0027281C"/>
    <w:rsid w:val="00275C60"/>
    <w:rsid w:val="00280B1D"/>
    <w:rsid w:val="00281403"/>
    <w:rsid w:val="00283343"/>
    <w:rsid w:val="002901AC"/>
    <w:rsid w:val="00292F54"/>
    <w:rsid w:val="00293E6C"/>
    <w:rsid w:val="002949A5"/>
    <w:rsid w:val="002957ED"/>
    <w:rsid w:val="002961FB"/>
    <w:rsid w:val="002A04CD"/>
    <w:rsid w:val="002A3025"/>
    <w:rsid w:val="002A465C"/>
    <w:rsid w:val="002B1D8C"/>
    <w:rsid w:val="002C1DC0"/>
    <w:rsid w:val="002C418D"/>
    <w:rsid w:val="002C6CD1"/>
    <w:rsid w:val="002C7BC1"/>
    <w:rsid w:val="002D232E"/>
    <w:rsid w:val="002D4F87"/>
    <w:rsid w:val="002E2580"/>
    <w:rsid w:val="002E5870"/>
    <w:rsid w:val="002E6DE1"/>
    <w:rsid w:val="002E72AD"/>
    <w:rsid w:val="003014E0"/>
    <w:rsid w:val="00303752"/>
    <w:rsid w:val="00306EDB"/>
    <w:rsid w:val="00314BB6"/>
    <w:rsid w:val="00315511"/>
    <w:rsid w:val="003158D9"/>
    <w:rsid w:val="00325542"/>
    <w:rsid w:val="003265AB"/>
    <w:rsid w:val="0032752E"/>
    <w:rsid w:val="00330FDB"/>
    <w:rsid w:val="003326A1"/>
    <w:rsid w:val="0033376A"/>
    <w:rsid w:val="00333827"/>
    <w:rsid w:val="00334AE4"/>
    <w:rsid w:val="003379C6"/>
    <w:rsid w:val="003411EB"/>
    <w:rsid w:val="00342D69"/>
    <w:rsid w:val="00343D63"/>
    <w:rsid w:val="0034447F"/>
    <w:rsid w:val="00352660"/>
    <w:rsid w:val="00352E5B"/>
    <w:rsid w:val="003611B6"/>
    <w:rsid w:val="00362701"/>
    <w:rsid w:val="003646A6"/>
    <w:rsid w:val="00366321"/>
    <w:rsid w:val="00370C53"/>
    <w:rsid w:val="00371EAC"/>
    <w:rsid w:val="00376EA5"/>
    <w:rsid w:val="00385C49"/>
    <w:rsid w:val="00385F9B"/>
    <w:rsid w:val="00392BB1"/>
    <w:rsid w:val="00393E17"/>
    <w:rsid w:val="00395005"/>
    <w:rsid w:val="00396AE8"/>
    <w:rsid w:val="003A6B4C"/>
    <w:rsid w:val="003B0316"/>
    <w:rsid w:val="003B2BB3"/>
    <w:rsid w:val="003C01DE"/>
    <w:rsid w:val="003C360C"/>
    <w:rsid w:val="003C4BE3"/>
    <w:rsid w:val="003D26BA"/>
    <w:rsid w:val="003D28A4"/>
    <w:rsid w:val="003D4A06"/>
    <w:rsid w:val="003D5084"/>
    <w:rsid w:val="003D7AA3"/>
    <w:rsid w:val="003E27E0"/>
    <w:rsid w:val="003E4723"/>
    <w:rsid w:val="003E61B3"/>
    <w:rsid w:val="003F0B5B"/>
    <w:rsid w:val="003F1C8C"/>
    <w:rsid w:val="003F246C"/>
    <w:rsid w:val="003F2F29"/>
    <w:rsid w:val="003F4E0F"/>
    <w:rsid w:val="003F6A2F"/>
    <w:rsid w:val="0040700E"/>
    <w:rsid w:val="004140F5"/>
    <w:rsid w:val="00420D06"/>
    <w:rsid w:val="00422485"/>
    <w:rsid w:val="0042528A"/>
    <w:rsid w:val="00426DFA"/>
    <w:rsid w:val="004307BA"/>
    <w:rsid w:val="004322A2"/>
    <w:rsid w:val="0043600D"/>
    <w:rsid w:val="00436C72"/>
    <w:rsid w:val="00437BC9"/>
    <w:rsid w:val="004430C6"/>
    <w:rsid w:val="00443AD4"/>
    <w:rsid w:val="00454F7C"/>
    <w:rsid w:val="004628CE"/>
    <w:rsid w:val="0046467D"/>
    <w:rsid w:val="00466DAB"/>
    <w:rsid w:val="004672FD"/>
    <w:rsid w:val="00474373"/>
    <w:rsid w:val="004749A4"/>
    <w:rsid w:val="00474A61"/>
    <w:rsid w:val="00475026"/>
    <w:rsid w:val="00477239"/>
    <w:rsid w:val="004808E8"/>
    <w:rsid w:val="0049550C"/>
    <w:rsid w:val="0049597D"/>
    <w:rsid w:val="00495E41"/>
    <w:rsid w:val="004A25CA"/>
    <w:rsid w:val="004A5B0B"/>
    <w:rsid w:val="004B3A51"/>
    <w:rsid w:val="004B59D2"/>
    <w:rsid w:val="004C0810"/>
    <w:rsid w:val="004C3F97"/>
    <w:rsid w:val="004D0A93"/>
    <w:rsid w:val="004D49D7"/>
    <w:rsid w:val="004D5CDE"/>
    <w:rsid w:val="004D74DE"/>
    <w:rsid w:val="004E0928"/>
    <w:rsid w:val="004E0E0C"/>
    <w:rsid w:val="00500055"/>
    <w:rsid w:val="00500515"/>
    <w:rsid w:val="005012CF"/>
    <w:rsid w:val="005017DB"/>
    <w:rsid w:val="00502641"/>
    <w:rsid w:val="00507203"/>
    <w:rsid w:val="005107C4"/>
    <w:rsid w:val="005108DD"/>
    <w:rsid w:val="005111A8"/>
    <w:rsid w:val="005112AA"/>
    <w:rsid w:val="00516FD0"/>
    <w:rsid w:val="00517676"/>
    <w:rsid w:val="00523D86"/>
    <w:rsid w:val="00526536"/>
    <w:rsid w:val="00526F1C"/>
    <w:rsid w:val="00533763"/>
    <w:rsid w:val="005420BC"/>
    <w:rsid w:val="005438AE"/>
    <w:rsid w:val="0054615C"/>
    <w:rsid w:val="005520D3"/>
    <w:rsid w:val="00552CF1"/>
    <w:rsid w:val="00553806"/>
    <w:rsid w:val="0055477F"/>
    <w:rsid w:val="0055484B"/>
    <w:rsid w:val="00556CE4"/>
    <w:rsid w:val="00557205"/>
    <w:rsid w:val="00563681"/>
    <w:rsid w:val="00565DCA"/>
    <w:rsid w:val="005772D4"/>
    <w:rsid w:val="005877B2"/>
    <w:rsid w:val="00590CFC"/>
    <w:rsid w:val="005914D5"/>
    <w:rsid w:val="005936A0"/>
    <w:rsid w:val="00593799"/>
    <w:rsid w:val="00594402"/>
    <w:rsid w:val="005944DB"/>
    <w:rsid w:val="00595767"/>
    <w:rsid w:val="00596348"/>
    <w:rsid w:val="005A0FBC"/>
    <w:rsid w:val="005A19D6"/>
    <w:rsid w:val="005A2422"/>
    <w:rsid w:val="005C01C4"/>
    <w:rsid w:val="005C1F7E"/>
    <w:rsid w:val="005C5AD7"/>
    <w:rsid w:val="005C6720"/>
    <w:rsid w:val="005C68FA"/>
    <w:rsid w:val="005D57E6"/>
    <w:rsid w:val="005D6F6F"/>
    <w:rsid w:val="005E7BFC"/>
    <w:rsid w:val="005E7F3E"/>
    <w:rsid w:val="005F08CD"/>
    <w:rsid w:val="005F56A9"/>
    <w:rsid w:val="0060158A"/>
    <w:rsid w:val="00602F3B"/>
    <w:rsid w:val="0060592D"/>
    <w:rsid w:val="00616B17"/>
    <w:rsid w:val="0062081A"/>
    <w:rsid w:val="0062157F"/>
    <w:rsid w:val="00626518"/>
    <w:rsid w:val="006271FA"/>
    <w:rsid w:val="006325FC"/>
    <w:rsid w:val="00633B5E"/>
    <w:rsid w:val="00636829"/>
    <w:rsid w:val="00637F43"/>
    <w:rsid w:val="00643F38"/>
    <w:rsid w:val="00646D56"/>
    <w:rsid w:val="00647965"/>
    <w:rsid w:val="00656130"/>
    <w:rsid w:val="006569B3"/>
    <w:rsid w:val="00657346"/>
    <w:rsid w:val="0066131F"/>
    <w:rsid w:val="00661545"/>
    <w:rsid w:val="00665288"/>
    <w:rsid w:val="006652CA"/>
    <w:rsid w:val="006660AB"/>
    <w:rsid w:val="006678FB"/>
    <w:rsid w:val="00671867"/>
    <w:rsid w:val="006746C9"/>
    <w:rsid w:val="00675452"/>
    <w:rsid w:val="00680F3D"/>
    <w:rsid w:val="00681CAC"/>
    <w:rsid w:val="00682BA7"/>
    <w:rsid w:val="006840A7"/>
    <w:rsid w:val="006856AF"/>
    <w:rsid w:val="006916F2"/>
    <w:rsid w:val="00693E58"/>
    <w:rsid w:val="006A031F"/>
    <w:rsid w:val="006A0E8C"/>
    <w:rsid w:val="006A225D"/>
    <w:rsid w:val="006A7884"/>
    <w:rsid w:val="006A7964"/>
    <w:rsid w:val="006B06BB"/>
    <w:rsid w:val="006B19D6"/>
    <w:rsid w:val="006C0E58"/>
    <w:rsid w:val="006C3233"/>
    <w:rsid w:val="006D3587"/>
    <w:rsid w:val="006D61E3"/>
    <w:rsid w:val="006E4348"/>
    <w:rsid w:val="006E5804"/>
    <w:rsid w:val="006E65A4"/>
    <w:rsid w:val="006F0C50"/>
    <w:rsid w:val="006F4070"/>
    <w:rsid w:val="006F691C"/>
    <w:rsid w:val="00700E43"/>
    <w:rsid w:val="0070209F"/>
    <w:rsid w:val="00702AC3"/>
    <w:rsid w:val="007100C2"/>
    <w:rsid w:val="00713A7F"/>
    <w:rsid w:val="007214F9"/>
    <w:rsid w:val="00723AD8"/>
    <w:rsid w:val="007263F4"/>
    <w:rsid w:val="007304FE"/>
    <w:rsid w:val="0073057F"/>
    <w:rsid w:val="007317FE"/>
    <w:rsid w:val="00731E91"/>
    <w:rsid w:val="0073356E"/>
    <w:rsid w:val="007356CD"/>
    <w:rsid w:val="00737192"/>
    <w:rsid w:val="00737E73"/>
    <w:rsid w:val="007460B0"/>
    <w:rsid w:val="0075026A"/>
    <w:rsid w:val="00761443"/>
    <w:rsid w:val="007701CE"/>
    <w:rsid w:val="00772E71"/>
    <w:rsid w:val="00773760"/>
    <w:rsid w:val="00776DAA"/>
    <w:rsid w:val="0078757E"/>
    <w:rsid w:val="007A4680"/>
    <w:rsid w:val="007A5663"/>
    <w:rsid w:val="007A67EA"/>
    <w:rsid w:val="007B0F69"/>
    <w:rsid w:val="007B466C"/>
    <w:rsid w:val="007C3BCB"/>
    <w:rsid w:val="007C659D"/>
    <w:rsid w:val="007D1C3F"/>
    <w:rsid w:val="007D2CF5"/>
    <w:rsid w:val="007D7592"/>
    <w:rsid w:val="007E4E68"/>
    <w:rsid w:val="007F2F9F"/>
    <w:rsid w:val="007F4170"/>
    <w:rsid w:val="007F4EA8"/>
    <w:rsid w:val="007F55C6"/>
    <w:rsid w:val="008001F8"/>
    <w:rsid w:val="008010DC"/>
    <w:rsid w:val="0081230C"/>
    <w:rsid w:val="0081280D"/>
    <w:rsid w:val="00815CB0"/>
    <w:rsid w:val="00820378"/>
    <w:rsid w:val="008209FD"/>
    <w:rsid w:val="00821F13"/>
    <w:rsid w:val="00825598"/>
    <w:rsid w:val="00831A0B"/>
    <w:rsid w:val="00831ACA"/>
    <w:rsid w:val="00835209"/>
    <w:rsid w:val="00835DFF"/>
    <w:rsid w:val="00837DCC"/>
    <w:rsid w:val="00837E92"/>
    <w:rsid w:val="00842315"/>
    <w:rsid w:val="00843C6D"/>
    <w:rsid w:val="00855F9B"/>
    <w:rsid w:val="00871E60"/>
    <w:rsid w:val="00872BC5"/>
    <w:rsid w:val="008743F4"/>
    <w:rsid w:val="00892AA9"/>
    <w:rsid w:val="008A076D"/>
    <w:rsid w:val="008A4959"/>
    <w:rsid w:val="008A7AA1"/>
    <w:rsid w:val="008B0334"/>
    <w:rsid w:val="008B3215"/>
    <w:rsid w:val="008B7F89"/>
    <w:rsid w:val="008C33BE"/>
    <w:rsid w:val="008C759C"/>
    <w:rsid w:val="008D11E4"/>
    <w:rsid w:val="008D2F72"/>
    <w:rsid w:val="008D4AB1"/>
    <w:rsid w:val="008D6CEF"/>
    <w:rsid w:val="008D6F6B"/>
    <w:rsid w:val="008D7ADC"/>
    <w:rsid w:val="008F18FE"/>
    <w:rsid w:val="008F33F9"/>
    <w:rsid w:val="0090002E"/>
    <w:rsid w:val="00902C17"/>
    <w:rsid w:val="00903F22"/>
    <w:rsid w:val="00905BEB"/>
    <w:rsid w:val="00906CD6"/>
    <w:rsid w:val="00906FA7"/>
    <w:rsid w:val="009112EB"/>
    <w:rsid w:val="00912B82"/>
    <w:rsid w:val="00916C26"/>
    <w:rsid w:val="00921702"/>
    <w:rsid w:val="0092777B"/>
    <w:rsid w:val="00936CD9"/>
    <w:rsid w:val="009378A0"/>
    <w:rsid w:val="00940F75"/>
    <w:rsid w:val="00945FFE"/>
    <w:rsid w:val="0094615C"/>
    <w:rsid w:val="00946233"/>
    <w:rsid w:val="009474B2"/>
    <w:rsid w:val="00951EA9"/>
    <w:rsid w:val="00952ACC"/>
    <w:rsid w:val="0096152A"/>
    <w:rsid w:val="009643BB"/>
    <w:rsid w:val="00966EEC"/>
    <w:rsid w:val="00970294"/>
    <w:rsid w:val="009721BC"/>
    <w:rsid w:val="00972291"/>
    <w:rsid w:val="0098306A"/>
    <w:rsid w:val="00990566"/>
    <w:rsid w:val="00991687"/>
    <w:rsid w:val="00992AA3"/>
    <w:rsid w:val="009B0866"/>
    <w:rsid w:val="009B0CA2"/>
    <w:rsid w:val="009B2A7F"/>
    <w:rsid w:val="009B6587"/>
    <w:rsid w:val="009C23EE"/>
    <w:rsid w:val="009D0AE6"/>
    <w:rsid w:val="009D0F09"/>
    <w:rsid w:val="009D265E"/>
    <w:rsid w:val="009D4541"/>
    <w:rsid w:val="009D4E42"/>
    <w:rsid w:val="009D554E"/>
    <w:rsid w:val="009D5A03"/>
    <w:rsid w:val="009D62EF"/>
    <w:rsid w:val="009D7944"/>
    <w:rsid w:val="009D7B9C"/>
    <w:rsid w:val="009E365D"/>
    <w:rsid w:val="009E6AF8"/>
    <w:rsid w:val="009E7B2B"/>
    <w:rsid w:val="009F0C6E"/>
    <w:rsid w:val="009F214A"/>
    <w:rsid w:val="009F6C48"/>
    <w:rsid w:val="00A155EE"/>
    <w:rsid w:val="00A2153D"/>
    <w:rsid w:val="00A21FDB"/>
    <w:rsid w:val="00A246E4"/>
    <w:rsid w:val="00A302EE"/>
    <w:rsid w:val="00A308E6"/>
    <w:rsid w:val="00A34460"/>
    <w:rsid w:val="00A511FC"/>
    <w:rsid w:val="00A5369B"/>
    <w:rsid w:val="00A550FD"/>
    <w:rsid w:val="00A557A2"/>
    <w:rsid w:val="00A618C5"/>
    <w:rsid w:val="00A61ECE"/>
    <w:rsid w:val="00A6613F"/>
    <w:rsid w:val="00A66E90"/>
    <w:rsid w:val="00A745FE"/>
    <w:rsid w:val="00A830A7"/>
    <w:rsid w:val="00A83EDA"/>
    <w:rsid w:val="00A85B02"/>
    <w:rsid w:val="00A8625F"/>
    <w:rsid w:val="00A864CE"/>
    <w:rsid w:val="00A87199"/>
    <w:rsid w:val="00A91600"/>
    <w:rsid w:val="00A96BDE"/>
    <w:rsid w:val="00AA18B6"/>
    <w:rsid w:val="00AA332B"/>
    <w:rsid w:val="00AA339C"/>
    <w:rsid w:val="00AA479C"/>
    <w:rsid w:val="00AA47ED"/>
    <w:rsid w:val="00AA5FFA"/>
    <w:rsid w:val="00AB093C"/>
    <w:rsid w:val="00AB19A7"/>
    <w:rsid w:val="00AB3D8A"/>
    <w:rsid w:val="00AB449E"/>
    <w:rsid w:val="00AB7FDC"/>
    <w:rsid w:val="00AD1F27"/>
    <w:rsid w:val="00AD42D5"/>
    <w:rsid w:val="00AD603F"/>
    <w:rsid w:val="00AD7965"/>
    <w:rsid w:val="00AE102F"/>
    <w:rsid w:val="00AE17EA"/>
    <w:rsid w:val="00AE4C23"/>
    <w:rsid w:val="00AF11AA"/>
    <w:rsid w:val="00B168AF"/>
    <w:rsid w:val="00B1795B"/>
    <w:rsid w:val="00B2016F"/>
    <w:rsid w:val="00B22D3C"/>
    <w:rsid w:val="00B23A26"/>
    <w:rsid w:val="00B24D7E"/>
    <w:rsid w:val="00B259FB"/>
    <w:rsid w:val="00B30DA4"/>
    <w:rsid w:val="00B3243C"/>
    <w:rsid w:val="00B32A8D"/>
    <w:rsid w:val="00B360F7"/>
    <w:rsid w:val="00B45272"/>
    <w:rsid w:val="00B45A2A"/>
    <w:rsid w:val="00B468EA"/>
    <w:rsid w:val="00B4779A"/>
    <w:rsid w:val="00B51BE6"/>
    <w:rsid w:val="00B52299"/>
    <w:rsid w:val="00B5337D"/>
    <w:rsid w:val="00B53A61"/>
    <w:rsid w:val="00B54A0E"/>
    <w:rsid w:val="00B570F3"/>
    <w:rsid w:val="00B572FF"/>
    <w:rsid w:val="00B6053F"/>
    <w:rsid w:val="00B64922"/>
    <w:rsid w:val="00B64FC1"/>
    <w:rsid w:val="00B7129F"/>
    <w:rsid w:val="00B76AE9"/>
    <w:rsid w:val="00B7766D"/>
    <w:rsid w:val="00B8167C"/>
    <w:rsid w:val="00B81CCF"/>
    <w:rsid w:val="00B84F54"/>
    <w:rsid w:val="00B86991"/>
    <w:rsid w:val="00B879B3"/>
    <w:rsid w:val="00B90848"/>
    <w:rsid w:val="00B911FF"/>
    <w:rsid w:val="00B94F9F"/>
    <w:rsid w:val="00B95526"/>
    <w:rsid w:val="00B96399"/>
    <w:rsid w:val="00BA0680"/>
    <w:rsid w:val="00BA1007"/>
    <w:rsid w:val="00BA4D3A"/>
    <w:rsid w:val="00BB06F5"/>
    <w:rsid w:val="00BB1159"/>
    <w:rsid w:val="00BB48A2"/>
    <w:rsid w:val="00BC026B"/>
    <w:rsid w:val="00BC3ACE"/>
    <w:rsid w:val="00BC6C8A"/>
    <w:rsid w:val="00BD0D84"/>
    <w:rsid w:val="00BD1B04"/>
    <w:rsid w:val="00BD2764"/>
    <w:rsid w:val="00BD2AAA"/>
    <w:rsid w:val="00BD389A"/>
    <w:rsid w:val="00BD775C"/>
    <w:rsid w:val="00BE0A0B"/>
    <w:rsid w:val="00BE2262"/>
    <w:rsid w:val="00BE3079"/>
    <w:rsid w:val="00BE4347"/>
    <w:rsid w:val="00BE55A4"/>
    <w:rsid w:val="00BE5E7F"/>
    <w:rsid w:val="00C0172F"/>
    <w:rsid w:val="00C04E45"/>
    <w:rsid w:val="00C11511"/>
    <w:rsid w:val="00C12E43"/>
    <w:rsid w:val="00C13EAC"/>
    <w:rsid w:val="00C17D94"/>
    <w:rsid w:val="00C21018"/>
    <w:rsid w:val="00C26938"/>
    <w:rsid w:val="00C30DFF"/>
    <w:rsid w:val="00C36617"/>
    <w:rsid w:val="00C375E4"/>
    <w:rsid w:val="00C37CC3"/>
    <w:rsid w:val="00C52D59"/>
    <w:rsid w:val="00C53504"/>
    <w:rsid w:val="00C538B9"/>
    <w:rsid w:val="00C53CD2"/>
    <w:rsid w:val="00C54C1D"/>
    <w:rsid w:val="00C65797"/>
    <w:rsid w:val="00C67421"/>
    <w:rsid w:val="00C71620"/>
    <w:rsid w:val="00C77B80"/>
    <w:rsid w:val="00C800FF"/>
    <w:rsid w:val="00C85BA0"/>
    <w:rsid w:val="00C9543A"/>
    <w:rsid w:val="00C96271"/>
    <w:rsid w:val="00CA0569"/>
    <w:rsid w:val="00CA1218"/>
    <w:rsid w:val="00CA1447"/>
    <w:rsid w:val="00CA1483"/>
    <w:rsid w:val="00CA4465"/>
    <w:rsid w:val="00CA4C89"/>
    <w:rsid w:val="00CA5E7E"/>
    <w:rsid w:val="00CB03E7"/>
    <w:rsid w:val="00CB169C"/>
    <w:rsid w:val="00CB1AA4"/>
    <w:rsid w:val="00CB3348"/>
    <w:rsid w:val="00CB3887"/>
    <w:rsid w:val="00CB49B2"/>
    <w:rsid w:val="00CB7AB7"/>
    <w:rsid w:val="00CC3B6E"/>
    <w:rsid w:val="00CC5CF7"/>
    <w:rsid w:val="00CC6DFD"/>
    <w:rsid w:val="00CC77DD"/>
    <w:rsid w:val="00CC78AE"/>
    <w:rsid w:val="00CC7C08"/>
    <w:rsid w:val="00CD11A0"/>
    <w:rsid w:val="00CD39D6"/>
    <w:rsid w:val="00CD77C8"/>
    <w:rsid w:val="00CE39F2"/>
    <w:rsid w:val="00CE40E5"/>
    <w:rsid w:val="00CE6985"/>
    <w:rsid w:val="00CF21FC"/>
    <w:rsid w:val="00CF368C"/>
    <w:rsid w:val="00CF5808"/>
    <w:rsid w:val="00CF5902"/>
    <w:rsid w:val="00CF66B7"/>
    <w:rsid w:val="00D05D0A"/>
    <w:rsid w:val="00D078BB"/>
    <w:rsid w:val="00D207F8"/>
    <w:rsid w:val="00D268AB"/>
    <w:rsid w:val="00D306E3"/>
    <w:rsid w:val="00D368A0"/>
    <w:rsid w:val="00D417D1"/>
    <w:rsid w:val="00D46C49"/>
    <w:rsid w:val="00D54C28"/>
    <w:rsid w:val="00D6042E"/>
    <w:rsid w:val="00D67522"/>
    <w:rsid w:val="00D74538"/>
    <w:rsid w:val="00D80166"/>
    <w:rsid w:val="00D81115"/>
    <w:rsid w:val="00D83BC8"/>
    <w:rsid w:val="00D85BFD"/>
    <w:rsid w:val="00D85E25"/>
    <w:rsid w:val="00D9410A"/>
    <w:rsid w:val="00D966AE"/>
    <w:rsid w:val="00DA1178"/>
    <w:rsid w:val="00DA30B8"/>
    <w:rsid w:val="00DB023B"/>
    <w:rsid w:val="00DB106E"/>
    <w:rsid w:val="00DB238C"/>
    <w:rsid w:val="00DB43E0"/>
    <w:rsid w:val="00DB7F48"/>
    <w:rsid w:val="00DC2087"/>
    <w:rsid w:val="00DC530D"/>
    <w:rsid w:val="00DC675D"/>
    <w:rsid w:val="00DD1273"/>
    <w:rsid w:val="00DD7F0E"/>
    <w:rsid w:val="00DE4874"/>
    <w:rsid w:val="00DF07D1"/>
    <w:rsid w:val="00DF1FF3"/>
    <w:rsid w:val="00DF2B25"/>
    <w:rsid w:val="00DF4500"/>
    <w:rsid w:val="00E02600"/>
    <w:rsid w:val="00E0313C"/>
    <w:rsid w:val="00E03D27"/>
    <w:rsid w:val="00E068F7"/>
    <w:rsid w:val="00E13B30"/>
    <w:rsid w:val="00E2010D"/>
    <w:rsid w:val="00E248B6"/>
    <w:rsid w:val="00E252F3"/>
    <w:rsid w:val="00E3081F"/>
    <w:rsid w:val="00E31E41"/>
    <w:rsid w:val="00E32C3C"/>
    <w:rsid w:val="00E32CFC"/>
    <w:rsid w:val="00E355D5"/>
    <w:rsid w:val="00E362F7"/>
    <w:rsid w:val="00E367EB"/>
    <w:rsid w:val="00E37FBE"/>
    <w:rsid w:val="00E400F0"/>
    <w:rsid w:val="00E43C9E"/>
    <w:rsid w:val="00E46388"/>
    <w:rsid w:val="00E5418D"/>
    <w:rsid w:val="00E631E8"/>
    <w:rsid w:val="00E701FA"/>
    <w:rsid w:val="00E74477"/>
    <w:rsid w:val="00E809EB"/>
    <w:rsid w:val="00E80FAB"/>
    <w:rsid w:val="00E85280"/>
    <w:rsid w:val="00E86687"/>
    <w:rsid w:val="00E872AA"/>
    <w:rsid w:val="00E91B29"/>
    <w:rsid w:val="00E926EC"/>
    <w:rsid w:val="00E951C7"/>
    <w:rsid w:val="00E9663D"/>
    <w:rsid w:val="00EA00F4"/>
    <w:rsid w:val="00EA1EA7"/>
    <w:rsid w:val="00EA2018"/>
    <w:rsid w:val="00EA4527"/>
    <w:rsid w:val="00EA5124"/>
    <w:rsid w:val="00EB4A5C"/>
    <w:rsid w:val="00EB59EA"/>
    <w:rsid w:val="00EB6243"/>
    <w:rsid w:val="00EC04F4"/>
    <w:rsid w:val="00EC17B6"/>
    <w:rsid w:val="00EC3270"/>
    <w:rsid w:val="00EC36E3"/>
    <w:rsid w:val="00EC6834"/>
    <w:rsid w:val="00EC69AA"/>
    <w:rsid w:val="00ED14EF"/>
    <w:rsid w:val="00ED3646"/>
    <w:rsid w:val="00ED4842"/>
    <w:rsid w:val="00ED55D6"/>
    <w:rsid w:val="00ED7AB2"/>
    <w:rsid w:val="00EE1A03"/>
    <w:rsid w:val="00EE3D9F"/>
    <w:rsid w:val="00EF0458"/>
    <w:rsid w:val="00EF1041"/>
    <w:rsid w:val="00EF4E9D"/>
    <w:rsid w:val="00EF53F7"/>
    <w:rsid w:val="00EF649B"/>
    <w:rsid w:val="00EF6ED4"/>
    <w:rsid w:val="00EF7F7E"/>
    <w:rsid w:val="00F0051E"/>
    <w:rsid w:val="00F04E19"/>
    <w:rsid w:val="00F0730C"/>
    <w:rsid w:val="00F115D3"/>
    <w:rsid w:val="00F11FF2"/>
    <w:rsid w:val="00F13CDE"/>
    <w:rsid w:val="00F13D91"/>
    <w:rsid w:val="00F14D88"/>
    <w:rsid w:val="00F14DF2"/>
    <w:rsid w:val="00F152D2"/>
    <w:rsid w:val="00F17A9D"/>
    <w:rsid w:val="00F2733F"/>
    <w:rsid w:val="00F316F9"/>
    <w:rsid w:val="00F366D3"/>
    <w:rsid w:val="00F36A47"/>
    <w:rsid w:val="00F4029B"/>
    <w:rsid w:val="00F4431E"/>
    <w:rsid w:val="00F46A5D"/>
    <w:rsid w:val="00F54D01"/>
    <w:rsid w:val="00F559BB"/>
    <w:rsid w:val="00F60C66"/>
    <w:rsid w:val="00F60C7E"/>
    <w:rsid w:val="00F617B5"/>
    <w:rsid w:val="00F62FFB"/>
    <w:rsid w:val="00F6555E"/>
    <w:rsid w:val="00F65E8E"/>
    <w:rsid w:val="00F67206"/>
    <w:rsid w:val="00F70320"/>
    <w:rsid w:val="00F72D4D"/>
    <w:rsid w:val="00F73347"/>
    <w:rsid w:val="00F772BB"/>
    <w:rsid w:val="00F77BB1"/>
    <w:rsid w:val="00F83BA1"/>
    <w:rsid w:val="00F83BCF"/>
    <w:rsid w:val="00F86044"/>
    <w:rsid w:val="00F94D88"/>
    <w:rsid w:val="00F95859"/>
    <w:rsid w:val="00F95993"/>
    <w:rsid w:val="00FA2E01"/>
    <w:rsid w:val="00FA50AD"/>
    <w:rsid w:val="00FA5B75"/>
    <w:rsid w:val="00FA649B"/>
    <w:rsid w:val="00FB1548"/>
    <w:rsid w:val="00FB385B"/>
    <w:rsid w:val="00FB6A09"/>
    <w:rsid w:val="00FC1B15"/>
    <w:rsid w:val="00FD2341"/>
    <w:rsid w:val="00FD74E7"/>
    <w:rsid w:val="00FD7DB4"/>
    <w:rsid w:val="00FE038D"/>
    <w:rsid w:val="00FE25E8"/>
    <w:rsid w:val="00FE2627"/>
    <w:rsid w:val="00FE4FCA"/>
    <w:rsid w:val="00FF16AF"/>
    <w:rsid w:val="00FF1869"/>
    <w:rsid w:val="00FF4D1D"/>
    <w:rsid w:val="00FF61D1"/>
    <w:rsid w:val="00FF7016"/>
    <w:rsid w:val="00FF7B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7085"/>
  <w15:chartTrackingRefBased/>
  <w15:docId w15:val="{DBC59712-2135-470E-8D1C-D2DAD6D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306A"/>
    <w:rPr>
      <w:rFonts w:ascii="Arial" w:hAnsi="Arial"/>
      <w:lang w:val="en-AU"/>
    </w:rPr>
  </w:style>
  <w:style w:type="paragraph" w:styleId="Heading1">
    <w:name w:val="heading 1"/>
    <w:basedOn w:val="Normal"/>
    <w:next w:val="Normal"/>
    <w:link w:val="Heading1Char"/>
    <w:uiPriority w:val="9"/>
    <w:qFormat/>
    <w:rsid w:val="00FB1548"/>
    <w:pPr>
      <w:keepNext/>
      <w:keepLines/>
      <w:spacing w:before="240" w:after="600"/>
      <w:outlineLvl w:val="0"/>
    </w:pPr>
    <w:rPr>
      <w:rFonts w:ascii="Josefin Sans" w:eastAsiaTheme="majorEastAsia" w:hAnsi="Josefin Sans" w:cstheme="majorBidi"/>
      <w:b/>
      <w:color w:val="000000" w:themeColor="text1"/>
      <w:sz w:val="60"/>
      <w:szCs w:val="32"/>
    </w:rPr>
  </w:style>
  <w:style w:type="paragraph" w:styleId="Heading2">
    <w:name w:val="heading 2"/>
    <w:basedOn w:val="Normal"/>
    <w:next w:val="Normal"/>
    <w:link w:val="Heading2Char"/>
    <w:uiPriority w:val="9"/>
    <w:unhideWhenUsed/>
    <w:qFormat/>
    <w:rsid w:val="00D207F8"/>
    <w:pPr>
      <w:keepNext/>
      <w:keepLines/>
      <w:spacing w:after="320"/>
      <w:outlineLvl w:val="1"/>
    </w:pPr>
    <w:rPr>
      <w:rFonts w:ascii="Josefin Sans" w:eastAsiaTheme="majorEastAsia" w:hAnsi="Josefin Sans" w:cstheme="majorBidi"/>
      <w:b/>
      <w:color w:val="104F99" w:themeColor="accent1"/>
      <w:sz w:val="36"/>
      <w:szCs w:val="26"/>
    </w:rPr>
  </w:style>
  <w:style w:type="paragraph" w:styleId="Heading3">
    <w:name w:val="heading 3"/>
    <w:basedOn w:val="Normal"/>
    <w:next w:val="Normal"/>
    <w:link w:val="Heading3Char"/>
    <w:uiPriority w:val="9"/>
    <w:unhideWhenUsed/>
    <w:qFormat/>
    <w:rsid w:val="00FB1548"/>
    <w:pPr>
      <w:keepNext/>
      <w:keepLines/>
      <w:spacing w:before="360" w:after="240"/>
      <w:outlineLvl w:val="2"/>
    </w:pPr>
    <w:rPr>
      <w:rFonts w:ascii="Josefin Sans" w:eastAsiaTheme="majorEastAsia" w:hAnsi="Josefin Sans" w:cstheme="majorBidi"/>
      <w:b/>
      <w:color w:val="000000" w:themeColor="text1"/>
      <w:sz w:val="24"/>
      <w:szCs w:val="24"/>
    </w:rPr>
  </w:style>
  <w:style w:type="paragraph" w:styleId="Heading4">
    <w:name w:val="heading 4"/>
    <w:basedOn w:val="Normal"/>
    <w:next w:val="Normal"/>
    <w:link w:val="Heading4Char"/>
    <w:uiPriority w:val="9"/>
    <w:unhideWhenUsed/>
    <w:qFormat/>
    <w:rsid w:val="00FB1548"/>
    <w:pPr>
      <w:keepNext/>
      <w:keepLines/>
      <w:spacing w:before="240" w:after="120"/>
      <w:outlineLvl w:val="3"/>
    </w:pPr>
    <w:rPr>
      <w:rFonts w:ascii="Josefin Sans" w:eastAsiaTheme="majorEastAsia" w:hAnsi="Josefin Sans" w:cstheme="majorBidi"/>
      <w:b/>
      <w:iCs/>
      <w:color w:val="0C3A72" w:themeColor="accent1" w:themeShade="BF"/>
      <w:sz w:val="20"/>
    </w:rPr>
  </w:style>
  <w:style w:type="paragraph" w:styleId="Heading5">
    <w:name w:val="heading 5"/>
    <w:basedOn w:val="Normal"/>
    <w:next w:val="Normal"/>
    <w:link w:val="Heading5Char"/>
    <w:uiPriority w:val="9"/>
    <w:unhideWhenUsed/>
    <w:rsid w:val="00FB1548"/>
    <w:pPr>
      <w:keepNext/>
      <w:keepLines/>
      <w:spacing w:before="40" w:after="0"/>
      <w:outlineLvl w:val="4"/>
    </w:pPr>
    <w:rPr>
      <w:rFonts w:ascii="Josefin Sans" w:eastAsiaTheme="majorEastAsia" w:hAnsi="Josefin Sans" w:cstheme="majorBidi"/>
      <w:b/>
      <w:color w:val="0C3A72" w:themeColor="accent1" w:themeShade="BF"/>
    </w:rPr>
  </w:style>
  <w:style w:type="paragraph" w:styleId="Heading6">
    <w:name w:val="heading 6"/>
    <w:basedOn w:val="Normal"/>
    <w:next w:val="Normal"/>
    <w:link w:val="Heading6Char"/>
    <w:uiPriority w:val="9"/>
    <w:semiHidden/>
    <w:unhideWhenUsed/>
    <w:rsid w:val="00FB1548"/>
    <w:pPr>
      <w:keepNext/>
      <w:keepLines/>
      <w:spacing w:before="40" w:after="0"/>
      <w:outlineLvl w:val="5"/>
    </w:pPr>
    <w:rPr>
      <w:rFonts w:ascii="Josefin Sans" w:eastAsiaTheme="majorEastAsia" w:hAnsi="Josefin Sans" w:cstheme="majorBidi"/>
      <w:b/>
      <w:color w:val="0827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65D"/>
    <w:rPr>
      <w:rFonts w:ascii="Arial" w:hAnsi="Arial"/>
      <w:lang w:val="en-AU"/>
    </w:rPr>
  </w:style>
  <w:style w:type="paragraph" w:styleId="Footer">
    <w:name w:val="footer"/>
    <w:basedOn w:val="Normal"/>
    <w:link w:val="FooterChar"/>
    <w:uiPriority w:val="99"/>
    <w:unhideWhenUsed/>
    <w:rsid w:val="009E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65D"/>
    <w:rPr>
      <w:rFonts w:ascii="Arial" w:hAnsi="Arial"/>
      <w:lang w:val="en-AU"/>
    </w:rPr>
  </w:style>
  <w:style w:type="character" w:customStyle="1" w:styleId="Heading1Char">
    <w:name w:val="Heading 1 Char"/>
    <w:basedOn w:val="DefaultParagraphFont"/>
    <w:link w:val="Heading1"/>
    <w:uiPriority w:val="9"/>
    <w:rsid w:val="00FB1548"/>
    <w:rPr>
      <w:rFonts w:ascii="Josefin Sans" w:eastAsiaTheme="majorEastAsia" w:hAnsi="Josefin Sans" w:cstheme="majorBidi"/>
      <w:b/>
      <w:color w:val="000000" w:themeColor="text1"/>
      <w:sz w:val="60"/>
      <w:szCs w:val="32"/>
      <w:lang w:val="en-AU"/>
    </w:rPr>
  </w:style>
  <w:style w:type="paragraph" w:customStyle="1" w:styleId="ChapterNumber">
    <w:name w:val="Chapter Number"/>
    <w:basedOn w:val="Normal"/>
    <w:link w:val="ChapterNumberChar"/>
    <w:qFormat/>
    <w:rsid w:val="00FB1548"/>
    <w:pPr>
      <w:spacing w:after="4080"/>
      <w:jc w:val="right"/>
    </w:pPr>
    <w:rPr>
      <w:rFonts w:ascii="Josefin Sans" w:hAnsi="Josefin Sans"/>
      <w:b/>
      <w:color w:val="D3E3F2"/>
      <w:sz w:val="440"/>
      <w:szCs w:val="440"/>
    </w:rPr>
  </w:style>
  <w:style w:type="character" w:customStyle="1" w:styleId="Heading2Char">
    <w:name w:val="Heading 2 Char"/>
    <w:basedOn w:val="DefaultParagraphFont"/>
    <w:link w:val="Heading2"/>
    <w:uiPriority w:val="9"/>
    <w:rsid w:val="00D207F8"/>
    <w:rPr>
      <w:rFonts w:ascii="Josefin Sans" w:eastAsiaTheme="majorEastAsia" w:hAnsi="Josefin Sans" w:cstheme="majorBidi"/>
      <w:b/>
      <w:color w:val="104F99" w:themeColor="accent1"/>
      <w:sz w:val="36"/>
      <w:szCs w:val="26"/>
      <w:lang w:val="en-AU"/>
    </w:rPr>
  </w:style>
  <w:style w:type="character" w:customStyle="1" w:styleId="ChapterNumberChar">
    <w:name w:val="Chapter Number Char"/>
    <w:basedOn w:val="DefaultParagraphFont"/>
    <w:link w:val="ChapterNumber"/>
    <w:rsid w:val="00FB1548"/>
    <w:rPr>
      <w:rFonts w:ascii="Josefin Sans" w:hAnsi="Josefin Sans"/>
      <w:b/>
      <w:color w:val="D3E3F2"/>
      <w:sz w:val="440"/>
      <w:szCs w:val="440"/>
      <w:lang w:val="en-AU"/>
    </w:rPr>
  </w:style>
  <w:style w:type="character" w:customStyle="1" w:styleId="Heading3Char">
    <w:name w:val="Heading 3 Char"/>
    <w:basedOn w:val="DefaultParagraphFont"/>
    <w:link w:val="Heading3"/>
    <w:uiPriority w:val="9"/>
    <w:rsid w:val="00FB1548"/>
    <w:rPr>
      <w:rFonts w:ascii="Josefin Sans" w:eastAsiaTheme="majorEastAsia" w:hAnsi="Josefin Sans" w:cstheme="majorBidi"/>
      <w:b/>
      <w:color w:val="000000" w:themeColor="text1"/>
      <w:sz w:val="24"/>
      <w:szCs w:val="24"/>
      <w:lang w:val="en-AU"/>
    </w:rPr>
  </w:style>
  <w:style w:type="paragraph" w:customStyle="1" w:styleId="Body">
    <w:name w:val="Body"/>
    <w:link w:val="BodyChar"/>
    <w:qFormat/>
    <w:rsid w:val="001B1269"/>
    <w:pPr>
      <w:spacing w:before="240"/>
    </w:pPr>
    <w:rPr>
      <w:rFonts w:ascii="Arial" w:hAnsi="Arial"/>
      <w:sz w:val="18"/>
      <w:szCs w:val="18"/>
      <w:lang w:val="en-AU"/>
    </w:rPr>
  </w:style>
  <w:style w:type="character" w:customStyle="1" w:styleId="Heading4Char">
    <w:name w:val="Heading 4 Char"/>
    <w:basedOn w:val="DefaultParagraphFont"/>
    <w:link w:val="Heading4"/>
    <w:uiPriority w:val="9"/>
    <w:rsid w:val="00FB1548"/>
    <w:rPr>
      <w:rFonts w:ascii="Josefin Sans" w:eastAsiaTheme="majorEastAsia" w:hAnsi="Josefin Sans" w:cstheme="majorBidi"/>
      <w:b/>
      <w:iCs/>
      <w:color w:val="0C3A72" w:themeColor="accent1" w:themeShade="BF"/>
      <w:sz w:val="20"/>
      <w:lang w:val="en-AU"/>
    </w:rPr>
  </w:style>
  <w:style w:type="character" w:customStyle="1" w:styleId="BodyChar">
    <w:name w:val="Body Char"/>
    <w:basedOn w:val="DefaultParagraphFont"/>
    <w:link w:val="Body"/>
    <w:rsid w:val="001B1269"/>
    <w:rPr>
      <w:rFonts w:ascii="Arial" w:hAnsi="Arial"/>
      <w:sz w:val="18"/>
      <w:szCs w:val="18"/>
      <w:lang w:val="en-AU"/>
    </w:rPr>
  </w:style>
  <w:style w:type="paragraph" w:customStyle="1" w:styleId="Bullets">
    <w:name w:val="Bullets"/>
    <w:basedOn w:val="Body"/>
    <w:link w:val="BulletsChar"/>
    <w:qFormat/>
    <w:rsid w:val="001B1269"/>
    <w:pPr>
      <w:numPr>
        <w:numId w:val="2"/>
      </w:numPr>
      <w:spacing w:before="80" w:after="80"/>
      <w:ind w:left="340" w:hanging="227"/>
    </w:pPr>
  </w:style>
  <w:style w:type="paragraph" w:customStyle="1" w:styleId="Bulletslast">
    <w:name w:val="Bullets last"/>
    <w:basedOn w:val="Bullets"/>
    <w:link w:val="BulletslastChar"/>
    <w:rsid w:val="00C52D59"/>
    <w:pPr>
      <w:spacing w:after="320"/>
    </w:pPr>
  </w:style>
  <w:style w:type="character" w:customStyle="1" w:styleId="BulletsChar">
    <w:name w:val="Bullets Char"/>
    <w:basedOn w:val="BodyChar"/>
    <w:link w:val="Bullets"/>
    <w:rsid w:val="001B1269"/>
    <w:rPr>
      <w:rFonts w:ascii="Arial" w:hAnsi="Arial"/>
      <w:sz w:val="18"/>
      <w:szCs w:val="18"/>
      <w:lang w:val="en-AU"/>
    </w:rPr>
  </w:style>
  <w:style w:type="paragraph" w:customStyle="1" w:styleId="CoverTitle">
    <w:name w:val="Cover Title"/>
    <w:basedOn w:val="Heading1"/>
    <w:link w:val="CoverTitleChar"/>
    <w:qFormat/>
    <w:rsid w:val="00FB1548"/>
    <w:pPr>
      <w:spacing w:before="8760"/>
    </w:pPr>
    <w:rPr>
      <w:color w:val="FFFFFF" w:themeColor="background1"/>
      <w:sz w:val="80"/>
      <w:szCs w:val="80"/>
    </w:rPr>
  </w:style>
  <w:style w:type="character" w:customStyle="1" w:styleId="BulletslastChar">
    <w:name w:val="Bullets last Char"/>
    <w:basedOn w:val="BulletsChar"/>
    <w:link w:val="Bulletslast"/>
    <w:rsid w:val="00C52D59"/>
    <w:rPr>
      <w:rFonts w:ascii="Fira Sans" w:hAnsi="Fira Sans"/>
      <w:sz w:val="18"/>
      <w:szCs w:val="18"/>
      <w:lang w:val="en-AU"/>
    </w:rPr>
  </w:style>
  <w:style w:type="paragraph" w:customStyle="1" w:styleId="Numberlist">
    <w:name w:val="Number list"/>
    <w:basedOn w:val="Body"/>
    <w:link w:val="NumberlistChar"/>
    <w:autoRedefine/>
    <w:qFormat/>
    <w:rsid w:val="0040700E"/>
    <w:pPr>
      <w:numPr>
        <w:numId w:val="4"/>
      </w:numPr>
      <w:spacing w:before="80" w:after="80"/>
      <w:ind w:left="470" w:hanging="357"/>
      <w:mirrorIndents/>
    </w:pPr>
  </w:style>
  <w:style w:type="character" w:customStyle="1" w:styleId="CoverTitleChar">
    <w:name w:val="Cover Title Char"/>
    <w:basedOn w:val="Heading1Char"/>
    <w:link w:val="CoverTitle"/>
    <w:rsid w:val="00FB1548"/>
    <w:rPr>
      <w:rFonts w:ascii="Josefin Sans" w:eastAsiaTheme="majorEastAsia" w:hAnsi="Josefin Sans" w:cstheme="majorBidi"/>
      <w:b/>
      <w:color w:val="FFFFFF" w:themeColor="background1"/>
      <w:sz w:val="80"/>
      <w:szCs w:val="80"/>
      <w:lang w:val="en-AU"/>
    </w:rPr>
  </w:style>
  <w:style w:type="paragraph" w:customStyle="1" w:styleId="Numberedlistlast">
    <w:name w:val="Numbered list last"/>
    <w:basedOn w:val="Numberlist"/>
    <w:link w:val="NumberedlistlastChar"/>
    <w:rsid w:val="00AD603F"/>
    <w:pPr>
      <w:spacing w:after="240"/>
    </w:pPr>
  </w:style>
  <w:style w:type="character" w:customStyle="1" w:styleId="NumberlistChar">
    <w:name w:val="Number list Char"/>
    <w:basedOn w:val="BodyChar"/>
    <w:link w:val="Numberlist"/>
    <w:rsid w:val="0040700E"/>
    <w:rPr>
      <w:rFonts w:ascii="Arial" w:hAnsi="Arial"/>
      <w:sz w:val="18"/>
      <w:szCs w:val="18"/>
      <w:lang w:val="en-AU"/>
    </w:rPr>
  </w:style>
  <w:style w:type="character" w:customStyle="1" w:styleId="Heading5Char">
    <w:name w:val="Heading 5 Char"/>
    <w:basedOn w:val="DefaultParagraphFont"/>
    <w:link w:val="Heading5"/>
    <w:uiPriority w:val="9"/>
    <w:rsid w:val="00FB1548"/>
    <w:rPr>
      <w:rFonts w:ascii="Josefin Sans" w:eastAsiaTheme="majorEastAsia" w:hAnsi="Josefin Sans" w:cstheme="majorBidi"/>
      <w:b/>
      <w:color w:val="0C3A72" w:themeColor="accent1" w:themeShade="BF"/>
      <w:lang w:val="en-AU"/>
    </w:rPr>
  </w:style>
  <w:style w:type="character" w:customStyle="1" w:styleId="NumberedlistlastChar">
    <w:name w:val="Numbered list last Char"/>
    <w:basedOn w:val="NumberlistChar"/>
    <w:link w:val="Numberedlistlast"/>
    <w:rsid w:val="00AD603F"/>
    <w:rPr>
      <w:rFonts w:ascii="Fira Sans" w:hAnsi="Fira Sans"/>
      <w:sz w:val="18"/>
      <w:szCs w:val="18"/>
      <w:lang w:val="en-AU"/>
    </w:rPr>
  </w:style>
  <w:style w:type="paragraph" w:customStyle="1" w:styleId="FigureTableHeading">
    <w:name w:val="Figure Table Heading"/>
    <w:basedOn w:val="Body"/>
    <w:link w:val="FigureTableHeadingChar"/>
    <w:qFormat/>
    <w:rsid w:val="001B1269"/>
    <w:pPr>
      <w:spacing w:after="0" w:line="240" w:lineRule="auto"/>
    </w:pPr>
    <w:rPr>
      <w:b/>
      <w:bCs/>
      <w:color w:val="FFFFFF" w:themeColor="background1"/>
    </w:rPr>
  </w:style>
  <w:style w:type="paragraph" w:customStyle="1" w:styleId="BulletL2">
    <w:name w:val="Bullet L2"/>
    <w:basedOn w:val="Bullets"/>
    <w:link w:val="BulletL2Char"/>
    <w:qFormat/>
    <w:rsid w:val="00A550FD"/>
    <w:pPr>
      <w:numPr>
        <w:ilvl w:val="1"/>
      </w:numPr>
      <w:ind w:left="709" w:hanging="284"/>
    </w:pPr>
  </w:style>
  <w:style w:type="character" w:customStyle="1" w:styleId="FigureTableHeadingChar">
    <w:name w:val="Figure Table Heading Char"/>
    <w:basedOn w:val="Heading5Char"/>
    <w:link w:val="FigureTableHeading"/>
    <w:rsid w:val="001B1269"/>
    <w:rPr>
      <w:rFonts w:ascii="Arial" w:eastAsiaTheme="majorEastAsia" w:hAnsi="Arial" w:cstheme="majorBidi"/>
      <w:b/>
      <w:bCs/>
      <w:color w:val="FFFFFF" w:themeColor="background1"/>
      <w:sz w:val="18"/>
      <w:szCs w:val="18"/>
      <w:lang w:val="en-AU"/>
    </w:rPr>
  </w:style>
  <w:style w:type="paragraph" w:customStyle="1" w:styleId="BulletL2Last">
    <w:name w:val="Bullet L2 Last"/>
    <w:basedOn w:val="BulletL2"/>
    <w:link w:val="BulletL2LastChar"/>
    <w:rsid w:val="00A550FD"/>
    <w:pPr>
      <w:spacing w:after="240"/>
    </w:pPr>
  </w:style>
  <w:style w:type="character" w:customStyle="1" w:styleId="BulletL2Char">
    <w:name w:val="Bullet L2 Char"/>
    <w:basedOn w:val="BulletsChar"/>
    <w:link w:val="BulletL2"/>
    <w:rsid w:val="00A550FD"/>
    <w:rPr>
      <w:rFonts w:ascii="Fira Sans" w:hAnsi="Fira Sans"/>
      <w:sz w:val="18"/>
      <w:szCs w:val="18"/>
      <w:lang w:val="en-AU"/>
    </w:rPr>
  </w:style>
  <w:style w:type="table" w:styleId="TableGrid">
    <w:name w:val="Table Grid"/>
    <w:basedOn w:val="TableNormal"/>
    <w:uiPriority w:val="59"/>
    <w:rsid w:val="0000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2LastChar">
    <w:name w:val="Bullet L2 Last Char"/>
    <w:basedOn w:val="BulletL2Char"/>
    <w:link w:val="BulletL2Last"/>
    <w:rsid w:val="00A550FD"/>
    <w:rPr>
      <w:rFonts w:ascii="Fira Sans" w:hAnsi="Fira Sans"/>
      <w:sz w:val="18"/>
      <w:szCs w:val="18"/>
      <w:lang w:val="en-AU"/>
    </w:rPr>
  </w:style>
  <w:style w:type="character" w:styleId="Hyperlink">
    <w:name w:val="Hyperlink"/>
    <w:basedOn w:val="DefaultParagraphFont"/>
    <w:uiPriority w:val="99"/>
    <w:unhideWhenUsed/>
    <w:rsid w:val="009E365D"/>
    <w:rPr>
      <w:rFonts w:ascii="Arial" w:hAnsi="Arial"/>
      <w:b w:val="0"/>
      <w:i w:val="0"/>
      <w:color w:val="104F99" w:themeColor="hyperlink"/>
      <w:u w:val="single"/>
    </w:rPr>
  </w:style>
  <w:style w:type="character" w:styleId="UnresolvedMention">
    <w:name w:val="Unresolved Mention"/>
    <w:basedOn w:val="DefaultParagraphFont"/>
    <w:uiPriority w:val="99"/>
    <w:semiHidden/>
    <w:unhideWhenUsed/>
    <w:rsid w:val="002627C0"/>
    <w:rPr>
      <w:color w:val="605E5C"/>
      <w:shd w:val="clear" w:color="auto" w:fill="E1DFDD"/>
    </w:rPr>
  </w:style>
  <w:style w:type="paragraph" w:styleId="FootnoteText">
    <w:name w:val="footnote text"/>
    <w:basedOn w:val="Normal"/>
    <w:link w:val="FootnoteTextChar"/>
    <w:uiPriority w:val="99"/>
    <w:semiHidden/>
    <w:unhideWhenUsed/>
    <w:rsid w:val="008B32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215"/>
    <w:rPr>
      <w:sz w:val="20"/>
      <w:szCs w:val="20"/>
    </w:rPr>
  </w:style>
  <w:style w:type="character" w:styleId="FootnoteReference">
    <w:name w:val="footnote reference"/>
    <w:basedOn w:val="DefaultParagraphFont"/>
    <w:uiPriority w:val="99"/>
    <w:semiHidden/>
    <w:unhideWhenUsed/>
    <w:rsid w:val="008B3215"/>
    <w:rPr>
      <w:vertAlign w:val="superscript"/>
    </w:rPr>
  </w:style>
  <w:style w:type="paragraph" w:customStyle="1" w:styleId="Footnote">
    <w:name w:val="Footnote"/>
    <w:next w:val="Body"/>
    <w:link w:val="FootnoteChar"/>
    <w:qFormat/>
    <w:rsid w:val="00ED14EF"/>
    <w:rPr>
      <w:rFonts w:ascii="Arial" w:hAnsi="Arial"/>
      <w:sz w:val="14"/>
      <w:szCs w:val="14"/>
      <w:lang w:val="en-AU"/>
    </w:rPr>
  </w:style>
  <w:style w:type="character" w:customStyle="1" w:styleId="FootnoteChar">
    <w:name w:val="Footnote Char"/>
    <w:basedOn w:val="FootnoteTextChar"/>
    <w:link w:val="Footnote"/>
    <w:rsid w:val="00ED14EF"/>
    <w:rPr>
      <w:rFonts w:ascii="Arial" w:hAnsi="Arial"/>
      <w:sz w:val="14"/>
      <w:szCs w:val="14"/>
      <w:lang w:val="en-AU"/>
    </w:rPr>
  </w:style>
  <w:style w:type="paragraph" w:styleId="TOC2">
    <w:name w:val="toc 2"/>
    <w:basedOn w:val="Normal"/>
    <w:next w:val="Normal"/>
    <w:link w:val="TOC2Char"/>
    <w:autoRedefine/>
    <w:uiPriority w:val="39"/>
    <w:unhideWhenUsed/>
    <w:rsid w:val="002A465C"/>
    <w:pPr>
      <w:tabs>
        <w:tab w:val="right" w:leader="dot" w:pos="9016"/>
      </w:tabs>
      <w:spacing w:after="100"/>
      <w:ind w:left="220"/>
    </w:pPr>
    <w:rPr>
      <w:noProof/>
      <w:sz w:val="16"/>
      <w:szCs w:val="16"/>
    </w:rPr>
  </w:style>
  <w:style w:type="paragraph" w:styleId="TOC1">
    <w:name w:val="toc 1"/>
    <w:basedOn w:val="Normal"/>
    <w:next w:val="Normal"/>
    <w:link w:val="TOC1Char"/>
    <w:autoRedefine/>
    <w:uiPriority w:val="39"/>
    <w:unhideWhenUsed/>
    <w:rsid w:val="00523D86"/>
    <w:pPr>
      <w:tabs>
        <w:tab w:val="right" w:leader="dot" w:pos="9016"/>
      </w:tabs>
      <w:spacing w:after="100" w:line="240" w:lineRule="auto"/>
    </w:pPr>
    <w:rPr>
      <w:rFonts w:asciiTheme="majorHAnsi" w:hAnsiTheme="majorHAnsi" w:cs="Arial"/>
      <w:b/>
      <w:bCs/>
      <w:noProof/>
      <w:sz w:val="16"/>
      <w:szCs w:val="16"/>
    </w:rPr>
  </w:style>
  <w:style w:type="paragraph" w:styleId="TOC3">
    <w:name w:val="toc 3"/>
    <w:basedOn w:val="Normal"/>
    <w:next w:val="Normal"/>
    <w:autoRedefine/>
    <w:uiPriority w:val="39"/>
    <w:unhideWhenUsed/>
    <w:rsid w:val="004E0E0C"/>
    <w:pPr>
      <w:tabs>
        <w:tab w:val="right" w:leader="dot" w:pos="9016"/>
      </w:tabs>
      <w:spacing w:after="100"/>
      <w:ind w:left="440"/>
    </w:pPr>
    <w:rPr>
      <w:noProof/>
      <w:sz w:val="16"/>
      <w:szCs w:val="16"/>
    </w:rPr>
  </w:style>
  <w:style w:type="table" w:customStyle="1" w:styleId="TableGrid1">
    <w:name w:val="Table Grid1"/>
    <w:basedOn w:val="TableNormal"/>
    <w:next w:val="TableGrid"/>
    <w:uiPriority w:val="39"/>
    <w:rsid w:val="00BD2AA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rsid w:val="00F366D3"/>
    <w:pPr>
      <w:widowControl w:val="0"/>
      <w:autoSpaceDE w:val="0"/>
      <w:autoSpaceDN w:val="0"/>
      <w:spacing w:before="62" w:after="0" w:line="240" w:lineRule="auto"/>
      <w:ind w:left="50"/>
    </w:pPr>
    <w:rPr>
      <w:rFonts w:eastAsia="Futura PT Book" w:cs="Futura PT Book"/>
      <w:color w:val="58595A"/>
      <w:sz w:val="18"/>
      <w:szCs w:val="18"/>
      <w:lang w:bidi="en-US"/>
    </w:rPr>
  </w:style>
  <w:style w:type="character" w:customStyle="1" w:styleId="TableParagraphChar">
    <w:name w:val="Table Paragraph Char"/>
    <w:basedOn w:val="DefaultParagraphFont"/>
    <w:link w:val="TableParagraph"/>
    <w:uiPriority w:val="1"/>
    <w:rsid w:val="00F366D3"/>
    <w:rPr>
      <w:rFonts w:ascii="Arial" w:eastAsia="Futura PT Book" w:hAnsi="Arial" w:cs="Futura PT Book"/>
      <w:color w:val="58595A"/>
      <w:sz w:val="18"/>
      <w:szCs w:val="18"/>
      <w:lang w:val="en-AU" w:bidi="en-US"/>
    </w:rPr>
  </w:style>
  <w:style w:type="table" w:customStyle="1" w:styleId="IHACPA">
    <w:name w:val="IHACPA"/>
    <w:basedOn w:val="TableNormal"/>
    <w:uiPriority w:val="99"/>
    <w:rsid w:val="00731E91"/>
    <w:pPr>
      <w:spacing w:after="0" w:line="240" w:lineRule="auto"/>
    </w:pPr>
    <w:tblPr>
      <w:tblBorders>
        <w:bottom w:val="single" w:sz="4" w:space="0" w:color="DFECFB" w:themeColor="accent1" w:themeTint="1A"/>
        <w:insideH w:val="single" w:sz="4" w:space="0" w:color="DFECFB" w:themeColor="accent1" w:themeTint="1A"/>
      </w:tblBorders>
    </w:tblPr>
    <w:tblStylePr w:type="firstRow">
      <w:rPr>
        <w:rFonts w:asciiTheme="minorHAnsi" w:hAnsiTheme="minorHAnsi"/>
        <w:b/>
        <w:color w:val="FFFFFF" w:themeColor="background1"/>
      </w:rPr>
      <w:tblPr/>
      <w:tcPr>
        <w:shd w:val="clear" w:color="auto" w:fill="44546A" w:themeFill="text2"/>
      </w:tcPr>
    </w:tblStylePr>
  </w:style>
  <w:style w:type="paragraph" w:customStyle="1" w:styleId="TOCheaders">
    <w:name w:val="TOC headers"/>
    <w:basedOn w:val="TOC1"/>
    <w:link w:val="TOCheadersChar"/>
    <w:qFormat/>
    <w:rsid w:val="009E365D"/>
    <w:pPr>
      <w:spacing w:after="0" w:line="312" w:lineRule="auto"/>
    </w:pPr>
  </w:style>
  <w:style w:type="paragraph" w:customStyle="1" w:styleId="TOCsubheadings">
    <w:name w:val="TOC subheadings"/>
    <w:basedOn w:val="TOC2"/>
    <w:link w:val="TOCsubheadingsChar"/>
    <w:qFormat/>
    <w:rsid w:val="007D1C3F"/>
    <w:pPr>
      <w:spacing w:after="0" w:line="312" w:lineRule="auto"/>
    </w:pPr>
  </w:style>
  <w:style w:type="character" w:customStyle="1" w:styleId="TOC1Char">
    <w:name w:val="TOC 1 Char"/>
    <w:basedOn w:val="DefaultParagraphFont"/>
    <w:link w:val="TOC1"/>
    <w:uiPriority w:val="39"/>
    <w:rsid w:val="00523D86"/>
    <w:rPr>
      <w:rFonts w:asciiTheme="majorHAnsi" w:hAnsiTheme="majorHAnsi" w:cs="Arial"/>
      <w:b/>
      <w:bCs/>
      <w:noProof/>
      <w:sz w:val="16"/>
      <w:szCs w:val="16"/>
      <w:lang w:val="en-AU"/>
    </w:rPr>
  </w:style>
  <w:style w:type="character" w:customStyle="1" w:styleId="TOCheadersChar">
    <w:name w:val="TOC headers Char"/>
    <w:basedOn w:val="TOC1Char"/>
    <w:link w:val="TOCheaders"/>
    <w:rsid w:val="009E365D"/>
    <w:rPr>
      <w:rFonts w:ascii="Arial" w:hAnsi="Arial" w:cs="Arial"/>
      <w:b/>
      <w:bCs/>
      <w:noProof/>
      <w:sz w:val="16"/>
      <w:szCs w:val="16"/>
      <w:lang w:val="en-AU"/>
    </w:rPr>
  </w:style>
  <w:style w:type="character" w:customStyle="1" w:styleId="TOC2Char">
    <w:name w:val="TOC 2 Char"/>
    <w:basedOn w:val="DefaultParagraphFont"/>
    <w:link w:val="TOC2"/>
    <w:uiPriority w:val="39"/>
    <w:rsid w:val="002A465C"/>
    <w:rPr>
      <w:rFonts w:ascii="Arial" w:hAnsi="Arial"/>
      <w:noProof/>
      <w:sz w:val="16"/>
      <w:szCs w:val="16"/>
      <w:lang w:val="en-AU"/>
    </w:rPr>
  </w:style>
  <w:style w:type="character" w:customStyle="1" w:styleId="TOCsubheadingsChar">
    <w:name w:val="TOC subheadings Char"/>
    <w:basedOn w:val="TOC2Char"/>
    <w:link w:val="TOCsubheadings"/>
    <w:rsid w:val="007D1C3F"/>
    <w:rPr>
      <w:rFonts w:ascii="Arial" w:hAnsi="Arial"/>
      <w:noProof/>
      <w:sz w:val="16"/>
      <w:szCs w:val="16"/>
      <w:lang w:val="en-AU"/>
    </w:rPr>
  </w:style>
  <w:style w:type="character" w:styleId="FollowedHyperlink">
    <w:name w:val="FollowedHyperlink"/>
    <w:basedOn w:val="DefaultParagraphFont"/>
    <w:uiPriority w:val="99"/>
    <w:semiHidden/>
    <w:unhideWhenUsed/>
    <w:rsid w:val="00516FD0"/>
    <w:rPr>
      <w:color w:val="104F99" w:themeColor="followedHyperlink"/>
      <w:u w:val="single"/>
    </w:rPr>
  </w:style>
  <w:style w:type="character" w:styleId="CommentReference">
    <w:name w:val="annotation reference"/>
    <w:basedOn w:val="DefaultParagraphFont"/>
    <w:uiPriority w:val="99"/>
    <w:semiHidden/>
    <w:unhideWhenUsed/>
    <w:rsid w:val="00BA1007"/>
    <w:rPr>
      <w:sz w:val="16"/>
      <w:szCs w:val="16"/>
    </w:rPr>
  </w:style>
  <w:style w:type="paragraph" w:styleId="CommentText">
    <w:name w:val="annotation text"/>
    <w:basedOn w:val="Normal"/>
    <w:link w:val="CommentTextChar"/>
    <w:uiPriority w:val="99"/>
    <w:unhideWhenUsed/>
    <w:rsid w:val="00BA1007"/>
    <w:pPr>
      <w:spacing w:line="240" w:lineRule="auto"/>
    </w:pPr>
    <w:rPr>
      <w:sz w:val="20"/>
      <w:szCs w:val="20"/>
    </w:rPr>
  </w:style>
  <w:style w:type="character" w:customStyle="1" w:styleId="CommentTextChar">
    <w:name w:val="Comment Text Char"/>
    <w:basedOn w:val="DefaultParagraphFont"/>
    <w:link w:val="CommentText"/>
    <w:uiPriority w:val="99"/>
    <w:rsid w:val="00BA1007"/>
    <w:rPr>
      <w:sz w:val="20"/>
      <w:szCs w:val="20"/>
      <w:lang w:val="en-AU"/>
    </w:rPr>
  </w:style>
  <w:style w:type="paragraph" w:styleId="CommentSubject">
    <w:name w:val="annotation subject"/>
    <w:basedOn w:val="CommentText"/>
    <w:next w:val="CommentText"/>
    <w:link w:val="CommentSubjectChar"/>
    <w:uiPriority w:val="99"/>
    <w:semiHidden/>
    <w:unhideWhenUsed/>
    <w:rsid w:val="00BA1007"/>
    <w:rPr>
      <w:b/>
      <w:bCs/>
    </w:rPr>
  </w:style>
  <w:style w:type="character" w:customStyle="1" w:styleId="CommentSubjectChar">
    <w:name w:val="Comment Subject Char"/>
    <w:basedOn w:val="CommentTextChar"/>
    <w:link w:val="CommentSubject"/>
    <w:uiPriority w:val="99"/>
    <w:semiHidden/>
    <w:rsid w:val="00BA1007"/>
    <w:rPr>
      <w:b/>
      <w:bCs/>
      <w:sz w:val="20"/>
      <w:szCs w:val="20"/>
      <w:lang w:val="en-AU"/>
    </w:rPr>
  </w:style>
  <w:style w:type="character" w:customStyle="1" w:styleId="Heading6Char">
    <w:name w:val="Heading 6 Char"/>
    <w:basedOn w:val="DefaultParagraphFont"/>
    <w:link w:val="Heading6"/>
    <w:uiPriority w:val="9"/>
    <w:semiHidden/>
    <w:rsid w:val="00FB1548"/>
    <w:rPr>
      <w:rFonts w:ascii="Josefin Sans" w:eastAsiaTheme="majorEastAsia" w:hAnsi="Josefin Sans" w:cstheme="majorBidi"/>
      <w:b/>
      <w:color w:val="08274C" w:themeColor="accent1" w:themeShade="7F"/>
      <w:lang w:val="en-AU"/>
    </w:rPr>
  </w:style>
  <w:style w:type="paragraph" w:styleId="Title">
    <w:name w:val="Title"/>
    <w:basedOn w:val="Normal"/>
    <w:next w:val="Normal"/>
    <w:link w:val="TitleChar"/>
    <w:uiPriority w:val="10"/>
    <w:qFormat/>
    <w:rsid w:val="00FB1548"/>
    <w:pPr>
      <w:spacing w:after="0" w:line="240" w:lineRule="auto"/>
      <w:contextualSpacing/>
    </w:pPr>
    <w:rPr>
      <w:rFonts w:ascii="Josefin Sans" w:eastAsiaTheme="majorEastAsia" w:hAnsi="Josefin Sans" w:cstheme="majorBidi"/>
      <w:b/>
      <w:spacing w:val="-10"/>
      <w:kern w:val="28"/>
      <w:sz w:val="56"/>
      <w:szCs w:val="56"/>
    </w:rPr>
  </w:style>
  <w:style w:type="character" w:customStyle="1" w:styleId="TitleChar">
    <w:name w:val="Title Char"/>
    <w:basedOn w:val="DefaultParagraphFont"/>
    <w:link w:val="Title"/>
    <w:uiPriority w:val="10"/>
    <w:rsid w:val="00FB1548"/>
    <w:rPr>
      <w:rFonts w:ascii="Josefin Sans" w:eastAsiaTheme="majorEastAsia" w:hAnsi="Josefin Sans" w:cstheme="majorBidi"/>
      <w:b/>
      <w:spacing w:val="-10"/>
      <w:kern w:val="28"/>
      <w:sz w:val="56"/>
      <w:szCs w:val="56"/>
      <w:lang w:val="en-AU"/>
    </w:rPr>
  </w:style>
  <w:style w:type="paragraph" w:styleId="Subtitle">
    <w:name w:val="Subtitle"/>
    <w:basedOn w:val="Normal"/>
    <w:next w:val="Normal"/>
    <w:link w:val="SubtitleChar"/>
    <w:uiPriority w:val="11"/>
    <w:qFormat/>
    <w:rsid w:val="00FB15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1548"/>
    <w:rPr>
      <w:rFonts w:ascii="Fira Sans" w:eastAsiaTheme="minorEastAsia" w:hAnsi="Fira Sans"/>
      <w:color w:val="5A5A5A" w:themeColor="text1" w:themeTint="A5"/>
      <w:spacing w:val="15"/>
      <w:lang w:val="en-AU"/>
    </w:rPr>
  </w:style>
  <w:style w:type="character" w:styleId="SubtleEmphasis">
    <w:name w:val="Subtle Emphasis"/>
    <w:basedOn w:val="DefaultParagraphFont"/>
    <w:uiPriority w:val="19"/>
    <w:qFormat/>
    <w:rsid w:val="009E365D"/>
    <w:rPr>
      <w:i/>
      <w:iCs/>
      <w:color w:val="404040" w:themeColor="text1" w:themeTint="BF"/>
    </w:rPr>
  </w:style>
  <w:style w:type="character" w:styleId="Emphasis">
    <w:name w:val="Emphasis"/>
    <w:basedOn w:val="DefaultParagraphFont"/>
    <w:uiPriority w:val="20"/>
    <w:qFormat/>
    <w:rsid w:val="009E365D"/>
    <w:rPr>
      <w:i/>
      <w:iCs/>
    </w:rPr>
  </w:style>
  <w:style w:type="character" w:styleId="IntenseEmphasis">
    <w:name w:val="Intense Emphasis"/>
    <w:basedOn w:val="DefaultParagraphFont"/>
    <w:uiPriority w:val="21"/>
    <w:qFormat/>
    <w:rsid w:val="009E365D"/>
    <w:rPr>
      <w:i/>
      <w:iCs/>
      <w:color w:val="104F99" w:themeColor="accent1"/>
    </w:rPr>
  </w:style>
  <w:style w:type="character" w:styleId="Strong">
    <w:name w:val="Strong"/>
    <w:basedOn w:val="DefaultParagraphFont"/>
    <w:uiPriority w:val="22"/>
    <w:qFormat/>
    <w:rsid w:val="009E365D"/>
    <w:rPr>
      <w:rFonts w:ascii="Arial" w:hAnsi="Arial"/>
      <w:b/>
      <w:bCs/>
      <w:i w:val="0"/>
    </w:rPr>
  </w:style>
  <w:style w:type="paragraph" w:styleId="Quote">
    <w:name w:val="Quote"/>
    <w:basedOn w:val="Normal"/>
    <w:next w:val="Normal"/>
    <w:link w:val="QuoteChar"/>
    <w:uiPriority w:val="29"/>
    <w:qFormat/>
    <w:rsid w:val="009E36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365D"/>
    <w:rPr>
      <w:rFonts w:ascii="Fira Sans" w:hAnsi="Fira Sans"/>
      <w:i/>
      <w:iCs/>
      <w:color w:val="404040" w:themeColor="text1" w:themeTint="BF"/>
      <w:lang w:val="en-AU"/>
    </w:rPr>
  </w:style>
  <w:style w:type="paragraph" w:styleId="IntenseQuote">
    <w:name w:val="Intense Quote"/>
    <w:basedOn w:val="Normal"/>
    <w:next w:val="Normal"/>
    <w:link w:val="IntenseQuoteChar"/>
    <w:uiPriority w:val="30"/>
    <w:qFormat/>
    <w:rsid w:val="009E365D"/>
    <w:pPr>
      <w:pBdr>
        <w:top w:val="single" w:sz="4" w:space="10" w:color="104F99" w:themeColor="accent1"/>
        <w:bottom w:val="single" w:sz="4" w:space="10" w:color="104F99" w:themeColor="accent1"/>
      </w:pBdr>
      <w:spacing w:before="360" w:after="360"/>
      <w:ind w:left="864" w:right="864"/>
      <w:jc w:val="center"/>
    </w:pPr>
    <w:rPr>
      <w:i/>
      <w:iCs/>
      <w:color w:val="104F99" w:themeColor="accent1"/>
    </w:rPr>
  </w:style>
  <w:style w:type="character" w:customStyle="1" w:styleId="IntenseQuoteChar">
    <w:name w:val="Intense Quote Char"/>
    <w:basedOn w:val="DefaultParagraphFont"/>
    <w:link w:val="IntenseQuote"/>
    <w:uiPriority w:val="30"/>
    <w:rsid w:val="009E365D"/>
    <w:rPr>
      <w:rFonts w:ascii="Fira Sans" w:hAnsi="Fira Sans"/>
      <w:i/>
      <w:iCs/>
      <w:color w:val="104F99" w:themeColor="accent1"/>
      <w:lang w:val="en-AU"/>
    </w:rPr>
  </w:style>
  <w:style w:type="character" w:styleId="SubtleReference">
    <w:name w:val="Subtle Reference"/>
    <w:basedOn w:val="DefaultParagraphFont"/>
    <w:uiPriority w:val="31"/>
    <w:qFormat/>
    <w:rsid w:val="009E365D"/>
    <w:rPr>
      <w:smallCaps/>
      <w:color w:val="5A5A5A" w:themeColor="text1" w:themeTint="A5"/>
    </w:rPr>
  </w:style>
  <w:style w:type="character" w:styleId="IntenseReference">
    <w:name w:val="Intense Reference"/>
    <w:basedOn w:val="DefaultParagraphFont"/>
    <w:uiPriority w:val="32"/>
    <w:qFormat/>
    <w:rsid w:val="009E365D"/>
    <w:rPr>
      <w:rFonts w:ascii="Arial" w:hAnsi="Arial"/>
      <w:b/>
      <w:bCs/>
      <w:i w:val="0"/>
      <w:smallCaps/>
      <w:color w:val="104F99" w:themeColor="accent1"/>
      <w:spacing w:val="5"/>
    </w:rPr>
  </w:style>
  <w:style w:type="character" w:styleId="BookTitle">
    <w:name w:val="Book Title"/>
    <w:basedOn w:val="DefaultParagraphFont"/>
    <w:uiPriority w:val="33"/>
    <w:qFormat/>
    <w:rsid w:val="009E365D"/>
    <w:rPr>
      <w:rFonts w:ascii="Arial" w:hAnsi="Arial"/>
      <w:b/>
      <w:bCs/>
      <w:i/>
      <w:iCs/>
      <w:spacing w:val="5"/>
    </w:rPr>
  </w:style>
  <w:style w:type="paragraph" w:styleId="ListParagraph">
    <w:name w:val="List Paragraph"/>
    <w:aliases w:val="List Paragraph1,Recommendation,Bullet L1,Bullet table"/>
    <w:basedOn w:val="Normal"/>
    <w:link w:val="ListParagraphChar"/>
    <w:uiPriority w:val="34"/>
    <w:qFormat/>
    <w:rsid w:val="009E365D"/>
    <w:pPr>
      <w:ind w:left="720"/>
      <w:contextualSpacing/>
    </w:pPr>
  </w:style>
  <w:style w:type="paragraph" w:customStyle="1" w:styleId="Heading-Sectionstart">
    <w:name w:val="Heading - Section start"/>
    <w:basedOn w:val="Heading1"/>
    <w:link w:val="Heading-SectionstartChar"/>
    <w:qFormat/>
    <w:rsid w:val="000258BC"/>
    <w:rPr>
      <w:color w:val="54C1AF" w:themeColor="accent4"/>
    </w:rPr>
  </w:style>
  <w:style w:type="paragraph" w:customStyle="1" w:styleId="Hyperlinktext">
    <w:name w:val="Hyperlink text"/>
    <w:basedOn w:val="Body"/>
    <w:link w:val="HyperlinktextChar"/>
    <w:qFormat/>
    <w:rsid w:val="00D81115"/>
    <w:pPr>
      <w:spacing w:after="0" w:line="240" w:lineRule="auto"/>
    </w:pPr>
    <w:rPr>
      <w:color w:val="009055" w:themeColor="accent5"/>
      <w:u w:val="single"/>
    </w:rPr>
  </w:style>
  <w:style w:type="character" w:customStyle="1" w:styleId="Heading-SectionstartChar">
    <w:name w:val="Heading - Section start Char"/>
    <w:basedOn w:val="Heading1Char"/>
    <w:link w:val="Heading-Sectionstart"/>
    <w:rsid w:val="000258BC"/>
    <w:rPr>
      <w:rFonts w:ascii="Josefin Sans" w:eastAsiaTheme="majorEastAsia" w:hAnsi="Josefin Sans" w:cstheme="majorBidi"/>
      <w:b/>
      <w:color w:val="54C1AF" w:themeColor="accent4"/>
      <w:sz w:val="60"/>
      <w:szCs w:val="32"/>
      <w:lang w:val="en-AU"/>
    </w:rPr>
  </w:style>
  <w:style w:type="character" w:customStyle="1" w:styleId="HyperlinktextChar">
    <w:name w:val="Hyperlink text Char"/>
    <w:basedOn w:val="BodyChar"/>
    <w:link w:val="Hyperlinktext"/>
    <w:rsid w:val="00D81115"/>
    <w:rPr>
      <w:rFonts w:ascii="Arial" w:hAnsi="Arial"/>
      <w:color w:val="009055" w:themeColor="accent5"/>
      <w:sz w:val="18"/>
      <w:szCs w:val="18"/>
      <w:u w:val="single"/>
      <w:lang w:val="en-AU"/>
    </w:rPr>
  </w:style>
  <w:style w:type="character" w:customStyle="1" w:styleId="ListParagraphChar">
    <w:name w:val="List Paragraph Char"/>
    <w:aliases w:val="List Paragraph1 Char,Recommendation Char,Bullet L1 Char,Bullet table Char"/>
    <w:basedOn w:val="DefaultParagraphFont"/>
    <w:link w:val="ListParagraph"/>
    <w:uiPriority w:val="34"/>
    <w:locked/>
    <w:rsid w:val="000C07E4"/>
    <w:rPr>
      <w:rFonts w:ascii="Arial" w:hAnsi="Arial"/>
      <w:lang w:val="en-AU"/>
    </w:rPr>
  </w:style>
  <w:style w:type="paragraph" w:styleId="BodyText">
    <w:name w:val="Body Text"/>
    <w:basedOn w:val="Normal"/>
    <w:link w:val="BodyTextChar"/>
    <w:uiPriority w:val="1"/>
    <w:qFormat/>
    <w:rsid w:val="000C07E4"/>
    <w:pPr>
      <w:widowControl w:val="0"/>
      <w:autoSpaceDE w:val="0"/>
      <w:autoSpaceDN w:val="0"/>
      <w:spacing w:before="163" w:after="0" w:line="256" w:lineRule="auto"/>
      <w:ind w:right="143"/>
    </w:pPr>
    <w:rPr>
      <w:rFonts w:ascii="Fira Sans" w:eastAsia="Futura PT Book" w:hAnsi="Fira Sans" w:cs="Futura PT Book"/>
      <w:color w:val="58595B"/>
      <w:sz w:val="19"/>
      <w:szCs w:val="19"/>
      <w:lang w:bidi="en-US"/>
    </w:rPr>
  </w:style>
  <w:style w:type="character" w:customStyle="1" w:styleId="BodyTextChar">
    <w:name w:val="Body Text Char"/>
    <w:basedOn w:val="DefaultParagraphFont"/>
    <w:link w:val="BodyText"/>
    <w:uiPriority w:val="1"/>
    <w:rsid w:val="000C07E4"/>
    <w:rPr>
      <w:rFonts w:ascii="Fira Sans" w:eastAsia="Futura PT Book" w:hAnsi="Fira Sans" w:cs="Futura PT Book"/>
      <w:color w:val="58595B"/>
      <w:sz w:val="19"/>
      <w:szCs w:val="19"/>
      <w:lang w:val="en-AU" w:bidi="en-US"/>
    </w:rPr>
  </w:style>
  <w:style w:type="paragraph" w:styleId="TOCHeading">
    <w:name w:val="TOC Heading"/>
    <w:basedOn w:val="Heading1"/>
    <w:next w:val="Normal"/>
    <w:uiPriority w:val="39"/>
    <w:unhideWhenUsed/>
    <w:qFormat/>
    <w:rsid w:val="004E0E0C"/>
    <w:pPr>
      <w:spacing w:after="0"/>
      <w:outlineLvl w:val="9"/>
    </w:pPr>
    <w:rPr>
      <w:rFonts w:asciiTheme="majorHAnsi" w:hAnsiTheme="majorHAnsi"/>
      <w:b w:val="0"/>
      <w:color w:val="0C3A72" w:themeColor="accent1" w:themeShade="BF"/>
      <w:sz w:val="32"/>
      <w:lang w:val="en-US"/>
    </w:rPr>
  </w:style>
  <w:style w:type="paragraph" w:styleId="NormalWeb">
    <w:name w:val="Normal (Web)"/>
    <w:basedOn w:val="Normal"/>
    <w:uiPriority w:val="99"/>
    <w:semiHidden/>
    <w:unhideWhenUsed/>
    <w:rsid w:val="000450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85B02"/>
    <w:pPr>
      <w:spacing w:after="0" w:line="240" w:lineRule="auto"/>
    </w:pPr>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5755">
      <w:bodyDiv w:val="1"/>
      <w:marLeft w:val="0"/>
      <w:marRight w:val="0"/>
      <w:marTop w:val="0"/>
      <w:marBottom w:val="0"/>
      <w:divBdr>
        <w:top w:val="none" w:sz="0" w:space="0" w:color="auto"/>
        <w:left w:val="none" w:sz="0" w:space="0" w:color="auto"/>
        <w:bottom w:val="none" w:sz="0" w:space="0" w:color="auto"/>
        <w:right w:val="none" w:sz="0" w:space="0" w:color="auto"/>
      </w:divBdr>
    </w:div>
    <w:div w:id="525288202">
      <w:bodyDiv w:val="1"/>
      <w:marLeft w:val="0"/>
      <w:marRight w:val="0"/>
      <w:marTop w:val="0"/>
      <w:marBottom w:val="0"/>
      <w:divBdr>
        <w:top w:val="none" w:sz="0" w:space="0" w:color="auto"/>
        <w:left w:val="none" w:sz="0" w:space="0" w:color="auto"/>
        <w:bottom w:val="none" w:sz="0" w:space="0" w:color="auto"/>
        <w:right w:val="none" w:sz="0" w:space="0" w:color="auto"/>
      </w:divBdr>
    </w:div>
    <w:div w:id="552693587">
      <w:bodyDiv w:val="1"/>
      <w:marLeft w:val="0"/>
      <w:marRight w:val="0"/>
      <w:marTop w:val="0"/>
      <w:marBottom w:val="0"/>
      <w:divBdr>
        <w:top w:val="none" w:sz="0" w:space="0" w:color="auto"/>
        <w:left w:val="none" w:sz="0" w:space="0" w:color="auto"/>
        <w:bottom w:val="none" w:sz="0" w:space="0" w:color="auto"/>
        <w:right w:val="none" w:sz="0" w:space="0" w:color="auto"/>
      </w:divBdr>
    </w:div>
    <w:div w:id="607929601">
      <w:bodyDiv w:val="1"/>
      <w:marLeft w:val="0"/>
      <w:marRight w:val="0"/>
      <w:marTop w:val="0"/>
      <w:marBottom w:val="0"/>
      <w:divBdr>
        <w:top w:val="none" w:sz="0" w:space="0" w:color="auto"/>
        <w:left w:val="none" w:sz="0" w:space="0" w:color="auto"/>
        <w:bottom w:val="none" w:sz="0" w:space="0" w:color="auto"/>
        <w:right w:val="none" w:sz="0" w:space="0" w:color="auto"/>
      </w:divBdr>
    </w:div>
    <w:div w:id="161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ihacpa.gov.au/resources/national-efficient-cost-determination-2023-24" TargetMode="External"/><Relationship Id="rId21" Type="http://schemas.openxmlformats.org/officeDocument/2006/relationships/header" Target="header5.xml"/><Relationship Id="rId42" Type="http://schemas.openxmlformats.org/officeDocument/2006/relationships/footer" Target="footer11.xml"/><Relationship Id="rId47" Type="http://schemas.openxmlformats.org/officeDocument/2006/relationships/image" Target="media/image10.png"/><Relationship Id="rId63" Type="http://schemas.openxmlformats.org/officeDocument/2006/relationships/hyperlink" Target="https://www.ihacpa.gov.au/resources/national-pricing-model-materiality-policy-version-30" TargetMode="External"/><Relationship Id="rId68" Type="http://schemas.openxmlformats.org/officeDocument/2006/relationships/footer" Target="footer16.xml"/><Relationship Id="rId84" Type="http://schemas.openxmlformats.org/officeDocument/2006/relationships/footer" Target="footer21.xml"/><Relationship Id="rId89"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submissions.ihacpa@ihacpa.gov.au" TargetMode="External"/><Relationship Id="rId107" Type="http://schemas.openxmlformats.org/officeDocument/2006/relationships/hyperlink" Target="mailto:enquiries.ihacpa@ihacpa.gov.au" TargetMode="External"/><Relationship Id="rId11" Type="http://schemas.openxmlformats.org/officeDocument/2006/relationships/footer" Target="footer1.xml"/><Relationship Id="rId24" Type="http://schemas.openxmlformats.org/officeDocument/2006/relationships/hyperlink" Target="https://www.ihacpa.gov.au/sites/default/files/2022-12/Pricing%20Framework%20for%20Australian%20Public%20Hospital%20Services%202023-24%20-%20Consultation%20Report%20-%20Final.PDF"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yperlink" Target="https://www.ihacpa.gov.au/resources/governance-framework-development-admitted-care-classifications" TargetMode="External"/><Relationship Id="rId53" Type="http://schemas.openxmlformats.org/officeDocument/2006/relationships/footer" Target="footer14.xml"/><Relationship Id="rId58" Type="http://schemas.openxmlformats.org/officeDocument/2006/relationships/hyperlink" Target="https://www.ihacpa.gov.au/resources/adjustments-national-efficient-price-policy-version-40" TargetMode="External"/><Relationship Id="rId66" Type="http://schemas.openxmlformats.org/officeDocument/2006/relationships/footer" Target="footer15.xml"/><Relationship Id="rId74" Type="http://schemas.openxmlformats.org/officeDocument/2006/relationships/footer" Target="footer18.xml"/><Relationship Id="rId79" Type="http://schemas.openxmlformats.org/officeDocument/2006/relationships/header" Target="header26.xml"/><Relationship Id="rId87" Type="http://schemas.openxmlformats.org/officeDocument/2006/relationships/header" Target="header31.xml"/><Relationship Id="rId102" Type="http://schemas.openxmlformats.org/officeDocument/2006/relationships/header" Target="header36.xm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hacpa.gov.au/resources/national-efficient-price-determination-2023-24" TargetMode="External"/><Relationship Id="rId82" Type="http://schemas.openxmlformats.org/officeDocument/2006/relationships/header" Target="header28.xml"/><Relationship Id="rId90" Type="http://schemas.openxmlformats.org/officeDocument/2006/relationships/header" Target="header33.xml"/><Relationship Id="rId95" Type="http://schemas.openxmlformats.org/officeDocument/2006/relationships/hyperlink" Target="https://www.safetyandquality.gov.au/our-work/indicators/hospital-acquired-complications" TargetMode="External"/><Relationship Id="rId19" Type="http://schemas.openxmlformats.org/officeDocument/2006/relationships/header" Target="header4.xml"/><Relationship Id="rId14" Type="http://schemas.openxmlformats.org/officeDocument/2006/relationships/image" Target="media/image6.jpg"/><Relationship Id="rId22" Type="http://schemas.openxmlformats.org/officeDocument/2006/relationships/footer" Target="footer6.xml"/><Relationship Id="rId27" Type="http://schemas.openxmlformats.org/officeDocument/2006/relationships/image" Target="media/image8.png"/><Relationship Id="rId30" Type="http://schemas.openxmlformats.org/officeDocument/2006/relationships/hyperlink" Target="https://www.ihacpa.gov.au/consultations" TargetMode="Externa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image" Target="media/image11.svg"/><Relationship Id="rId56" Type="http://schemas.openxmlformats.org/officeDocument/2006/relationships/hyperlink" Target="https://www.ihacpa.gov.au/resources/covid-19-response-costing-and-pricing-guidelines" TargetMode="External"/><Relationship Id="rId64" Type="http://schemas.openxmlformats.org/officeDocument/2006/relationships/header" Target="header16.xml"/><Relationship Id="rId69" Type="http://schemas.openxmlformats.org/officeDocument/2006/relationships/header" Target="header19.xml"/><Relationship Id="rId77" Type="http://schemas.openxmlformats.org/officeDocument/2006/relationships/header" Target="header25.xml"/><Relationship Id="rId100" Type="http://schemas.openxmlformats.org/officeDocument/2006/relationships/header" Target="header35.xml"/><Relationship Id="rId105" Type="http://schemas.openxmlformats.org/officeDocument/2006/relationships/image" Target="media/image12.png"/><Relationship Id="rId8" Type="http://schemas.openxmlformats.org/officeDocument/2006/relationships/image" Target="media/image1.png"/><Relationship Id="rId51" Type="http://schemas.openxmlformats.org/officeDocument/2006/relationships/footer" Target="footer13.xml"/><Relationship Id="rId72" Type="http://schemas.openxmlformats.org/officeDocument/2006/relationships/footer" Target="footer17.xml"/><Relationship Id="rId80" Type="http://schemas.openxmlformats.org/officeDocument/2006/relationships/footer" Target="footer20.xml"/><Relationship Id="rId85" Type="http://schemas.openxmlformats.org/officeDocument/2006/relationships/header" Target="header30.xml"/><Relationship Id="rId93" Type="http://schemas.openxmlformats.org/officeDocument/2006/relationships/hyperlink" Target="https://www.ihacpa.gov.au/resources/national-efficient-price-determination-2023-24" TargetMode="External"/><Relationship Id="rId98" Type="http://schemas.openxmlformats.org/officeDocument/2006/relationships/hyperlink" Target="https://www.safetyandquality.gov.au/our-work/indicators/avoidable-hospital-readmission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ihacpa.gov.au/resources/national-efficient-price-determination-2023-24"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s://www.who.int/standards/classifications/classification-of-diseases" TargetMode="External"/><Relationship Id="rId59" Type="http://schemas.openxmlformats.org/officeDocument/2006/relationships/hyperlink" Target="https://www.ihacpa.gov.au/resources/adjustments-national-efficient-price-policy-version-40" TargetMode="External"/><Relationship Id="rId67" Type="http://schemas.openxmlformats.org/officeDocument/2006/relationships/header" Target="header18.xml"/><Relationship Id="rId103" Type="http://schemas.openxmlformats.org/officeDocument/2006/relationships/footer" Target="footer26.xml"/><Relationship Id="rId108" Type="http://schemas.openxmlformats.org/officeDocument/2006/relationships/header" Target="header38.xml"/><Relationship Id="rId20" Type="http://schemas.openxmlformats.org/officeDocument/2006/relationships/footer" Target="footer5.xml"/><Relationship Id="rId41" Type="http://schemas.openxmlformats.org/officeDocument/2006/relationships/header" Target="header11.xml"/><Relationship Id="rId54" Type="http://schemas.openxmlformats.org/officeDocument/2006/relationships/hyperlink" Target="https://www.ihacpa.gov.au/resources/national-pricing-model-stability-policy-version-50" TargetMode="External"/><Relationship Id="rId62" Type="http://schemas.openxmlformats.org/officeDocument/2006/relationships/hyperlink" Target="https://www.ihacpa.gov.au/resources/adjustments-national-efficient-price-policy-version-40" TargetMode="External"/><Relationship Id="rId70" Type="http://schemas.openxmlformats.org/officeDocument/2006/relationships/header" Target="header20.xml"/><Relationship Id="rId75" Type="http://schemas.openxmlformats.org/officeDocument/2006/relationships/header" Target="header23.xml"/><Relationship Id="rId83" Type="http://schemas.openxmlformats.org/officeDocument/2006/relationships/header" Target="header29.xml"/><Relationship Id="rId88" Type="http://schemas.openxmlformats.org/officeDocument/2006/relationships/header" Target="header32.xml"/><Relationship Id="rId91" Type="http://schemas.openxmlformats.org/officeDocument/2006/relationships/footer" Target="footer24.xml"/><Relationship Id="rId96" Type="http://schemas.openxmlformats.org/officeDocument/2006/relationships/hyperlink" Target="https://www.ihacpa.gov.au/resources/national-efficient-price-determination-2023-24"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ihacpa.gov.au/resources/pricing-framework-australian-public-hospital-services-2023-24" TargetMode="External"/><Relationship Id="rId28" Type="http://schemas.openxmlformats.org/officeDocument/2006/relationships/image" Target="media/image9.svg"/><Relationship Id="rId36" Type="http://schemas.openxmlformats.org/officeDocument/2006/relationships/footer" Target="footer8.xml"/><Relationship Id="rId49" Type="http://schemas.openxmlformats.org/officeDocument/2006/relationships/header" Target="header13.xml"/><Relationship Id="rId57" Type="http://schemas.openxmlformats.org/officeDocument/2006/relationships/hyperlink" Target="https://www.ihacpa.gov.au/resources/national-efficient-price-determination-2023-24" TargetMode="External"/><Relationship Id="rId106" Type="http://schemas.openxmlformats.org/officeDocument/2006/relationships/image" Target="media/image13.svg"/><Relationship Id="rId10" Type="http://schemas.openxmlformats.org/officeDocument/2006/relationships/header" Target="header1.xml"/><Relationship Id="rId31" Type="http://schemas.openxmlformats.org/officeDocument/2006/relationships/hyperlink" Target="mailto:submissions.ihacpa@ihacpa.gov.au" TargetMode="External"/><Relationship Id="rId44" Type="http://schemas.openxmlformats.org/officeDocument/2006/relationships/footer" Target="footer12.xml"/><Relationship Id="rId52" Type="http://schemas.openxmlformats.org/officeDocument/2006/relationships/header" Target="header15.xml"/><Relationship Id="rId60" Type="http://schemas.openxmlformats.org/officeDocument/2006/relationships/hyperlink" Target="https://www.ihacpa.gov.au/resources/national-pricing-model-materiality-policy-version-30" TargetMode="External"/><Relationship Id="rId65" Type="http://schemas.openxmlformats.org/officeDocument/2006/relationships/header" Target="header17.xml"/><Relationship Id="rId73" Type="http://schemas.openxmlformats.org/officeDocument/2006/relationships/header" Target="header22.xml"/><Relationship Id="rId78" Type="http://schemas.openxmlformats.org/officeDocument/2006/relationships/footer" Target="footer19.xml"/><Relationship Id="rId81" Type="http://schemas.openxmlformats.org/officeDocument/2006/relationships/header" Target="header27.xml"/><Relationship Id="rId86" Type="http://schemas.openxmlformats.org/officeDocument/2006/relationships/footer" Target="footer22.xml"/><Relationship Id="rId94" Type="http://schemas.openxmlformats.org/officeDocument/2006/relationships/hyperlink" Target="https://www.ihacpa.gov.au/resources/national-pricing-model-technical-specifications-2023-24" TargetMode="External"/><Relationship Id="rId99" Type="http://schemas.openxmlformats.org/officeDocument/2006/relationships/header" Target="header34.xml"/><Relationship Id="rId101"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hyperlink" Target="https://creativecommons.org/licenses/by/3.0/au/" TargetMode="External"/><Relationship Id="rId18" Type="http://schemas.openxmlformats.org/officeDocument/2006/relationships/footer" Target="footer4.xml"/><Relationship Id="rId39" Type="http://schemas.openxmlformats.org/officeDocument/2006/relationships/header" Target="header10.xml"/><Relationship Id="rId109" Type="http://schemas.openxmlformats.org/officeDocument/2006/relationships/footer" Target="footer27.xml"/><Relationship Id="rId34" Type="http://schemas.openxmlformats.org/officeDocument/2006/relationships/footer" Target="footer7.xml"/><Relationship Id="rId50" Type="http://schemas.openxmlformats.org/officeDocument/2006/relationships/header" Target="header14.xml"/><Relationship Id="rId55" Type="http://schemas.openxmlformats.org/officeDocument/2006/relationships/hyperlink" Target="https://www.ihacpa.gov.au/resources/national-efficient-price-determination-2023-24" TargetMode="External"/><Relationship Id="rId76" Type="http://schemas.openxmlformats.org/officeDocument/2006/relationships/header" Target="header24.xml"/><Relationship Id="rId97" Type="http://schemas.openxmlformats.org/officeDocument/2006/relationships/hyperlink" Target="https://www.ihacpa.gov.au/resources/national-pricing-model-technical-specifications-2023-24" TargetMode="External"/><Relationship Id="rId104"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eader" Target="header21.xml"/><Relationship Id="rId92" Type="http://schemas.openxmlformats.org/officeDocument/2006/relationships/hyperlink" Target="https://www.safetyandquality.gov.au/our-work/indicators-measurement-and-reporting/incident-management-and-sentinel-ev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teor.aihw.gov.au/content/index.phtml/itemId/3272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7.png"/></Relationships>
</file>

<file path=word/_rels/header2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7.png"/></Relationships>
</file>

<file path=word/_rels/header2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1" Type="http://schemas.openxmlformats.org/officeDocument/2006/relationships/image" Target="media/image7.png"/></Relationships>
</file>

<file path=word/_rels/header30.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2.xml.rels><?xml version="1.0" encoding="UTF-8" standalone="yes"?>
<Relationships xmlns="http://schemas.openxmlformats.org/package/2006/relationships"><Relationship Id="rId1" Type="http://schemas.openxmlformats.org/officeDocument/2006/relationships/image" Target="media/image7.png"/></Relationships>
</file>

<file path=word/_rels/header3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7.png"/></Relationships>
</file>

<file path=word/_rels/header3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8.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HACPA - primary">
      <a:dk1>
        <a:sysClr val="windowText" lastClr="000000"/>
      </a:dk1>
      <a:lt1>
        <a:sysClr val="window" lastClr="FFFFFF"/>
      </a:lt1>
      <a:dk2>
        <a:srgbClr val="44546A"/>
      </a:dk2>
      <a:lt2>
        <a:srgbClr val="E7E6E6"/>
      </a:lt2>
      <a:accent1>
        <a:srgbClr val="104F99"/>
      </a:accent1>
      <a:accent2>
        <a:srgbClr val="0080C4"/>
      </a:accent2>
      <a:accent3>
        <a:srgbClr val="15272F"/>
      </a:accent3>
      <a:accent4>
        <a:srgbClr val="54C1AF"/>
      </a:accent4>
      <a:accent5>
        <a:srgbClr val="009055"/>
      </a:accent5>
      <a:accent6>
        <a:srgbClr val="70AD47"/>
      </a:accent6>
      <a:hlink>
        <a:srgbClr val="104F99"/>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FB8D-4317-4572-8510-7B77FC29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11386</Words>
  <Characters>64901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CONWAY, Julia</cp:lastModifiedBy>
  <cp:revision>4</cp:revision>
  <cp:lastPrinted>2023-06-07T04:02:00Z</cp:lastPrinted>
  <dcterms:created xsi:type="dcterms:W3CDTF">2023-06-07T04:03:00Z</dcterms:created>
  <dcterms:modified xsi:type="dcterms:W3CDTF">2023-06-13T23:53:00Z</dcterms:modified>
</cp:coreProperties>
</file>