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6.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7.xml" ContentType="application/vnd.openxmlformats-officedocument.wordprocessingml.foot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D98E" w14:textId="4F2FAAEB" w:rsidR="003C360C" w:rsidRPr="009E365D" w:rsidRDefault="001D3197" w:rsidP="002A465C">
      <w:pPr>
        <w:pStyle w:val="TOCsubheadings"/>
      </w:pPr>
      <w:r>
        <w:t xml:space="preserve">  </w:t>
      </w:r>
    </w:p>
    <w:p w14:paraId="4E49D884" w14:textId="17980D27" w:rsidR="005107C4" w:rsidRDefault="005107C4" w:rsidP="005107C4">
      <w:r>
        <w:br w:type="textWrapping" w:clear="all"/>
      </w:r>
    </w:p>
    <w:p w14:paraId="1A6955E9" w14:textId="54228266" w:rsidR="00916C26" w:rsidRPr="00E22DE4" w:rsidRDefault="00916C26" w:rsidP="00E22DE4">
      <w:pPr>
        <w:pStyle w:val="CoverTitle"/>
        <w:spacing w:before="7120" w:after="0" w:line="271" w:lineRule="auto"/>
        <w:ind w:right="1372"/>
        <w:rPr>
          <w:color w:val="81D3FF" w:themeColor="accent2" w:themeTint="66"/>
          <w:sz w:val="72"/>
          <w:szCs w:val="72"/>
        </w:rPr>
      </w:pPr>
      <w:bookmarkStart w:id="0" w:name="_Toc132722895"/>
      <w:bookmarkStart w:id="1" w:name="_Toc135043498"/>
      <w:bookmarkStart w:id="2" w:name="_Toc137552794"/>
      <w:r w:rsidRPr="00E22DE4">
        <w:rPr>
          <w:color w:val="81D3FF" w:themeColor="accent2" w:themeTint="66"/>
          <w:sz w:val="72"/>
          <w:szCs w:val="72"/>
        </w:rPr>
        <w:t>Consultation Paper</w:t>
      </w:r>
      <w:bookmarkEnd w:id="0"/>
      <w:bookmarkEnd w:id="1"/>
      <w:r w:rsidR="00F1071F">
        <w:rPr>
          <w:color w:val="81D3FF" w:themeColor="accent2" w:themeTint="66"/>
          <w:sz w:val="72"/>
          <w:szCs w:val="72"/>
        </w:rPr>
        <w:t xml:space="preserve"> on </w:t>
      </w:r>
      <w:r w:rsidR="0087575F" w:rsidRPr="00E22DE4">
        <w:rPr>
          <w:color w:val="81D3FF" w:themeColor="accent2" w:themeTint="66"/>
          <w:sz w:val="72"/>
          <w:szCs w:val="72"/>
        </w:rPr>
        <w:t>the Pricing Framework for Australian Residential Aged Care Services</w:t>
      </w:r>
      <w:r w:rsidR="00E22DE4" w:rsidRPr="00E22DE4">
        <w:rPr>
          <w:color w:val="81D3FF" w:themeColor="accent2" w:themeTint="66"/>
          <w:sz w:val="72"/>
          <w:szCs w:val="72"/>
        </w:rPr>
        <w:t xml:space="preserve"> </w:t>
      </w:r>
      <w:r w:rsidR="0087575F" w:rsidRPr="00E22DE4">
        <w:rPr>
          <w:color w:val="81D3FF" w:themeColor="accent2" w:themeTint="66"/>
          <w:sz w:val="72"/>
          <w:szCs w:val="72"/>
        </w:rPr>
        <w:t>2024–25</w:t>
      </w:r>
      <w:bookmarkEnd w:id="2"/>
    </w:p>
    <w:p w14:paraId="24FFEE39" w14:textId="1F67EA2C" w:rsidR="00916C26" w:rsidRPr="00E22DE4" w:rsidRDefault="00E22DE4" w:rsidP="00E22DE4">
      <w:pPr>
        <w:pStyle w:val="Body"/>
        <w:spacing w:before="1120"/>
        <w:rPr>
          <w:color w:val="FFFFFF" w:themeColor="background1"/>
        </w:rPr>
        <w:sectPr w:rsidR="00916C26" w:rsidRPr="00E22DE4" w:rsidSect="00EC36E3">
          <w:headerReference w:type="default" r:id="rId11"/>
          <w:footerReference w:type="default" r:id="rId12"/>
          <w:headerReference w:type="first" r:id="rId13"/>
          <w:pgSz w:w="11906" w:h="16838" w:code="9"/>
          <w:pgMar w:top="1440" w:right="1440" w:bottom="993" w:left="1440" w:header="708" w:footer="708" w:gutter="0"/>
          <w:cols w:space="708"/>
          <w:docGrid w:linePitch="360"/>
        </w:sectPr>
      </w:pPr>
      <w:bookmarkStart w:id="3" w:name="_Toc94521438"/>
      <w:r>
        <w:rPr>
          <w:noProof/>
          <w:color w:val="FFFFFF" w:themeColor="background1"/>
        </w:rPr>
        <w:drawing>
          <wp:anchor distT="0" distB="0" distL="114300" distR="114300" simplePos="0" relativeHeight="251669504" behindDoc="0" locked="0" layoutInCell="1" allowOverlap="1" wp14:anchorId="708F5DF1" wp14:editId="6BA6B0DF">
            <wp:simplePos x="0" y="0"/>
            <wp:positionH relativeFrom="column">
              <wp:posOffset>4826000</wp:posOffset>
            </wp:positionH>
            <wp:positionV relativeFrom="paragraph">
              <wp:posOffset>523240</wp:posOffset>
            </wp:positionV>
            <wp:extent cx="1058727" cy="663073"/>
            <wp:effectExtent l="0" t="0" r="8255" b="3810"/>
            <wp:wrapNone/>
            <wp:docPr id="32" name="Picture 32" descr="Independent Health and Aged Care Pricing Authority (IHA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 descr="Independent Health and Aged Care Pricing Authority (IHACPA) logo"/>
                    <pic:cNvPicPr>
                      <a:picLocks noChangeAspect="1" noChangeArrowheads="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1058727" cy="663073"/>
                    </a:xfrm>
                    <a:prstGeom prst="rect">
                      <a:avLst/>
                    </a:prstGeom>
                  </pic:spPr>
                </pic:pic>
              </a:graphicData>
            </a:graphic>
            <wp14:sizeRelH relativeFrom="margin">
              <wp14:pctWidth>0</wp14:pctWidth>
            </wp14:sizeRelH>
            <wp14:sizeRelV relativeFrom="margin">
              <wp14:pctHeight>0</wp14:pctHeight>
            </wp14:sizeRelV>
          </wp:anchor>
        </w:drawing>
      </w:r>
      <w:r w:rsidR="00916C26" w:rsidRPr="00E22DE4">
        <w:rPr>
          <w:color w:val="FFFFFF" w:themeColor="background1"/>
        </w:rPr>
        <w:t>Ju</w:t>
      </w:r>
      <w:r w:rsidR="0087575F" w:rsidRPr="00E22DE4">
        <w:rPr>
          <w:color w:val="FFFFFF" w:themeColor="background1"/>
        </w:rPr>
        <w:t>ly</w:t>
      </w:r>
      <w:r w:rsidR="00916C26" w:rsidRPr="00E22DE4">
        <w:rPr>
          <w:color w:val="FFFFFF" w:themeColor="background1"/>
        </w:rPr>
        <w:t xml:space="preserve"> 2023</w:t>
      </w:r>
    </w:p>
    <w:p w14:paraId="60BBB862" w14:textId="668EFC2D" w:rsidR="00916C26" w:rsidRDefault="00916C26" w:rsidP="000D0D9B">
      <w:pPr>
        <w:pStyle w:val="Heading4"/>
        <w:framePr w:wrap="around"/>
        <w:ind w:right="2226"/>
        <w:rPr>
          <w:highlight w:val="yellow"/>
        </w:rPr>
      </w:pPr>
      <w:r>
        <w:lastRenderedPageBreak/>
        <w:t xml:space="preserve">Consultation Paper on the Pricing Framework for Australian </w:t>
      </w:r>
      <w:r w:rsidR="00EF59E0">
        <w:t>Residential Aged Care</w:t>
      </w:r>
      <w:r>
        <w:t xml:space="preserve"> Services 2024</w:t>
      </w:r>
      <w:r w:rsidRPr="00E7350B">
        <w:t>–</w:t>
      </w:r>
      <w:r>
        <w:t xml:space="preserve">25 </w:t>
      </w:r>
      <w:r>
        <w:rPr>
          <w:rFonts w:hint="cs"/>
        </w:rPr>
        <w:t>—</w:t>
      </w:r>
      <w:r>
        <w:t xml:space="preserve"> Ju</w:t>
      </w:r>
      <w:r w:rsidR="00EF59E0">
        <w:t>ly</w:t>
      </w:r>
      <w:r>
        <w:t xml:space="preserve"> 2023</w:t>
      </w:r>
      <w:r w:rsidR="00EF59E0">
        <w:t xml:space="preserve"> </w:t>
      </w:r>
    </w:p>
    <w:p w14:paraId="1C9D6A6F" w14:textId="77777777" w:rsidR="00916C26" w:rsidRPr="00267F1F" w:rsidRDefault="00916C26" w:rsidP="00916C26">
      <w:pPr>
        <w:pStyle w:val="Body"/>
        <w:ind w:right="4064"/>
      </w:pPr>
      <w:r w:rsidRPr="00267F1F">
        <w:rPr>
          <w:rFonts w:hint="cs"/>
        </w:rPr>
        <w:t>©</w:t>
      </w:r>
      <w:r w:rsidRPr="00267F1F">
        <w:t xml:space="preserve"> Independent Health and Aged Care Pricing Authority 2023</w:t>
      </w:r>
    </w:p>
    <w:p w14:paraId="5E08EE34" w14:textId="77777777" w:rsidR="00916C26" w:rsidRPr="00267F1F" w:rsidRDefault="00916C26" w:rsidP="00916C26">
      <w:pPr>
        <w:pStyle w:val="Body"/>
        <w:ind w:right="4064"/>
      </w:pPr>
      <w:r w:rsidRPr="00267F1F">
        <w:t xml:space="preserve">This publication is available for your use under a </w:t>
      </w:r>
      <w:hyperlink r:id="rId16" w:history="1">
        <w:r w:rsidRPr="002C5ECE">
          <w:rPr>
            <w:rStyle w:val="HyperlinktextChar"/>
          </w:rPr>
          <w:t>Creative Commons BY Attribution 3.0 Australia licence</w:t>
        </w:r>
      </w:hyperlink>
      <w:r w:rsidRPr="00267F1F">
        <w:t>, with the exception of the Independent Health and Aged Care Pricing Authority logo, photographs, images, signatures and where otherwise stated. The full licence terms are available from the Creative Commons website.</w:t>
      </w:r>
    </w:p>
    <w:p w14:paraId="17A71E7B" w14:textId="77777777" w:rsidR="00916C26" w:rsidRDefault="00916C26" w:rsidP="00916C26">
      <w:pPr>
        <w:pStyle w:val="Body"/>
        <w:ind w:right="4064"/>
      </w:pPr>
      <w:r w:rsidRPr="0065414C">
        <w:rPr>
          <w:rFonts w:cs="Arial"/>
          <w:noProof/>
          <w:sz w:val="22"/>
          <w:lang w:eastAsia="en-AU"/>
        </w:rPr>
        <w:drawing>
          <wp:inline distT="0" distB="0" distL="0" distR="0" wp14:anchorId="467BE5A9" wp14:editId="1A266581">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7">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t xml:space="preserve"> </w:t>
      </w:r>
    </w:p>
    <w:p w14:paraId="01490325" w14:textId="77777777" w:rsidR="00916C26" w:rsidRPr="00267F1F" w:rsidRDefault="00916C26" w:rsidP="00916C26">
      <w:pPr>
        <w:pStyle w:val="Body"/>
        <w:ind w:right="4064"/>
      </w:pPr>
      <w:r w:rsidRPr="00267F1F">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w:t>
      </w:r>
      <w:r w:rsidRPr="00267F1F">
        <w:rPr>
          <w:rFonts w:hint="cs"/>
        </w:rPr>
        <w:t> </w:t>
      </w:r>
      <w:r w:rsidRPr="00267F1F">
        <w:t>work).</w:t>
      </w:r>
    </w:p>
    <w:p w14:paraId="690A473B" w14:textId="77777777" w:rsidR="00916C26" w:rsidRPr="00267F1F" w:rsidRDefault="00916C26" w:rsidP="00916C26">
      <w:pPr>
        <w:pStyle w:val="Body"/>
        <w:ind w:right="4064"/>
      </w:pPr>
      <w:r w:rsidRPr="00267F1F">
        <w:t>Independent Health and Aged Care Pricing Authority material used 'as supplied'.</w:t>
      </w:r>
    </w:p>
    <w:p w14:paraId="4A5B8364" w14:textId="77777777" w:rsidR="00916C26" w:rsidRPr="00267F1F" w:rsidRDefault="00916C26" w:rsidP="00916C26">
      <w:pPr>
        <w:pStyle w:val="Body"/>
        <w:ind w:right="4064"/>
      </w:pPr>
      <w:r w:rsidRPr="00267F1F">
        <w:t xml:space="preserve">Provided you have not modified or transformed Independent Health and Aged Care Pricing Authority material in any way including, for example, by changing Independent Health and Aged Care Pricing Authority text </w:t>
      </w:r>
      <w:r w:rsidRPr="00267F1F">
        <w:rPr>
          <w:rFonts w:hint="cs"/>
        </w:rPr>
        <w:t>–</w:t>
      </w:r>
      <w:r w:rsidRPr="00267F1F">
        <w:t xml:space="preserve"> then the Independent Health and Aged Care Pricing Authority prefers the following attribution:</w:t>
      </w:r>
    </w:p>
    <w:p w14:paraId="33CC7A48" w14:textId="77777777" w:rsidR="00916C26" w:rsidRPr="00267F1F" w:rsidRDefault="00916C26" w:rsidP="00916C26">
      <w:pPr>
        <w:pStyle w:val="Body"/>
        <w:ind w:right="4064"/>
      </w:pPr>
      <w:r w:rsidRPr="00267F1F">
        <w:t>Source: The Independent Health and Aged Care Pricing</w:t>
      </w:r>
      <w:r w:rsidRPr="00267F1F">
        <w:rPr>
          <w:rFonts w:hint="cs"/>
        </w:rPr>
        <w:t> </w:t>
      </w:r>
      <w:r w:rsidRPr="00267F1F">
        <w:t>Authority</w:t>
      </w:r>
    </w:p>
    <w:p w14:paraId="63681216" w14:textId="2A8AB993" w:rsidR="00DB238C" w:rsidRPr="00DB238C" w:rsidRDefault="00DB238C" w:rsidP="001B1269">
      <w:pPr>
        <w:pStyle w:val="Body"/>
        <w:sectPr w:rsidR="00DB238C" w:rsidRPr="00DB238C" w:rsidSect="000D0D9B">
          <w:headerReference w:type="even" r:id="rId18"/>
          <w:headerReference w:type="default" r:id="rId19"/>
          <w:footerReference w:type="default" r:id="rId20"/>
          <w:headerReference w:type="first" r:id="rId21"/>
          <w:pgSz w:w="11906" w:h="16838" w:code="9"/>
          <w:pgMar w:top="7088" w:right="1440" w:bottom="1440" w:left="1440" w:header="708" w:footer="708" w:gutter="0"/>
          <w:cols w:space="708"/>
          <w:docGrid w:linePitch="360"/>
        </w:sectPr>
      </w:pPr>
    </w:p>
    <w:p w14:paraId="0C8E1185" w14:textId="77777777" w:rsidR="00916C26" w:rsidRPr="00267F1F" w:rsidRDefault="00916C26" w:rsidP="00916C26">
      <w:pPr>
        <w:pStyle w:val="Heading1"/>
        <w:spacing w:before="600" w:after="360" w:line="720" w:lineRule="exact"/>
        <w:rPr>
          <w:color w:val="auto"/>
        </w:rPr>
      </w:pPr>
      <w:bookmarkStart w:id="4" w:name="_Toc132118401"/>
      <w:bookmarkStart w:id="5" w:name="_Toc135043499"/>
      <w:bookmarkStart w:id="6" w:name="_Toc137552795"/>
      <w:bookmarkEnd w:id="3"/>
      <w:r w:rsidRPr="00267F1F">
        <w:rPr>
          <w:rFonts w:asciiTheme="majorHAnsi" w:hAnsiTheme="majorHAnsi" w:cs="Times New Roman (Headings CS)"/>
          <w:color w:val="auto"/>
        </w:rPr>
        <w:lastRenderedPageBreak/>
        <w:t>Contents</w:t>
      </w:r>
      <w:bookmarkEnd w:id="4"/>
      <w:bookmarkEnd w:id="5"/>
      <w:bookmarkEnd w:id="6"/>
    </w:p>
    <w:p w14:paraId="11B64BBC" w14:textId="4629E526" w:rsidR="000D0D9B" w:rsidRPr="00267F1F" w:rsidRDefault="00F94D88" w:rsidP="000D0D9B">
      <w:pPr>
        <w:pStyle w:val="TOC1"/>
        <w:spacing w:after="120"/>
        <w:rPr>
          <w:rFonts w:eastAsiaTheme="minorEastAsia" w:cstheme="minorBidi"/>
          <w:b w:val="0"/>
          <w:bCs w:val="0"/>
          <w:sz w:val="22"/>
          <w:szCs w:val="22"/>
          <w:lang w:eastAsia="en-AU"/>
        </w:rPr>
      </w:pPr>
      <w:r w:rsidRPr="00267F1F">
        <w:rPr>
          <w:sz w:val="22"/>
          <w:szCs w:val="22"/>
        </w:rPr>
        <w:fldChar w:fldCharType="begin"/>
      </w:r>
      <w:r w:rsidRPr="00267F1F">
        <w:rPr>
          <w:sz w:val="22"/>
          <w:szCs w:val="22"/>
        </w:rPr>
        <w:instrText xml:space="preserve"> TOC \o "1-2" \h \z \u </w:instrText>
      </w:r>
      <w:r w:rsidRPr="00267F1F">
        <w:rPr>
          <w:sz w:val="22"/>
          <w:szCs w:val="22"/>
        </w:rPr>
        <w:fldChar w:fldCharType="separate"/>
      </w:r>
      <w:hyperlink w:anchor="_Toc137552796" w:history="1">
        <w:r w:rsidR="000D0D9B" w:rsidRPr="00267F1F">
          <w:rPr>
            <w:rStyle w:val="Hyperlink"/>
            <w:rFonts w:asciiTheme="majorHAnsi" w:hAnsiTheme="majorHAnsi" w:cs="Times New Roman (Headings CS)"/>
            <w:color w:val="auto"/>
            <w:sz w:val="22"/>
            <w:szCs w:val="22"/>
          </w:rPr>
          <w:t>Abbreviations</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_Toc137552796 \h </w:instrText>
        </w:r>
        <w:r w:rsidR="000D0D9B" w:rsidRPr="00267F1F">
          <w:rPr>
            <w:webHidden/>
            <w:sz w:val="22"/>
            <w:szCs w:val="22"/>
          </w:rPr>
        </w:r>
        <w:r w:rsidR="000D0D9B" w:rsidRPr="00267F1F">
          <w:rPr>
            <w:webHidden/>
            <w:sz w:val="22"/>
            <w:szCs w:val="22"/>
          </w:rPr>
          <w:fldChar w:fldCharType="separate"/>
        </w:r>
        <w:r w:rsidR="0069209C">
          <w:rPr>
            <w:webHidden/>
            <w:sz w:val="22"/>
            <w:szCs w:val="22"/>
          </w:rPr>
          <w:t>2</w:t>
        </w:r>
        <w:r w:rsidR="000D0D9B" w:rsidRPr="00267F1F">
          <w:rPr>
            <w:webHidden/>
            <w:sz w:val="22"/>
            <w:szCs w:val="22"/>
          </w:rPr>
          <w:fldChar w:fldCharType="end"/>
        </w:r>
      </w:hyperlink>
    </w:p>
    <w:p w14:paraId="1984231F" w14:textId="02B5EB2C" w:rsidR="000D0D9B" w:rsidRPr="00267F1F" w:rsidRDefault="00300E7A" w:rsidP="000D0D9B">
      <w:pPr>
        <w:pStyle w:val="TOC1"/>
        <w:spacing w:after="120"/>
        <w:rPr>
          <w:rFonts w:eastAsiaTheme="minorEastAsia" w:cstheme="minorBidi"/>
          <w:b w:val="0"/>
          <w:bCs w:val="0"/>
          <w:sz w:val="22"/>
          <w:szCs w:val="22"/>
          <w:lang w:eastAsia="en-AU"/>
        </w:rPr>
      </w:pPr>
      <w:hyperlink w:anchor="_Toc137552797" w:history="1">
        <w:r w:rsidR="000D0D9B" w:rsidRPr="00267F1F">
          <w:rPr>
            <w:rStyle w:val="Hyperlink"/>
            <w:rFonts w:asciiTheme="majorHAnsi" w:hAnsiTheme="majorHAnsi"/>
            <w:color w:val="auto"/>
            <w:sz w:val="22"/>
            <w:szCs w:val="22"/>
          </w:rPr>
          <w:t>Introduction</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_Toc137552797 \h </w:instrText>
        </w:r>
        <w:r w:rsidR="000D0D9B" w:rsidRPr="00267F1F">
          <w:rPr>
            <w:webHidden/>
            <w:sz w:val="22"/>
            <w:szCs w:val="22"/>
          </w:rPr>
        </w:r>
        <w:r w:rsidR="000D0D9B" w:rsidRPr="00267F1F">
          <w:rPr>
            <w:webHidden/>
            <w:sz w:val="22"/>
            <w:szCs w:val="22"/>
          </w:rPr>
          <w:fldChar w:fldCharType="separate"/>
        </w:r>
        <w:r w:rsidR="0069209C">
          <w:rPr>
            <w:webHidden/>
            <w:sz w:val="22"/>
            <w:szCs w:val="22"/>
          </w:rPr>
          <w:t>3</w:t>
        </w:r>
        <w:r w:rsidR="000D0D9B" w:rsidRPr="00267F1F">
          <w:rPr>
            <w:webHidden/>
            <w:sz w:val="22"/>
            <w:szCs w:val="22"/>
          </w:rPr>
          <w:fldChar w:fldCharType="end"/>
        </w:r>
      </w:hyperlink>
    </w:p>
    <w:p w14:paraId="3500A657" w14:textId="7EDC3A3B" w:rsidR="000D0D9B" w:rsidRPr="00267F1F" w:rsidRDefault="00300E7A" w:rsidP="000D0D9B">
      <w:pPr>
        <w:pStyle w:val="TOC1"/>
        <w:spacing w:after="120"/>
        <w:rPr>
          <w:rFonts w:eastAsiaTheme="minorEastAsia" w:cstheme="minorBidi"/>
          <w:b w:val="0"/>
          <w:bCs w:val="0"/>
          <w:sz w:val="22"/>
          <w:szCs w:val="22"/>
          <w:lang w:eastAsia="en-AU"/>
        </w:rPr>
      </w:pPr>
      <w:hyperlink w:anchor="_Toc137552804" w:history="1">
        <w:r w:rsidR="000D0D9B" w:rsidRPr="00267F1F">
          <w:rPr>
            <w:rStyle w:val="Hyperlink"/>
            <w:rFonts w:asciiTheme="majorHAnsi" w:hAnsiTheme="majorHAnsi"/>
            <w:color w:val="auto"/>
            <w:sz w:val="22"/>
            <w:szCs w:val="22"/>
          </w:rPr>
          <w:t>Principles for activity based funding in aged care</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_Toc137552804 \h </w:instrText>
        </w:r>
        <w:r w:rsidR="000D0D9B" w:rsidRPr="00267F1F">
          <w:rPr>
            <w:webHidden/>
            <w:sz w:val="22"/>
            <w:szCs w:val="22"/>
          </w:rPr>
        </w:r>
        <w:r w:rsidR="000D0D9B" w:rsidRPr="00267F1F">
          <w:rPr>
            <w:webHidden/>
            <w:sz w:val="22"/>
            <w:szCs w:val="22"/>
          </w:rPr>
          <w:fldChar w:fldCharType="separate"/>
        </w:r>
        <w:r w:rsidR="0069209C">
          <w:rPr>
            <w:webHidden/>
            <w:sz w:val="22"/>
            <w:szCs w:val="22"/>
          </w:rPr>
          <w:t>9</w:t>
        </w:r>
        <w:r w:rsidR="000D0D9B" w:rsidRPr="00267F1F">
          <w:rPr>
            <w:webHidden/>
            <w:sz w:val="22"/>
            <w:szCs w:val="22"/>
          </w:rPr>
          <w:fldChar w:fldCharType="end"/>
        </w:r>
      </w:hyperlink>
    </w:p>
    <w:p w14:paraId="74FA2288" w14:textId="1B948B8F" w:rsidR="000D0D9B" w:rsidRPr="00267F1F" w:rsidRDefault="00300E7A" w:rsidP="000D0D9B">
      <w:pPr>
        <w:pStyle w:val="TOC1"/>
        <w:spacing w:after="120"/>
        <w:rPr>
          <w:rFonts w:eastAsiaTheme="minorEastAsia" w:cstheme="minorBidi"/>
          <w:b w:val="0"/>
          <w:bCs w:val="0"/>
          <w:sz w:val="22"/>
          <w:szCs w:val="22"/>
          <w:lang w:eastAsia="en-AU"/>
        </w:rPr>
      </w:pPr>
      <w:hyperlink w:anchor="_Toc137552805" w:history="1">
        <w:r w:rsidR="000D0D9B" w:rsidRPr="00267F1F">
          <w:rPr>
            <w:rStyle w:val="Hyperlink"/>
            <w:rFonts w:asciiTheme="majorHAnsi" w:hAnsiTheme="majorHAnsi"/>
            <w:color w:val="auto"/>
            <w:sz w:val="22"/>
            <w:szCs w:val="22"/>
          </w:rPr>
          <w:t>The Australian National Aged Care Classification funding model</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_Toc137552805 \h </w:instrText>
        </w:r>
        <w:r w:rsidR="000D0D9B" w:rsidRPr="00267F1F">
          <w:rPr>
            <w:webHidden/>
            <w:sz w:val="22"/>
            <w:szCs w:val="22"/>
          </w:rPr>
        </w:r>
        <w:r w:rsidR="000D0D9B" w:rsidRPr="00267F1F">
          <w:rPr>
            <w:webHidden/>
            <w:sz w:val="22"/>
            <w:szCs w:val="22"/>
          </w:rPr>
          <w:fldChar w:fldCharType="separate"/>
        </w:r>
        <w:r w:rsidR="0069209C">
          <w:rPr>
            <w:webHidden/>
            <w:sz w:val="22"/>
            <w:szCs w:val="22"/>
          </w:rPr>
          <w:t>12</w:t>
        </w:r>
        <w:r w:rsidR="000D0D9B" w:rsidRPr="00267F1F">
          <w:rPr>
            <w:webHidden/>
            <w:sz w:val="22"/>
            <w:szCs w:val="22"/>
          </w:rPr>
          <w:fldChar w:fldCharType="end"/>
        </w:r>
      </w:hyperlink>
    </w:p>
    <w:p w14:paraId="4227F503" w14:textId="3A2EB7EE" w:rsidR="000D0D9B" w:rsidRPr="00267F1F" w:rsidRDefault="00300E7A" w:rsidP="000D0D9B">
      <w:pPr>
        <w:pStyle w:val="TOC1"/>
        <w:spacing w:after="120"/>
        <w:rPr>
          <w:rFonts w:eastAsiaTheme="minorEastAsia" w:cstheme="minorBidi"/>
          <w:b w:val="0"/>
          <w:bCs w:val="0"/>
          <w:sz w:val="22"/>
          <w:szCs w:val="22"/>
          <w:lang w:eastAsia="en-AU"/>
        </w:rPr>
      </w:pPr>
      <w:hyperlink w:anchor="_Toc137552811" w:history="1">
        <w:r w:rsidR="000D0D9B" w:rsidRPr="00267F1F">
          <w:rPr>
            <w:rStyle w:val="Hyperlink"/>
            <w:rFonts w:asciiTheme="majorHAnsi" w:hAnsiTheme="majorHAnsi"/>
            <w:color w:val="auto"/>
            <w:sz w:val="22"/>
            <w:szCs w:val="22"/>
          </w:rPr>
          <w:t>Developing aged care pricing advice</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_Toc137552811 \h </w:instrText>
        </w:r>
        <w:r w:rsidR="000D0D9B" w:rsidRPr="00267F1F">
          <w:rPr>
            <w:webHidden/>
            <w:sz w:val="22"/>
            <w:szCs w:val="22"/>
          </w:rPr>
        </w:r>
        <w:r w:rsidR="000D0D9B" w:rsidRPr="00267F1F">
          <w:rPr>
            <w:webHidden/>
            <w:sz w:val="22"/>
            <w:szCs w:val="22"/>
          </w:rPr>
          <w:fldChar w:fldCharType="separate"/>
        </w:r>
        <w:r w:rsidR="0069209C">
          <w:rPr>
            <w:webHidden/>
            <w:sz w:val="22"/>
            <w:szCs w:val="22"/>
          </w:rPr>
          <w:t>18</w:t>
        </w:r>
        <w:r w:rsidR="000D0D9B" w:rsidRPr="00267F1F">
          <w:rPr>
            <w:webHidden/>
            <w:sz w:val="22"/>
            <w:szCs w:val="22"/>
          </w:rPr>
          <w:fldChar w:fldCharType="end"/>
        </w:r>
      </w:hyperlink>
    </w:p>
    <w:p w14:paraId="171C252B" w14:textId="33C1A2A1" w:rsidR="000D0D9B" w:rsidRPr="00267F1F" w:rsidRDefault="00300E7A" w:rsidP="000D0D9B">
      <w:pPr>
        <w:pStyle w:val="TOC1"/>
        <w:spacing w:after="120"/>
        <w:rPr>
          <w:rFonts w:eastAsiaTheme="minorEastAsia" w:cstheme="minorBidi"/>
          <w:b w:val="0"/>
          <w:bCs w:val="0"/>
          <w:sz w:val="22"/>
          <w:szCs w:val="22"/>
          <w:lang w:eastAsia="en-AU"/>
        </w:rPr>
      </w:pPr>
      <w:hyperlink w:anchor="_Toc137552816" w:history="1">
        <w:r w:rsidR="000D0D9B" w:rsidRPr="00267F1F">
          <w:rPr>
            <w:rStyle w:val="Hyperlink"/>
            <w:rFonts w:asciiTheme="majorHAnsi" w:hAnsiTheme="majorHAnsi"/>
            <w:color w:val="auto"/>
            <w:sz w:val="22"/>
            <w:szCs w:val="22"/>
          </w:rPr>
          <w:t>Adjustments to the recommended price</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_Toc137552816 \h </w:instrText>
        </w:r>
        <w:r w:rsidR="000D0D9B" w:rsidRPr="00267F1F">
          <w:rPr>
            <w:webHidden/>
            <w:sz w:val="22"/>
            <w:szCs w:val="22"/>
          </w:rPr>
        </w:r>
        <w:r w:rsidR="000D0D9B" w:rsidRPr="00267F1F">
          <w:rPr>
            <w:webHidden/>
            <w:sz w:val="22"/>
            <w:szCs w:val="22"/>
          </w:rPr>
          <w:fldChar w:fldCharType="separate"/>
        </w:r>
        <w:r w:rsidR="0069209C">
          <w:rPr>
            <w:webHidden/>
            <w:sz w:val="22"/>
            <w:szCs w:val="22"/>
          </w:rPr>
          <w:t>21</w:t>
        </w:r>
        <w:r w:rsidR="000D0D9B" w:rsidRPr="00267F1F">
          <w:rPr>
            <w:webHidden/>
            <w:sz w:val="22"/>
            <w:szCs w:val="22"/>
          </w:rPr>
          <w:fldChar w:fldCharType="end"/>
        </w:r>
      </w:hyperlink>
    </w:p>
    <w:p w14:paraId="12424C15" w14:textId="03321845" w:rsidR="000D0D9B" w:rsidRPr="00267F1F" w:rsidRDefault="00300E7A" w:rsidP="000D0D9B">
      <w:pPr>
        <w:pStyle w:val="TOC1"/>
        <w:spacing w:after="120"/>
        <w:rPr>
          <w:rFonts w:eastAsiaTheme="minorEastAsia" w:cstheme="minorBidi"/>
          <w:b w:val="0"/>
          <w:bCs w:val="0"/>
          <w:sz w:val="22"/>
          <w:szCs w:val="22"/>
          <w:lang w:eastAsia="en-AU"/>
        </w:rPr>
      </w:pPr>
      <w:hyperlink w:anchor="_Toc137552820" w:history="1">
        <w:r w:rsidR="000D0D9B" w:rsidRPr="00267F1F">
          <w:rPr>
            <w:rStyle w:val="Hyperlink"/>
            <w:rFonts w:asciiTheme="majorHAnsi" w:hAnsiTheme="majorHAnsi"/>
            <w:color w:val="auto"/>
            <w:sz w:val="22"/>
            <w:szCs w:val="22"/>
          </w:rPr>
          <w:t>Priorities for future developments</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_Toc137552820 \h </w:instrText>
        </w:r>
        <w:r w:rsidR="000D0D9B" w:rsidRPr="00267F1F">
          <w:rPr>
            <w:webHidden/>
            <w:sz w:val="22"/>
            <w:szCs w:val="22"/>
          </w:rPr>
        </w:r>
        <w:r w:rsidR="000D0D9B" w:rsidRPr="00267F1F">
          <w:rPr>
            <w:webHidden/>
            <w:sz w:val="22"/>
            <w:szCs w:val="22"/>
          </w:rPr>
          <w:fldChar w:fldCharType="separate"/>
        </w:r>
        <w:r w:rsidR="0069209C">
          <w:rPr>
            <w:webHidden/>
            <w:sz w:val="22"/>
            <w:szCs w:val="22"/>
          </w:rPr>
          <w:t>25</w:t>
        </w:r>
        <w:r w:rsidR="000D0D9B" w:rsidRPr="00267F1F">
          <w:rPr>
            <w:webHidden/>
            <w:sz w:val="22"/>
            <w:szCs w:val="22"/>
          </w:rPr>
          <w:fldChar w:fldCharType="end"/>
        </w:r>
      </w:hyperlink>
    </w:p>
    <w:p w14:paraId="1691FC54" w14:textId="114C660E" w:rsidR="000D0D9B" w:rsidRPr="00267F1F" w:rsidRDefault="00300E7A" w:rsidP="000D0D9B">
      <w:pPr>
        <w:pStyle w:val="TOC1"/>
        <w:spacing w:after="120"/>
        <w:rPr>
          <w:rFonts w:eastAsiaTheme="minorEastAsia" w:cstheme="minorBidi"/>
          <w:b w:val="0"/>
          <w:bCs w:val="0"/>
          <w:sz w:val="22"/>
          <w:szCs w:val="22"/>
          <w:lang w:eastAsia="en-AU"/>
        </w:rPr>
      </w:pPr>
      <w:hyperlink w:anchor="_Toc137552825" w:history="1">
        <w:r w:rsidR="000D0D9B" w:rsidRPr="00267F1F">
          <w:rPr>
            <w:rStyle w:val="Hyperlink"/>
            <w:rFonts w:asciiTheme="majorHAnsi" w:hAnsiTheme="majorHAnsi"/>
            <w:color w:val="auto"/>
            <w:sz w:val="22"/>
            <w:szCs w:val="22"/>
          </w:rPr>
          <w:t>Consultation process and next steps</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_Toc137552825 \h </w:instrText>
        </w:r>
        <w:r w:rsidR="000D0D9B" w:rsidRPr="00267F1F">
          <w:rPr>
            <w:webHidden/>
            <w:sz w:val="22"/>
            <w:szCs w:val="22"/>
          </w:rPr>
        </w:r>
        <w:r w:rsidR="000D0D9B" w:rsidRPr="00267F1F">
          <w:rPr>
            <w:webHidden/>
            <w:sz w:val="22"/>
            <w:szCs w:val="22"/>
          </w:rPr>
          <w:fldChar w:fldCharType="separate"/>
        </w:r>
        <w:r w:rsidR="0069209C">
          <w:rPr>
            <w:webHidden/>
            <w:sz w:val="22"/>
            <w:szCs w:val="22"/>
          </w:rPr>
          <w:t>29</w:t>
        </w:r>
        <w:r w:rsidR="000D0D9B" w:rsidRPr="00267F1F">
          <w:rPr>
            <w:webHidden/>
            <w:sz w:val="22"/>
            <w:szCs w:val="22"/>
          </w:rPr>
          <w:fldChar w:fldCharType="end"/>
        </w:r>
      </w:hyperlink>
    </w:p>
    <w:p w14:paraId="3A6A05D9" w14:textId="0D237A48" w:rsidR="000D0D9B" w:rsidRPr="00267F1F" w:rsidRDefault="00300E7A" w:rsidP="000D0D9B">
      <w:pPr>
        <w:pStyle w:val="TOC1"/>
        <w:spacing w:after="120"/>
        <w:rPr>
          <w:rFonts w:eastAsiaTheme="minorEastAsia" w:cstheme="minorBidi"/>
          <w:b w:val="0"/>
          <w:bCs w:val="0"/>
          <w:sz w:val="22"/>
          <w:szCs w:val="22"/>
          <w:lang w:eastAsia="en-AU"/>
        </w:rPr>
      </w:pPr>
      <w:hyperlink w:anchor="_Toc137552827" w:history="1">
        <w:r w:rsidR="000D0D9B" w:rsidRPr="00267F1F">
          <w:rPr>
            <w:rStyle w:val="Hyperlink"/>
            <w:rFonts w:asciiTheme="majorHAnsi" w:hAnsiTheme="majorHAnsi"/>
            <w:color w:val="auto"/>
            <w:sz w:val="22"/>
            <w:szCs w:val="22"/>
          </w:rPr>
          <w:t>Appendix A: Consultation questions</w:t>
        </w:r>
        <w:r w:rsidR="000D0D9B" w:rsidRPr="00267F1F">
          <w:rPr>
            <w:webHidden/>
            <w:sz w:val="22"/>
            <w:szCs w:val="22"/>
          </w:rPr>
          <w:tab/>
        </w:r>
        <w:r w:rsidR="000D0D9B" w:rsidRPr="00267F1F">
          <w:rPr>
            <w:webHidden/>
            <w:sz w:val="22"/>
            <w:szCs w:val="22"/>
          </w:rPr>
          <w:fldChar w:fldCharType="begin"/>
        </w:r>
        <w:r w:rsidR="000D0D9B" w:rsidRPr="00267F1F">
          <w:rPr>
            <w:webHidden/>
            <w:sz w:val="22"/>
            <w:szCs w:val="22"/>
          </w:rPr>
          <w:instrText xml:space="preserve"> PAGEREF _Toc137552827 \h </w:instrText>
        </w:r>
        <w:r w:rsidR="000D0D9B" w:rsidRPr="00267F1F">
          <w:rPr>
            <w:webHidden/>
            <w:sz w:val="22"/>
            <w:szCs w:val="22"/>
          </w:rPr>
        </w:r>
        <w:r w:rsidR="000D0D9B" w:rsidRPr="00267F1F">
          <w:rPr>
            <w:webHidden/>
            <w:sz w:val="22"/>
            <w:szCs w:val="22"/>
          </w:rPr>
          <w:fldChar w:fldCharType="separate"/>
        </w:r>
        <w:r w:rsidR="0069209C">
          <w:rPr>
            <w:webHidden/>
            <w:sz w:val="22"/>
            <w:szCs w:val="22"/>
          </w:rPr>
          <w:t>31</w:t>
        </w:r>
        <w:r w:rsidR="000D0D9B" w:rsidRPr="00267F1F">
          <w:rPr>
            <w:webHidden/>
            <w:sz w:val="22"/>
            <w:szCs w:val="22"/>
          </w:rPr>
          <w:fldChar w:fldCharType="end"/>
        </w:r>
      </w:hyperlink>
    </w:p>
    <w:p w14:paraId="7A723878" w14:textId="106F28C8" w:rsidR="009474B2" w:rsidRPr="00596348" w:rsidRDefault="00F94D88" w:rsidP="00916C26">
      <w:pPr>
        <w:pStyle w:val="Body"/>
        <w:sectPr w:rsidR="009474B2" w:rsidRPr="00596348" w:rsidSect="00DB238C">
          <w:headerReference w:type="even" r:id="rId22"/>
          <w:headerReference w:type="default" r:id="rId23"/>
          <w:footerReference w:type="default" r:id="rId24"/>
          <w:headerReference w:type="first" r:id="rId25"/>
          <w:pgSz w:w="11906" w:h="16838" w:code="9"/>
          <w:pgMar w:top="851" w:right="1440" w:bottom="1440" w:left="1440" w:header="708" w:footer="708" w:gutter="0"/>
          <w:pgNumType w:start="1"/>
          <w:cols w:space="708"/>
          <w:docGrid w:linePitch="360"/>
        </w:sectPr>
      </w:pPr>
      <w:r w:rsidRPr="00267F1F">
        <w:rPr>
          <w:rFonts w:asciiTheme="majorHAnsi" w:hAnsiTheme="majorHAnsi"/>
          <w:noProof/>
          <w:sz w:val="22"/>
          <w:szCs w:val="22"/>
        </w:rPr>
        <w:fldChar w:fldCharType="end"/>
      </w:r>
    </w:p>
    <w:p w14:paraId="1560D0F4" w14:textId="46476E67" w:rsidR="0009296B" w:rsidRPr="00267F1F" w:rsidRDefault="007460B0" w:rsidP="000258BC">
      <w:pPr>
        <w:pStyle w:val="Heading1"/>
        <w:spacing w:before="600" w:line="720" w:lineRule="exact"/>
        <w:rPr>
          <w:color w:val="auto"/>
        </w:rPr>
      </w:pPr>
      <w:bookmarkStart w:id="7" w:name="_Toc128394804"/>
      <w:bookmarkStart w:id="8" w:name="_Toc137552796"/>
      <w:r w:rsidRPr="00267F1F">
        <w:rPr>
          <w:rFonts w:asciiTheme="majorHAnsi" w:hAnsiTheme="majorHAnsi" w:cs="Times New Roman (Headings CS)"/>
          <w:color w:val="auto"/>
        </w:rPr>
        <w:lastRenderedPageBreak/>
        <w:t>Abbreviations</w:t>
      </w:r>
      <w:bookmarkEnd w:id="7"/>
      <w:bookmarkEnd w:id="8"/>
    </w:p>
    <w:tbl>
      <w:tblPr>
        <w:tblStyle w:val="TableGrid"/>
        <w:tblW w:w="5000" w:type="pct"/>
        <w:tblBorders>
          <w:top w:val="none" w:sz="0" w:space="0" w:color="auto"/>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Caption w:val="Abreviations"/>
        <w:tblDescription w:val="Table with list of abbreviations"/>
      </w:tblPr>
      <w:tblGrid>
        <w:gridCol w:w="1700"/>
        <w:gridCol w:w="7326"/>
      </w:tblGrid>
      <w:tr w:rsidR="003326A1" w:rsidRPr="00500515" w14:paraId="7E11049A" w14:textId="77777777" w:rsidTr="00B23A26">
        <w:tc>
          <w:tcPr>
            <w:tcW w:w="942" w:type="pct"/>
            <w:tcBorders>
              <w:top w:val="nil"/>
              <w:bottom w:val="nil"/>
              <w:right w:val="nil"/>
            </w:tcBorders>
            <w:shd w:val="clear" w:color="auto" w:fill="0080C4" w:themeFill="accent2"/>
            <w:vAlign w:val="bottom"/>
          </w:tcPr>
          <w:p w14:paraId="37F28035" w14:textId="77777777" w:rsidR="00916C26" w:rsidRPr="006271FA" w:rsidRDefault="00916C26" w:rsidP="00E252F3">
            <w:pPr>
              <w:pStyle w:val="Body"/>
              <w:spacing w:before="20" w:after="20"/>
              <w:rPr>
                <w:b/>
                <w:bCs/>
                <w:color w:val="FFFFFF" w:themeColor="background1"/>
                <w:sz w:val="16"/>
                <w:szCs w:val="16"/>
              </w:rPr>
            </w:pPr>
            <w:r w:rsidRPr="006271FA">
              <w:rPr>
                <w:b/>
                <w:bCs/>
                <w:color w:val="FFFFFF" w:themeColor="background1"/>
                <w:sz w:val="16"/>
                <w:szCs w:val="16"/>
              </w:rPr>
              <w:t>Abbreviations</w:t>
            </w:r>
          </w:p>
        </w:tc>
        <w:tc>
          <w:tcPr>
            <w:tcW w:w="4058" w:type="pct"/>
            <w:tcBorders>
              <w:top w:val="nil"/>
              <w:left w:val="nil"/>
              <w:bottom w:val="nil"/>
            </w:tcBorders>
            <w:shd w:val="clear" w:color="auto" w:fill="0080C4" w:themeFill="accent2"/>
            <w:vAlign w:val="bottom"/>
          </w:tcPr>
          <w:p w14:paraId="6D2D4DDD" w14:textId="77777777" w:rsidR="00916C26" w:rsidRPr="006271FA" w:rsidRDefault="00916C26" w:rsidP="00E252F3">
            <w:pPr>
              <w:pStyle w:val="Body"/>
              <w:spacing w:before="20" w:after="20"/>
              <w:rPr>
                <w:b/>
                <w:bCs/>
                <w:color w:val="FFFFFF" w:themeColor="background1"/>
                <w:sz w:val="16"/>
                <w:szCs w:val="16"/>
              </w:rPr>
            </w:pPr>
            <w:r w:rsidRPr="006271FA">
              <w:rPr>
                <w:b/>
                <w:bCs/>
                <w:color w:val="FFFFFF" w:themeColor="background1"/>
                <w:sz w:val="16"/>
                <w:szCs w:val="16"/>
              </w:rPr>
              <w:t>Full term</w:t>
            </w:r>
          </w:p>
        </w:tc>
      </w:tr>
      <w:tr w:rsidR="00EF59E0" w:rsidRPr="00500515" w14:paraId="0E0DAFC9" w14:textId="77777777" w:rsidTr="1E4B4BB2">
        <w:tc>
          <w:tcPr>
            <w:tcW w:w="942" w:type="pct"/>
            <w:tcBorders>
              <w:top w:val="nil"/>
              <w:bottom w:val="single" w:sz="4" w:space="0" w:color="989393"/>
            </w:tcBorders>
          </w:tcPr>
          <w:p w14:paraId="6DEA88BF" w14:textId="5986B8DA" w:rsidR="00EF59E0" w:rsidRPr="00267F1F" w:rsidRDefault="00EF59E0" w:rsidP="00EF59E0">
            <w:pPr>
              <w:pStyle w:val="Body"/>
              <w:spacing w:before="20" w:after="20"/>
              <w:rPr>
                <w:b/>
                <w:bCs/>
                <w:sz w:val="16"/>
                <w:szCs w:val="16"/>
              </w:rPr>
            </w:pPr>
            <w:r w:rsidRPr="00267F1F">
              <w:rPr>
                <w:b/>
                <w:bCs/>
              </w:rPr>
              <w:t>ABF</w:t>
            </w:r>
          </w:p>
        </w:tc>
        <w:tc>
          <w:tcPr>
            <w:tcW w:w="4058" w:type="pct"/>
            <w:tcBorders>
              <w:top w:val="nil"/>
              <w:bottom w:val="single" w:sz="4" w:space="0" w:color="989393"/>
            </w:tcBorders>
          </w:tcPr>
          <w:p w14:paraId="598CEA84" w14:textId="494F41C3" w:rsidR="00EF59E0" w:rsidRPr="00267F1F" w:rsidRDefault="00EF59E0" w:rsidP="00EF59E0">
            <w:pPr>
              <w:pStyle w:val="Body"/>
              <w:spacing w:before="20" w:after="20"/>
              <w:rPr>
                <w:sz w:val="16"/>
                <w:szCs w:val="16"/>
              </w:rPr>
            </w:pPr>
            <w:r w:rsidRPr="00267F1F">
              <w:t>Activity based funding</w:t>
            </w:r>
          </w:p>
        </w:tc>
      </w:tr>
      <w:tr w:rsidR="00EF59E0" w:rsidRPr="00500515" w14:paraId="586B2702" w14:textId="77777777" w:rsidTr="1E4B4BB2">
        <w:tc>
          <w:tcPr>
            <w:tcW w:w="942" w:type="pct"/>
            <w:tcBorders>
              <w:top w:val="nil"/>
              <w:bottom w:val="single" w:sz="4" w:space="0" w:color="989393"/>
            </w:tcBorders>
          </w:tcPr>
          <w:p w14:paraId="3E1D5FBA" w14:textId="4B18A373" w:rsidR="00EF59E0" w:rsidRPr="00267F1F" w:rsidRDefault="00EF59E0" w:rsidP="00EF59E0">
            <w:pPr>
              <w:pStyle w:val="Body"/>
              <w:spacing w:before="20" w:after="20"/>
              <w:rPr>
                <w:b/>
                <w:bCs/>
                <w:sz w:val="16"/>
                <w:szCs w:val="16"/>
              </w:rPr>
            </w:pPr>
            <w:r w:rsidRPr="00267F1F">
              <w:rPr>
                <w:b/>
                <w:bCs/>
              </w:rPr>
              <w:t>ACFI</w:t>
            </w:r>
          </w:p>
        </w:tc>
        <w:tc>
          <w:tcPr>
            <w:tcW w:w="4058" w:type="pct"/>
            <w:tcBorders>
              <w:top w:val="nil"/>
              <w:bottom w:val="single" w:sz="4" w:space="0" w:color="989393"/>
            </w:tcBorders>
          </w:tcPr>
          <w:p w14:paraId="07EE34C5" w14:textId="2FF62580" w:rsidR="00EF59E0" w:rsidRPr="00267F1F" w:rsidRDefault="00EF59E0" w:rsidP="00EF59E0">
            <w:pPr>
              <w:pStyle w:val="Body"/>
              <w:spacing w:before="20" w:after="20"/>
              <w:rPr>
                <w:sz w:val="16"/>
                <w:szCs w:val="16"/>
              </w:rPr>
            </w:pPr>
            <w:r w:rsidRPr="00267F1F">
              <w:t>Aged Care Funding Instrument</w:t>
            </w:r>
          </w:p>
        </w:tc>
      </w:tr>
      <w:tr w:rsidR="00EF59E0" w:rsidRPr="00500515" w14:paraId="69AC0FC8" w14:textId="77777777" w:rsidTr="1E4B4BB2">
        <w:tc>
          <w:tcPr>
            <w:tcW w:w="942" w:type="pct"/>
            <w:tcBorders>
              <w:top w:val="single" w:sz="4" w:space="0" w:color="989393"/>
              <w:bottom w:val="single" w:sz="4" w:space="0" w:color="989393"/>
            </w:tcBorders>
          </w:tcPr>
          <w:p w14:paraId="21C44F78" w14:textId="330AF595" w:rsidR="00EF59E0" w:rsidRPr="00267F1F" w:rsidRDefault="00EF59E0" w:rsidP="00EF59E0">
            <w:pPr>
              <w:pStyle w:val="Body"/>
              <w:spacing w:before="20" w:after="20"/>
              <w:rPr>
                <w:b/>
                <w:bCs/>
                <w:sz w:val="16"/>
                <w:szCs w:val="16"/>
              </w:rPr>
            </w:pPr>
            <w:r w:rsidRPr="00267F1F">
              <w:rPr>
                <w:b/>
                <w:bCs/>
              </w:rPr>
              <w:t>ACFR</w:t>
            </w:r>
          </w:p>
        </w:tc>
        <w:tc>
          <w:tcPr>
            <w:tcW w:w="4058" w:type="pct"/>
            <w:tcBorders>
              <w:top w:val="single" w:sz="4" w:space="0" w:color="989393"/>
              <w:bottom w:val="single" w:sz="4" w:space="0" w:color="989393"/>
            </w:tcBorders>
          </w:tcPr>
          <w:p w14:paraId="03297CF9" w14:textId="21A4B9FD" w:rsidR="00EF59E0" w:rsidRPr="00267F1F" w:rsidRDefault="00EF59E0" w:rsidP="00EF59E0">
            <w:pPr>
              <w:pStyle w:val="Body"/>
              <w:spacing w:before="20" w:after="20"/>
              <w:rPr>
                <w:sz w:val="16"/>
                <w:szCs w:val="16"/>
              </w:rPr>
            </w:pPr>
            <w:r w:rsidRPr="00267F1F">
              <w:t>Aged Care Financial Report</w:t>
            </w:r>
          </w:p>
        </w:tc>
      </w:tr>
      <w:tr w:rsidR="00EF59E0" w:rsidRPr="00500515" w14:paraId="25D31B29" w14:textId="77777777" w:rsidTr="1E4B4BB2">
        <w:tc>
          <w:tcPr>
            <w:tcW w:w="942" w:type="pct"/>
            <w:tcBorders>
              <w:top w:val="single" w:sz="4" w:space="0" w:color="989393"/>
              <w:bottom w:val="single" w:sz="4" w:space="0" w:color="989393"/>
            </w:tcBorders>
          </w:tcPr>
          <w:p w14:paraId="08E655C3" w14:textId="0FFE7763" w:rsidR="00EF59E0" w:rsidRPr="00267F1F" w:rsidRDefault="00EF59E0" w:rsidP="00EF59E0">
            <w:pPr>
              <w:pStyle w:val="Body"/>
              <w:spacing w:before="20" w:after="20"/>
              <w:rPr>
                <w:b/>
                <w:bCs/>
                <w:sz w:val="16"/>
                <w:szCs w:val="16"/>
              </w:rPr>
            </w:pPr>
            <w:r w:rsidRPr="00267F1F">
              <w:rPr>
                <w:b/>
                <w:bCs/>
              </w:rPr>
              <w:t>ACQSC</w:t>
            </w:r>
          </w:p>
        </w:tc>
        <w:tc>
          <w:tcPr>
            <w:tcW w:w="4058" w:type="pct"/>
            <w:tcBorders>
              <w:top w:val="single" w:sz="4" w:space="0" w:color="989393"/>
              <w:bottom w:val="single" w:sz="4" w:space="0" w:color="989393"/>
            </w:tcBorders>
          </w:tcPr>
          <w:p w14:paraId="0774C5C0" w14:textId="412648B2" w:rsidR="00EF59E0" w:rsidRPr="00267F1F" w:rsidRDefault="00EF59E0" w:rsidP="00EF59E0">
            <w:pPr>
              <w:pStyle w:val="Body"/>
              <w:spacing w:before="20" w:after="20"/>
              <w:rPr>
                <w:sz w:val="16"/>
                <w:szCs w:val="16"/>
              </w:rPr>
            </w:pPr>
            <w:r w:rsidRPr="00267F1F">
              <w:t>Aged Care Quality and Safety Commission</w:t>
            </w:r>
          </w:p>
        </w:tc>
      </w:tr>
      <w:tr w:rsidR="00EF59E0" w:rsidRPr="00500515" w14:paraId="02768C90" w14:textId="77777777" w:rsidTr="1E4B4BB2">
        <w:tc>
          <w:tcPr>
            <w:tcW w:w="942" w:type="pct"/>
            <w:tcBorders>
              <w:top w:val="single" w:sz="4" w:space="0" w:color="989393"/>
              <w:bottom w:val="single" w:sz="4" w:space="0" w:color="989393"/>
            </w:tcBorders>
          </w:tcPr>
          <w:p w14:paraId="2EC5C784" w14:textId="78937CA9" w:rsidR="00EF59E0" w:rsidRPr="00267F1F" w:rsidRDefault="00EF59E0" w:rsidP="00EF59E0">
            <w:pPr>
              <w:pStyle w:val="Body"/>
              <w:spacing w:before="20" w:after="20"/>
              <w:rPr>
                <w:b/>
                <w:bCs/>
                <w:sz w:val="16"/>
                <w:szCs w:val="16"/>
              </w:rPr>
            </w:pPr>
            <w:r w:rsidRPr="00267F1F">
              <w:rPr>
                <w:b/>
                <w:bCs/>
              </w:rPr>
              <w:t>AN-ACC</w:t>
            </w:r>
          </w:p>
        </w:tc>
        <w:tc>
          <w:tcPr>
            <w:tcW w:w="4058" w:type="pct"/>
            <w:tcBorders>
              <w:top w:val="single" w:sz="4" w:space="0" w:color="989393"/>
              <w:bottom w:val="single" w:sz="4" w:space="0" w:color="989393"/>
            </w:tcBorders>
          </w:tcPr>
          <w:p w14:paraId="7483E1B3" w14:textId="3B49FBDD" w:rsidR="00EF59E0" w:rsidRPr="00267F1F" w:rsidRDefault="00EF59E0" w:rsidP="00EF59E0">
            <w:pPr>
              <w:pStyle w:val="Body"/>
              <w:spacing w:before="20" w:after="20"/>
              <w:rPr>
                <w:sz w:val="16"/>
                <w:szCs w:val="16"/>
              </w:rPr>
            </w:pPr>
            <w:r w:rsidRPr="00267F1F">
              <w:t>Australian National Aged Care Classification</w:t>
            </w:r>
          </w:p>
        </w:tc>
      </w:tr>
      <w:tr w:rsidR="00EF59E0" w:rsidRPr="00500515" w14:paraId="248E0B0B" w14:textId="77777777" w:rsidTr="1E4B4BB2">
        <w:tc>
          <w:tcPr>
            <w:tcW w:w="942" w:type="pct"/>
            <w:tcBorders>
              <w:top w:val="single" w:sz="4" w:space="0" w:color="989393"/>
              <w:bottom w:val="single" w:sz="4" w:space="0" w:color="989393"/>
            </w:tcBorders>
          </w:tcPr>
          <w:p w14:paraId="5A4C4E10" w14:textId="3CD1B59E" w:rsidR="00EF59E0" w:rsidRPr="00267F1F" w:rsidRDefault="00EF59E0" w:rsidP="00EF59E0">
            <w:pPr>
              <w:pStyle w:val="Body"/>
              <w:spacing w:before="20" w:after="20"/>
              <w:rPr>
                <w:b/>
                <w:bCs/>
                <w:sz w:val="16"/>
                <w:szCs w:val="16"/>
              </w:rPr>
            </w:pPr>
            <w:r w:rsidRPr="00267F1F">
              <w:rPr>
                <w:b/>
                <w:bCs/>
              </w:rPr>
              <w:t>BCT</w:t>
            </w:r>
          </w:p>
        </w:tc>
        <w:tc>
          <w:tcPr>
            <w:tcW w:w="4058" w:type="pct"/>
            <w:tcBorders>
              <w:top w:val="single" w:sz="4" w:space="0" w:color="989393"/>
              <w:bottom w:val="single" w:sz="4" w:space="0" w:color="989393"/>
            </w:tcBorders>
          </w:tcPr>
          <w:p w14:paraId="3C5BB07A" w14:textId="01FABA58" w:rsidR="00EF59E0" w:rsidRPr="00267F1F" w:rsidRDefault="00EF59E0" w:rsidP="00EF59E0">
            <w:pPr>
              <w:pStyle w:val="Body"/>
              <w:spacing w:before="20" w:after="20"/>
              <w:rPr>
                <w:sz w:val="16"/>
                <w:szCs w:val="16"/>
              </w:rPr>
            </w:pPr>
            <w:r w:rsidRPr="00267F1F">
              <w:t>Base Care Tariff</w:t>
            </w:r>
          </w:p>
        </w:tc>
      </w:tr>
      <w:tr w:rsidR="00EF59E0" w:rsidRPr="00500515" w14:paraId="62BEB599" w14:textId="77777777" w:rsidTr="1E4B4BB2">
        <w:tc>
          <w:tcPr>
            <w:tcW w:w="942" w:type="pct"/>
            <w:tcBorders>
              <w:top w:val="single" w:sz="4" w:space="0" w:color="989393"/>
              <w:bottom w:val="single" w:sz="4" w:space="0" w:color="989393"/>
            </w:tcBorders>
          </w:tcPr>
          <w:p w14:paraId="18FB1F98" w14:textId="3AE6C245" w:rsidR="00EF59E0" w:rsidRPr="00267F1F" w:rsidRDefault="00EF59E0" w:rsidP="00EF59E0">
            <w:pPr>
              <w:pStyle w:val="Body"/>
              <w:spacing w:before="20" w:after="20"/>
              <w:rPr>
                <w:b/>
                <w:bCs/>
                <w:sz w:val="16"/>
                <w:szCs w:val="16"/>
              </w:rPr>
            </w:pPr>
            <w:r w:rsidRPr="00267F1F">
              <w:rPr>
                <w:b/>
                <w:bCs/>
              </w:rPr>
              <w:t>BDF</w:t>
            </w:r>
          </w:p>
        </w:tc>
        <w:tc>
          <w:tcPr>
            <w:tcW w:w="4058" w:type="pct"/>
            <w:tcBorders>
              <w:top w:val="single" w:sz="4" w:space="0" w:color="989393"/>
              <w:bottom w:val="single" w:sz="4" w:space="0" w:color="989393"/>
            </w:tcBorders>
          </w:tcPr>
          <w:p w14:paraId="74F7D54C" w14:textId="3CB9CC3D" w:rsidR="00EF59E0" w:rsidRPr="00267F1F" w:rsidRDefault="00EF59E0" w:rsidP="00EF59E0">
            <w:pPr>
              <w:pStyle w:val="Body"/>
              <w:spacing w:before="20" w:after="20"/>
              <w:rPr>
                <w:sz w:val="16"/>
                <w:szCs w:val="16"/>
              </w:rPr>
            </w:pPr>
            <w:r w:rsidRPr="00267F1F">
              <w:t>Basic daily fee</w:t>
            </w:r>
          </w:p>
        </w:tc>
      </w:tr>
      <w:tr w:rsidR="00F1076D" w:rsidRPr="00500515" w14:paraId="45D103E9" w14:textId="77777777" w:rsidTr="1E4B4BB2">
        <w:tc>
          <w:tcPr>
            <w:tcW w:w="942" w:type="pct"/>
            <w:tcBorders>
              <w:top w:val="single" w:sz="4" w:space="0" w:color="989393"/>
              <w:bottom w:val="single" w:sz="4" w:space="0" w:color="989393"/>
            </w:tcBorders>
          </w:tcPr>
          <w:p w14:paraId="516B1E9D" w14:textId="32B028AD" w:rsidR="00F1076D" w:rsidRPr="00267F1F" w:rsidRDefault="00F1076D" w:rsidP="00EF59E0">
            <w:pPr>
              <w:pStyle w:val="Body"/>
              <w:spacing w:before="20" w:after="20"/>
              <w:rPr>
                <w:b/>
                <w:bCs/>
              </w:rPr>
            </w:pPr>
            <w:r>
              <w:rPr>
                <w:b/>
                <w:bCs/>
              </w:rPr>
              <w:t>CHSP</w:t>
            </w:r>
          </w:p>
        </w:tc>
        <w:tc>
          <w:tcPr>
            <w:tcW w:w="4058" w:type="pct"/>
            <w:tcBorders>
              <w:top w:val="single" w:sz="4" w:space="0" w:color="989393"/>
              <w:bottom w:val="single" w:sz="4" w:space="0" w:color="989393"/>
            </w:tcBorders>
          </w:tcPr>
          <w:p w14:paraId="15826107" w14:textId="677375E8" w:rsidR="00F1076D" w:rsidRPr="00267F1F" w:rsidRDefault="00F1076D" w:rsidP="00EF59E0">
            <w:pPr>
              <w:pStyle w:val="Body"/>
              <w:spacing w:before="20" w:after="20"/>
            </w:pPr>
            <w:r w:rsidRPr="00F1076D">
              <w:t>Commonwealth Home Support Programme</w:t>
            </w:r>
          </w:p>
        </w:tc>
      </w:tr>
      <w:tr w:rsidR="00EF59E0" w:rsidRPr="00500515" w14:paraId="2795FA81" w14:textId="77777777" w:rsidTr="1E4B4BB2">
        <w:tc>
          <w:tcPr>
            <w:tcW w:w="942" w:type="pct"/>
            <w:tcBorders>
              <w:top w:val="single" w:sz="4" w:space="0" w:color="989393"/>
              <w:bottom w:val="single" w:sz="4" w:space="0" w:color="989393"/>
            </w:tcBorders>
          </w:tcPr>
          <w:p w14:paraId="4949AB7D" w14:textId="402D66D9" w:rsidR="00EF59E0" w:rsidRPr="00267F1F" w:rsidRDefault="00EF59E0" w:rsidP="00EF59E0">
            <w:pPr>
              <w:pStyle w:val="Body"/>
              <w:spacing w:before="20" w:after="20"/>
              <w:rPr>
                <w:b/>
                <w:bCs/>
                <w:sz w:val="16"/>
                <w:szCs w:val="16"/>
              </w:rPr>
            </w:pPr>
            <w:r w:rsidRPr="00267F1F">
              <w:rPr>
                <w:b/>
                <w:bCs/>
              </w:rPr>
              <w:t>IHACPA</w:t>
            </w:r>
          </w:p>
        </w:tc>
        <w:tc>
          <w:tcPr>
            <w:tcW w:w="4058" w:type="pct"/>
            <w:tcBorders>
              <w:top w:val="single" w:sz="4" w:space="0" w:color="989393"/>
              <w:bottom w:val="single" w:sz="4" w:space="0" w:color="989393"/>
            </w:tcBorders>
          </w:tcPr>
          <w:p w14:paraId="2A44AC62" w14:textId="39B98673" w:rsidR="00EF59E0" w:rsidRPr="00267F1F" w:rsidRDefault="00EF59E0" w:rsidP="00EF59E0">
            <w:pPr>
              <w:pStyle w:val="Body"/>
              <w:spacing w:before="20" w:after="20"/>
              <w:rPr>
                <w:sz w:val="16"/>
                <w:szCs w:val="16"/>
              </w:rPr>
            </w:pPr>
            <w:r w:rsidRPr="00267F1F">
              <w:t>Independent Health and Aged Care Pricing Authority</w:t>
            </w:r>
          </w:p>
        </w:tc>
      </w:tr>
      <w:tr w:rsidR="00F1076D" w:rsidRPr="00500515" w14:paraId="051002E0" w14:textId="77777777" w:rsidTr="1E4B4BB2">
        <w:tc>
          <w:tcPr>
            <w:tcW w:w="942" w:type="pct"/>
            <w:tcBorders>
              <w:top w:val="single" w:sz="4" w:space="0" w:color="989393"/>
              <w:bottom w:val="single" w:sz="4" w:space="0" w:color="989393"/>
            </w:tcBorders>
          </w:tcPr>
          <w:p w14:paraId="6C9DDAE7" w14:textId="221B56E9" w:rsidR="00F1076D" w:rsidRPr="00267F1F" w:rsidRDefault="00F1076D" w:rsidP="00EF59E0">
            <w:pPr>
              <w:pStyle w:val="Body"/>
              <w:spacing w:before="20" w:after="20"/>
              <w:rPr>
                <w:b/>
                <w:bCs/>
              </w:rPr>
            </w:pPr>
            <w:r>
              <w:rPr>
                <w:b/>
                <w:bCs/>
              </w:rPr>
              <w:t>MPS</w:t>
            </w:r>
          </w:p>
        </w:tc>
        <w:tc>
          <w:tcPr>
            <w:tcW w:w="4058" w:type="pct"/>
            <w:tcBorders>
              <w:top w:val="single" w:sz="4" w:space="0" w:color="989393"/>
              <w:bottom w:val="single" w:sz="4" w:space="0" w:color="989393"/>
            </w:tcBorders>
          </w:tcPr>
          <w:p w14:paraId="7EE3D284" w14:textId="3BCA718D" w:rsidR="00F1076D" w:rsidRPr="00267F1F" w:rsidRDefault="00F1076D" w:rsidP="00EF59E0">
            <w:pPr>
              <w:pStyle w:val="Body"/>
              <w:spacing w:before="20" w:after="20"/>
            </w:pPr>
            <w:r w:rsidRPr="00F1076D">
              <w:t>Multi-Purpose Services</w:t>
            </w:r>
          </w:p>
        </w:tc>
      </w:tr>
      <w:tr w:rsidR="00777F2C" w:rsidRPr="00500515" w14:paraId="37B61AC3" w14:textId="77777777" w:rsidTr="1E4B4BB2">
        <w:tc>
          <w:tcPr>
            <w:tcW w:w="942" w:type="pct"/>
            <w:tcBorders>
              <w:top w:val="single" w:sz="4" w:space="0" w:color="989393"/>
              <w:bottom w:val="single" w:sz="4" w:space="0" w:color="989393"/>
            </w:tcBorders>
          </w:tcPr>
          <w:p w14:paraId="21229A13" w14:textId="5AD5C46F" w:rsidR="00777F2C" w:rsidRPr="00267F1F" w:rsidRDefault="00777F2C" w:rsidP="00EF59E0">
            <w:pPr>
              <w:pStyle w:val="Body"/>
              <w:spacing w:before="20" w:after="20"/>
              <w:rPr>
                <w:b/>
                <w:bCs/>
              </w:rPr>
            </w:pPr>
            <w:r>
              <w:rPr>
                <w:b/>
                <w:bCs/>
              </w:rPr>
              <w:t>NATSIFACP</w:t>
            </w:r>
          </w:p>
        </w:tc>
        <w:tc>
          <w:tcPr>
            <w:tcW w:w="4058" w:type="pct"/>
            <w:tcBorders>
              <w:top w:val="single" w:sz="4" w:space="0" w:color="989393"/>
              <w:bottom w:val="single" w:sz="4" w:space="0" w:color="989393"/>
            </w:tcBorders>
          </w:tcPr>
          <w:p w14:paraId="477D947B" w14:textId="48E24199" w:rsidR="00777F2C" w:rsidRPr="00267F1F" w:rsidRDefault="00777F2C" w:rsidP="00EF59E0">
            <w:pPr>
              <w:pStyle w:val="Body"/>
              <w:spacing w:before="20" w:after="20"/>
            </w:pPr>
            <w:r w:rsidRPr="00777F2C">
              <w:t>National Aboriginal and Torres Strait Islander Flexible Aged Care Program</w:t>
            </w:r>
          </w:p>
        </w:tc>
      </w:tr>
      <w:tr w:rsidR="00B91FDA" w:rsidRPr="00777F2C" w14:paraId="08D6F649" w14:textId="77777777" w:rsidTr="00BD178F">
        <w:tc>
          <w:tcPr>
            <w:tcW w:w="942" w:type="pct"/>
            <w:tcBorders>
              <w:top w:val="single" w:sz="4" w:space="0" w:color="989393"/>
              <w:bottom w:val="single" w:sz="4" w:space="0" w:color="989393"/>
            </w:tcBorders>
          </w:tcPr>
          <w:p w14:paraId="31C30207" w14:textId="78A59EC7" w:rsidR="00B91FDA" w:rsidRDefault="00B91FDA" w:rsidP="00BD178F">
            <w:pPr>
              <w:pStyle w:val="Body"/>
              <w:spacing w:before="20" w:after="20"/>
              <w:rPr>
                <w:b/>
                <w:bCs/>
              </w:rPr>
            </w:pPr>
            <w:r>
              <w:rPr>
                <w:b/>
                <w:bCs/>
              </w:rPr>
              <w:t>NEC</w:t>
            </w:r>
          </w:p>
        </w:tc>
        <w:tc>
          <w:tcPr>
            <w:tcW w:w="4058" w:type="pct"/>
            <w:tcBorders>
              <w:top w:val="single" w:sz="4" w:space="0" w:color="989393"/>
              <w:bottom w:val="single" w:sz="4" w:space="0" w:color="989393"/>
            </w:tcBorders>
          </w:tcPr>
          <w:p w14:paraId="2131A6C1" w14:textId="39B2FC87" w:rsidR="00B91FDA" w:rsidRPr="00717687" w:rsidRDefault="00B91FDA" w:rsidP="00BD178F">
            <w:pPr>
              <w:pStyle w:val="Body"/>
              <w:spacing w:before="20" w:after="20"/>
            </w:pPr>
            <w:r w:rsidRPr="00717687">
              <w:t>national efficient cost</w:t>
            </w:r>
          </w:p>
        </w:tc>
      </w:tr>
      <w:tr w:rsidR="00B91FDA" w:rsidRPr="00777F2C" w14:paraId="741EC506" w14:textId="77777777" w:rsidTr="00BD178F">
        <w:tc>
          <w:tcPr>
            <w:tcW w:w="942" w:type="pct"/>
            <w:tcBorders>
              <w:top w:val="single" w:sz="4" w:space="0" w:color="989393"/>
              <w:bottom w:val="single" w:sz="4" w:space="0" w:color="989393"/>
            </w:tcBorders>
          </w:tcPr>
          <w:p w14:paraId="6C5CC1F7" w14:textId="77777777" w:rsidR="00B91FDA" w:rsidRDefault="00B91FDA" w:rsidP="00BD178F">
            <w:pPr>
              <w:pStyle w:val="Body"/>
              <w:spacing w:before="20" w:after="20"/>
              <w:rPr>
                <w:b/>
                <w:bCs/>
              </w:rPr>
            </w:pPr>
            <w:r>
              <w:rPr>
                <w:b/>
                <w:bCs/>
              </w:rPr>
              <w:t>NEP</w:t>
            </w:r>
          </w:p>
        </w:tc>
        <w:tc>
          <w:tcPr>
            <w:tcW w:w="4058" w:type="pct"/>
            <w:tcBorders>
              <w:top w:val="single" w:sz="4" w:space="0" w:color="989393"/>
              <w:bottom w:val="single" w:sz="4" w:space="0" w:color="989393"/>
            </w:tcBorders>
          </w:tcPr>
          <w:p w14:paraId="3D8A0CED" w14:textId="77777777" w:rsidR="00B91FDA" w:rsidRPr="00777F2C" w:rsidRDefault="00B91FDA" w:rsidP="00BD178F">
            <w:pPr>
              <w:pStyle w:val="Body"/>
              <w:spacing w:before="20" w:after="20"/>
            </w:pPr>
            <w:r w:rsidRPr="00717687">
              <w:t>national efficient price</w:t>
            </w:r>
          </w:p>
        </w:tc>
      </w:tr>
      <w:tr w:rsidR="00EF59E0" w:rsidRPr="00500515" w14:paraId="1BC4C9BC" w14:textId="77777777" w:rsidTr="1E4B4BB2">
        <w:tc>
          <w:tcPr>
            <w:tcW w:w="942" w:type="pct"/>
            <w:tcBorders>
              <w:top w:val="single" w:sz="4" w:space="0" w:color="989393"/>
              <w:bottom w:val="single" w:sz="4" w:space="0" w:color="989393"/>
            </w:tcBorders>
          </w:tcPr>
          <w:p w14:paraId="04E46315" w14:textId="65B28F35" w:rsidR="00EF59E0" w:rsidRPr="00267F1F" w:rsidRDefault="00EF59E0" w:rsidP="00EF59E0">
            <w:pPr>
              <w:pStyle w:val="Body"/>
              <w:spacing w:before="20" w:after="20"/>
              <w:rPr>
                <w:b/>
                <w:bCs/>
                <w:sz w:val="16"/>
                <w:szCs w:val="16"/>
              </w:rPr>
            </w:pPr>
            <w:r w:rsidRPr="00267F1F">
              <w:rPr>
                <w:b/>
                <w:bCs/>
              </w:rPr>
              <w:t>NWAU</w:t>
            </w:r>
          </w:p>
        </w:tc>
        <w:tc>
          <w:tcPr>
            <w:tcW w:w="4058" w:type="pct"/>
            <w:tcBorders>
              <w:top w:val="single" w:sz="4" w:space="0" w:color="989393"/>
              <w:bottom w:val="single" w:sz="4" w:space="0" w:color="989393"/>
            </w:tcBorders>
          </w:tcPr>
          <w:p w14:paraId="48B9D247" w14:textId="6925E69E" w:rsidR="00EF59E0" w:rsidRPr="00267F1F" w:rsidRDefault="00EF59E0" w:rsidP="00EF59E0">
            <w:pPr>
              <w:pStyle w:val="Body"/>
              <w:spacing w:before="20" w:after="20"/>
              <w:rPr>
                <w:sz w:val="16"/>
                <w:szCs w:val="16"/>
              </w:rPr>
            </w:pPr>
            <w:r w:rsidRPr="00267F1F">
              <w:t>National weighted activity unit</w:t>
            </w:r>
          </w:p>
        </w:tc>
      </w:tr>
      <w:tr w:rsidR="00EF59E0" w:rsidRPr="00500515" w14:paraId="1BDA7772" w14:textId="77777777" w:rsidTr="1E4B4BB2">
        <w:tc>
          <w:tcPr>
            <w:tcW w:w="942" w:type="pct"/>
            <w:tcBorders>
              <w:top w:val="single" w:sz="4" w:space="0" w:color="989393"/>
              <w:bottom w:val="single" w:sz="4" w:space="0" w:color="989393"/>
            </w:tcBorders>
          </w:tcPr>
          <w:p w14:paraId="677BDFE6" w14:textId="08A0E391" w:rsidR="00EF59E0" w:rsidRPr="00267F1F" w:rsidRDefault="00EF59E0" w:rsidP="00EF59E0">
            <w:pPr>
              <w:pStyle w:val="Body"/>
              <w:spacing w:before="20" w:after="20"/>
              <w:rPr>
                <w:b/>
                <w:bCs/>
                <w:sz w:val="16"/>
                <w:szCs w:val="16"/>
              </w:rPr>
            </w:pPr>
            <w:r w:rsidRPr="00267F1F">
              <w:rPr>
                <w:b/>
                <w:bCs/>
              </w:rPr>
              <w:t>QFR</w:t>
            </w:r>
          </w:p>
        </w:tc>
        <w:tc>
          <w:tcPr>
            <w:tcW w:w="4058" w:type="pct"/>
            <w:tcBorders>
              <w:top w:val="single" w:sz="4" w:space="0" w:color="989393"/>
              <w:bottom w:val="single" w:sz="4" w:space="0" w:color="989393"/>
            </w:tcBorders>
          </w:tcPr>
          <w:p w14:paraId="16497A03" w14:textId="7DBADBDF" w:rsidR="00EF59E0" w:rsidRPr="00267F1F" w:rsidRDefault="00EF59E0" w:rsidP="00EF59E0">
            <w:pPr>
              <w:pStyle w:val="Body"/>
              <w:spacing w:before="20" w:after="20"/>
              <w:rPr>
                <w:sz w:val="16"/>
                <w:szCs w:val="16"/>
              </w:rPr>
            </w:pPr>
            <w:r w:rsidRPr="00267F1F">
              <w:t>Quarterly Financial Report</w:t>
            </w:r>
          </w:p>
        </w:tc>
      </w:tr>
      <w:tr w:rsidR="00663F99" w:rsidRPr="00500515" w14:paraId="04C5CCC4" w14:textId="77777777" w:rsidTr="1E4B4BB2">
        <w:tc>
          <w:tcPr>
            <w:tcW w:w="942" w:type="pct"/>
            <w:tcBorders>
              <w:top w:val="single" w:sz="4" w:space="0" w:color="989393"/>
              <w:bottom w:val="single" w:sz="4" w:space="0" w:color="989393"/>
            </w:tcBorders>
          </w:tcPr>
          <w:p w14:paraId="1BFA31DD" w14:textId="572CFF11" w:rsidR="00663F99" w:rsidRPr="00267F1F" w:rsidRDefault="00663F99" w:rsidP="00663F99">
            <w:pPr>
              <w:pStyle w:val="Body"/>
              <w:spacing w:before="20" w:after="20"/>
              <w:rPr>
                <w:b/>
                <w:bCs/>
              </w:rPr>
            </w:pPr>
            <w:r w:rsidRPr="00267F1F">
              <w:rPr>
                <w:b/>
                <w:bCs/>
              </w:rPr>
              <w:t>RACCS</w:t>
            </w:r>
          </w:p>
        </w:tc>
        <w:tc>
          <w:tcPr>
            <w:tcW w:w="4058" w:type="pct"/>
            <w:tcBorders>
              <w:top w:val="single" w:sz="4" w:space="0" w:color="989393"/>
              <w:bottom w:val="single" w:sz="4" w:space="0" w:color="989393"/>
            </w:tcBorders>
          </w:tcPr>
          <w:p w14:paraId="6857A0EF" w14:textId="7442141A" w:rsidR="00663F99" w:rsidRPr="00267F1F" w:rsidRDefault="00663F99" w:rsidP="00663F99">
            <w:pPr>
              <w:pStyle w:val="Body"/>
              <w:spacing w:before="20" w:after="20"/>
            </w:pPr>
            <w:r w:rsidRPr="00267F1F">
              <w:t>Residential Aged Care Costing Study</w:t>
            </w:r>
          </w:p>
        </w:tc>
      </w:tr>
      <w:tr w:rsidR="00663F99" w:rsidRPr="00500515" w14:paraId="2825EF23" w14:textId="77777777" w:rsidTr="1E4B4BB2">
        <w:tc>
          <w:tcPr>
            <w:tcW w:w="942" w:type="pct"/>
            <w:tcBorders>
              <w:top w:val="single" w:sz="4" w:space="0" w:color="989393"/>
              <w:bottom w:val="single" w:sz="4" w:space="0" w:color="989393"/>
            </w:tcBorders>
          </w:tcPr>
          <w:p w14:paraId="2330A1D0" w14:textId="6E58ABD0" w:rsidR="00663F99" w:rsidRPr="00267F1F" w:rsidRDefault="00663F99" w:rsidP="00663F99">
            <w:pPr>
              <w:pStyle w:val="Body"/>
              <w:spacing w:before="20" w:after="20"/>
              <w:rPr>
                <w:b/>
                <w:bCs/>
                <w:sz w:val="16"/>
                <w:szCs w:val="16"/>
              </w:rPr>
            </w:pPr>
            <w:r w:rsidRPr="00267F1F">
              <w:rPr>
                <w:b/>
                <w:bCs/>
              </w:rPr>
              <w:t>RACPA</w:t>
            </w:r>
          </w:p>
        </w:tc>
        <w:tc>
          <w:tcPr>
            <w:tcW w:w="4058" w:type="pct"/>
            <w:tcBorders>
              <w:top w:val="single" w:sz="4" w:space="0" w:color="989393"/>
              <w:bottom w:val="single" w:sz="4" w:space="0" w:color="989393"/>
            </w:tcBorders>
          </w:tcPr>
          <w:p w14:paraId="1BBC76CA" w14:textId="34DD10C0" w:rsidR="00663F99" w:rsidRPr="00267F1F" w:rsidRDefault="00663F99" w:rsidP="00663F99">
            <w:pPr>
              <w:pStyle w:val="Body"/>
              <w:spacing w:before="20" w:after="20"/>
              <w:rPr>
                <w:sz w:val="16"/>
                <w:szCs w:val="16"/>
              </w:rPr>
            </w:pPr>
            <w:r w:rsidRPr="00267F1F">
              <w:t>Residential Aged Care Price Advice</w:t>
            </w:r>
          </w:p>
        </w:tc>
      </w:tr>
      <w:tr w:rsidR="00663F99" w:rsidRPr="00500515" w14:paraId="497B5058" w14:textId="77777777" w:rsidTr="1E4B4BB2">
        <w:tc>
          <w:tcPr>
            <w:tcW w:w="942" w:type="pct"/>
            <w:tcBorders>
              <w:top w:val="single" w:sz="4" w:space="0" w:color="989393"/>
              <w:bottom w:val="single" w:sz="4" w:space="0" w:color="989393"/>
            </w:tcBorders>
          </w:tcPr>
          <w:p w14:paraId="29A5AE75" w14:textId="69F7C23F" w:rsidR="00663F99" w:rsidRPr="00267F1F" w:rsidRDefault="00663F99" w:rsidP="00663F99">
            <w:pPr>
              <w:pStyle w:val="Body"/>
              <w:spacing w:before="20" w:after="20"/>
              <w:rPr>
                <w:b/>
                <w:bCs/>
                <w:sz w:val="16"/>
                <w:szCs w:val="16"/>
              </w:rPr>
            </w:pPr>
            <w:r w:rsidRPr="00267F1F">
              <w:rPr>
                <w:b/>
                <w:bCs/>
              </w:rPr>
              <w:t>RN</w:t>
            </w:r>
          </w:p>
        </w:tc>
        <w:tc>
          <w:tcPr>
            <w:tcW w:w="4058" w:type="pct"/>
            <w:tcBorders>
              <w:top w:val="single" w:sz="4" w:space="0" w:color="989393"/>
              <w:bottom w:val="single" w:sz="4" w:space="0" w:color="989393"/>
            </w:tcBorders>
          </w:tcPr>
          <w:p w14:paraId="542278A6" w14:textId="1E74946F" w:rsidR="00663F99" w:rsidRPr="00267F1F" w:rsidRDefault="00663F99" w:rsidP="00663F99">
            <w:pPr>
              <w:pStyle w:val="Body"/>
              <w:spacing w:before="20" w:after="20"/>
              <w:rPr>
                <w:sz w:val="16"/>
                <w:szCs w:val="16"/>
              </w:rPr>
            </w:pPr>
            <w:r w:rsidRPr="00267F1F">
              <w:t>Registered Nurse</w:t>
            </w:r>
          </w:p>
        </w:tc>
      </w:tr>
      <w:tr w:rsidR="00F1076D" w:rsidRPr="00500515" w14:paraId="060C1F60" w14:textId="77777777" w:rsidTr="1E4B4BB2">
        <w:tc>
          <w:tcPr>
            <w:tcW w:w="942" w:type="pct"/>
            <w:tcBorders>
              <w:top w:val="single" w:sz="4" w:space="0" w:color="989393"/>
              <w:bottom w:val="single" w:sz="4" w:space="0" w:color="989393"/>
            </w:tcBorders>
          </w:tcPr>
          <w:p w14:paraId="527D7D70" w14:textId="4120DBFC" w:rsidR="00F1076D" w:rsidRPr="00267F1F" w:rsidRDefault="00F1076D" w:rsidP="00663F99">
            <w:pPr>
              <w:pStyle w:val="Body"/>
              <w:spacing w:before="20" w:after="20"/>
              <w:rPr>
                <w:b/>
                <w:bCs/>
              </w:rPr>
            </w:pPr>
            <w:bookmarkStart w:id="9" w:name="_Toc132118403"/>
            <w:bookmarkStart w:id="10" w:name="_Toc135043502"/>
            <w:r>
              <w:rPr>
                <w:b/>
                <w:bCs/>
              </w:rPr>
              <w:t>STRC</w:t>
            </w:r>
          </w:p>
        </w:tc>
        <w:tc>
          <w:tcPr>
            <w:tcW w:w="4058" w:type="pct"/>
            <w:tcBorders>
              <w:top w:val="single" w:sz="4" w:space="0" w:color="989393"/>
              <w:bottom w:val="single" w:sz="4" w:space="0" w:color="989393"/>
            </w:tcBorders>
          </w:tcPr>
          <w:p w14:paraId="33420023" w14:textId="36E45037" w:rsidR="00F1076D" w:rsidRPr="00267F1F" w:rsidRDefault="00F1076D" w:rsidP="00663F99">
            <w:pPr>
              <w:pStyle w:val="Body"/>
              <w:spacing w:before="20" w:after="20"/>
            </w:pPr>
            <w:r w:rsidRPr="00F1076D">
              <w:t>Short-Term Restorative Care</w:t>
            </w:r>
          </w:p>
        </w:tc>
      </w:tr>
    </w:tbl>
    <w:p w14:paraId="7528A5B3" w14:textId="77777777" w:rsidR="00EF59E0" w:rsidRDefault="00EF59E0" w:rsidP="00EF59E0">
      <w:pPr>
        <w:sectPr w:rsidR="00EF59E0" w:rsidSect="009474B2">
          <w:pgSz w:w="11906" w:h="16838" w:code="9"/>
          <w:pgMar w:top="851" w:right="1440" w:bottom="1440" w:left="1440" w:header="708" w:footer="708" w:gutter="0"/>
          <w:cols w:space="708"/>
          <w:docGrid w:linePitch="360"/>
        </w:sectPr>
      </w:pPr>
    </w:p>
    <w:p w14:paraId="3369B3E5" w14:textId="77777777" w:rsidR="00EF59E0" w:rsidRPr="00050402" w:rsidRDefault="00EF59E0" w:rsidP="00EF59E0">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21376" behindDoc="0" locked="0" layoutInCell="1" allowOverlap="1" wp14:anchorId="32D629B4" wp14:editId="5D0AB143">
            <wp:simplePos x="0" y="0"/>
            <wp:positionH relativeFrom="column">
              <wp:posOffset>-914400</wp:posOffset>
            </wp:positionH>
            <wp:positionV relativeFrom="paragraph">
              <wp:posOffset>-610235</wp:posOffset>
            </wp:positionV>
            <wp:extent cx="7548659" cy="5151755"/>
            <wp:effectExtent l="0" t="0" r="0"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sidRPr="00050402">
        <w:rPr>
          <w:color w:val="FFFFFF" w:themeColor="background1"/>
          <w:sz w:val="720"/>
          <w:szCs w:val="720"/>
        </w:rPr>
        <w:t>1</w:t>
      </w:r>
    </w:p>
    <w:p w14:paraId="7927395F" w14:textId="77777777" w:rsidR="00EF59E0" w:rsidRPr="00267F1F" w:rsidRDefault="00EF59E0" w:rsidP="00EF59E0">
      <w:pPr>
        <w:pStyle w:val="Heading1"/>
        <w:rPr>
          <w:color w:val="auto"/>
        </w:rPr>
      </w:pPr>
      <w:bookmarkStart w:id="11" w:name="_Toc111033544"/>
      <w:bookmarkStart w:id="12" w:name="_Toc137552797"/>
      <w:r w:rsidRPr="00267F1F">
        <w:rPr>
          <w:color w:val="auto"/>
        </w:rPr>
        <w:t>Introduction</w:t>
      </w:r>
      <w:bookmarkEnd w:id="11"/>
      <w:bookmarkEnd w:id="12"/>
    </w:p>
    <w:p w14:paraId="70D0E1E7" w14:textId="77777777" w:rsidR="00EF59E0" w:rsidRDefault="00EF59E0" w:rsidP="00EF59E0">
      <w:pPr>
        <w:sectPr w:rsidR="00EF59E0" w:rsidSect="00C9543A">
          <w:headerReference w:type="even" r:id="rId27"/>
          <w:headerReference w:type="default" r:id="rId28"/>
          <w:headerReference w:type="first" r:id="rId29"/>
          <w:pgSz w:w="11906" w:h="16838" w:code="9"/>
          <w:pgMar w:top="851" w:right="1440" w:bottom="1440" w:left="1440" w:header="708" w:footer="708" w:gutter="0"/>
          <w:cols w:space="708"/>
          <w:docGrid w:linePitch="360"/>
        </w:sectPr>
      </w:pPr>
    </w:p>
    <w:p w14:paraId="3B22FD98" w14:textId="77777777" w:rsidR="004A2836" w:rsidRDefault="004A2836" w:rsidP="004A2836">
      <w:pPr>
        <w:pStyle w:val="Body"/>
        <w:spacing w:after="0"/>
        <w:sectPr w:rsidR="004A2836" w:rsidSect="00F4029B">
          <w:headerReference w:type="even" r:id="rId30"/>
          <w:headerReference w:type="default" r:id="rId31"/>
          <w:headerReference w:type="first" r:id="rId32"/>
          <w:pgSz w:w="11906" w:h="16838" w:code="9"/>
          <w:pgMar w:top="2410" w:right="1440" w:bottom="1440" w:left="1440" w:header="568" w:footer="708" w:gutter="0"/>
          <w:cols w:space="708"/>
          <w:docGrid w:linePitch="360"/>
        </w:sectPr>
      </w:pPr>
      <w:bookmarkStart w:id="13" w:name="_Toc132118412"/>
      <w:bookmarkStart w:id="14" w:name="_Toc135043506"/>
      <w:bookmarkEnd w:id="9"/>
      <w:bookmarkEnd w:id="10"/>
    </w:p>
    <w:p w14:paraId="3019AEA7" w14:textId="67E52423" w:rsidR="00FE7FBB" w:rsidRPr="00267F1F" w:rsidRDefault="00FE7FBB" w:rsidP="00FE7FBB">
      <w:r w:rsidRPr="00267F1F">
        <w:t xml:space="preserve">The Pricing Framework for Australian Residential Aged Care Services (the Pricing Framework) is the key policy document for the Independent Health and Aged Care Pricing Authority (IHACPA) related to residential aged care and residential respite care. The Pricing Framework underpins IHACPA’s approach to developing residential aged care costing and pricing advice to the </w:t>
      </w:r>
      <w:r w:rsidR="00EB74AE" w:rsidRPr="00267F1F">
        <w:t>Australian</w:t>
      </w:r>
      <w:r w:rsidR="00DD59FB" w:rsidRPr="00267F1F">
        <w:t xml:space="preserve"> </w:t>
      </w:r>
      <w:r w:rsidRPr="00267F1F">
        <w:t>Government (the Government).</w:t>
      </w:r>
    </w:p>
    <w:p w14:paraId="644E0951" w14:textId="77777777" w:rsidR="00FE7FBB" w:rsidRDefault="00FE7FBB" w:rsidP="00513FE6">
      <w:pPr>
        <w:pStyle w:val="Heading2"/>
        <w:rPr>
          <w:rStyle w:val="normaltextrun"/>
          <w:b w:val="0"/>
          <w:bCs w:val="0"/>
        </w:rPr>
      </w:pPr>
      <w:bookmarkStart w:id="15" w:name="_Toc136434989"/>
      <w:bookmarkStart w:id="16" w:name="_Toc137552798"/>
      <w:r w:rsidRPr="2D491462">
        <w:rPr>
          <w:rStyle w:val="normaltextrun"/>
        </w:rPr>
        <w:t xml:space="preserve">1.1 IHACPA’s role in </w:t>
      </w:r>
      <w:r>
        <w:rPr>
          <w:rStyle w:val="normaltextrun"/>
        </w:rPr>
        <w:t xml:space="preserve">residential </w:t>
      </w:r>
      <w:r w:rsidRPr="2D491462">
        <w:rPr>
          <w:rStyle w:val="normaltextrun"/>
        </w:rPr>
        <w:t>aged care</w:t>
      </w:r>
      <w:r>
        <w:rPr>
          <w:rStyle w:val="normaltextrun"/>
        </w:rPr>
        <w:t xml:space="preserve"> and residential respite care</w:t>
      </w:r>
      <w:bookmarkEnd w:id="15"/>
      <w:bookmarkEnd w:id="16"/>
    </w:p>
    <w:p w14:paraId="20C861A9" w14:textId="6CBE29C2" w:rsidR="00FE7FBB" w:rsidRPr="00717687" w:rsidRDefault="005F4F73" w:rsidP="00FE7FBB">
      <w:pPr>
        <w:rPr>
          <w:rStyle w:val="normaltextrun"/>
          <w:rFonts w:cs="Arial"/>
        </w:rPr>
      </w:pPr>
      <w:r w:rsidRPr="00267F1F">
        <w:t xml:space="preserve">The </w:t>
      </w:r>
      <w:r w:rsidR="00924D06" w:rsidRPr="00267F1F">
        <w:rPr>
          <w:i/>
          <w:iCs/>
        </w:rPr>
        <w:t>Aged Care and Other Legislation Amendment (Royal Commission Response) Act 202</w:t>
      </w:r>
      <w:r w:rsidR="00924D06" w:rsidRPr="00267F1F">
        <w:rPr>
          <w:i/>
        </w:rPr>
        <w:t>2</w:t>
      </w:r>
      <w:r w:rsidR="00486578" w:rsidRPr="00267F1F">
        <w:rPr>
          <w:i/>
        </w:rPr>
        <w:t xml:space="preserve"> (Cwlth)</w:t>
      </w:r>
      <w:r w:rsidR="00FE7FBB" w:rsidRPr="00267F1F">
        <w:rPr>
          <w:i/>
          <w:iCs/>
        </w:rPr>
        <w:t xml:space="preserve"> </w:t>
      </w:r>
      <w:r w:rsidR="00FE7FBB" w:rsidRPr="00267F1F">
        <w:t xml:space="preserve">included amendments that expanded the remit of IHACPA. Commencing 12 August 2022, Schedule 8 amended the </w:t>
      </w:r>
      <w:hyperlink r:id="rId33" w:history="1">
        <w:r w:rsidR="00FE7FBB" w:rsidRPr="00B25E42">
          <w:rPr>
            <w:rStyle w:val="Hyperlink"/>
            <w:i/>
            <w:iCs/>
          </w:rPr>
          <w:t>National Health Reform Act 2011</w:t>
        </w:r>
      </w:hyperlink>
      <w:r w:rsidR="00FE7FBB" w:rsidRPr="000F60DE">
        <w:rPr>
          <w:i/>
          <w:iCs/>
        </w:rPr>
        <w:t xml:space="preserve"> </w:t>
      </w:r>
      <w:r w:rsidR="00FE7FBB" w:rsidRPr="00267F1F">
        <w:t xml:space="preserve">(Cwlth), the </w:t>
      </w:r>
      <w:hyperlink r:id="rId34" w:history="1">
        <w:r w:rsidR="00FE7FBB" w:rsidRPr="000F60DE">
          <w:rPr>
            <w:rStyle w:val="Hyperlink"/>
            <w:i/>
            <w:iCs/>
          </w:rPr>
          <w:t>Aged Care Act 1997</w:t>
        </w:r>
      </w:hyperlink>
      <w:r w:rsidR="00FE7FBB" w:rsidRPr="2D491462">
        <w:t xml:space="preserve"> </w:t>
      </w:r>
      <w:r w:rsidR="00F2737E" w:rsidRPr="00267F1F">
        <w:t xml:space="preserve">(the Aged Care Act) </w:t>
      </w:r>
      <w:r w:rsidR="00FE7FBB" w:rsidRPr="00267F1F">
        <w:t xml:space="preserve">and the </w:t>
      </w:r>
      <w:hyperlink r:id="rId35" w:history="1">
        <w:r w:rsidR="00581EBB" w:rsidRPr="00374DD3">
          <w:rPr>
            <w:rStyle w:val="Hyperlink"/>
            <w:i/>
            <w:iCs/>
          </w:rPr>
          <w:t>Aged Care</w:t>
        </w:r>
        <w:r w:rsidR="009969AC" w:rsidRPr="00374DD3">
          <w:rPr>
            <w:rStyle w:val="Hyperlink"/>
          </w:rPr>
          <w:t xml:space="preserve"> </w:t>
        </w:r>
        <w:r w:rsidR="00FE7FBB" w:rsidRPr="00374DD3">
          <w:rPr>
            <w:rStyle w:val="Hyperlink"/>
            <w:i/>
            <w:iCs/>
          </w:rPr>
          <w:t>Quality and Safety Commission Act 2018</w:t>
        </w:r>
      </w:hyperlink>
      <w:r w:rsidR="00FE7FBB" w:rsidRPr="2D491462">
        <w:t xml:space="preserve"> </w:t>
      </w:r>
      <w:r w:rsidR="00FE7FBB" w:rsidRPr="00717687">
        <w:t>to expand IHACPA’s functions to include the:</w:t>
      </w:r>
    </w:p>
    <w:p w14:paraId="42576630" w14:textId="5CA83BEA" w:rsidR="00FE7FBB" w:rsidRPr="00717687" w:rsidRDefault="00F2737E" w:rsidP="00FE7FBB">
      <w:pPr>
        <w:pStyle w:val="ListParagraph"/>
        <w:numPr>
          <w:ilvl w:val="0"/>
          <w:numId w:val="35"/>
        </w:numPr>
        <w:spacing w:line="288" w:lineRule="auto"/>
      </w:pPr>
      <w:r w:rsidRPr="00717687">
        <w:t>p</w:t>
      </w:r>
      <w:r w:rsidR="00FE7FBB" w:rsidRPr="00717687">
        <w:t>rovision of advice on aged care pricing and costing matters</w:t>
      </w:r>
    </w:p>
    <w:p w14:paraId="2DF81874" w14:textId="3D0F5ABF" w:rsidR="00FE7FBB" w:rsidRPr="00717687" w:rsidRDefault="00F2737E" w:rsidP="00FE7FBB">
      <w:pPr>
        <w:pStyle w:val="ListParagraph"/>
        <w:numPr>
          <w:ilvl w:val="0"/>
          <w:numId w:val="35"/>
        </w:numPr>
        <w:spacing w:line="288" w:lineRule="auto"/>
      </w:pPr>
      <w:r w:rsidRPr="00717687">
        <w:t>p</w:t>
      </w:r>
      <w:r w:rsidR="00FE7FBB" w:rsidRPr="00717687">
        <w:t>erformance of certain functions conferred by the Aged Care Act.</w:t>
      </w:r>
    </w:p>
    <w:p w14:paraId="21CEEBE4" w14:textId="16FD129F" w:rsidR="00FE7FBB" w:rsidRPr="00717687" w:rsidRDefault="00FE7FBB" w:rsidP="00FE7FBB">
      <w:r w:rsidRPr="00717687">
        <w:t>From 1 July 2023, IHACPA commenced providing annual advice to the Government on the costing and pricing of residential aged care and residential respite</w:t>
      </w:r>
      <w:r w:rsidR="0085611E" w:rsidRPr="00717687">
        <w:t xml:space="preserve"> care</w:t>
      </w:r>
      <w:r w:rsidRPr="00717687">
        <w:t xml:space="preserve">. When </w:t>
      </w:r>
      <w:r w:rsidR="00043D3D" w:rsidRPr="00717687">
        <w:t>developing</w:t>
      </w:r>
      <w:r w:rsidRPr="00717687">
        <w:t xml:space="preserve"> this advice, IHACPA considered the Government’s </w:t>
      </w:r>
      <w:hyperlink r:id="rId36">
        <w:r w:rsidRPr="4D49B6A4">
          <w:rPr>
            <w:rStyle w:val="Hyperlink"/>
          </w:rPr>
          <w:t>Expectations Setting Paper</w:t>
        </w:r>
      </w:hyperlink>
      <w:r>
        <w:t xml:space="preserve"> </w:t>
      </w:r>
      <w:r w:rsidRPr="00717687">
        <w:t xml:space="preserve">and </w:t>
      </w:r>
      <w:r w:rsidR="00043D3D" w:rsidRPr="00717687">
        <w:t xml:space="preserve">IHACPA’s </w:t>
      </w:r>
      <w:hyperlink r:id="rId37">
        <w:r w:rsidRPr="4D49B6A4">
          <w:rPr>
            <w:rStyle w:val="Hyperlink"/>
          </w:rPr>
          <w:t>Statement of Intent</w:t>
        </w:r>
      </w:hyperlink>
      <w:r w:rsidR="5EFF9452" w:rsidRPr="00717687">
        <w:t xml:space="preserve">, </w:t>
      </w:r>
      <w:r w:rsidR="00232217" w:rsidRPr="00717687">
        <w:t xml:space="preserve">which </w:t>
      </w:r>
      <w:r w:rsidRPr="00717687">
        <w:t>outlin</w:t>
      </w:r>
      <w:r w:rsidR="00232217" w:rsidRPr="00717687">
        <w:t>e</w:t>
      </w:r>
      <w:r w:rsidR="00A77038" w:rsidRPr="00717687">
        <w:t>d</w:t>
      </w:r>
      <w:r w:rsidRPr="00717687">
        <w:t xml:space="preserve"> IHACPA’s</w:t>
      </w:r>
      <w:r w:rsidR="00232217" w:rsidRPr="00717687">
        <w:t xml:space="preserve"> </w:t>
      </w:r>
      <w:r w:rsidRPr="00717687">
        <w:t xml:space="preserve">aged care costing and pricing functions. </w:t>
      </w:r>
    </w:p>
    <w:p w14:paraId="1A3C43D3" w14:textId="248785C7" w:rsidR="00FE7FBB" w:rsidRPr="00717687" w:rsidRDefault="00FE7FBB" w:rsidP="00FE7FBB">
      <w:r w:rsidRPr="00717687">
        <w:t>IHACPA use</w:t>
      </w:r>
      <w:r w:rsidR="00232217" w:rsidRPr="00717687">
        <w:t>s</w:t>
      </w:r>
      <w:r w:rsidRPr="00717687">
        <w:t xml:space="preserve"> evidence obtained through data analysis and stakeholder engagement to make recommendations on pricing for the delivery of Australian residential aged care services, supporting better outcomes for those receiving care. Further information about IHACPA’s responsibilities in providing pricing advice is outlined in IHACPA’s </w:t>
      </w:r>
      <w:r w:rsidR="0DDA0E81" w:rsidRPr="00717687">
        <w:t>Statement of Intent to the</w:t>
      </w:r>
      <w:r w:rsidR="4A3C553E" w:rsidRPr="00717687">
        <w:t xml:space="preserve"> Minister for Health and Aged Care (the Minister)</w:t>
      </w:r>
      <w:r w:rsidR="00223EAB" w:rsidRPr="00717687">
        <w:t>.</w:t>
      </w:r>
    </w:p>
    <w:p w14:paraId="012F2312" w14:textId="63D7E288" w:rsidR="004E5ED7" w:rsidRPr="00717687" w:rsidRDefault="001F4038" w:rsidP="00FE7FBB">
      <w:r w:rsidRPr="00717687">
        <w:t>IHACPA relies</w:t>
      </w:r>
      <w:r w:rsidR="00B041F2" w:rsidRPr="00717687">
        <w:t xml:space="preserve"> </w:t>
      </w:r>
      <w:r w:rsidRPr="00717687">
        <w:t>on input from stakeholders which includes</w:t>
      </w:r>
      <w:r w:rsidR="00297655" w:rsidRPr="00717687">
        <w:t>,</w:t>
      </w:r>
      <w:r w:rsidRPr="00717687">
        <w:t xml:space="preserve"> but is not limited </w:t>
      </w:r>
      <w:r w:rsidR="00D55AF5" w:rsidRPr="00717687">
        <w:t>to</w:t>
      </w:r>
      <w:r w:rsidR="00297655" w:rsidRPr="00717687">
        <w:t>,</w:t>
      </w:r>
      <w:r w:rsidRPr="00717687">
        <w:t xml:space="preserve"> </w:t>
      </w:r>
      <w:r w:rsidR="00F66B71" w:rsidRPr="00717687">
        <w:t>residents and their representatives, aged care providers, aged care workforce organisations, aged care researchers, aged care peak bodies, individuals</w:t>
      </w:r>
      <w:r w:rsidR="006A45E1" w:rsidRPr="00717687">
        <w:t>,</w:t>
      </w:r>
      <w:r w:rsidR="00F66B71" w:rsidRPr="00717687">
        <w:t xml:space="preserve"> governments</w:t>
      </w:r>
      <w:r w:rsidR="00E5143A" w:rsidRPr="00717687">
        <w:t xml:space="preserve"> and</w:t>
      </w:r>
      <w:r w:rsidR="00F66B71" w:rsidRPr="00717687">
        <w:t xml:space="preserve"> government agencies.</w:t>
      </w:r>
      <w:r w:rsidRPr="00717687">
        <w:t xml:space="preserve"> </w:t>
      </w:r>
      <w:r w:rsidR="00B87A07" w:rsidRPr="00717687">
        <w:t xml:space="preserve">Considering </w:t>
      </w:r>
      <w:r w:rsidR="00B450FF" w:rsidRPr="00717687">
        <w:t>input</w:t>
      </w:r>
      <w:r w:rsidR="00B87A07" w:rsidRPr="00717687">
        <w:t xml:space="preserve"> </w:t>
      </w:r>
      <w:r w:rsidR="006F7A95" w:rsidRPr="00717687">
        <w:t xml:space="preserve">from a wide </w:t>
      </w:r>
      <w:r w:rsidR="00841EED" w:rsidRPr="00717687">
        <w:t>range of stak</w:t>
      </w:r>
      <w:r w:rsidR="00BC15AA" w:rsidRPr="00717687">
        <w:t xml:space="preserve">eholders ensures </w:t>
      </w:r>
      <w:r w:rsidR="005E2A5B" w:rsidRPr="00717687">
        <w:t xml:space="preserve">that IHACPA’s </w:t>
      </w:r>
      <w:r w:rsidR="009B7082" w:rsidRPr="00717687">
        <w:t xml:space="preserve">pricing advice is </w:t>
      </w:r>
      <w:r w:rsidR="003E0D59" w:rsidRPr="00717687">
        <w:t>robust, appropriate and responsive to changes in the aged care sector</w:t>
      </w:r>
      <w:r w:rsidR="00443889" w:rsidRPr="00717687">
        <w:t>.</w:t>
      </w:r>
    </w:p>
    <w:p w14:paraId="6AE04031" w14:textId="480B2E67" w:rsidR="004E5ED7" w:rsidRPr="00717687" w:rsidRDefault="004E5ED7" w:rsidP="00FE7FBB">
      <w:r w:rsidRPr="00717687">
        <w:t xml:space="preserve">IHACPA is also supported through advice and consideration by the Pricing Authority, the Deputy Chair (Aged Care Pricing), the </w:t>
      </w:r>
      <w:bookmarkStart w:id="17" w:name="_Hlk138421645"/>
      <w:r w:rsidRPr="00717687">
        <w:t>Aged Care Advisory Committee</w:t>
      </w:r>
      <w:bookmarkEnd w:id="17"/>
      <w:r w:rsidR="222195F2" w:rsidRPr="00717687">
        <w:t>,</w:t>
      </w:r>
      <w:r w:rsidRPr="00717687">
        <w:t xml:space="preserve"> and other advisory and consultation mechanisms such as committees</w:t>
      </w:r>
      <w:r w:rsidR="00D420D8" w:rsidRPr="00717687">
        <w:t>,</w:t>
      </w:r>
      <w:r w:rsidRPr="00717687">
        <w:t xml:space="preserve"> working groups and conferences.</w:t>
      </w:r>
    </w:p>
    <w:p w14:paraId="1CBEB209" w14:textId="1EA19D2E" w:rsidR="00232217" w:rsidRPr="00717687" w:rsidRDefault="00FE7FBB" w:rsidP="00FE7FBB">
      <w:r w:rsidRPr="00717687">
        <w:t>The Minister remains responsible for determining the price for aged care services, including residential aged care and residential respite</w:t>
      </w:r>
      <w:r w:rsidR="00232217" w:rsidRPr="00717687">
        <w:t xml:space="preserve"> care</w:t>
      </w:r>
      <w:r w:rsidRPr="00717687">
        <w:t xml:space="preserve">. </w:t>
      </w:r>
    </w:p>
    <w:p w14:paraId="0AE8CE7E" w14:textId="204674FE" w:rsidR="00D420D8" w:rsidRDefault="00D420D8" w:rsidP="00FE7FBB"/>
    <w:p w14:paraId="4A02F71C" w14:textId="6ECEC7E8" w:rsidR="00D420D8" w:rsidRDefault="00D420D8" w:rsidP="00FE7FBB"/>
    <w:p w14:paraId="0DD80E37" w14:textId="34A5FC11" w:rsidR="00D420D8" w:rsidRDefault="00D420D8" w:rsidP="00FE7FBB"/>
    <w:p w14:paraId="5EC3F8D5" w14:textId="1F2DE95C" w:rsidR="00D420D8" w:rsidRDefault="00D420D8" w:rsidP="00FE7FBB"/>
    <w:p w14:paraId="3F5E2A11" w14:textId="1A809822" w:rsidR="00D420D8" w:rsidRDefault="00D420D8" w:rsidP="00FE7FBB"/>
    <w:p w14:paraId="4E0D38B1" w14:textId="77777777" w:rsidR="00D420D8" w:rsidRDefault="00D420D8" w:rsidP="00232217"/>
    <w:p w14:paraId="04D32EB2" w14:textId="5AD19D22" w:rsidR="00232217" w:rsidRPr="001C538C" w:rsidRDefault="0057415A" w:rsidP="00232217">
      <w:pPr>
        <w:rPr>
          <w:rStyle w:val="normaltextrun"/>
          <w:rFonts w:ascii="Josefin Sans" w:eastAsiaTheme="majorEastAsia" w:hAnsi="Josefin Sans" w:cs="Arial"/>
          <w:b/>
          <w:bCs/>
          <w:color w:val="104F99" w:themeColor="accent1"/>
          <w:sz w:val="36"/>
          <w:szCs w:val="36"/>
        </w:rPr>
      </w:pPr>
      <w:r w:rsidRPr="001C538C">
        <w:rPr>
          <w:rStyle w:val="normaltextrun"/>
          <w:rFonts w:ascii="Josefin Sans" w:eastAsiaTheme="majorEastAsia" w:hAnsi="Josefin Sans"/>
          <w:b/>
          <w:bCs/>
          <w:color w:val="104F99" w:themeColor="accent1"/>
          <w:sz w:val="36"/>
          <w:szCs w:val="36"/>
        </w:rPr>
        <w:lastRenderedPageBreak/>
        <w:t xml:space="preserve">1.2 </w:t>
      </w:r>
      <w:r w:rsidR="00232217" w:rsidRPr="001C538C">
        <w:rPr>
          <w:rStyle w:val="normaltextrun"/>
          <w:rFonts w:ascii="Josefin Sans" w:eastAsiaTheme="majorEastAsia" w:hAnsi="Josefin Sans"/>
          <w:b/>
          <w:bCs/>
          <w:color w:val="104F99" w:themeColor="accent1"/>
          <w:sz w:val="36"/>
          <w:szCs w:val="36"/>
        </w:rPr>
        <w:t xml:space="preserve">The role of the Department of Health and Aged Care and the Aged Care Quality and Safety Commission </w:t>
      </w:r>
    </w:p>
    <w:p w14:paraId="1502BFC2" w14:textId="5AC0C7FA" w:rsidR="00FE7FBB" w:rsidRPr="00717687" w:rsidRDefault="00FE7FBB" w:rsidP="00FE7FBB">
      <w:pPr>
        <w:rPr>
          <w:rFonts w:cs="Arial"/>
        </w:rPr>
      </w:pPr>
      <w:r w:rsidRPr="00717687">
        <w:rPr>
          <w:rFonts w:cs="Arial"/>
        </w:rPr>
        <w:t xml:space="preserve">The Department of Health and Aged Care (the Department) and the Aged Care Quality and Safety Commission (ACQSC) remain responsible for a range of aged care functions that are outside the scope of IHACPA’s costing and pricing advice. </w:t>
      </w:r>
    </w:p>
    <w:p w14:paraId="1755E0C5" w14:textId="27EE2682" w:rsidR="0019364B" w:rsidRPr="00663F99" w:rsidRDefault="0019364B" w:rsidP="00663F99">
      <w:pPr>
        <w:pStyle w:val="Heading3"/>
        <w:rPr>
          <w:color w:val="auto"/>
        </w:rPr>
      </w:pPr>
      <w:r>
        <w:rPr>
          <w:color w:val="auto"/>
        </w:rPr>
        <w:t xml:space="preserve">1.2.1 The Department of Health and Aged Care </w:t>
      </w:r>
    </w:p>
    <w:p w14:paraId="2583419B" w14:textId="1C84379A" w:rsidR="00FE7FBB" w:rsidRPr="00717687" w:rsidRDefault="00FE7FBB" w:rsidP="00FE7FBB">
      <w:pPr>
        <w:pStyle w:val="Default"/>
        <w:spacing w:after="160" w:line="288" w:lineRule="auto"/>
        <w:contextualSpacing/>
        <w:rPr>
          <w:rFonts w:ascii="Arial" w:hAnsi="Arial" w:cs="Arial"/>
          <w:color w:val="auto"/>
          <w:sz w:val="22"/>
          <w:szCs w:val="22"/>
        </w:rPr>
      </w:pPr>
      <w:r w:rsidRPr="00717687">
        <w:rPr>
          <w:rFonts w:ascii="Arial" w:hAnsi="Arial" w:cs="Arial"/>
          <w:color w:val="auto"/>
          <w:sz w:val="22"/>
          <w:szCs w:val="22"/>
        </w:rPr>
        <w:t xml:space="preserve">The Department retains policy and system management responsibility for matters including: </w:t>
      </w:r>
    </w:p>
    <w:p w14:paraId="760160D9" w14:textId="77777777" w:rsidR="000F49EE" w:rsidRPr="00717687" w:rsidRDefault="000F49EE" w:rsidP="000F49EE">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 xml:space="preserve">aged care subsidies, supplements and grants </w:t>
      </w:r>
    </w:p>
    <w:p w14:paraId="2DED6B1B" w14:textId="3E2D7CD4" w:rsidR="000F49EE" w:rsidRPr="00717687" w:rsidRDefault="000F49EE" w:rsidP="000F49EE">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approval and classification of re</w:t>
      </w:r>
      <w:r w:rsidR="0095314F">
        <w:rPr>
          <w:rFonts w:ascii="Arial" w:hAnsi="Arial" w:cs="Arial"/>
          <w:color w:val="auto"/>
          <w:sz w:val="22"/>
          <w:szCs w:val="22"/>
        </w:rPr>
        <w:t>sidents</w:t>
      </w:r>
      <w:r w:rsidRPr="00717687">
        <w:rPr>
          <w:rFonts w:ascii="Arial" w:hAnsi="Arial" w:cs="Arial"/>
          <w:color w:val="auto"/>
          <w:sz w:val="22"/>
          <w:szCs w:val="22"/>
        </w:rPr>
        <w:t xml:space="preserve"> for care funding </w:t>
      </w:r>
    </w:p>
    <w:p w14:paraId="0832B178" w14:textId="77777777" w:rsidR="000F49EE" w:rsidRPr="00717687" w:rsidRDefault="000F49EE" w:rsidP="000F49EE">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approved provider obligations and responsibilities</w:t>
      </w:r>
    </w:p>
    <w:p w14:paraId="60569E3C" w14:textId="748498E5" w:rsidR="000F49EE" w:rsidRPr="00717687" w:rsidRDefault="003114AC" w:rsidP="00FE7FBB">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quality of care</w:t>
      </w:r>
    </w:p>
    <w:p w14:paraId="37789FC4" w14:textId="61C51229" w:rsidR="00FE7FBB" w:rsidRPr="00717687" w:rsidRDefault="00FE7FBB" w:rsidP="00FE7FBB">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 xml:space="preserve">the aged care workforce </w:t>
      </w:r>
    </w:p>
    <w:p w14:paraId="4838A9CA" w14:textId="008E39E0" w:rsidR="003114AC" w:rsidRPr="00717687" w:rsidRDefault="00013995" w:rsidP="00FE7FBB">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care minutes and 24/7 registered nurse requirements in residential aged care</w:t>
      </w:r>
    </w:p>
    <w:p w14:paraId="1716CBA0" w14:textId="4CB8D6E6" w:rsidR="00F2737E" w:rsidRDefault="00FE7FBB" w:rsidP="001C538C">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 xml:space="preserve">appropriate level of financial contributions by residents </w:t>
      </w:r>
    </w:p>
    <w:p w14:paraId="6A1925F2" w14:textId="61D1A06F" w:rsidR="00881661" w:rsidRDefault="00881661" w:rsidP="00881661">
      <w:pPr>
        <w:pStyle w:val="Default"/>
        <w:spacing w:after="160" w:line="288" w:lineRule="auto"/>
        <w:contextualSpacing/>
        <w:rPr>
          <w:rFonts w:ascii="Arial" w:hAnsi="Arial" w:cs="Arial"/>
          <w:color w:val="auto"/>
          <w:sz w:val="22"/>
          <w:szCs w:val="22"/>
        </w:rPr>
      </w:pPr>
    </w:p>
    <w:p w14:paraId="4204B544" w14:textId="49AABD9B" w:rsidR="00881661" w:rsidRDefault="00881661" w:rsidP="00881661">
      <w:pPr>
        <w:pStyle w:val="Default"/>
        <w:spacing w:after="160" w:line="288" w:lineRule="auto"/>
        <w:contextualSpacing/>
        <w:rPr>
          <w:rFonts w:ascii="Arial" w:hAnsi="Arial" w:cs="Arial"/>
          <w:color w:val="auto"/>
          <w:sz w:val="22"/>
          <w:szCs w:val="22"/>
        </w:rPr>
      </w:pPr>
    </w:p>
    <w:p w14:paraId="3638BD39" w14:textId="39C00C59" w:rsidR="00881661" w:rsidRDefault="00881661" w:rsidP="00881661">
      <w:pPr>
        <w:pStyle w:val="Default"/>
        <w:spacing w:after="160" w:line="288" w:lineRule="auto"/>
        <w:contextualSpacing/>
        <w:rPr>
          <w:rFonts w:ascii="Arial" w:hAnsi="Arial" w:cs="Arial"/>
          <w:color w:val="auto"/>
          <w:sz w:val="22"/>
          <w:szCs w:val="22"/>
        </w:rPr>
      </w:pPr>
    </w:p>
    <w:p w14:paraId="17A6879A" w14:textId="6AACED8B" w:rsidR="00881661" w:rsidRDefault="00881661" w:rsidP="00881661">
      <w:pPr>
        <w:pStyle w:val="Default"/>
        <w:spacing w:after="160" w:line="288" w:lineRule="auto"/>
        <w:contextualSpacing/>
        <w:rPr>
          <w:rFonts w:ascii="Arial" w:hAnsi="Arial" w:cs="Arial"/>
          <w:color w:val="auto"/>
          <w:sz w:val="22"/>
          <w:szCs w:val="22"/>
        </w:rPr>
      </w:pPr>
    </w:p>
    <w:p w14:paraId="0721DC18" w14:textId="39053C17" w:rsidR="00881661" w:rsidRDefault="00881661" w:rsidP="00881661">
      <w:pPr>
        <w:pStyle w:val="Default"/>
        <w:spacing w:after="160" w:line="288" w:lineRule="auto"/>
        <w:contextualSpacing/>
        <w:rPr>
          <w:rFonts w:ascii="Arial" w:hAnsi="Arial" w:cs="Arial"/>
          <w:color w:val="auto"/>
          <w:sz w:val="22"/>
          <w:szCs w:val="22"/>
        </w:rPr>
      </w:pPr>
    </w:p>
    <w:p w14:paraId="18DF211D" w14:textId="4DCD9D6F" w:rsidR="00881661" w:rsidRDefault="00881661" w:rsidP="00881661">
      <w:pPr>
        <w:pStyle w:val="Default"/>
        <w:spacing w:after="160" w:line="288" w:lineRule="auto"/>
        <w:contextualSpacing/>
        <w:rPr>
          <w:rFonts w:ascii="Arial" w:hAnsi="Arial" w:cs="Arial"/>
          <w:color w:val="auto"/>
          <w:sz w:val="22"/>
          <w:szCs w:val="22"/>
        </w:rPr>
      </w:pPr>
    </w:p>
    <w:p w14:paraId="641D9186" w14:textId="5D64B897" w:rsidR="00663F99" w:rsidRDefault="00663F99" w:rsidP="00881661">
      <w:pPr>
        <w:pStyle w:val="Default"/>
        <w:spacing w:after="160" w:line="288" w:lineRule="auto"/>
        <w:contextualSpacing/>
        <w:rPr>
          <w:rFonts w:ascii="Arial" w:hAnsi="Arial" w:cs="Arial"/>
          <w:color w:val="auto"/>
          <w:sz w:val="22"/>
          <w:szCs w:val="22"/>
        </w:rPr>
      </w:pPr>
    </w:p>
    <w:p w14:paraId="7C0A5CCE" w14:textId="349756E1" w:rsidR="00663F99" w:rsidRDefault="00663F99" w:rsidP="00881661">
      <w:pPr>
        <w:pStyle w:val="Default"/>
        <w:spacing w:after="160" w:line="288" w:lineRule="auto"/>
        <w:contextualSpacing/>
        <w:rPr>
          <w:rFonts w:ascii="Arial" w:hAnsi="Arial" w:cs="Arial"/>
          <w:color w:val="auto"/>
          <w:sz w:val="22"/>
          <w:szCs w:val="22"/>
        </w:rPr>
      </w:pPr>
    </w:p>
    <w:p w14:paraId="2CECBBF3" w14:textId="10F31453" w:rsidR="00663F99" w:rsidRDefault="00663F99" w:rsidP="00881661">
      <w:pPr>
        <w:pStyle w:val="Default"/>
        <w:spacing w:after="160" w:line="288" w:lineRule="auto"/>
        <w:contextualSpacing/>
        <w:rPr>
          <w:rFonts w:ascii="Arial" w:hAnsi="Arial" w:cs="Arial"/>
          <w:color w:val="auto"/>
          <w:sz w:val="22"/>
          <w:szCs w:val="22"/>
        </w:rPr>
      </w:pPr>
    </w:p>
    <w:p w14:paraId="585F6CB9" w14:textId="77777777" w:rsidR="00663F99" w:rsidRDefault="00663F99" w:rsidP="00881661">
      <w:pPr>
        <w:pStyle w:val="Default"/>
        <w:spacing w:after="160" w:line="288" w:lineRule="auto"/>
        <w:contextualSpacing/>
        <w:rPr>
          <w:rFonts w:ascii="Arial" w:hAnsi="Arial" w:cs="Arial"/>
          <w:color w:val="auto"/>
          <w:sz w:val="22"/>
          <w:szCs w:val="22"/>
        </w:rPr>
      </w:pPr>
    </w:p>
    <w:p w14:paraId="5BE4AF1F" w14:textId="77777777" w:rsidR="00881661" w:rsidRPr="00717687" w:rsidRDefault="00881661" w:rsidP="00663F99">
      <w:pPr>
        <w:pStyle w:val="Default"/>
        <w:spacing w:after="160" w:line="288" w:lineRule="auto"/>
        <w:contextualSpacing/>
        <w:rPr>
          <w:rFonts w:ascii="Arial" w:hAnsi="Arial" w:cs="Arial"/>
          <w:color w:val="auto"/>
          <w:sz w:val="22"/>
          <w:szCs w:val="22"/>
        </w:rPr>
      </w:pPr>
    </w:p>
    <w:p w14:paraId="0317B24E" w14:textId="2ABE2D39" w:rsidR="00FE7FBB" w:rsidRPr="00717687" w:rsidRDefault="00FE7FBB" w:rsidP="00A459ED">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 xml:space="preserve">operation of </w:t>
      </w:r>
      <w:r w:rsidR="000E163F" w:rsidRPr="00717687">
        <w:rPr>
          <w:rFonts w:ascii="Arial" w:hAnsi="Arial" w:cs="Arial"/>
          <w:color w:val="auto"/>
          <w:sz w:val="22"/>
          <w:szCs w:val="22"/>
        </w:rPr>
        <w:t xml:space="preserve">the </w:t>
      </w:r>
      <w:r w:rsidR="00F2737E" w:rsidRPr="00717687">
        <w:rPr>
          <w:rFonts w:ascii="Arial" w:hAnsi="Arial" w:cs="Arial"/>
          <w:color w:val="auto"/>
          <w:sz w:val="22"/>
          <w:szCs w:val="22"/>
        </w:rPr>
        <w:t>Australian National Aged Care Classification (</w:t>
      </w:r>
      <w:r w:rsidRPr="00717687">
        <w:rPr>
          <w:rFonts w:ascii="Arial" w:hAnsi="Arial" w:cs="Arial"/>
          <w:color w:val="auto"/>
          <w:sz w:val="22"/>
          <w:szCs w:val="22"/>
        </w:rPr>
        <w:t>AN</w:t>
      </w:r>
      <w:r w:rsidR="005A582C" w:rsidRPr="00717687">
        <w:rPr>
          <w:rFonts w:ascii="Arial" w:hAnsi="Arial" w:cs="Arial"/>
          <w:color w:val="auto"/>
          <w:sz w:val="22"/>
          <w:szCs w:val="22"/>
        </w:rPr>
        <w:noBreakHyphen/>
      </w:r>
      <w:r w:rsidRPr="00717687">
        <w:rPr>
          <w:rFonts w:ascii="Arial" w:hAnsi="Arial" w:cs="Arial"/>
          <w:color w:val="auto"/>
          <w:sz w:val="22"/>
          <w:szCs w:val="22"/>
        </w:rPr>
        <w:t>ACC</w:t>
      </w:r>
      <w:r w:rsidR="00F2737E" w:rsidRPr="00717687">
        <w:rPr>
          <w:rFonts w:ascii="Arial" w:hAnsi="Arial" w:cs="Arial"/>
          <w:color w:val="auto"/>
          <w:sz w:val="22"/>
          <w:szCs w:val="22"/>
        </w:rPr>
        <w:t>)</w:t>
      </w:r>
      <w:r w:rsidRPr="00717687">
        <w:rPr>
          <w:rFonts w:ascii="Arial" w:hAnsi="Arial" w:cs="Arial"/>
          <w:color w:val="auto"/>
          <w:sz w:val="22"/>
          <w:szCs w:val="22"/>
        </w:rPr>
        <w:t xml:space="preserve">, </w:t>
      </w:r>
      <w:r w:rsidR="009A0DE8" w:rsidRPr="00717687">
        <w:rPr>
          <w:rFonts w:ascii="Arial" w:hAnsi="Arial" w:cs="Arial"/>
          <w:color w:val="auto"/>
          <w:sz w:val="22"/>
          <w:szCs w:val="22"/>
        </w:rPr>
        <w:t xml:space="preserve">including </w:t>
      </w:r>
      <w:r w:rsidRPr="00717687">
        <w:rPr>
          <w:rFonts w:ascii="Arial" w:hAnsi="Arial" w:cs="Arial"/>
          <w:color w:val="auto"/>
          <w:sz w:val="22"/>
          <w:szCs w:val="22"/>
        </w:rPr>
        <w:t>determining how AN-ACC assessments are undertaken and reviewed, the requirements for re-classification</w:t>
      </w:r>
      <w:r w:rsidR="1721AC89" w:rsidRPr="00717687">
        <w:rPr>
          <w:rFonts w:ascii="Arial" w:hAnsi="Arial" w:cs="Arial"/>
          <w:color w:val="auto"/>
          <w:sz w:val="22"/>
          <w:szCs w:val="22"/>
        </w:rPr>
        <w:t>,</w:t>
      </w:r>
      <w:r w:rsidRPr="00717687">
        <w:rPr>
          <w:rFonts w:ascii="Arial" w:hAnsi="Arial" w:cs="Arial"/>
          <w:color w:val="auto"/>
          <w:sz w:val="22"/>
          <w:szCs w:val="22"/>
        </w:rPr>
        <w:t xml:space="preserve"> </w:t>
      </w:r>
      <w:r w:rsidR="006A14B2" w:rsidRPr="00717687">
        <w:rPr>
          <w:rFonts w:ascii="Arial" w:hAnsi="Arial" w:cs="Arial"/>
          <w:color w:val="auto"/>
          <w:sz w:val="22"/>
          <w:szCs w:val="22"/>
        </w:rPr>
        <w:t xml:space="preserve">and </w:t>
      </w:r>
      <w:r w:rsidRPr="00717687">
        <w:rPr>
          <w:rFonts w:ascii="Arial" w:hAnsi="Arial" w:cs="Arial"/>
          <w:color w:val="auto"/>
          <w:sz w:val="22"/>
          <w:szCs w:val="22"/>
        </w:rPr>
        <w:t>contracting independent Assessment Management Organisations to undertake AN</w:t>
      </w:r>
      <w:r w:rsidR="007B2348" w:rsidRPr="00717687">
        <w:rPr>
          <w:rFonts w:ascii="Arial" w:hAnsi="Arial" w:cs="Arial"/>
          <w:color w:val="auto"/>
          <w:sz w:val="22"/>
          <w:szCs w:val="22"/>
        </w:rPr>
        <w:noBreakHyphen/>
      </w:r>
      <w:r w:rsidRPr="00717687">
        <w:rPr>
          <w:rFonts w:ascii="Arial" w:hAnsi="Arial" w:cs="Arial"/>
          <w:color w:val="auto"/>
          <w:sz w:val="22"/>
          <w:szCs w:val="22"/>
        </w:rPr>
        <w:t>ACC assessments</w:t>
      </w:r>
    </w:p>
    <w:p w14:paraId="4B573AE4" w14:textId="1F61BA8B" w:rsidR="00FE7FBB" w:rsidRPr="00717687" w:rsidRDefault="00FE7FBB" w:rsidP="00513FE6">
      <w:pPr>
        <w:pStyle w:val="Default"/>
        <w:numPr>
          <w:ilvl w:val="0"/>
          <w:numId w:val="37"/>
        </w:numPr>
        <w:spacing w:after="160" w:line="288" w:lineRule="auto"/>
        <w:ind w:left="714" w:hanging="357"/>
        <w:rPr>
          <w:rFonts w:ascii="Arial" w:hAnsi="Arial" w:cs="Arial"/>
          <w:color w:val="auto"/>
          <w:sz w:val="22"/>
          <w:szCs w:val="22"/>
        </w:rPr>
      </w:pPr>
      <w:r w:rsidRPr="00717687">
        <w:rPr>
          <w:rFonts w:ascii="Arial" w:hAnsi="Arial" w:cs="Arial"/>
          <w:color w:val="auto"/>
          <w:sz w:val="22"/>
          <w:szCs w:val="22"/>
        </w:rPr>
        <w:t xml:space="preserve">financial viability of the sector. </w:t>
      </w:r>
    </w:p>
    <w:p w14:paraId="46DDE736" w14:textId="216FDFC9" w:rsidR="0019364B" w:rsidRPr="00663F99" w:rsidRDefault="0019364B" w:rsidP="00663F99">
      <w:pPr>
        <w:pStyle w:val="Heading3"/>
        <w:rPr>
          <w:color w:val="auto"/>
        </w:rPr>
      </w:pPr>
      <w:r>
        <w:rPr>
          <w:color w:val="auto"/>
        </w:rPr>
        <w:t>1.2.2 The Aged Care Quality and Safety Commission</w:t>
      </w:r>
    </w:p>
    <w:p w14:paraId="6C7B2820" w14:textId="7648186C" w:rsidR="00FE7FBB" w:rsidRPr="00717687" w:rsidRDefault="00FE7FBB" w:rsidP="00FE7FBB">
      <w:pPr>
        <w:pStyle w:val="Default"/>
        <w:spacing w:after="160" w:line="288" w:lineRule="auto"/>
        <w:contextualSpacing/>
        <w:rPr>
          <w:rFonts w:ascii="Arial" w:hAnsi="Arial" w:cs="Arial"/>
          <w:color w:val="auto"/>
          <w:sz w:val="22"/>
          <w:szCs w:val="22"/>
        </w:rPr>
      </w:pPr>
      <w:r w:rsidRPr="00717687">
        <w:rPr>
          <w:rFonts w:ascii="Arial" w:hAnsi="Arial" w:cs="Arial"/>
          <w:color w:val="auto"/>
          <w:sz w:val="22"/>
          <w:szCs w:val="22"/>
        </w:rPr>
        <w:t>The ACQSC retains responsibility for functions including:</w:t>
      </w:r>
    </w:p>
    <w:p w14:paraId="4BBF31A9" w14:textId="4052A51A" w:rsidR="00FE7FBB" w:rsidRPr="00717687" w:rsidRDefault="4018EDBC" w:rsidP="00FE7FBB">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a</w:t>
      </w:r>
      <w:r w:rsidR="00FE7FBB" w:rsidRPr="00717687">
        <w:rPr>
          <w:rFonts w:ascii="Arial" w:hAnsi="Arial" w:cs="Arial"/>
          <w:color w:val="auto"/>
          <w:sz w:val="22"/>
          <w:szCs w:val="22"/>
        </w:rPr>
        <w:t>pproval</w:t>
      </w:r>
      <w:r w:rsidR="6E3CA686" w:rsidRPr="00717687">
        <w:rPr>
          <w:rFonts w:ascii="Arial" w:hAnsi="Arial" w:cs="Arial"/>
          <w:color w:val="auto"/>
          <w:sz w:val="22"/>
          <w:szCs w:val="22"/>
        </w:rPr>
        <w:t xml:space="preserve"> of</w:t>
      </w:r>
      <w:r w:rsidR="00FE7FBB" w:rsidRPr="00717687">
        <w:rPr>
          <w:rFonts w:ascii="Arial" w:hAnsi="Arial" w:cs="Arial"/>
          <w:color w:val="auto"/>
          <w:sz w:val="22"/>
          <w:szCs w:val="22"/>
        </w:rPr>
        <w:t xml:space="preserve"> providers to deliver aged care services </w:t>
      </w:r>
    </w:p>
    <w:p w14:paraId="00E0F8BD" w14:textId="4BC2B1B6" w:rsidR="00FE7FBB" w:rsidRPr="00717687" w:rsidRDefault="00FE7FBB" w:rsidP="00FE7FBB">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 xml:space="preserve">assessing and monitoring the quality of care and services provided against the </w:t>
      </w:r>
      <w:hyperlink r:id="rId38" w:history="1">
        <w:r w:rsidRPr="001949C7">
          <w:rPr>
            <w:rStyle w:val="Hyperlink"/>
            <w:rFonts w:cs="Arial"/>
            <w:sz w:val="22"/>
            <w:szCs w:val="22"/>
          </w:rPr>
          <w:t>Aged Care Quality Standards</w:t>
        </w:r>
      </w:hyperlink>
    </w:p>
    <w:p w14:paraId="51B3240E" w14:textId="3D94BDEC" w:rsidR="00FE7FBB" w:rsidRPr="00717687" w:rsidRDefault="00FE7FBB" w:rsidP="00FE7FBB">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aged care regulation including compliance, investigations and complaints resolution</w:t>
      </w:r>
    </w:p>
    <w:p w14:paraId="607B0C2B" w14:textId="549CA687" w:rsidR="00FE7FBB" w:rsidRDefault="00FE7FBB" w:rsidP="00FE7FBB">
      <w:pPr>
        <w:pStyle w:val="Default"/>
        <w:numPr>
          <w:ilvl w:val="0"/>
          <w:numId w:val="37"/>
        </w:numPr>
        <w:spacing w:after="160" w:line="288" w:lineRule="auto"/>
        <w:contextualSpacing/>
        <w:rPr>
          <w:rFonts w:ascii="Arial" w:hAnsi="Arial" w:cs="Arial"/>
          <w:color w:val="auto"/>
          <w:sz w:val="22"/>
          <w:szCs w:val="22"/>
        </w:rPr>
      </w:pPr>
      <w:r w:rsidRPr="00717687">
        <w:rPr>
          <w:rFonts w:ascii="Arial" w:hAnsi="Arial" w:cs="Arial"/>
          <w:color w:val="auto"/>
          <w:sz w:val="22"/>
          <w:szCs w:val="22"/>
        </w:rPr>
        <w:t>financial and prudential regulation</w:t>
      </w:r>
      <w:r w:rsidR="00513FE6" w:rsidRPr="00717687">
        <w:rPr>
          <w:rFonts w:ascii="Arial" w:hAnsi="Arial" w:cs="Arial"/>
          <w:color w:val="auto"/>
          <w:sz w:val="22"/>
          <w:szCs w:val="22"/>
        </w:rPr>
        <w:t>.</w:t>
      </w:r>
    </w:p>
    <w:p w14:paraId="517D49D4" w14:textId="68B181F2" w:rsidR="0019364B" w:rsidRPr="00717687" w:rsidRDefault="0019364B" w:rsidP="0019364B">
      <w:pPr>
        <w:pStyle w:val="Heading3"/>
        <w:rPr>
          <w:color w:val="auto"/>
        </w:rPr>
      </w:pPr>
      <w:r>
        <w:rPr>
          <w:color w:val="auto"/>
        </w:rPr>
        <w:t xml:space="preserve">1.2.3 </w:t>
      </w:r>
      <w:r w:rsidRPr="00717687">
        <w:rPr>
          <w:color w:val="auto"/>
        </w:rPr>
        <w:t>Aged Care Taskforce</w:t>
      </w:r>
    </w:p>
    <w:p w14:paraId="4E863550" w14:textId="4E1193EF" w:rsidR="0019364B" w:rsidRPr="00717687" w:rsidRDefault="0019364B" w:rsidP="0019364B">
      <w:pPr>
        <w:rPr>
          <w:rStyle w:val="normaltextrun"/>
          <w:rFonts w:cs="Arial"/>
        </w:rPr>
      </w:pPr>
      <w:r w:rsidRPr="00717687">
        <w:rPr>
          <w:rStyle w:val="normaltextrun"/>
          <w:rFonts w:cs="Arial"/>
        </w:rPr>
        <w:t>In the Federal Budget 2023–24, the Government announced the establishment of the new</w:t>
      </w:r>
      <w:r w:rsidR="00BC5BE5">
        <w:rPr>
          <w:rStyle w:val="normaltextrun"/>
          <w:rFonts w:cs="Arial"/>
        </w:rPr>
        <w:t xml:space="preserve"> </w:t>
      </w:r>
      <w:hyperlink r:id="rId39" w:history="1">
        <w:r w:rsidR="00BC5BE5" w:rsidRPr="00BC5BE5">
          <w:rPr>
            <w:rStyle w:val="Hyperlink"/>
            <w:rFonts w:cs="Arial"/>
          </w:rPr>
          <w:t>Aged Care Taskforce</w:t>
        </w:r>
      </w:hyperlink>
      <w:r w:rsidR="00BC5BE5">
        <w:rPr>
          <w:rStyle w:val="normaltextrun"/>
          <w:rFonts w:cs="Arial"/>
        </w:rPr>
        <w:t xml:space="preserve"> (the Task force)</w:t>
      </w:r>
      <w:r w:rsidRPr="00717687">
        <w:rPr>
          <w:rStyle w:val="normaltextrun"/>
          <w:rFonts w:cs="Arial"/>
        </w:rPr>
        <w:t>. As part of their scope, the Taskforce will review funding arrangements for aged care and develop options that are fair and equitable for all Australians.</w:t>
      </w:r>
    </w:p>
    <w:p w14:paraId="4842E53B" w14:textId="77777777" w:rsidR="00663F99" w:rsidRDefault="00663F99"/>
    <w:p w14:paraId="2581E158" w14:textId="77777777" w:rsidR="00663F99" w:rsidRDefault="00663F99"/>
    <w:p w14:paraId="036D2323" w14:textId="77777777" w:rsidR="00663F99" w:rsidRDefault="00663F99"/>
    <w:p w14:paraId="7BC49D30" w14:textId="77777777" w:rsidR="00663F99" w:rsidRDefault="00663F99"/>
    <w:p w14:paraId="1B6A0119" w14:textId="243196B4" w:rsidR="00881661" w:rsidRDefault="0019364B" w:rsidP="00663F99">
      <w:pPr>
        <w:rPr>
          <w:color w:val="15272E"/>
          <w:sz w:val="21"/>
          <w:szCs w:val="21"/>
        </w:rPr>
      </w:pPr>
      <w:r w:rsidRPr="00717687">
        <w:lastRenderedPageBreak/>
        <w:t xml:space="preserve">IHACPA will work with the Government to understand </w:t>
      </w:r>
      <w:r w:rsidR="00C041D6">
        <w:t xml:space="preserve">the </w:t>
      </w:r>
      <w:r w:rsidRPr="00717687">
        <w:t xml:space="preserve">principles and recommendations of the Taskforce, including any impact on IHACPA’s pricing advice and pricing framework. </w:t>
      </w:r>
      <w:r w:rsidR="00881661">
        <w:t xml:space="preserve">The Taskforce is expected to consult with stakeholders through a separate process. </w:t>
      </w:r>
    </w:p>
    <w:p w14:paraId="6B8EC62E" w14:textId="46147F72" w:rsidR="00FE7FBB" w:rsidRDefault="00FE7FBB" w:rsidP="00513FE6">
      <w:pPr>
        <w:pStyle w:val="Heading2"/>
        <w:rPr>
          <w:rStyle w:val="normaltextrun"/>
          <w:b w:val="0"/>
          <w:bCs w:val="0"/>
        </w:rPr>
      </w:pPr>
      <w:r>
        <w:rPr>
          <w:color w:val="15272E"/>
          <w:sz w:val="21"/>
          <w:szCs w:val="21"/>
        </w:rPr>
        <w:t xml:space="preserve"> </w:t>
      </w:r>
      <w:bookmarkStart w:id="18" w:name="_Toc136434990"/>
      <w:bookmarkStart w:id="19" w:name="_Toc137552799"/>
      <w:r w:rsidRPr="2D491462">
        <w:rPr>
          <w:rStyle w:val="normaltextrun"/>
        </w:rPr>
        <w:t>1.</w:t>
      </w:r>
      <w:r w:rsidR="001524C0">
        <w:rPr>
          <w:rStyle w:val="normaltextrun"/>
        </w:rPr>
        <w:t>3</w:t>
      </w:r>
      <w:r w:rsidRPr="2D491462">
        <w:rPr>
          <w:rStyle w:val="normaltextrun"/>
        </w:rPr>
        <w:t xml:space="preserve"> </w:t>
      </w:r>
      <w:r>
        <w:rPr>
          <w:rStyle w:val="normaltextrun"/>
        </w:rPr>
        <w:t xml:space="preserve">The role of the </w:t>
      </w:r>
      <w:r w:rsidRPr="00513FE6">
        <w:rPr>
          <w:rStyle w:val="normaltextrun"/>
        </w:rPr>
        <w:t>Consultation</w:t>
      </w:r>
      <w:r>
        <w:rPr>
          <w:rStyle w:val="normaltextrun"/>
        </w:rPr>
        <w:t xml:space="preserve"> Paper</w:t>
      </w:r>
      <w:bookmarkEnd w:id="18"/>
      <w:bookmarkEnd w:id="19"/>
    </w:p>
    <w:p w14:paraId="5F55B684" w14:textId="20FCDAC7" w:rsidR="00FE7FBB" w:rsidRPr="00717687" w:rsidRDefault="00FE7FBB" w:rsidP="00FE7FBB">
      <w:r w:rsidRPr="00717687">
        <w:t xml:space="preserve">The </w:t>
      </w:r>
      <w:r w:rsidRPr="00717687">
        <w:rPr>
          <w:i/>
          <w:iCs/>
        </w:rPr>
        <w:t>Consultation Paper on the Pricing Framework for Australian Residential Aged Care Services 2024</w:t>
      </w:r>
      <w:r w:rsidR="008C3983" w:rsidRPr="00717687">
        <w:rPr>
          <w:rFonts w:cs="Arial"/>
          <w:i/>
          <w:iCs/>
        </w:rPr>
        <w:t>–</w:t>
      </w:r>
      <w:r w:rsidRPr="00717687">
        <w:rPr>
          <w:i/>
          <w:iCs/>
        </w:rPr>
        <w:t>25</w:t>
      </w:r>
      <w:r w:rsidRPr="00717687">
        <w:t xml:space="preserve"> (the</w:t>
      </w:r>
      <w:r w:rsidR="00202494" w:rsidRPr="00717687">
        <w:t> </w:t>
      </w:r>
      <w:r w:rsidRPr="00717687">
        <w:t>Consultation Paper) will inform the development of the Pricing Framework 2024</w:t>
      </w:r>
      <w:r w:rsidR="008C3983" w:rsidRPr="00717687">
        <w:rPr>
          <w:rFonts w:cs="Arial"/>
        </w:rPr>
        <w:t>–</w:t>
      </w:r>
      <w:r w:rsidRPr="00717687">
        <w:t>25. IHACPA is committed to ongoing, open and transparent consultation with a broad range of stakeholders in the aged care system.</w:t>
      </w:r>
    </w:p>
    <w:p w14:paraId="1A88FF1A" w14:textId="7758A5E5" w:rsidR="002311C8" w:rsidRPr="00717687" w:rsidRDefault="002311C8" w:rsidP="00CB75AD">
      <w:pPr>
        <w:spacing w:before="360" w:after="360" w:line="288" w:lineRule="auto"/>
        <w:ind w:left="284"/>
      </w:pPr>
      <w:r w:rsidRPr="00717687">
        <w:rPr>
          <w:noProof/>
        </w:rPr>
        <mc:AlternateContent>
          <mc:Choice Requires="wps">
            <w:drawing>
              <wp:anchor distT="0" distB="0" distL="114300" distR="114300" simplePos="0" relativeHeight="251666432" behindDoc="1" locked="0" layoutInCell="1" allowOverlap="1" wp14:anchorId="306AF621" wp14:editId="67599D66">
                <wp:simplePos x="0" y="0"/>
                <wp:positionH relativeFrom="column">
                  <wp:posOffset>-34925</wp:posOffset>
                </wp:positionH>
                <wp:positionV relativeFrom="paragraph">
                  <wp:posOffset>1905</wp:posOffset>
                </wp:positionV>
                <wp:extent cx="2838450" cy="1196340"/>
                <wp:effectExtent l="0" t="0" r="0" b="3810"/>
                <wp:wrapNone/>
                <wp:docPr id="11" name="Rectangle 11"/>
                <wp:cNvGraphicFramePr/>
                <a:graphic xmlns:a="http://schemas.openxmlformats.org/drawingml/2006/main">
                  <a:graphicData uri="http://schemas.microsoft.com/office/word/2010/wordprocessingShape">
                    <wps:wsp>
                      <wps:cNvSpPr/>
                      <wps:spPr>
                        <a:xfrm>
                          <a:off x="0" y="0"/>
                          <a:ext cx="2838450" cy="1196340"/>
                        </a:xfrm>
                        <a:prstGeom prst="rect">
                          <a:avLst/>
                        </a:prstGeom>
                        <a:solidFill>
                          <a:srgbClr val="DBBF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EE6E7" id="Rectangle 11" o:spid="_x0000_s1026" style="position:absolute;margin-left:-2.75pt;margin-top:.15pt;width:223.5pt;height:9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" fillcolor="#dbbfc8" stroked="f" strokeweight="1pt"/>
            </w:pict>
          </mc:Fallback>
        </mc:AlternateContent>
      </w:r>
      <w:r w:rsidRPr="00717687">
        <w:t xml:space="preserve">This Consultation Paper will apply to residential aged care and residential respite care for the Pricing Framework for </w:t>
      </w:r>
      <w:r w:rsidR="00663F99">
        <w:t xml:space="preserve">Australian </w:t>
      </w:r>
      <w:r w:rsidRPr="00717687">
        <w:t>Residential Aged Care Services 2024</w:t>
      </w:r>
      <w:r w:rsidRPr="00717687">
        <w:rPr>
          <w:rFonts w:cs="Arial"/>
        </w:rPr>
        <w:t>–</w:t>
      </w:r>
      <w:r w:rsidRPr="00717687">
        <w:t>25</w:t>
      </w:r>
      <w:r w:rsidR="00EC6B46" w:rsidRPr="00717687">
        <w:t>.</w:t>
      </w:r>
    </w:p>
    <w:p w14:paraId="7647BDB1" w14:textId="473467A1" w:rsidR="00FE7FBB" w:rsidRPr="00717687" w:rsidRDefault="00FE7FBB" w:rsidP="002311C8">
      <w:r w:rsidRPr="00717687">
        <w:t>The Consultation Paper is the primary mechanism for all stakeholders to provide input into the development of the Pricing Framework. This Consultation Paper provides an opportunity for public consultation on:</w:t>
      </w:r>
    </w:p>
    <w:p w14:paraId="3945240A" w14:textId="77777777" w:rsidR="00FE7FBB" w:rsidRPr="00717687" w:rsidRDefault="00FE7FBB" w:rsidP="00FE7FBB">
      <w:pPr>
        <w:pStyle w:val="ListParagraph"/>
        <w:numPr>
          <w:ilvl w:val="0"/>
          <w:numId w:val="36"/>
        </w:numPr>
        <w:spacing w:line="288" w:lineRule="auto"/>
      </w:pPr>
      <w:r w:rsidRPr="00717687">
        <w:t>the pricing principles, which underpin the Pricing Framework</w:t>
      </w:r>
    </w:p>
    <w:p w14:paraId="2C846D79" w14:textId="46970D38" w:rsidR="00FE7FBB" w:rsidRPr="00717687" w:rsidRDefault="00FE7FBB" w:rsidP="00FE7FBB">
      <w:pPr>
        <w:pStyle w:val="ListParagraph"/>
        <w:numPr>
          <w:ilvl w:val="0"/>
          <w:numId w:val="36"/>
        </w:numPr>
        <w:spacing w:line="288" w:lineRule="auto"/>
      </w:pPr>
      <w:r w:rsidRPr="00717687">
        <w:t>the AN-ACC</w:t>
      </w:r>
      <w:r w:rsidR="00F2737E" w:rsidRPr="00717687">
        <w:t xml:space="preserve"> </w:t>
      </w:r>
      <w:r w:rsidRPr="00717687">
        <w:t>funding and classification model including</w:t>
      </w:r>
      <w:r w:rsidR="231D26A0" w:rsidRPr="00717687">
        <w:t>:</w:t>
      </w:r>
    </w:p>
    <w:p w14:paraId="6F688CA0" w14:textId="6BF2E92F" w:rsidR="00FE7FBB" w:rsidRPr="00717687" w:rsidRDefault="00FE7FBB" w:rsidP="005A582C">
      <w:pPr>
        <w:pStyle w:val="ListParagraph"/>
        <w:numPr>
          <w:ilvl w:val="1"/>
          <w:numId w:val="36"/>
        </w:numPr>
        <w:spacing w:line="288" w:lineRule="auto"/>
        <w:ind w:left="993"/>
      </w:pPr>
      <w:r w:rsidRPr="00717687">
        <w:t>a review of the AN-ACC national weight</w:t>
      </w:r>
      <w:r w:rsidR="00B91FDA">
        <w:t>ed</w:t>
      </w:r>
      <w:r w:rsidRPr="00717687">
        <w:t xml:space="preserve"> activity unit (NWAU) values</w:t>
      </w:r>
    </w:p>
    <w:p w14:paraId="18E7D5E1" w14:textId="759EB673" w:rsidR="00FE7FBB" w:rsidRPr="00717687" w:rsidRDefault="00FE7FBB" w:rsidP="00CB75AD">
      <w:pPr>
        <w:pStyle w:val="ListParagraph"/>
        <w:numPr>
          <w:ilvl w:val="1"/>
          <w:numId w:val="36"/>
        </w:numPr>
        <w:spacing w:line="288" w:lineRule="auto"/>
        <w:ind w:left="993"/>
      </w:pPr>
      <w:r w:rsidRPr="00717687">
        <w:t>a review of the Base Care Tariff NWAU</w:t>
      </w:r>
    </w:p>
    <w:p w14:paraId="1104E70B" w14:textId="13651424" w:rsidR="00FE7FBB" w:rsidRPr="00717687" w:rsidRDefault="00FE7FBB" w:rsidP="00FE7FBB">
      <w:pPr>
        <w:pStyle w:val="ListParagraph"/>
        <w:numPr>
          <w:ilvl w:val="0"/>
          <w:numId w:val="36"/>
        </w:numPr>
        <w:spacing w:line="288" w:lineRule="auto"/>
      </w:pPr>
      <w:r w:rsidRPr="00717687">
        <w:t>indexation method</w:t>
      </w:r>
      <w:r w:rsidR="00B91FDA">
        <w:t>ologies</w:t>
      </w:r>
    </w:p>
    <w:p w14:paraId="04203D5C" w14:textId="77777777" w:rsidR="00FE7FBB" w:rsidRPr="00717687" w:rsidRDefault="00FE7FBB" w:rsidP="00FE7FBB">
      <w:pPr>
        <w:pStyle w:val="ListParagraph"/>
        <w:numPr>
          <w:ilvl w:val="0"/>
          <w:numId w:val="36"/>
        </w:numPr>
        <w:spacing w:line="288" w:lineRule="auto"/>
      </w:pPr>
      <w:r w:rsidRPr="00717687">
        <w:t>adjustments to the recommended price</w:t>
      </w:r>
    </w:p>
    <w:p w14:paraId="2BE8D582" w14:textId="77777777" w:rsidR="005A582C" w:rsidRPr="00717687" w:rsidRDefault="00F70C02" w:rsidP="00FE7FBB">
      <w:pPr>
        <w:pStyle w:val="ListParagraph"/>
        <w:numPr>
          <w:ilvl w:val="0"/>
          <w:numId w:val="36"/>
        </w:numPr>
        <w:spacing w:line="288" w:lineRule="auto"/>
        <w:rPr>
          <w:rFonts w:cs="Arial"/>
        </w:rPr>
      </w:pPr>
      <w:r w:rsidRPr="00717687">
        <w:t xml:space="preserve">future pricing </w:t>
      </w:r>
      <w:r w:rsidR="00FE7FBB" w:rsidRPr="00717687">
        <w:t>adjust</w:t>
      </w:r>
      <w:r w:rsidR="00E2351C" w:rsidRPr="00717687">
        <w:t xml:space="preserve">ments </w:t>
      </w:r>
      <w:r w:rsidR="00FE7FBB" w:rsidRPr="00717687">
        <w:t>for safety and quality</w:t>
      </w:r>
    </w:p>
    <w:p w14:paraId="63DE93EA" w14:textId="404CBE20" w:rsidR="00FE7FBB" w:rsidRPr="00717687" w:rsidRDefault="005A582C" w:rsidP="00BE0839">
      <w:pPr>
        <w:pStyle w:val="ListParagraph"/>
        <w:numPr>
          <w:ilvl w:val="0"/>
          <w:numId w:val="36"/>
        </w:numPr>
        <w:spacing w:after="0" w:line="240" w:lineRule="auto"/>
      </w:pPr>
      <w:r w:rsidRPr="00717687">
        <w:t>consideration of how AN-ACC or a modified version of it could be used for Multi</w:t>
      </w:r>
      <w:r w:rsidR="00BE0839" w:rsidRPr="00717687">
        <w:t>-</w:t>
      </w:r>
      <w:r w:rsidRPr="00717687">
        <w:t>Purpose Services and the National Aboriginal and Torres Strait Islander Flexible Aged Care Program in the future.</w:t>
      </w:r>
    </w:p>
    <w:p w14:paraId="2828F881" w14:textId="4415E6AA" w:rsidR="00FE7FBB" w:rsidRDefault="00FE7FBB" w:rsidP="00513FE6">
      <w:pPr>
        <w:pStyle w:val="Heading2"/>
        <w:rPr>
          <w:rStyle w:val="normaltextrun"/>
        </w:rPr>
      </w:pPr>
      <w:bookmarkStart w:id="20" w:name="_Toc136434991"/>
      <w:bookmarkStart w:id="21" w:name="_Toc137552800"/>
      <w:bookmarkStart w:id="22" w:name="_Hlk136247331"/>
      <w:r w:rsidRPr="0019364B">
        <w:rPr>
          <w:rStyle w:val="normaltextrun"/>
        </w:rPr>
        <w:t>1.</w:t>
      </w:r>
      <w:r w:rsidR="001524C0" w:rsidRPr="0019364B">
        <w:rPr>
          <w:rStyle w:val="normaltextrun"/>
        </w:rPr>
        <w:t>4</w:t>
      </w:r>
      <w:r w:rsidRPr="0019364B">
        <w:rPr>
          <w:rStyle w:val="normaltextrun"/>
        </w:rPr>
        <w:t xml:space="preserve"> Pricing hospital and </w:t>
      </w:r>
      <w:r>
        <w:rPr>
          <w:rStyle w:val="normaltextrun"/>
        </w:rPr>
        <w:t>other aged care</w:t>
      </w:r>
      <w:r w:rsidRPr="2D491462">
        <w:rPr>
          <w:rStyle w:val="normaltextrun"/>
        </w:rPr>
        <w:t xml:space="preserve"> services</w:t>
      </w:r>
      <w:bookmarkEnd w:id="20"/>
      <w:bookmarkEnd w:id="21"/>
    </w:p>
    <w:p w14:paraId="16CC2BD7" w14:textId="3A0CF95E" w:rsidR="00EB74AE" w:rsidRPr="00717687" w:rsidRDefault="00EB74AE" w:rsidP="00EB74AE">
      <w:r w:rsidRPr="00717687">
        <w:t>IHACPA</w:t>
      </w:r>
      <w:r w:rsidR="00CB1C3D" w:rsidRPr="00717687">
        <w:t>’s</w:t>
      </w:r>
      <w:r w:rsidR="007112A9" w:rsidRPr="00717687">
        <w:t xml:space="preserve"> role in pricing Australian </w:t>
      </w:r>
      <w:r w:rsidR="00427C87" w:rsidRPr="00717687">
        <w:t>p</w:t>
      </w:r>
      <w:r w:rsidR="007112A9" w:rsidRPr="00717687">
        <w:t xml:space="preserve">ublic </w:t>
      </w:r>
      <w:r w:rsidR="00427C87" w:rsidRPr="00717687">
        <w:t>h</w:t>
      </w:r>
      <w:r w:rsidR="007112A9" w:rsidRPr="00717687">
        <w:t>ospital</w:t>
      </w:r>
      <w:r w:rsidR="00427C87" w:rsidRPr="00717687">
        <w:t xml:space="preserve"> services</w:t>
      </w:r>
      <w:r w:rsidR="00CB1C3D" w:rsidRPr="00717687">
        <w:t xml:space="preserve"> includes determining </w:t>
      </w:r>
      <w:r w:rsidR="00EB7337" w:rsidRPr="00717687">
        <w:t xml:space="preserve">the annual </w:t>
      </w:r>
      <w:r w:rsidRPr="00717687">
        <w:t>national efficient price</w:t>
      </w:r>
      <w:r w:rsidR="00B91FDA">
        <w:t xml:space="preserve"> (NEP)</w:t>
      </w:r>
      <w:r w:rsidRPr="00717687">
        <w:t xml:space="preserve"> and national efficient cost</w:t>
      </w:r>
      <w:r w:rsidR="00EB7337" w:rsidRPr="00717687">
        <w:t xml:space="preserve"> </w:t>
      </w:r>
      <w:r w:rsidR="00B91FDA">
        <w:t xml:space="preserve">(NEC) </w:t>
      </w:r>
      <w:r w:rsidR="00EB7337" w:rsidRPr="00717687">
        <w:t>for</w:t>
      </w:r>
      <w:r w:rsidRPr="00717687">
        <w:t xml:space="preserve"> Australian public hospital services. </w:t>
      </w:r>
    </w:p>
    <w:p w14:paraId="23B01C43" w14:textId="7AAA8432" w:rsidR="00EB74AE" w:rsidRPr="00717687" w:rsidRDefault="00EB74AE" w:rsidP="00295EDA">
      <w:r w:rsidRPr="00717687">
        <w:t xml:space="preserve">IHACPA releases a separate Consultation Paper and Pricing Framework for Australian Public Hospital Services each year. </w:t>
      </w:r>
    </w:p>
    <w:bookmarkEnd w:id="22"/>
    <w:p w14:paraId="5D45FC4A" w14:textId="5DB640AF" w:rsidR="00EB74AE" w:rsidRPr="00717687" w:rsidRDefault="00EB74AE" w:rsidP="00EB74AE">
      <w:r w:rsidRPr="00717687">
        <w:t>The</w:t>
      </w:r>
      <w:r w:rsidR="00FE7FBB" w:rsidRPr="00717687">
        <w:t xml:space="preserve"> </w:t>
      </w:r>
      <w:hyperlink r:id="rId40" w:history="1">
        <w:r w:rsidR="00FE7FBB" w:rsidRPr="00ED158F">
          <w:rPr>
            <w:rStyle w:val="Hyperlink"/>
          </w:rPr>
          <w:t>Federal Budget 2022</w:t>
        </w:r>
        <w:r w:rsidR="00A15E76" w:rsidRPr="00ED158F">
          <w:rPr>
            <w:rStyle w:val="Hyperlink"/>
            <w:rFonts w:cs="Arial"/>
          </w:rPr>
          <w:t>–</w:t>
        </w:r>
        <w:r w:rsidR="00FE7FBB" w:rsidRPr="00ED158F">
          <w:rPr>
            <w:rStyle w:val="Hyperlink"/>
          </w:rPr>
          <w:t>23</w:t>
        </w:r>
      </w:hyperlink>
      <w:r w:rsidR="00FE7FBB" w:rsidRPr="00ED158F">
        <w:t xml:space="preserve"> </w:t>
      </w:r>
      <w:r w:rsidR="00FE7FBB" w:rsidRPr="00717687">
        <w:t xml:space="preserve">announced Government reforms to </w:t>
      </w:r>
      <w:r w:rsidR="000B1A68" w:rsidRPr="00717687">
        <w:t>i</w:t>
      </w:r>
      <w:r w:rsidR="00FE7FBB" w:rsidRPr="00717687">
        <w:t>n</w:t>
      </w:r>
      <w:r w:rsidR="00FE7FBB" w:rsidRPr="00717687">
        <w:noBreakHyphen/>
        <w:t>home aged care</w:t>
      </w:r>
      <w:r w:rsidR="00427C87" w:rsidRPr="00717687">
        <w:t xml:space="preserve">. Reforms </w:t>
      </w:r>
      <w:r w:rsidR="00FE7FBB" w:rsidRPr="00717687">
        <w:t>includ</w:t>
      </w:r>
      <w:r w:rsidR="00427C87" w:rsidRPr="00717687">
        <w:t>e</w:t>
      </w:r>
      <w:r w:rsidR="0095314F">
        <w:t>d</w:t>
      </w:r>
      <w:r w:rsidR="00FE7FBB" w:rsidRPr="00717687">
        <w:t xml:space="preserve"> </w:t>
      </w:r>
      <w:r w:rsidR="000B1A68" w:rsidRPr="00717687">
        <w:t xml:space="preserve">development of </w:t>
      </w:r>
      <w:r w:rsidR="001524C0" w:rsidRPr="00717687">
        <w:t xml:space="preserve">the </w:t>
      </w:r>
      <w:r w:rsidR="00FE7FBB" w:rsidRPr="00717687">
        <w:t xml:space="preserve">Support at Home </w:t>
      </w:r>
      <w:proofErr w:type="gramStart"/>
      <w:r w:rsidR="000B1A68" w:rsidRPr="00717687">
        <w:t>p</w:t>
      </w:r>
      <w:r w:rsidR="00FE7FBB" w:rsidRPr="00717687">
        <w:t>rogram</w:t>
      </w:r>
      <w:r w:rsidRPr="00717687">
        <w:t xml:space="preserve">, </w:t>
      </w:r>
      <w:r w:rsidR="0095314F">
        <w:t>and</w:t>
      </w:r>
      <w:proofErr w:type="gramEnd"/>
      <w:r w:rsidRPr="00717687">
        <w:t xml:space="preserve"> </w:t>
      </w:r>
      <w:r w:rsidR="0095314F">
        <w:t>were intended to</w:t>
      </w:r>
      <w:r w:rsidRPr="00717687">
        <w:t xml:space="preserve"> replace the Commonwealth Home Support Programme (CHSP), Home Care Packages (HCP), and </w:t>
      </w:r>
      <w:r w:rsidR="001E27D8" w:rsidRPr="00717687">
        <w:t>Short-Term</w:t>
      </w:r>
      <w:r w:rsidRPr="00717687">
        <w:t xml:space="preserve"> Restorative Care (STRC). </w:t>
      </w:r>
    </w:p>
    <w:p w14:paraId="69B6B3C2" w14:textId="77777777" w:rsidR="006C109B" w:rsidRPr="00717687" w:rsidRDefault="006C109B" w:rsidP="006C109B">
      <w:r w:rsidRPr="00717687">
        <w:t xml:space="preserve">On 9 May 2023, the Government announced that the Support at Home program start date would be postponed to 1 July 2025 to allow for further refinement of the program design. </w:t>
      </w:r>
    </w:p>
    <w:p w14:paraId="0B0C3A49" w14:textId="4629623B" w:rsidR="00FE7FBB" w:rsidRPr="00717687" w:rsidRDefault="00FE7FBB" w:rsidP="00FE7FBB">
      <w:r w:rsidRPr="00717687">
        <w:t xml:space="preserve">A separate Consultation Paper and Pricing Framework for the Support at Home </w:t>
      </w:r>
      <w:r w:rsidR="00EB7337" w:rsidRPr="00717687">
        <w:t>p</w:t>
      </w:r>
      <w:r w:rsidRPr="00717687">
        <w:t xml:space="preserve">rogram will be developed and released </w:t>
      </w:r>
      <w:r w:rsidR="00C60B59" w:rsidRPr="00717687">
        <w:t xml:space="preserve">by IHACPA </w:t>
      </w:r>
      <w:r w:rsidRPr="00717687">
        <w:t xml:space="preserve">in 2024. IHACPA will provide advice to the Minister for the Support at Home </w:t>
      </w:r>
      <w:r w:rsidR="00EB7337" w:rsidRPr="00717687">
        <w:t>p</w:t>
      </w:r>
      <w:r w:rsidRPr="00717687">
        <w:t>rogram f</w:t>
      </w:r>
      <w:r w:rsidR="00C60B59" w:rsidRPr="00717687">
        <w:t>rom</w:t>
      </w:r>
      <w:r w:rsidRPr="00717687">
        <w:t xml:space="preserve"> 1 July 2025.</w:t>
      </w:r>
    </w:p>
    <w:p w14:paraId="3CAA5038" w14:textId="7C0138AC" w:rsidR="00663ADF" w:rsidRDefault="00663ADF" w:rsidP="00FE7FBB"/>
    <w:p w14:paraId="55E823A2" w14:textId="77777777" w:rsidR="00881661" w:rsidRPr="00717687" w:rsidRDefault="00881661" w:rsidP="00FE7FBB"/>
    <w:p w14:paraId="47F74131" w14:textId="7C2E1A65" w:rsidR="005A1B01" w:rsidRPr="00717687" w:rsidRDefault="005A1B01" w:rsidP="00FE7FBB">
      <w:r w:rsidRPr="00717687">
        <w:lastRenderedPageBreak/>
        <w:t xml:space="preserve">The passage of the </w:t>
      </w:r>
      <w:r w:rsidRPr="00717687">
        <w:rPr>
          <w:i/>
          <w:iCs/>
        </w:rPr>
        <w:t>Aged Care and Other Legislation Amendment (Royal Commission Response) Act 2022</w:t>
      </w:r>
      <w:r w:rsidRPr="00717687">
        <w:t xml:space="preserve"> (Cwlth) also saw the transfer of functions from the former Aged Care Pricing Commissioner to IHACPA. IHACPA </w:t>
      </w:r>
      <w:r w:rsidR="000E163F" w:rsidRPr="00717687">
        <w:t>is responsible for the</w:t>
      </w:r>
      <w:r w:rsidRPr="00717687">
        <w:t xml:space="preserve"> approv</w:t>
      </w:r>
      <w:r w:rsidR="000E163F" w:rsidRPr="00717687">
        <w:t>al of</w:t>
      </w:r>
      <w:r w:rsidRPr="00717687">
        <w:t xml:space="preserve"> prices for residential aged care accommodation and extra services. </w:t>
      </w:r>
      <w:r w:rsidR="004E5ED7" w:rsidRPr="00717687">
        <w:t>These functions are not in</w:t>
      </w:r>
      <w:r w:rsidR="383C3FB0" w:rsidRPr="00717687">
        <w:t>-</w:t>
      </w:r>
      <w:r w:rsidR="004E5ED7" w:rsidRPr="00717687">
        <w:t>scope f</w:t>
      </w:r>
      <w:r w:rsidR="00EE57C5" w:rsidRPr="00717687">
        <w:t>o</w:t>
      </w:r>
      <w:r w:rsidR="004E5ED7" w:rsidRPr="00717687">
        <w:t>r this Consultation Paper.</w:t>
      </w:r>
    </w:p>
    <w:p w14:paraId="6FC57987" w14:textId="0D453531" w:rsidR="00FE7FBB" w:rsidRPr="00472B6C" w:rsidRDefault="00FE7FBB" w:rsidP="00513FE6">
      <w:pPr>
        <w:pStyle w:val="Heading2"/>
      </w:pPr>
      <w:bookmarkStart w:id="23" w:name="_Toc136434992"/>
      <w:bookmarkStart w:id="24" w:name="_Toc137552801"/>
      <w:r w:rsidRPr="2D491462">
        <w:rPr>
          <w:rStyle w:val="normaltextrun"/>
        </w:rPr>
        <w:t>1.</w:t>
      </w:r>
      <w:r w:rsidR="001524C0">
        <w:rPr>
          <w:rStyle w:val="normaltextrun"/>
        </w:rPr>
        <w:t>5</w:t>
      </w:r>
      <w:r w:rsidRPr="2D491462">
        <w:rPr>
          <w:rStyle w:val="normaltextrun"/>
        </w:rPr>
        <w:t xml:space="preserve"> </w:t>
      </w:r>
      <w:r>
        <w:rPr>
          <w:rStyle w:val="normaltextrun"/>
        </w:rPr>
        <w:t>Out-of-scope areas</w:t>
      </w:r>
      <w:bookmarkEnd w:id="23"/>
      <w:bookmarkEnd w:id="24"/>
    </w:p>
    <w:p w14:paraId="05D42BC1" w14:textId="7257423D" w:rsidR="00FE7FBB" w:rsidRPr="00717687" w:rsidRDefault="00FE7FBB" w:rsidP="00FE7FBB">
      <w:r w:rsidRPr="00717687">
        <w:t xml:space="preserve">Areas outside the scope </w:t>
      </w:r>
      <w:r w:rsidR="00770748" w:rsidRPr="00717687">
        <w:t xml:space="preserve">for </w:t>
      </w:r>
      <w:r w:rsidRPr="00717687">
        <w:t>IHACPA</w:t>
      </w:r>
      <w:r w:rsidR="007B2348" w:rsidRPr="00717687">
        <w:t>’</w:t>
      </w:r>
      <w:r w:rsidRPr="00717687">
        <w:t xml:space="preserve">s costing and pricing </w:t>
      </w:r>
      <w:r w:rsidR="00770748" w:rsidRPr="00717687">
        <w:t>advice</w:t>
      </w:r>
      <w:r w:rsidRPr="00717687">
        <w:t xml:space="preserve"> for residential aged care and residential respite care include:</w:t>
      </w:r>
    </w:p>
    <w:p w14:paraId="379F3A65" w14:textId="31A33F01" w:rsidR="00FE7FBB" w:rsidRPr="00717687" w:rsidRDefault="00FE7FBB" w:rsidP="00FE7FBB">
      <w:pPr>
        <w:pStyle w:val="ListParagraph"/>
        <w:numPr>
          <w:ilvl w:val="0"/>
          <w:numId w:val="38"/>
        </w:numPr>
        <w:spacing w:line="288" w:lineRule="auto"/>
      </w:pPr>
      <w:r w:rsidRPr="00717687">
        <w:t xml:space="preserve">the development of policies focused on addressing and regulating quality </w:t>
      </w:r>
      <w:r w:rsidR="006560C6" w:rsidRPr="00717687">
        <w:t xml:space="preserve">of care </w:t>
      </w:r>
      <w:r w:rsidRPr="00717687">
        <w:t>in residential aged care</w:t>
      </w:r>
    </w:p>
    <w:p w14:paraId="728FFFC4" w14:textId="0FB7998B" w:rsidR="00FE7FBB" w:rsidRPr="00717687" w:rsidRDefault="0085311D" w:rsidP="00FE7FBB">
      <w:pPr>
        <w:pStyle w:val="ListParagraph"/>
        <w:numPr>
          <w:ilvl w:val="0"/>
          <w:numId w:val="38"/>
        </w:numPr>
        <w:spacing w:line="288" w:lineRule="auto"/>
      </w:pPr>
      <w:r w:rsidRPr="00717687">
        <w:t>service</w:t>
      </w:r>
      <w:r w:rsidR="00FE7FBB" w:rsidRPr="00717687">
        <w:t xml:space="preserve"> accreditation, audit and related processes</w:t>
      </w:r>
    </w:p>
    <w:p w14:paraId="1954028F" w14:textId="49874095" w:rsidR="00FE7FBB" w:rsidRPr="00717687" w:rsidRDefault="00FE7FBB" w:rsidP="00FE7FBB">
      <w:pPr>
        <w:pStyle w:val="ListParagraph"/>
        <w:numPr>
          <w:ilvl w:val="0"/>
          <w:numId w:val="38"/>
        </w:numPr>
        <w:spacing w:line="288" w:lineRule="auto"/>
      </w:pPr>
      <w:r w:rsidRPr="00717687">
        <w:t>short</w:t>
      </w:r>
      <w:r w:rsidR="00297655" w:rsidRPr="00717687">
        <w:t>-</w:t>
      </w:r>
      <w:r w:rsidRPr="00717687">
        <w:t>term funding arrangements for services in financial distress due to external factors</w:t>
      </w:r>
    </w:p>
    <w:p w14:paraId="71B69A01" w14:textId="50EBDD50" w:rsidR="00094F01" w:rsidRDefault="00094F01" w:rsidP="00FE7FBB">
      <w:pPr>
        <w:pStyle w:val="ListParagraph"/>
        <w:numPr>
          <w:ilvl w:val="0"/>
          <w:numId w:val="38"/>
        </w:numPr>
        <w:spacing w:line="288" w:lineRule="auto"/>
      </w:pPr>
      <w:r>
        <w:t>private self-funded aged care residents</w:t>
      </w:r>
    </w:p>
    <w:p w14:paraId="039633EA" w14:textId="39D2EB98" w:rsidR="00094F01" w:rsidRDefault="00D12050" w:rsidP="00FE7FBB">
      <w:pPr>
        <w:pStyle w:val="ListParagraph"/>
        <w:numPr>
          <w:ilvl w:val="0"/>
          <w:numId w:val="38"/>
        </w:numPr>
        <w:spacing w:line="288" w:lineRule="auto"/>
      </w:pPr>
      <w:r>
        <w:t xml:space="preserve">transition care costs </w:t>
      </w:r>
    </w:p>
    <w:p w14:paraId="46F2E145" w14:textId="6734DAB1" w:rsidR="00FE7FBB" w:rsidRPr="00717687" w:rsidRDefault="00FE7FBB" w:rsidP="00FE7FBB">
      <w:pPr>
        <w:pStyle w:val="ListParagraph"/>
        <w:numPr>
          <w:ilvl w:val="0"/>
          <w:numId w:val="38"/>
        </w:numPr>
        <w:spacing w:line="288" w:lineRule="auto"/>
      </w:pPr>
      <w:r w:rsidRPr="00717687">
        <w:t>retirement village pricing and regulation</w:t>
      </w:r>
    </w:p>
    <w:p w14:paraId="19613B74" w14:textId="74939864" w:rsidR="00117D02" w:rsidRPr="00717687" w:rsidRDefault="00FE7FBB" w:rsidP="00FE7FBB">
      <w:pPr>
        <w:pStyle w:val="ListParagraph"/>
        <w:numPr>
          <w:ilvl w:val="0"/>
          <w:numId w:val="38"/>
        </w:numPr>
        <w:spacing w:line="288" w:lineRule="auto"/>
      </w:pPr>
      <w:r w:rsidRPr="00717687">
        <w:t>the structure of the aged care sector, including the role of government and non-government providers, and regional and local governance</w:t>
      </w:r>
    </w:p>
    <w:p w14:paraId="279AAD20" w14:textId="50CB79DC" w:rsidR="00117D02" w:rsidRPr="00717687" w:rsidRDefault="00FE7FBB" w:rsidP="0020001D">
      <w:pPr>
        <w:pStyle w:val="ListParagraph"/>
        <w:numPr>
          <w:ilvl w:val="0"/>
          <w:numId w:val="38"/>
        </w:numPr>
        <w:spacing w:line="288" w:lineRule="auto"/>
      </w:pPr>
      <w:r w:rsidRPr="00717687">
        <w:t>the level and eligibility thresholds for the means-tested care fee</w:t>
      </w:r>
    </w:p>
    <w:p w14:paraId="577C096A" w14:textId="3C688611" w:rsidR="00C1393A" w:rsidRPr="00717687" w:rsidRDefault="0020001D" w:rsidP="00117D02">
      <w:pPr>
        <w:pStyle w:val="ListParagraph"/>
        <w:numPr>
          <w:ilvl w:val="0"/>
          <w:numId w:val="38"/>
        </w:numPr>
        <w:spacing w:line="288" w:lineRule="auto"/>
      </w:pPr>
      <w:r w:rsidRPr="00717687">
        <w:t xml:space="preserve">appropriate </w:t>
      </w:r>
      <w:r w:rsidR="00AC08C3" w:rsidRPr="00717687">
        <w:t>wage rates for the sector</w:t>
      </w:r>
    </w:p>
    <w:p w14:paraId="10EC0089" w14:textId="72D2B89D" w:rsidR="00663ADF" w:rsidRPr="00717687" w:rsidRDefault="00663ADF" w:rsidP="00117D02">
      <w:pPr>
        <w:pStyle w:val="ListParagraph"/>
        <w:numPr>
          <w:ilvl w:val="0"/>
          <w:numId w:val="38"/>
        </w:numPr>
        <w:spacing w:line="288" w:lineRule="auto"/>
      </w:pPr>
      <w:r w:rsidRPr="00717687">
        <w:t xml:space="preserve">policies and pricing adjustments for </w:t>
      </w:r>
      <w:r w:rsidR="00297655" w:rsidRPr="00717687">
        <w:t xml:space="preserve">the hotelling supplement </w:t>
      </w:r>
    </w:p>
    <w:p w14:paraId="0C6D1340" w14:textId="7BDE569B" w:rsidR="00663ADF" w:rsidRPr="00717687" w:rsidRDefault="00663ADF" w:rsidP="00663ADF">
      <w:pPr>
        <w:spacing w:line="288" w:lineRule="auto"/>
      </w:pPr>
    </w:p>
    <w:p w14:paraId="1BAD82A1" w14:textId="6A7919F3" w:rsidR="00663ADF" w:rsidRPr="00717687" w:rsidRDefault="00663ADF" w:rsidP="00663ADF">
      <w:pPr>
        <w:spacing w:line="288" w:lineRule="auto"/>
      </w:pPr>
    </w:p>
    <w:p w14:paraId="6C701C9E" w14:textId="399C8F11" w:rsidR="00FE7FBB" w:rsidRPr="00717687" w:rsidRDefault="00FE7FBB" w:rsidP="00FE7FBB">
      <w:pPr>
        <w:pStyle w:val="ListParagraph"/>
        <w:numPr>
          <w:ilvl w:val="0"/>
          <w:numId w:val="38"/>
        </w:numPr>
        <w:spacing w:line="288" w:lineRule="auto"/>
        <w:ind w:left="714" w:hanging="357"/>
      </w:pPr>
      <w:r w:rsidRPr="00717687">
        <w:t>policies regarding the payment of resident contributions</w:t>
      </w:r>
      <w:r w:rsidR="15EC9F40" w:rsidRPr="00717687">
        <w:t>,</w:t>
      </w:r>
      <w:r w:rsidRPr="00717687">
        <w:t xml:space="preserve"> including the basic daily fee, means-tested care fee, refundable accommodation deposits and daily accommodation payments</w:t>
      </w:r>
      <w:r w:rsidR="000E163F" w:rsidRPr="00717687">
        <w:t xml:space="preserve">, extra service fees and additional service fees. </w:t>
      </w:r>
    </w:p>
    <w:p w14:paraId="2406CC57" w14:textId="605029F6" w:rsidR="00FE7FBB" w:rsidRDefault="00FE7FBB" w:rsidP="00513FE6">
      <w:pPr>
        <w:pStyle w:val="Heading2"/>
        <w:rPr>
          <w:rStyle w:val="normaltextrun"/>
          <w:bCs w:val="0"/>
        </w:rPr>
      </w:pPr>
      <w:bookmarkStart w:id="25" w:name="_Toc136434993"/>
      <w:bookmarkStart w:id="26" w:name="_Toc137552802"/>
      <w:r>
        <w:rPr>
          <w:rStyle w:val="normaltextrun"/>
        </w:rPr>
        <w:t>1.</w:t>
      </w:r>
      <w:r w:rsidR="001524C0">
        <w:rPr>
          <w:rStyle w:val="normaltextrun"/>
        </w:rPr>
        <w:t>6</w:t>
      </w:r>
      <w:r>
        <w:rPr>
          <w:rStyle w:val="normaltextrun"/>
        </w:rPr>
        <w:t xml:space="preserve"> Supporting documents</w:t>
      </w:r>
      <w:bookmarkEnd w:id="25"/>
      <w:bookmarkEnd w:id="26"/>
      <w:r>
        <w:rPr>
          <w:rStyle w:val="normaltextrun"/>
        </w:rPr>
        <w:t xml:space="preserve"> </w:t>
      </w:r>
    </w:p>
    <w:p w14:paraId="33D9F1A9" w14:textId="77777777" w:rsidR="00FE7FBB" w:rsidRPr="00717687" w:rsidRDefault="00FE7FBB" w:rsidP="00FE7FBB">
      <w:pPr>
        <w:pStyle w:val="BodyText"/>
        <w:ind w:right="480"/>
        <w:rPr>
          <w:rFonts w:ascii="Arial" w:hAnsi="Arial" w:cs="Arial"/>
          <w:color w:val="auto"/>
          <w:sz w:val="22"/>
          <w:szCs w:val="22"/>
        </w:rPr>
      </w:pPr>
      <w:r w:rsidRPr="00717687">
        <w:rPr>
          <w:rFonts w:ascii="Arial" w:hAnsi="Arial" w:cs="Arial"/>
          <w:color w:val="auto"/>
          <w:sz w:val="22"/>
          <w:szCs w:val="22"/>
        </w:rPr>
        <w:t>This Consultation Paper builds on IHACPA’s previous work and should be read in conjunction with the following documents:</w:t>
      </w:r>
    </w:p>
    <w:p w14:paraId="57B298D4" w14:textId="1520DE98" w:rsidR="006C109B" w:rsidRPr="006C109B" w:rsidRDefault="00300E7A" w:rsidP="00AD3A1F">
      <w:pPr>
        <w:pStyle w:val="BodyText"/>
        <w:numPr>
          <w:ilvl w:val="0"/>
          <w:numId w:val="39"/>
        </w:numPr>
        <w:spacing w:after="120" w:line="254" w:lineRule="auto"/>
        <w:ind w:left="714" w:right="482" w:hanging="357"/>
        <w:rPr>
          <w:rFonts w:ascii="Arial" w:hAnsi="Arial"/>
          <w:i/>
          <w:iCs/>
          <w:color w:val="104F99" w:themeColor="hyperlink"/>
          <w:u w:val="single"/>
        </w:rPr>
      </w:pPr>
      <w:hyperlink r:id="rId41" w:history="1">
        <w:r w:rsidR="006C109B" w:rsidRPr="006C109B">
          <w:rPr>
            <w:rStyle w:val="Hyperlink"/>
            <w:i/>
            <w:iCs/>
            <w:sz w:val="22"/>
            <w:szCs w:val="22"/>
          </w:rPr>
          <w:t>Towards an Aged Care Pricing Framework Consultation Paper</w:t>
        </w:r>
      </w:hyperlink>
    </w:p>
    <w:p w14:paraId="7D33C7F8" w14:textId="481013B7" w:rsidR="006C109B" w:rsidRPr="006C109B" w:rsidRDefault="00300E7A" w:rsidP="00AD3A1F">
      <w:pPr>
        <w:pStyle w:val="BodyText"/>
        <w:numPr>
          <w:ilvl w:val="0"/>
          <w:numId w:val="39"/>
        </w:numPr>
        <w:spacing w:after="120" w:line="254" w:lineRule="auto"/>
        <w:ind w:left="714" w:right="482" w:hanging="357"/>
        <w:rPr>
          <w:rStyle w:val="Hyperlink"/>
          <w:rFonts w:ascii="Fira Sans" w:hAnsi="Fira Sans"/>
          <w:i/>
          <w:iCs/>
          <w:color w:val="auto"/>
          <w:sz w:val="22"/>
          <w:szCs w:val="22"/>
          <w:u w:val="none"/>
        </w:rPr>
      </w:pPr>
      <w:hyperlink r:id="rId42" w:history="1">
        <w:r w:rsidR="00FE7FBB" w:rsidRPr="00472B6C">
          <w:rPr>
            <w:rStyle w:val="Hyperlink"/>
            <w:i/>
            <w:iCs/>
            <w:sz w:val="22"/>
            <w:szCs w:val="22"/>
          </w:rPr>
          <w:t>Pricing Framework for Australian Residential Aged Care Services 2023</w:t>
        </w:r>
        <w:r w:rsidR="008C3983" w:rsidRPr="589AE19B">
          <w:rPr>
            <w:rStyle w:val="Hyperlink"/>
            <w:rFonts w:cs="Arial"/>
            <w:i/>
            <w:iCs/>
            <w:sz w:val="22"/>
            <w:szCs w:val="22"/>
          </w:rPr>
          <w:t>–</w:t>
        </w:r>
        <w:r w:rsidR="00FE7FBB" w:rsidRPr="00472B6C">
          <w:rPr>
            <w:rStyle w:val="Hyperlink"/>
            <w:i/>
            <w:iCs/>
            <w:sz w:val="22"/>
            <w:szCs w:val="22"/>
          </w:rPr>
          <w:t xml:space="preserve">24 </w:t>
        </w:r>
      </w:hyperlink>
      <w:r w:rsidR="00FE7FBB" w:rsidRPr="006C109B">
        <w:rPr>
          <w:rStyle w:val="Hyperlink"/>
        </w:rPr>
        <w:t xml:space="preserve"> </w:t>
      </w:r>
    </w:p>
    <w:p w14:paraId="0B072B81" w14:textId="5CCE9B97" w:rsidR="00FE7FBB" w:rsidRDefault="00300E7A" w:rsidP="00AD3A1F">
      <w:pPr>
        <w:pStyle w:val="BodyText"/>
        <w:numPr>
          <w:ilvl w:val="0"/>
          <w:numId w:val="39"/>
        </w:numPr>
        <w:spacing w:after="120" w:line="254" w:lineRule="auto"/>
        <w:ind w:left="714" w:right="482" w:hanging="357"/>
        <w:rPr>
          <w:i/>
          <w:iCs/>
          <w:color w:val="auto"/>
          <w:sz w:val="22"/>
          <w:szCs w:val="22"/>
        </w:rPr>
      </w:pPr>
      <w:hyperlink r:id="rId43" w:history="1">
        <w:r w:rsidR="00FE7FBB" w:rsidRPr="00472B6C">
          <w:rPr>
            <w:rStyle w:val="Hyperlink"/>
            <w:i/>
            <w:iCs/>
            <w:sz w:val="22"/>
            <w:szCs w:val="22"/>
          </w:rPr>
          <w:t>Towards an Aged Care Pricing Framework Consultation Report</w:t>
        </w:r>
      </w:hyperlink>
      <w:r w:rsidR="00FE7FBB" w:rsidRPr="00472B6C">
        <w:rPr>
          <w:i/>
          <w:iCs/>
          <w:color w:val="auto"/>
          <w:sz w:val="22"/>
          <w:szCs w:val="22"/>
        </w:rPr>
        <w:t xml:space="preserve"> </w:t>
      </w:r>
    </w:p>
    <w:p w14:paraId="68E92704" w14:textId="40F9026B" w:rsidR="00EB74AE" w:rsidRPr="00717687" w:rsidRDefault="00300E7A" w:rsidP="00AD3A1F">
      <w:pPr>
        <w:pStyle w:val="CommentText"/>
        <w:numPr>
          <w:ilvl w:val="0"/>
          <w:numId w:val="39"/>
        </w:numPr>
        <w:spacing w:after="120" w:line="254" w:lineRule="auto"/>
        <w:ind w:left="714" w:right="482" w:hanging="357"/>
        <w:rPr>
          <w:rFonts w:cs="Arial"/>
          <w:i/>
          <w:sz w:val="22"/>
          <w:szCs w:val="22"/>
        </w:rPr>
      </w:pPr>
      <w:hyperlink r:id="rId44">
        <w:r w:rsidR="00EB74AE" w:rsidRPr="2CFD7E80">
          <w:rPr>
            <w:rStyle w:val="Hyperlink"/>
            <w:rFonts w:cs="Arial"/>
            <w:i/>
            <w:iCs/>
            <w:sz w:val="22"/>
            <w:szCs w:val="22"/>
          </w:rPr>
          <w:t>Residential Aged Care Pricing</w:t>
        </w:r>
        <w:r w:rsidR="00EE57C5" w:rsidRPr="2CFD7E80">
          <w:rPr>
            <w:rStyle w:val="Hyperlink"/>
            <w:rFonts w:cs="Arial"/>
            <w:i/>
            <w:iCs/>
            <w:sz w:val="22"/>
            <w:szCs w:val="22"/>
          </w:rPr>
          <w:t xml:space="preserve"> </w:t>
        </w:r>
        <w:r w:rsidR="00EB74AE" w:rsidRPr="2CFD7E80">
          <w:rPr>
            <w:rStyle w:val="Hyperlink"/>
            <w:rFonts w:cs="Arial"/>
            <w:i/>
            <w:iCs/>
            <w:sz w:val="22"/>
            <w:szCs w:val="22"/>
          </w:rPr>
          <w:t xml:space="preserve">Advice </w:t>
        </w:r>
        <w:r w:rsidR="00A5455F" w:rsidRPr="2CFD7E80">
          <w:rPr>
            <w:rStyle w:val="Hyperlink"/>
            <w:rFonts w:cs="Arial"/>
            <w:i/>
            <w:iCs/>
            <w:sz w:val="22"/>
            <w:szCs w:val="22"/>
          </w:rPr>
          <w:t>2023</w:t>
        </w:r>
        <w:r w:rsidR="008C3983" w:rsidRPr="2CFD7E80">
          <w:rPr>
            <w:rStyle w:val="Hyperlink"/>
            <w:rFonts w:cs="Arial"/>
            <w:i/>
            <w:iCs/>
            <w:sz w:val="22"/>
            <w:szCs w:val="22"/>
          </w:rPr>
          <w:t>–</w:t>
        </w:r>
        <w:r w:rsidR="00A5455F" w:rsidRPr="2CFD7E80">
          <w:rPr>
            <w:rStyle w:val="Hyperlink"/>
            <w:rFonts w:cs="Arial"/>
            <w:i/>
            <w:iCs/>
            <w:sz w:val="22"/>
            <w:szCs w:val="22"/>
          </w:rPr>
          <w:t>24</w:t>
        </w:r>
      </w:hyperlink>
      <w:r w:rsidR="612C57D4" w:rsidRPr="00717687">
        <w:rPr>
          <w:rFonts w:cs="Arial"/>
          <w:i/>
          <w:iCs/>
          <w:sz w:val="22"/>
          <w:szCs w:val="22"/>
        </w:rPr>
        <w:t>.</w:t>
      </w:r>
    </w:p>
    <w:p w14:paraId="00B96E84" w14:textId="77777777" w:rsidR="00766EA3" w:rsidRPr="00717687" w:rsidRDefault="00766EA3" w:rsidP="0055030A">
      <w:pPr>
        <w:rPr>
          <w:rStyle w:val="normaltextrun"/>
          <w:rFonts w:cs="Arial"/>
        </w:rPr>
      </w:pPr>
    </w:p>
    <w:p w14:paraId="50360EF0" w14:textId="77777777" w:rsidR="00766EA3" w:rsidRPr="00717687" w:rsidRDefault="00766EA3" w:rsidP="0055030A">
      <w:pPr>
        <w:rPr>
          <w:rStyle w:val="normaltextrun"/>
          <w:rFonts w:cs="Arial"/>
        </w:rPr>
      </w:pPr>
    </w:p>
    <w:p w14:paraId="1076FF21" w14:textId="5E3ED177" w:rsidR="00766EA3" w:rsidRPr="00717687" w:rsidRDefault="00766EA3" w:rsidP="0055030A">
      <w:pPr>
        <w:rPr>
          <w:rStyle w:val="normaltextrun"/>
          <w:rFonts w:cs="Arial"/>
        </w:rPr>
      </w:pPr>
    </w:p>
    <w:p w14:paraId="2AF69926" w14:textId="515E1541" w:rsidR="00766EA3" w:rsidRPr="00717687" w:rsidRDefault="00766EA3" w:rsidP="0055030A">
      <w:pPr>
        <w:rPr>
          <w:rStyle w:val="normaltextrun"/>
          <w:rFonts w:cs="Arial"/>
        </w:rPr>
      </w:pPr>
    </w:p>
    <w:p w14:paraId="21623F46" w14:textId="5122200B" w:rsidR="00766EA3" w:rsidRPr="00717687" w:rsidRDefault="00766EA3" w:rsidP="0055030A">
      <w:pPr>
        <w:rPr>
          <w:rStyle w:val="normaltextrun"/>
          <w:rFonts w:cs="Arial"/>
        </w:rPr>
      </w:pPr>
    </w:p>
    <w:p w14:paraId="25342801" w14:textId="5CEF7851" w:rsidR="00766EA3" w:rsidRPr="00717687" w:rsidRDefault="00766EA3" w:rsidP="0055030A">
      <w:pPr>
        <w:rPr>
          <w:rStyle w:val="normaltextrun"/>
          <w:rFonts w:cs="Arial"/>
        </w:rPr>
      </w:pPr>
    </w:p>
    <w:p w14:paraId="69E79FFA" w14:textId="75F130E1" w:rsidR="00766EA3" w:rsidRPr="00717687" w:rsidRDefault="00766EA3" w:rsidP="0055030A">
      <w:pPr>
        <w:rPr>
          <w:rStyle w:val="normaltextrun"/>
          <w:rFonts w:cs="Arial"/>
        </w:rPr>
      </w:pPr>
    </w:p>
    <w:p w14:paraId="40ED19A1" w14:textId="62FD12EC" w:rsidR="00766EA3" w:rsidRPr="00717687" w:rsidRDefault="00766EA3" w:rsidP="0055030A">
      <w:pPr>
        <w:rPr>
          <w:rStyle w:val="normaltextrun"/>
          <w:rFonts w:cs="Arial"/>
        </w:rPr>
      </w:pPr>
    </w:p>
    <w:p w14:paraId="21CBD4FB" w14:textId="23B67495" w:rsidR="00766EA3" w:rsidRPr="00717687" w:rsidRDefault="00766EA3" w:rsidP="0055030A">
      <w:pPr>
        <w:rPr>
          <w:rStyle w:val="normaltextrun"/>
          <w:rFonts w:cs="Arial"/>
        </w:rPr>
      </w:pPr>
    </w:p>
    <w:p w14:paraId="29A331FA" w14:textId="74C0FFFC" w:rsidR="00766EA3" w:rsidRPr="00717687" w:rsidRDefault="00766EA3" w:rsidP="0055030A">
      <w:pPr>
        <w:rPr>
          <w:rStyle w:val="normaltextrun"/>
          <w:rFonts w:cs="Arial"/>
        </w:rPr>
      </w:pPr>
    </w:p>
    <w:p w14:paraId="2B296148" w14:textId="77777777" w:rsidR="00766EA3" w:rsidRPr="00717687" w:rsidRDefault="00766EA3" w:rsidP="0055030A">
      <w:pPr>
        <w:rPr>
          <w:rStyle w:val="normaltextrun"/>
          <w:rFonts w:cs="Arial"/>
        </w:rPr>
      </w:pPr>
    </w:p>
    <w:p w14:paraId="621AAFD1" w14:textId="40265FD8" w:rsidR="00EE57C5" w:rsidRPr="00717687" w:rsidRDefault="00EE57C5" w:rsidP="0055030A">
      <w:pPr>
        <w:rPr>
          <w:rStyle w:val="normaltextrun"/>
          <w:rFonts w:cs="Arial"/>
        </w:rPr>
      </w:pPr>
      <w:r w:rsidRPr="00717687">
        <w:rPr>
          <w:rStyle w:val="normaltextrun"/>
          <w:rFonts w:cs="Arial"/>
        </w:rPr>
        <w:lastRenderedPageBreak/>
        <w:t>The key dates for this consultation process are:</w:t>
      </w:r>
    </w:p>
    <w:tbl>
      <w:tblPr>
        <w:tblStyle w:val="IHACPATable"/>
        <w:tblpPr w:leftFromText="180" w:rightFromText="180" w:vertAnchor="text" w:horzAnchor="margin" w:tblpY="138"/>
        <w:tblW w:w="4395" w:type="dxa"/>
        <w:tblBorders>
          <w:bottom w:val="single" w:sz="4" w:space="0" w:color="auto"/>
          <w:insideH w:val="single" w:sz="4" w:space="0" w:color="auto"/>
        </w:tblBorders>
        <w:tblLayout w:type="fixed"/>
        <w:tblLook w:val="0020" w:firstRow="1" w:lastRow="0" w:firstColumn="0" w:lastColumn="0" w:noHBand="0" w:noVBand="0"/>
      </w:tblPr>
      <w:tblGrid>
        <w:gridCol w:w="2699"/>
        <w:gridCol w:w="1696"/>
      </w:tblGrid>
      <w:tr w:rsidR="00881661" w:rsidRPr="007A5ABF" w14:paraId="37F132AF" w14:textId="77777777" w:rsidTr="00881661">
        <w:trPr>
          <w:cnfStyle w:val="100000000000" w:firstRow="1" w:lastRow="0" w:firstColumn="0" w:lastColumn="0" w:oddVBand="0" w:evenVBand="0" w:oddHBand="0" w:evenHBand="0" w:firstRowFirstColumn="0" w:firstRowLastColumn="0" w:lastRowFirstColumn="0" w:lastRowLastColumn="0"/>
          <w:trHeight w:val="19"/>
        </w:trPr>
        <w:tc>
          <w:tcPr>
            <w:tcW w:w="2699" w:type="dxa"/>
            <w:shd w:val="clear" w:color="auto" w:fill="0080C4" w:themeFill="accent2"/>
          </w:tcPr>
          <w:p w14:paraId="7F243FA8" w14:textId="77777777" w:rsidR="00881661" w:rsidRPr="001817DA" w:rsidRDefault="00881661" w:rsidP="00881661">
            <w:pPr>
              <w:tabs>
                <w:tab w:val="center" w:pos="1599"/>
              </w:tabs>
              <w:spacing w:before="120" w:after="120"/>
              <w:rPr>
                <w:b/>
                <w:bCs/>
                <w:color w:val="E7E6E6" w:themeColor="background2"/>
                <w:szCs w:val="18"/>
              </w:rPr>
            </w:pPr>
            <w:r w:rsidRPr="001817DA">
              <w:rPr>
                <w:b/>
                <w:bCs/>
                <w:color w:val="E7E6E6" w:themeColor="background2"/>
                <w:szCs w:val="18"/>
              </w:rPr>
              <w:t>Process</w:t>
            </w:r>
            <w:r w:rsidRPr="001817DA">
              <w:rPr>
                <w:b/>
                <w:bCs/>
                <w:color w:val="E7E6E6" w:themeColor="background2"/>
                <w:szCs w:val="18"/>
              </w:rPr>
              <w:tab/>
            </w:r>
          </w:p>
        </w:tc>
        <w:tc>
          <w:tcPr>
            <w:tcW w:w="1696" w:type="dxa"/>
            <w:shd w:val="clear" w:color="auto" w:fill="0080C4" w:themeFill="accent2"/>
          </w:tcPr>
          <w:p w14:paraId="2CAB0525" w14:textId="77777777" w:rsidR="00881661" w:rsidRPr="001817DA" w:rsidRDefault="00881661" w:rsidP="00881661">
            <w:pPr>
              <w:spacing w:before="120" w:after="120"/>
              <w:rPr>
                <w:b/>
                <w:bCs/>
                <w:color w:val="E7E6E6" w:themeColor="background2"/>
                <w:szCs w:val="18"/>
              </w:rPr>
            </w:pPr>
            <w:r w:rsidRPr="001817DA">
              <w:rPr>
                <w:b/>
                <w:bCs/>
                <w:color w:val="E7E6E6" w:themeColor="background2"/>
                <w:szCs w:val="18"/>
              </w:rPr>
              <w:t>Date</w:t>
            </w:r>
          </w:p>
        </w:tc>
      </w:tr>
      <w:tr w:rsidR="00881661" w:rsidRPr="00746838" w14:paraId="5F548146" w14:textId="77777777" w:rsidTr="00881661">
        <w:trPr>
          <w:cnfStyle w:val="000000100000" w:firstRow="0" w:lastRow="0" w:firstColumn="0" w:lastColumn="0" w:oddVBand="0" w:evenVBand="0" w:oddHBand="1" w:evenHBand="0" w:firstRowFirstColumn="0" w:firstRowLastColumn="0" w:lastRowFirstColumn="0" w:lastRowLastColumn="0"/>
          <w:trHeight w:val="19"/>
        </w:trPr>
        <w:tc>
          <w:tcPr>
            <w:tcW w:w="2699" w:type="dxa"/>
            <w:shd w:val="clear" w:color="auto" w:fill="auto"/>
          </w:tcPr>
          <w:p w14:paraId="3B324009" w14:textId="77777777" w:rsidR="00881661" w:rsidRPr="00717687" w:rsidRDefault="00881661" w:rsidP="00881661">
            <w:pPr>
              <w:spacing w:before="120" w:after="120"/>
              <w:rPr>
                <w:szCs w:val="18"/>
              </w:rPr>
            </w:pPr>
            <w:r w:rsidRPr="00717687">
              <w:rPr>
                <w:szCs w:val="18"/>
              </w:rPr>
              <w:t>Release of the Consultation Paper</w:t>
            </w:r>
          </w:p>
        </w:tc>
        <w:tc>
          <w:tcPr>
            <w:tcW w:w="1696" w:type="dxa"/>
          </w:tcPr>
          <w:p w14:paraId="11CF78A8" w14:textId="27649094" w:rsidR="00881661" w:rsidRPr="00717687" w:rsidRDefault="00881661" w:rsidP="00881661">
            <w:pPr>
              <w:spacing w:before="120" w:after="120"/>
              <w:rPr>
                <w:szCs w:val="18"/>
              </w:rPr>
            </w:pPr>
            <w:r w:rsidRPr="00717687">
              <w:rPr>
                <w:szCs w:val="18"/>
              </w:rPr>
              <w:t>1</w:t>
            </w:r>
            <w:r w:rsidR="00FE6890">
              <w:rPr>
                <w:szCs w:val="18"/>
              </w:rPr>
              <w:t>7</w:t>
            </w:r>
            <w:r w:rsidRPr="00717687">
              <w:rPr>
                <w:szCs w:val="18"/>
              </w:rPr>
              <w:t xml:space="preserve"> July 2023</w:t>
            </w:r>
          </w:p>
        </w:tc>
      </w:tr>
      <w:tr w:rsidR="00881661" w:rsidRPr="00367850" w14:paraId="1DFFCDDE" w14:textId="77777777" w:rsidTr="00881661">
        <w:trPr>
          <w:cnfStyle w:val="000000010000" w:firstRow="0" w:lastRow="0" w:firstColumn="0" w:lastColumn="0" w:oddVBand="0" w:evenVBand="0" w:oddHBand="0" w:evenHBand="1" w:firstRowFirstColumn="0" w:firstRowLastColumn="0" w:lastRowFirstColumn="0" w:lastRowLastColumn="0"/>
          <w:trHeight w:val="19"/>
        </w:trPr>
        <w:tc>
          <w:tcPr>
            <w:tcW w:w="2699" w:type="dxa"/>
            <w:tcBorders>
              <w:bottom w:val="single" w:sz="4" w:space="0" w:color="auto"/>
            </w:tcBorders>
            <w:shd w:val="clear" w:color="auto" w:fill="auto"/>
          </w:tcPr>
          <w:p w14:paraId="47F035C4" w14:textId="77777777" w:rsidR="00881661" w:rsidRPr="00717687" w:rsidRDefault="00881661" w:rsidP="00881661">
            <w:pPr>
              <w:spacing w:before="120" w:after="120"/>
              <w:rPr>
                <w:szCs w:val="18"/>
              </w:rPr>
            </w:pPr>
            <w:r w:rsidRPr="00717687">
              <w:rPr>
                <w:szCs w:val="18"/>
              </w:rPr>
              <w:t>Submissions close</w:t>
            </w:r>
          </w:p>
        </w:tc>
        <w:tc>
          <w:tcPr>
            <w:tcW w:w="1696" w:type="dxa"/>
            <w:tcBorders>
              <w:bottom w:val="single" w:sz="4" w:space="0" w:color="auto"/>
            </w:tcBorders>
          </w:tcPr>
          <w:p w14:paraId="654B8A26" w14:textId="7A647476" w:rsidR="00881661" w:rsidRPr="00717687" w:rsidRDefault="00EF3070" w:rsidP="00881661">
            <w:pPr>
              <w:spacing w:before="120" w:after="120"/>
              <w:rPr>
                <w:szCs w:val="18"/>
              </w:rPr>
            </w:pPr>
            <w:r>
              <w:rPr>
                <w:szCs w:val="18"/>
              </w:rPr>
              <w:t>31</w:t>
            </w:r>
            <w:r w:rsidR="00881661" w:rsidRPr="00717687">
              <w:rPr>
                <w:szCs w:val="18"/>
              </w:rPr>
              <w:t xml:space="preserve"> August 2023</w:t>
            </w:r>
          </w:p>
        </w:tc>
      </w:tr>
      <w:tr w:rsidR="00881661" w:rsidRPr="00367850" w14:paraId="11023F17" w14:textId="77777777" w:rsidTr="00881661">
        <w:trPr>
          <w:cnfStyle w:val="000000100000" w:firstRow="0" w:lastRow="0" w:firstColumn="0" w:lastColumn="0" w:oddVBand="0" w:evenVBand="0" w:oddHBand="1" w:evenHBand="0" w:firstRowFirstColumn="0" w:firstRowLastColumn="0" w:lastRowFirstColumn="0" w:lastRowLastColumn="0"/>
          <w:trHeight w:val="19"/>
        </w:trPr>
        <w:tc>
          <w:tcPr>
            <w:tcW w:w="2699" w:type="dxa"/>
            <w:tcBorders>
              <w:top w:val="single" w:sz="4" w:space="0" w:color="auto"/>
              <w:bottom w:val="single" w:sz="4" w:space="0" w:color="auto"/>
            </w:tcBorders>
            <w:shd w:val="clear" w:color="auto" w:fill="auto"/>
          </w:tcPr>
          <w:p w14:paraId="79896D00" w14:textId="77777777" w:rsidR="00881661" w:rsidRPr="00717687" w:rsidRDefault="00881661" w:rsidP="00881661">
            <w:pPr>
              <w:spacing w:before="120" w:after="120"/>
              <w:rPr>
                <w:szCs w:val="18"/>
              </w:rPr>
            </w:pPr>
            <w:r w:rsidRPr="00717687">
              <w:rPr>
                <w:szCs w:val="18"/>
              </w:rPr>
              <w:t>Release of a consultation report consolidating stakeholder feedback</w:t>
            </w:r>
          </w:p>
        </w:tc>
        <w:tc>
          <w:tcPr>
            <w:tcW w:w="1696" w:type="dxa"/>
            <w:tcBorders>
              <w:top w:val="single" w:sz="4" w:space="0" w:color="auto"/>
              <w:bottom w:val="single" w:sz="4" w:space="0" w:color="auto"/>
            </w:tcBorders>
          </w:tcPr>
          <w:p w14:paraId="28279169" w14:textId="77777777" w:rsidR="00881661" w:rsidRPr="00717687" w:rsidRDefault="00881661" w:rsidP="00881661">
            <w:pPr>
              <w:spacing w:before="120" w:after="120"/>
              <w:rPr>
                <w:szCs w:val="18"/>
              </w:rPr>
            </w:pPr>
            <w:r w:rsidRPr="00717687">
              <w:rPr>
                <w:szCs w:val="18"/>
              </w:rPr>
              <w:t>Early 2024</w:t>
            </w:r>
          </w:p>
        </w:tc>
      </w:tr>
      <w:tr w:rsidR="00881661" w:rsidRPr="00367850" w14:paraId="49C11FFA" w14:textId="77777777" w:rsidTr="00881661">
        <w:trPr>
          <w:cnfStyle w:val="000000010000" w:firstRow="0" w:lastRow="0" w:firstColumn="0" w:lastColumn="0" w:oddVBand="0" w:evenVBand="0" w:oddHBand="0" w:evenHBand="1" w:firstRowFirstColumn="0" w:firstRowLastColumn="0" w:lastRowFirstColumn="0" w:lastRowLastColumn="0"/>
          <w:trHeight w:val="19"/>
        </w:trPr>
        <w:tc>
          <w:tcPr>
            <w:tcW w:w="2699" w:type="dxa"/>
            <w:tcBorders>
              <w:top w:val="single" w:sz="4" w:space="0" w:color="auto"/>
              <w:bottom w:val="single" w:sz="4" w:space="0" w:color="auto"/>
            </w:tcBorders>
            <w:shd w:val="clear" w:color="auto" w:fill="auto"/>
          </w:tcPr>
          <w:p w14:paraId="1E3B15F2" w14:textId="77777777" w:rsidR="00881661" w:rsidRPr="00717687" w:rsidRDefault="00881661" w:rsidP="00881661">
            <w:pPr>
              <w:spacing w:before="120" w:after="120"/>
              <w:rPr>
                <w:szCs w:val="18"/>
              </w:rPr>
            </w:pPr>
            <w:r w:rsidRPr="00717687">
              <w:rPr>
                <w:szCs w:val="18"/>
              </w:rPr>
              <w:t>Pricing Framework for Australian Residential Aged Care Services 2024-25 published</w:t>
            </w:r>
          </w:p>
        </w:tc>
        <w:tc>
          <w:tcPr>
            <w:tcW w:w="1696" w:type="dxa"/>
            <w:tcBorders>
              <w:top w:val="single" w:sz="4" w:space="0" w:color="auto"/>
              <w:bottom w:val="single" w:sz="4" w:space="0" w:color="auto"/>
            </w:tcBorders>
          </w:tcPr>
          <w:p w14:paraId="5BC5AE6B" w14:textId="77777777" w:rsidR="00881661" w:rsidRPr="00717687" w:rsidRDefault="00881661" w:rsidP="00881661">
            <w:pPr>
              <w:spacing w:before="120" w:after="120"/>
              <w:rPr>
                <w:szCs w:val="18"/>
              </w:rPr>
            </w:pPr>
            <w:r w:rsidRPr="00717687">
              <w:rPr>
                <w:szCs w:val="18"/>
              </w:rPr>
              <w:t>Early 2024</w:t>
            </w:r>
          </w:p>
        </w:tc>
      </w:tr>
    </w:tbl>
    <w:p w14:paraId="1B37A68E" w14:textId="40FD5B32" w:rsidR="00766EA3" w:rsidRDefault="00766EA3" w:rsidP="0055030A">
      <w:pPr>
        <w:rPr>
          <w:rStyle w:val="normaltextrun"/>
          <w:rFonts w:cs="Arial"/>
        </w:rPr>
      </w:pPr>
    </w:p>
    <w:p w14:paraId="2D1CA385" w14:textId="43DC33E6" w:rsidR="00FE7FBB" w:rsidRPr="00026480" w:rsidRDefault="00FE7FBB" w:rsidP="00513FE6">
      <w:pPr>
        <w:pStyle w:val="Heading2"/>
        <w:rPr>
          <w:rStyle w:val="normaltextrun"/>
          <w:b w:val="0"/>
          <w:bCs w:val="0"/>
        </w:rPr>
      </w:pPr>
      <w:bookmarkStart w:id="27" w:name="_Toc136434994"/>
      <w:bookmarkStart w:id="28" w:name="_Toc137552803"/>
      <w:r w:rsidRPr="00026480">
        <w:rPr>
          <w:rStyle w:val="normaltextrun"/>
        </w:rPr>
        <w:t>1.</w:t>
      </w:r>
      <w:r w:rsidR="001524C0">
        <w:rPr>
          <w:rStyle w:val="normaltextrun"/>
        </w:rPr>
        <w:t>7</w:t>
      </w:r>
      <w:r w:rsidRPr="00026480">
        <w:rPr>
          <w:rStyle w:val="normaltextrun"/>
        </w:rPr>
        <w:t xml:space="preserve"> Submissions</w:t>
      </w:r>
      <w:bookmarkEnd w:id="27"/>
      <w:bookmarkEnd w:id="28"/>
    </w:p>
    <w:p w14:paraId="3EB9ECE0" w14:textId="7BF8C82D" w:rsidR="00FE7FBB" w:rsidRPr="00717687" w:rsidRDefault="00FE7FBB" w:rsidP="00FE7FBB">
      <w:pPr>
        <w:rPr>
          <w:rStyle w:val="normaltextrun"/>
          <w:rFonts w:cs="Arial"/>
          <w:b/>
          <w:bCs/>
        </w:rPr>
      </w:pPr>
      <w:r w:rsidRPr="00717687">
        <w:rPr>
          <w:rStyle w:val="normaltextrun"/>
          <w:rFonts w:cs="Arial"/>
        </w:rPr>
        <w:t>IHACPA is calling for submissions on this Consultation Paper until</w:t>
      </w:r>
      <w:r w:rsidRPr="00717687">
        <w:rPr>
          <w:rStyle w:val="normaltextrun"/>
          <w:rFonts w:cs="Arial"/>
          <w:b/>
          <w:bCs/>
        </w:rPr>
        <w:t xml:space="preserve"> </w:t>
      </w:r>
      <w:r w:rsidR="00EF3070">
        <w:rPr>
          <w:rStyle w:val="normaltextrun"/>
          <w:rFonts w:cs="Arial"/>
          <w:b/>
          <w:bCs/>
        </w:rPr>
        <w:t>31</w:t>
      </w:r>
      <w:r w:rsidRPr="00717687">
        <w:rPr>
          <w:rStyle w:val="normaltextrun"/>
          <w:rFonts w:cs="Arial"/>
          <w:b/>
          <w:bCs/>
        </w:rPr>
        <w:t xml:space="preserve"> August 2023</w:t>
      </w:r>
      <w:r w:rsidRPr="00717687">
        <w:rPr>
          <w:rStyle w:val="normaltextrun"/>
          <w:rFonts w:cs="Arial"/>
        </w:rPr>
        <w:t>.</w:t>
      </w:r>
    </w:p>
    <w:p w14:paraId="7DC112C1" w14:textId="67290897" w:rsidR="00FE7FBB" w:rsidRPr="00717687" w:rsidRDefault="00FE7FBB" w:rsidP="00FE7FBB">
      <w:pPr>
        <w:rPr>
          <w:rStyle w:val="normaltextrun"/>
          <w:rFonts w:cs="Arial"/>
        </w:rPr>
      </w:pPr>
      <w:r w:rsidRPr="00717687">
        <w:rPr>
          <w:rStyle w:val="normaltextrun"/>
          <w:rFonts w:cs="Arial"/>
        </w:rPr>
        <w:t xml:space="preserve">A series of consultation questions that ask for feedback on specific considerations and options have been included in relevant sections of this paper, as well as </w:t>
      </w:r>
      <w:r w:rsidR="00550926" w:rsidRPr="00717687">
        <w:rPr>
          <w:rStyle w:val="normaltextrun"/>
          <w:rFonts w:cs="Arial"/>
        </w:rPr>
        <w:t xml:space="preserve">in </w:t>
      </w:r>
      <w:r w:rsidRPr="00717687">
        <w:rPr>
          <w:rStyle w:val="normaltextrun"/>
          <w:rFonts w:cs="Arial"/>
        </w:rPr>
        <w:t xml:space="preserve">Appendix A. </w:t>
      </w:r>
    </w:p>
    <w:p w14:paraId="56228F76" w14:textId="0BA96722" w:rsidR="00C1393A" w:rsidRPr="00717687" w:rsidRDefault="00FE7FBB" w:rsidP="00CA25E6">
      <w:pPr>
        <w:rPr>
          <w:rStyle w:val="normaltextrun"/>
          <w:rFonts w:cs="Arial"/>
        </w:rPr>
      </w:pPr>
      <w:r w:rsidRPr="00717687">
        <w:rPr>
          <w:rStyle w:val="normaltextrun"/>
          <w:rFonts w:cs="Arial"/>
        </w:rPr>
        <w:t xml:space="preserve">While feedback is welcome on any issue, it is of </w:t>
      </w:r>
      <w:proofErr w:type="gramStart"/>
      <w:r w:rsidRPr="00717687">
        <w:rPr>
          <w:rStyle w:val="normaltextrun"/>
          <w:rFonts w:cs="Arial"/>
        </w:rPr>
        <w:t>particular value</w:t>
      </w:r>
      <w:proofErr w:type="gramEnd"/>
      <w:r w:rsidRPr="00717687">
        <w:rPr>
          <w:rStyle w:val="normaltextrun"/>
          <w:rFonts w:cs="Arial"/>
        </w:rPr>
        <w:t xml:space="preserve"> to receive views on the consultation questions in this paper. Stakeholders are encouraged to focus on questions and issues relevant to them, and do not need to answer every question. </w:t>
      </w:r>
    </w:p>
    <w:p w14:paraId="66DDD650" w14:textId="64C581E6" w:rsidR="00550926" w:rsidRPr="00717687" w:rsidRDefault="00FE7FBB" w:rsidP="00550926">
      <w:pPr>
        <w:widowControl w:val="0"/>
        <w:rPr>
          <w:rStyle w:val="normaltextrun"/>
          <w:rFonts w:cs="Arial"/>
        </w:rPr>
      </w:pPr>
      <w:r w:rsidRPr="00717687">
        <w:rPr>
          <w:rStyle w:val="normaltextrun"/>
          <w:rFonts w:cs="Arial"/>
        </w:rPr>
        <w:t xml:space="preserve">IHACPA is focused on ensuring that submissions are representative of the whole system and the community. IHACPA therefore seeks submissions </w:t>
      </w:r>
      <w:r w:rsidR="00550926" w:rsidRPr="00717687">
        <w:rPr>
          <w:rStyle w:val="normaltextrun"/>
          <w:rFonts w:cs="Arial"/>
        </w:rPr>
        <w:t>reflecting the diversity of stakeholders, including people receiving care, their representatives</w:t>
      </w:r>
      <w:r w:rsidR="00297655" w:rsidRPr="00717687">
        <w:rPr>
          <w:rStyle w:val="normaltextrun"/>
          <w:rFonts w:cs="Arial"/>
        </w:rPr>
        <w:t>,</w:t>
      </w:r>
      <w:r w:rsidR="00550926" w:rsidRPr="00717687">
        <w:rPr>
          <w:rStyle w:val="normaltextrun"/>
          <w:rFonts w:cs="Arial"/>
        </w:rPr>
        <w:t xml:space="preserve"> and a wide range of organisations, roles, backgrounds and perspectives. </w:t>
      </w:r>
    </w:p>
    <w:p w14:paraId="5362981D" w14:textId="79F7E502" w:rsidR="00550926" w:rsidRPr="00717687" w:rsidRDefault="00550926" w:rsidP="00550926">
      <w:pPr>
        <w:rPr>
          <w:rStyle w:val="normaltextrun"/>
          <w:rFonts w:cs="Arial"/>
        </w:rPr>
      </w:pPr>
      <w:r w:rsidRPr="00717687">
        <w:rPr>
          <w:rStyle w:val="normaltextrun"/>
          <w:rFonts w:cs="Arial"/>
        </w:rPr>
        <w:t xml:space="preserve">All submissions will be published on </w:t>
      </w:r>
      <w:r w:rsidR="00023EEA" w:rsidRPr="00717687">
        <w:rPr>
          <w:rStyle w:val="normaltextrun"/>
          <w:rFonts w:cs="Arial"/>
        </w:rPr>
        <w:t xml:space="preserve">the </w:t>
      </w:r>
      <w:r w:rsidRPr="00717687">
        <w:rPr>
          <w:rStyle w:val="normaltextrun"/>
          <w:rFonts w:cs="Arial"/>
        </w:rPr>
        <w:t>IHACPA website</w:t>
      </w:r>
      <w:r w:rsidR="7233D537" w:rsidRPr="00717687">
        <w:rPr>
          <w:rStyle w:val="normaltextrun"/>
          <w:rFonts w:cs="Arial"/>
        </w:rPr>
        <w:t>,</w:t>
      </w:r>
      <w:r w:rsidRPr="00717687">
        <w:rPr>
          <w:rStyle w:val="normaltextrun"/>
          <w:rFonts w:cs="Arial"/>
        </w:rPr>
        <w:t xml:space="preserve"> unless respondents specifically identify any sections that they believe should be kept confidential due to commercial or other reasons.</w:t>
      </w:r>
    </w:p>
    <w:p w14:paraId="36196DD2" w14:textId="2D5378F5" w:rsidR="00B719B1" w:rsidRPr="00717687" w:rsidRDefault="00B91BC4" w:rsidP="00550926">
      <w:pPr>
        <w:rPr>
          <w:rStyle w:val="normaltextrun"/>
          <w:rFonts w:cs="Arial"/>
        </w:rPr>
      </w:pPr>
      <w:r w:rsidRPr="00717687">
        <w:rPr>
          <w:rStyle w:val="normaltextrun"/>
          <w:rFonts w:cs="Arial"/>
        </w:rPr>
        <w:t>A consultation report consolidating stakeholder feedback will be published in early 2024.</w:t>
      </w:r>
    </w:p>
    <w:tbl>
      <w:tblPr>
        <w:tblStyle w:val="TableGrid"/>
        <w:tblpPr w:leftFromText="180" w:rightFromText="180" w:vertAnchor="text" w:horzAnchor="page" w:tblpX="6459" w:tblpY="77"/>
        <w:tblW w:w="53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Have your say box"/>
        <w:tblDescription w:val="Submissions close at 5pm AEDT on 14 October 2022.&#10;Submissions can be:&#10;o Completed via the online questionnaire&#10;o Emailed to submissions.ihacpa@ihacpa.gov.au&#10;o Mailed to:&#10;PO Box 483&#10;Darlinghurst NSW 1300&#10;• All submissions will be published on the IHACPA website unless respondents specifically identify sections that they believe should be kept confidential due to commercial or other reasons.&#10;• The Pricing Framework for Australian Aged Care Services 2023–24 will be published in early 2023.&#10;Enquiries&#10;• Enquiries related to this consultation process should be sent to: submissions.ihacpa@ihacpa.gov.au"/>
      </w:tblPr>
      <w:tblGrid>
        <w:gridCol w:w="4462"/>
      </w:tblGrid>
      <w:tr w:rsidR="00B91BC4" w14:paraId="5BF33F51" w14:textId="77777777" w:rsidTr="00B91BC4">
        <w:trPr>
          <w:trHeight w:val="4508"/>
        </w:trPr>
        <w:tc>
          <w:tcPr>
            <w:tcW w:w="5000" w:type="pct"/>
            <w:shd w:val="clear" w:color="auto" w:fill="FAFAFA"/>
          </w:tcPr>
          <w:p w14:paraId="1C3AD939" w14:textId="77777777" w:rsidR="00B91BC4" w:rsidRPr="00C91E95" w:rsidRDefault="00B91BC4" w:rsidP="00B91BC4">
            <w:pPr>
              <w:pStyle w:val="Heading4"/>
              <w:framePr w:hSpace="0" w:wrap="auto" w:vAnchor="margin" w:hAnchor="text" w:yAlign="inline"/>
              <w:outlineLvl w:val="3"/>
            </w:pPr>
            <w:r w:rsidRPr="00C91E95">
              <w:rPr>
                <w:noProof/>
              </w:rPr>
              <w:drawing>
                <wp:anchor distT="0" distB="0" distL="114300" distR="114300" simplePos="0" relativeHeight="251723776" behindDoc="0" locked="0" layoutInCell="1" allowOverlap="1" wp14:anchorId="1DD0E19E" wp14:editId="716C200B">
                  <wp:simplePos x="0" y="0"/>
                  <wp:positionH relativeFrom="column">
                    <wp:posOffset>2540</wp:posOffset>
                  </wp:positionH>
                  <wp:positionV relativeFrom="paragraph">
                    <wp:posOffset>108362</wp:posOffset>
                  </wp:positionV>
                  <wp:extent cx="209550" cy="203200"/>
                  <wp:effectExtent l="0" t="0" r="0" b="6350"/>
                  <wp:wrapThrough wrapText="bothSides">
                    <wp:wrapPolygon edited="0">
                      <wp:start x="0" y="0"/>
                      <wp:lineTo x="0" y="20250"/>
                      <wp:lineTo x="19636" y="20250"/>
                      <wp:lineTo x="19636" y="0"/>
                      <wp:lineTo x="0" y="0"/>
                    </wp:wrapPolygon>
                  </wp:wrapThrough>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anchor>
              </w:drawing>
            </w:r>
            <w:r w:rsidRPr="00C91E95">
              <w:t>Have your say</w:t>
            </w:r>
          </w:p>
          <w:p w14:paraId="18AC15A8" w14:textId="77777777" w:rsidR="00B91BC4" w:rsidRPr="00717687" w:rsidRDefault="00B91BC4" w:rsidP="00B91BC4">
            <w:pPr>
              <w:pStyle w:val="Bullets"/>
              <w:framePr w:hSpace="0" w:wrap="auto" w:vAnchor="margin" w:hAnchor="text" w:xAlign="left" w:yAlign="inline"/>
            </w:pPr>
            <w:r w:rsidRPr="00717687">
              <w:t xml:space="preserve">Submissions close at 5:00pm AEST on </w:t>
            </w:r>
          </w:p>
          <w:p w14:paraId="1CC79F7B" w14:textId="5D2A5173" w:rsidR="00B91BC4" w:rsidRPr="00717687" w:rsidRDefault="00EF3070" w:rsidP="00B91BC4">
            <w:pPr>
              <w:pStyle w:val="Bullets"/>
              <w:framePr w:hSpace="0" w:wrap="auto" w:vAnchor="margin" w:hAnchor="text" w:xAlign="left" w:yAlign="inline"/>
              <w:numPr>
                <w:ilvl w:val="0"/>
                <w:numId w:val="0"/>
              </w:numPr>
              <w:ind w:left="283"/>
            </w:pPr>
            <w:r>
              <w:t>31</w:t>
            </w:r>
            <w:r w:rsidR="00B91BC4" w:rsidRPr="00717687">
              <w:t xml:space="preserve"> August 2023</w:t>
            </w:r>
          </w:p>
          <w:p w14:paraId="313DF62B" w14:textId="77777777" w:rsidR="00B91BC4" w:rsidRPr="00717687" w:rsidRDefault="00B91BC4" w:rsidP="00B91BC4">
            <w:pPr>
              <w:pStyle w:val="Bullets"/>
              <w:framePr w:hSpace="0" w:wrap="auto" w:vAnchor="margin" w:hAnchor="text" w:xAlign="left" w:yAlign="inline"/>
            </w:pPr>
            <w:r w:rsidRPr="00717687">
              <w:t>Submissions can be:</w:t>
            </w:r>
          </w:p>
          <w:p w14:paraId="3119AA36" w14:textId="3B839C9E" w:rsidR="00B91BC4" w:rsidRPr="00C91E95" w:rsidRDefault="00297655" w:rsidP="00B91BC4">
            <w:pPr>
              <w:pStyle w:val="BulletL2"/>
              <w:numPr>
                <w:ilvl w:val="0"/>
                <w:numId w:val="51"/>
              </w:numPr>
              <w:rPr>
                <w:sz w:val="20"/>
                <w:szCs w:val="20"/>
              </w:rPr>
            </w:pPr>
            <w:r w:rsidRPr="00717687">
              <w:rPr>
                <w:sz w:val="20"/>
                <w:szCs w:val="20"/>
              </w:rPr>
              <w:t>com</w:t>
            </w:r>
            <w:r w:rsidR="00B91BC4" w:rsidRPr="00717687">
              <w:rPr>
                <w:sz w:val="20"/>
                <w:szCs w:val="20"/>
              </w:rPr>
              <w:t xml:space="preserve">pleted via the </w:t>
            </w:r>
            <w:hyperlink r:id="rId46" w:history="1">
              <w:r w:rsidR="00366303" w:rsidRPr="00C91E95">
                <w:rPr>
                  <w:rStyle w:val="Hyperlink"/>
                  <w:sz w:val="20"/>
                  <w:szCs w:val="20"/>
                </w:rPr>
                <w:t xml:space="preserve">online </w:t>
              </w:r>
              <w:r w:rsidR="00366303">
                <w:rPr>
                  <w:rStyle w:val="Hyperlink"/>
                  <w:sz w:val="20"/>
                  <w:szCs w:val="20"/>
                </w:rPr>
                <w:t>submission</w:t>
              </w:r>
            </w:hyperlink>
            <w:r w:rsidR="00366303">
              <w:rPr>
                <w:rStyle w:val="Hyperlink"/>
                <w:sz w:val="20"/>
                <w:szCs w:val="20"/>
              </w:rPr>
              <w:t xml:space="preserve"> form</w:t>
            </w:r>
          </w:p>
          <w:p w14:paraId="42D65D05" w14:textId="471B7EE0" w:rsidR="00366303" w:rsidRDefault="00366303" w:rsidP="00B91BC4">
            <w:pPr>
              <w:pStyle w:val="BulletL2"/>
              <w:numPr>
                <w:ilvl w:val="0"/>
                <w:numId w:val="51"/>
              </w:numPr>
              <w:rPr>
                <w:sz w:val="20"/>
                <w:szCs w:val="20"/>
              </w:rPr>
            </w:pPr>
            <w:r>
              <w:rPr>
                <w:sz w:val="20"/>
                <w:szCs w:val="20"/>
              </w:rPr>
              <w:t xml:space="preserve">completed via the </w:t>
            </w:r>
            <w:r w:rsidR="00EF3070">
              <w:rPr>
                <w:sz w:val="20"/>
                <w:szCs w:val="20"/>
              </w:rPr>
              <w:t>downloadable</w:t>
            </w:r>
            <w:r>
              <w:rPr>
                <w:sz w:val="20"/>
                <w:szCs w:val="20"/>
              </w:rPr>
              <w:t xml:space="preserve"> </w:t>
            </w:r>
            <w:r w:rsidR="00EF3070">
              <w:rPr>
                <w:sz w:val="20"/>
                <w:szCs w:val="20"/>
              </w:rPr>
              <w:t>submission form</w:t>
            </w:r>
          </w:p>
          <w:p w14:paraId="40A3A43F" w14:textId="10E1D5DE" w:rsidR="00B91BC4" w:rsidRPr="00C91E95" w:rsidRDefault="00297655" w:rsidP="00B91BC4">
            <w:pPr>
              <w:pStyle w:val="BulletL2"/>
              <w:numPr>
                <w:ilvl w:val="0"/>
                <w:numId w:val="51"/>
              </w:numPr>
              <w:rPr>
                <w:sz w:val="20"/>
                <w:szCs w:val="20"/>
              </w:rPr>
            </w:pPr>
            <w:r w:rsidRPr="00717687">
              <w:rPr>
                <w:sz w:val="20"/>
                <w:szCs w:val="20"/>
              </w:rPr>
              <w:t>ema</w:t>
            </w:r>
            <w:r w:rsidR="00B91BC4" w:rsidRPr="00717687">
              <w:rPr>
                <w:sz w:val="20"/>
                <w:szCs w:val="20"/>
              </w:rPr>
              <w:t xml:space="preserve">iled to </w:t>
            </w:r>
            <w:hyperlink r:id="rId47" w:history="1">
              <w:r w:rsidR="00B91BC4" w:rsidRPr="00C91E95">
                <w:rPr>
                  <w:rStyle w:val="Hyperlink"/>
                  <w:sz w:val="20"/>
                  <w:szCs w:val="20"/>
                </w:rPr>
                <w:t>submissions.ihacpa@ihacpa.gov.au</w:t>
              </w:r>
            </w:hyperlink>
          </w:p>
          <w:p w14:paraId="60E0DB6D" w14:textId="303A0383" w:rsidR="00B91BC4" w:rsidRPr="00717687" w:rsidRDefault="00297655" w:rsidP="00B91BC4">
            <w:pPr>
              <w:pStyle w:val="BulletL2"/>
              <w:numPr>
                <w:ilvl w:val="0"/>
                <w:numId w:val="51"/>
              </w:numPr>
              <w:rPr>
                <w:sz w:val="20"/>
                <w:szCs w:val="20"/>
              </w:rPr>
            </w:pPr>
            <w:r w:rsidRPr="00717687">
              <w:rPr>
                <w:sz w:val="20"/>
                <w:szCs w:val="20"/>
              </w:rPr>
              <w:t>mail</w:t>
            </w:r>
            <w:r w:rsidR="00B91BC4" w:rsidRPr="00717687">
              <w:rPr>
                <w:sz w:val="20"/>
                <w:szCs w:val="20"/>
              </w:rPr>
              <w:t>ed to:</w:t>
            </w:r>
            <w:r w:rsidR="00B91BC4" w:rsidRPr="00717687">
              <w:rPr>
                <w:sz w:val="20"/>
                <w:szCs w:val="20"/>
              </w:rPr>
              <w:br/>
              <w:t>PO Box 483</w:t>
            </w:r>
            <w:r w:rsidR="00B91BC4" w:rsidRPr="00717687">
              <w:rPr>
                <w:sz w:val="20"/>
                <w:szCs w:val="20"/>
              </w:rPr>
              <w:br/>
              <w:t>Darlinghurst NSW 1300</w:t>
            </w:r>
          </w:p>
          <w:p w14:paraId="2D4EDCEF" w14:textId="77777777" w:rsidR="00B91BC4" w:rsidRPr="00717687" w:rsidRDefault="00B91BC4" w:rsidP="00896386">
            <w:pPr>
              <w:pStyle w:val="Bullets"/>
              <w:framePr w:hSpace="0" w:wrap="auto" w:vAnchor="margin" w:hAnchor="text" w:xAlign="left" w:yAlign="inline"/>
            </w:pPr>
            <w:r w:rsidRPr="00717687">
              <w:t>All submissions will be published on the </w:t>
            </w:r>
            <w:hyperlink r:id="rId48">
              <w:r w:rsidRPr="00C91E95">
                <w:rPr>
                  <w:rStyle w:val="Hyperlink"/>
                </w:rPr>
                <w:t>IHACPA website</w:t>
              </w:r>
            </w:hyperlink>
            <w:r w:rsidRPr="00717687">
              <w:t>, unless respondents specifically identify sections that they believe should be kept confidential due to commercial or other reasons</w:t>
            </w:r>
          </w:p>
          <w:p w14:paraId="2F37DBEF" w14:textId="77777777" w:rsidR="009E7CE8" w:rsidRDefault="00B91BC4" w:rsidP="00E85BFD">
            <w:pPr>
              <w:pStyle w:val="Bullets"/>
              <w:framePr w:hSpace="0" w:wrap="auto" w:vAnchor="margin" w:hAnchor="text" w:xAlign="left" w:yAlign="inline"/>
              <w:spacing w:before="0" w:after="0"/>
              <w:ind w:left="284"/>
            </w:pPr>
            <w:r w:rsidRPr="00717687">
              <w:t xml:space="preserve">The Pricing Framework for Australian </w:t>
            </w:r>
            <w:r w:rsidR="00A43111">
              <w:t xml:space="preserve">Residential </w:t>
            </w:r>
            <w:r w:rsidRPr="00717687">
              <w:t xml:space="preserve">Aged Care Services </w:t>
            </w:r>
          </w:p>
          <w:p w14:paraId="457E8BB9" w14:textId="1845220C" w:rsidR="00B91BC4" w:rsidRPr="00717687" w:rsidRDefault="00B91BC4" w:rsidP="00896386">
            <w:pPr>
              <w:pStyle w:val="Bullets"/>
              <w:framePr w:hSpace="0" w:wrap="auto" w:vAnchor="margin" w:hAnchor="text" w:xAlign="left" w:yAlign="inline"/>
              <w:numPr>
                <w:ilvl w:val="0"/>
                <w:numId w:val="0"/>
              </w:numPr>
              <w:spacing w:before="0" w:after="0"/>
              <w:ind w:left="284"/>
            </w:pPr>
            <w:r w:rsidRPr="00717687">
              <w:t>2024</w:t>
            </w:r>
            <w:r w:rsidRPr="00717687">
              <w:rPr>
                <w:rFonts w:hint="cs"/>
              </w:rPr>
              <w:t>–</w:t>
            </w:r>
            <w:r w:rsidRPr="00717687">
              <w:t>25 will be published in early 2024.</w:t>
            </w:r>
          </w:p>
          <w:p w14:paraId="22C31C50" w14:textId="77777777" w:rsidR="00B91BC4" w:rsidRPr="00C91E95" w:rsidRDefault="00B91BC4" w:rsidP="00B91BC4">
            <w:pPr>
              <w:pStyle w:val="Heading4"/>
              <w:framePr w:hSpace="0" w:wrap="auto" w:vAnchor="margin" w:hAnchor="text" w:yAlign="inline"/>
              <w:outlineLvl w:val="3"/>
              <w:rPr>
                <w:szCs w:val="20"/>
              </w:rPr>
            </w:pPr>
            <w:r w:rsidRPr="00C91E95">
              <w:rPr>
                <w:noProof/>
                <w:szCs w:val="20"/>
              </w:rPr>
              <w:drawing>
                <wp:anchor distT="0" distB="0" distL="114300" distR="114300" simplePos="0" relativeHeight="251724800" behindDoc="0" locked="0" layoutInCell="1" allowOverlap="1" wp14:anchorId="5C16484C" wp14:editId="32C113FE">
                  <wp:simplePos x="0" y="0"/>
                  <wp:positionH relativeFrom="column">
                    <wp:posOffset>2540</wp:posOffset>
                  </wp:positionH>
                  <wp:positionV relativeFrom="paragraph">
                    <wp:posOffset>94869</wp:posOffset>
                  </wp:positionV>
                  <wp:extent cx="209550" cy="203200"/>
                  <wp:effectExtent l="0" t="0" r="0" b="6350"/>
                  <wp:wrapThrough wrapText="bothSides">
                    <wp:wrapPolygon edited="0">
                      <wp:start x="0" y="0"/>
                      <wp:lineTo x="0" y="20250"/>
                      <wp:lineTo x="19636" y="20250"/>
                      <wp:lineTo x="19636" y="0"/>
                      <wp:lineTo x="0" y="0"/>
                    </wp:wrapPolygon>
                  </wp:wrapThrough>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anchor>
              </w:drawing>
            </w:r>
            <w:r w:rsidRPr="00C91E95">
              <w:rPr>
                <w:szCs w:val="20"/>
              </w:rPr>
              <w:t>Enquiries</w:t>
            </w:r>
          </w:p>
          <w:p w14:paraId="3221F651" w14:textId="77777777" w:rsidR="00B91BC4" w:rsidRPr="00C91E95" w:rsidRDefault="00B91BC4" w:rsidP="00B91BC4">
            <w:pPr>
              <w:pStyle w:val="Bullets"/>
              <w:framePr w:hSpace="0" w:wrap="auto" w:vAnchor="margin" w:hAnchor="text" w:xAlign="left" w:yAlign="inline"/>
            </w:pPr>
            <w:r w:rsidRPr="00717687">
              <w:t xml:space="preserve">Enquiries related to this consultation process should be sent to: </w:t>
            </w:r>
            <w:hyperlink r:id="rId49">
              <w:r w:rsidRPr="00C91E95">
                <w:rPr>
                  <w:rStyle w:val="Hyperlink"/>
                  <w:rFonts w:cs="Arial"/>
                </w:rPr>
                <w:t>submissions.ihacpa@ihacpa.gov.au</w:t>
              </w:r>
            </w:hyperlink>
            <w:r w:rsidRPr="00C91E95">
              <w:t>.</w:t>
            </w:r>
          </w:p>
        </w:tc>
      </w:tr>
    </w:tbl>
    <w:p w14:paraId="16DBEEA1" w14:textId="298601DF" w:rsidR="00B719B1" w:rsidRDefault="00B719B1" w:rsidP="006C109B">
      <w:pPr>
        <w:rPr>
          <w:rStyle w:val="normaltextrun"/>
          <w:rFonts w:cs="Arial"/>
        </w:rPr>
      </w:pPr>
    </w:p>
    <w:p w14:paraId="516264BF" w14:textId="46BFE38E" w:rsidR="00B719B1" w:rsidRDefault="00B719B1" w:rsidP="006C109B">
      <w:pPr>
        <w:rPr>
          <w:rStyle w:val="normaltextrun"/>
          <w:rFonts w:cs="Arial"/>
        </w:rPr>
      </w:pPr>
    </w:p>
    <w:p w14:paraId="4A899534" w14:textId="1B2DC4D5" w:rsidR="00B719B1" w:rsidRDefault="00B719B1" w:rsidP="006C109B">
      <w:pPr>
        <w:rPr>
          <w:rStyle w:val="normaltextrun"/>
          <w:rFonts w:cs="Arial"/>
        </w:rPr>
      </w:pPr>
    </w:p>
    <w:p w14:paraId="45E4EA28" w14:textId="77777777" w:rsidR="00B719B1" w:rsidRDefault="00B719B1" w:rsidP="006C109B">
      <w:pPr>
        <w:rPr>
          <w:rStyle w:val="normaltextrun"/>
          <w:rFonts w:cs="Arial"/>
        </w:rPr>
      </w:pPr>
    </w:p>
    <w:p w14:paraId="7A9F04F9" w14:textId="77777777" w:rsidR="004A2836" w:rsidRDefault="004A2836" w:rsidP="004A2836">
      <w:pPr>
        <w:pStyle w:val="Body"/>
        <w:sectPr w:rsidR="004A2836" w:rsidSect="00AD603F">
          <w:headerReference w:type="even" r:id="rId50"/>
          <w:headerReference w:type="default" r:id="rId51"/>
          <w:headerReference w:type="first" r:id="rId52"/>
          <w:type w:val="continuous"/>
          <w:pgSz w:w="11906" w:h="16838" w:code="9"/>
          <w:pgMar w:top="1440" w:right="1440" w:bottom="1440" w:left="1440" w:header="708" w:footer="708" w:gutter="0"/>
          <w:cols w:num="2" w:space="708"/>
          <w:docGrid w:linePitch="360"/>
        </w:sectPr>
      </w:pPr>
    </w:p>
    <w:p w14:paraId="78699563" w14:textId="69F15914" w:rsidR="004A2836" w:rsidRPr="00050402" w:rsidRDefault="004A2836" w:rsidP="004A2836">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25472" behindDoc="0" locked="0" layoutInCell="1" allowOverlap="1" wp14:anchorId="022A0AC6" wp14:editId="1EFF0864">
            <wp:simplePos x="0" y="0"/>
            <wp:positionH relativeFrom="column">
              <wp:posOffset>-901700</wp:posOffset>
            </wp:positionH>
            <wp:positionV relativeFrom="paragraph">
              <wp:posOffset>-610235</wp:posOffset>
            </wp:positionV>
            <wp:extent cx="7548659" cy="5151755"/>
            <wp:effectExtent l="0" t="0" r="0" b="0"/>
            <wp:wrapNone/>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720"/>
          <w:szCs w:val="720"/>
        </w:rPr>
        <w:t>2</w:t>
      </w:r>
    </w:p>
    <w:p w14:paraId="0594DD19" w14:textId="0C4BC723" w:rsidR="004A2836" w:rsidRPr="00267F1F" w:rsidRDefault="004A2836" w:rsidP="004A2836">
      <w:pPr>
        <w:pStyle w:val="Heading1"/>
        <w:ind w:right="2930"/>
        <w:rPr>
          <w:color w:val="auto"/>
        </w:rPr>
      </w:pPr>
      <w:bookmarkStart w:id="29" w:name="_Toc137552804"/>
      <w:r w:rsidRPr="00267F1F">
        <w:rPr>
          <w:color w:val="auto"/>
        </w:rPr>
        <w:t xml:space="preserve">Principles for </w:t>
      </w:r>
      <w:proofErr w:type="gramStart"/>
      <w:r w:rsidRPr="00267F1F">
        <w:rPr>
          <w:color w:val="auto"/>
        </w:rPr>
        <w:t>activity based</w:t>
      </w:r>
      <w:proofErr w:type="gramEnd"/>
      <w:r w:rsidRPr="00267F1F">
        <w:rPr>
          <w:color w:val="auto"/>
        </w:rPr>
        <w:t xml:space="preserve"> funding in aged care</w:t>
      </w:r>
      <w:bookmarkEnd w:id="29"/>
    </w:p>
    <w:p w14:paraId="3AF2AB60" w14:textId="77777777" w:rsidR="004A2836" w:rsidRDefault="004A2836" w:rsidP="004A2836">
      <w:pPr>
        <w:sectPr w:rsidR="004A2836" w:rsidSect="00C9543A">
          <w:headerReference w:type="even" r:id="rId53"/>
          <w:headerReference w:type="default" r:id="rId54"/>
          <w:headerReference w:type="first" r:id="rId55"/>
          <w:pgSz w:w="11906" w:h="16838" w:code="9"/>
          <w:pgMar w:top="851" w:right="1440" w:bottom="1440" w:left="1440" w:header="708" w:footer="708" w:gutter="0"/>
          <w:cols w:space="708"/>
          <w:docGrid w:linePitch="360"/>
        </w:sectPr>
      </w:pPr>
    </w:p>
    <w:p w14:paraId="0AA54A8F" w14:textId="525C9644" w:rsidR="004A2836" w:rsidRDefault="004A2836" w:rsidP="004A2836">
      <w:pPr>
        <w:pStyle w:val="Body"/>
        <w:spacing w:after="0"/>
        <w:sectPr w:rsidR="004A2836" w:rsidSect="00F4029B">
          <w:headerReference w:type="even" r:id="rId56"/>
          <w:headerReference w:type="default" r:id="rId57"/>
          <w:headerReference w:type="first" r:id="rId58"/>
          <w:pgSz w:w="11906" w:h="16838" w:code="9"/>
          <w:pgMar w:top="2410" w:right="1440" w:bottom="1440" w:left="1440" w:header="568" w:footer="708" w:gutter="0"/>
          <w:cols w:space="708"/>
          <w:docGrid w:linePitch="360"/>
        </w:sectPr>
      </w:pPr>
    </w:p>
    <w:bookmarkEnd w:id="13"/>
    <w:bookmarkEnd w:id="14"/>
    <w:p w14:paraId="416B005C" w14:textId="77777777" w:rsidR="008368E0" w:rsidRPr="00717687" w:rsidRDefault="006043C5" w:rsidP="006043C5">
      <w:r w:rsidRPr="00717687">
        <w:t xml:space="preserve">The decisions made by the Independent Health and Aged Care Pricing Authority (IHACPA) in developing pricing advice for residential aged care and residential respite care services are evidence-based and use the latest available cost and activity data. </w:t>
      </w:r>
    </w:p>
    <w:p w14:paraId="0DBA944A" w14:textId="3D5B684C" w:rsidR="006043C5" w:rsidRPr="00717687" w:rsidRDefault="00963C8C" w:rsidP="006043C5">
      <w:r w:rsidRPr="00717687">
        <w:t>When</w:t>
      </w:r>
      <w:r w:rsidR="006043C5" w:rsidRPr="00717687">
        <w:t xml:space="preserve"> providing </w:t>
      </w:r>
      <w:r w:rsidR="008368E0" w:rsidRPr="00717687">
        <w:t xml:space="preserve">pricing </w:t>
      </w:r>
      <w:r w:rsidR="006043C5" w:rsidRPr="00717687">
        <w:t>advice IHACPA balances a range of policy objectives</w:t>
      </w:r>
      <w:r w:rsidR="007F0FBB" w:rsidRPr="00717687">
        <w:t xml:space="preserve">. Objectives </w:t>
      </w:r>
      <w:r w:rsidR="006043C5" w:rsidRPr="00717687">
        <w:t>includ</w:t>
      </w:r>
      <w:r w:rsidR="007F0FBB" w:rsidRPr="00717687">
        <w:t>e</w:t>
      </w:r>
      <w:r w:rsidR="006043C5" w:rsidRPr="00717687">
        <w:t xml:space="preserve"> promoting the </w:t>
      </w:r>
      <w:r w:rsidR="00EA4BD2" w:rsidRPr="00717687">
        <w:t xml:space="preserve">   </w:t>
      </w:r>
      <w:r w:rsidR="006043C5" w:rsidRPr="00717687">
        <w:t>person</w:t>
      </w:r>
      <w:r w:rsidR="54E3B986" w:rsidRPr="00717687">
        <w:t>-</w:t>
      </w:r>
      <w:r w:rsidR="00023EEA" w:rsidRPr="00717687">
        <w:t>centred</w:t>
      </w:r>
      <w:r w:rsidR="006043C5" w:rsidRPr="00717687">
        <w:t xml:space="preserve">, quality care expected by the </w:t>
      </w:r>
      <w:r w:rsidR="62159AFD" w:rsidRPr="00717687">
        <w:rPr>
          <w:rFonts w:eastAsia="Arial" w:cs="Arial"/>
          <w:lang w:val="en-PH"/>
        </w:rPr>
        <w:t>community in line with the Aged Care Quality Standards</w:t>
      </w:r>
      <w:r w:rsidR="006043C5" w:rsidRPr="00717687">
        <w:t>, whil</w:t>
      </w:r>
      <w:r w:rsidRPr="00717687">
        <w:t>e</w:t>
      </w:r>
      <w:r w:rsidR="006043C5" w:rsidRPr="00717687">
        <w:t xml:space="preserve"> supporting improvements in the sustainability and efficiency of the aged care system over time. </w:t>
      </w:r>
      <w:r w:rsidR="000825C5" w:rsidRPr="00717687">
        <w:t>This is the overarching framework within which IHACPA will make its policy decisions and provid</w:t>
      </w:r>
      <w:r w:rsidR="55EC56DC" w:rsidRPr="00717687">
        <w:t>e</w:t>
      </w:r>
      <w:r w:rsidR="000825C5" w:rsidRPr="00717687">
        <w:t xml:space="preserve"> its pricing advice.</w:t>
      </w:r>
    </w:p>
    <w:p w14:paraId="71B47BE5" w14:textId="4F8F6ADD" w:rsidR="006043C5" w:rsidRPr="00717687" w:rsidRDefault="006043C5" w:rsidP="006043C5">
      <w:r w:rsidRPr="00717687">
        <w:t xml:space="preserve">The residential aged care pricing principles, outlined in </w:t>
      </w:r>
      <w:r w:rsidRPr="00717687">
        <w:rPr>
          <w:b/>
          <w:bCs/>
        </w:rPr>
        <w:t>Figure 1</w:t>
      </w:r>
      <w:r w:rsidRPr="00717687">
        <w:t xml:space="preserve">, signal IHACPA’s commitment to transparency and accountability in making its policy decisions. The residential aged care pricing principles comprise </w:t>
      </w:r>
      <w:r w:rsidR="00963C8C" w:rsidRPr="00717687">
        <w:t>‘</w:t>
      </w:r>
      <w:r w:rsidRPr="00717687">
        <w:t>overarching’, ‘process’ and ‘system design’ principles.</w:t>
      </w:r>
    </w:p>
    <w:p w14:paraId="2FC90878" w14:textId="1C47D444" w:rsidR="008368E0" w:rsidRPr="00717687" w:rsidRDefault="005A46C5" w:rsidP="006043C5">
      <w:r w:rsidRPr="00717687">
        <w:t xml:space="preserve">The residential aged care pricing </w:t>
      </w:r>
      <w:r w:rsidR="001B348E" w:rsidRPr="00717687">
        <w:t>principles</w:t>
      </w:r>
      <w:r w:rsidRPr="00717687">
        <w:t xml:space="preserve"> do not have a hierarchy and are used to inform decision making where IHACPA is required to exercise policy judgement in undertaking its functions relating to residential aged care costing and pricing. </w:t>
      </w:r>
    </w:p>
    <w:p w14:paraId="3B947675" w14:textId="62A8FF9B" w:rsidR="008E40C8" w:rsidRPr="00717687" w:rsidRDefault="005A46C5" w:rsidP="006043C5">
      <w:r w:rsidRPr="00717687">
        <w:t xml:space="preserve">IHACPA will seek to provide clarity on how the principles have been considered and balanced to support residential aged care and residential respite care costing and pricing </w:t>
      </w:r>
      <w:r w:rsidR="000825C5" w:rsidRPr="00717687">
        <w:t xml:space="preserve">development. </w:t>
      </w:r>
    </w:p>
    <w:p w14:paraId="389B80D0" w14:textId="0A428FD9" w:rsidR="006043C5" w:rsidRPr="00717687" w:rsidRDefault="000825C5" w:rsidP="006043C5">
      <w:r w:rsidRPr="00717687">
        <w:t>Following</w:t>
      </w:r>
      <w:r w:rsidR="005A46C5" w:rsidRPr="00717687">
        <w:t xml:space="preserve"> the </w:t>
      </w:r>
      <w:r w:rsidR="00F43D17" w:rsidRPr="00717687">
        <w:rPr>
          <w:i/>
          <w:iCs/>
        </w:rPr>
        <w:t xml:space="preserve">Towards an Aged Care </w:t>
      </w:r>
      <w:r w:rsidR="00FA2318" w:rsidRPr="00717687">
        <w:rPr>
          <w:i/>
          <w:iCs/>
        </w:rPr>
        <w:t xml:space="preserve">Pricing Framework </w:t>
      </w:r>
      <w:r w:rsidR="00BE0839" w:rsidRPr="00717687">
        <w:rPr>
          <w:i/>
          <w:iCs/>
        </w:rPr>
        <w:t>Consultation Paper</w:t>
      </w:r>
      <w:r w:rsidR="002D41FD" w:rsidRPr="00717687">
        <w:t xml:space="preserve"> released</w:t>
      </w:r>
      <w:r w:rsidR="00FF4C4C" w:rsidRPr="00717687">
        <w:t xml:space="preserve"> in 2022</w:t>
      </w:r>
      <w:r w:rsidR="241060BF" w:rsidRPr="00717687">
        <w:t>,</w:t>
      </w:r>
      <w:r w:rsidR="005A46C5" w:rsidRPr="00717687">
        <w:t xml:space="preserve"> </w:t>
      </w:r>
      <w:r w:rsidR="006043C5" w:rsidRPr="00717687">
        <w:t xml:space="preserve">IHACPA reviewed and updated the principles </w:t>
      </w:r>
      <w:r w:rsidR="005A46C5" w:rsidRPr="00717687">
        <w:t xml:space="preserve">in response to </w:t>
      </w:r>
      <w:r w:rsidR="006043C5" w:rsidRPr="00717687">
        <w:t xml:space="preserve">stakeholder feedback. IHACPA will continue to review the principles annually and make further amendments as needed, including refinements in response to regulatory reform. </w:t>
      </w:r>
    </w:p>
    <w:tbl>
      <w:tblPr>
        <w:tblStyle w:val="TableGrid"/>
        <w:tblpPr w:leftFromText="180" w:rightFromText="180" w:vertAnchor="text" w:horzAnchor="page" w:tblpX="6364" w:tblpY="167"/>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CA25E6" w:rsidRPr="006746C9" w14:paraId="22493DAB" w14:textId="77777777" w:rsidTr="00CB75AD">
        <w:trPr>
          <w:trHeight w:val="1466"/>
        </w:trPr>
        <w:tc>
          <w:tcPr>
            <w:tcW w:w="5000" w:type="pct"/>
            <w:tcBorders>
              <w:left w:val="nil"/>
            </w:tcBorders>
            <w:shd w:val="clear" w:color="auto" w:fill="E6F4F9"/>
          </w:tcPr>
          <w:p w14:paraId="37DE3F10" w14:textId="77777777" w:rsidR="00CA25E6" w:rsidRPr="006746C9" w:rsidRDefault="00CA25E6" w:rsidP="00680607">
            <w:pPr>
              <w:pStyle w:val="Heading4"/>
              <w:framePr w:hSpace="0" w:wrap="auto" w:vAnchor="margin" w:hAnchor="text" w:yAlign="inline"/>
              <w:outlineLvl w:val="3"/>
              <w:rPr>
                <w:color w:val="000000" w:themeColor="text1"/>
              </w:rPr>
            </w:pPr>
            <w:r w:rsidRPr="006746C9">
              <w:rPr>
                <w:noProof/>
                <w:color w:val="000000" w:themeColor="text1"/>
              </w:rPr>
              <w:drawing>
                <wp:anchor distT="0" distB="0" distL="114300" distR="114300" simplePos="0" relativeHeight="251679744" behindDoc="0" locked="0" layoutInCell="1" allowOverlap="1" wp14:anchorId="6ECF7B9F" wp14:editId="28C66CF0">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p>
          <w:p w14:paraId="6426098C" w14:textId="1FB28A57" w:rsidR="00CA25E6" w:rsidRPr="006746C9" w:rsidRDefault="00CA25E6" w:rsidP="00CB75AD">
            <w:pPr>
              <w:pStyle w:val="Bullets"/>
              <w:framePr w:hSpace="0" w:wrap="auto" w:vAnchor="margin" w:hAnchor="text" w:xAlign="left" w:yAlign="inline"/>
            </w:pPr>
            <w:bookmarkStart w:id="30" w:name="_Hlk138192064"/>
            <w:r w:rsidRPr="00717687">
              <w:t>What, if any, changes do you suggest IHACPA consider for the residential aged care pricing principles?</w:t>
            </w:r>
            <w:bookmarkEnd w:id="30"/>
          </w:p>
        </w:tc>
      </w:tr>
    </w:tbl>
    <w:p w14:paraId="523FEA85" w14:textId="77777777" w:rsidR="00881509" w:rsidRDefault="00881509" w:rsidP="006043C5"/>
    <w:p w14:paraId="23992470" w14:textId="77777777" w:rsidR="006043C5" w:rsidRDefault="006043C5" w:rsidP="006043C5">
      <w:pPr>
        <w:pStyle w:val="BodyText"/>
      </w:pPr>
    </w:p>
    <w:p w14:paraId="6D758245" w14:textId="0EC2CB4F" w:rsidR="006043C5" w:rsidRDefault="006043C5" w:rsidP="006043C5"/>
    <w:p w14:paraId="195379D9" w14:textId="32763CD2" w:rsidR="00881509" w:rsidRDefault="00881509" w:rsidP="006043C5"/>
    <w:p w14:paraId="7D080699" w14:textId="77777777" w:rsidR="00881509" w:rsidRDefault="00881509" w:rsidP="006043C5"/>
    <w:p w14:paraId="6A4CD4F1" w14:textId="77777777" w:rsidR="00B53A61" w:rsidRDefault="00B53A61" w:rsidP="000C07E4">
      <w:pPr>
        <w:pStyle w:val="Body"/>
      </w:pPr>
    </w:p>
    <w:p w14:paraId="093589EB" w14:textId="7C9E91D0" w:rsidR="00B53A61" w:rsidRDefault="00B53A61" w:rsidP="000C07E4">
      <w:pPr>
        <w:pStyle w:val="Body"/>
        <w:sectPr w:rsidR="00B53A61" w:rsidSect="000C07E4">
          <w:headerReference w:type="even" r:id="rId61"/>
          <w:headerReference w:type="default" r:id="rId62"/>
          <w:footerReference w:type="default" r:id="rId63"/>
          <w:headerReference w:type="first" r:id="rId64"/>
          <w:type w:val="continuous"/>
          <w:pgSz w:w="11906" w:h="16838" w:code="9"/>
          <w:pgMar w:top="3544" w:right="1440" w:bottom="1440" w:left="1440" w:header="708" w:footer="708" w:gutter="0"/>
          <w:cols w:num="2" w:space="708"/>
          <w:docGrid w:linePitch="360"/>
        </w:sectPr>
      </w:pPr>
    </w:p>
    <w:p w14:paraId="26F4C267" w14:textId="61FE3F35" w:rsidR="000C07E4" w:rsidRPr="00717687" w:rsidRDefault="000C07E4" w:rsidP="00CB75AD">
      <w:r>
        <w:br w:type="page"/>
      </w:r>
      <w:r w:rsidRPr="00717687">
        <w:rPr>
          <w:b/>
          <w:bCs/>
        </w:rPr>
        <w:lastRenderedPageBreak/>
        <w:t xml:space="preserve">Figure 1: The </w:t>
      </w:r>
      <w:r w:rsidR="00963C8C" w:rsidRPr="00717687">
        <w:rPr>
          <w:b/>
          <w:bCs/>
        </w:rPr>
        <w:t>residential aged care pricing principles</w:t>
      </w:r>
      <w:r w:rsidR="00963C8C" w:rsidRPr="00717687" w:rsidDel="00963C8C">
        <w:rPr>
          <w:b/>
          <w:bCs/>
        </w:rPr>
        <w:t xml:space="preserve"> </w:t>
      </w:r>
    </w:p>
    <w:p w14:paraId="16D2AD3B" w14:textId="77777777" w:rsidR="000C07E4" w:rsidRPr="00717687" w:rsidRDefault="000C07E4" w:rsidP="00C03B42">
      <w:pPr>
        <w:pStyle w:val="FigureTableHeading"/>
        <w:spacing w:before="120"/>
        <w:rPr>
          <w:color w:val="auto"/>
        </w:rPr>
      </w:pPr>
    </w:p>
    <w:tbl>
      <w:tblPr>
        <w:tblStyle w:val="TableGrid"/>
        <w:tblW w:w="4988" w:type="pct"/>
        <w:tblBorders>
          <w:top w:val="none" w:sz="0" w:space="0" w:color="auto"/>
          <w:left w:val="none" w:sz="0" w:space="0" w:color="auto"/>
          <w:bottom w:val="none" w:sz="0" w:space="0" w:color="auto"/>
          <w:right w:val="none" w:sz="0" w:space="0" w:color="auto"/>
          <w:insideV w:val="none" w:sz="0" w:space="0" w:color="auto"/>
        </w:tblBorders>
        <w:shd w:val="clear" w:color="auto" w:fill="F2F2F2" w:themeFill="background1" w:themeFillShade="F2"/>
        <w:tblCellMar>
          <w:left w:w="170" w:type="dxa"/>
        </w:tblCellMar>
        <w:tblLook w:val="04A0" w:firstRow="1" w:lastRow="0" w:firstColumn="1" w:lastColumn="0" w:noHBand="0" w:noVBand="1"/>
        <w:tblCaption w:val="Figure 1: The Pricing Guidelines"/>
        <w:tblDescription w:val="Overarching Guidelines that articulate the policy intent behind the introduction of funding reform for public hospital services comprising ABF and block grant funding:&#10;Timely-quality care: Funding should support timely access to quality health services.&#10;Efficiency: ABF should improve the value of the public investment in hospital care and ensure a sustainable and efficient network of public hospital services.&#10;Fairness: ABF payments should be fair and equitable, including being based on the same price for the same service across public, private or not-for-profit providers of public hospital services and recognise the legitimate and unavoidable costs faced by some providers of public hospital services.&#10;Maintaining agreed roles and responsibilities of governments determined by the National Health Reform Agreement: Funding design should recognise the complementary responsibilities of each level of government in funding health services.&#10;Process Guidelines to guide the implementation of ABF and block grant funding arrangements:&#10;Transparency: All steps in the determination of ABF and block grant funding should be clear and transparent.&#10;Administrative ease: Funding arrangements should not unduly increase the administrative burden on hospitals and system managers.&#10;Stability: The payment relativities for ABF are consistent over time.&#10;Evidence-based: Funding should be based on best available information.&#10;System Design Guidelines to inform the options for design of ABF and block grant funding arrangements:&#10;Fostering clinical innovation: Pricing of public hospital services should respond in a timely way to introduction of evidence-based, effective new technology and innovations in the models of care that improve patient outcomes.&#10;Promoting value: Pricing supports innovative and alternative funding solutions that deliver efficient, high quality, patient centred care.&#10;Promoting harmonisation: Pricing should facilitate best practice provision of appropriate site of care.&#10;Minimising undesirable and inadvertent consequences: Funding design should minimise susceptibility to gaming, inappropriate rewards and perverse incentives.&#10;ABF pre-eminence: ABF should be used for funding public hospital services wherever practicable and compatible with delivering value in both outcomes and cost.&#10;Single unit of measure and price equivalence: ABF pricing should support dynamic efficiency and changes to models of care with the ready transferability of funding between different care types and service streams through a single unit of measure and relative weights.&#10;Patient-based: Adjustments to the standard price should be based on patient-related rather than provider-related characteristics wherever practicable.&#10;Public-private neutrality: ABF pricing should ensure that payments a local hospital network (LHN) receives for a public patient should be equal to payments made for a LHN service for a private patient."/>
      </w:tblPr>
      <w:tblGrid>
        <w:gridCol w:w="4502"/>
        <w:gridCol w:w="4502"/>
      </w:tblGrid>
      <w:tr w:rsidR="00717687" w:rsidRPr="00717687" w14:paraId="040C4C78" w14:textId="77777777" w:rsidTr="00C03B42">
        <w:trPr>
          <w:trHeight w:val="12899"/>
        </w:trPr>
        <w:tc>
          <w:tcPr>
            <w:tcW w:w="2500" w:type="pct"/>
            <w:shd w:val="clear" w:color="auto" w:fill="F2F2F2" w:themeFill="background1" w:themeFillShade="F2"/>
          </w:tcPr>
          <w:p w14:paraId="2B4C72AC" w14:textId="77777777" w:rsidR="000C07E4" w:rsidRPr="00717687" w:rsidRDefault="000C07E4" w:rsidP="00932F95">
            <w:pPr>
              <w:pStyle w:val="BodyText"/>
              <w:keepLines/>
              <w:spacing w:after="120"/>
              <w:rPr>
                <w:rFonts w:cs="Arial"/>
                <w:b/>
                <w:bCs/>
                <w:color w:val="auto"/>
              </w:rPr>
            </w:pPr>
            <w:r w:rsidRPr="00717687">
              <w:rPr>
                <w:rFonts w:cs="Arial"/>
                <w:b/>
                <w:bCs/>
                <w:noProof/>
                <w:color w:val="auto"/>
                <w:lang w:eastAsia="en-AU" w:bidi="ar-SA"/>
              </w:rPr>
              <mc:AlternateContent>
                <mc:Choice Requires="wps">
                  <w:drawing>
                    <wp:anchor distT="0" distB="0" distL="114300" distR="114300" simplePos="0" relativeHeight="251629568" behindDoc="0" locked="0" layoutInCell="1" allowOverlap="1" wp14:anchorId="66DE45E6" wp14:editId="782C6C22">
                      <wp:simplePos x="0" y="0"/>
                      <wp:positionH relativeFrom="column">
                        <wp:posOffset>14604</wp:posOffset>
                      </wp:positionH>
                      <wp:positionV relativeFrom="paragraph">
                        <wp:posOffset>205105</wp:posOffset>
                      </wp:positionV>
                      <wp:extent cx="2543175" cy="0"/>
                      <wp:effectExtent l="0" t="0" r="0" b="0"/>
                      <wp:wrapNone/>
                      <wp:docPr id="62" name="Straight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C19AF" id="Straight Connector 62" o:spid="_x0000_s1026" alt="&quot;&quot;"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15pt,16.15pt" to="201.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" strokecolor="#0080c4 [3205]" strokeweight=".5pt">
                      <v:stroke joinstyle="miter"/>
                    </v:line>
                  </w:pict>
                </mc:Fallback>
              </mc:AlternateContent>
            </w:r>
          </w:p>
          <w:p w14:paraId="2ED7F9D7" w14:textId="4C0384FD" w:rsidR="000C07E4" w:rsidRPr="00424A14" w:rsidRDefault="000C07E4" w:rsidP="00C03B42">
            <w:pPr>
              <w:pStyle w:val="Body"/>
              <w:spacing w:before="120" w:after="60"/>
              <w:rPr>
                <w:sz w:val="20"/>
                <w:szCs w:val="20"/>
              </w:rPr>
            </w:pPr>
            <w:r w:rsidRPr="00424A14">
              <w:rPr>
                <w:b/>
                <w:bCs/>
                <w:sz w:val="20"/>
                <w:szCs w:val="20"/>
              </w:rPr>
              <w:t xml:space="preserve">Overarching </w:t>
            </w:r>
            <w:r w:rsidR="00D22607" w:rsidRPr="00424A14">
              <w:rPr>
                <w:b/>
                <w:bCs/>
                <w:sz w:val="20"/>
                <w:szCs w:val="20"/>
              </w:rPr>
              <w:t>p</w:t>
            </w:r>
            <w:r w:rsidR="00932F95" w:rsidRPr="00424A14">
              <w:rPr>
                <w:b/>
                <w:bCs/>
                <w:sz w:val="20"/>
                <w:szCs w:val="20"/>
              </w:rPr>
              <w:t>rinciples</w:t>
            </w:r>
            <w:r w:rsidRPr="00424A14">
              <w:rPr>
                <w:sz w:val="20"/>
                <w:szCs w:val="20"/>
              </w:rPr>
              <w:t> </w:t>
            </w:r>
            <w:r w:rsidR="00932F95" w:rsidRPr="00424A14">
              <w:rPr>
                <w:bCs/>
                <w:sz w:val="20"/>
                <w:szCs w:val="20"/>
              </w:rPr>
              <w:t>that articulate the policy intent behind the introduction of funding reform for aged care services:</w:t>
            </w:r>
          </w:p>
          <w:p w14:paraId="78C91258" w14:textId="408047E1" w:rsidR="00F967CA" w:rsidRPr="00424A14" w:rsidRDefault="00F967CA" w:rsidP="00680607">
            <w:pPr>
              <w:pStyle w:val="Bullets"/>
              <w:framePr w:wrap="around"/>
            </w:pPr>
            <w:bookmarkStart w:id="31" w:name="_Hlk138830961"/>
            <w:r w:rsidRPr="00424A14">
              <w:rPr>
                <w:b/>
              </w:rPr>
              <w:t>Access to care:</w:t>
            </w:r>
            <w:r w:rsidRPr="00424A14">
              <w:t xml:space="preserve"> Funding should support timely and equitable access to appropriate aged care services</w:t>
            </w:r>
            <w:r w:rsidR="000F26A9" w:rsidRPr="00424A14">
              <w:t>,</w:t>
            </w:r>
            <w:r w:rsidRPr="00424A14">
              <w:t xml:space="preserve"> for all those who require them</w:t>
            </w:r>
            <w:r w:rsidR="000F26A9" w:rsidRPr="00424A14">
              <w:t>.</w:t>
            </w:r>
          </w:p>
          <w:bookmarkEnd w:id="31"/>
          <w:p w14:paraId="54D1AC4F" w14:textId="77777777" w:rsidR="00F967CA" w:rsidRPr="00424A14" w:rsidRDefault="00F967CA" w:rsidP="00680607">
            <w:pPr>
              <w:pStyle w:val="Bullets"/>
              <w:framePr w:wrap="around"/>
            </w:pPr>
            <w:r w:rsidRPr="00424A14">
              <w:rPr>
                <w:b/>
              </w:rPr>
              <w:t>Quality care:</w:t>
            </w:r>
            <w:r w:rsidRPr="00424A14">
              <w:t xml:space="preserve"> Care should meet the Aged Care Quality Standards, reflect continuous improvement, support resident wellbeing and deliver outcomes that align with community expectations.</w:t>
            </w:r>
          </w:p>
          <w:p w14:paraId="0ACC33BC" w14:textId="77777777" w:rsidR="00F967CA" w:rsidRPr="00424A14" w:rsidRDefault="00F967CA" w:rsidP="00680607">
            <w:pPr>
              <w:pStyle w:val="Bullets"/>
              <w:framePr w:wrap="around"/>
            </w:pPr>
            <w:r w:rsidRPr="00424A14">
              <w:rPr>
                <w:b/>
              </w:rPr>
              <w:t>Fairness:</w:t>
            </w:r>
            <w:r w:rsidRPr="00424A14">
              <w:t xml:space="preserve"> </w:t>
            </w:r>
            <w:bookmarkStart w:id="32" w:name="_Hlk137735223"/>
            <w:r w:rsidRPr="00424A14">
              <w:t xml:space="preserve">Activity based funding </w:t>
            </w:r>
            <w:bookmarkEnd w:id="32"/>
            <w:r w:rsidRPr="00424A14">
              <w:t>(ABF) payments should be fair and equitable, based on resident needs, promote the provision of appropriate care to residents with differing needs, and recognise legitimate and unavoidable cost variations associated with this care. Equivalent services should otherwise attract the same price across different provider types.</w:t>
            </w:r>
          </w:p>
          <w:p w14:paraId="56E96F63" w14:textId="77777777" w:rsidR="00F967CA" w:rsidRPr="00424A14" w:rsidRDefault="00F967CA" w:rsidP="00680607">
            <w:pPr>
              <w:pStyle w:val="Bullets"/>
              <w:framePr w:wrap="around"/>
            </w:pPr>
            <w:bookmarkStart w:id="33" w:name="_Hlk138831010"/>
            <w:r w:rsidRPr="00424A14">
              <w:rPr>
                <w:b/>
              </w:rPr>
              <w:t>Efficiency:</w:t>
            </w:r>
            <w:r w:rsidRPr="00424A14">
              <w:t xml:space="preserve"> ABF should ensure the sustainability of the aged care system over time and optimise the value of the public investment in aged care.</w:t>
            </w:r>
          </w:p>
          <w:bookmarkEnd w:id="33"/>
          <w:p w14:paraId="427AF86D" w14:textId="4084133A" w:rsidR="000C07E4" w:rsidRPr="00424A14" w:rsidRDefault="00F967CA" w:rsidP="00680607">
            <w:pPr>
              <w:pStyle w:val="Bullets"/>
              <w:framePr w:wrap="around"/>
            </w:pPr>
            <w:r w:rsidRPr="00424A14">
              <w:rPr>
                <w:b/>
              </w:rPr>
              <w:t>Maintaining agreed roles and responsibilities:</w:t>
            </w:r>
            <w:r w:rsidRPr="00424A14">
              <w:t xml:space="preserve"> ABF design should recognise the complementary responsibilities of each government agency and department in the funding and management of aged care services, as well as providers in delivering aged care services.</w:t>
            </w:r>
          </w:p>
          <w:p w14:paraId="02995860" w14:textId="3E11BC8C" w:rsidR="000C07E4" w:rsidRPr="00424A14" w:rsidRDefault="00F967CA" w:rsidP="00C03B42">
            <w:pPr>
              <w:pStyle w:val="Body"/>
              <w:spacing w:before="360" w:after="60"/>
              <w:rPr>
                <w:sz w:val="20"/>
                <w:szCs w:val="20"/>
              </w:rPr>
            </w:pPr>
            <w:r w:rsidRPr="00424A14">
              <w:rPr>
                <w:bCs/>
                <w:noProof/>
                <w:sz w:val="20"/>
                <w:szCs w:val="20"/>
                <w:lang w:eastAsia="en-AU"/>
              </w:rPr>
              <mc:AlternateContent>
                <mc:Choice Requires="wps">
                  <w:drawing>
                    <wp:anchor distT="0" distB="0" distL="114300" distR="114300" simplePos="0" relativeHeight="251637760" behindDoc="0" locked="0" layoutInCell="1" allowOverlap="1" wp14:anchorId="5B3D3D8D" wp14:editId="6784DD59">
                      <wp:simplePos x="0" y="0"/>
                      <wp:positionH relativeFrom="column">
                        <wp:posOffset>0</wp:posOffset>
                      </wp:positionH>
                      <wp:positionV relativeFrom="paragraph">
                        <wp:posOffset>78740</wp:posOffset>
                      </wp:positionV>
                      <wp:extent cx="2543175" cy="0"/>
                      <wp:effectExtent l="0" t="0" r="0" b="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5FDE3" id="Straight Connector 63" o:spid="_x0000_s1026" alt="&quot;&quot;"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0,6.2pt" to="200.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" strokecolor="#0080c4 [3205]" strokeweight=".5pt">
                      <v:stroke joinstyle="miter"/>
                    </v:line>
                  </w:pict>
                </mc:Fallback>
              </mc:AlternateContent>
            </w:r>
            <w:r w:rsidR="000C07E4" w:rsidRPr="00424A14">
              <w:rPr>
                <w:b/>
                <w:bCs/>
                <w:sz w:val="20"/>
                <w:szCs w:val="20"/>
              </w:rPr>
              <w:t xml:space="preserve">Process </w:t>
            </w:r>
            <w:r w:rsidR="000F26A9" w:rsidRPr="00424A14">
              <w:rPr>
                <w:b/>
                <w:bCs/>
                <w:sz w:val="20"/>
                <w:szCs w:val="20"/>
              </w:rPr>
              <w:t>principles</w:t>
            </w:r>
            <w:r w:rsidR="000C07E4" w:rsidRPr="00424A14">
              <w:rPr>
                <w:sz w:val="20"/>
                <w:szCs w:val="20"/>
              </w:rPr>
              <w:t xml:space="preserve"> </w:t>
            </w:r>
            <w:r w:rsidRPr="00424A14">
              <w:rPr>
                <w:sz w:val="20"/>
                <w:szCs w:val="20"/>
              </w:rPr>
              <w:t xml:space="preserve">that guide the implementation of </w:t>
            </w:r>
            <w:proofErr w:type="gramStart"/>
            <w:r w:rsidRPr="00424A14">
              <w:rPr>
                <w:sz w:val="20"/>
                <w:szCs w:val="20"/>
              </w:rPr>
              <w:t>activity based</w:t>
            </w:r>
            <w:proofErr w:type="gramEnd"/>
            <w:r w:rsidRPr="00424A14">
              <w:rPr>
                <w:sz w:val="20"/>
                <w:szCs w:val="20"/>
              </w:rPr>
              <w:t xml:space="preserve"> funding and any fixed funding arrangements</w:t>
            </w:r>
            <w:r w:rsidR="000C07E4" w:rsidRPr="00424A14">
              <w:rPr>
                <w:sz w:val="20"/>
                <w:szCs w:val="20"/>
              </w:rPr>
              <w:t>:</w:t>
            </w:r>
          </w:p>
          <w:p w14:paraId="659069CD" w14:textId="77777777" w:rsidR="00F967CA" w:rsidRPr="00424A14" w:rsidRDefault="00F967CA" w:rsidP="00680607">
            <w:pPr>
              <w:pStyle w:val="Bullets"/>
              <w:framePr w:wrap="around"/>
            </w:pPr>
            <w:r w:rsidRPr="00424A14">
              <w:rPr>
                <w:b/>
              </w:rPr>
              <w:t>Administrative efficiency:</w:t>
            </w:r>
            <w:r w:rsidRPr="00424A14">
              <w:t xml:space="preserve"> Funding arrangements should promote effective and efficient processes and should not unduly increase the administrative burden on aged care providers.</w:t>
            </w:r>
          </w:p>
          <w:p w14:paraId="7037B908" w14:textId="77777777" w:rsidR="00F967CA" w:rsidRPr="00424A14" w:rsidRDefault="00F967CA" w:rsidP="00680607">
            <w:pPr>
              <w:pStyle w:val="Bullets"/>
              <w:framePr w:wrap="around"/>
            </w:pPr>
            <w:bookmarkStart w:id="34" w:name="_Hlk138831059"/>
            <w:r w:rsidRPr="00424A14">
              <w:rPr>
                <w:b/>
              </w:rPr>
              <w:t>Stability:</w:t>
            </w:r>
            <w:r w:rsidRPr="00424A14">
              <w:t xml:space="preserve"> The payment relativities for ABF should be consistent over time.</w:t>
            </w:r>
          </w:p>
          <w:bookmarkEnd w:id="34"/>
          <w:p w14:paraId="24C266C3" w14:textId="3C400739" w:rsidR="00F967CA" w:rsidRPr="00424A14" w:rsidRDefault="00F967CA" w:rsidP="00680607">
            <w:pPr>
              <w:pStyle w:val="Bullets"/>
              <w:framePr w:wrap="around"/>
            </w:pPr>
            <w:r w:rsidRPr="00424A14">
              <w:rPr>
                <w:b/>
              </w:rPr>
              <w:t>Evidence based:</w:t>
            </w:r>
            <w:r w:rsidRPr="00424A14">
              <w:t xml:space="preserve"> Funding should be based on best available information.</w:t>
            </w:r>
          </w:p>
          <w:p w14:paraId="50ED0E3F" w14:textId="77777777" w:rsidR="00F967CA" w:rsidRPr="00424A14" w:rsidRDefault="00F967CA" w:rsidP="00680607">
            <w:pPr>
              <w:pStyle w:val="Bullets"/>
              <w:framePr w:wrap="around"/>
            </w:pPr>
            <w:r w:rsidRPr="00424A14">
              <w:rPr>
                <w:b/>
              </w:rPr>
              <w:t>Transparency:</w:t>
            </w:r>
            <w:r w:rsidRPr="00424A14">
              <w:t xml:space="preserve"> All steps in the development of advice for ABF and fixed funding should be clear and transparent.</w:t>
            </w:r>
          </w:p>
          <w:p w14:paraId="7C9164FA" w14:textId="2EF1D929" w:rsidR="000C07E4" w:rsidRPr="00717687" w:rsidRDefault="00F967CA" w:rsidP="00680607">
            <w:pPr>
              <w:pStyle w:val="Bullets"/>
              <w:framePr w:wrap="around"/>
              <w:numPr>
                <w:ilvl w:val="0"/>
                <w:numId w:val="0"/>
              </w:numPr>
              <w:ind w:left="340"/>
              <w:rPr>
                <w:rFonts w:cs="Arial"/>
              </w:rPr>
            </w:pPr>
            <w:r w:rsidRPr="00717687">
              <w:br/>
            </w:r>
          </w:p>
        </w:tc>
        <w:tc>
          <w:tcPr>
            <w:tcW w:w="2500" w:type="pct"/>
            <w:tcBorders>
              <w:top w:val="nil"/>
            </w:tcBorders>
            <w:shd w:val="clear" w:color="auto" w:fill="F2F2F2" w:themeFill="background1" w:themeFillShade="F2"/>
          </w:tcPr>
          <w:p w14:paraId="70DBD369" w14:textId="77777777" w:rsidR="000C07E4" w:rsidRPr="00717687" w:rsidRDefault="000C07E4" w:rsidP="00932F95">
            <w:pPr>
              <w:pStyle w:val="BodyText"/>
              <w:keepLines/>
              <w:spacing w:after="120"/>
              <w:ind w:right="106"/>
              <w:rPr>
                <w:rFonts w:cs="Arial"/>
                <w:b/>
                <w:color w:val="auto"/>
              </w:rPr>
            </w:pPr>
            <w:r w:rsidRPr="00717687">
              <w:rPr>
                <w:rFonts w:cs="Arial"/>
                <w:b/>
                <w:bCs/>
                <w:noProof/>
                <w:color w:val="auto"/>
                <w:lang w:eastAsia="en-AU" w:bidi="ar-SA"/>
              </w:rPr>
              <mc:AlternateContent>
                <mc:Choice Requires="wps">
                  <w:drawing>
                    <wp:anchor distT="0" distB="0" distL="114300" distR="114300" simplePos="0" relativeHeight="251633664" behindDoc="0" locked="0" layoutInCell="1" allowOverlap="1" wp14:anchorId="5DE9C9EE" wp14:editId="6CF4A41F">
                      <wp:simplePos x="0" y="0"/>
                      <wp:positionH relativeFrom="column">
                        <wp:posOffset>-1270</wp:posOffset>
                      </wp:positionH>
                      <wp:positionV relativeFrom="paragraph">
                        <wp:posOffset>204470</wp:posOffset>
                      </wp:positionV>
                      <wp:extent cx="2543175" cy="0"/>
                      <wp:effectExtent l="0" t="0" r="0" b="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68972" id="Straight Connector 56" o:spid="_x0000_s1026" alt="&quot;&quot;"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pt,16.1pt" to="200.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" strokecolor="#0080c4 [3205]" strokeweight=".5pt">
                      <v:stroke joinstyle="miter"/>
                    </v:line>
                  </w:pict>
                </mc:Fallback>
              </mc:AlternateContent>
            </w:r>
          </w:p>
          <w:p w14:paraId="3C4A6871" w14:textId="497B0A25" w:rsidR="000C07E4" w:rsidRPr="00424A14" w:rsidRDefault="000C07E4" w:rsidP="00C03B42">
            <w:pPr>
              <w:pStyle w:val="Body"/>
              <w:spacing w:before="120" w:after="60"/>
              <w:rPr>
                <w:sz w:val="20"/>
                <w:szCs w:val="20"/>
              </w:rPr>
            </w:pPr>
            <w:r w:rsidRPr="00424A14">
              <w:rPr>
                <w:b/>
                <w:sz w:val="20"/>
                <w:szCs w:val="20"/>
              </w:rPr>
              <w:t xml:space="preserve">System Design </w:t>
            </w:r>
            <w:r w:rsidR="00A84E4E" w:rsidRPr="00424A14">
              <w:rPr>
                <w:b/>
                <w:sz w:val="20"/>
                <w:szCs w:val="20"/>
              </w:rPr>
              <w:t>principles</w:t>
            </w:r>
            <w:r w:rsidRPr="00424A14">
              <w:rPr>
                <w:b/>
                <w:sz w:val="20"/>
                <w:szCs w:val="20"/>
              </w:rPr>
              <w:t xml:space="preserve"> </w:t>
            </w:r>
            <w:r w:rsidR="00BF3B4C" w:rsidRPr="00424A14">
              <w:rPr>
                <w:sz w:val="20"/>
                <w:szCs w:val="20"/>
              </w:rPr>
              <w:t xml:space="preserve">that articulate the detailed elements of </w:t>
            </w:r>
            <w:proofErr w:type="gramStart"/>
            <w:r w:rsidR="00BF3B4C" w:rsidRPr="00424A14">
              <w:rPr>
                <w:sz w:val="20"/>
                <w:szCs w:val="20"/>
              </w:rPr>
              <w:t xml:space="preserve">activity </w:t>
            </w:r>
            <w:r w:rsidR="00BF3B4C" w:rsidRPr="00424A14">
              <w:rPr>
                <w:bCs/>
                <w:sz w:val="20"/>
                <w:szCs w:val="20"/>
              </w:rPr>
              <w:t>based</w:t>
            </w:r>
            <w:proofErr w:type="gramEnd"/>
            <w:r w:rsidR="00BF3B4C" w:rsidRPr="00424A14">
              <w:rPr>
                <w:sz w:val="20"/>
                <w:szCs w:val="20"/>
              </w:rPr>
              <w:t xml:space="preserve"> funding design</w:t>
            </w:r>
            <w:r w:rsidRPr="00424A14">
              <w:rPr>
                <w:sz w:val="20"/>
                <w:szCs w:val="20"/>
              </w:rPr>
              <w:t>:</w:t>
            </w:r>
          </w:p>
          <w:p w14:paraId="489B6B44" w14:textId="0F0370BC" w:rsidR="00BF3B4C" w:rsidRPr="00424A14" w:rsidRDefault="00BF3B4C" w:rsidP="00680607">
            <w:pPr>
              <w:pStyle w:val="Bullets"/>
              <w:framePr w:wrap="around"/>
            </w:pPr>
            <w:r w:rsidRPr="00424A14">
              <w:rPr>
                <w:b/>
                <w:bCs/>
              </w:rPr>
              <w:t>Fostering care innovation:</w:t>
            </w:r>
            <w:r w:rsidRPr="00424A14">
              <w:t xml:space="preserve"> Pricing of aged care services should respond in a timely way to the introduction of evidence</w:t>
            </w:r>
            <w:r w:rsidR="00D06DF5" w:rsidRPr="00424A14">
              <w:t>-</w:t>
            </w:r>
            <w:r w:rsidRPr="00424A14">
              <w:t>based, effective new technology and innovations in the models of care that improve resident outcomes and service efficiency.</w:t>
            </w:r>
          </w:p>
          <w:p w14:paraId="0D6EF1B6" w14:textId="77777777" w:rsidR="00BF3B4C" w:rsidRPr="00424A14" w:rsidRDefault="00BF3B4C" w:rsidP="00680607">
            <w:pPr>
              <w:pStyle w:val="Bullets"/>
              <w:framePr w:wrap="around"/>
            </w:pPr>
            <w:r w:rsidRPr="00424A14">
              <w:rPr>
                <w:b/>
                <w:bCs/>
              </w:rPr>
              <w:t>Promoting value:</w:t>
            </w:r>
            <w:r w:rsidRPr="00424A14">
              <w:t xml:space="preserve"> Pricing should support innovative practices and systems that deliver efficient, person-centred care.</w:t>
            </w:r>
          </w:p>
          <w:p w14:paraId="743B9D12" w14:textId="77777777" w:rsidR="00BF3B4C" w:rsidRPr="00424A14" w:rsidRDefault="00BF3B4C" w:rsidP="00680607">
            <w:pPr>
              <w:pStyle w:val="Bullets"/>
              <w:framePr w:wrap="around"/>
            </w:pPr>
            <w:r w:rsidRPr="00424A14">
              <w:rPr>
                <w:b/>
                <w:bCs/>
              </w:rPr>
              <w:t>Promoting harmonisation:</w:t>
            </w:r>
            <w:r w:rsidRPr="00424A14">
              <w:t xml:space="preserve"> Pricing should facilitate best practice, person-centred provision of care in the appropriate setting.</w:t>
            </w:r>
          </w:p>
          <w:p w14:paraId="2E05A018" w14:textId="38E27C4B" w:rsidR="00BF3B4C" w:rsidRPr="00424A14" w:rsidRDefault="00BF3B4C" w:rsidP="00680607">
            <w:pPr>
              <w:pStyle w:val="Bullets"/>
              <w:framePr w:wrap="around"/>
            </w:pPr>
            <w:r w:rsidRPr="00424A14">
              <w:rPr>
                <w:b/>
                <w:bCs/>
              </w:rPr>
              <w:t>Minimising undesirable and inadvertent consequences:</w:t>
            </w:r>
            <w:r w:rsidRPr="00424A14">
              <w:t xml:space="preserve"> Pricing should minimise susceptibility to gaming, inappropriate rewards and perverse incentives.</w:t>
            </w:r>
          </w:p>
          <w:p w14:paraId="28DB8991" w14:textId="77777777" w:rsidR="00BF3B4C" w:rsidRPr="00424A14" w:rsidRDefault="00BF3B4C" w:rsidP="00680607">
            <w:pPr>
              <w:pStyle w:val="Bullets"/>
              <w:framePr w:wrap="around"/>
            </w:pPr>
            <w:r w:rsidRPr="00424A14">
              <w:rPr>
                <w:b/>
                <w:bCs/>
              </w:rPr>
              <w:t>Using ABF where practicable and appropriate:</w:t>
            </w:r>
            <w:r w:rsidRPr="00424A14">
              <w:t xml:space="preserve"> ABF should be used for funding aged care services wherever practicable and compatible with delivering value in both outcomes and cost. </w:t>
            </w:r>
          </w:p>
          <w:p w14:paraId="1F9A7878" w14:textId="09395925" w:rsidR="000C07E4" w:rsidRPr="00717687" w:rsidRDefault="00BF3B4C" w:rsidP="00680607">
            <w:pPr>
              <w:pStyle w:val="Bullets"/>
              <w:framePr w:wrap="around"/>
            </w:pPr>
            <w:r w:rsidRPr="00424A14">
              <w:rPr>
                <w:b/>
                <w:bCs/>
              </w:rPr>
              <w:t>Person-centred:</w:t>
            </w:r>
            <w:r w:rsidRPr="00424A14">
              <w:t xml:space="preserve"> Pricing adjustments should be, as far as is practicable, based on characteristics related to people receiving care, rather than those of providers.</w:t>
            </w:r>
          </w:p>
        </w:tc>
      </w:tr>
    </w:tbl>
    <w:p w14:paraId="458AE20A" w14:textId="77777777" w:rsidR="00BF3B4C" w:rsidRDefault="00BF3B4C" w:rsidP="00BF3B4C">
      <w:pPr>
        <w:sectPr w:rsidR="00BF3B4C" w:rsidSect="00BF3B4C">
          <w:headerReference w:type="even" r:id="rId65"/>
          <w:headerReference w:type="default" r:id="rId66"/>
          <w:headerReference w:type="first" r:id="rId67"/>
          <w:type w:val="continuous"/>
          <w:pgSz w:w="11906" w:h="16838" w:code="9"/>
          <w:pgMar w:top="851" w:right="1440" w:bottom="1440" w:left="1440" w:header="708" w:footer="708" w:gutter="0"/>
          <w:cols w:space="708"/>
          <w:docGrid w:linePitch="360"/>
        </w:sectPr>
      </w:pPr>
    </w:p>
    <w:p w14:paraId="7C0E66E1" w14:textId="5C1F6037" w:rsidR="00BF3B4C" w:rsidRPr="00050402" w:rsidRDefault="00BF3B4C" w:rsidP="00BF3B4C">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41856" behindDoc="0" locked="0" layoutInCell="1" allowOverlap="1" wp14:anchorId="0D1ED387" wp14:editId="62CAA912">
            <wp:simplePos x="0" y="0"/>
            <wp:positionH relativeFrom="column">
              <wp:posOffset>-899795</wp:posOffset>
            </wp:positionH>
            <wp:positionV relativeFrom="paragraph">
              <wp:posOffset>-610235</wp:posOffset>
            </wp:positionV>
            <wp:extent cx="7548659" cy="51517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720"/>
          <w:szCs w:val="720"/>
        </w:rPr>
        <w:t>3</w:t>
      </w:r>
    </w:p>
    <w:p w14:paraId="4F8DD05B" w14:textId="7B0F2EEC" w:rsidR="00BF3B4C" w:rsidRPr="00267F1F" w:rsidRDefault="00BF3B4C" w:rsidP="00BF3B4C">
      <w:pPr>
        <w:pStyle w:val="Heading1"/>
        <w:ind w:right="3497"/>
        <w:rPr>
          <w:color w:val="auto"/>
        </w:rPr>
      </w:pPr>
      <w:bookmarkStart w:id="35" w:name="_Toc137552805"/>
      <w:r w:rsidRPr="00267F1F">
        <w:rPr>
          <w:color w:val="auto"/>
        </w:rPr>
        <w:t>The Australian National Aged Care Classification funding model</w:t>
      </w:r>
      <w:bookmarkEnd w:id="35"/>
    </w:p>
    <w:p w14:paraId="0E7F0E66" w14:textId="77777777" w:rsidR="00BF3B4C" w:rsidRDefault="00BF3B4C" w:rsidP="00BF3B4C">
      <w:pPr>
        <w:sectPr w:rsidR="00BF3B4C" w:rsidSect="00C9543A">
          <w:headerReference w:type="even" r:id="rId68"/>
          <w:headerReference w:type="default" r:id="rId69"/>
          <w:headerReference w:type="first" r:id="rId70"/>
          <w:pgSz w:w="11906" w:h="16838" w:code="9"/>
          <w:pgMar w:top="851" w:right="1440" w:bottom="1440" w:left="1440" w:header="708" w:footer="708" w:gutter="0"/>
          <w:cols w:space="708"/>
          <w:docGrid w:linePitch="360"/>
        </w:sectPr>
      </w:pPr>
    </w:p>
    <w:p w14:paraId="3B5822A4" w14:textId="77777777" w:rsidR="00BF3B4C" w:rsidRDefault="00BF3B4C" w:rsidP="00BF3B4C">
      <w:pPr>
        <w:pStyle w:val="Body"/>
        <w:spacing w:after="0"/>
        <w:sectPr w:rsidR="00BF3B4C" w:rsidSect="00F4029B">
          <w:headerReference w:type="even" r:id="rId71"/>
          <w:headerReference w:type="default" r:id="rId72"/>
          <w:headerReference w:type="first" r:id="rId73"/>
          <w:pgSz w:w="11906" w:h="16838" w:code="9"/>
          <w:pgMar w:top="2410" w:right="1440" w:bottom="1440" w:left="1440" w:header="568" w:footer="708" w:gutter="0"/>
          <w:cols w:space="708"/>
          <w:docGrid w:linePitch="360"/>
        </w:sectPr>
      </w:pPr>
    </w:p>
    <w:p w14:paraId="7BC7EEA3" w14:textId="120899D1" w:rsidR="00BF3B4C" w:rsidRPr="00717687" w:rsidRDefault="00BF3B4C" w:rsidP="00BF3B4C">
      <w:pPr>
        <w:rPr>
          <w:rFonts w:eastAsia="Fira Sans regular"/>
        </w:rPr>
      </w:pPr>
      <w:r w:rsidRPr="00717687">
        <w:t xml:space="preserve">The Australian National Aged Care Classification (AN-ACC) replaced the Aged Care Funding Instrument (ACFI) from 1 October 2022, which saw the introduction of </w:t>
      </w:r>
      <w:proofErr w:type="gramStart"/>
      <w:r w:rsidRPr="00717687">
        <w:t>activity based</w:t>
      </w:r>
      <w:proofErr w:type="gramEnd"/>
      <w:r w:rsidRPr="00717687">
        <w:t xml:space="preserve"> funding in the residential aged care sector. A key part of this residential aged care funding reform was the introduction of independent assessments of residents using the </w:t>
      </w:r>
      <w:r w:rsidR="00EA4BD2" w:rsidRPr="00717687">
        <w:t xml:space="preserve">     </w:t>
      </w:r>
      <w:r w:rsidRPr="00717687">
        <w:t xml:space="preserve">AN-ACC tool to assess each resident’s </w:t>
      </w:r>
      <w:r w:rsidR="00551671">
        <w:t xml:space="preserve">characteristics that drive the costs of </w:t>
      </w:r>
      <w:r w:rsidRPr="00717687">
        <w:t xml:space="preserve">care and assign them an AN-ACC class. </w:t>
      </w:r>
    </w:p>
    <w:p w14:paraId="401AD7CE" w14:textId="23C5C0A2" w:rsidR="00BF3B4C" w:rsidRPr="00717687" w:rsidRDefault="00BF3B4C" w:rsidP="00BF3B4C">
      <w:r w:rsidRPr="00717687">
        <w:t>More detailed information about AN-ACC, including its development</w:t>
      </w:r>
      <w:r w:rsidR="1C2E2D8E" w:rsidRPr="00717687">
        <w:t>,</w:t>
      </w:r>
      <w:r w:rsidRPr="00717687">
        <w:t xml:space="preserve"> is available on the</w:t>
      </w:r>
      <w:r w:rsidR="00BE74A9" w:rsidRPr="00717687">
        <w:t xml:space="preserve"> </w:t>
      </w:r>
      <w:hyperlink r:id="rId74" w:history="1">
        <w:r w:rsidR="00183B31" w:rsidRPr="00183B31">
          <w:rPr>
            <w:rStyle w:val="Hyperlink"/>
          </w:rPr>
          <w:t>Department of Health and Aged Care’s (The Department)</w:t>
        </w:r>
        <w:r w:rsidR="00BE74A9" w:rsidRPr="00183B31">
          <w:rPr>
            <w:rStyle w:val="Hyperlink"/>
          </w:rPr>
          <w:t xml:space="preserve"> website</w:t>
        </w:r>
      </w:hyperlink>
      <w:r w:rsidR="00BE74A9" w:rsidRPr="00717687">
        <w:t>.</w:t>
      </w:r>
    </w:p>
    <w:p w14:paraId="045D5AEA" w14:textId="3B504F89" w:rsidR="00B86049" w:rsidRPr="00E31460" w:rsidRDefault="00B86049" w:rsidP="00CA25E6">
      <w:pPr>
        <w:pStyle w:val="Heading2"/>
      </w:pPr>
      <w:r>
        <w:rPr>
          <w:rStyle w:val="normaltextrun"/>
        </w:rPr>
        <w:t xml:space="preserve">3.1 Residential </w:t>
      </w:r>
      <w:r w:rsidR="4FF06F5A" w:rsidRPr="2CFD7E80">
        <w:rPr>
          <w:rStyle w:val="normaltextrun"/>
        </w:rPr>
        <w:t>a</w:t>
      </w:r>
      <w:r w:rsidRPr="2CFD7E80">
        <w:rPr>
          <w:rStyle w:val="normaltextrun"/>
        </w:rPr>
        <w:t xml:space="preserve">ged </w:t>
      </w:r>
      <w:r w:rsidR="0B1ED39F" w:rsidRPr="2CFD7E80">
        <w:rPr>
          <w:rStyle w:val="normaltextrun"/>
        </w:rPr>
        <w:t>c</w:t>
      </w:r>
      <w:r>
        <w:rPr>
          <w:rStyle w:val="normaltextrun"/>
        </w:rPr>
        <w:t>are</w:t>
      </w:r>
    </w:p>
    <w:p w14:paraId="1BBE04F2" w14:textId="09B4D5CD" w:rsidR="00B86049" w:rsidRPr="00717687" w:rsidRDefault="00B86049" w:rsidP="00B86049">
      <w:pPr>
        <w:pStyle w:val="Heading3"/>
        <w:rPr>
          <w:color w:val="auto"/>
        </w:rPr>
      </w:pPr>
      <w:bookmarkStart w:id="36" w:name="_Toc136434997"/>
      <w:bookmarkStart w:id="37" w:name="_Toc137552806"/>
      <w:r w:rsidRPr="00717687">
        <w:rPr>
          <w:color w:val="auto"/>
        </w:rPr>
        <w:t xml:space="preserve">3.1.1 </w:t>
      </w:r>
      <w:r w:rsidR="0054393B" w:rsidRPr="00717687">
        <w:rPr>
          <w:color w:val="auto"/>
        </w:rPr>
        <w:t>Classification system</w:t>
      </w:r>
    </w:p>
    <w:bookmarkEnd w:id="36"/>
    <w:bookmarkEnd w:id="37"/>
    <w:p w14:paraId="27DC8321" w14:textId="2F1DF4AA" w:rsidR="00EA4BD2" w:rsidRPr="00717687" w:rsidRDefault="008E40C8" w:rsidP="00BF3B4C">
      <w:pPr>
        <w:rPr>
          <w:rStyle w:val="normaltextrun"/>
          <w:rFonts w:cs="Arial"/>
        </w:rPr>
      </w:pPr>
      <w:r w:rsidRPr="00717687">
        <w:rPr>
          <w:rStyle w:val="normaltextrun"/>
          <w:rFonts w:cs="Arial"/>
        </w:rPr>
        <w:t>C</w:t>
      </w:r>
      <w:r w:rsidR="00BF3B4C" w:rsidRPr="00717687">
        <w:rPr>
          <w:rStyle w:val="normaltextrun"/>
          <w:rFonts w:cs="Arial"/>
        </w:rPr>
        <w:t>lassification systems enable the bundling of various services into predefined classes. This allows the output of service providers to be measured</w:t>
      </w:r>
      <w:r w:rsidR="00BE0839" w:rsidRPr="00717687">
        <w:rPr>
          <w:rStyle w:val="normaltextrun"/>
          <w:rFonts w:cs="Arial"/>
        </w:rPr>
        <w:t xml:space="preserve"> </w:t>
      </w:r>
      <w:r w:rsidR="00E65A31" w:rsidRPr="00717687">
        <w:rPr>
          <w:rStyle w:val="normaltextrun"/>
          <w:rFonts w:cs="Arial"/>
        </w:rPr>
        <w:t>to</w:t>
      </w:r>
      <w:r w:rsidR="00BF3B4C" w:rsidRPr="00717687">
        <w:rPr>
          <w:rStyle w:val="normaltextrun"/>
          <w:rFonts w:cs="Arial"/>
        </w:rPr>
        <w:t xml:space="preserve"> inform pricing, funding, </w:t>
      </w:r>
      <w:proofErr w:type="gramStart"/>
      <w:r w:rsidR="00BF3B4C" w:rsidRPr="00717687">
        <w:rPr>
          <w:rStyle w:val="normaltextrun"/>
          <w:rFonts w:cs="Arial"/>
        </w:rPr>
        <w:t>budgeting</w:t>
      </w:r>
      <w:proofErr w:type="gramEnd"/>
      <w:r w:rsidR="00BF3B4C" w:rsidRPr="00717687">
        <w:rPr>
          <w:rStyle w:val="normaltextrun"/>
          <w:rFonts w:cs="Arial"/>
        </w:rPr>
        <w:t xml:space="preserve"> and benchmarking.</w:t>
      </w:r>
      <w:r w:rsidRPr="00717687">
        <w:rPr>
          <w:rStyle w:val="normaltextrun"/>
          <w:rFonts w:cs="Arial"/>
        </w:rPr>
        <w:t xml:space="preserve"> </w:t>
      </w:r>
    </w:p>
    <w:p w14:paraId="1C62E198" w14:textId="77777777" w:rsidR="002D361E" w:rsidRDefault="002D361E" w:rsidP="00BF3B4C">
      <w:pPr>
        <w:rPr>
          <w:rStyle w:val="normaltextrun"/>
          <w:rFonts w:cs="Arial"/>
        </w:rPr>
      </w:pPr>
    </w:p>
    <w:p w14:paraId="6505EC67" w14:textId="77777777" w:rsidR="002D361E" w:rsidRDefault="002D361E" w:rsidP="00BF3B4C">
      <w:pPr>
        <w:rPr>
          <w:rStyle w:val="normaltextrun"/>
          <w:rFonts w:cs="Arial"/>
        </w:rPr>
      </w:pPr>
    </w:p>
    <w:p w14:paraId="6D7FB65A" w14:textId="77777777" w:rsidR="002D361E" w:rsidRDefault="002D361E" w:rsidP="00BF3B4C">
      <w:pPr>
        <w:rPr>
          <w:rStyle w:val="normaltextrun"/>
          <w:rFonts w:cs="Arial"/>
        </w:rPr>
      </w:pPr>
    </w:p>
    <w:p w14:paraId="6BB55F83" w14:textId="77777777" w:rsidR="002D361E" w:rsidRDefault="002D361E" w:rsidP="00BF3B4C">
      <w:pPr>
        <w:rPr>
          <w:rStyle w:val="normaltextrun"/>
          <w:rFonts w:cs="Arial"/>
        </w:rPr>
      </w:pPr>
    </w:p>
    <w:p w14:paraId="2323A35C" w14:textId="77777777" w:rsidR="002D361E" w:rsidRDefault="002D361E" w:rsidP="00BF3B4C">
      <w:pPr>
        <w:rPr>
          <w:rStyle w:val="normaltextrun"/>
          <w:rFonts w:cs="Arial"/>
        </w:rPr>
      </w:pPr>
    </w:p>
    <w:p w14:paraId="05C4A9EC" w14:textId="281E07F2" w:rsidR="00BF3B4C" w:rsidRPr="00717687" w:rsidRDefault="008E40C8" w:rsidP="00BF3B4C">
      <w:pPr>
        <w:rPr>
          <w:rStyle w:val="normaltextrun"/>
          <w:rFonts w:cs="Arial"/>
        </w:rPr>
      </w:pPr>
      <w:r w:rsidRPr="00717687">
        <w:rPr>
          <w:rStyle w:val="normaltextrun"/>
          <w:rFonts w:cs="Arial"/>
        </w:rPr>
        <w:t>The AN-ACC classification system aims to group residents in a manner that is both relevant to care and resource homogenous.</w:t>
      </w:r>
      <w:r w:rsidR="007E242A" w:rsidRPr="00717687">
        <w:rPr>
          <w:rStyle w:val="normaltextrun"/>
          <w:rFonts w:cs="Arial"/>
        </w:rPr>
        <w:t xml:space="preserve"> </w:t>
      </w:r>
      <w:r w:rsidR="00762FAE" w:rsidRPr="00717687">
        <w:rPr>
          <w:rFonts w:cs="Arial"/>
        </w:rPr>
        <w:t xml:space="preserve">Homogenous resource </w:t>
      </w:r>
      <w:r w:rsidR="00E06882" w:rsidRPr="00717687">
        <w:rPr>
          <w:rFonts w:cs="Arial"/>
        </w:rPr>
        <w:t>resident groups</w:t>
      </w:r>
      <w:r w:rsidR="00E21D22" w:rsidRPr="00717687">
        <w:rPr>
          <w:rFonts w:cs="Arial"/>
        </w:rPr>
        <w:t xml:space="preserve"> </w:t>
      </w:r>
      <w:r w:rsidR="00F1443C" w:rsidRPr="00717687">
        <w:rPr>
          <w:rFonts w:cs="Arial"/>
        </w:rPr>
        <w:t>comprise</w:t>
      </w:r>
      <w:r w:rsidR="00762FAE" w:rsidRPr="00717687">
        <w:rPr>
          <w:rFonts w:cs="Arial"/>
        </w:rPr>
        <w:t xml:space="preserve"> individuals </w:t>
      </w:r>
      <w:r w:rsidR="00CF56EA" w:rsidRPr="00717687">
        <w:rPr>
          <w:rFonts w:cs="Arial"/>
        </w:rPr>
        <w:t xml:space="preserve">who have </w:t>
      </w:r>
      <w:r w:rsidR="009E31BE" w:rsidRPr="00717687">
        <w:rPr>
          <w:rFonts w:cs="Arial"/>
        </w:rPr>
        <w:t>varied diagnoses</w:t>
      </w:r>
      <w:r w:rsidR="00332C38" w:rsidRPr="00717687">
        <w:rPr>
          <w:rFonts w:cs="Arial"/>
        </w:rPr>
        <w:t>, attributes or needs</w:t>
      </w:r>
      <w:r w:rsidR="27CF3906" w:rsidRPr="00717687">
        <w:rPr>
          <w:rFonts w:cs="Arial"/>
        </w:rPr>
        <w:t>,</w:t>
      </w:r>
      <w:r w:rsidR="00332C38" w:rsidRPr="00717687">
        <w:rPr>
          <w:rFonts w:cs="Arial"/>
        </w:rPr>
        <w:t xml:space="preserve"> </w:t>
      </w:r>
      <w:r w:rsidR="00552869" w:rsidRPr="00717687">
        <w:rPr>
          <w:rFonts w:cs="Arial"/>
        </w:rPr>
        <w:t>but</w:t>
      </w:r>
      <w:r w:rsidR="007B1169" w:rsidRPr="00717687">
        <w:rPr>
          <w:rFonts w:cs="Arial"/>
        </w:rPr>
        <w:t xml:space="preserve"> </w:t>
      </w:r>
      <w:r w:rsidR="00762FAE" w:rsidRPr="00717687">
        <w:rPr>
          <w:rFonts w:cs="Arial"/>
        </w:rPr>
        <w:t xml:space="preserve">require the same degree of resources </w:t>
      </w:r>
      <w:r w:rsidR="00EB5DA0" w:rsidRPr="00717687">
        <w:rPr>
          <w:rFonts w:cs="Arial"/>
        </w:rPr>
        <w:t>to support</w:t>
      </w:r>
      <w:r w:rsidR="00762FAE" w:rsidRPr="00717687">
        <w:rPr>
          <w:rFonts w:cs="Arial"/>
        </w:rPr>
        <w:t xml:space="preserve"> their care delivery. </w:t>
      </w:r>
    </w:p>
    <w:p w14:paraId="64B7686C" w14:textId="7BBC9D7A" w:rsidR="00BF3B4C" w:rsidRPr="00717687" w:rsidRDefault="00BF3B4C" w:rsidP="00BF3B4C">
      <w:pPr>
        <w:rPr>
          <w:rStyle w:val="normaltextrun"/>
          <w:rFonts w:cs="Arial"/>
        </w:rPr>
      </w:pPr>
      <w:r w:rsidRPr="00717687">
        <w:rPr>
          <w:rStyle w:val="normaltextrun"/>
          <w:rFonts w:cs="Arial"/>
        </w:rPr>
        <w:t>The Independent Health and Aged Care Pricing Authority (IHACPA) will aim to support a consistent method of collecting data and classifying all types of aged care residents, their care, and associated costs. Th</w:t>
      </w:r>
      <w:r w:rsidR="00B907D0" w:rsidRPr="00717687">
        <w:rPr>
          <w:rStyle w:val="normaltextrun"/>
          <w:rFonts w:cs="Arial"/>
        </w:rPr>
        <w:t>e collection of this data will, over</w:t>
      </w:r>
      <w:r w:rsidR="00A303DC" w:rsidRPr="00717687">
        <w:rPr>
          <w:rStyle w:val="normaltextrun"/>
          <w:rFonts w:cs="Arial"/>
        </w:rPr>
        <w:t xml:space="preserve"> time, </w:t>
      </w:r>
      <w:r w:rsidRPr="00717687">
        <w:rPr>
          <w:rStyle w:val="normaltextrun"/>
          <w:rFonts w:cs="Arial"/>
        </w:rPr>
        <w:t xml:space="preserve">support the development of </w:t>
      </w:r>
      <w:r w:rsidR="00EF4E61" w:rsidRPr="00717687">
        <w:rPr>
          <w:rStyle w:val="normaltextrun"/>
          <w:rFonts w:cs="Arial"/>
        </w:rPr>
        <w:t>advice on the</w:t>
      </w:r>
      <w:r w:rsidR="00A303DC" w:rsidRPr="00717687">
        <w:rPr>
          <w:rStyle w:val="normaltextrun"/>
          <w:rFonts w:cs="Arial"/>
        </w:rPr>
        <w:t xml:space="preserve"> </w:t>
      </w:r>
      <w:r w:rsidR="00DF5A54" w:rsidRPr="00717687">
        <w:rPr>
          <w:rStyle w:val="normaltextrun"/>
          <w:rFonts w:cs="Arial"/>
        </w:rPr>
        <w:t>AN-ACC class</w:t>
      </w:r>
      <w:r w:rsidRPr="00717687">
        <w:rPr>
          <w:rStyle w:val="normaltextrun"/>
          <w:rFonts w:cs="Arial"/>
        </w:rPr>
        <w:t xml:space="preserve"> </w:t>
      </w:r>
      <w:r w:rsidR="00A303DC" w:rsidRPr="00717687">
        <w:rPr>
          <w:rStyle w:val="normaltextrun"/>
          <w:rFonts w:cs="Arial"/>
        </w:rPr>
        <w:t xml:space="preserve">price weights </w:t>
      </w:r>
      <w:r w:rsidRPr="00717687">
        <w:rPr>
          <w:rStyle w:val="normaltextrun"/>
          <w:rFonts w:cs="Arial"/>
        </w:rPr>
        <w:t>that effectively group residents with similar care needs</w:t>
      </w:r>
      <w:r w:rsidR="00DF5A54" w:rsidRPr="00717687">
        <w:rPr>
          <w:rStyle w:val="normaltextrun"/>
          <w:rFonts w:cs="Arial"/>
        </w:rPr>
        <w:t>,</w:t>
      </w:r>
      <w:r w:rsidR="00EF4E61" w:rsidRPr="00717687">
        <w:rPr>
          <w:rStyle w:val="normaltextrun"/>
          <w:rFonts w:cs="Arial"/>
        </w:rPr>
        <w:t xml:space="preserve"> and</w:t>
      </w:r>
      <w:r w:rsidRPr="00717687">
        <w:rPr>
          <w:rStyle w:val="normaltextrun"/>
          <w:rFonts w:cs="Arial"/>
        </w:rPr>
        <w:t xml:space="preserve"> </w:t>
      </w:r>
      <w:r w:rsidR="00EF4E61" w:rsidRPr="00717687">
        <w:rPr>
          <w:rStyle w:val="normaltextrun"/>
          <w:rFonts w:cs="Arial"/>
        </w:rPr>
        <w:t xml:space="preserve">will </w:t>
      </w:r>
      <w:r w:rsidR="008E40C8" w:rsidRPr="00717687">
        <w:rPr>
          <w:rStyle w:val="normaltextrun"/>
          <w:rFonts w:cs="Arial"/>
        </w:rPr>
        <w:t>enab</w:t>
      </w:r>
      <w:r w:rsidR="00EF4E61" w:rsidRPr="00717687">
        <w:rPr>
          <w:rStyle w:val="normaltextrun"/>
          <w:rFonts w:cs="Arial"/>
        </w:rPr>
        <w:t>le</w:t>
      </w:r>
      <w:r w:rsidR="008E40C8" w:rsidRPr="00717687">
        <w:rPr>
          <w:rStyle w:val="normaltextrun"/>
          <w:rFonts w:cs="Arial"/>
        </w:rPr>
        <w:t xml:space="preserve"> pricing to be more closely aligned to the actual care costs for residents in each group. </w:t>
      </w:r>
    </w:p>
    <w:p w14:paraId="036863AD" w14:textId="297E070F" w:rsidR="00642B16" w:rsidRDefault="00BF3B4C" w:rsidP="00E85BFD">
      <w:pPr>
        <w:pStyle w:val="EYBodytextwithparaspace"/>
        <w:spacing w:after="160" w:line="276" w:lineRule="auto"/>
      </w:pPr>
      <w:r w:rsidRPr="00717687">
        <w:rPr>
          <w:rStyle w:val="normaltextrun"/>
          <w:rFonts w:ascii="Arial" w:eastAsiaTheme="minorEastAsia" w:hAnsi="Arial" w:cs="Arial"/>
          <w:sz w:val="22"/>
          <w:szCs w:val="22"/>
        </w:rPr>
        <w:t>Independent assessors use the AN-ACC ass</w:t>
      </w:r>
      <w:r w:rsidRPr="00717687">
        <w:rPr>
          <w:rStyle w:val="normaltextrun"/>
          <w:rFonts w:ascii="Arial" w:hAnsi="Arial" w:cs="Arial"/>
          <w:sz w:val="22"/>
          <w:szCs w:val="22"/>
        </w:rPr>
        <w:t>essment tool to evaluate a resident’s functional, cognitive and physical capabilities</w:t>
      </w:r>
      <w:r w:rsidRPr="00717687">
        <w:rPr>
          <w:rFonts w:ascii="Arial" w:eastAsia="Futura PT Book" w:hAnsi="Arial" w:cs="Arial"/>
          <w:sz w:val="22"/>
          <w:szCs w:val="22"/>
          <w:vertAlign w:val="superscript"/>
        </w:rPr>
        <w:footnoteReference w:id="2"/>
      </w:r>
      <w:r w:rsidRPr="00717687">
        <w:rPr>
          <w:rStyle w:val="normaltextrun"/>
          <w:rFonts w:ascii="Arial" w:hAnsi="Arial" w:cs="Arial"/>
          <w:sz w:val="22"/>
          <w:szCs w:val="22"/>
        </w:rPr>
        <w:t>.</w:t>
      </w:r>
      <w:r w:rsidRPr="00717687">
        <w:rPr>
          <w:rFonts w:ascii="Arial" w:hAnsi="Arial" w:cs="Arial"/>
          <w:sz w:val="22"/>
          <w:szCs w:val="22"/>
        </w:rPr>
        <w:t xml:space="preserve"> </w:t>
      </w:r>
      <w:r w:rsidRPr="00717687">
        <w:rPr>
          <w:rStyle w:val="normaltextrun"/>
          <w:rFonts w:ascii="Arial" w:hAnsi="Arial" w:cs="Arial"/>
          <w:sz w:val="22"/>
          <w:szCs w:val="22"/>
        </w:rPr>
        <w:t xml:space="preserve">Based on the scores and outcomes of the assessment, residents are assigned into one of </w:t>
      </w:r>
      <w:r w:rsidR="208CA63B" w:rsidRPr="00717687">
        <w:rPr>
          <w:rStyle w:val="normaltextrun"/>
          <w:rFonts w:ascii="Arial" w:hAnsi="Arial" w:cs="Arial"/>
          <w:sz w:val="22"/>
          <w:szCs w:val="22"/>
        </w:rPr>
        <w:t xml:space="preserve">12 </w:t>
      </w:r>
      <w:r w:rsidRPr="00717687">
        <w:rPr>
          <w:rStyle w:val="normaltextrun"/>
          <w:rFonts w:ascii="Arial" w:hAnsi="Arial" w:cs="Arial"/>
          <w:sz w:val="22"/>
          <w:szCs w:val="22"/>
        </w:rPr>
        <w:t>classes</w:t>
      </w:r>
      <w:r w:rsidR="00EA34CB" w:rsidRPr="00717687">
        <w:rPr>
          <w:rStyle w:val="normaltextrun"/>
          <w:rFonts w:ascii="Arial" w:hAnsi="Arial" w:cs="Arial"/>
          <w:sz w:val="22"/>
          <w:szCs w:val="22"/>
        </w:rPr>
        <w:t xml:space="preserve">. </w:t>
      </w:r>
      <w:r w:rsidR="00C917D7" w:rsidRPr="00717687">
        <w:rPr>
          <w:rStyle w:val="normaltextrun"/>
          <w:rFonts w:ascii="Arial" w:hAnsi="Arial" w:cs="Arial"/>
          <w:sz w:val="22"/>
          <w:szCs w:val="22"/>
        </w:rPr>
        <w:t xml:space="preserve">This does not include class 1 </w:t>
      </w:r>
      <w:r w:rsidR="00DD09C7" w:rsidRPr="00717687">
        <w:rPr>
          <w:rStyle w:val="normaltextrun"/>
          <w:rFonts w:ascii="Arial" w:hAnsi="Arial" w:cs="Arial"/>
          <w:sz w:val="22"/>
          <w:szCs w:val="22"/>
        </w:rPr>
        <w:t xml:space="preserve">– </w:t>
      </w:r>
      <w:r w:rsidR="00642B16">
        <w:rPr>
          <w:rStyle w:val="normaltextrun"/>
          <w:rFonts w:ascii="Arial" w:hAnsi="Arial" w:cs="Arial"/>
          <w:sz w:val="22"/>
          <w:szCs w:val="22"/>
        </w:rPr>
        <w:t>‘</w:t>
      </w:r>
      <w:r w:rsidR="00DD09C7" w:rsidRPr="00717687">
        <w:rPr>
          <w:rStyle w:val="normaltextrun"/>
          <w:rFonts w:ascii="Arial" w:hAnsi="Arial" w:cs="Arial"/>
          <w:sz w:val="22"/>
          <w:szCs w:val="22"/>
        </w:rPr>
        <w:t xml:space="preserve">admit </w:t>
      </w:r>
      <w:r w:rsidR="001B576D" w:rsidRPr="00717687">
        <w:rPr>
          <w:rStyle w:val="normaltextrun"/>
          <w:rFonts w:ascii="Arial" w:hAnsi="Arial" w:cs="Arial"/>
          <w:sz w:val="22"/>
          <w:szCs w:val="22"/>
        </w:rPr>
        <w:t>for palliative care</w:t>
      </w:r>
      <w:r w:rsidR="00642B16">
        <w:rPr>
          <w:rStyle w:val="normaltextrun"/>
          <w:rFonts w:ascii="Arial" w:hAnsi="Arial" w:cs="Arial"/>
          <w:sz w:val="22"/>
          <w:szCs w:val="22"/>
        </w:rPr>
        <w:t>’</w:t>
      </w:r>
      <w:r w:rsidR="001B576D" w:rsidRPr="00717687">
        <w:rPr>
          <w:rStyle w:val="normaltextrun"/>
          <w:rFonts w:ascii="Arial" w:hAnsi="Arial" w:cs="Arial"/>
          <w:sz w:val="22"/>
          <w:szCs w:val="22"/>
        </w:rPr>
        <w:t xml:space="preserve">, </w:t>
      </w:r>
      <w:r w:rsidR="00035C3F" w:rsidRPr="00717687">
        <w:rPr>
          <w:rStyle w:val="normaltextrun"/>
          <w:rFonts w:ascii="Arial" w:hAnsi="Arial" w:cs="Arial"/>
          <w:sz w:val="22"/>
          <w:szCs w:val="22"/>
        </w:rPr>
        <w:t xml:space="preserve">where </w:t>
      </w:r>
      <w:r w:rsidR="006F3F1C" w:rsidRPr="00717687">
        <w:rPr>
          <w:rStyle w:val="normaltextrun"/>
          <w:rFonts w:ascii="Arial" w:hAnsi="Arial" w:cs="Arial"/>
          <w:sz w:val="22"/>
          <w:szCs w:val="22"/>
        </w:rPr>
        <w:t>services</w:t>
      </w:r>
      <w:r w:rsidR="007D197B" w:rsidRPr="00717687">
        <w:rPr>
          <w:rStyle w:val="normaltextrun"/>
          <w:rFonts w:ascii="Arial" w:hAnsi="Arial" w:cs="Arial"/>
          <w:sz w:val="22"/>
          <w:szCs w:val="22"/>
        </w:rPr>
        <w:t xml:space="preserve"> </w:t>
      </w:r>
      <w:r w:rsidR="001D5727" w:rsidRPr="00717687">
        <w:rPr>
          <w:rStyle w:val="normaltextrun"/>
          <w:rFonts w:ascii="Arial" w:hAnsi="Arial" w:cs="Arial"/>
          <w:sz w:val="22"/>
          <w:szCs w:val="22"/>
        </w:rPr>
        <w:t xml:space="preserve">are instead required to submit a Palliative </w:t>
      </w:r>
      <w:r w:rsidR="00F36BCB" w:rsidRPr="00717687">
        <w:rPr>
          <w:rStyle w:val="normaltextrun"/>
          <w:rFonts w:ascii="Arial" w:hAnsi="Arial" w:cs="Arial"/>
          <w:sz w:val="22"/>
          <w:szCs w:val="22"/>
        </w:rPr>
        <w:t>C</w:t>
      </w:r>
      <w:r w:rsidR="001D5727" w:rsidRPr="00717687">
        <w:rPr>
          <w:rStyle w:val="normaltextrun"/>
          <w:rFonts w:ascii="Arial" w:hAnsi="Arial" w:cs="Arial"/>
          <w:sz w:val="22"/>
          <w:szCs w:val="22"/>
        </w:rPr>
        <w:t xml:space="preserve">are </w:t>
      </w:r>
      <w:r w:rsidR="00F36BCB" w:rsidRPr="00717687">
        <w:rPr>
          <w:rStyle w:val="normaltextrun"/>
          <w:rFonts w:ascii="Arial" w:hAnsi="Arial" w:cs="Arial"/>
          <w:sz w:val="22"/>
          <w:szCs w:val="22"/>
        </w:rPr>
        <w:t>S</w:t>
      </w:r>
      <w:r w:rsidR="001D5727" w:rsidRPr="00717687">
        <w:rPr>
          <w:rStyle w:val="normaltextrun"/>
          <w:rFonts w:ascii="Arial" w:hAnsi="Arial" w:cs="Arial"/>
          <w:sz w:val="22"/>
          <w:szCs w:val="22"/>
        </w:rPr>
        <w:t xml:space="preserve">tatus </w:t>
      </w:r>
      <w:r w:rsidR="00F36BCB" w:rsidRPr="00717687">
        <w:rPr>
          <w:rStyle w:val="normaltextrun"/>
          <w:rFonts w:ascii="Arial" w:hAnsi="Arial" w:cs="Arial"/>
          <w:sz w:val="22"/>
          <w:szCs w:val="22"/>
        </w:rPr>
        <w:t>F</w:t>
      </w:r>
      <w:r w:rsidR="001D5727" w:rsidRPr="00717687">
        <w:rPr>
          <w:rStyle w:val="normaltextrun"/>
          <w:rFonts w:ascii="Arial" w:hAnsi="Arial" w:cs="Arial"/>
          <w:sz w:val="22"/>
          <w:szCs w:val="22"/>
        </w:rPr>
        <w:t>orm.</w:t>
      </w:r>
      <w:r w:rsidR="001B576D" w:rsidRPr="00717687">
        <w:rPr>
          <w:rStyle w:val="normaltextrun"/>
          <w:rFonts w:ascii="Arial" w:hAnsi="Arial" w:cs="Arial"/>
          <w:sz w:val="22"/>
          <w:szCs w:val="22"/>
        </w:rPr>
        <w:t xml:space="preserve"> </w:t>
      </w:r>
      <w:r w:rsidR="3C39E098" w:rsidRPr="00717687">
        <w:rPr>
          <w:rStyle w:val="normaltextrun"/>
          <w:rFonts w:ascii="Arial" w:hAnsi="Arial" w:cs="Arial"/>
          <w:sz w:val="22"/>
          <w:szCs w:val="22"/>
        </w:rPr>
        <w:t>Information on</w:t>
      </w:r>
      <w:r w:rsidR="00DD09C7" w:rsidRPr="00717687">
        <w:rPr>
          <w:rStyle w:val="normaltextrun"/>
          <w:rFonts w:ascii="Arial" w:hAnsi="Arial" w:cs="Arial"/>
          <w:sz w:val="22"/>
          <w:szCs w:val="22"/>
        </w:rPr>
        <w:t xml:space="preserve"> </w:t>
      </w:r>
      <w:r w:rsidR="3C39E098" w:rsidRPr="00717687">
        <w:rPr>
          <w:rStyle w:val="normaltextrun"/>
          <w:rFonts w:ascii="Arial" w:hAnsi="Arial" w:cs="Arial"/>
          <w:sz w:val="22"/>
          <w:szCs w:val="22"/>
        </w:rPr>
        <w:t xml:space="preserve">the AN-ACC assessments and the </w:t>
      </w:r>
      <w:r w:rsidR="009D4487" w:rsidRPr="00717687">
        <w:rPr>
          <w:rStyle w:val="normaltextrun"/>
          <w:rFonts w:ascii="Arial" w:hAnsi="Arial" w:cs="Arial"/>
          <w:sz w:val="22"/>
          <w:szCs w:val="22"/>
        </w:rPr>
        <w:t xml:space="preserve">13 </w:t>
      </w:r>
      <w:r w:rsidR="3C39E098" w:rsidRPr="00717687">
        <w:rPr>
          <w:rStyle w:val="normaltextrun"/>
          <w:rFonts w:ascii="Arial" w:hAnsi="Arial" w:cs="Arial"/>
          <w:sz w:val="22"/>
          <w:szCs w:val="22"/>
        </w:rPr>
        <w:t>AN</w:t>
      </w:r>
      <w:r w:rsidR="00844F71" w:rsidRPr="00717687">
        <w:rPr>
          <w:rStyle w:val="normaltextrun"/>
          <w:rFonts w:ascii="Arial" w:hAnsi="Arial" w:cs="Arial"/>
          <w:sz w:val="22"/>
          <w:szCs w:val="22"/>
        </w:rPr>
        <w:noBreakHyphen/>
      </w:r>
      <w:r w:rsidR="3C39E098" w:rsidRPr="00717687">
        <w:rPr>
          <w:rStyle w:val="normaltextrun"/>
          <w:rFonts w:ascii="Arial" w:hAnsi="Arial" w:cs="Arial"/>
          <w:sz w:val="22"/>
          <w:szCs w:val="22"/>
        </w:rPr>
        <w:t>ACC</w:t>
      </w:r>
      <w:r w:rsidRPr="00717687">
        <w:rPr>
          <w:rStyle w:val="normaltextrun"/>
          <w:rFonts w:ascii="Arial" w:hAnsi="Arial" w:cs="Arial"/>
          <w:sz w:val="22"/>
          <w:szCs w:val="22"/>
        </w:rPr>
        <w:t xml:space="preserve"> </w:t>
      </w:r>
      <w:r w:rsidR="00C26840" w:rsidRPr="00717687">
        <w:rPr>
          <w:rStyle w:val="normaltextrun"/>
          <w:rFonts w:ascii="Arial" w:hAnsi="Arial" w:cs="Arial"/>
          <w:sz w:val="22"/>
          <w:szCs w:val="22"/>
        </w:rPr>
        <w:t>classes</w:t>
      </w:r>
      <w:r w:rsidR="5879E3BD" w:rsidRPr="00717687">
        <w:rPr>
          <w:rStyle w:val="normaltextrun"/>
          <w:rFonts w:ascii="Arial" w:hAnsi="Arial" w:cs="Arial"/>
          <w:sz w:val="22"/>
          <w:szCs w:val="22"/>
        </w:rPr>
        <w:t xml:space="preserve"> can be found on the </w:t>
      </w:r>
      <w:hyperlink r:id="rId75" w:history="1">
        <w:r w:rsidR="00A232A6" w:rsidRPr="00A232A6">
          <w:rPr>
            <w:rStyle w:val="Hyperlink"/>
            <w:rFonts w:cs="Arial"/>
            <w:sz w:val="22"/>
            <w:szCs w:val="22"/>
          </w:rPr>
          <w:t>Department</w:t>
        </w:r>
        <w:r w:rsidR="00BE74A9">
          <w:rPr>
            <w:rStyle w:val="Hyperlink"/>
            <w:rFonts w:cs="Arial"/>
            <w:sz w:val="22"/>
            <w:szCs w:val="22"/>
          </w:rPr>
          <w:t>’s</w:t>
        </w:r>
        <w:r w:rsidR="00A232A6" w:rsidRPr="00A232A6">
          <w:rPr>
            <w:rStyle w:val="Hyperlink"/>
            <w:rFonts w:cs="Arial"/>
            <w:sz w:val="22"/>
            <w:szCs w:val="22"/>
          </w:rPr>
          <w:t xml:space="preserve"> website</w:t>
        </w:r>
      </w:hyperlink>
      <w:r w:rsidR="003237EC" w:rsidRPr="00717687">
        <w:t>.</w:t>
      </w:r>
    </w:p>
    <w:p w14:paraId="5D9218F1" w14:textId="77777777" w:rsidR="008B78B6" w:rsidRDefault="008B78B6">
      <w:pPr>
        <w:rPr>
          <w:rFonts w:cs="Arial"/>
        </w:rPr>
      </w:pPr>
      <w:r>
        <w:rPr>
          <w:rFonts w:cs="Arial"/>
        </w:rPr>
        <w:br w:type="page"/>
      </w:r>
    </w:p>
    <w:p w14:paraId="74B689CB" w14:textId="3EC9C4DD" w:rsidR="00846F35" w:rsidRPr="00717687" w:rsidRDefault="00846F35" w:rsidP="00846F35">
      <w:pPr>
        <w:rPr>
          <w:rFonts w:cs="Arial"/>
        </w:rPr>
      </w:pPr>
      <w:r w:rsidRPr="00717687">
        <w:rPr>
          <w:rFonts w:cs="Arial"/>
        </w:rPr>
        <w:lastRenderedPageBreak/>
        <w:t>In addition to the 1</w:t>
      </w:r>
      <w:r w:rsidR="00B67C0B" w:rsidRPr="00717687">
        <w:rPr>
          <w:rFonts w:cs="Arial"/>
        </w:rPr>
        <w:t>3</w:t>
      </w:r>
      <w:r w:rsidRPr="00717687">
        <w:rPr>
          <w:rFonts w:cs="Arial"/>
        </w:rPr>
        <w:t xml:space="preserve"> AN-ACC classes</w:t>
      </w:r>
      <w:r w:rsidR="007567C9" w:rsidRPr="00717687">
        <w:rPr>
          <w:rFonts w:cs="Arial"/>
        </w:rPr>
        <w:t xml:space="preserve"> for permanent residents</w:t>
      </w:r>
      <w:r w:rsidRPr="00717687">
        <w:rPr>
          <w:rFonts w:cs="Arial"/>
        </w:rPr>
        <w:t xml:space="preserve">, there are default classes for new </w:t>
      </w:r>
      <w:r w:rsidR="007567C9" w:rsidRPr="00717687">
        <w:rPr>
          <w:rFonts w:cs="Arial"/>
        </w:rPr>
        <w:t xml:space="preserve">permanent </w:t>
      </w:r>
      <w:r w:rsidRPr="00717687">
        <w:rPr>
          <w:rFonts w:cs="Arial"/>
        </w:rPr>
        <w:t xml:space="preserve">residents who do not have an existing AN-ACC classification. The default classifications are: </w:t>
      </w:r>
    </w:p>
    <w:p w14:paraId="19D13419" w14:textId="0C575718" w:rsidR="00846F35" w:rsidRPr="00717687" w:rsidRDefault="00846F35" w:rsidP="0003369C">
      <w:pPr>
        <w:pStyle w:val="BulletL2"/>
        <w:numPr>
          <w:ilvl w:val="0"/>
          <w:numId w:val="59"/>
        </w:numPr>
      </w:pPr>
      <w:r w:rsidRPr="00717687">
        <w:t>Class 98: Residents entering permanent care to receive palliative care</w:t>
      </w:r>
    </w:p>
    <w:p w14:paraId="09C86699" w14:textId="77777777" w:rsidR="00846F35" w:rsidRPr="00717687" w:rsidRDefault="00846F35" w:rsidP="0003369C">
      <w:pPr>
        <w:pStyle w:val="BulletL2"/>
        <w:numPr>
          <w:ilvl w:val="0"/>
          <w:numId w:val="59"/>
        </w:numPr>
      </w:pPr>
      <w:r w:rsidRPr="00717687">
        <w:t>Class 99: Residents entering for permanent care (other than entry for palliative care)</w:t>
      </w:r>
    </w:p>
    <w:p w14:paraId="6814A1F1" w14:textId="77777777" w:rsidR="00846F35" w:rsidRPr="00717687" w:rsidRDefault="00846F35" w:rsidP="0003369C">
      <w:pPr>
        <w:pStyle w:val="BulletL2"/>
        <w:numPr>
          <w:ilvl w:val="0"/>
          <w:numId w:val="59"/>
        </w:numPr>
      </w:pPr>
      <w:r w:rsidRPr="00717687">
        <w:t>Class 100: Residents entering for respite care.</w:t>
      </w:r>
    </w:p>
    <w:p w14:paraId="59D41F64" w14:textId="110EA84F" w:rsidR="00BF3B4C" w:rsidRPr="00717687" w:rsidRDefault="00846F35" w:rsidP="006171C3">
      <w:pPr>
        <w:pStyle w:val="EYBodytextwithparaspace"/>
        <w:spacing w:after="160" w:line="276" w:lineRule="auto"/>
        <w:rPr>
          <w:rStyle w:val="normaltextrun"/>
          <w:rFonts w:cs="Arial"/>
        </w:rPr>
      </w:pPr>
      <w:r w:rsidRPr="00717687">
        <w:rPr>
          <w:rFonts w:ascii="Arial" w:hAnsi="Arial" w:cs="Arial"/>
          <w:sz w:val="22"/>
          <w:szCs w:val="22"/>
        </w:rPr>
        <w:t>Once assessed, the resident’s actual classification will replace the default classification</w:t>
      </w:r>
      <w:r w:rsidR="007A2978" w:rsidRPr="00717687">
        <w:rPr>
          <w:rFonts w:ascii="Arial" w:hAnsi="Arial" w:cs="Arial"/>
          <w:sz w:val="22"/>
          <w:szCs w:val="22"/>
        </w:rPr>
        <w:t>,</w:t>
      </w:r>
      <w:r w:rsidRPr="00717687">
        <w:rPr>
          <w:rFonts w:ascii="Arial" w:hAnsi="Arial" w:cs="Arial"/>
          <w:sz w:val="22"/>
          <w:szCs w:val="22"/>
        </w:rPr>
        <w:t xml:space="preserve"> and payment will be adjusted and backdated to the resident’s date of entry.</w:t>
      </w:r>
    </w:p>
    <w:p w14:paraId="58D39EC2" w14:textId="5005DF60" w:rsidR="00BF3B4C" w:rsidRPr="00717687" w:rsidRDefault="00A303DC" w:rsidP="00BF3B4C">
      <w:pPr>
        <w:rPr>
          <w:rStyle w:val="normaltextrun"/>
          <w:rFonts w:cs="Arial"/>
        </w:rPr>
      </w:pPr>
      <w:r w:rsidRPr="00717687">
        <w:rPr>
          <w:rStyle w:val="normaltextrun"/>
          <w:rFonts w:cs="Arial"/>
        </w:rPr>
        <w:t xml:space="preserve">In the </w:t>
      </w:r>
      <w:r w:rsidRPr="00717687">
        <w:rPr>
          <w:rStyle w:val="normaltextrun"/>
          <w:rFonts w:cs="Arial"/>
          <w:i/>
          <w:iCs/>
        </w:rPr>
        <w:t xml:space="preserve">Towards an Aged Care Pricing Framework Consultation Paper </w:t>
      </w:r>
      <w:r w:rsidRPr="00717687">
        <w:rPr>
          <w:rStyle w:val="normaltextrun"/>
          <w:rFonts w:cs="Arial"/>
        </w:rPr>
        <w:t xml:space="preserve">released in 2022, </w:t>
      </w:r>
      <w:r w:rsidR="00BF3B4C" w:rsidRPr="00717687">
        <w:rPr>
          <w:rStyle w:val="normaltextrun"/>
          <w:rFonts w:cs="Arial"/>
        </w:rPr>
        <w:t xml:space="preserve">IHACPA received </w:t>
      </w:r>
      <w:r w:rsidR="007567C9" w:rsidRPr="00717687">
        <w:rPr>
          <w:rStyle w:val="normaltextrun"/>
          <w:rFonts w:cs="Arial"/>
        </w:rPr>
        <w:t xml:space="preserve">a range of </w:t>
      </w:r>
      <w:r w:rsidR="00BF3B4C" w:rsidRPr="00717687">
        <w:rPr>
          <w:rStyle w:val="normaltextrun"/>
          <w:rFonts w:cs="Arial"/>
        </w:rPr>
        <w:t>feedback from stakeholders</w:t>
      </w:r>
      <w:r w:rsidR="0BA36EEE" w:rsidRPr="00717687">
        <w:rPr>
          <w:rStyle w:val="normaltextrun"/>
          <w:rFonts w:cs="Arial"/>
        </w:rPr>
        <w:t>,</w:t>
      </w:r>
      <w:r w:rsidR="00BF3B4C" w:rsidRPr="00717687">
        <w:rPr>
          <w:rStyle w:val="normaltextrun"/>
          <w:rFonts w:cs="Arial"/>
        </w:rPr>
        <w:t xml:space="preserve"> </w:t>
      </w:r>
      <w:r w:rsidR="00DD59FB" w:rsidRPr="00717687">
        <w:rPr>
          <w:rStyle w:val="normaltextrun"/>
          <w:rFonts w:cs="Arial"/>
        </w:rPr>
        <w:t xml:space="preserve">including that IHACPA </w:t>
      </w:r>
      <w:r w:rsidR="00BF3B4C" w:rsidRPr="00717687">
        <w:rPr>
          <w:rStyle w:val="normaltextrun"/>
          <w:rFonts w:cs="Arial"/>
        </w:rPr>
        <w:t>consider future refinements to the AN-ACC classes and branching structure.</w:t>
      </w:r>
    </w:p>
    <w:p w14:paraId="1BC36CB6" w14:textId="5001977C" w:rsidR="00D423CC" w:rsidRPr="00717687" w:rsidRDefault="00E97A58" w:rsidP="008E40C8">
      <w:pPr>
        <w:ind w:right="-94"/>
        <w:rPr>
          <w:rStyle w:val="normaltextrun"/>
          <w:rFonts w:cs="Arial"/>
        </w:rPr>
      </w:pPr>
      <w:r w:rsidRPr="00717687">
        <w:rPr>
          <w:rStyle w:val="normaltextrun"/>
          <w:rFonts w:cs="Arial"/>
        </w:rPr>
        <w:t xml:space="preserve">Given the lack of resident-level data, </w:t>
      </w:r>
      <w:r w:rsidR="00BF3B4C" w:rsidRPr="00717687">
        <w:rPr>
          <w:rStyle w:val="normaltextrun"/>
          <w:rFonts w:cs="Arial"/>
        </w:rPr>
        <w:t>IHACPA</w:t>
      </w:r>
      <w:r w:rsidR="490931DD" w:rsidRPr="00717687">
        <w:rPr>
          <w:rStyle w:val="normaltextrun"/>
          <w:rFonts w:cs="Arial"/>
        </w:rPr>
        <w:t>’</w:t>
      </w:r>
      <w:r w:rsidR="00BF3B4C" w:rsidRPr="00717687">
        <w:rPr>
          <w:rStyle w:val="normaltextrun"/>
          <w:rFonts w:cs="Arial"/>
        </w:rPr>
        <w:t>s initial pricing advice for 1</w:t>
      </w:r>
      <w:r w:rsidR="00493FFE" w:rsidRPr="00717687">
        <w:rPr>
          <w:rStyle w:val="normaltextrun"/>
          <w:rFonts w:cs="Arial"/>
        </w:rPr>
        <w:t> </w:t>
      </w:r>
      <w:r w:rsidR="00BF3B4C" w:rsidRPr="00717687">
        <w:rPr>
          <w:rStyle w:val="normaltextrun"/>
          <w:rFonts w:cs="Arial"/>
        </w:rPr>
        <w:t>July</w:t>
      </w:r>
      <w:r w:rsidR="00493FFE" w:rsidRPr="00717687">
        <w:rPr>
          <w:rStyle w:val="normaltextrun"/>
          <w:rFonts w:cs="Arial"/>
        </w:rPr>
        <w:t> </w:t>
      </w:r>
      <w:r w:rsidR="00BF3B4C" w:rsidRPr="00717687">
        <w:rPr>
          <w:rStyle w:val="normaltextrun"/>
          <w:rFonts w:cs="Arial"/>
        </w:rPr>
        <w:t>2023 did not make recommendations to</w:t>
      </w:r>
      <w:r w:rsidR="00BF3B4C" w:rsidRPr="00717687">
        <w:rPr>
          <w:rStyle w:val="normaltextrun"/>
          <w:rFonts w:cs="Arial"/>
          <w:spacing w:val="-3"/>
        </w:rPr>
        <w:t xml:space="preserve"> change the AN-ACC structure of weightings</w:t>
      </w:r>
      <w:r w:rsidR="00BF3B4C" w:rsidRPr="00717687">
        <w:rPr>
          <w:rStyle w:val="normaltextrun"/>
          <w:rFonts w:cs="Arial"/>
        </w:rPr>
        <w:t>.</w:t>
      </w:r>
    </w:p>
    <w:p w14:paraId="3742E3AF" w14:textId="56B75E55" w:rsidR="00DD59FB" w:rsidRPr="00717687" w:rsidRDefault="00D423CC" w:rsidP="00F963C3">
      <w:pPr>
        <w:ind w:right="-94"/>
      </w:pPr>
      <w:r w:rsidRPr="00717687">
        <w:rPr>
          <w:rStyle w:val="normaltextrun"/>
          <w:rFonts w:cs="Arial"/>
        </w:rPr>
        <w:t xml:space="preserve">For the 1 July 2024 pricing advice, IHACPA proposes consideration of pricing advice for AN-ACC classes but will not provide advice on the AN-ACC branching structure (that groups residents with specific characteristics). </w:t>
      </w:r>
      <w:r w:rsidR="00846F35" w:rsidRPr="00717687">
        <w:t xml:space="preserve">The </w:t>
      </w:r>
      <w:r w:rsidR="009B6F1A" w:rsidRPr="00717687">
        <w:t>Australian</w:t>
      </w:r>
      <w:r w:rsidR="00846F35" w:rsidRPr="00717687">
        <w:t xml:space="preserve"> Government’s </w:t>
      </w:r>
      <w:r w:rsidR="00EA7618" w:rsidRPr="00717687">
        <w:t>(the Government</w:t>
      </w:r>
      <w:r w:rsidR="007A2978" w:rsidRPr="00717687">
        <w:t>’s</w:t>
      </w:r>
      <w:r w:rsidR="00EA7618" w:rsidRPr="00717687">
        <w:t>)</w:t>
      </w:r>
      <w:r w:rsidR="00846F35" w:rsidRPr="00717687">
        <w:t xml:space="preserve"> introduction of mandatory care minutes for residential aged care from 1 October 2023 will also be considered by IHACPA for any recommendations regarding price weights. This is further explained in section 3.1.5.</w:t>
      </w:r>
    </w:p>
    <w:p w14:paraId="3BB09B8C" w14:textId="77777777" w:rsidR="00E97A58" w:rsidRPr="00717687" w:rsidRDefault="00E97A58" w:rsidP="00BF3B4C"/>
    <w:p w14:paraId="6138F93E" w14:textId="77777777" w:rsidR="00E97A58" w:rsidRPr="00717687" w:rsidRDefault="00E97A58" w:rsidP="00BF3B4C"/>
    <w:p w14:paraId="67C0C569" w14:textId="77777777" w:rsidR="00E97A58" w:rsidRPr="00717687" w:rsidRDefault="00E97A58" w:rsidP="00BF3B4C"/>
    <w:p w14:paraId="261BF1F7" w14:textId="53AAB453" w:rsidR="006A131E" w:rsidRPr="00717687" w:rsidRDefault="00BF3B4C" w:rsidP="00BF3B4C">
      <w:r w:rsidRPr="00717687">
        <w:t>IHACPA aims to provide advice on refinements to the classification system based on evidence, stakeholder feedback and cost data</w:t>
      </w:r>
      <w:r w:rsidR="00846F35" w:rsidRPr="00717687">
        <w:t>, such as from IHACPA’s Residential Aged Care Costing Study (RACCS)</w:t>
      </w:r>
      <w:r w:rsidRPr="00717687">
        <w:t xml:space="preserve"> as it becomes available. This will be an extended and evolving process.</w:t>
      </w:r>
    </w:p>
    <w:tbl>
      <w:tblPr>
        <w:tblStyle w:val="TableGrid"/>
        <w:tblpPr w:leftFromText="180" w:rightFromText="180" w:vertAnchor="text" w:horzAnchor="page" w:tblpX="6301" w:tblpY="261"/>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680607" w:rsidRPr="006746C9" w14:paraId="1C6FAFCC" w14:textId="77777777" w:rsidTr="00CB75AD">
        <w:trPr>
          <w:trHeight w:val="1390"/>
        </w:trPr>
        <w:tc>
          <w:tcPr>
            <w:tcW w:w="5000" w:type="pct"/>
            <w:tcBorders>
              <w:left w:val="nil"/>
            </w:tcBorders>
            <w:shd w:val="clear" w:color="auto" w:fill="E6F4F9"/>
          </w:tcPr>
          <w:p w14:paraId="307C4796" w14:textId="4F27CF2A" w:rsidR="00680607" w:rsidRPr="006746C9" w:rsidRDefault="00680607" w:rsidP="00680607">
            <w:pPr>
              <w:pStyle w:val="Heading4"/>
              <w:framePr w:hSpace="0" w:wrap="auto" w:vAnchor="margin" w:hAnchor="text" w:yAlign="inline"/>
              <w:outlineLvl w:val="3"/>
              <w:rPr>
                <w:color w:val="000000" w:themeColor="text1"/>
              </w:rPr>
            </w:pPr>
            <w:bookmarkStart w:id="38" w:name="_Toc136434998"/>
            <w:bookmarkStart w:id="39" w:name="_Toc137552807"/>
            <w:r w:rsidRPr="006746C9">
              <w:rPr>
                <w:noProof/>
                <w:color w:val="000000" w:themeColor="text1"/>
              </w:rPr>
              <w:drawing>
                <wp:anchor distT="0" distB="0" distL="114300" distR="114300" simplePos="0" relativeHeight="251662336" behindDoc="0" locked="0" layoutInCell="1" allowOverlap="1" wp14:anchorId="03B7E254" wp14:editId="4072735A">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r w:rsidR="4BF3FA33" w:rsidRPr="006746C9">
              <w:t>s</w:t>
            </w:r>
          </w:p>
          <w:p w14:paraId="6EDDF67E" w14:textId="62E1A4D0" w:rsidR="00BE74A9" w:rsidRPr="00717687" w:rsidRDefault="00081FCA" w:rsidP="00081FCA">
            <w:pPr>
              <w:pStyle w:val="Bullets"/>
              <w:framePr w:hSpace="0" w:wrap="auto" w:vAnchor="margin" w:hAnchor="text" w:xAlign="left" w:yAlign="inline"/>
            </w:pPr>
            <w:bookmarkStart w:id="40" w:name="_Hlk138422825"/>
            <w:bookmarkStart w:id="41" w:name="_Hlk138192076"/>
            <w:r w:rsidRPr="00717687">
              <w:t>Do the current AN-ACC classes group residents in a manner that is relevant to both care and resource utilisation? (</w:t>
            </w:r>
            <w:proofErr w:type="gramStart"/>
            <w:r w:rsidR="00CB01EE">
              <w:t>that</w:t>
            </w:r>
            <w:proofErr w:type="gramEnd"/>
            <w:r w:rsidR="00CB01EE">
              <w:t xml:space="preserve"> is,</w:t>
            </w:r>
            <w:r w:rsidRPr="00717687">
              <w:t xml:space="preserve"> require the same degree of resources to support their care delivery). What evidence is there to support your answer?</w:t>
            </w:r>
          </w:p>
          <w:p w14:paraId="7EBC64B0" w14:textId="4169BDB3" w:rsidR="00081FCA" w:rsidRPr="006746C9" w:rsidRDefault="00680607" w:rsidP="00081FCA">
            <w:pPr>
              <w:pStyle w:val="Bullets"/>
              <w:framePr w:hSpace="0" w:wrap="auto" w:vAnchor="margin" w:hAnchor="text" w:xAlign="left" w:yAlign="inline"/>
            </w:pPr>
            <w:bookmarkStart w:id="42" w:name="_Hlk138422878"/>
            <w:bookmarkEnd w:id="40"/>
            <w:r w:rsidRPr="00717687">
              <w:t>What, if any, factors should IHACPA consider in future reviews of the AN</w:t>
            </w:r>
            <w:r w:rsidR="00663F99">
              <w:noBreakHyphen/>
            </w:r>
            <w:r w:rsidRPr="00717687">
              <w:t>ACC classes?</w:t>
            </w:r>
            <w:bookmarkEnd w:id="41"/>
            <w:bookmarkEnd w:id="42"/>
          </w:p>
        </w:tc>
      </w:tr>
    </w:tbl>
    <w:p w14:paraId="441DB69F" w14:textId="37F9A44F" w:rsidR="00680607" w:rsidRPr="00717687" w:rsidRDefault="00A5455F" w:rsidP="00CB75AD">
      <w:pPr>
        <w:pStyle w:val="Heading3"/>
        <w:rPr>
          <w:rStyle w:val="normaltextrun"/>
          <w:rFonts w:cs="Arial"/>
          <w:color w:val="auto"/>
        </w:rPr>
      </w:pPr>
      <w:r w:rsidRPr="00717687" w:rsidDel="00680607">
        <w:rPr>
          <w:color w:val="auto"/>
        </w:rPr>
        <w:t>3.1.2 Activity data</w:t>
      </w:r>
      <w:bookmarkEnd w:id="38"/>
      <w:bookmarkEnd w:id="39"/>
      <w:r w:rsidR="00680607" w:rsidRPr="00717687">
        <w:rPr>
          <w:rStyle w:val="normaltextrun"/>
          <w:rFonts w:cs="Arial"/>
          <w:color w:val="auto"/>
        </w:rPr>
        <w:t xml:space="preserve"> </w:t>
      </w:r>
    </w:p>
    <w:p w14:paraId="2D836D13" w14:textId="56D4BF00" w:rsidR="00BF3B4C" w:rsidRPr="00717687" w:rsidRDefault="00BF3B4C" w:rsidP="00BF3B4C">
      <w:pPr>
        <w:rPr>
          <w:rStyle w:val="normaltextrun"/>
          <w:rFonts w:cs="Arial"/>
        </w:rPr>
      </w:pPr>
      <w:r w:rsidRPr="00717687">
        <w:rPr>
          <w:rStyle w:val="normaltextrun"/>
          <w:rFonts w:cs="Arial"/>
        </w:rPr>
        <w:t>Under the AN-ACC funding model, activity data from residential aged care providers is reported to the Government. This includes data on the assessed AN-ACC classes of the residents</w:t>
      </w:r>
      <w:r w:rsidR="007A2978" w:rsidRPr="00717687">
        <w:rPr>
          <w:rStyle w:val="normaltextrun"/>
          <w:rFonts w:cs="Arial"/>
        </w:rPr>
        <w:t>,</w:t>
      </w:r>
      <w:r w:rsidRPr="00717687">
        <w:rPr>
          <w:rStyle w:val="normaltextrun"/>
          <w:rFonts w:cs="Arial"/>
        </w:rPr>
        <w:t xml:space="preserve"> as well as demographic and </w:t>
      </w:r>
      <w:r w:rsidR="51668096" w:rsidRPr="00717687">
        <w:rPr>
          <w:rStyle w:val="normaltextrun"/>
          <w:rFonts w:cs="Arial"/>
        </w:rPr>
        <w:t>service</w:t>
      </w:r>
      <w:r w:rsidRPr="00717687">
        <w:rPr>
          <w:rStyle w:val="normaltextrun"/>
          <w:rFonts w:cs="Arial"/>
        </w:rPr>
        <w:t xml:space="preserve"> data. This data will form the basis of AN-ACC daily basic subsidies paid by the Government to </w:t>
      </w:r>
      <w:r w:rsidR="00F963C3" w:rsidRPr="00717687">
        <w:rPr>
          <w:rStyle w:val="normaltextrun"/>
          <w:rFonts w:cs="Arial"/>
        </w:rPr>
        <w:t>providers and</w:t>
      </w:r>
      <w:r w:rsidRPr="00717687">
        <w:rPr>
          <w:rStyle w:val="normaltextrun"/>
          <w:rFonts w:cs="Arial"/>
        </w:rPr>
        <w:t xml:space="preserve"> be used for other reporting requirements. </w:t>
      </w:r>
    </w:p>
    <w:p w14:paraId="25FC2D19" w14:textId="55EA9DCB" w:rsidR="00BF3B4C" w:rsidRPr="00717687" w:rsidRDefault="00BF3B4C" w:rsidP="00BF3B4C">
      <w:pPr>
        <w:rPr>
          <w:rStyle w:val="normaltextrun"/>
          <w:rFonts w:cs="Arial"/>
        </w:rPr>
      </w:pPr>
      <w:r w:rsidRPr="00717687">
        <w:rPr>
          <w:rStyle w:val="normaltextrun"/>
          <w:rFonts w:cs="Arial"/>
        </w:rPr>
        <w:t xml:space="preserve">IHACPA will use this data in the development of costing and pricing advice, and </w:t>
      </w:r>
      <w:r w:rsidR="000E163F" w:rsidRPr="00717687">
        <w:rPr>
          <w:rStyle w:val="normaltextrun"/>
          <w:rFonts w:cs="Arial"/>
        </w:rPr>
        <w:t xml:space="preserve">advice on </w:t>
      </w:r>
      <w:r w:rsidRPr="00717687">
        <w:rPr>
          <w:rStyle w:val="normaltextrun"/>
          <w:rFonts w:cs="Arial"/>
        </w:rPr>
        <w:t xml:space="preserve">the refinement of AN-ACC over time. This activity data will help identify relevant </w:t>
      </w:r>
      <w:r w:rsidR="006833E3" w:rsidRPr="00717687">
        <w:rPr>
          <w:rStyle w:val="normaltextrun"/>
          <w:rFonts w:cs="Arial"/>
        </w:rPr>
        <w:t xml:space="preserve">unavoidable </w:t>
      </w:r>
      <w:r w:rsidR="000D21F7" w:rsidRPr="00717687">
        <w:rPr>
          <w:rStyle w:val="normaltextrun"/>
          <w:rFonts w:cs="Arial"/>
        </w:rPr>
        <w:t>service</w:t>
      </w:r>
      <w:r w:rsidR="006833E3" w:rsidRPr="00717687">
        <w:rPr>
          <w:rStyle w:val="normaltextrun"/>
          <w:rFonts w:cs="Arial"/>
        </w:rPr>
        <w:t xml:space="preserve"> </w:t>
      </w:r>
      <w:r w:rsidR="0000304E" w:rsidRPr="00717687">
        <w:rPr>
          <w:rStyle w:val="normaltextrun"/>
          <w:rFonts w:cs="Arial"/>
        </w:rPr>
        <w:t xml:space="preserve">level </w:t>
      </w:r>
      <w:r w:rsidR="00AF3071" w:rsidRPr="00717687">
        <w:rPr>
          <w:rStyle w:val="normaltextrun"/>
          <w:rFonts w:cs="Arial"/>
        </w:rPr>
        <w:t>costs</w:t>
      </w:r>
      <w:r w:rsidR="0076144B" w:rsidRPr="00717687">
        <w:rPr>
          <w:rStyle w:val="normaltextrun"/>
          <w:rFonts w:cs="Arial"/>
        </w:rPr>
        <w:t xml:space="preserve">, or </w:t>
      </w:r>
      <w:r w:rsidRPr="00717687">
        <w:rPr>
          <w:rStyle w:val="normaltextrun"/>
          <w:rFonts w:cs="Arial"/>
        </w:rPr>
        <w:t>costs related to a particular AN</w:t>
      </w:r>
      <w:r w:rsidR="00614131">
        <w:rPr>
          <w:rStyle w:val="normaltextrun"/>
          <w:rFonts w:cs="Arial"/>
        </w:rPr>
        <w:noBreakHyphen/>
      </w:r>
      <w:r w:rsidRPr="00717687">
        <w:rPr>
          <w:rStyle w:val="normaltextrun"/>
          <w:rFonts w:cs="Arial"/>
        </w:rPr>
        <w:t>ACC class.</w:t>
      </w:r>
    </w:p>
    <w:p w14:paraId="44726CAC" w14:textId="74BFE456" w:rsidR="00BE74A9" w:rsidRDefault="00BE74A9" w:rsidP="00BF3B4C">
      <w:pPr>
        <w:rPr>
          <w:rStyle w:val="normaltextrun"/>
          <w:rFonts w:cs="Arial"/>
        </w:rPr>
      </w:pPr>
    </w:p>
    <w:p w14:paraId="00A7BFFE" w14:textId="51FD0D4C" w:rsidR="00BE74A9" w:rsidRDefault="00BE74A9" w:rsidP="00BF3B4C">
      <w:pPr>
        <w:rPr>
          <w:rStyle w:val="normaltextrun"/>
          <w:rFonts w:cs="Arial"/>
        </w:rPr>
      </w:pPr>
    </w:p>
    <w:p w14:paraId="73F3F53F" w14:textId="05C8F814" w:rsidR="00BE74A9" w:rsidRDefault="00BE74A9" w:rsidP="00BF3B4C">
      <w:pPr>
        <w:rPr>
          <w:rStyle w:val="normaltextrun"/>
          <w:rFonts w:cs="Arial"/>
        </w:rPr>
      </w:pPr>
    </w:p>
    <w:p w14:paraId="09E1CD84" w14:textId="77777777" w:rsidR="00297FFC" w:rsidRPr="00E40500" w:rsidRDefault="00297FFC" w:rsidP="00BF3B4C">
      <w:pPr>
        <w:rPr>
          <w:rStyle w:val="normaltextrun"/>
          <w:rFonts w:cs="Arial"/>
        </w:rPr>
      </w:pPr>
    </w:p>
    <w:p w14:paraId="7995BC5C" w14:textId="7BDD0524" w:rsidR="00A5455F" w:rsidRPr="00717687" w:rsidRDefault="00A5455F" w:rsidP="00A5455F">
      <w:pPr>
        <w:pStyle w:val="Heading3"/>
        <w:rPr>
          <w:color w:val="auto"/>
        </w:rPr>
      </w:pPr>
      <w:bookmarkStart w:id="43" w:name="_Toc136434999"/>
      <w:bookmarkStart w:id="44" w:name="_Toc137552808"/>
      <w:r w:rsidRPr="00717687">
        <w:rPr>
          <w:color w:val="auto"/>
        </w:rPr>
        <w:lastRenderedPageBreak/>
        <w:t>3.1.3 Costing data</w:t>
      </w:r>
    </w:p>
    <w:bookmarkEnd w:id="43"/>
    <w:bookmarkEnd w:id="44"/>
    <w:p w14:paraId="79985C93" w14:textId="745FAD7E" w:rsidR="006C19D6" w:rsidRPr="00717687" w:rsidRDefault="00BF3B4C" w:rsidP="00CB75AD">
      <w:pPr>
        <w:ind w:right="-94"/>
        <w:rPr>
          <w:rStyle w:val="normaltextrun"/>
          <w:rFonts w:cs="Arial"/>
        </w:rPr>
      </w:pPr>
      <w:r w:rsidRPr="00717687">
        <w:rPr>
          <w:rStyle w:val="normaltextrun"/>
          <w:rFonts w:cs="Arial"/>
        </w:rPr>
        <w:t>IHACPA has commenced the RACCS</w:t>
      </w:r>
      <w:r w:rsidR="709B3B97" w:rsidRPr="00717687">
        <w:rPr>
          <w:rStyle w:val="normaltextrun"/>
          <w:rFonts w:cs="Arial"/>
        </w:rPr>
        <w:t>,</w:t>
      </w:r>
      <w:r w:rsidRPr="00717687">
        <w:rPr>
          <w:rStyle w:val="normaltextrun"/>
          <w:rFonts w:cs="Arial"/>
        </w:rPr>
        <w:t xml:space="preserve"> which </w:t>
      </w:r>
      <w:r w:rsidR="0032378D" w:rsidRPr="00717687">
        <w:rPr>
          <w:rStyle w:val="normaltextrun"/>
          <w:rFonts w:cs="Arial"/>
        </w:rPr>
        <w:t xml:space="preserve">will </w:t>
      </w:r>
      <w:r w:rsidRPr="00717687">
        <w:rPr>
          <w:rStyle w:val="normaltextrun"/>
          <w:rFonts w:cs="Arial"/>
        </w:rPr>
        <w:t xml:space="preserve">collect cost data from a range of </w:t>
      </w:r>
      <w:r w:rsidR="000F46C2" w:rsidRPr="00717687">
        <w:rPr>
          <w:rStyle w:val="normaltextrun"/>
          <w:rFonts w:cs="Arial"/>
        </w:rPr>
        <w:t xml:space="preserve">residential aged care </w:t>
      </w:r>
      <w:r w:rsidR="0085311D" w:rsidRPr="00717687">
        <w:rPr>
          <w:rStyle w:val="normaltextrun"/>
          <w:rFonts w:cs="Arial"/>
        </w:rPr>
        <w:t>services</w:t>
      </w:r>
      <w:r w:rsidRPr="00717687">
        <w:rPr>
          <w:rStyle w:val="normaltextrun"/>
          <w:rFonts w:cs="Arial"/>
        </w:rPr>
        <w:t>.</w:t>
      </w:r>
      <w:r w:rsidR="0085311D" w:rsidRPr="00717687">
        <w:rPr>
          <w:rStyle w:val="normaltextrun"/>
          <w:rFonts w:cs="Arial"/>
        </w:rPr>
        <w:t xml:space="preserve"> </w:t>
      </w:r>
      <w:r w:rsidRPr="00717687">
        <w:rPr>
          <w:rStyle w:val="normaltextrun"/>
          <w:rFonts w:cs="Arial"/>
        </w:rPr>
        <w:t>The RACCS aims to understand the costs incurred by providers, changes in these costs over time</w:t>
      </w:r>
      <w:r w:rsidR="3C3F3ED3" w:rsidRPr="00717687">
        <w:rPr>
          <w:rStyle w:val="normaltextrun"/>
          <w:rFonts w:cs="Arial"/>
        </w:rPr>
        <w:t>,</w:t>
      </w:r>
      <w:r w:rsidRPr="00717687">
        <w:rPr>
          <w:rStyle w:val="normaltextrun"/>
          <w:rFonts w:cs="Arial"/>
        </w:rPr>
        <w:t xml:space="preserve"> and the drivers of these costs. </w:t>
      </w:r>
    </w:p>
    <w:p w14:paraId="3FF50361" w14:textId="3C649441" w:rsidR="00BF3B4C" w:rsidRPr="00717687" w:rsidRDefault="00BF3B4C" w:rsidP="00CB75AD">
      <w:pPr>
        <w:ind w:right="-94"/>
        <w:rPr>
          <w:rStyle w:val="normaltextrun"/>
          <w:rFonts w:cs="Arial"/>
        </w:rPr>
      </w:pPr>
      <w:r w:rsidRPr="00717687">
        <w:rPr>
          <w:rStyle w:val="normaltextrun"/>
          <w:rFonts w:cs="Arial"/>
        </w:rPr>
        <w:t xml:space="preserve">The scope of services the RACCS will assess include: </w:t>
      </w:r>
    </w:p>
    <w:p w14:paraId="358F80F9" w14:textId="77777777" w:rsidR="00BF3B4C" w:rsidRPr="00717687" w:rsidRDefault="00BF3B4C" w:rsidP="0003369C">
      <w:pPr>
        <w:pStyle w:val="BulletL2"/>
        <w:numPr>
          <w:ilvl w:val="0"/>
          <w:numId w:val="60"/>
        </w:numPr>
        <w:rPr>
          <w:rStyle w:val="normaltextrun"/>
          <w:rFonts w:cstheme="minorBidi"/>
        </w:rPr>
      </w:pPr>
      <w:r w:rsidRPr="00717687">
        <w:rPr>
          <w:rStyle w:val="normaltextrun"/>
        </w:rPr>
        <w:t>care – direct and indirect labour costs and resident expenses</w:t>
      </w:r>
    </w:p>
    <w:p w14:paraId="5D53970A" w14:textId="0284A06C" w:rsidR="00BF3B4C" w:rsidRPr="00717687" w:rsidRDefault="00BF3B4C" w:rsidP="0003369C">
      <w:pPr>
        <w:pStyle w:val="BulletL2"/>
        <w:numPr>
          <w:ilvl w:val="0"/>
          <w:numId w:val="60"/>
        </w:numPr>
        <w:rPr>
          <w:rStyle w:val="normaltextrun"/>
        </w:rPr>
      </w:pPr>
      <w:r w:rsidRPr="00717687">
        <w:rPr>
          <w:rStyle w:val="normaltextrun"/>
        </w:rPr>
        <w:t>hotel – cleaning, catering</w:t>
      </w:r>
      <w:r w:rsidR="323911DE" w:rsidRPr="00717687">
        <w:rPr>
          <w:rStyle w:val="normaltextrun"/>
        </w:rPr>
        <w:t xml:space="preserve"> and</w:t>
      </w:r>
      <w:r w:rsidRPr="00717687">
        <w:rPr>
          <w:rStyle w:val="normaltextrun"/>
        </w:rPr>
        <w:t xml:space="preserve"> laundry costs</w:t>
      </w:r>
    </w:p>
    <w:p w14:paraId="6AD63884" w14:textId="41D1B424" w:rsidR="00BF3B4C" w:rsidRPr="00717687" w:rsidRDefault="00BF3B4C" w:rsidP="0003369C">
      <w:pPr>
        <w:pStyle w:val="BulletL2"/>
        <w:numPr>
          <w:ilvl w:val="0"/>
          <w:numId w:val="60"/>
        </w:numPr>
        <w:rPr>
          <w:rStyle w:val="normaltextrun"/>
        </w:rPr>
      </w:pPr>
      <w:r w:rsidRPr="00717687">
        <w:rPr>
          <w:rStyle w:val="normaltextrun"/>
        </w:rPr>
        <w:t>accommodation – labour, depreciation</w:t>
      </w:r>
      <w:r w:rsidR="705F120E" w:rsidRPr="00717687">
        <w:rPr>
          <w:rStyle w:val="normaltextrun"/>
        </w:rPr>
        <w:t xml:space="preserve"> and</w:t>
      </w:r>
      <w:r w:rsidRPr="00717687">
        <w:rPr>
          <w:rStyle w:val="normaltextrun"/>
        </w:rPr>
        <w:t xml:space="preserve"> maintenance</w:t>
      </w:r>
    </w:p>
    <w:p w14:paraId="5FB301E2" w14:textId="7D188593" w:rsidR="0031027E" w:rsidRPr="00717687" w:rsidRDefault="00BF3B4C" w:rsidP="0003369C">
      <w:pPr>
        <w:pStyle w:val="BulletL2"/>
        <w:numPr>
          <w:ilvl w:val="0"/>
          <w:numId w:val="60"/>
        </w:numPr>
        <w:rPr>
          <w:rStyle w:val="normaltextrun"/>
        </w:rPr>
      </w:pPr>
      <w:r w:rsidRPr="00717687">
        <w:rPr>
          <w:rStyle w:val="normaltextrun"/>
        </w:rPr>
        <w:t>administration and overheads</w:t>
      </w:r>
      <w:r w:rsidR="00E75919" w:rsidRPr="00717687">
        <w:rPr>
          <w:rStyle w:val="normaltextrun"/>
        </w:rPr>
        <w:t xml:space="preserve"> across </w:t>
      </w:r>
      <w:r w:rsidR="00E97A58" w:rsidRPr="00717687">
        <w:rPr>
          <w:rStyle w:val="normaltextrun"/>
        </w:rPr>
        <w:t>care, hote</w:t>
      </w:r>
      <w:r w:rsidR="000A5ACD" w:rsidRPr="00717687">
        <w:rPr>
          <w:rStyle w:val="normaltextrun"/>
        </w:rPr>
        <w:t>l</w:t>
      </w:r>
      <w:r w:rsidR="00E97A58" w:rsidRPr="00717687">
        <w:rPr>
          <w:rStyle w:val="normaltextrun"/>
        </w:rPr>
        <w:t>ling and accommodation</w:t>
      </w:r>
      <w:r w:rsidRPr="00717687">
        <w:rPr>
          <w:rStyle w:val="normaltextrun"/>
        </w:rPr>
        <w:t xml:space="preserve">. </w:t>
      </w:r>
    </w:p>
    <w:p w14:paraId="22E26AFA" w14:textId="24B44BAA" w:rsidR="00BF3B4C" w:rsidRPr="00717687" w:rsidRDefault="00BF3B4C" w:rsidP="00BF3B4C">
      <w:pPr>
        <w:rPr>
          <w:rStyle w:val="normaltextrun"/>
          <w:rFonts w:cs="Arial"/>
        </w:rPr>
      </w:pPr>
      <w:r w:rsidRPr="00717687">
        <w:rPr>
          <w:rStyle w:val="normaltextrun"/>
          <w:rFonts w:cs="Arial"/>
        </w:rPr>
        <w:t xml:space="preserve">The commencement of cost data collection will support IHACPA with future AN-ACC classification and pricing refinement advice. </w:t>
      </w:r>
      <w:r w:rsidR="000F46C2" w:rsidRPr="00717687">
        <w:rPr>
          <w:rStyle w:val="normaltextrun"/>
          <w:rFonts w:cs="Arial"/>
        </w:rPr>
        <w:t>New and emerging evidence will supplement IHACPA’s cost data collections to ensure evidence</w:t>
      </w:r>
      <w:r w:rsidR="1806CAFD" w:rsidRPr="00717687">
        <w:rPr>
          <w:rStyle w:val="normaltextrun"/>
          <w:rFonts w:cs="Arial"/>
        </w:rPr>
        <w:t>-</w:t>
      </w:r>
      <w:r w:rsidR="000F46C2" w:rsidRPr="00717687">
        <w:rPr>
          <w:rStyle w:val="normaltextrun"/>
          <w:rFonts w:cs="Arial"/>
        </w:rPr>
        <w:t>based pricing advice. This process will occur across multiple years and will be multi</w:t>
      </w:r>
      <w:r w:rsidR="00BC5BE5">
        <w:rPr>
          <w:rStyle w:val="normaltextrun"/>
          <w:rFonts w:cs="Arial"/>
        </w:rPr>
        <w:noBreakHyphen/>
      </w:r>
      <w:r w:rsidR="000F46C2" w:rsidRPr="00717687">
        <w:rPr>
          <w:rStyle w:val="normaltextrun"/>
          <w:rFonts w:cs="Arial"/>
        </w:rPr>
        <w:t>faceted</w:t>
      </w:r>
      <w:r w:rsidR="69DDAA97" w:rsidRPr="00717687">
        <w:rPr>
          <w:rStyle w:val="normaltextrun"/>
          <w:rFonts w:cs="Arial"/>
        </w:rPr>
        <w:t>,</w:t>
      </w:r>
      <w:r w:rsidR="000F46C2" w:rsidRPr="00717687">
        <w:rPr>
          <w:rStyle w:val="normaltextrun"/>
          <w:rFonts w:cs="Arial"/>
        </w:rPr>
        <w:t xml:space="preserve"> as costing practices and datasets grow and are refined over</w:t>
      </w:r>
      <w:r w:rsidR="50259528" w:rsidRPr="00717687">
        <w:rPr>
          <w:rStyle w:val="normaltextrun"/>
          <w:rFonts w:cs="Arial"/>
        </w:rPr>
        <w:t xml:space="preserve"> </w:t>
      </w:r>
      <w:r w:rsidR="000F46C2" w:rsidRPr="00717687">
        <w:rPr>
          <w:rStyle w:val="normaltextrun"/>
          <w:rFonts w:cs="Arial"/>
        </w:rPr>
        <w:t>time</w:t>
      </w:r>
      <w:r w:rsidR="000E163F" w:rsidRPr="00717687">
        <w:rPr>
          <w:rStyle w:val="normaltextrun"/>
          <w:rFonts w:cs="Arial"/>
        </w:rPr>
        <w:t>.</w:t>
      </w:r>
    </w:p>
    <w:p w14:paraId="0862BB14" w14:textId="77777777" w:rsidR="004B0E5B" w:rsidRPr="00717687" w:rsidRDefault="00BF3B4C" w:rsidP="00BF3B4C">
      <w:pPr>
        <w:rPr>
          <w:rStyle w:val="normaltextrun"/>
          <w:rFonts w:cs="Arial"/>
        </w:rPr>
      </w:pPr>
      <w:r w:rsidRPr="00717687">
        <w:rPr>
          <w:rStyle w:val="normaltextrun"/>
          <w:rFonts w:cs="Arial"/>
        </w:rPr>
        <w:t>IHACPA will also u</w:t>
      </w:r>
      <w:r w:rsidR="0031027E" w:rsidRPr="00717687">
        <w:rPr>
          <w:rStyle w:val="normaltextrun"/>
          <w:rFonts w:cs="Arial"/>
        </w:rPr>
        <w:t>s</w:t>
      </w:r>
      <w:r w:rsidRPr="00717687">
        <w:rPr>
          <w:rStyle w:val="normaltextrun"/>
          <w:rFonts w:cs="Arial"/>
        </w:rPr>
        <w:t xml:space="preserve">e the Aged Care Financial Report (ACFR) and the Quarterly Financial Report (QFR) data along with other data to support costing and pricing work. </w:t>
      </w:r>
    </w:p>
    <w:p w14:paraId="632EB4E9" w14:textId="7FEB4020" w:rsidR="00BF3B4C" w:rsidRPr="00717687" w:rsidRDefault="00395F4C" w:rsidP="00BF3B4C">
      <w:pPr>
        <w:rPr>
          <w:rStyle w:val="normaltextrun"/>
          <w:rFonts w:cs="Arial"/>
          <w:i/>
          <w:iCs/>
        </w:rPr>
      </w:pPr>
      <w:r w:rsidRPr="00717687">
        <w:rPr>
          <w:rStyle w:val="normaltextrun"/>
          <w:rFonts w:cs="Arial"/>
        </w:rPr>
        <w:t>IHACPA</w:t>
      </w:r>
      <w:r w:rsidR="00965F17" w:rsidRPr="00717687">
        <w:rPr>
          <w:rStyle w:val="normaltextrun"/>
          <w:rFonts w:cs="Arial"/>
        </w:rPr>
        <w:t xml:space="preserve"> has published its first </w:t>
      </w:r>
      <w:hyperlink r:id="rId76" w:history="1">
        <w:r w:rsidRPr="000F537E">
          <w:rPr>
            <w:rStyle w:val="Hyperlink"/>
            <w:rFonts w:cs="Arial"/>
            <w:i/>
            <w:iCs/>
          </w:rPr>
          <w:t xml:space="preserve">Residential Aged Care Pricing Advice Technical Specifications </w:t>
        </w:r>
        <w:r w:rsidR="00965F17" w:rsidRPr="000F537E">
          <w:rPr>
            <w:rStyle w:val="Hyperlink"/>
            <w:rFonts w:cs="Arial"/>
            <w:i/>
            <w:iCs/>
          </w:rPr>
          <w:t>2023</w:t>
        </w:r>
        <w:r w:rsidR="001157B8" w:rsidRPr="000F537E">
          <w:rPr>
            <w:rStyle w:val="Hyperlink"/>
            <w:rFonts w:cs="Arial"/>
            <w:i/>
            <w:iCs/>
          </w:rPr>
          <w:t>–</w:t>
        </w:r>
        <w:r w:rsidR="00965F17" w:rsidRPr="000F537E">
          <w:rPr>
            <w:rStyle w:val="Hyperlink"/>
            <w:rFonts w:cs="Arial"/>
            <w:i/>
            <w:iCs/>
          </w:rPr>
          <w:t>24</w:t>
        </w:r>
      </w:hyperlink>
      <w:r w:rsidR="007A2978" w:rsidRPr="00717687">
        <w:rPr>
          <w:rStyle w:val="normaltextrun"/>
          <w:rFonts w:cs="Arial"/>
        </w:rPr>
        <w:t xml:space="preserve">, </w:t>
      </w:r>
      <w:r w:rsidRPr="00717687">
        <w:rPr>
          <w:rStyle w:val="normaltextrun"/>
          <w:rFonts w:cs="Arial"/>
        </w:rPr>
        <w:t>detailing the methodology and data sources used to develop its pricing advice</w:t>
      </w:r>
      <w:r w:rsidR="00965F17" w:rsidRPr="00717687">
        <w:rPr>
          <w:rStyle w:val="normaltextrun"/>
          <w:rFonts w:cs="Arial"/>
        </w:rPr>
        <w:t xml:space="preserve"> for the </w:t>
      </w:r>
      <w:hyperlink r:id="rId77" w:history="1">
        <w:r w:rsidR="00965F17" w:rsidRPr="000F537E">
          <w:rPr>
            <w:rStyle w:val="Hyperlink"/>
            <w:rFonts w:cs="Arial"/>
            <w:i/>
            <w:iCs/>
          </w:rPr>
          <w:t>Residential Aged Care Pricing Advice</w:t>
        </w:r>
        <w:r w:rsidR="00122DA0" w:rsidRPr="000F537E">
          <w:rPr>
            <w:rStyle w:val="Hyperlink"/>
            <w:rFonts w:cs="Arial"/>
            <w:i/>
            <w:iCs/>
          </w:rPr>
          <w:t> </w:t>
        </w:r>
        <w:r w:rsidR="00965F17" w:rsidRPr="000F537E">
          <w:rPr>
            <w:rStyle w:val="Hyperlink"/>
            <w:rFonts w:cs="Arial"/>
            <w:i/>
            <w:iCs/>
          </w:rPr>
          <w:t>2023</w:t>
        </w:r>
        <w:r w:rsidR="001157B8" w:rsidRPr="000F537E">
          <w:rPr>
            <w:rStyle w:val="Hyperlink"/>
            <w:rFonts w:cs="Arial"/>
            <w:i/>
            <w:iCs/>
          </w:rPr>
          <w:t>–</w:t>
        </w:r>
        <w:r w:rsidR="00965F17" w:rsidRPr="000F537E">
          <w:rPr>
            <w:rStyle w:val="Hyperlink"/>
            <w:rFonts w:cs="Arial"/>
            <w:i/>
            <w:iCs/>
          </w:rPr>
          <w:t>24</w:t>
        </w:r>
      </w:hyperlink>
      <w:r w:rsidR="00965F17" w:rsidRPr="00717687">
        <w:rPr>
          <w:rStyle w:val="normaltextrun"/>
          <w:rFonts w:cs="Arial"/>
          <w:i/>
          <w:iCs/>
        </w:rPr>
        <w:t>.</w:t>
      </w:r>
      <w:r w:rsidR="00965F17" w:rsidRPr="00717687">
        <w:rPr>
          <w:rStyle w:val="normaltextrun"/>
          <w:rFonts w:cs="Arial"/>
        </w:rPr>
        <w:t xml:space="preserve"> These documents will be updated annually with the </w:t>
      </w:r>
      <w:r w:rsidR="00965F17" w:rsidRPr="00E85BFD">
        <w:rPr>
          <w:rStyle w:val="normaltextrun"/>
          <w:rFonts w:cs="Arial"/>
        </w:rPr>
        <w:t>Pricing Framework for Australian Residential Aged Care Services</w:t>
      </w:r>
      <w:r w:rsidR="00965F17" w:rsidRPr="00717687">
        <w:rPr>
          <w:rStyle w:val="normaltextrun"/>
          <w:rFonts w:cs="Arial"/>
          <w:i/>
          <w:iCs/>
        </w:rPr>
        <w:t>.</w:t>
      </w:r>
    </w:p>
    <w:p w14:paraId="7D4F4F73" w14:textId="77777777" w:rsidR="00967A2F" w:rsidRPr="00717687" w:rsidRDefault="00967A2F" w:rsidP="00BF3B4C">
      <w:pPr>
        <w:rPr>
          <w:rStyle w:val="normaltextrun"/>
          <w:rFonts w:cs="Arial"/>
        </w:rPr>
      </w:pPr>
    </w:p>
    <w:p w14:paraId="20588DF0" w14:textId="3E1CF096" w:rsidR="00502A16" w:rsidRPr="00717687" w:rsidRDefault="00502A16" w:rsidP="00502A16">
      <w:pPr>
        <w:pStyle w:val="Heading3"/>
        <w:rPr>
          <w:color w:val="auto"/>
        </w:rPr>
      </w:pPr>
      <w:bookmarkStart w:id="45" w:name="_Toc136435000"/>
      <w:bookmarkStart w:id="46" w:name="_Toc137552809"/>
      <w:r w:rsidRPr="00717687">
        <w:rPr>
          <w:color w:val="auto"/>
        </w:rPr>
        <w:t>3.1.4 Pricing</w:t>
      </w:r>
    </w:p>
    <w:bookmarkEnd w:id="45"/>
    <w:bookmarkEnd w:id="46"/>
    <w:p w14:paraId="3D0381F9" w14:textId="368FC226" w:rsidR="00BF3B4C" w:rsidRPr="00717687" w:rsidRDefault="00BF3B4C" w:rsidP="00BF3B4C">
      <w:pPr>
        <w:rPr>
          <w:rStyle w:val="normaltextrun"/>
          <w:rFonts w:cs="Arial"/>
        </w:rPr>
      </w:pPr>
      <w:r w:rsidRPr="00717687">
        <w:rPr>
          <w:rStyle w:val="normaltextrun"/>
          <w:rFonts w:cs="Arial"/>
        </w:rPr>
        <w:t>The core AN-ACC pricing model outputs are</w:t>
      </w:r>
      <w:r w:rsidR="005D6079" w:rsidRPr="00717687">
        <w:rPr>
          <w:rStyle w:val="normaltextrun"/>
          <w:rFonts w:cs="Arial"/>
        </w:rPr>
        <w:t xml:space="preserve"> the recommended</w:t>
      </w:r>
      <w:r w:rsidRPr="00717687">
        <w:rPr>
          <w:rStyle w:val="normaltextrun"/>
          <w:rFonts w:cs="Arial"/>
        </w:rPr>
        <w:t>:</w:t>
      </w:r>
    </w:p>
    <w:p w14:paraId="4A9E0067" w14:textId="080EF38A" w:rsidR="00BF3B4C" w:rsidRPr="00717687" w:rsidRDefault="005D6079" w:rsidP="0003369C">
      <w:pPr>
        <w:pStyle w:val="BulletL2"/>
        <w:numPr>
          <w:ilvl w:val="0"/>
          <w:numId w:val="62"/>
        </w:numPr>
        <w:rPr>
          <w:rStyle w:val="normaltextrun"/>
          <w:rFonts w:cstheme="minorBidi"/>
        </w:rPr>
      </w:pPr>
      <w:r w:rsidRPr="00717687">
        <w:rPr>
          <w:rStyle w:val="normaltextrun"/>
        </w:rPr>
        <w:t>AN-ACC price</w:t>
      </w:r>
    </w:p>
    <w:p w14:paraId="2A824C2E" w14:textId="58EB8581" w:rsidR="00BF3B4C" w:rsidRPr="00717687" w:rsidRDefault="005D6079" w:rsidP="0003369C">
      <w:pPr>
        <w:pStyle w:val="BulletL2"/>
        <w:numPr>
          <w:ilvl w:val="0"/>
          <w:numId w:val="62"/>
        </w:numPr>
        <w:rPr>
          <w:rStyle w:val="normaltextrun"/>
        </w:rPr>
      </w:pPr>
      <w:r w:rsidRPr="00717687">
        <w:rPr>
          <w:rStyle w:val="normaltextrun"/>
        </w:rPr>
        <w:t xml:space="preserve">AN-ACC </w:t>
      </w:r>
      <w:r w:rsidR="00BF3B4C" w:rsidRPr="00717687">
        <w:rPr>
          <w:rStyle w:val="normaltextrun"/>
        </w:rPr>
        <w:t>price weights, also called national weighted activity units (NWAU)</w:t>
      </w:r>
      <w:r w:rsidR="00FD3F64" w:rsidRPr="00717687">
        <w:rPr>
          <w:rStyle w:val="normaltextrun"/>
        </w:rPr>
        <w:t>.</w:t>
      </w:r>
    </w:p>
    <w:p w14:paraId="63B1559A" w14:textId="1DB3B9D2" w:rsidR="00BF3B4C" w:rsidRPr="00717687" w:rsidRDefault="00BF3B4C" w:rsidP="00BF3B4C">
      <w:pPr>
        <w:rPr>
          <w:rStyle w:val="normaltextrun"/>
          <w:rFonts w:cs="Arial"/>
        </w:rPr>
      </w:pPr>
      <w:r w:rsidRPr="00717687">
        <w:rPr>
          <w:rStyle w:val="normaltextrun"/>
          <w:rFonts w:cs="Arial"/>
        </w:rPr>
        <w:t xml:space="preserve">To calculate the total payment per resident per bed day, the total AN-ACC NWAU is multiplied by the </w:t>
      </w:r>
      <w:r w:rsidR="003E00C7" w:rsidRPr="00717687">
        <w:rPr>
          <w:rStyle w:val="normaltextrun"/>
          <w:rFonts w:cs="Arial"/>
        </w:rPr>
        <w:t>AN-ACC</w:t>
      </w:r>
      <w:r w:rsidRPr="00717687">
        <w:rPr>
          <w:rStyle w:val="normaltextrun"/>
          <w:rFonts w:cs="Arial"/>
        </w:rPr>
        <w:t xml:space="preserve"> price.</w:t>
      </w:r>
    </w:p>
    <w:p w14:paraId="252DED6F" w14:textId="13868917" w:rsidR="00BF3B4C" w:rsidRPr="00717687" w:rsidRDefault="00BF3B4C" w:rsidP="00BF3B4C">
      <w:r w:rsidRPr="00717687">
        <w:t>An AN-A</w:t>
      </w:r>
      <w:r w:rsidR="00FD3F64" w:rsidRPr="00717687">
        <w:t>C</w:t>
      </w:r>
      <w:r w:rsidRPr="00717687">
        <w:t xml:space="preserve">C NWAU is </w:t>
      </w:r>
      <w:r w:rsidR="00A528B7" w:rsidRPr="00717687">
        <w:t>the price of a unit of care</w:t>
      </w:r>
      <w:r w:rsidRPr="00717687">
        <w:t xml:space="preserve">. </w:t>
      </w:r>
      <w:r w:rsidR="009D5276" w:rsidRPr="00717687">
        <w:t xml:space="preserve">The NWAUs reflect variations in the cost of providing care, based on the characteristics of a service and the individual residents. </w:t>
      </w:r>
      <w:r w:rsidRPr="00717687">
        <w:t>For example, an NWAU of 1.2 would mean that the price of the AN-ACC class is 20 per cent higher than the national residential aged care price. An AN-ACC of 0.5 means that the price is 50 per cent lower than the national price.</w:t>
      </w:r>
    </w:p>
    <w:p w14:paraId="6DFA71CB" w14:textId="75985BB6" w:rsidR="00BF3B4C" w:rsidRPr="00717687" w:rsidRDefault="00BF3B4C" w:rsidP="00BF3B4C">
      <w:r w:rsidRPr="00717687">
        <w:t>For residential aged care residents, the total AN-ACC NWAU per resident per day comprises:</w:t>
      </w:r>
    </w:p>
    <w:p w14:paraId="3BEC7AF9" w14:textId="31C95151" w:rsidR="00BF3B4C" w:rsidRPr="00717687" w:rsidRDefault="00BF3B4C" w:rsidP="0003369C">
      <w:pPr>
        <w:pStyle w:val="ListParagraph"/>
        <w:numPr>
          <w:ilvl w:val="0"/>
          <w:numId w:val="61"/>
        </w:numPr>
        <w:spacing w:line="288" w:lineRule="auto"/>
      </w:pPr>
      <w:r w:rsidRPr="00717687">
        <w:rPr>
          <w:b/>
          <w:bCs/>
        </w:rPr>
        <w:t>Fixed component</w:t>
      </w:r>
      <w:r w:rsidRPr="00717687">
        <w:t xml:space="preserve">: </w:t>
      </w:r>
      <w:r w:rsidR="007A2978" w:rsidRPr="00717687">
        <w:t>C</w:t>
      </w:r>
      <w:r w:rsidRPr="00717687">
        <w:t xml:space="preserve">alled the Base Care Tariff (BCT). This is paid at the </w:t>
      </w:r>
      <w:r w:rsidR="0085311D" w:rsidRPr="00717687">
        <w:t>service</w:t>
      </w:r>
      <w:r w:rsidRPr="00717687">
        <w:t xml:space="preserve"> level and </w:t>
      </w:r>
      <w:r w:rsidR="0031027E" w:rsidRPr="00717687">
        <w:t xml:space="preserve">is </w:t>
      </w:r>
      <w:r w:rsidRPr="00717687">
        <w:t>dependent on the specific characteristics</w:t>
      </w:r>
      <w:r w:rsidR="46151A4F" w:rsidRPr="00717687">
        <w:t>,</w:t>
      </w:r>
      <w:r w:rsidRPr="00717687">
        <w:t xml:space="preserve"> such as its location and resident specialisation</w:t>
      </w:r>
    </w:p>
    <w:p w14:paraId="158AD575" w14:textId="48FB7626" w:rsidR="00BF3B4C" w:rsidRPr="00717687" w:rsidRDefault="00BF3B4C" w:rsidP="0003369C">
      <w:pPr>
        <w:pStyle w:val="ListParagraph"/>
        <w:numPr>
          <w:ilvl w:val="0"/>
          <w:numId w:val="61"/>
        </w:numPr>
        <w:spacing w:line="288" w:lineRule="auto"/>
      </w:pPr>
      <w:r w:rsidRPr="00717687">
        <w:rPr>
          <w:b/>
          <w:bCs/>
        </w:rPr>
        <w:t>Variable component</w:t>
      </w:r>
      <w:r w:rsidRPr="00717687">
        <w:t xml:space="preserve">: </w:t>
      </w:r>
      <w:r w:rsidR="007A2978" w:rsidRPr="00717687">
        <w:t>B</w:t>
      </w:r>
      <w:r w:rsidRPr="00717687">
        <w:t>ased on the individual resident’s AN-ACC class</w:t>
      </w:r>
    </w:p>
    <w:p w14:paraId="0A2BB9C1" w14:textId="39EF2A72" w:rsidR="00BF3B4C" w:rsidRPr="00717687" w:rsidRDefault="00BF3B4C" w:rsidP="0003369C">
      <w:pPr>
        <w:pStyle w:val="ListParagraph"/>
        <w:numPr>
          <w:ilvl w:val="0"/>
          <w:numId w:val="61"/>
        </w:numPr>
        <w:spacing w:line="288" w:lineRule="auto"/>
        <w:rPr>
          <w:b/>
          <w:bCs/>
        </w:rPr>
      </w:pPr>
      <w:r w:rsidRPr="00717687">
        <w:rPr>
          <w:b/>
          <w:bCs/>
        </w:rPr>
        <w:t xml:space="preserve">Adjustment component: </w:t>
      </w:r>
      <w:r w:rsidR="007A2978" w:rsidRPr="00717687">
        <w:t xml:space="preserve">A </w:t>
      </w:r>
      <w:r w:rsidR="00A528B7" w:rsidRPr="00717687">
        <w:t>one-off adjustment for transitioning a permanent resident into a service.</w:t>
      </w:r>
    </w:p>
    <w:p w14:paraId="34006974" w14:textId="511DDE65" w:rsidR="00A528B7" w:rsidRPr="00717687" w:rsidRDefault="00A528B7" w:rsidP="00F963C3">
      <w:pPr>
        <w:spacing w:line="288" w:lineRule="auto"/>
      </w:pPr>
      <w:r w:rsidRPr="00717687">
        <w:t xml:space="preserve">The </w:t>
      </w:r>
      <w:r w:rsidR="00551671">
        <w:t>Government</w:t>
      </w:r>
      <w:r w:rsidRPr="00717687">
        <w:t xml:space="preserve"> has set the initial BCT, AN-ACC class</w:t>
      </w:r>
      <w:r w:rsidR="6CC30B52" w:rsidRPr="00717687">
        <w:t>,</w:t>
      </w:r>
      <w:r w:rsidRPr="00717687">
        <w:t xml:space="preserve"> and one-off adjustment NWAUs from 1 July 2023. Further information on these values can be found in their</w:t>
      </w:r>
      <w:r w:rsidR="00967A2F" w:rsidRPr="00717687">
        <w:t xml:space="preserve"> </w:t>
      </w:r>
      <w:hyperlink r:id="rId78" w:history="1">
        <w:r w:rsidR="00967A2F" w:rsidRPr="00967A2F">
          <w:rPr>
            <w:rStyle w:val="Hyperlink"/>
          </w:rPr>
          <w:t>AN-ACC funding guide</w:t>
        </w:r>
      </w:hyperlink>
      <w:r w:rsidR="00967A2F" w:rsidRPr="00717687">
        <w:t xml:space="preserve">. </w:t>
      </w:r>
      <w:r w:rsidRPr="00717687">
        <w:t xml:space="preserve"> </w:t>
      </w:r>
    </w:p>
    <w:p w14:paraId="754C2DFB" w14:textId="068CF3B1" w:rsidR="00967A2F" w:rsidRPr="00717687" w:rsidRDefault="00967A2F" w:rsidP="00F963C3">
      <w:pPr>
        <w:spacing w:line="288" w:lineRule="auto"/>
      </w:pPr>
    </w:p>
    <w:p w14:paraId="686D8A5D" w14:textId="77777777" w:rsidR="00967A2F" w:rsidRPr="00717687" w:rsidRDefault="00967A2F" w:rsidP="00F963C3">
      <w:pPr>
        <w:spacing w:line="288" w:lineRule="auto"/>
      </w:pPr>
    </w:p>
    <w:p w14:paraId="36D027E6" w14:textId="6B5CCEA8" w:rsidR="00502A16" w:rsidRPr="00717687" w:rsidRDefault="00502A16" w:rsidP="00502A16">
      <w:pPr>
        <w:pStyle w:val="Heading3"/>
        <w:rPr>
          <w:color w:val="auto"/>
        </w:rPr>
      </w:pPr>
      <w:bookmarkStart w:id="47" w:name="_Toc137552810"/>
      <w:r w:rsidRPr="00717687">
        <w:rPr>
          <w:color w:val="auto"/>
        </w:rPr>
        <w:lastRenderedPageBreak/>
        <w:t>3.1.5 Care requirements</w:t>
      </w:r>
    </w:p>
    <w:bookmarkEnd w:id="47"/>
    <w:p w14:paraId="02CB3866" w14:textId="33C78735" w:rsidR="005474DB" w:rsidRPr="00717687" w:rsidRDefault="005474DB" w:rsidP="005474DB">
      <w:r w:rsidRPr="00717687">
        <w:t xml:space="preserve">The Government introduced mandatory care minute </w:t>
      </w:r>
      <w:r w:rsidR="003D1010" w:rsidRPr="00717687">
        <w:t>requirements</w:t>
      </w:r>
      <w:r w:rsidRPr="00717687">
        <w:t xml:space="preserve"> for residential aged care from 1 October 2023. The initial care minute </w:t>
      </w:r>
      <w:r w:rsidR="003D1010" w:rsidRPr="00717687">
        <w:t xml:space="preserve">requirement </w:t>
      </w:r>
      <w:r w:rsidRPr="00717687">
        <w:t>is a sector-wide average of 200 minutes of care per resident per day, including 40 minutes from a registered nurse (RN). From 1</w:t>
      </w:r>
      <w:r w:rsidR="004B0E5B" w:rsidRPr="00717687">
        <w:t> </w:t>
      </w:r>
      <w:r w:rsidRPr="00717687">
        <w:t>October 2024, there will be an increase to the mandatory care minutes to a sector</w:t>
      </w:r>
      <w:r w:rsidR="00791794" w:rsidRPr="00717687">
        <w:noBreakHyphen/>
      </w:r>
      <w:r w:rsidRPr="00717687">
        <w:t>wide average of 215 minutes, including 44</w:t>
      </w:r>
      <w:r w:rsidR="004B0E5B" w:rsidRPr="00717687">
        <w:t> </w:t>
      </w:r>
      <w:r w:rsidRPr="00717687">
        <w:t>minutes of RN time</w:t>
      </w:r>
      <w:r w:rsidRPr="00717687">
        <w:rPr>
          <w:rStyle w:val="FootnoteReference"/>
        </w:rPr>
        <w:footnoteReference w:id="3"/>
      </w:r>
      <w:r w:rsidRPr="00717687">
        <w:t xml:space="preserve">. </w:t>
      </w:r>
      <w:r w:rsidR="003D1010" w:rsidRPr="00717687">
        <w:t>These care minutes are funded through the AN</w:t>
      </w:r>
      <w:r w:rsidR="00AF5448">
        <w:noBreakHyphen/>
      </w:r>
      <w:r w:rsidR="003D1010" w:rsidRPr="00717687">
        <w:t>ACC funding model.</w:t>
      </w:r>
    </w:p>
    <w:p w14:paraId="67CB1C14" w14:textId="3E43E2D5" w:rsidR="0097037B" w:rsidRPr="00717687" w:rsidRDefault="00680E6D" w:rsidP="005474DB">
      <w:r w:rsidRPr="00717687">
        <w:t>This care minute requirement will apply at the service level over the quarter. Each service ha</w:t>
      </w:r>
      <w:r w:rsidR="005332E7" w:rsidRPr="00717687">
        <w:t xml:space="preserve">s </w:t>
      </w:r>
      <w:r w:rsidR="00551671">
        <w:t xml:space="preserve">average </w:t>
      </w:r>
      <w:r w:rsidR="005332E7" w:rsidRPr="00717687">
        <w:t>per resident per day targets that reflect their residents AN-ACC classifications. This target is fixed for the quarter based on the mix of resident</w:t>
      </w:r>
      <w:r w:rsidR="0097037B" w:rsidRPr="00717687">
        <w:t>s’ AN</w:t>
      </w:r>
      <w:r w:rsidR="00F328FE" w:rsidRPr="00717687">
        <w:noBreakHyphen/>
      </w:r>
      <w:r w:rsidR="0097037B" w:rsidRPr="00717687">
        <w:t>ACC classifications in the previous three months.</w:t>
      </w:r>
    </w:p>
    <w:p w14:paraId="493F4D7D" w14:textId="3819BC9F" w:rsidR="005474DB" w:rsidRPr="00717687" w:rsidRDefault="00D408DA" w:rsidP="005474DB">
      <w:r w:rsidRPr="00717687">
        <w:t>This service level target is set based on the care minutes associated with each AN-ACC classification. The minutes associated with each AN-ACC class</w:t>
      </w:r>
      <w:r w:rsidR="005474DB" w:rsidRPr="00717687">
        <w:t xml:space="preserve"> reflect the varying care needs across AN</w:t>
      </w:r>
      <w:r w:rsidR="00174837">
        <w:noBreakHyphen/>
      </w:r>
      <w:r w:rsidR="005474DB" w:rsidRPr="00717687">
        <w:t>ACC classes of different complexity</w:t>
      </w:r>
      <w:r w:rsidRPr="00717687">
        <w:t>, and</w:t>
      </w:r>
      <w:r w:rsidR="005474DB" w:rsidRPr="00717687">
        <w:t xml:space="preserve"> can be found on the </w:t>
      </w:r>
      <w:hyperlink r:id="rId79" w:history="1">
        <w:r w:rsidR="005474DB" w:rsidRPr="00CB75AD">
          <w:rPr>
            <w:rStyle w:val="Hyperlink"/>
          </w:rPr>
          <w:t>Department’s website</w:t>
        </w:r>
      </w:hyperlink>
      <w:r w:rsidR="005474DB" w:rsidRPr="00717687">
        <w:t>.</w:t>
      </w:r>
    </w:p>
    <w:p w14:paraId="1C8C833D" w14:textId="44C05BB3" w:rsidR="005474DB" w:rsidRPr="00717687" w:rsidRDefault="005474DB" w:rsidP="005474DB">
      <w:r w:rsidRPr="00717687">
        <w:t xml:space="preserve">At the </w:t>
      </w:r>
      <w:r w:rsidR="00D408DA" w:rsidRPr="00717687">
        <w:t xml:space="preserve">service </w:t>
      </w:r>
      <w:r w:rsidRPr="00717687">
        <w:t xml:space="preserve">level, this results in a care minute target that is adjusted according to the number and AN-ACC classes of residents at the </w:t>
      </w:r>
      <w:r w:rsidR="00D408DA" w:rsidRPr="00717687">
        <w:t>service</w:t>
      </w:r>
      <w:r w:rsidRPr="00717687">
        <w:t xml:space="preserve">. </w:t>
      </w:r>
    </w:p>
    <w:p w14:paraId="559388EF" w14:textId="72891FA4" w:rsidR="005474DB" w:rsidRPr="00717687" w:rsidRDefault="005474DB" w:rsidP="005474DB">
      <w:r w:rsidRPr="00717687">
        <w:t xml:space="preserve">Providers report their care staffing </w:t>
      </w:r>
      <w:r w:rsidR="002D1635" w:rsidRPr="00717687">
        <w:t>time</w:t>
      </w:r>
      <w:r w:rsidRPr="00717687">
        <w:t xml:space="preserve"> in their QFR, which is used to determine each </w:t>
      </w:r>
      <w:r w:rsidR="00317A77" w:rsidRPr="00717687">
        <w:t>service</w:t>
      </w:r>
      <w:r w:rsidRPr="00717687">
        <w:t>’s performance against their care minute</w:t>
      </w:r>
      <w:r w:rsidR="002318F7" w:rsidRPr="00717687">
        <w:t xml:space="preserve"> requirements</w:t>
      </w:r>
      <w:r w:rsidRPr="00717687">
        <w:t xml:space="preserve">. Care minute reporting is also used to inform the star rating system on the </w:t>
      </w:r>
      <w:hyperlink r:id="rId80" w:anchor="what-do-the-star-ratings-mean" w:history="1">
        <w:r w:rsidRPr="00FE7859">
          <w:rPr>
            <w:rStyle w:val="Hyperlink"/>
          </w:rPr>
          <w:t>My Aged Care website</w:t>
        </w:r>
      </w:hyperlink>
      <w:r w:rsidRPr="00717687">
        <w:t xml:space="preserve">. </w:t>
      </w:r>
    </w:p>
    <w:p w14:paraId="00CAB971" w14:textId="77777777" w:rsidR="00967A2F" w:rsidRPr="00717687" w:rsidRDefault="00967A2F" w:rsidP="005474DB"/>
    <w:p w14:paraId="1CF4318D" w14:textId="261FA453" w:rsidR="00AD3A1F" w:rsidRPr="00717687" w:rsidRDefault="005474DB" w:rsidP="005474DB">
      <w:r w:rsidRPr="00717687">
        <w:t xml:space="preserve">Any shift in class and funding level is accompanied by a change in the required care minutes that must be provided by </w:t>
      </w:r>
      <w:r w:rsidR="00704B81" w:rsidRPr="00717687">
        <w:t>a</w:t>
      </w:r>
      <w:r w:rsidRPr="00717687">
        <w:t xml:space="preserve"> </w:t>
      </w:r>
      <w:r w:rsidR="00D408DA" w:rsidRPr="00717687">
        <w:t>service</w:t>
      </w:r>
      <w:r w:rsidRPr="00717687">
        <w:t xml:space="preserve">. As a result, funding should remain closely aligned to the care that is required and provided. </w:t>
      </w:r>
    </w:p>
    <w:p w14:paraId="69869BD7" w14:textId="573ED190" w:rsidR="00252173" w:rsidRPr="00717687" w:rsidRDefault="00967A2F" w:rsidP="005474DB">
      <w:r w:rsidRPr="00717687">
        <w:t>While IHACPA is not responsible for recommending the minutes associated with each AN-ACC class, IHACPA, if requested, will provide data collected as part of its costing studies to the Department. This will allow the Government to continue to align minutes with each AN-ACC class over time, as the funding changes through adjustments to the NWAUs or AN-ACC classes themselves</w:t>
      </w:r>
      <w:r w:rsidR="00F22B77" w:rsidRPr="00717687">
        <w:t xml:space="preserve">. </w:t>
      </w:r>
    </w:p>
    <w:tbl>
      <w:tblPr>
        <w:tblStyle w:val="TableGrid"/>
        <w:tblpPr w:leftFromText="180" w:rightFromText="180" w:vertAnchor="text" w:horzAnchor="margin" w:tblpXSpec="right" w:tblpY="5"/>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967A2F" w:rsidRPr="006746C9" w14:paraId="5B8558EF" w14:textId="77777777" w:rsidTr="00967A2F">
        <w:trPr>
          <w:trHeight w:val="1466"/>
        </w:trPr>
        <w:tc>
          <w:tcPr>
            <w:tcW w:w="5000" w:type="pct"/>
            <w:tcBorders>
              <w:left w:val="nil"/>
            </w:tcBorders>
            <w:shd w:val="clear" w:color="auto" w:fill="E6F4F9"/>
          </w:tcPr>
          <w:p w14:paraId="4620F925" w14:textId="77777777" w:rsidR="00967A2F" w:rsidRPr="006746C9" w:rsidRDefault="00967A2F" w:rsidP="00967A2F">
            <w:pPr>
              <w:pStyle w:val="Heading4"/>
              <w:framePr w:hSpace="0" w:wrap="auto" w:vAnchor="margin" w:hAnchor="text" w:yAlign="inline"/>
              <w:outlineLvl w:val="3"/>
              <w:rPr>
                <w:color w:val="000000" w:themeColor="text1"/>
              </w:rPr>
            </w:pPr>
            <w:r w:rsidRPr="006746C9">
              <w:rPr>
                <w:noProof/>
                <w:color w:val="000000" w:themeColor="text1"/>
              </w:rPr>
              <w:drawing>
                <wp:anchor distT="0" distB="0" distL="114300" distR="114300" simplePos="0" relativeHeight="251721728" behindDoc="0" locked="0" layoutInCell="1" allowOverlap="1" wp14:anchorId="25B19DB8" wp14:editId="29FC6DF8">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9"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p>
          <w:p w14:paraId="7A02E12C" w14:textId="4E6601C4" w:rsidR="00967A2F" w:rsidRPr="006746C9" w:rsidRDefault="00967A2F" w:rsidP="00967A2F">
            <w:pPr>
              <w:pStyle w:val="Bullets"/>
              <w:framePr w:hSpace="0" w:wrap="auto" w:vAnchor="margin" w:hAnchor="text" w:xAlign="left" w:yAlign="inline"/>
            </w:pPr>
            <w:bookmarkStart w:id="48" w:name="_Hlk138422952"/>
            <w:r w:rsidRPr="00717687">
              <w:t xml:space="preserve">Are there any other legitimate or unavoidable costs associated with a permanent resident’s stage of care? </w:t>
            </w:r>
            <w:r w:rsidR="00E0227E">
              <w:t>F</w:t>
            </w:r>
            <w:r w:rsidR="00902532">
              <w:t>or example</w:t>
            </w:r>
            <w:r w:rsidR="00A6343D">
              <w:t>,</w:t>
            </w:r>
            <w:r w:rsidRPr="00717687">
              <w:t xml:space="preserve"> entry into or departure from a service. </w:t>
            </w:r>
            <w:bookmarkEnd w:id="48"/>
          </w:p>
        </w:tc>
      </w:tr>
    </w:tbl>
    <w:p w14:paraId="2A0D7A99" w14:textId="6225185F" w:rsidR="00967A2F" w:rsidRDefault="00967A2F" w:rsidP="005474DB"/>
    <w:p w14:paraId="4424D7B8" w14:textId="54747433" w:rsidR="00967A2F" w:rsidRDefault="00967A2F" w:rsidP="005474DB"/>
    <w:p w14:paraId="129AB7E0" w14:textId="792C7EE3" w:rsidR="00967A2F" w:rsidRDefault="00967A2F" w:rsidP="005474DB"/>
    <w:p w14:paraId="3B0CB577" w14:textId="65571FB4" w:rsidR="00967A2F" w:rsidRDefault="00967A2F" w:rsidP="005474DB"/>
    <w:p w14:paraId="5A683B9E" w14:textId="6BC40692" w:rsidR="00967A2F" w:rsidRDefault="00967A2F" w:rsidP="005474DB"/>
    <w:p w14:paraId="5A3CF7A3" w14:textId="6FF517EE" w:rsidR="00967A2F" w:rsidRDefault="00967A2F" w:rsidP="005474DB"/>
    <w:p w14:paraId="28A3FEFF" w14:textId="367A4817" w:rsidR="00967A2F" w:rsidRDefault="00967A2F" w:rsidP="005474DB"/>
    <w:p w14:paraId="0C2C70D4" w14:textId="1FF119A8" w:rsidR="00967A2F" w:rsidRDefault="00967A2F" w:rsidP="005474DB"/>
    <w:p w14:paraId="7F72150C" w14:textId="569E7773" w:rsidR="00967A2F" w:rsidRDefault="00967A2F" w:rsidP="005474DB"/>
    <w:p w14:paraId="18596DFE" w14:textId="77777777" w:rsidR="00967A2F" w:rsidRDefault="00967A2F" w:rsidP="005474DB"/>
    <w:p w14:paraId="3630254D" w14:textId="7013C1A1" w:rsidR="00967A2F" w:rsidRDefault="00967A2F" w:rsidP="005474DB"/>
    <w:p w14:paraId="40F82258" w14:textId="0A4A5054" w:rsidR="00967A2F" w:rsidRDefault="00967A2F" w:rsidP="005474DB"/>
    <w:p w14:paraId="5FF86F7F" w14:textId="58DA31D4" w:rsidR="00967A2F" w:rsidRDefault="00967A2F" w:rsidP="005474DB"/>
    <w:p w14:paraId="5464AB75" w14:textId="275D8F3A" w:rsidR="00502A16" w:rsidRDefault="00502A16" w:rsidP="00502A16">
      <w:pPr>
        <w:pStyle w:val="Heading2"/>
        <w:rPr>
          <w:rStyle w:val="normaltextrun"/>
        </w:rPr>
      </w:pPr>
      <w:r>
        <w:rPr>
          <w:rStyle w:val="normaltextrun"/>
        </w:rPr>
        <w:lastRenderedPageBreak/>
        <w:t xml:space="preserve">3.2 Residential </w:t>
      </w:r>
      <w:r w:rsidR="18E3DA80" w:rsidRPr="5788C3C9">
        <w:rPr>
          <w:rStyle w:val="normaltextrun"/>
        </w:rPr>
        <w:t>r</w:t>
      </w:r>
      <w:r w:rsidRPr="5788C3C9">
        <w:rPr>
          <w:rStyle w:val="normaltextrun"/>
        </w:rPr>
        <w:t xml:space="preserve">espite </w:t>
      </w:r>
      <w:r w:rsidR="581CE2BB" w:rsidRPr="5788C3C9">
        <w:rPr>
          <w:rStyle w:val="normaltextrun"/>
        </w:rPr>
        <w:t>c</w:t>
      </w:r>
      <w:r>
        <w:rPr>
          <w:rStyle w:val="normaltextrun"/>
        </w:rPr>
        <w:t>are</w:t>
      </w:r>
    </w:p>
    <w:p w14:paraId="02C6CB30" w14:textId="06EDFBBC" w:rsidR="00502A16" w:rsidRPr="00717687" w:rsidRDefault="00502A16" w:rsidP="00502A16">
      <w:pPr>
        <w:pStyle w:val="Heading3"/>
        <w:rPr>
          <w:color w:val="auto"/>
        </w:rPr>
      </w:pPr>
      <w:r w:rsidRPr="00717687">
        <w:rPr>
          <w:color w:val="auto"/>
        </w:rPr>
        <w:t xml:space="preserve">3.2.1 Classification system </w:t>
      </w:r>
    </w:p>
    <w:p w14:paraId="6B960553" w14:textId="05D21558" w:rsidR="00502A16" w:rsidRPr="00717687" w:rsidRDefault="00502A16" w:rsidP="00502A16">
      <w:r w:rsidRPr="00717687">
        <w:t xml:space="preserve">The </w:t>
      </w:r>
      <w:r w:rsidR="00E42F56" w:rsidRPr="00717687">
        <w:t>r</w:t>
      </w:r>
      <w:r w:rsidRPr="00717687">
        <w:t xml:space="preserve">esidential respite funding model is aligned to the AN-ACC and replaced the Respite Subsidy and Respite Supplement. </w:t>
      </w:r>
    </w:p>
    <w:p w14:paraId="3BD71DBA" w14:textId="4B4C6721" w:rsidR="000705E6" w:rsidRPr="00717687" w:rsidRDefault="00502A16">
      <w:r w:rsidRPr="00717687">
        <w:t>There are three respite classes reflecting residents who are assessed to</w:t>
      </w:r>
      <w:r w:rsidR="000705E6" w:rsidRPr="00717687">
        <w:t>:</w:t>
      </w:r>
    </w:p>
    <w:p w14:paraId="18BB7439" w14:textId="2A0F7D7E" w:rsidR="000705E6" w:rsidRPr="00717687" w:rsidRDefault="06BEF6B8" w:rsidP="1921498B">
      <w:pPr>
        <w:pStyle w:val="BulletL2"/>
        <w:numPr>
          <w:ilvl w:val="0"/>
          <w:numId w:val="67"/>
        </w:numPr>
        <w:rPr>
          <w:rStyle w:val="normaltextrun"/>
          <w:rFonts w:cstheme="minorBidi"/>
        </w:rPr>
      </w:pPr>
      <w:r w:rsidRPr="00717687">
        <w:rPr>
          <w:rStyle w:val="normaltextrun"/>
        </w:rPr>
        <w:t xml:space="preserve">be </w:t>
      </w:r>
      <w:r w:rsidR="00502A16" w:rsidRPr="00717687">
        <w:rPr>
          <w:rStyle w:val="normaltextrun"/>
        </w:rPr>
        <w:t xml:space="preserve">independently mobile </w:t>
      </w:r>
      <w:r w:rsidRPr="00717687">
        <w:br/>
      </w:r>
      <w:r w:rsidR="00502A16" w:rsidRPr="00717687">
        <w:rPr>
          <w:rStyle w:val="normaltextrun"/>
        </w:rPr>
        <w:t>(</w:t>
      </w:r>
      <w:r w:rsidR="000705E6" w:rsidRPr="00717687">
        <w:rPr>
          <w:rStyle w:val="normaltextrun"/>
        </w:rPr>
        <w:t xml:space="preserve">Respite </w:t>
      </w:r>
      <w:r w:rsidR="00502A16" w:rsidRPr="00717687">
        <w:rPr>
          <w:rStyle w:val="normaltextrun"/>
        </w:rPr>
        <w:t>Class</w:t>
      </w:r>
      <w:r w:rsidR="000705E6" w:rsidRPr="00717687">
        <w:rPr>
          <w:rStyle w:val="normaltextrun"/>
        </w:rPr>
        <w:t> </w:t>
      </w:r>
      <w:r w:rsidR="00502A16" w:rsidRPr="00717687">
        <w:rPr>
          <w:rStyle w:val="normaltextrun"/>
        </w:rPr>
        <w:t>101)</w:t>
      </w:r>
    </w:p>
    <w:p w14:paraId="4A25683B" w14:textId="0A49CFFC" w:rsidR="000705E6" w:rsidRPr="00717687" w:rsidRDefault="00502A16" w:rsidP="6813B805">
      <w:pPr>
        <w:pStyle w:val="BulletL2"/>
        <w:numPr>
          <w:ilvl w:val="0"/>
          <w:numId w:val="67"/>
        </w:numPr>
        <w:rPr>
          <w:rStyle w:val="normaltextrun"/>
        </w:rPr>
      </w:pPr>
      <w:r w:rsidRPr="00717687">
        <w:rPr>
          <w:rStyle w:val="normaltextrun"/>
        </w:rPr>
        <w:t xml:space="preserve">have assisted mobility </w:t>
      </w:r>
      <w:r w:rsidRPr="00717687">
        <w:br/>
      </w:r>
      <w:r w:rsidRPr="00717687">
        <w:rPr>
          <w:rStyle w:val="normaltextrun"/>
        </w:rPr>
        <w:t>(</w:t>
      </w:r>
      <w:r w:rsidR="000705E6" w:rsidRPr="00717687">
        <w:rPr>
          <w:rStyle w:val="normaltextrun"/>
        </w:rPr>
        <w:t xml:space="preserve">Respite </w:t>
      </w:r>
      <w:r w:rsidRPr="00717687">
        <w:rPr>
          <w:rStyle w:val="normaltextrun"/>
        </w:rPr>
        <w:t>Class 102)</w:t>
      </w:r>
    </w:p>
    <w:p w14:paraId="050C6876" w14:textId="035DE609" w:rsidR="000705E6" w:rsidRPr="00717687" w:rsidRDefault="6EEA5A11" w:rsidP="6813B805">
      <w:pPr>
        <w:pStyle w:val="BulletL2"/>
        <w:numPr>
          <w:ilvl w:val="0"/>
          <w:numId w:val="67"/>
        </w:numPr>
      </w:pPr>
      <w:r w:rsidRPr="00717687">
        <w:rPr>
          <w:rStyle w:val="normaltextrun"/>
        </w:rPr>
        <w:t xml:space="preserve">have </w:t>
      </w:r>
      <w:r w:rsidR="00502A16" w:rsidRPr="00717687">
        <w:rPr>
          <w:rStyle w:val="normaltextrun"/>
        </w:rPr>
        <w:t>limited mobility</w:t>
      </w:r>
      <w:r w:rsidR="00502A16" w:rsidRPr="00717687">
        <w:t xml:space="preserve"> </w:t>
      </w:r>
      <w:r w:rsidRPr="00717687">
        <w:br/>
      </w:r>
      <w:r w:rsidR="00502A16" w:rsidRPr="00717687">
        <w:t>(</w:t>
      </w:r>
      <w:r w:rsidR="000705E6" w:rsidRPr="00717687">
        <w:t xml:space="preserve">Respite </w:t>
      </w:r>
      <w:r w:rsidR="00502A16" w:rsidRPr="00717687">
        <w:t xml:space="preserve">Class 103). </w:t>
      </w:r>
    </w:p>
    <w:p w14:paraId="3017928F" w14:textId="0FC26C5D" w:rsidR="00894785" w:rsidRPr="00717687" w:rsidRDefault="00502A16">
      <w:r w:rsidRPr="00717687">
        <w:t>Residential respite funding comprises a fixed component that is the same as the BCT for permanent residents</w:t>
      </w:r>
      <w:r w:rsidR="001839AB" w:rsidRPr="00717687">
        <w:t>,</w:t>
      </w:r>
      <w:r w:rsidRPr="00717687">
        <w:t xml:space="preserve"> and a variable component according to their respite class. Unlike residential aged care, there is no </w:t>
      </w:r>
      <w:r w:rsidR="002D1177" w:rsidRPr="00717687">
        <w:t>one</w:t>
      </w:r>
      <w:r w:rsidR="001839AB" w:rsidRPr="00717687">
        <w:t>-</w:t>
      </w:r>
      <w:r w:rsidR="002D1177" w:rsidRPr="00717687">
        <w:t xml:space="preserve">off adjustment </w:t>
      </w:r>
      <w:r w:rsidRPr="00717687">
        <w:t>payment for respite care</w:t>
      </w:r>
      <w:r w:rsidR="45C60C9A" w:rsidRPr="00717687">
        <w:t>,</w:t>
      </w:r>
      <w:r w:rsidRPr="00717687">
        <w:t xml:space="preserve"> as this cost has been reflected in a higher daily rate.</w:t>
      </w:r>
    </w:p>
    <w:p w14:paraId="04B1412A" w14:textId="4C506B8B" w:rsidR="00502A16" w:rsidRPr="00717687" w:rsidRDefault="00502A16" w:rsidP="00502A16">
      <w:pPr>
        <w:pStyle w:val="Heading3"/>
        <w:rPr>
          <w:color w:val="auto"/>
        </w:rPr>
      </w:pPr>
      <w:r w:rsidRPr="00717687">
        <w:rPr>
          <w:color w:val="auto"/>
        </w:rPr>
        <w:t>3.2.2 Costing and pricing</w:t>
      </w:r>
    </w:p>
    <w:p w14:paraId="52798EA5" w14:textId="52773E68" w:rsidR="00894785" w:rsidRPr="00717687" w:rsidRDefault="00894785" w:rsidP="00894785">
      <w:r w:rsidRPr="00717687">
        <w:t>Data related to respite care and the transition of new residents into permanent residential aged care will be collected in the RACCS, allowing IHACPA to consider the provision of evidence</w:t>
      </w:r>
      <w:r w:rsidR="50EA6C65" w:rsidRPr="00717687">
        <w:t>-</w:t>
      </w:r>
      <w:r w:rsidRPr="00717687">
        <w:t>based pricing advice from 1 July 2024.</w:t>
      </w:r>
    </w:p>
    <w:p w14:paraId="2E7A1EBE" w14:textId="1DFA2263" w:rsidR="001640A1" w:rsidRDefault="001640A1" w:rsidP="00894785"/>
    <w:p w14:paraId="2005EEC2" w14:textId="77777777" w:rsidR="001640A1" w:rsidRDefault="001640A1" w:rsidP="00894785"/>
    <w:p w14:paraId="2E62CC33" w14:textId="06952473" w:rsidR="000E163F" w:rsidRDefault="000E163F"/>
    <w:p w14:paraId="22A401FB" w14:textId="08ECC87D" w:rsidR="000E163F" w:rsidRDefault="000E163F"/>
    <w:p w14:paraId="7ED40FC4" w14:textId="286DC06D" w:rsidR="000E163F" w:rsidRDefault="000E163F"/>
    <w:p w14:paraId="157BD092" w14:textId="49FD22A4" w:rsidR="000E163F" w:rsidRDefault="000E163F"/>
    <w:tbl>
      <w:tblPr>
        <w:tblStyle w:val="TableGrid"/>
        <w:tblpPr w:leftFromText="180" w:rightFromText="180" w:vertAnchor="text" w:horzAnchor="margin" w:tblpXSpec="right" w:tblpY="65"/>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0F537E" w:rsidRPr="006746C9" w14:paraId="42442D62" w14:textId="77777777" w:rsidTr="000F537E">
        <w:trPr>
          <w:trHeight w:val="1466"/>
        </w:trPr>
        <w:tc>
          <w:tcPr>
            <w:tcW w:w="5000" w:type="pct"/>
            <w:tcBorders>
              <w:left w:val="nil"/>
            </w:tcBorders>
            <w:shd w:val="clear" w:color="auto" w:fill="E6F4F9"/>
          </w:tcPr>
          <w:p w14:paraId="365FDB5C" w14:textId="77777777" w:rsidR="000F537E" w:rsidRPr="006746C9" w:rsidRDefault="000F537E" w:rsidP="000F537E">
            <w:pPr>
              <w:pStyle w:val="Heading4"/>
              <w:framePr w:hSpace="0" w:wrap="auto" w:vAnchor="margin" w:hAnchor="text" w:yAlign="inline"/>
              <w:outlineLvl w:val="3"/>
              <w:rPr>
                <w:color w:val="000000" w:themeColor="text1"/>
              </w:rPr>
            </w:pPr>
            <w:r w:rsidRPr="006746C9">
              <w:rPr>
                <w:noProof/>
                <w:color w:val="000000" w:themeColor="text1"/>
              </w:rPr>
              <w:drawing>
                <wp:anchor distT="0" distB="0" distL="114300" distR="114300" simplePos="0" relativeHeight="251726848" behindDoc="0" locked="0" layoutInCell="1" allowOverlap="1" wp14:anchorId="4C8DE6B6" wp14:editId="7AD8B359">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p>
          <w:p w14:paraId="166F2DFE" w14:textId="77777777" w:rsidR="000F537E" w:rsidRPr="006746C9" w:rsidRDefault="000F537E" w:rsidP="000F537E">
            <w:pPr>
              <w:pStyle w:val="Bullets"/>
              <w:framePr w:hSpace="0" w:wrap="auto" w:vAnchor="margin" w:hAnchor="text" w:xAlign="left" w:yAlign="inline"/>
            </w:pPr>
            <w:r w:rsidRPr="00717687">
              <w:t>Are there any other legitimate or unavoidable costs associated with a respite resident’s stage of care?  What evidence is there to support your answer?</w:t>
            </w:r>
          </w:p>
        </w:tc>
      </w:tr>
    </w:tbl>
    <w:p w14:paraId="0F26D0DD" w14:textId="5F27553F" w:rsidR="000E163F" w:rsidRDefault="000E163F"/>
    <w:p w14:paraId="0CA9F668" w14:textId="77777777" w:rsidR="000E163F" w:rsidRPr="00502A16" w:rsidRDefault="000E163F" w:rsidP="00F963C3"/>
    <w:p w14:paraId="21C3884C" w14:textId="77777777" w:rsidR="00502A16" w:rsidRDefault="00502A16" w:rsidP="00436C72">
      <w:pPr>
        <w:pStyle w:val="Body"/>
      </w:pPr>
    </w:p>
    <w:p w14:paraId="6BC78A9D" w14:textId="2A553448" w:rsidR="00502A16" w:rsidRDefault="00502A16" w:rsidP="00436C72">
      <w:pPr>
        <w:pStyle w:val="Body"/>
        <w:sectPr w:rsidR="00502A16" w:rsidSect="00176CE6">
          <w:headerReference w:type="even" r:id="rId81"/>
          <w:headerReference w:type="default" r:id="rId82"/>
          <w:headerReference w:type="first" r:id="rId83"/>
          <w:type w:val="continuous"/>
          <w:pgSz w:w="11906" w:h="16838" w:code="9"/>
          <w:pgMar w:top="1440" w:right="1440" w:bottom="1135" w:left="1440" w:header="708" w:footer="708" w:gutter="0"/>
          <w:cols w:num="2" w:space="708"/>
          <w:docGrid w:linePitch="360"/>
        </w:sectPr>
      </w:pPr>
    </w:p>
    <w:p w14:paraId="21E38606" w14:textId="28AAC328" w:rsidR="00971953" w:rsidRPr="00050402" w:rsidRDefault="00971953" w:rsidP="00971953">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45952" behindDoc="0" locked="0" layoutInCell="1" allowOverlap="1" wp14:anchorId="564BF8B8" wp14:editId="6A2B55DD">
            <wp:simplePos x="0" y="0"/>
            <wp:positionH relativeFrom="column">
              <wp:posOffset>-904034</wp:posOffset>
            </wp:positionH>
            <wp:positionV relativeFrom="paragraph">
              <wp:posOffset>-610235</wp:posOffset>
            </wp:positionV>
            <wp:extent cx="7548659" cy="5151755"/>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720"/>
          <w:szCs w:val="720"/>
        </w:rPr>
        <w:t>4</w:t>
      </w:r>
    </w:p>
    <w:p w14:paraId="309958BE" w14:textId="59245C58" w:rsidR="00971953" w:rsidRPr="00267F1F" w:rsidRDefault="00971953" w:rsidP="00971953">
      <w:pPr>
        <w:pStyle w:val="Heading1"/>
        <w:ind w:right="4206"/>
        <w:rPr>
          <w:color w:val="auto"/>
        </w:rPr>
      </w:pPr>
      <w:bookmarkStart w:id="49" w:name="_Toc137552811"/>
      <w:r w:rsidRPr="00267F1F">
        <w:rPr>
          <w:color w:val="auto"/>
        </w:rPr>
        <w:t>Developing aged care pricing advice</w:t>
      </w:r>
      <w:bookmarkEnd w:id="49"/>
    </w:p>
    <w:p w14:paraId="05EE2C38" w14:textId="77777777" w:rsidR="00971953" w:rsidRDefault="00971953" w:rsidP="00971953">
      <w:pPr>
        <w:sectPr w:rsidR="00971953" w:rsidSect="00C9543A">
          <w:headerReference w:type="even" r:id="rId84"/>
          <w:headerReference w:type="default" r:id="rId85"/>
          <w:headerReference w:type="first" r:id="rId86"/>
          <w:pgSz w:w="11906" w:h="16838" w:code="9"/>
          <w:pgMar w:top="851" w:right="1440" w:bottom="1440" w:left="1440" w:header="708" w:footer="708" w:gutter="0"/>
          <w:cols w:space="708"/>
          <w:docGrid w:linePitch="360"/>
        </w:sectPr>
      </w:pPr>
    </w:p>
    <w:p w14:paraId="1D2326DB" w14:textId="77777777" w:rsidR="00971953" w:rsidRDefault="00971953" w:rsidP="00971953">
      <w:pPr>
        <w:pStyle w:val="Body"/>
        <w:spacing w:after="0"/>
        <w:sectPr w:rsidR="00971953" w:rsidSect="00F4029B">
          <w:headerReference w:type="even" r:id="rId87"/>
          <w:headerReference w:type="default" r:id="rId88"/>
          <w:headerReference w:type="first" r:id="rId89"/>
          <w:pgSz w:w="11906" w:h="16838" w:code="9"/>
          <w:pgMar w:top="2410" w:right="1440" w:bottom="1440" w:left="1440" w:header="568" w:footer="708" w:gutter="0"/>
          <w:cols w:space="708"/>
          <w:docGrid w:linePitch="360"/>
        </w:sectPr>
      </w:pPr>
    </w:p>
    <w:p w14:paraId="340D89F7" w14:textId="74EC1FBA" w:rsidR="00BA7397" w:rsidRDefault="00BA7397" w:rsidP="00BA7397">
      <w:pPr>
        <w:pStyle w:val="Heading2"/>
        <w:rPr>
          <w:rStyle w:val="normaltextrun"/>
        </w:rPr>
      </w:pPr>
      <w:bookmarkStart w:id="50" w:name="_Toc136435003"/>
      <w:bookmarkStart w:id="51" w:name="_Toc137552812"/>
      <w:r>
        <w:rPr>
          <w:rStyle w:val="normaltextrun"/>
        </w:rPr>
        <w:t xml:space="preserve">4.1 </w:t>
      </w:r>
      <w:r w:rsidRPr="00A05977">
        <w:rPr>
          <w:rStyle w:val="normaltextrun"/>
        </w:rPr>
        <w:t>Residential aged care price definition and scope</w:t>
      </w:r>
      <w:bookmarkEnd w:id="50"/>
      <w:bookmarkEnd w:id="51"/>
    </w:p>
    <w:p w14:paraId="1EAEC640" w14:textId="27FD5EB7" w:rsidR="00AC1F7E" w:rsidRPr="00717687" w:rsidRDefault="00AC1F7E" w:rsidP="00AC1F7E">
      <w:r w:rsidRPr="00717687">
        <w:rPr>
          <w:rStyle w:val="normaltextrun"/>
          <w:rFonts w:cs="Arial"/>
        </w:rPr>
        <w:t xml:space="preserve">The recommended </w:t>
      </w:r>
      <w:r w:rsidR="009426C7" w:rsidRPr="00717687">
        <w:rPr>
          <w:rStyle w:val="normaltextrun"/>
          <w:rFonts w:cs="Arial"/>
        </w:rPr>
        <w:t>Australian National Aged Care Classification (</w:t>
      </w:r>
      <w:r w:rsidRPr="00717687">
        <w:rPr>
          <w:rStyle w:val="normaltextrun"/>
          <w:rFonts w:cs="Arial"/>
        </w:rPr>
        <w:t>AN-ACC</w:t>
      </w:r>
      <w:r w:rsidR="009426C7" w:rsidRPr="00717687">
        <w:rPr>
          <w:rStyle w:val="normaltextrun"/>
          <w:rFonts w:cs="Arial"/>
        </w:rPr>
        <w:t>)</w:t>
      </w:r>
      <w:r w:rsidRPr="00717687">
        <w:rPr>
          <w:rStyle w:val="normaltextrun"/>
          <w:rFonts w:cs="Arial"/>
        </w:rPr>
        <w:t xml:space="preserve"> price is the price of a unit of care, or 1.00 </w:t>
      </w:r>
      <w:r w:rsidR="00A22CE0" w:rsidRPr="00717687">
        <w:rPr>
          <w:rStyle w:val="normaltextrun"/>
          <w:rFonts w:cs="Arial"/>
        </w:rPr>
        <w:t>national weighted activity unit (</w:t>
      </w:r>
      <w:r w:rsidRPr="00717687">
        <w:rPr>
          <w:rStyle w:val="normaltextrun"/>
          <w:rFonts w:cs="Arial"/>
        </w:rPr>
        <w:t>NWAU</w:t>
      </w:r>
      <w:r w:rsidR="00A22CE0" w:rsidRPr="00717687">
        <w:rPr>
          <w:rStyle w:val="normaltextrun"/>
          <w:rFonts w:cs="Arial"/>
        </w:rPr>
        <w:t>)</w:t>
      </w:r>
      <w:r w:rsidRPr="00717687">
        <w:rPr>
          <w:rStyle w:val="normaltextrun"/>
          <w:rFonts w:cs="Arial"/>
        </w:rPr>
        <w:t>. The funding model works by applying NWAUs to the AN</w:t>
      </w:r>
      <w:r w:rsidR="007C6878" w:rsidRPr="00717687">
        <w:rPr>
          <w:rStyle w:val="normaltextrun"/>
          <w:rFonts w:cs="Arial"/>
        </w:rPr>
        <w:noBreakHyphen/>
      </w:r>
      <w:r w:rsidRPr="00717687">
        <w:rPr>
          <w:rStyle w:val="normaltextrun"/>
          <w:rFonts w:cs="Arial"/>
        </w:rPr>
        <w:t>ACC price</w:t>
      </w:r>
      <w:r w:rsidR="00383D22">
        <w:rPr>
          <w:rStyle w:val="normaltextrun"/>
          <w:rFonts w:cs="Arial"/>
        </w:rPr>
        <w:t xml:space="preserve"> </w:t>
      </w:r>
      <w:r w:rsidR="00642B16" w:rsidRPr="00717687">
        <w:rPr>
          <w:rStyle w:val="normaltextrun"/>
          <w:rFonts w:cs="Arial"/>
        </w:rPr>
        <w:t>(discussed in</w:t>
      </w:r>
      <w:r w:rsidR="00410192">
        <w:rPr>
          <w:rStyle w:val="normaltextrun"/>
          <w:rFonts w:cs="Arial"/>
        </w:rPr>
        <w:t> </w:t>
      </w:r>
      <w:r w:rsidR="00642B16" w:rsidRPr="00717687">
        <w:rPr>
          <w:rStyle w:val="normaltextrun"/>
          <w:rFonts w:cs="Arial"/>
        </w:rPr>
        <w:t>3.1.4)</w:t>
      </w:r>
      <w:r w:rsidRPr="00717687">
        <w:rPr>
          <w:rStyle w:val="normaltextrun"/>
          <w:rFonts w:cs="Arial"/>
        </w:rPr>
        <w:t>.</w:t>
      </w:r>
    </w:p>
    <w:p w14:paraId="7DCE59CB" w14:textId="479AE8B4" w:rsidR="00BA7397" w:rsidRPr="00717687" w:rsidRDefault="002A186F" w:rsidP="00BA7397">
      <w:r>
        <w:t xml:space="preserve">The </w:t>
      </w:r>
      <w:r w:rsidR="007C6878" w:rsidRPr="00717687">
        <w:t>Independent Health and Aged Care Pricing Authority’s (IHACPA)</w:t>
      </w:r>
      <w:r w:rsidR="00BA7397" w:rsidRPr="00717687">
        <w:t xml:space="preserve"> annual </w:t>
      </w:r>
      <w:r w:rsidR="00767154" w:rsidRPr="00717687">
        <w:t>recommended AN-ACC pricing</w:t>
      </w:r>
      <w:r w:rsidR="00BA7397" w:rsidRPr="00717687">
        <w:t xml:space="preserve"> advice to the </w:t>
      </w:r>
      <w:r w:rsidR="00DE0468" w:rsidRPr="00717687">
        <w:t xml:space="preserve">Australian </w:t>
      </w:r>
      <w:r w:rsidR="00BA7397" w:rsidRPr="00717687">
        <w:t>Government (the Government) will be evidence-based, reflecting the available cost and activity data</w:t>
      </w:r>
      <w:r>
        <w:t xml:space="preserve"> and</w:t>
      </w:r>
      <w:r w:rsidR="00BA7397" w:rsidRPr="00717687">
        <w:t xml:space="preserve"> outcomes from the Residential Aged Care Costing Study (RACCS), as well as using the Aged Care Financial Report </w:t>
      </w:r>
      <w:r w:rsidR="007416BE" w:rsidRPr="00717687">
        <w:t xml:space="preserve">(ACFR) </w:t>
      </w:r>
      <w:r w:rsidR="00BA7397" w:rsidRPr="00717687">
        <w:t>and Quarterly Financial Report</w:t>
      </w:r>
      <w:r w:rsidR="007416BE" w:rsidRPr="00717687">
        <w:t xml:space="preserve"> (QFR)</w:t>
      </w:r>
      <w:r w:rsidR="00BA7397" w:rsidRPr="00717687">
        <w:t xml:space="preserve">. </w:t>
      </w:r>
    </w:p>
    <w:p w14:paraId="63153C6D" w14:textId="1CDE2473" w:rsidR="00A21215" w:rsidRPr="00717687" w:rsidRDefault="00A21215" w:rsidP="00BA7397">
      <w:r w:rsidRPr="00717687">
        <w:t>Additionally</w:t>
      </w:r>
      <w:r w:rsidR="002A0C7D" w:rsidRPr="00717687">
        <w:t xml:space="preserve">, IHACPA recognises the significant differences in </w:t>
      </w:r>
      <w:proofErr w:type="gramStart"/>
      <w:r w:rsidR="002A0C7D" w:rsidRPr="00717687">
        <w:t>activity based</w:t>
      </w:r>
      <w:proofErr w:type="gramEnd"/>
      <w:r w:rsidR="002A0C7D" w:rsidRPr="00717687">
        <w:t xml:space="preserve"> funding between the public hospital and residential aged care systems, and that these require specific considerations in </w:t>
      </w:r>
      <w:r w:rsidR="009426C7" w:rsidRPr="00717687">
        <w:t>IHACPAs annual residential aged care pricing advice.</w:t>
      </w:r>
    </w:p>
    <w:p w14:paraId="72F66BFC" w14:textId="0FD3F03E" w:rsidR="00BA7397" w:rsidRPr="00A05977" w:rsidRDefault="00BA7397" w:rsidP="00BA7397">
      <w:pPr>
        <w:pStyle w:val="Heading2"/>
        <w:rPr>
          <w:rStyle w:val="normaltextrun"/>
          <w:bCs w:val="0"/>
        </w:rPr>
      </w:pPr>
      <w:bookmarkStart w:id="52" w:name="_Toc136435004"/>
      <w:bookmarkStart w:id="53" w:name="_Toc137552813"/>
      <w:r>
        <w:rPr>
          <w:rStyle w:val="normaltextrun"/>
        </w:rPr>
        <w:t xml:space="preserve">4.2 </w:t>
      </w:r>
      <w:r w:rsidRPr="00A05977">
        <w:rPr>
          <w:rStyle w:val="normaltextrun"/>
        </w:rPr>
        <w:t xml:space="preserve">What the </w:t>
      </w:r>
      <w:r w:rsidR="004104BC">
        <w:rPr>
          <w:rStyle w:val="normaltextrun"/>
        </w:rPr>
        <w:t>r</w:t>
      </w:r>
      <w:r w:rsidR="004104BC" w:rsidRPr="00A05977">
        <w:rPr>
          <w:rStyle w:val="normaltextrun"/>
        </w:rPr>
        <w:t xml:space="preserve">esidential </w:t>
      </w:r>
      <w:r w:rsidRPr="00A05977">
        <w:rPr>
          <w:rStyle w:val="normaltextrun"/>
        </w:rPr>
        <w:t>aged care price covers</w:t>
      </w:r>
      <w:bookmarkEnd w:id="52"/>
      <w:bookmarkEnd w:id="53"/>
    </w:p>
    <w:p w14:paraId="72999D0D" w14:textId="4B3F9AC6" w:rsidR="00BA7397" w:rsidRPr="00717687" w:rsidRDefault="00BA7397" w:rsidP="00BA7397">
      <w:pPr>
        <w:rPr>
          <w:rStyle w:val="normaltextrun"/>
          <w:rFonts w:cs="Arial"/>
        </w:rPr>
      </w:pPr>
      <w:r w:rsidRPr="00717687">
        <w:rPr>
          <w:rStyle w:val="normaltextrun"/>
          <w:rFonts w:cs="Arial"/>
        </w:rPr>
        <w:t>The recommended residential aged care price is intended to cover the cost of care. Elements of care in-scope for the price are specified under Part</w:t>
      </w:r>
      <w:r w:rsidR="00E404C1" w:rsidRPr="00717687">
        <w:rPr>
          <w:rStyle w:val="normaltextrun"/>
          <w:rFonts w:cs="Arial"/>
        </w:rPr>
        <w:t>s</w:t>
      </w:r>
      <w:r w:rsidRPr="00717687">
        <w:rPr>
          <w:rStyle w:val="normaltextrun"/>
          <w:rFonts w:cs="Arial"/>
        </w:rPr>
        <w:t xml:space="preserve"> 2 and 3 of the </w:t>
      </w:r>
      <w:hyperlink r:id="rId90" w:history="1">
        <w:r w:rsidR="005A582C" w:rsidRPr="005A582C">
          <w:rPr>
            <w:rStyle w:val="Hyperlink"/>
            <w:rFonts w:cs="Arial"/>
          </w:rPr>
          <w:t>S</w:t>
        </w:r>
        <w:r w:rsidR="005A582C" w:rsidRPr="005A582C">
          <w:rPr>
            <w:rStyle w:val="Hyperlink"/>
          </w:rPr>
          <w:t>chedule of Specified Care and Service</w:t>
        </w:r>
      </w:hyperlink>
      <w:r w:rsidR="00410192">
        <w:rPr>
          <w:rStyle w:val="Hyperlink"/>
        </w:rPr>
        <w:t>s</w:t>
      </w:r>
      <w:r w:rsidR="0F9FAA12" w:rsidRPr="00717687">
        <w:rPr>
          <w:rStyle w:val="normaltextrun"/>
          <w:rFonts w:cs="Arial"/>
        </w:rPr>
        <w:t>.</w:t>
      </w:r>
    </w:p>
    <w:p w14:paraId="65AFA091" w14:textId="77777777" w:rsidR="00B26978" w:rsidRDefault="00B26978" w:rsidP="00984C4E">
      <w:pPr>
        <w:rPr>
          <w:rStyle w:val="normaltextrun"/>
          <w:rFonts w:cs="Arial"/>
        </w:rPr>
      </w:pPr>
    </w:p>
    <w:p w14:paraId="4624FA5D" w14:textId="0AFEA293" w:rsidR="00984C4E" w:rsidRPr="00717687" w:rsidRDefault="00984C4E" w:rsidP="00984C4E">
      <w:pPr>
        <w:rPr>
          <w:rStyle w:val="normaltextrun"/>
          <w:rFonts w:cs="Arial"/>
        </w:rPr>
      </w:pPr>
      <w:r w:rsidRPr="00717687">
        <w:rPr>
          <w:rStyle w:val="normaltextrun"/>
          <w:rFonts w:cs="Arial"/>
        </w:rPr>
        <w:t>Costs excluded from IHACPA’s residential aged care pricing advice include:</w:t>
      </w:r>
    </w:p>
    <w:p w14:paraId="13A59675" w14:textId="11290834" w:rsidR="00984C4E" w:rsidRPr="00717687" w:rsidRDefault="00984C4E" w:rsidP="0003369C">
      <w:pPr>
        <w:pStyle w:val="BulletL2"/>
        <w:numPr>
          <w:ilvl w:val="0"/>
          <w:numId w:val="63"/>
        </w:numPr>
        <w:rPr>
          <w:rStyle w:val="normaltextrun"/>
          <w:rFonts w:cstheme="minorBidi"/>
        </w:rPr>
      </w:pPr>
      <w:r w:rsidRPr="00717687">
        <w:rPr>
          <w:rStyle w:val="normaltextrun"/>
        </w:rPr>
        <w:t>capital, depreciation and leasing costs</w:t>
      </w:r>
      <w:r w:rsidR="002A186F">
        <w:rPr>
          <w:rStyle w:val="normaltextrun"/>
        </w:rPr>
        <w:t>,</w:t>
      </w:r>
      <w:r w:rsidRPr="00717687">
        <w:rPr>
          <w:rStyle w:val="normaltextrun"/>
        </w:rPr>
        <w:t xml:space="preserve"> which are funded through refundable accommodation deposits and daily accommodation payments </w:t>
      </w:r>
    </w:p>
    <w:p w14:paraId="5289C3B8" w14:textId="77777777" w:rsidR="00984C4E" w:rsidRPr="00717687" w:rsidRDefault="00984C4E" w:rsidP="0003369C">
      <w:pPr>
        <w:pStyle w:val="BulletL2"/>
        <w:numPr>
          <w:ilvl w:val="0"/>
          <w:numId w:val="63"/>
        </w:numPr>
        <w:rPr>
          <w:rStyle w:val="normaltextrun"/>
        </w:rPr>
      </w:pPr>
      <w:r w:rsidRPr="00717687">
        <w:rPr>
          <w:rStyle w:val="normaltextrun"/>
        </w:rPr>
        <w:t>extra services which are funded through extra service fees</w:t>
      </w:r>
    </w:p>
    <w:p w14:paraId="0A26530C" w14:textId="77777777" w:rsidR="00984C4E" w:rsidRPr="00717687" w:rsidRDefault="00984C4E" w:rsidP="0003369C">
      <w:pPr>
        <w:pStyle w:val="BulletL2"/>
        <w:numPr>
          <w:ilvl w:val="0"/>
          <w:numId w:val="63"/>
        </w:numPr>
        <w:rPr>
          <w:rStyle w:val="normaltextrun"/>
        </w:rPr>
      </w:pPr>
      <w:r w:rsidRPr="00717687">
        <w:rPr>
          <w:rStyle w:val="normaltextrun"/>
        </w:rPr>
        <w:t>costs for additional services, which are funded through additional service fees.</w:t>
      </w:r>
    </w:p>
    <w:p w14:paraId="332DEB70" w14:textId="2C04C4E8" w:rsidR="00BA7397" w:rsidRPr="00717687" w:rsidRDefault="00BA7397" w:rsidP="000D0930">
      <w:pPr>
        <w:pStyle w:val="Heading3"/>
        <w:rPr>
          <w:color w:val="auto"/>
        </w:rPr>
      </w:pPr>
      <w:r w:rsidRPr="00717687">
        <w:rPr>
          <w:color w:val="auto"/>
        </w:rPr>
        <w:t>4.2.1 Hotel costs</w:t>
      </w:r>
    </w:p>
    <w:p w14:paraId="44977410" w14:textId="6589CFF7" w:rsidR="00BA7397" w:rsidRDefault="004D1EA7" w:rsidP="00BA7397">
      <w:pPr>
        <w:autoSpaceDE w:val="0"/>
        <w:autoSpaceDN w:val="0"/>
        <w:adjustRightInd w:val="0"/>
        <w:contextualSpacing/>
        <w:rPr>
          <w:rFonts w:cs="Arial"/>
        </w:rPr>
      </w:pPr>
      <w:r w:rsidRPr="00717687">
        <w:rPr>
          <w:rFonts w:cs="Arial"/>
        </w:rPr>
        <w:t>H</w:t>
      </w:r>
      <w:r w:rsidR="00BA7397" w:rsidRPr="00717687">
        <w:rPr>
          <w:rFonts w:cs="Arial"/>
        </w:rPr>
        <w:t>otel costs are outlined in Part 1 of Schedule 1</w:t>
      </w:r>
      <w:r w:rsidR="00E404C1" w:rsidRPr="00717687">
        <w:rPr>
          <w:rFonts w:cs="Arial"/>
        </w:rPr>
        <w:t>–</w:t>
      </w:r>
      <w:r w:rsidR="00BA7397" w:rsidRPr="00717687">
        <w:rPr>
          <w:rFonts w:cs="Arial"/>
        </w:rPr>
        <w:t xml:space="preserve">Care and services for residential care services (the Schedule) of the </w:t>
      </w:r>
      <w:proofErr w:type="gramStart"/>
      <w:r w:rsidR="00B26978" w:rsidRPr="00717687">
        <w:rPr>
          <w:rFonts w:cs="Arial"/>
          <w:i/>
          <w:iCs/>
        </w:rPr>
        <w:t>Quality of Care</w:t>
      </w:r>
      <w:proofErr w:type="gramEnd"/>
      <w:r w:rsidR="00B26978" w:rsidRPr="00717687">
        <w:rPr>
          <w:rFonts w:cs="Arial"/>
          <w:i/>
          <w:iCs/>
        </w:rPr>
        <w:t xml:space="preserve"> Principles 2014</w:t>
      </w:r>
      <w:r w:rsidR="00BA7397" w:rsidRPr="00717687">
        <w:rPr>
          <w:rFonts w:cs="Arial"/>
          <w:i/>
          <w:iCs/>
        </w:rPr>
        <w:t xml:space="preserve"> </w:t>
      </w:r>
      <w:r w:rsidR="00BA7397" w:rsidRPr="00717687">
        <w:rPr>
          <w:rFonts w:cs="Arial"/>
        </w:rPr>
        <w:t xml:space="preserve">under section 96-1 of the </w:t>
      </w:r>
      <w:r w:rsidR="004D6989" w:rsidRPr="00717687">
        <w:rPr>
          <w:i/>
          <w:iCs/>
        </w:rPr>
        <w:t>Aged Care Act 1997</w:t>
      </w:r>
      <w:r w:rsidR="00BA7397" w:rsidRPr="00717687">
        <w:rPr>
          <w:rFonts w:cs="Arial"/>
          <w:i/>
          <w:iCs/>
        </w:rPr>
        <w:t xml:space="preserve"> </w:t>
      </w:r>
      <w:r w:rsidR="00BA7397" w:rsidRPr="00E85BFD">
        <w:rPr>
          <w:rFonts w:cs="Arial"/>
        </w:rPr>
        <w:t>(Cwlth)</w:t>
      </w:r>
      <w:r w:rsidR="00BA7397" w:rsidRPr="00717687">
        <w:rPr>
          <w:rFonts w:cs="Arial"/>
        </w:rPr>
        <w:t xml:space="preserve">. </w:t>
      </w:r>
    </w:p>
    <w:p w14:paraId="72FC2FD0" w14:textId="77777777" w:rsidR="0019364B" w:rsidRPr="00717687" w:rsidRDefault="0019364B" w:rsidP="00BA7397">
      <w:pPr>
        <w:autoSpaceDE w:val="0"/>
        <w:autoSpaceDN w:val="0"/>
        <w:adjustRightInd w:val="0"/>
        <w:contextualSpacing/>
        <w:rPr>
          <w:rFonts w:cs="Arial"/>
        </w:rPr>
      </w:pPr>
    </w:p>
    <w:p w14:paraId="014C539F" w14:textId="6812BD4D" w:rsidR="00BA7397" w:rsidRPr="00717687" w:rsidRDefault="00BA7397" w:rsidP="00BA7397">
      <w:pPr>
        <w:autoSpaceDE w:val="0"/>
        <w:autoSpaceDN w:val="0"/>
        <w:adjustRightInd w:val="0"/>
        <w:contextualSpacing/>
        <w:rPr>
          <w:rFonts w:cs="Arial"/>
        </w:rPr>
      </w:pPr>
      <w:r w:rsidRPr="00717687">
        <w:rPr>
          <w:rFonts w:cs="Arial"/>
        </w:rPr>
        <w:t xml:space="preserve">Hotel costs for residents are currently aligned under the payment of the basic daily fee (BDF). The BDF is </w:t>
      </w:r>
      <w:r w:rsidR="00522FF0" w:rsidRPr="00717687">
        <w:rPr>
          <w:rFonts w:cs="Arial"/>
        </w:rPr>
        <w:t xml:space="preserve">set at </w:t>
      </w:r>
      <w:r w:rsidRPr="00717687">
        <w:rPr>
          <w:rFonts w:cs="Arial"/>
        </w:rPr>
        <w:t>up to 85 per cent of the basic aged care pension</w:t>
      </w:r>
      <w:r w:rsidR="00522FF0" w:rsidRPr="00717687">
        <w:rPr>
          <w:rFonts w:cs="Arial"/>
        </w:rPr>
        <w:t>.</w:t>
      </w:r>
      <w:r w:rsidRPr="00717687">
        <w:rPr>
          <w:rFonts w:cs="Arial"/>
        </w:rPr>
        <w:t xml:space="preserve"> </w:t>
      </w:r>
      <w:r w:rsidR="009566FF" w:rsidRPr="00717687">
        <w:rPr>
          <w:rFonts w:cs="Arial"/>
        </w:rPr>
        <w:t xml:space="preserve">All </w:t>
      </w:r>
      <w:r w:rsidRPr="00717687">
        <w:rPr>
          <w:rFonts w:cs="Arial"/>
        </w:rPr>
        <w:t xml:space="preserve">residents </w:t>
      </w:r>
      <w:r w:rsidR="009566FF" w:rsidRPr="00717687">
        <w:rPr>
          <w:rFonts w:cs="Arial"/>
        </w:rPr>
        <w:t xml:space="preserve">are </w:t>
      </w:r>
      <w:r w:rsidRPr="00717687">
        <w:rPr>
          <w:rFonts w:cs="Arial"/>
        </w:rPr>
        <w:t xml:space="preserve">required to pay </w:t>
      </w:r>
      <w:r w:rsidR="009566FF" w:rsidRPr="00717687">
        <w:rPr>
          <w:rFonts w:cs="Arial"/>
        </w:rPr>
        <w:t xml:space="preserve">a BDF </w:t>
      </w:r>
      <w:r w:rsidRPr="00717687">
        <w:rPr>
          <w:rFonts w:cs="Arial"/>
        </w:rPr>
        <w:t xml:space="preserve">or apply for hardship or alternative payment options. </w:t>
      </w:r>
    </w:p>
    <w:p w14:paraId="6830AB03" w14:textId="77777777" w:rsidR="00BA7397" w:rsidRPr="00717687" w:rsidRDefault="00BA7397" w:rsidP="00BA7397">
      <w:pPr>
        <w:autoSpaceDE w:val="0"/>
        <w:autoSpaceDN w:val="0"/>
        <w:adjustRightInd w:val="0"/>
        <w:contextualSpacing/>
        <w:rPr>
          <w:rFonts w:cs="Arial"/>
        </w:rPr>
      </w:pPr>
    </w:p>
    <w:p w14:paraId="51C507EB" w14:textId="7FE73D37" w:rsidR="004F5705" w:rsidRPr="00717687" w:rsidRDefault="001640A1" w:rsidP="0019364B">
      <w:pPr>
        <w:widowControl w:val="0"/>
        <w:contextualSpacing/>
        <w:rPr>
          <w:rStyle w:val="normaltextrun"/>
          <w:rFonts w:cs="Arial"/>
        </w:rPr>
      </w:pPr>
      <w:r w:rsidRPr="00717687">
        <w:rPr>
          <w:rFonts w:cs="Arial"/>
        </w:rPr>
        <w:t>W</w:t>
      </w:r>
      <w:r w:rsidR="00E16521" w:rsidRPr="00717687">
        <w:rPr>
          <w:rFonts w:cs="Arial"/>
        </w:rPr>
        <w:t>hile</w:t>
      </w:r>
      <w:r w:rsidR="00BA7397" w:rsidRPr="00717687">
        <w:rPr>
          <w:rFonts w:cs="Arial"/>
        </w:rPr>
        <w:t xml:space="preserve"> initially consolidated into the AN</w:t>
      </w:r>
      <w:r w:rsidR="00BE0839" w:rsidRPr="00717687">
        <w:rPr>
          <w:rFonts w:cs="Arial"/>
        </w:rPr>
        <w:noBreakHyphen/>
      </w:r>
      <w:r w:rsidR="00BA7397" w:rsidRPr="00717687">
        <w:rPr>
          <w:rFonts w:cs="Arial"/>
        </w:rPr>
        <w:t xml:space="preserve">ACC price, the Government has removed the </w:t>
      </w:r>
      <w:r w:rsidR="00DC69EE" w:rsidRPr="00717687">
        <w:rPr>
          <w:rFonts w:cs="Arial"/>
        </w:rPr>
        <w:t>BDF</w:t>
      </w:r>
      <w:r w:rsidR="004E2D20" w:rsidRPr="00717687">
        <w:rPr>
          <w:rFonts w:cs="Arial"/>
        </w:rPr>
        <w:t xml:space="preserve"> </w:t>
      </w:r>
      <w:r w:rsidR="00BA7397" w:rsidRPr="00717687">
        <w:rPr>
          <w:rFonts w:cs="Arial"/>
        </w:rPr>
        <w:t xml:space="preserve">supplement from within AN-ACC and will instead deliver this as a $10.80 per resident per day </w:t>
      </w:r>
      <w:hyperlink r:id="rId91" w:history="1">
        <w:r w:rsidR="00DD5101" w:rsidRPr="0019364B">
          <w:rPr>
            <w:rStyle w:val="Hyperlink"/>
            <w:rFonts w:cs="Arial"/>
          </w:rPr>
          <w:t>h</w:t>
        </w:r>
        <w:r w:rsidR="0087300C" w:rsidRPr="0019364B">
          <w:rPr>
            <w:rStyle w:val="Hyperlink"/>
            <w:rFonts w:cs="Arial"/>
          </w:rPr>
          <w:t>otelling</w:t>
        </w:r>
        <w:r w:rsidR="00697827" w:rsidRPr="0019364B">
          <w:rPr>
            <w:rStyle w:val="Hyperlink"/>
            <w:rFonts w:cs="Arial"/>
          </w:rPr>
          <w:t xml:space="preserve"> </w:t>
        </w:r>
        <w:r w:rsidR="00DD5101" w:rsidRPr="0019364B">
          <w:rPr>
            <w:rStyle w:val="Hyperlink"/>
            <w:rFonts w:cs="Arial"/>
          </w:rPr>
          <w:t>s</w:t>
        </w:r>
        <w:r w:rsidR="00697827" w:rsidRPr="0019364B">
          <w:rPr>
            <w:rStyle w:val="Hyperlink"/>
            <w:rFonts w:cs="Arial"/>
          </w:rPr>
          <w:t>upplement</w:t>
        </w:r>
      </w:hyperlink>
      <w:r w:rsidR="007416BE" w:rsidRPr="00717687">
        <w:rPr>
          <w:rFonts w:cs="Arial"/>
        </w:rPr>
        <w:t>.</w:t>
      </w:r>
    </w:p>
    <w:p w14:paraId="0158F082" w14:textId="4C0F5F3A" w:rsidR="004F5705" w:rsidRPr="00717687" w:rsidRDefault="004F5705" w:rsidP="00BA7397">
      <w:pPr>
        <w:contextualSpacing/>
        <w:rPr>
          <w:rStyle w:val="normaltextrun"/>
          <w:rFonts w:cs="Arial"/>
        </w:rPr>
      </w:pPr>
    </w:p>
    <w:p w14:paraId="04C5102A" w14:textId="1709BCE7" w:rsidR="004F5705" w:rsidRPr="00717687" w:rsidRDefault="004F5705" w:rsidP="00BA7397">
      <w:pPr>
        <w:contextualSpacing/>
        <w:rPr>
          <w:rStyle w:val="normaltextrun"/>
          <w:rFonts w:cs="Arial"/>
        </w:rPr>
      </w:pPr>
    </w:p>
    <w:p w14:paraId="6BA0B2BF" w14:textId="0EF63882" w:rsidR="004F5705" w:rsidRPr="00717687" w:rsidRDefault="004F5705" w:rsidP="00BA7397">
      <w:pPr>
        <w:contextualSpacing/>
        <w:rPr>
          <w:rStyle w:val="normaltextrun"/>
          <w:rFonts w:cs="Arial"/>
        </w:rPr>
      </w:pPr>
    </w:p>
    <w:p w14:paraId="16E29517" w14:textId="0D7E603C" w:rsidR="004F5705" w:rsidRPr="00717687" w:rsidRDefault="004F5705" w:rsidP="00BA7397">
      <w:pPr>
        <w:contextualSpacing/>
        <w:rPr>
          <w:rStyle w:val="normaltextrun"/>
          <w:rFonts w:cs="Arial"/>
        </w:rPr>
      </w:pPr>
    </w:p>
    <w:p w14:paraId="75AD0F1C" w14:textId="77777777" w:rsidR="00BA7397" w:rsidRPr="00D77626" w:rsidRDefault="00BA7397" w:rsidP="00BA7397">
      <w:pPr>
        <w:pStyle w:val="Heading2"/>
        <w:rPr>
          <w:rStyle w:val="normaltextrun"/>
          <w:bCs w:val="0"/>
        </w:rPr>
      </w:pPr>
      <w:bookmarkStart w:id="54" w:name="_Toc136435005"/>
      <w:bookmarkStart w:id="55" w:name="_Toc137552814"/>
      <w:r>
        <w:rPr>
          <w:rStyle w:val="normaltextrun"/>
        </w:rPr>
        <w:lastRenderedPageBreak/>
        <w:t>4.3 The pricing approach and level</w:t>
      </w:r>
      <w:bookmarkEnd w:id="54"/>
      <w:bookmarkEnd w:id="55"/>
    </w:p>
    <w:p w14:paraId="46024311" w14:textId="71E19C02" w:rsidR="007C65A6" w:rsidRDefault="00BA7397" w:rsidP="007C65A6">
      <w:pPr>
        <w:rPr>
          <w:rStyle w:val="normaltextrun"/>
          <w:rFonts w:cs="Arial"/>
        </w:rPr>
      </w:pPr>
      <w:r w:rsidRPr="00717687">
        <w:rPr>
          <w:rStyle w:val="normaltextrun"/>
          <w:rFonts w:cs="Arial"/>
        </w:rPr>
        <w:t xml:space="preserve">For the </w:t>
      </w:r>
      <w:r w:rsidR="00967FB2" w:rsidRPr="00E85BFD">
        <w:t>Residential Aged Care Pricing Advice 2023–24 (RACPA23)</w:t>
      </w:r>
      <w:r w:rsidR="00717687" w:rsidRPr="00717687">
        <w:rPr>
          <w:rStyle w:val="normaltextrun"/>
          <w:rFonts w:cs="Arial"/>
        </w:rPr>
        <w:t>,</w:t>
      </w:r>
      <w:r w:rsidR="00717687">
        <w:rPr>
          <w:rStyle w:val="normaltextrun"/>
          <w:rFonts w:cs="Arial"/>
        </w:rPr>
        <w:t xml:space="preserve"> </w:t>
      </w:r>
      <w:r w:rsidRPr="00717687">
        <w:rPr>
          <w:rStyle w:val="normaltextrun"/>
          <w:rFonts w:cs="Arial"/>
        </w:rPr>
        <w:t>I</w:t>
      </w:r>
      <w:r w:rsidRPr="00024CA0">
        <w:rPr>
          <w:rStyle w:val="normaltextrun"/>
          <w:rFonts w:cs="Arial"/>
        </w:rPr>
        <w:t xml:space="preserve">HACPA recognised the need for providers to deliver services that meet the Aged Care Quality Standards. Therefore, IHACPA’s pricing advice will adopt a </w:t>
      </w:r>
      <w:bookmarkStart w:id="56" w:name="_Toc136435006"/>
      <w:r w:rsidR="007C65A6" w:rsidRPr="00024CA0">
        <w:rPr>
          <w:rStyle w:val="normaltextrun"/>
          <w:rFonts w:cs="Arial"/>
        </w:rPr>
        <w:t xml:space="preserve">blended best practice and cost-based </w:t>
      </w:r>
      <w:proofErr w:type="gramStart"/>
      <w:r w:rsidR="007C65A6" w:rsidRPr="00024CA0">
        <w:rPr>
          <w:rStyle w:val="normaltextrun"/>
          <w:rFonts w:cs="Arial"/>
        </w:rPr>
        <w:t>approach</w:t>
      </w:r>
      <w:r w:rsidR="00410192">
        <w:rPr>
          <w:rStyle w:val="normaltextrun"/>
          <w:rFonts w:cs="Arial"/>
        </w:rPr>
        <w:t>,</w:t>
      </w:r>
      <w:r w:rsidR="007C65A6" w:rsidRPr="00024CA0">
        <w:rPr>
          <w:rStyle w:val="normaltextrun"/>
          <w:rFonts w:cs="Arial"/>
        </w:rPr>
        <w:t xml:space="preserve"> and</w:t>
      </w:r>
      <w:proofErr w:type="gramEnd"/>
      <w:r w:rsidR="007C65A6" w:rsidRPr="00024CA0">
        <w:rPr>
          <w:rStyle w:val="normaltextrun"/>
          <w:rFonts w:cs="Arial"/>
        </w:rPr>
        <w:t xml:space="preserve"> be based on </w:t>
      </w:r>
      <w:r w:rsidR="00DB3DE8" w:rsidRPr="00024CA0">
        <w:rPr>
          <w:rStyle w:val="normaltextrun"/>
          <w:rFonts w:cs="Arial"/>
        </w:rPr>
        <w:t>services</w:t>
      </w:r>
      <w:r w:rsidR="007C65A6" w:rsidRPr="00024CA0">
        <w:rPr>
          <w:rStyle w:val="normaltextrun"/>
          <w:rFonts w:cs="Arial"/>
        </w:rPr>
        <w:t xml:space="preserve"> meeting the standard of care required in legislation.</w:t>
      </w:r>
    </w:p>
    <w:p w14:paraId="571EEC9B" w14:textId="237E795A" w:rsidR="00BA7397" w:rsidRPr="007C65A6" w:rsidRDefault="00BA7397" w:rsidP="007C65A6">
      <w:pPr>
        <w:pStyle w:val="Heading2"/>
        <w:rPr>
          <w:rStyle w:val="normaltextrun"/>
        </w:rPr>
      </w:pPr>
      <w:bookmarkStart w:id="57" w:name="_Toc137552815"/>
      <w:r>
        <w:rPr>
          <w:rStyle w:val="normaltextrun"/>
        </w:rPr>
        <w:t xml:space="preserve">4.4 </w:t>
      </w:r>
      <w:r w:rsidRPr="00A05977">
        <w:rPr>
          <w:rStyle w:val="normaltextrun"/>
        </w:rPr>
        <w:t>Indexation</w:t>
      </w:r>
      <w:bookmarkEnd w:id="56"/>
      <w:bookmarkEnd w:id="57"/>
    </w:p>
    <w:p w14:paraId="44CF437C" w14:textId="772AE991" w:rsidR="00941068" w:rsidRPr="00024CA0" w:rsidRDefault="00BA7397" w:rsidP="00BA7397">
      <w:pPr>
        <w:rPr>
          <w:rStyle w:val="normaltextrun"/>
          <w:rFonts w:cs="Arial"/>
          <w:u w:val="single"/>
        </w:rPr>
      </w:pPr>
      <w:r w:rsidRPr="00024CA0">
        <w:rPr>
          <w:rStyle w:val="normaltextrun"/>
          <w:rFonts w:cs="Arial"/>
        </w:rPr>
        <w:t xml:space="preserve">RACPA23 used an interim methodology developed by IHACPA, </w:t>
      </w:r>
      <w:r w:rsidR="00FE1145" w:rsidRPr="00024CA0">
        <w:rPr>
          <w:rStyle w:val="normaltextrun"/>
          <w:rFonts w:cs="Arial"/>
        </w:rPr>
        <w:t>apply</w:t>
      </w:r>
      <w:r w:rsidRPr="00024CA0">
        <w:rPr>
          <w:rStyle w:val="normaltextrun"/>
          <w:rFonts w:cs="Arial"/>
        </w:rPr>
        <w:t xml:space="preserve">ing a range of Australian Bureau of Statistic indexes to separately index each labour and </w:t>
      </w:r>
      <w:r w:rsidR="00CF1B2F" w:rsidRPr="00024CA0">
        <w:rPr>
          <w:rStyle w:val="normaltextrun"/>
          <w:rFonts w:cs="Arial"/>
        </w:rPr>
        <w:t>non</w:t>
      </w:r>
      <w:r w:rsidR="007C6878" w:rsidRPr="00024CA0">
        <w:rPr>
          <w:rStyle w:val="normaltextrun"/>
          <w:rFonts w:cs="Arial"/>
        </w:rPr>
        <w:noBreakHyphen/>
      </w:r>
      <w:r w:rsidR="00CF1B2F" w:rsidRPr="00024CA0">
        <w:rPr>
          <w:rStyle w:val="normaltextrun"/>
          <w:rFonts w:cs="Arial"/>
        </w:rPr>
        <w:t>labour</w:t>
      </w:r>
      <w:r w:rsidRPr="00024CA0">
        <w:rPr>
          <w:rStyle w:val="normaltextrun"/>
          <w:rFonts w:cs="Arial"/>
        </w:rPr>
        <w:t xml:space="preserve"> component of the aged care starting price.</w:t>
      </w:r>
      <w:r w:rsidR="00345980" w:rsidRPr="00024CA0">
        <w:rPr>
          <w:rStyle w:val="normaltextrun"/>
          <w:rFonts w:cs="Arial"/>
        </w:rPr>
        <w:t xml:space="preserve"> More information on the interim methodology can be found</w:t>
      </w:r>
      <w:r w:rsidR="0010233C" w:rsidRPr="00024CA0">
        <w:rPr>
          <w:rStyle w:val="normaltextrun"/>
          <w:rFonts w:cs="Arial"/>
        </w:rPr>
        <w:t xml:space="preserve"> in the </w:t>
      </w:r>
      <w:r w:rsidR="00967FB2" w:rsidRPr="00E85BFD">
        <w:t>Residential Aged Care Pricing Advice 2023–24 Technical Specifications</w:t>
      </w:r>
      <w:r w:rsidR="00941068" w:rsidRPr="00024CA0">
        <w:rPr>
          <w:rStyle w:val="Hyperlink"/>
          <w:rFonts w:cs="Arial"/>
          <w:color w:val="auto"/>
          <w:u w:val="none"/>
        </w:rPr>
        <w:t>.</w:t>
      </w:r>
    </w:p>
    <w:p w14:paraId="42E211D5" w14:textId="148EC177" w:rsidR="004C4097" w:rsidRPr="00024CA0" w:rsidRDefault="00BA7397" w:rsidP="00BA7397">
      <w:pPr>
        <w:rPr>
          <w:rStyle w:val="normaltextrun"/>
          <w:rFonts w:cs="Arial"/>
        </w:rPr>
      </w:pPr>
      <w:r w:rsidRPr="00024CA0">
        <w:rPr>
          <w:rStyle w:val="normaltextrun"/>
          <w:rFonts w:cs="Arial"/>
        </w:rPr>
        <w:t xml:space="preserve">IHACPA also accounted for the Interim Wage Rise for direct care workers, </w:t>
      </w:r>
      <w:r w:rsidR="00FE1145" w:rsidRPr="00024CA0">
        <w:rPr>
          <w:rStyle w:val="normaltextrun"/>
          <w:rFonts w:cs="Arial"/>
        </w:rPr>
        <w:t>in accordance w</w:t>
      </w:r>
      <w:r w:rsidR="004779D9" w:rsidRPr="00024CA0">
        <w:rPr>
          <w:rStyle w:val="normaltextrun"/>
          <w:rFonts w:cs="Arial"/>
        </w:rPr>
        <w:t xml:space="preserve">ith </w:t>
      </w:r>
      <w:r w:rsidRPr="00024CA0">
        <w:rPr>
          <w:rStyle w:val="normaltextrun"/>
          <w:rFonts w:cs="Arial"/>
        </w:rPr>
        <w:t xml:space="preserve">the decision of the Fair Work Commission. </w:t>
      </w:r>
    </w:p>
    <w:p w14:paraId="7A776304" w14:textId="43A0C0E8" w:rsidR="00311413" w:rsidRPr="00024CA0" w:rsidRDefault="00BA7397" w:rsidP="00BA7397">
      <w:pPr>
        <w:rPr>
          <w:rStyle w:val="normaltextrun"/>
          <w:rFonts w:cs="Arial"/>
        </w:rPr>
      </w:pPr>
      <w:r w:rsidRPr="00024CA0">
        <w:rPr>
          <w:rStyle w:val="normaltextrun"/>
          <w:rFonts w:cs="Arial"/>
        </w:rPr>
        <w:t>For the Residential Aged Care Pricing Advice 2024</w:t>
      </w:r>
      <w:r w:rsidR="00E658D3" w:rsidRPr="00024CA0">
        <w:rPr>
          <w:rStyle w:val="normaltextrun"/>
          <w:rFonts w:cs="Arial"/>
        </w:rPr>
        <w:t>–</w:t>
      </w:r>
      <w:r w:rsidRPr="00024CA0">
        <w:rPr>
          <w:rStyle w:val="normaltextrun"/>
          <w:rFonts w:cs="Arial"/>
        </w:rPr>
        <w:t>25 (RACPA24), IHACPA’s indexation methodology will be refined to account for greater availability of relevant data on cost growth over time</w:t>
      </w:r>
      <w:r w:rsidR="00311413" w:rsidRPr="00024CA0">
        <w:rPr>
          <w:rStyle w:val="normaltextrun"/>
          <w:rFonts w:cs="Arial"/>
        </w:rPr>
        <w:t xml:space="preserve"> and will consider the following: </w:t>
      </w:r>
    </w:p>
    <w:p w14:paraId="03A8854A" w14:textId="77777777" w:rsidR="00311413" w:rsidRPr="00024CA0" w:rsidRDefault="00BA7397" w:rsidP="00311413">
      <w:pPr>
        <w:pStyle w:val="ListParagraph"/>
        <w:numPr>
          <w:ilvl w:val="0"/>
          <w:numId w:val="55"/>
        </w:numPr>
        <w:rPr>
          <w:rStyle w:val="normaltextrun"/>
          <w:rFonts w:cs="Arial"/>
        </w:rPr>
      </w:pPr>
      <w:r w:rsidRPr="00024CA0">
        <w:rPr>
          <w:rStyle w:val="normaltextrun"/>
          <w:rFonts w:cs="Arial"/>
        </w:rPr>
        <w:t>stakeholder feedback</w:t>
      </w:r>
    </w:p>
    <w:p w14:paraId="2DB64BCF" w14:textId="3FA8BCB7" w:rsidR="0011271A" w:rsidRPr="00024CA0" w:rsidRDefault="00BA7397" w:rsidP="00311413">
      <w:pPr>
        <w:pStyle w:val="ListParagraph"/>
        <w:numPr>
          <w:ilvl w:val="0"/>
          <w:numId w:val="55"/>
        </w:numPr>
        <w:rPr>
          <w:rStyle w:val="normaltextrun"/>
          <w:rFonts w:cs="Arial"/>
        </w:rPr>
      </w:pPr>
      <w:r w:rsidRPr="00024CA0">
        <w:rPr>
          <w:rStyle w:val="normaltextrun"/>
          <w:rFonts w:cs="Arial"/>
        </w:rPr>
        <w:t>relevant information on cost growth</w:t>
      </w:r>
    </w:p>
    <w:p w14:paraId="0FEC3BF6" w14:textId="4300FBB2" w:rsidR="00B3690E" w:rsidRPr="00024CA0" w:rsidRDefault="00BA7397" w:rsidP="00311413">
      <w:pPr>
        <w:pStyle w:val="ListParagraph"/>
        <w:numPr>
          <w:ilvl w:val="0"/>
          <w:numId w:val="55"/>
        </w:numPr>
        <w:rPr>
          <w:rStyle w:val="normaltextrun"/>
          <w:rFonts w:cs="Arial"/>
        </w:rPr>
      </w:pPr>
      <w:r w:rsidRPr="00024CA0">
        <w:rPr>
          <w:rStyle w:val="normaltextrun"/>
          <w:rFonts w:cs="Arial"/>
        </w:rPr>
        <w:t xml:space="preserve">time series cost data collected through </w:t>
      </w:r>
      <w:r w:rsidR="00410192">
        <w:rPr>
          <w:rStyle w:val="normaltextrun"/>
          <w:rFonts w:cs="Arial"/>
        </w:rPr>
        <w:t xml:space="preserve">the </w:t>
      </w:r>
      <w:r w:rsidRPr="00024CA0">
        <w:rPr>
          <w:rStyle w:val="normaltextrun"/>
          <w:rFonts w:cs="Arial"/>
        </w:rPr>
        <w:t>RACCS</w:t>
      </w:r>
    </w:p>
    <w:p w14:paraId="479190DE" w14:textId="0915537C" w:rsidR="00B3690E" w:rsidRPr="00024CA0" w:rsidRDefault="00BA7397" w:rsidP="00311413">
      <w:pPr>
        <w:pStyle w:val="ListParagraph"/>
        <w:numPr>
          <w:ilvl w:val="0"/>
          <w:numId w:val="55"/>
        </w:numPr>
        <w:rPr>
          <w:rStyle w:val="normaltextrun"/>
          <w:rFonts w:cs="Arial"/>
        </w:rPr>
      </w:pPr>
      <w:r w:rsidRPr="00024CA0">
        <w:rPr>
          <w:rStyle w:val="normaltextrun"/>
          <w:rFonts w:cs="Arial"/>
        </w:rPr>
        <w:t xml:space="preserve">the </w:t>
      </w:r>
      <w:r w:rsidR="00CB0A67" w:rsidRPr="00024CA0">
        <w:rPr>
          <w:rStyle w:val="normaltextrun"/>
          <w:rFonts w:cs="Arial"/>
        </w:rPr>
        <w:t>ACFR</w:t>
      </w:r>
    </w:p>
    <w:p w14:paraId="1EED72DB" w14:textId="672A99BD" w:rsidR="0025186C" w:rsidRPr="00024CA0" w:rsidRDefault="0025186C" w:rsidP="00311413">
      <w:pPr>
        <w:pStyle w:val="ListParagraph"/>
        <w:numPr>
          <w:ilvl w:val="0"/>
          <w:numId w:val="55"/>
        </w:numPr>
        <w:rPr>
          <w:rStyle w:val="normaltextrun"/>
          <w:rFonts w:cs="Arial"/>
        </w:rPr>
      </w:pPr>
      <w:r w:rsidRPr="00024CA0">
        <w:rPr>
          <w:rStyle w:val="normaltextrun"/>
          <w:rFonts w:cs="Arial"/>
        </w:rPr>
        <w:t>t</w:t>
      </w:r>
      <w:r w:rsidR="00B3690E" w:rsidRPr="00024CA0">
        <w:rPr>
          <w:rStyle w:val="normaltextrun"/>
          <w:rFonts w:cs="Arial"/>
        </w:rPr>
        <w:t xml:space="preserve">he </w:t>
      </w:r>
      <w:r w:rsidR="00BA7397" w:rsidRPr="00024CA0">
        <w:rPr>
          <w:rStyle w:val="normaltextrun"/>
          <w:rFonts w:cs="Arial"/>
        </w:rPr>
        <w:t>Q</w:t>
      </w:r>
      <w:r w:rsidR="00CB0A67" w:rsidRPr="00024CA0">
        <w:rPr>
          <w:rStyle w:val="normaltextrun"/>
          <w:rFonts w:cs="Arial"/>
        </w:rPr>
        <w:t>FR</w:t>
      </w:r>
    </w:p>
    <w:p w14:paraId="5627E943" w14:textId="1B3E0522" w:rsidR="00BA7397" w:rsidRPr="00024CA0" w:rsidRDefault="00BA7397" w:rsidP="00500D3C">
      <w:pPr>
        <w:pStyle w:val="ListParagraph"/>
        <w:numPr>
          <w:ilvl w:val="0"/>
          <w:numId w:val="55"/>
        </w:numPr>
        <w:rPr>
          <w:rStyle w:val="normaltextrun"/>
          <w:rFonts w:cs="Arial"/>
        </w:rPr>
      </w:pPr>
      <w:r w:rsidRPr="00024CA0">
        <w:rPr>
          <w:rStyle w:val="normaltextrun"/>
          <w:rFonts w:cs="Arial"/>
        </w:rPr>
        <w:t>any available Fair Work Commission decisions on wage rises and annual wage growth trends.</w:t>
      </w:r>
    </w:p>
    <w:p w14:paraId="2B12281E" w14:textId="27984917" w:rsidR="00EB7346" w:rsidRPr="00024CA0" w:rsidRDefault="00BA7397" w:rsidP="00BA7397">
      <w:pPr>
        <w:rPr>
          <w:rStyle w:val="normaltextrun"/>
          <w:rFonts w:cs="Arial"/>
        </w:rPr>
      </w:pPr>
      <w:r w:rsidRPr="00024CA0">
        <w:rPr>
          <w:rStyle w:val="normaltextrun"/>
          <w:rFonts w:cs="Arial"/>
        </w:rPr>
        <w:t xml:space="preserve">IHACPA </w:t>
      </w:r>
      <w:r w:rsidR="00DD3BD9" w:rsidRPr="00024CA0">
        <w:rPr>
          <w:rStyle w:val="normaltextrun"/>
          <w:rFonts w:cs="Arial"/>
        </w:rPr>
        <w:t xml:space="preserve">will continue to </w:t>
      </w:r>
      <w:r w:rsidRPr="00024CA0">
        <w:rPr>
          <w:rStyle w:val="normaltextrun"/>
          <w:rFonts w:cs="Arial"/>
        </w:rPr>
        <w:t xml:space="preserve">review the indexation methodology for pricing advice, </w:t>
      </w:r>
      <w:proofErr w:type="gramStart"/>
      <w:r w:rsidR="004779D9" w:rsidRPr="00024CA0">
        <w:rPr>
          <w:rStyle w:val="normaltextrun"/>
          <w:rFonts w:cs="Arial"/>
        </w:rPr>
        <w:t>taking into account</w:t>
      </w:r>
      <w:proofErr w:type="gramEnd"/>
      <w:r w:rsidR="004779D9" w:rsidRPr="00024CA0">
        <w:rPr>
          <w:rStyle w:val="normaltextrun"/>
          <w:rFonts w:cs="Arial"/>
        </w:rPr>
        <w:t xml:space="preserve"> </w:t>
      </w:r>
      <w:r w:rsidRPr="00024CA0">
        <w:rPr>
          <w:rStyle w:val="normaltextrun"/>
          <w:rFonts w:cs="Arial"/>
        </w:rPr>
        <w:t>maturing data collections and costing study data.</w:t>
      </w:r>
    </w:p>
    <w:tbl>
      <w:tblPr>
        <w:tblStyle w:val="TableGrid"/>
        <w:tblpPr w:leftFromText="180" w:rightFromText="180" w:vertAnchor="text" w:horzAnchor="margin" w:tblpXSpec="right" w:tblpY="57"/>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172E40" w:rsidRPr="006746C9" w14:paraId="75C0BC6B" w14:textId="77777777" w:rsidTr="00172E40">
        <w:trPr>
          <w:trHeight w:val="1466"/>
        </w:trPr>
        <w:tc>
          <w:tcPr>
            <w:tcW w:w="5000" w:type="pct"/>
            <w:tcBorders>
              <w:left w:val="nil"/>
            </w:tcBorders>
            <w:shd w:val="clear" w:color="auto" w:fill="E6F4F9"/>
          </w:tcPr>
          <w:p w14:paraId="7877B331" w14:textId="77777777" w:rsidR="00172E40" w:rsidRPr="006746C9" w:rsidRDefault="00172E40" w:rsidP="004C665E">
            <w:pPr>
              <w:pStyle w:val="Heading4"/>
              <w:framePr w:hSpace="0" w:wrap="auto" w:vAnchor="margin" w:hAnchor="text" w:yAlign="inline"/>
              <w:outlineLvl w:val="3"/>
              <w:rPr>
                <w:color w:val="000000" w:themeColor="text1"/>
              </w:rPr>
            </w:pPr>
            <w:r w:rsidRPr="006746C9">
              <w:rPr>
                <w:noProof/>
                <w:color w:val="000000" w:themeColor="text1"/>
              </w:rPr>
              <w:drawing>
                <wp:anchor distT="0" distB="0" distL="114300" distR="114300" simplePos="0" relativeHeight="251655168" behindDoc="0" locked="0" layoutInCell="1" allowOverlap="1" wp14:anchorId="7E09537F" wp14:editId="46D52E71">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p>
          <w:p w14:paraId="23224BC0" w14:textId="15F828AA" w:rsidR="00172E40" w:rsidRPr="006746C9" w:rsidRDefault="00172E40" w:rsidP="00CB75AD">
            <w:pPr>
              <w:pStyle w:val="Bullets"/>
              <w:framePr w:hSpace="0" w:wrap="auto" w:vAnchor="margin" w:hAnchor="text" w:xAlign="left" w:yAlign="inline"/>
            </w:pPr>
            <w:bookmarkStart w:id="58" w:name="_Hlk138192180"/>
            <w:r w:rsidRPr="00024CA0">
              <w:t xml:space="preserve">What, if any, considerations should IHACPA seek to review in its indexation methodology for </w:t>
            </w:r>
            <w:r w:rsidR="008D62E9" w:rsidRPr="00024CA0">
              <w:t xml:space="preserve">its </w:t>
            </w:r>
            <w:r w:rsidRPr="00024CA0">
              <w:t>residential aged care pricing advice?</w:t>
            </w:r>
            <w:bookmarkEnd w:id="58"/>
          </w:p>
        </w:tc>
      </w:tr>
    </w:tbl>
    <w:p w14:paraId="63DF6CCB" w14:textId="6C3CCA83" w:rsidR="00EB7346" w:rsidRDefault="00EB7346" w:rsidP="00315E94">
      <w:pPr>
        <w:pStyle w:val="Heading2"/>
      </w:pPr>
    </w:p>
    <w:p w14:paraId="0D5D95AB" w14:textId="77777777" w:rsidR="00EB7346" w:rsidRDefault="00EB7346" w:rsidP="00EB7346">
      <w:pPr>
        <w:rPr>
          <w:rStyle w:val="normaltextrun"/>
        </w:rPr>
      </w:pPr>
    </w:p>
    <w:p w14:paraId="5A438681" w14:textId="77777777" w:rsidR="00EB7346" w:rsidRDefault="00EB7346" w:rsidP="00EB7346">
      <w:pPr>
        <w:rPr>
          <w:rStyle w:val="normaltextrun"/>
        </w:rPr>
      </w:pPr>
    </w:p>
    <w:p w14:paraId="6B8BE458" w14:textId="77777777" w:rsidR="00EB7346" w:rsidRDefault="00EB7346" w:rsidP="00EB7346">
      <w:pPr>
        <w:rPr>
          <w:rStyle w:val="normaltextrun"/>
        </w:rPr>
      </w:pPr>
    </w:p>
    <w:p w14:paraId="70C3E9DE" w14:textId="77777777" w:rsidR="00EB7346" w:rsidRDefault="00EB7346" w:rsidP="00EB7346">
      <w:pPr>
        <w:rPr>
          <w:rStyle w:val="normaltextrun"/>
        </w:rPr>
      </w:pPr>
    </w:p>
    <w:p w14:paraId="26EFEB0D" w14:textId="77777777" w:rsidR="00EB7346" w:rsidRDefault="00EB7346" w:rsidP="00EB7346">
      <w:pPr>
        <w:rPr>
          <w:rStyle w:val="normaltextrun"/>
        </w:rPr>
      </w:pPr>
    </w:p>
    <w:p w14:paraId="5D191FDF" w14:textId="77777777" w:rsidR="00EB7346" w:rsidRDefault="00EB7346" w:rsidP="00EB7346">
      <w:pPr>
        <w:rPr>
          <w:rStyle w:val="normaltextrun"/>
        </w:rPr>
      </w:pPr>
    </w:p>
    <w:p w14:paraId="27E89929" w14:textId="77777777" w:rsidR="00EB7346" w:rsidRDefault="00EB7346" w:rsidP="00EB7346">
      <w:pPr>
        <w:rPr>
          <w:rStyle w:val="normaltextrun"/>
        </w:rPr>
      </w:pPr>
    </w:p>
    <w:p w14:paraId="214889FF" w14:textId="77777777" w:rsidR="00EB7346" w:rsidRDefault="00EB7346" w:rsidP="00EB7346">
      <w:pPr>
        <w:rPr>
          <w:rStyle w:val="normaltextrun"/>
        </w:rPr>
      </w:pPr>
    </w:p>
    <w:p w14:paraId="603D7F65" w14:textId="76E2B5C7" w:rsidR="00971953" w:rsidRDefault="00971953" w:rsidP="00971953"/>
    <w:p w14:paraId="324D308A" w14:textId="77777777" w:rsidR="00971953" w:rsidRDefault="00971953" w:rsidP="00971953">
      <w:pPr>
        <w:pStyle w:val="Body"/>
        <w:sectPr w:rsidR="00971953" w:rsidSect="00176CE6">
          <w:headerReference w:type="even" r:id="rId92"/>
          <w:headerReference w:type="default" r:id="rId93"/>
          <w:headerReference w:type="first" r:id="rId94"/>
          <w:type w:val="continuous"/>
          <w:pgSz w:w="11906" w:h="16838" w:code="9"/>
          <w:pgMar w:top="1440" w:right="1440" w:bottom="1135" w:left="1440" w:header="708" w:footer="708" w:gutter="0"/>
          <w:cols w:num="2" w:space="708"/>
          <w:docGrid w:linePitch="360"/>
        </w:sectPr>
      </w:pPr>
    </w:p>
    <w:p w14:paraId="2AD308E9" w14:textId="3D2FDF6F" w:rsidR="00101000" w:rsidRPr="00050402" w:rsidRDefault="00101000" w:rsidP="00101000">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48000" behindDoc="0" locked="0" layoutInCell="1" allowOverlap="1" wp14:anchorId="6EA35E3A" wp14:editId="47A703AA">
            <wp:simplePos x="0" y="0"/>
            <wp:positionH relativeFrom="column">
              <wp:posOffset>-904034</wp:posOffset>
            </wp:positionH>
            <wp:positionV relativeFrom="paragraph">
              <wp:posOffset>-610235</wp:posOffset>
            </wp:positionV>
            <wp:extent cx="7548659" cy="5151755"/>
            <wp:effectExtent l="0" t="0" r="0" b="0"/>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720"/>
          <w:szCs w:val="720"/>
        </w:rPr>
        <w:t>5</w:t>
      </w:r>
    </w:p>
    <w:p w14:paraId="7D098C69" w14:textId="4CAF31F3" w:rsidR="00101000" w:rsidRPr="00267F1F" w:rsidRDefault="00101000" w:rsidP="00101000">
      <w:pPr>
        <w:pStyle w:val="Heading1"/>
        <w:ind w:right="3781"/>
        <w:rPr>
          <w:color w:val="auto"/>
        </w:rPr>
      </w:pPr>
      <w:bookmarkStart w:id="59" w:name="_Toc137552816"/>
      <w:r w:rsidRPr="00267F1F">
        <w:rPr>
          <w:color w:val="auto"/>
        </w:rPr>
        <w:t>Adjustments to the recommended price</w:t>
      </w:r>
      <w:bookmarkEnd w:id="59"/>
    </w:p>
    <w:p w14:paraId="725C9A11" w14:textId="77777777" w:rsidR="00101000" w:rsidRDefault="00101000" w:rsidP="00101000">
      <w:pPr>
        <w:sectPr w:rsidR="00101000" w:rsidSect="00C9543A">
          <w:headerReference w:type="even" r:id="rId95"/>
          <w:headerReference w:type="default" r:id="rId96"/>
          <w:headerReference w:type="first" r:id="rId97"/>
          <w:pgSz w:w="11906" w:h="16838" w:code="9"/>
          <w:pgMar w:top="851" w:right="1440" w:bottom="1440" w:left="1440" w:header="708" w:footer="708" w:gutter="0"/>
          <w:cols w:space="708"/>
          <w:docGrid w:linePitch="360"/>
        </w:sectPr>
      </w:pPr>
    </w:p>
    <w:p w14:paraId="658F7D2D" w14:textId="77777777" w:rsidR="00101000" w:rsidRDefault="00101000" w:rsidP="00101000">
      <w:pPr>
        <w:pStyle w:val="Body"/>
        <w:spacing w:after="0"/>
        <w:sectPr w:rsidR="00101000" w:rsidSect="00101000">
          <w:headerReference w:type="even" r:id="rId98"/>
          <w:headerReference w:type="default" r:id="rId99"/>
          <w:headerReference w:type="first" r:id="rId100"/>
          <w:pgSz w:w="11906" w:h="16838" w:code="9"/>
          <w:pgMar w:top="2932" w:right="1440" w:bottom="1440" w:left="1440" w:header="568" w:footer="708" w:gutter="0"/>
          <w:cols w:space="708"/>
          <w:docGrid w:linePitch="360"/>
        </w:sectPr>
      </w:pPr>
    </w:p>
    <w:p w14:paraId="4DCA1581" w14:textId="77777777" w:rsidR="00101000" w:rsidRPr="00A05977" w:rsidRDefault="00101000" w:rsidP="00101000">
      <w:pPr>
        <w:pStyle w:val="Heading2"/>
        <w:rPr>
          <w:rStyle w:val="normaltextrun"/>
          <w:bCs w:val="0"/>
        </w:rPr>
      </w:pPr>
      <w:bookmarkStart w:id="60" w:name="_Toc137552817"/>
      <w:r>
        <w:rPr>
          <w:rStyle w:val="normaltextrun"/>
        </w:rPr>
        <w:t xml:space="preserve">5.1 </w:t>
      </w:r>
      <w:r w:rsidRPr="00A05977">
        <w:rPr>
          <w:rStyle w:val="normaltextrun"/>
        </w:rPr>
        <w:t>Approach to adjustments</w:t>
      </w:r>
      <w:bookmarkEnd w:id="60"/>
    </w:p>
    <w:p w14:paraId="5CA7C24A" w14:textId="7331EBBD" w:rsidR="00101000" w:rsidRPr="00024CA0" w:rsidRDefault="00101000" w:rsidP="00101000">
      <w:pPr>
        <w:rPr>
          <w:rStyle w:val="normaltextrun"/>
          <w:rFonts w:cs="Arial"/>
        </w:rPr>
      </w:pPr>
      <w:r w:rsidRPr="00024CA0">
        <w:rPr>
          <w:rStyle w:val="normaltextrun"/>
          <w:rFonts w:cs="Arial"/>
        </w:rPr>
        <w:t xml:space="preserve">Adjustments refer to additional elements within the funding model </w:t>
      </w:r>
      <w:r w:rsidR="00766DCC" w:rsidRPr="00024CA0">
        <w:rPr>
          <w:rStyle w:val="normaltextrun"/>
          <w:rFonts w:cs="Arial"/>
        </w:rPr>
        <w:t xml:space="preserve">that are intended </w:t>
      </w:r>
      <w:r w:rsidRPr="00024CA0">
        <w:rPr>
          <w:rStyle w:val="normaltextrun"/>
          <w:rFonts w:cs="Arial"/>
        </w:rPr>
        <w:t xml:space="preserve">to account for legitimate and unavoidable variations in the cost of delivering care for </w:t>
      </w:r>
      <w:proofErr w:type="gramStart"/>
      <w:r w:rsidRPr="00024CA0">
        <w:rPr>
          <w:rStyle w:val="normaltextrun"/>
          <w:rFonts w:cs="Arial"/>
        </w:rPr>
        <w:t>particular cohorts</w:t>
      </w:r>
      <w:proofErr w:type="gramEnd"/>
      <w:r w:rsidRPr="00024CA0">
        <w:rPr>
          <w:rStyle w:val="normaltextrun"/>
          <w:rFonts w:cs="Arial"/>
        </w:rPr>
        <w:t xml:space="preserve">. Adjustments can assist in addressing systematic cost variations that cannot be effectively captured and priced through the classification model. </w:t>
      </w:r>
    </w:p>
    <w:p w14:paraId="2AD57537" w14:textId="49F5DDA1" w:rsidR="00101000" w:rsidRPr="00024CA0" w:rsidRDefault="00101000" w:rsidP="00101000">
      <w:pPr>
        <w:rPr>
          <w:rStyle w:val="normaltextrun"/>
          <w:rFonts w:cs="Arial"/>
        </w:rPr>
      </w:pPr>
      <w:r w:rsidRPr="00024CA0">
        <w:rPr>
          <w:rStyle w:val="normaltextrun"/>
          <w:rFonts w:cs="Arial"/>
        </w:rPr>
        <w:t>The Independent Health and Aged Care Pricing Authority (IHACPA) prefer</w:t>
      </w:r>
      <w:r w:rsidR="00766DCC" w:rsidRPr="00024CA0">
        <w:rPr>
          <w:rStyle w:val="normaltextrun"/>
          <w:rFonts w:cs="Arial"/>
        </w:rPr>
        <w:t>s</w:t>
      </w:r>
      <w:r w:rsidR="004779D9" w:rsidRPr="00024CA0">
        <w:rPr>
          <w:rStyle w:val="normaltextrun"/>
          <w:rFonts w:cs="Arial"/>
        </w:rPr>
        <w:t xml:space="preserve"> </w:t>
      </w:r>
      <w:r w:rsidRPr="00024CA0">
        <w:rPr>
          <w:rStyle w:val="normaltextrun"/>
          <w:rFonts w:cs="Arial"/>
        </w:rPr>
        <w:t xml:space="preserve">to base adjustments on the characteristics of a person receiving care, rather than </w:t>
      </w:r>
      <w:r w:rsidR="00380087" w:rsidRPr="00024CA0">
        <w:rPr>
          <w:rStyle w:val="normaltextrun"/>
          <w:rFonts w:cs="Arial"/>
        </w:rPr>
        <w:t>service</w:t>
      </w:r>
      <w:r w:rsidR="00B719B1" w:rsidRPr="00024CA0">
        <w:rPr>
          <w:rStyle w:val="normaltextrun"/>
          <w:rFonts w:cs="Arial"/>
        </w:rPr>
        <w:noBreakHyphen/>
      </w:r>
      <w:r w:rsidRPr="00024CA0">
        <w:rPr>
          <w:rStyle w:val="normaltextrun"/>
          <w:rFonts w:cs="Arial"/>
        </w:rPr>
        <w:t xml:space="preserve">related adjustments. This is because adjustments related to people receiving care are more clearly outside the control of a </w:t>
      </w:r>
      <w:r w:rsidR="00495203" w:rsidRPr="00024CA0">
        <w:rPr>
          <w:rStyle w:val="normaltextrun"/>
          <w:rFonts w:cs="Arial"/>
        </w:rPr>
        <w:t>service</w:t>
      </w:r>
      <w:r w:rsidRPr="00024CA0">
        <w:rPr>
          <w:rStyle w:val="normaltextrun"/>
          <w:rFonts w:cs="Arial"/>
        </w:rPr>
        <w:t xml:space="preserve">. </w:t>
      </w:r>
    </w:p>
    <w:p w14:paraId="3AEFE083" w14:textId="5A514361" w:rsidR="003C644B" w:rsidRPr="00024CA0" w:rsidRDefault="00101000" w:rsidP="00101000">
      <w:pPr>
        <w:rPr>
          <w:rStyle w:val="normaltextrun"/>
          <w:rFonts w:cs="Arial"/>
        </w:rPr>
      </w:pPr>
      <w:r w:rsidRPr="00024CA0">
        <w:rPr>
          <w:rStyle w:val="normaltextrun"/>
          <w:rFonts w:cs="Arial"/>
        </w:rPr>
        <w:t xml:space="preserve">IHACPA </w:t>
      </w:r>
      <w:r w:rsidR="004779D9" w:rsidRPr="00024CA0">
        <w:rPr>
          <w:rStyle w:val="normaltextrun"/>
          <w:rFonts w:cs="Arial"/>
        </w:rPr>
        <w:t xml:space="preserve">did not </w:t>
      </w:r>
      <w:r w:rsidRPr="00024CA0">
        <w:rPr>
          <w:rStyle w:val="normaltextrun"/>
          <w:rFonts w:cs="Arial"/>
        </w:rPr>
        <w:t>recommend any new pricing adjustments or changes to the Base Care Tariffs (BCTs) and their national weight</w:t>
      </w:r>
      <w:r w:rsidR="00766DCC" w:rsidRPr="00024CA0">
        <w:rPr>
          <w:rStyle w:val="normaltextrun"/>
          <w:rFonts w:cs="Arial"/>
        </w:rPr>
        <w:t>ed</w:t>
      </w:r>
      <w:r w:rsidRPr="00024CA0">
        <w:rPr>
          <w:rStyle w:val="normaltextrun"/>
          <w:rFonts w:cs="Arial"/>
        </w:rPr>
        <w:t xml:space="preserve"> activity unit values</w:t>
      </w:r>
      <w:r w:rsidR="004779D9" w:rsidRPr="00024CA0">
        <w:rPr>
          <w:rStyle w:val="normaltextrun"/>
          <w:rFonts w:cs="Arial"/>
        </w:rPr>
        <w:t xml:space="preserve"> </w:t>
      </w:r>
      <w:r w:rsidR="00766DCC" w:rsidRPr="00024CA0">
        <w:rPr>
          <w:rStyle w:val="normaltextrun"/>
          <w:rFonts w:cs="Arial"/>
        </w:rPr>
        <w:t xml:space="preserve">for </w:t>
      </w:r>
      <w:r w:rsidR="00856FFE" w:rsidRPr="00024CA0">
        <w:rPr>
          <w:rStyle w:val="normaltextrun"/>
          <w:rFonts w:cs="Arial"/>
        </w:rPr>
        <w:t>the</w:t>
      </w:r>
      <w:r w:rsidR="00766DCC" w:rsidRPr="00024CA0">
        <w:rPr>
          <w:rStyle w:val="normaltextrun"/>
          <w:rFonts w:cs="Arial"/>
        </w:rPr>
        <w:t xml:space="preserve"> </w:t>
      </w:r>
      <w:r w:rsidR="004779D9" w:rsidRPr="00024CA0">
        <w:rPr>
          <w:rFonts w:cs="Arial"/>
          <w:i/>
          <w:iCs/>
        </w:rPr>
        <w:t>Residential Aged Care Pricing Advice 2023–24</w:t>
      </w:r>
      <w:r w:rsidR="004779D9" w:rsidRPr="00024CA0">
        <w:rPr>
          <w:rStyle w:val="normaltextrun"/>
          <w:rFonts w:cs="Arial"/>
        </w:rPr>
        <w:t xml:space="preserve"> (RACPA23)</w:t>
      </w:r>
      <w:r w:rsidRPr="00024CA0">
        <w:rPr>
          <w:rStyle w:val="normaltextrun"/>
          <w:rFonts w:cs="Arial"/>
        </w:rPr>
        <w:t>. This was because at the time, the Australian National Aged Care Classification (AN</w:t>
      </w:r>
      <w:r w:rsidR="00495203" w:rsidRPr="00024CA0">
        <w:rPr>
          <w:rStyle w:val="normaltextrun"/>
          <w:rFonts w:cs="Arial"/>
        </w:rPr>
        <w:noBreakHyphen/>
      </w:r>
      <w:r w:rsidRPr="00024CA0">
        <w:rPr>
          <w:rStyle w:val="normaltextrun"/>
          <w:rFonts w:cs="Arial"/>
        </w:rPr>
        <w:t>ACC) funding model had only been introduced from 1</w:t>
      </w:r>
      <w:r w:rsidR="00183B31" w:rsidRPr="00024CA0">
        <w:rPr>
          <w:rStyle w:val="normaltextrun"/>
          <w:rFonts w:cs="Arial"/>
        </w:rPr>
        <w:t> </w:t>
      </w:r>
      <w:r w:rsidRPr="00024CA0">
        <w:rPr>
          <w:rStyle w:val="normaltextrun"/>
          <w:rFonts w:cs="Arial"/>
        </w:rPr>
        <w:t>October 2022 and there was no clear evidence to support the introduction or refinement of adjustments.</w:t>
      </w:r>
    </w:p>
    <w:p w14:paraId="3FD103E4" w14:textId="18A88BEA" w:rsidR="00A14083" w:rsidRPr="00024CA0" w:rsidRDefault="00A14083" w:rsidP="00A14083">
      <w:pPr>
        <w:rPr>
          <w:rStyle w:val="normaltextrun"/>
          <w:rFonts w:cs="Arial"/>
        </w:rPr>
      </w:pPr>
      <w:r w:rsidRPr="00024CA0">
        <w:rPr>
          <w:rStyle w:val="normaltextrun"/>
          <w:rFonts w:cs="Arial"/>
        </w:rPr>
        <w:t xml:space="preserve">Feedback from stakeholders in response to the </w:t>
      </w:r>
      <w:r w:rsidRPr="00024CA0">
        <w:rPr>
          <w:rFonts w:cs="Arial"/>
          <w:i/>
          <w:iCs/>
        </w:rPr>
        <w:t>Towards an Aged Care Pricing Framework Consultation Paper</w:t>
      </w:r>
      <w:r w:rsidRPr="00024CA0">
        <w:rPr>
          <w:rStyle w:val="normaltextrun"/>
          <w:rFonts w:cs="Arial"/>
        </w:rPr>
        <w:t xml:space="preserve"> </w:t>
      </w:r>
      <w:r w:rsidR="00555ADB" w:rsidRPr="00024CA0">
        <w:rPr>
          <w:rStyle w:val="normaltextrun"/>
          <w:rFonts w:cs="Arial"/>
        </w:rPr>
        <w:t xml:space="preserve">released in 2022 </w:t>
      </w:r>
      <w:r w:rsidRPr="00024CA0">
        <w:rPr>
          <w:rStyle w:val="normaltextrun"/>
          <w:rFonts w:cs="Arial"/>
        </w:rPr>
        <w:t>noted the importance of ongoing collaboration with the sector when IHACPA reviews adjustments to the recommended price.</w:t>
      </w:r>
    </w:p>
    <w:p w14:paraId="3F77C87F" w14:textId="77777777" w:rsidR="004C4097" w:rsidRPr="00024CA0" w:rsidRDefault="004C4097" w:rsidP="00A14083">
      <w:pPr>
        <w:rPr>
          <w:rStyle w:val="normaltextrun"/>
          <w:rFonts w:cs="Arial"/>
        </w:rPr>
      </w:pPr>
    </w:p>
    <w:p w14:paraId="2CDE2D9F" w14:textId="77777777" w:rsidR="004C4097" w:rsidRPr="00024CA0" w:rsidRDefault="004C4097" w:rsidP="00A14083">
      <w:pPr>
        <w:rPr>
          <w:rStyle w:val="normaltextrun"/>
          <w:rFonts w:cs="Arial"/>
        </w:rPr>
      </w:pPr>
    </w:p>
    <w:p w14:paraId="0A8A4D6D" w14:textId="371564B2" w:rsidR="00A14083" w:rsidRPr="00024CA0" w:rsidRDefault="00A14083" w:rsidP="00101000">
      <w:pPr>
        <w:rPr>
          <w:rStyle w:val="normaltextrun"/>
          <w:rFonts w:cs="Arial"/>
        </w:rPr>
      </w:pPr>
      <w:r w:rsidRPr="00024CA0">
        <w:rPr>
          <w:rStyle w:val="normaltextrun"/>
          <w:rFonts w:cs="Arial"/>
        </w:rPr>
        <w:t>IHACPA will continue to engage with stakeholders</w:t>
      </w:r>
      <w:r w:rsidR="4359C64F" w:rsidRPr="00024CA0">
        <w:rPr>
          <w:rStyle w:val="normaltextrun"/>
          <w:rFonts w:cs="Arial"/>
        </w:rPr>
        <w:t xml:space="preserve"> and</w:t>
      </w:r>
      <w:r w:rsidRPr="00024CA0">
        <w:rPr>
          <w:rStyle w:val="normaltextrun"/>
          <w:rFonts w:cs="Arial"/>
        </w:rPr>
        <w:t xml:space="preserve"> advisory </w:t>
      </w:r>
      <w:proofErr w:type="gramStart"/>
      <w:r w:rsidRPr="00024CA0">
        <w:rPr>
          <w:rStyle w:val="normaltextrun"/>
          <w:rFonts w:cs="Arial"/>
        </w:rPr>
        <w:t>committees</w:t>
      </w:r>
      <w:r w:rsidR="002A186F">
        <w:rPr>
          <w:rStyle w:val="normaltextrun"/>
          <w:rFonts w:cs="Arial"/>
        </w:rPr>
        <w:t>,</w:t>
      </w:r>
      <w:r w:rsidRPr="00024CA0">
        <w:rPr>
          <w:rStyle w:val="normaltextrun"/>
          <w:rFonts w:cs="Arial"/>
        </w:rPr>
        <w:t xml:space="preserve"> and</w:t>
      </w:r>
      <w:proofErr w:type="gramEnd"/>
      <w:r w:rsidRPr="00024CA0">
        <w:rPr>
          <w:rStyle w:val="normaltextrun"/>
          <w:rFonts w:cs="Arial"/>
        </w:rPr>
        <w:t xml:space="preserve"> look to new and emerging evidence</w:t>
      </w:r>
      <w:r w:rsidR="00B719B1" w:rsidRPr="00024CA0">
        <w:rPr>
          <w:rStyle w:val="normaltextrun"/>
          <w:rFonts w:cs="Arial"/>
        </w:rPr>
        <w:noBreakHyphen/>
      </w:r>
      <w:r w:rsidRPr="00024CA0">
        <w:rPr>
          <w:rStyle w:val="normaltextrun"/>
          <w:rFonts w:cs="Arial"/>
        </w:rPr>
        <w:t>based cost and activity data in its approach to making recommendations on adjustments.</w:t>
      </w:r>
    </w:p>
    <w:p w14:paraId="12B8D5D3" w14:textId="77777777" w:rsidR="00101000" w:rsidRPr="00A736DE" w:rsidRDefault="00101000" w:rsidP="00101000">
      <w:pPr>
        <w:pStyle w:val="Heading2"/>
        <w:rPr>
          <w:rStyle w:val="normaltextrun"/>
          <w:bCs w:val="0"/>
        </w:rPr>
      </w:pPr>
      <w:bookmarkStart w:id="61" w:name="_Toc136435009"/>
      <w:bookmarkStart w:id="62" w:name="_Toc137552818"/>
      <w:r w:rsidRPr="00CA568B">
        <w:rPr>
          <w:rStyle w:val="normaltextrun"/>
        </w:rPr>
        <w:t xml:space="preserve">5.2 Adjusting </w:t>
      </w:r>
      <w:r w:rsidRPr="00247531">
        <w:rPr>
          <w:rStyle w:val="normaltextrun"/>
        </w:rPr>
        <w:t>for</w:t>
      </w:r>
      <w:r w:rsidRPr="00CA568B">
        <w:rPr>
          <w:rStyle w:val="normaltextrun"/>
        </w:rPr>
        <w:t xml:space="preserve"> factors related to people receiving care</w:t>
      </w:r>
      <w:bookmarkEnd w:id="61"/>
      <w:bookmarkEnd w:id="62"/>
    </w:p>
    <w:p w14:paraId="57EFB599" w14:textId="282A5A99" w:rsidR="00101000" w:rsidRPr="00024CA0" w:rsidRDefault="00101000" w:rsidP="00101000">
      <w:r w:rsidRPr="00024CA0">
        <w:t xml:space="preserve">The AN-ACC model considers the impact </w:t>
      </w:r>
      <w:r w:rsidRPr="00024CA0">
        <w:rPr>
          <w:rStyle w:val="normaltextrun"/>
          <w:rFonts w:cs="Arial"/>
        </w:rPr>
        <w:t>of</w:t>
      </w:r>
      <w:r w:rsidRPr="00024CA0">
        <w:t xml:space="preserve"> two specific resident</w:t>
      </w:r>
      <w:r w:rsidR="2C6D5F29" w:rsidRPr="00024CA0">
        <w:t>-</w:t>
      </w:r>
      <w:r w:rsidRPr="00024CA0">
        <w:t>related factors that significantly influence the costs of their care. These are the provision of care to:</w:t>
      </w:r>
    </w:p>
    <w:p w14:paraId="2216A665" w14:textId="09F6B077" w:rsidR="00101000" w:rsidRPr="00024CA0" w:rsidRDefault="00101000" w:rsidP="0003369C">
      <w:pPr>
        <w:pStyle w:val="BulletL2"/>
        <w:numPr>
          <w:ilvl w:val="0"/>
          <w:numId w:val="58"/>
        </w:numPr>
      </w:pPr>
      <w:r w:rsidRPr="00024CA0">
        <w:rPr>
          <w:rStyle w:val="normaltextrun"/>
        </w:rPr>
        <w:t>Aboriginal</w:t>
      </w:r>
      <w:r w:rsidRPr="00024CA0">
        <w:t xml:space="preserve"> and Torres Strait Islander peoples </w:t>
      </w:r>
      <w:r w:rsidR="00C46148" w:rsidRPr="00024CA0">
        <w:t>in remote areas</w:t>
      </w:r>
    </w:p>
    <w:p w14:paraId="59FA352D" w14:textId="5D3CDBBC" w:rsidR="00101000" w:rsidRPr="00024CA0" w:rsidRDefault="00101000" w:rsidP="0003369C">
      <w:pPr>
        <w:pStyle w:val="BulletL2"/>
        <w:numPr>
          <w:ilvl w:val="0"/>
          <w:numId w:val="58"/>
        </w:numPr>
      </w:pPr>
      <w:r w:rsidRPr="00024CA0">
        <w:t>people at risk of or experiencing homelessness</w:t>
      </w:r>
      <w:r w:rsidR="00881661">
        <w:t xml:space="preserve"> and have a relevant behavioural diagnosis</w:t>
      </w:r>
      <w:r w:rsidRPr="00024CA0">
        <w:t xml:space="preserve">. </w:t>
      </w:r>
    </w:p>
    <w:p w14:paraId="6E82E811" w14:textId="3A292313" w:rsidR="007E3909" w:rsidRPr="00024CA0" w:rsidRDefault="001949C7" w:rsidP="00101000">
      <w:r>
        <w:t>While</w:t>
      </w:r>
      <w:r w:rsidR="00101000" w:rsidRPr="00024CA0">
        <w:t xml:space="preserve"> being related to resident characteristics, these additional costs </w:t>
      </w:r>
      <w:r w:rsidR="00982B21" w:rsidRPr="00024CA0">
        <w:t>were</w:t>
      </w:r>
      <w:r w:rsidR="00101000" w:rsidRPr="00024CA0">
        <w:t xml:space="preserve"> initially captured in the AN-ACC model through differential BCT categories at the </w:t>
      </w:r>
      <w:r w:rsidR="004C1CBB" w:rsidRPr="00024CA0">
        <w:t>service</w:t>
      </w:r>
      <w:r w:rsidR="00101000" w:rsidRPr="00024CA0">
        <w:t xml:space="preserve"> level. This is because the provision of specialist care to these groups often occurs in combination with other </w:t>
      </w:r>
      <w:r w:rsidR="007E3909" w:rsidRPr="00024CA0">
        <w:t>service</w:t>
      </w:r>
      <w:r w:rsidR="00101000" w:rsidRPr="00024CA0">
        <w:t xml:space="preserve"> characteristics that may impact fixed cost drivers.</w:t>
      </w:r>
      <w:r w:rsidR="00A442B0" w:rsidRPr="00024CA0">
        <w:t xml:space="preserve"> </w:t>
      </w:r>
    </w:p>
    <w:p w14:paraId="6ED6D9EF" w14:textId="7E8802FE" w:rsidR="00101000" w:rsidRDefault="00A442B0" w:rsidP="00101000">
      <w:pPr>
        <w:rPr>
          <w:color w:val="15272E"/>
        </w:rPr>
      </w:pPr>
      <w:r w:rsidRPr="00024CA0">
        <w:t>The</w:t>
      </w:r>
      <w:r w:rsidR="00832CEB" w:rsidRPr="00024CA0">
        <w:t xml:space="preserve"> </w:t>
      </w:r>
      <w:hyperlink r:id="rId101" w:history="1">
        <w:r w:rsidR="00832CEB" w:rsidRPr="00832CEB">
          <w:rPr>
            <w:rStyle w:val="Hyperlink"/>
          </w:rPr>
          <w:t>AN-ACC – specialised status guide for residential aged care approved providers</w:t>
        </w:r>
      </w:hyperlink>
      <w:r w:rsidR="00832CEB">
        <w:rPr>
          <w:color w:val="15272E"/>
        </w:rPr>
        <w:t xml:space="preserve"> </w:t>
      </w:r>
      <w:r w:rsidR="00832CEB" w:rsidRPr="00024CA0">
        <w:t>published by the Department of Health and Aged Care (the Department) provide</w:t>
      </w:r>
      <w:r w:rsidR="00B32041" w:rsidRPr="00024CA0">
        <w:t>s</w:t>
      </w:r>
      <w:r w:rsidR="00832CEB" w:rsidRPr="00024CA0">
        <w:t xml:space="preserve"> further information on this.</w:t>
      </w:r>
    </w:p>
    <w:p w14:paraId="42E7BFFC" w14:textId="4FBD0E2C" w:rsidR="00B26978" w:rsidRDefault="00B26978" w:rsidP="00101000">
      <w:pPr>
        <w:rPr>
          <w:color w:val="15272E"/>
        </w:rPr>
      </w:pPr>
    </w:p>
    <w:p w14:paraId="22D58FD8" w14:textId="75FC0D7C" w:rsidR="00B26978" w:rsidRDefault="00B26978" w:rsidP="00101000">
      <w:pPr>
        <w:rPr>
          <w:color w:val="15272E"/>
        </w:rPr>
      </w:pPr>
    </w:p>
    <w:p w14:paraId="619E3AD7" w14:textId="0E44406C" w:rsidR="00B26978" w:rsidRDefault="00B26978" w:rsidP="00101000">
      <w:pPr>
        <w:rPr>
          <w:color w:val="15272E"/>
        </w:rPr>
      </w:pPr>
    </w:p>
    <w:p w14:paraId="6B681B71" w14:textId="77777777" w:rsidR="00B26978" w:rsidRDefault="00B26978" w:rsidP="00101000">
      <w:pPr>
        <w:rPr>
          <w:color w:val="15272E"/>
        </w:rPr>
      </w:pPr>
    </w:p>
    <w:p w14:paraId="7A4F8719" w14:textId="34FE4266" w:rsidR="009C38EB" w:rsidRPr="00777F2C" w:rsidRDefault="009C38EB" w:rsidP="00101000">
      <w:r w:rsidRPr="00777F2C">
        <w:lastRenderedPageBreak/>
        <w:t xml:space="preserve">In response to the </w:t>
      </w:r>
      <w:r w:rsidRPr="00777F2C">
        <w:rPr>
          <w:i/>
          <w:iCs/>
        </w:rPr>
        <w:t>Towards an Aged Care Pricing Framework Consultation Paper</w:t>
      </w:r>
      <w:r w:rsidR="00B719B1" w:rsidRPr="00777F2C">
        <w:rPr>
          <w:i/>
          <w:iCs/>
        </w:rPr>
        <w:t xml:space="preserve"> </w:t>
      </w:r>
      <w:r w:rsidR="00B719B1" w:rsidRPr="00777F2C">
        <w:t>released in 2022</w:t>
      </w:r>
      <w:r w:rsidRPr="00777F2C">
        <w:t>, stakeholders</w:t>
      </w:r>
      <w:r w:rsidR="00D12CC7" w:rsidRPr="00777F2C">
        <w:t xml:space="preserve"> recommended adjustments for residents</w:t>
      </w:r>
      <w:r w:rsidR="74A66EE7" w:rsidRPr="00777F2C">
        <w:t>,</w:t>
      </w:r>
      <w:r w:rsidR="00D12CC7" w:rsidRPr="00777F2C">
        <w:t xml:space="preserve"> </w:t>
      </w:r>
      <w:r w:rsidR="004504C7" w:rsidRPr="00777F2C">
        <w:t xml:space="preserve">including those </w:t>
      </w:r>
      <w:r w:rsidR="00D12CC7" w:rsidRPr="00777F2C">
        <w:t>with</w:t>
      </w:r>
      <w:r w:rsidR="00497408" w:rsidRPr="00777F2C">
        <w:t xml:space="preserve"> dementia and cognitive impairments,</w:t>
      </w:r>
      <w:r w:rsidR="00D12CC7" w:rsidRPr="00777F2C">
        <w:t xml:space="preserve"> complex care </w:t>
      </w:r>
      <w:r w:rsidR="00743DD3" w:rsidRPr="00777F2C">
        <w:t>requirements</w:t>
      </w:r>
      <w:r w:rsidR="00497408" w:rsidRPr="00777F2C">
        <w:t xml:space="preserve">, </w:t>
      </w:r>
      <w:r w:rsidR="00045A21" w:rsidRPr="00777F2C">
        <w:t>specialised equipment</w:t>
      </w:r>
      <w:r w:rsidR="0BC0E12F" w:rsidRPr="00777F2C">
        <w:t>,</w:t>
      </w:r>
      <w:r w:rsidR="00045A21" w:rsidRPr="00777F2C">
        <w:t xml:space="preserve"> and</w:t>
      </w:r>
      <w:r w:rsidR="00497408" w:rsidRPr="00777F2C">
        <w:t xml:space="preserve"> residents with specific needs (</w:t>
      </w:r>
      <w:r w:rsidR="00D00FC4" w:rsidRPr="00777F2C">
        <w:t>for example,</w:t>
      </w:r>
      <w:r w:rsidR="002A03D4" w:rsidRPr="00777F2C">
        <w:t xml:space="preserve"> refugees</w:t>
      </w:r>
      <w:r w:rsidR="007A2978" w:rsidRPr="00777F2C">
        <w:t xml:space="preserve"> and</w:t>
      </w:r>
      <w:r w:rsidR="002A03D4" w:rsidRPr="00777F2C">
        <w:t xml:space="preserve"> veterans)</w:t>
      </w:r>
      <w:r w:rsidR="738D9835" w:rsidRPr="00777F2C">
        <w:t>.</w:t>
      </w:r>
    </w:p>
    <w:p w14:paraId="5DB141BA" w14:textId="25F09C92" w:rsidR="00361875" w:rsidRPr="00024CA0" w:rsidRDefault="00326F93" w:rsidP="00101000">
      <w:r w:rsidRPr="00024CA0">
        <w:t xml:space="preserve">As part of IHACPA’s annual pricing advice, </w:t>
      </w:r>
      <w:r w:rsidRPr="00777F2C">
        <w:t>refinements</w:t>
      </w:r>
      <w:r w:rsidRPr="00024CA0">
        <w:t xml:space="preserve"> </w:t>
      </w:r>
      <w:r w:rsidR="003669EE" w:rsidRPr="00024CA0">
        <w:t>f</w:t>
      </w:r>
      <w:r w:rsidRPr="00024CA0">
        <w:t>o</w:t>
      </w:r>
      <w:r w:rsidR="003669EE" w:rsidRPr="00024CA0">
        <w:t xml:space="preserve">r </w:t>
      </w:r>
      <w:r w:rsidR="00361875" w:rsidRPr="00024CA0">
        <w:t>residents who require specialised services</w:t>
      </w:r>
      <w:r w:rsidR="003669EE" w:rsidRPr="00024CA0">
        <w:t xml:space="preserve"> continue to be considered based on new and available evidence</w:t>
      </w:r>
      <w:r w:rsidR="4A7BDC7C" w:rsidRPr="00024CA0">
        <w:t>-</w:t>
      </w:r>
      <w:r w:rsidR="003669EE" w:rsidRPr="00024CA0">
        <w:t>based costing and activity data.</w:t>
      </w:r>
      <w:r w:rsidRPr="00024CA0">
        <w:t xml:space="preserve"> </w:t>
      </w:r>
      <w:r w:rsidR="003669EE" w:rsidRPr="00024CA0">
        <w:t xml:space="preserve">This will be </w:t>
      </w:r>
      <w:r w:rsidR="009209C6" w:rsidRPr="00024CA0">
        <w:t xml:space="preserve">an ongoing refinement over </w:t>
      </w:r>
      <w:r w:rsidR="00361875" w:rsidRPr="00024CA0">
        <w:t>time.</w:t>
      </w:r>
    </w:p>
    <w:tbl>
      <w:tblPr>
        <w:tblStyle w:val="TableGrid"/>
        <w:tblpPr w:leftFromText="180" w:rightFromText="180" w:vertAnchor="text" w:horzAnchor="margin" w:tblpY="272"/>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361875" w:rsidRPr="006746C9" w14:paraId="6871F447" w14:textId="77777777" w:rsidTr="00042B51">
        <w:trPr>
          <w:trHeight w:val="2099"/>
        </w:trPr>
        <w:tc>
          <w:tcPr>
            <w:tcW w:w="5000" w:type="pct"/>
            <w:tcBorders>
              <w:left w:val="nil"/>
            </w:tcBorders>
            <w:shd w:val="clear" w:color="auto" w:fill="E6F4F9"/>
          </w:tcPr>
          <w:p w14:paraId="743356B5" w14:textId="1838CA61" w:rsidR="00361875" w:rsidRPr="006746C9" w:rsidRDefault="00361875" w:rsidP="00361875">
            <w:pPr>
              <w:pStyle w:val="Heading4"/>
              <w:framePr w:hSpace="0" w:wrap="auto" w:vAnchor="margin" w:hAnchor="text" w:yAlign="inline"/>
              <w:outlineLvl w:val="3"/>
              <w:rPr>
                <w:color w:val="000000" w:themeColor="text1"/>
              </w:rPr>
            </w:pPr>
            <w:r>
              <w:rPr>
                <w:noProof/>
              </w:rPr>
              <w:drawing>
                <wp:anchor distT="0" distB="0" distL="114300" distR="114300" simplePos="0" relativeHeight="251703296" behindDoc="0" locked="0" layoutInCell="1" allowOverlap="1" wp14:anchorId="47BAB15C" wp14:editId="5E6D08EE">
                  <wp:simplePos x="0" y="0"/>
                  <wp:positionH relativeFrom="column">
                    <wp:posOffset>2540</wp:posOffset>
                  </wp:positionH>
                  <wp:positionV relativeFrom="paragraph">
                    <wp:posOffset>103505</wp:posOffset>
                  </wp:positionV>
                  <wp:extent cx="202565" cy="202565"/>
                  <wp:effectExtent l="0" t="0" r="635" b="635"/>
                  <wp:wrapSquare wrapText="bothSides"/>
                  <wp:docPr id="2132372449" name="Picture 213237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59">
                            <a:extLst>
                              <a:ext uri="{C183D7F6-B498-43B3-948B-1728B52AA6E4}">
                                <adec:decorative xmlns:arto="http://schemas.microsoft.com/office/word/2006/arto" xmlns:adec="http://schemas.microsoft.com/office/drawing/2017/decorative"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val="1"/>
                              </a:ext>
                            </a:extLst>
                          </a:blip>
                          <a:stretch>
                            <a:fillRect/>
                          </a:stretch>
                        </pic:blipFill>
                        <pic:spPr>
                          <a:xfrm>
                            <a:off x="0" y="0"/>
                            <a:ext cx="202565" cy="202565"/>
                          </a:xfrm>
                          <a:prstGeom prst="rect">
                            <a:avLst/>
                          </a:prstGeom>
                        </pic:spPr>
                      </pic:pic>
                    </a:graphicData>
                  </a:graphic>
                  <wp14:sizeRelH relativeFrom="page">
                    <wp14:pctWidth>0</wp14:pctWidth>
                  </wp14:sizeRelH>
                  <wp14:sizeRelV relativeFrom="page">
                    <wp14:pctHeight>0</wp14:pctHeight>
                  </wp14:sizeRelV>
                </wp:anchor>
              </w:drawing>
            </w:r>
            <w:r w:rsidRPr="006746C9">
              <w:rPr>
                <w:color w:val="000000" w:themeColor="text1"/>
              </w:rPr>
              <w:br w:type="column"/>
            </w:r>
            <w:r w:rsidRPr="006746C9">
              <w:t xml:space="preserve">Consultation </w:t>
            </w:r>
            <w:r>
              <w:t>question</w:t>
            </w:r>
          </w:p>
          <w:p w14:paraId="375F9207" w14:textId="13991BED" w:rsidR="00361875" w:rsidRPr="006746C9" w:rsidRDefault="00361875" w:rsidP="00D10424">
            <w:pPr>
              <w:pStyle w:val="Bullets"/>
              <w:framePr w:hSpace="0" w:wrap="auto" w:vAnchor="margin" w:hAnchor="text" w:xAlign="left" w:yAlign="inline"/>
              <w:numPr>
                <w:ilvl w:val="0"/>
                <w:numId w:val="68"/>
              </w:numPr>
            </w:pPr>
            <w:r w:rsidRPr="00024CA0">
              <w:t>What, if any, additional cost variations are associated with the provision of care to residents who require specialised services?</w:t>
            </w:r>
            <w:r w:rsidR="00F96671" w:rsidRPr="00024CA0">
              <w:t xml:space="preserve"> What evidence is there to support this?</w:t>
            </w:r>
          </w:p>
        </w:tc>
      </w:tr>
    </w:tbl>
    <w:p w14:paraId="70B07A0D" w14:textId="6EF9873A" w:rsidR="00361875" w:rsidRDefault="00361875" w:rsidP="00101000"/>
    <w:p w14:paraId="75C5C08A" w14:textId="77777777" w:rsidR="004F5705" w:rsidRDefault="004F5705" w:rsidP="00101000"/>
    <w:p w14:paraId="7404BF7A" w14:textId="194614E1" w:rsidR="00101000" w:rsidRPr="00A05977" w:rsidRDefault="00101000" w:rsidP="00101000">
      <w:pPr>
        <w:pStyle w:val="Heading2"/>
        <w:rPr>
          <w:rStyle w:val="normaltextrun"/>
          <w:bCs w:val="0"/>
        </w:rPr>
      </w:pPr>
      <w:bookmarkStart w:id="63" w:name="_Toc136435010"/>
      <w:bookmarkStart w:id="64" w:name="_Toc137552819"/>
      <w:r>
        <w:rPr>
          <w:rStyle w:val="normaltextrun"/>
        </w:rPr>
        <w:t xml:space="preserve">5.3 </w:t>
      </w:r>
      <w:r w:rsidRPr="00A05977">
        <w:rPr>
          <w:rStyle w:val="normaltextrun"/>
        </w:rPr>
        <w:t xml:space="preserve">Adjusting for unavoidable </w:t>
      </w:r>
      <w:r w:rsidR="00BC5BE5">
        <w:rPr>
          <w:rStyle w:val="normaltextrun"/>
        </w:rPr>
        <w:t>service</w:t>
      </w:r>
      <w:r w:rsidRPr="00A05977">
        <w:rPr>
          <w:rStyle w:val="normaltextrun"/>
        </w:rPr>
        <w:t xml:space="preserve"> factors</w:t>
      </w:r>
      <w:bookmarkEnd w:id="63"/>
      <w:bookmarkEnd w:id="64"/>
      <w:r w:rsidRPr="00A05977">
        <w:rPr>
          <w:rStyle w:val="normaltextrun"/>
        </w:rPr>
        <w:t xml:space="preserve"> </w:t>
      </w:r>
    </w:p>
    <w:p w14:paraId="75328F92" w14:textId="77777777" w:rsidR="00101000" w:rsidRPr="00024CA0" w:rsidRDefault="00101000" w:rsidP="00101000">
      <w:pPr>
        <w:pStyle w:val="Heading3"/>
        <w:rPr>
          <w:color w:val="auto"/>
        </w:rPr>
      </w:pPr>
      <w:r w:rsidRPr="00024CA0">
        <w:rPr>
          <w:color w:val="auto"/>
        </w:rPr>
        <w:t>5.3.1 Location</w:t>
      </w:r>
    </w:p>
    <w:p w14:paraId="2FBAD5BE" w14:textId="3F41998F" w:rsidR="00101000" w:rsidRPr="00024CA0" w:rsidRDefault="00101000" w:rsidP="00101000">
      <w:r w:rsidRPr="00024CA0">
        <w:t xml:space="preserve">Two adjustments have been included in the AN-ACC model BCTs to support stable </w:t>
      </w:r>
      <w:r w:rsidRPr="00024CA0">
        <w:rPr>
          <w:rStyle w:val="normaltextrun"/>
          <w:rFonts w:cs="Arial"/>
        </w:rPr>
        <w:t>funding</w:t>
      </w:r>
      <w:r w:rsidRPr="00024CA0">
        <w:t xml:space="preserve"> of </w:t>
      </w:r>
      <w:r w:rsidR="00BF4169" w:rsidRPr="00024CA0">
        <w:t>services</w:t>
      </w:r>
      <w:r w:rsidRPr="00024CA0">
        <w:t xml:space="preserve"> </w:t>
      </w:r>
      <w:r w:rsidR="00982B21" w:rsidRPr="00024CA0">
        <w:t>with</w:t>
      </w:r>
      <w:r w:rsidRPr="00024CA0">
        <w:t xml:space="preserve"> unavoidable </w:t>
      </w:r>
      <w:r w:rsidR="000141D1" w:rsidRPr="00024CA0">
        <w:t>service</w:t>
      </w:r>
      <w:r w:rsidRPr="00024CA0">
        <w:t xml:space="preserve"> factors that have a significant impact on the cost of delivering care.</w:t>
      </w:r>
    </w:p>
    <w:p w14:paraId="2DA69DAF" w14:textId="69E8FABC" w:rsidR="00101000" w:rsidRPr="00024CA0" w:rsidRDefault="00101000" w:rsidP="00101000">
      <w:r w:rsidRPr="00024CA0">
        <w:t xml:space="preserve">The fixed BCT component of the AN-ACC payment makes adjustment for </w:t>
      </w:r>
      <w:r w:rsidR="00363C31" w:rsidRPr="00024CA0">
        <w:t>services</w:t>
      </w:r>
      <w:r w:rsidRPr="00024CA0">
        <w:t xml:space="preserve"> with</w:t>
      </w:r>
      <w:r w:rsidR="00981F05">
        <w:t xml:space="preserve"> </w:t>
      </w:r>
      <w:hyperlink r:id="rId102" w:history="1">
        <w:r w:rsidR="00981F05" w:rsidRPr="00981F05">
          <w:rPr>
            <w:rStyle w:val="Hyperlink"/>
          </w:rPr>
          <w:t>Modified Monash Model</w:t>
        </w:r>
      </w:hyperlink>
      <w:r w:rsidR="00981F05">
        <w:t xml:space="preserve"> </w:t>
      </w:r>
      <w:r w:rsidRPr="00024CA0">
        <w:t xml:space="preserve">categories five to seven. This is combined with resident factors where the </w:t>
      </w:r>
      <w:r w:rsidR="00363C31" w:rsidRPr="00024CA0">
        <w:t>service</w:t>
      </w:r>
      <w:r w:rsidRPr="00024CA0">
        <w:t xml:space="preserve"> provides specialist care to Aboriginal and Torres Strait Islander peoples.</w:t>
      </w:r>
    </w:p>
    <w:p w14:paraId="6647DFBA" w14:textId="77777777" w:rsidR="004F5705" w:rsidRPr="00024CA0" w:rsidRDefault="004F5705" w:rsidP="00101000"/>
    <w:p w14:paraId="6BFC1D3C" w14:textId="57335EBA" w:rsidR="00101000" w:rsidRPr="00024CA0" w:rsidRDefault="00982B21" w:rsidP="00101000">
      <w:r w:rsidRPr="00024CA0">
        <w:t>In addition</w:t>
      </w:r>
      <w:r w:rsidR="00101000" w:rsidRPr="00024CA0">
        <w:t xml:space="preserve">, remote </w:t>
      </w:r>
      <w:r w:rsidR="00363C31" w:rsidRPr="00024CA0">
        <w:t>services</w:t>
      </w:r>
      <w:r w:rsidR="00101000" w:rsidRPr="00024CA0">
        <w:t xml:space="preserve"> receive a BCT based on approved beds, rather than per occupied bed day</w:t>
      </w:r>
      <w:r w:rsidR="001949C7">
        <w:t xml:space="preserve"> due to their low and variable occupancy</w:t>
      </w:r>
      <w:r w:rsidR="00101000" w:rsidRPr="00024CA0">
        <w:t>. In combination</w:t>
      </w:r>
      <w:r w:rsidR="00101000" w:rsidRPr="00024CA0" w:rsidDel="00982B21">
        <w:t>,</w:t>
      </w:r>
      <w:r w:rsidR="00101000" w:rsidRPr="00024CA0">
        <w:t xml:space="preserve"> these adjustments will provide a degree of block funding that is independent of actual activity, while retaining the pre-eminence of </w:t>
      </w:r>
      <w:proofErr w:type="gramStart"/>
      <w:r w:rsidR="00101000" w:rsidRPr="00024CA0">
        <w:t>activity based</w:t>
      </w:r>
      <w:proofErr w:type="gramEnd"/>
      <w:r w:rsidR="00101000" w:rsidRPr="00024CA0">
        <w:t xml:space="preserve"> funding (ABF) and ongoing focus on the efficient funding of aged care.</w:t>
      </w:r>
    </w:p>
    <w:p w14:paraId="0A3B74FD" w14:textId="64B30050" w:rsidR="00886A9E" w:rsidRPr="00024CA0" w:rsidRDefault="00130CFF" w:rsidP="00101000">
      <w:r w:rsidRPr="00024CA0">
        <w:t>I</w:t>
      </w:r>
      <w:r w:rsidR="00886A9E" w:rsidRPr="00024CA0">
        <w:t>n response to the</w:t>
      </w:r>
      <w:r w:rsidR="00555ADB" w:rsidRPr="00024CA0">
        <w:t xml:space="preserve"> </w:t>
      </w:r>
      <w:r w:rsidR="00886A9E" w:rsidRPr="00024CA0">
        <w:rPr>
          <w:i/>
          <w:iCs/>
        </w:rPr>
        <w:t>Towards an Aged Care Pricing Framework Consultation Paper</w:t>
      </w:r>
      <w:r w:rsidR="00B719B1" w:rsidRPr="00024CA0">
        <w:rPr>
          <w:i/>
          <w:iCs/>
        </w:rPr>
        <w:t xml:space="preserve"> </w:t>
      </w:r>
      <w:r w:rsidR="00B719B1" w:rsidRPr="00024CA0">
        <w:t>released in 2022</w:t>
      </w:r>
      <w:r w:rsidR="00886A9E" w:rsidRPr="00024CA0">
        <w:t xml:space="preserve">, stakeholders </w:t>
      </w:r>
      <w:r w:rsidR="0037600F" w:rsidRPr="00024CA0">
        <w:t>recommended IHACPA consid</w:t>
      </w:r>
      <w:r w:rsidRPr="00024CA0">
        <w:t xml:space="preserve">er regional </w:t>
      </w:r>
      <w:r w:rsidR="00241316" w:rsidRPr="00024CA0">
        <w:t>services</w:t>
      </w:r>
      <w:r w:rsidRPr="00024CA0">
        <w:t xml:space="preserve"> that do not currently receive a higher BCT weighting</w:t>
      </w:r>
      <w:r w:rsidR="20270423" w:rsidRPr="00024CA0">
        <w:t>,</w:t>
      </w:r>
      <w:r w:rsidRPr="00024CA0">
        <w:t xml:space="preserve"> but may have higher costs than metropolitan </w:t>
      </w:r>
      <w:r w:rsidR="00241316" w:rsidRPr="00024CA0">
        <w:t>services</w:t>
      </w:r>
      <w:r w:rsidRPr="00024CA0">
        <w:t xml:space="preserve">, particularly where they may be categorised as regional </w:t>
      </w:r>
      <w:r w:rsidR="00241316" w:rsidRPr="00024CA0">
        <w:t>services</w:t>
      </w:r>
      <w:r w:rsidRPr="00024CA0">
        <w:t xml:space="preserve"> but are still relatively isolated</w:t>
      </w:r>
      <w:r w:rsidR="00F40F99" w:rsidRPr="00024CA0">
        <w:t>.</w:t>
      </w:r>
      <w:r w:rsidR="009A11CA" w:rsidRPr="00024CA0">
        <w:t xml:space="preserve"> Section 6.4 </w:t>
      </w:r>
      <w:r w:rsidR="00702642" w:rsidRPr="00024CA0">
        <w:t xml:space="preserve">outlines </w:t>
      </w:r>
      <w:r w:rsidR="008F60C9" w:rsidRPr="00024CA0">
        <w:t>grants announced by the Department</w:t>
      </w:r>
      <w:r w:rsidR="00EF5ABC" w:rsidRPr="00024CA0">
        <w:t xml:space="preserve"> </w:t>
      </w:r>
      <w:r w:rsidR="00F819B0" w:rsidRPr="00024CA0">
        <w:t>that</w:t>
      </w:r>
      <w:r w:rsidR="00EF5ABC" w:rsidRPr="00024CA0">
        <w:t xml:space="preserve"> address this.</w:t>
      </w:r>
      <w:r w:rsidR="00702642" w:rsidRPr="00024CA0">
        <w:t xml:space="preserve"> </w:t>
      </w:r>
    </w:p>
    <w:p w14:paraId="2442DA18" w14:textId="436ECDEE" w:rsidR="00093019" w:rsidRPr="00024CA0" w:rsidRDefault="00E96A2A" w:rsidP="00101000">
      <w:r w:rsidRPr="00024CA0">
        <w:t>Over the medium</w:t>
      </w:r>
      <w:r w:rsidR="00967FB2">
        <w:t xml:space="preserve"> </w:t>
      </w:r>
      <w:r w:rsidRPr="00024CA0">
        <w:t xml:space="preserve">to long-term, IHACPA will examine evidence arising from costing studies and </w:t>
      </w:r>
      <w:r w:rsidR="00241316" w:rsidRPr="00024CA0">
        <w:t xml:space="preserve">continue to </w:t>
      </w:r>
      <w:r w:rsidRPr="00024CA0">
        <w:t xml:space="preserve">engage with stakeholders to identify legitimate and unavoidable costs associated with </w:t>
      </w:r>
      <w:proofErr w:type="gramStart"/>
      <w:r w:rsidRPr="00024CA0">
        <w:t>particular types</w:t>
      </w:r>
      <w:proofErr w:type="gramEnd"/>
      <w:r w:rsidRPr="00024CA0">
        <w:t xml:space="preserve"> of </w:t>
      </w:r>
      <w:r w:rsidR="7E690BB2" w:rsidRPr="00024CA0">
        <w:t>services</w:t>
      </w:r>
      <w:r w:rsidRPr="00024CA0">
        <w:t xml:space="preserve"> and potential options to address this.</w:t>
      </w:r>
    </w:p>
    <w:tbl>
      <w:tblPr>
        <w:tblStyle w:val="TableGrid"/>
        <w:tblpPr w:leftFromText="180" w:rightFromText="180" w:vertAnchor="text" w:horzAnchor="page" w:tblpX="6320" w:tblpY="311"/>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093019" w:rsidRPr="006746C9" w14:paraId="13983193" w14:textId="77777777" w:rsidTr="00E85BFD">
        <w:trPr>
          <w:trHeight w:val="1466"/>
        </w:trPr>
        <w:tc>
          <w:tcPr>
            <w:tcW w:w="5000" w:type="pct"/>
            <w:tcBorders>
              <w:left w:val="nil"/>
            </w:tcBorders>
            <w:shd w:val="clear" w:color="auto" w:fill="E6F4F9"/>
          </w:tcPr>
          <w:p w14:paraId="1B6E51D7" w14:textId="77777777" w:rsidR="00093019" w:rsidRPr="006746C9" w:rsidRDefault="00093019" w:rsidP="00466FB7">
            <w:pPr>
              <w:pStyle w:val="Heading4"/>
              <w:framePr w:hSpace="0" w:wrap="auto" w:vAnchor="margin" w:hAnchor="text" w:yAlign="inline"/>
              <w:outlineLvl w:val="3"/>
              <w:rPr>
                <w:color w:val="000000" w:themeColor="text1"/>
              </w:rPr>
            </w:pPr>
            <w:r w:rsidRPr="006746C9">
              <w:rPr>
                <w:noProof/>
                <w:color w:val="000000" w:themeColor="text1"/>
              </w:rPr>
              <w:drawing>
                <wp:anchor distT="0" distB="0" distL="114300" distR="114300" simplePos="0" relativeHeight="251700224" behindDoc="0" locked="0" layoutInCell="1" allowOverlap="1" wp14:anchorId="50B29178" wp14:editId="6D8383DB">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p>
          <w:p w14:paraId="72467234" w14:textId="1A68CB6C" w:rsidR="00093019" w:rsidRPr="006746C9" w:rsidRDefault="004F5705" w:rsidP="00466FB7">
            <w:pPr>
              <w:pStyle w:val="Bullets"/>
              <w:framePr w:hSpace="0" w:wrap="auto" w:vAnchor="margin" w:hAnchor="text" w:xAlign="left" w:yAlign="inline"/>
            </w:pPr>
            <w:bookmarkStart w:id="65" w:name="_Hlk138423156"/>
            <w:r w:rsidRPr="00024CA0">
              <w:t>What, if any, care</w:t>
            </w:r>
            <w:r w:rsidR="007C52CC">
              <w:t>-</w:t>
            </w:r>
            <w:r w:rsidRPr="00024CA0">
              <w:t xml:space="preserve">related costs are impacted by service location that are not currently addressed in the BCT weighting? </w:t>
            </w:r>
            <w:bookmarkEnd w:id="65"/>
          </w:p>
        </w:tc>
      </w:tr>
    </w:tbl>
    <w:p w14:paraId="68A4A439" w14:textId="77777777" w:rsidR="00AB1C02" w:rsidRDefault="00AB1C02" w:rsidP="00466FB7">
      <w:pPr>
        <w:pStyle w:val="Body"/>
      </w:pPr>
    </w:p>
    <w:p w14:paraId="6FF07C2D" w14:textId="77777777" w:rsidR="004F5705" w:rsidRDefault="004F5705" w:rsidP="00466FB7">
      <w:pPr>
        <w:pStyle w:val="Body"/>
      </w:pPr>
    </w:p>
    <w:p w14:paraId="513E87CC" w14:textId="77777777" w:rsidR="004F5705" w:rsidRDefault="004F5705" w:rsidP="00466FB7">
      <w:pPr>
        <w:pStyle w:val="Body"/>
      </w:pPr>
    </w:p>
    <w:p w14:paraId="18349E9C" w14:textId="77777777" w:rsidR="004F5705" w:rsidRDefault="004F5705" w:rsidP="00101000">
      <w:pPr>
        <w:pStyle w:val="Heading3"/>
        <w:keepNext w:val="0"/>
        <w:keepLines w:val="0"/>
      </w:pPr>
    </w:p>
    <w:p w14:paraId="0D471F0D" w14:textId="77777777" w:rsidR="004F5705" w:rsidRDefault="004F5705" w:rsidP="00101000">
      <w:pPr>
        <w:pStyle w:val="Heading3"/>
        <w:keepNext w:val="0"/>
        <w:keepLines w:val="0"/>
      </w:pPr>
    </w:p>
    <w:p w14:paraId="2B691F57" w14:textId="77777777" w:rsidR="004F5705" w:rsidRDefault="004F5705" w:rsidP="00101000">
      <w:pPr>
        <w:pStyle w:val="Heading3"/>
        <w:keepNext w:val="0"/>
        <w:keepLines w:val="0"/>
      </w:pPr>
    </w:p>
    <w:p w14:paraId="1A21E78A" w14:textId="0627EB05" w:rsidR="00101000" w:rsidRPr="00024CA0" w:rsidRDefault="00101000" w:rsidP="00101000">
      <w:pPr>
        <w:pStyle w:val="Heading3"/>
        <w:keepNext w:val="0"/>
        <w:keepLines w:val="0"/>
        <w:rPr>
          <w:color w:val="auto"/>
        </w:rPr>
      </w:pPr>
      <w:r w:rsidRPr="00024CA0">
        <w:rPr>
          <w:color w:val="auto"/>
        </w:rPr>
        <w:lastRenderedPageBreak/>
        <w:t xml:space="preserve">5.3.2 Costs due to provider structure </w:t>
      </w:r>
    </w:p>
    <w:p w14:paraId="21BC530E" w14:textId="51751275" w:rsidR="00101000" w:rsidRPr="00024CA0" w:rsidRDefault="00101000" w:rsidP="007F1521">
      <w:pPr>
        <w:widowControl w:val="0"/>
      </w:pPr>
      <w:r w:rsidRPr="00024CA0">
        <w:t xml:space="preserve">A diverse range of providers deliver services across the residential aged care system </w:t>
      </w:r>
      <w:r w:rsidRPr="00024CA0">
        <w:rPr>
          <w:rStyle w:val="normaltextrun"/>
          <w:rFonts w:cs="Arial"/>
        </w:rPr>
        <w:t>nationally</w:t>
      </w:r>
      <w:r w:rsidRPr="00024CA0">
        <w:t>. These providers include government, not-for-profit and private operators of varied size</w:t>
      </w:r>
      <w:r w:rsidR="00C9281E" w:rsidRPr="00024CA0">
        <w:t>s</w:t>
      </w:r>
      <w:r w:rsidRPr="00024CA0">
        <w:t xml:space="preserve">. Under the principles of ABF, IHACPA </w:t>
      </w:r>
      <w:r w:rsidR="00982B21" w:rsidRPr="00024CA0">
        <w:t>is</w:t>
      </w:r>
      <w:r w:rsidRPr="00024CA0">
        <w:t xml:space="preserve"> committed to the principles of fairness and transparency. Additionally, an ABF model should be impartial of provider business and financial structures, enabling neutrality in pricing guidance.</w:t>
      </w:r>
    </w:p>
    <w:p w14:paraId="50CB0339" w14:textId="00CDEB44" w:rsidR="00101000" w:rsidRPr="00024CA0" w:rsidRDefault="00101000" w:rsidP="00101000">
      <w:pPr>
        <w:pStyle w:val="Heading3"/>
        <w:keepNext w:val="0"/>
        <w:keepLines w:val="0"/>
        <w:rPr>
          <w:color w:val="auto"/>
        </w:rPr>
      </w:pPr>
      <w:r w:rsidRPr="00024CA0">
        <w:rPr>
          <w:bCs/>
          <w:color w:val="auto"/>
        </w:rPr>
        <w:t xml:space="preserve">5.3.3 </w:t>
      </w:r>
      <w:r w:rsidRPr="00024CA0">
        <w:rPr>
          <w:color w:val="auto"/>
        </w:rPr>
        <w:t>Adjusting</w:t>
      </w:r>
      <w:r w:rsidRPr="00024CA0">
        <w:rPr>
          <w:bCs/>
          <w:color w:val="auto"/>
        </w:rPr>
        <w:t xml:space="preserve"> for safety and quality</w:t>
      </w:r>
    </w:p>
    <w:p w14:paraId="1A3DF7E2" w14:textId="03D24727" w:rsidR="005124F4" w:rsidRPr="00024CA0" w:rsidRDefault="005124F4" w:rsidP="0003369C">
      <w:pPr>
        <w:rPr>
          <w:b/>
        </w:rPr>
      </w:pPr>
      <w:r w:rsidRPr="00024CA0">
        <w:t>Adjustments for safety and quality</w:t>
      </w:r>
      <w:r w:rsidR="000F60B8" w:rsidRPr="00024CA0">
        <w:t xml:space="preserve"> through ABF can encourage good quality care, where payment captures not only the cost and complexity of care, but also the safety and quality of care delivered.</w:t>
      </w:r>
    </w:p>
    <w:p w14:paraId="5290D730" w14:textId="79DCFE14" w:rsidR="005124F4" w:rsidRPr="00024CA0" w:rsidRDefault="00740CA7" w:rsidP="00101000">
      <w:r w:rsidRPr="00024CA0">
        <w:t>For example, IHACPA introduced pricing adjustments for hospital</w:t>
      </w:r>
      <w:r w:rsidR="007C52CC">
        <w:t>-</w:t>
      </w:r>
      <w:r w:rsidRPr="00024CA0">
        <w:t>acquired complications.</w:t>
      </w:r>
      <w:r w:rsidR="00F84DFA" w:rsidRPr="00024CA0">
        <w:t xml:space="preserve"> </w:t>
      </w:r>
      <w:r w:rsidRPr="00024CA0">
        <w:t>This was done through strong collaboration across relevant agencies, the development of supporting data collections, extensive clinical and stakeholder input</w:t>
      </w:r>
      <w:r w:rsidR="289941CC" w:rsidRPr="00024CA0">
        <w:t>,</w:t>
      </w:r>
      <w:r w:rsidRPr="00024CA0">
        <w:t xml:space="preserve"> and the development of risk-adjusted price reductions that are fair and minimise undesirable consequences.</w:t>
      </w:r>
    </w:p>
    <w:p w14:paraId="2D861651" w14:textId="0C12FA38" w:rsidR="00C31207" w:rsidRPr="00024CA0" w:rsidRDefault="00C31207" w:rsidP="00101000"/>
    <w:p w14:paraId="797119F3" w14:textId="63267DC2" w:rsidR="00C936DC" w:rsidRPr="00024CA0" w:rsidRDefault="00BD40BC" w:rsidP="00101000">
      <w:r w:rsidRPr="00024CA0">
        <w:t xml:space="preserve">In response on the </w:t>
      </w:r>
      <w:r w:rsidRPr="00024CA0">
        <w:rPr>
          <w:i/>
          <w:iCs/>
        </w:rPr>
        <w:t xml:space="preserve">Towards an Aged Care Pricing Framework </w:t>
      </w:r>
      <w:r w:rsidRPr="00024CA0">
        <w:t>Consultation released in 2022, s</w:t>
      </w:r>
      <w:r w:rsidR="00C936DC" w:rsidRPr="00024CA0">
        <w:t xml:space="preserve">takeholders were generally supportive of the introduction of </w:t>
      </w:r>
      <w:r w:rsidR="00B14816" w:rsidRPr="00024CA0">
        <w:t>quality and safety adjustmen</w:t>
      </w:r>
      <w:r w:rsidR="00EB6F79" w:rsidRPr="00024CA0">
        <w:t>ts</w:t>
      </w:r>
      <w:r w:rsidR="00BC315F" w:rsidRPr="00024CA0">
        <w:t xml:space="preserve"> as part of AN</w:t>
      </w:r>
      <w:r w:rsidR="005A582C" w:rsidRPr="00024CA0">
        <w:noBreakHyphen/>
      </w:r>
      <w:r w:rsidR="00BC315F" w:rsidRPr="00024CA0">
        <w:t>ACC</w:t>
      </w:r>
      <w:r w:rsidR="00EB6F79" w:rsidRPr="00024CA0">
        <w:t xml:space="preserve">, and provided a </w:t>
      </w:r>
      <w:r w:rsidR="005A582C" w:rsidRPr="00024CA0">
        <w:t xml:space="preserve">variety of </w:t>
      </w:r>
      <w:r w:rsidR="00EB6F79" w:rsidRPr="00024CA0">
        <w:t>recommendations regarding the scope, nature, timing and phasing of such adjustments.</w:t>
      </w:r>
    </w:p>
    <w:p w14:paraId="4C61567C" w14:textId="7C4C745E" w:rsidR="00FA4667" w:rsidRDefault="00101000" w:rsidP="00101000">
      <w:r w:rsidRPr="00024CA0">
        <w:t>IHACPA considers safety and quality adjustments to be a long</w:t>
      </w:r>
      <w:r w:rsidR="00CA41C5">
        <w:t>er</w:t>
      </w:r>
      <w:r w:rsidRPr="00024CA0">
        <w:t xml:space="preserve">-term objective due to the complexity of </w:t>
      </w:r>
      <w:r w:rsidR="1B01CDD8" w:rsidRPr="00024CA0">
        <w:t>sa</w:t>
      </w:r>
      <w:r w:rsidR="008729DC" w:rsidRPr="00024CA0">
        <w:t xml:space="preserve">fety and quality </w:t>
      </w:r>
      <w:r w:rsidRPr="00024CA0">
        <w:t xml:space="preserve">within residential aged care. IHACPA also recognises the role of the </w:t>
      </w:r>
      <w:hyperlink r:id="rId103" w:anchor="our-purpose">
        <w:r w:rsidRPr="56EAC0BD">
          <w:rPr>
            <w:rStyle w:val="Hyperlink"/>
          </w:rPr>
          <w:t>Aged Care Quality and Safety Commission</w:t>
        </w:r>
      </w:hyperlink>
      <w:r w:rsidRPr="00024CA0">
        <w:t xml:space="preserve">, and the need for adjustments to complement and support their role. </w:t>
      </w:r>
      <w:r w:rsidR="008729DC" w:rsidRPr="00024CA0">
        <w:t xml:space="preserve">IHACPA intends to consider quality and safety adjustments in </w:t>
      </w:r>
      <w:r w:rsidR="00CA41C5">
        <w:t>the future through a</w:t>
      </w:r>
      <w:r w:rsidR="008729DC" w:rsidRPr="00024CA0">
        <w:t xml:space="preserve"> phased approach</w:t>
      </w:r>
      <w:r w:rsidR="00CA41C5">
        <w:t>.</w:t>
      </w:r>
      <w:r w:rsidR="00B536DB" w:rsidRPr="00024CA0">
        <w:t xml:space="preserve"> IHACPA </w:t>
      </w:r>
      <w:r w:rsidR="00EB6F79" w:rsidRPr="00024CA0">
        <w:t>support</w:t>
      </w:r>
      <w:r w:rsidR="00B536DB" w:rsidRPr="00024CA0">
        <w:t>s</w:t>
      </w:r>
      <w:r w:rsidR="00EB6F79" w:rsidRPr="00024CA0">
        <w:t xml:space="preserve"> ongoing </w:t>
      </w:r>
      <w:r w:rsidR="002701E3" w:rsidRPr="00024CA0">
        <w:t>consultation with stakeholders, working groups and advisory committees</w:t>
      </w:r>
      <w:r w:rsidR="00EB6F79" w:rsidRPr="00024CA0">
        <w:t xml:space="preserve"> to </w:t>
      </w:r>
      <w:r w:rsidR="00B536DB" w:rsidRPr="00024CA0">
        <w:t>inform priorities and a long</w:t>
      </w:r>
      <w:r w:rsidR="00CA41C5">
        <w:t>er</w:t>
      </w:r>
      <w:r w:rsidR="1F61A4B8" w:rsidRPr="00024CA0">
        <w:t>-</w:t>
      </w:r>
      <w:r w:rsidR="00B536DB" w:rsidRPr="00024CA0">
        <w:t>term development path for the introduction of safety and quality adjustments.</w:t>
      </w:r>
    </w:p>
    <w:tbl>
      <w:tblPr>
        <w:tblStyle w:val="TableGrid"/>
        <w:tblpPr w:leftFromText="180" w:rightFromText="180" w:vertAnchor="text" w:horzAnchor="margin" w:tblpXSpec="right" w:tblpY="-15"/>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101000" w:rsidRPr="006746C9" w14:paraId="28FC5F70" w14:textId="77777777" w:rsidTr="109BBF32">
        <w:trPr>
          <w:trHeight w:val="1466"/>
        </w:trPr>
        <w:tc>
          <w:tcPr>
            <w:tcW w:w="5000" w:type="pct"/>
            <w:tcBorders>
              <w:left w:val="nil"/>
            </w:tcBorders>
            <w:shd w:val="clear" w:color="auto" w:fill="E6F4F9"/>
          </w:tcPr>
          <w:p w14:paraId="568F4610" w14:textId="77777777" w:rsidR="00101000" w:rsidRPr="006746C9" w:rsidRDefault="00101000" w:rsidP="004C665E">
            <w:pPr>
              <w:pStyle w:val="Heading4"/>
              <w:framePr w:hSpace="0" w:wrap="auto" w:vAnchor="margin" w:hAnchor="text" w:yAlign="inline"/>
              <w:outlineLvl w:val="3"/>
              <w:rPr>
                <w:color w:val="000000" w:themeColor="text1"/>
              </w:rPr>
            </w:pPr>
            <w:r w:rsidRPr="006746C9">
              <w:rPr>
                <w:noProof/>
                <w:color w:val="000000" w:themeColor="text1"/>
              </w:rPr>
              <w:drawing>
                <wp:anchor distT="0" distB="0" distL="114300" distR="114300" simplePos="0" relativeHeight="251616256" behindDoc="0" locked="0" layoutInCell="1" allowOverlap="1" wp14:anchorId="74E619E9" wp14:editId="3A7CF1C3">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p>
          <w:p w14:paraId="517FA57C" w14:textId="541FBD92" w:rsidR="00101000" w:rsidRPr="006746C9" w:rsidRDefault="00101000" w:rsidP="00CB75AD">
            <w:pPr>
              <w:pStyle w:val="Bullets"/>
              <w:framePr w:hSpace="0" w:wrap="auto" w:vAnchor="margin" w:hAnchor="text" w:xAlign="left" w:yAlign="inline"/>
            </w:pPr>
            <w:bookmarkStart w:id="66" w:name="_Hlk138192214"/>
            <w:r w:rsidRPr="00024CA0">
              <w:t>What, if any, evidence or considerations will support IHACPA’s long</w:t>
            </w:r>
            <w:r w:rsidR="00967FB2">
              <w:t>er</w:t>
            </w:r>
            <w:r w:rsidR="007C52CC">
              <w:t>-</w:t>
            </w:r>
            <w:r w:rsidRPr="00024CA0">
              <w:t>term development path for safety and quality of AN-ACC and its associated adjustments?</w:t>
            </w:r>
            <w:bookmarkEnd w:id="66"/>
          </w:p>
        </w:tc>
      </w:tr>
    </w:tbl>
    <w:p w14:paraId="6F9C61CE" w14:textId="77777777" w:rsidR="00101000" w:rsidRDefault="00101000" w:rsidP="00101000">
      <w:pPr>
        <w:pStyle w:val="Body"/>
        <w:sectPr w:rsidR="00101000" w:rsidSect="00176CE6">
          <w:headerReference w:type="even" r:id="rId104"/>
          <w:headerReference w:type="default" r:id="rId105"/>
          <w:headerReference w:type="first" r:id="rId106"/>
          <w:type w:val="continuous"/>
          <w:pgSz w:w="11906" w:h="16838" w:code="9"/>
          <w:pgMar w:top="1440" w:right="1440" w:bottom="1135" w:left="1440" w:header="708" w:footer="708" w:gutter="0"/>
          <w:cols w:num="2" w:space="708"/>
          <w:docGrid w:linePitch="360"/>
        </w:sectPr>
      </w:pPr>
    </w:p>
    <w:p w14:paraId="6CEA0D1E" w14:textId="112E5BBB" w:rsidR="00F83BA1" w:rsidRDefault="00F83BA1" w:rsidP="00835DFF">
      <w:pPr>
        <w:keepNext/>
        <w:keepLines/>
        <w:sectPr w:rsidR="00F83BA1" w:rsidSect="00AD603F">
          <w:headerReference w:type="even" r:id="rId107"/>
          <w:headerReference w:type="default" r:id="rId108"/>
          <w:headerReference w:type="first" r:id="rId109"/>
          <w:type w:val="continuous"/>
          <w:pgSz w:w="11906" w:h="16838" w:code="9"/>
          <w:pgMar w:top="1440" w:right="1440" w:bottom="1440" w:left="1440" w:header="708" w:footer="708" w:gutter="0"/>
          <w:cols w:num="2" w:space="708"/>
          <w:docGrid w:linePitch="360"/>
        </w:sectPr>
      </w:pPr>
    </w:p>
    <w:p w14:paraId="48017ECD" w14:textId="77777777" w:rsidR="00101000" w:rsidRDefault="00101000" w:rsidP="00101000">
      <w:pPr>
        <w:sectPr w:rsidR="00101000" w:rsidSect="00BF3B4C">
          <w:type w:val="continuous"/>
          <w:pgSz w:w="11906" w:h="16838" w:code="9"/>
          <w:pgMar w:top="851" w:right="1440" w:bottom="1440" w:left="1440" w:header="708" w:footer="708" w:gutter="0"/>
          <w:cols w:space="708"/>
          <w:docGrid w:linePitch="360"/>
        </w:sectPr>
      </w:pPr>
    </w:p>
    <w:p w14:paraId="7C6A5FE0" w14:textId="34EB5D1C" w:rsidR="00101000" w:rsidRPr="00050402" w:rsidRDefault="00101000" w:rsidP="00101000">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12160" behindDoc="0" locked="0" layoutInCell="1" allowOverlap="1" wp14:anchorId="3842F45A" wp14:editId="2A77807A">
            <wp:simplePos x="0" y="0"/>
            <wp:positionH relativeFrom="column">
              <wp:posOffset>-900381</wp:posOffset>
            </wp:positionH>
            <wp:positionV relativeFrom="paragraph">
              <wp:posOffset>-610235</wp:posOffset>
            </wp:positionV>
            <wp:extent cx="7548659" cy="5151755"/>
            <wp:effectExtent l="0" t="0" r="0" b="0"/>
            <wp:wrapNone/>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720"/>
          <w:szCs w:val="720"/>
        </w:rPr>
        <w:t>6</w:t>
      </w:r>
    </w:p>
    <w:p w14:paraId="17ED19AD" w14:textId="377C61C8" w:rsidR="00101000" w:rsidRPr="00267F1F" w:rsidRDefault="00101000" w:rsidP="00101000">
      <w:pPr>
        <w:pStyle w:val="Heading1"/>
        <w:ind w:right="3497"/>
        <w:rPr>
          <w:color w:val="auto"/>
        </w:rPr>
      </w:pPr>
      <w:bookmarkStart w:id="67" w:name="_Toc137552820"/>
      <w:r w:rsidRPr="00267F1F">
        <w:rPr>
          <w:color w:val="auto"/>
        </w:rPr>
        <w:t>Priorities</w:t>
      </w:r>
      <w:r w:rsidRPr="00267F1F">
        <w:rPr>
          <w:color w:val="auto"/>
        </w:rPr>
        <w:br/>
        <w:t>for future developments</w:t>
      </w:r>
      <w:bookmarkEnd w:id="67"/>
    </w:p>
    <w:p w14:paraId="7DFEBAB7" w14:textId="77777777" w:rsidR="00101000" w:rsidRDefault="00101000" w:rsidP="00101000">
      <w:pPr>
        <w:sectPr w:rsidR="00101000" w:rsidSect="00C9543A">
          <w:headerReference w:type="even" r:id="rId110"/>
          <w:headerReference w:type="default" r:id="rId111"/>
          <w:headerReference w:type="first" r:id="rId112"/>
          <w:pgSz w:w="11906" w:h="16838" w:code="9"/>
          <w:pgMar w:top="851" w:right="1440" w:bottom="1440" w:left="1440" w:header="708" w:footer="708" w:gutter="0"/>
          <w:cols w:space="708"/>
          <w:docGrid w:linePitch="360"/>
        </w:sectPr>
      </w:pPr>
    </w:p>
    <w:p w14:paraId="304DF984" w14:textId="77777777" w:rsidR="00101000" w:rsidRDefault="00101000" w:rsidP="00101000">
      <w:pPr>
        <w:pStyle w:val="Body"/>
        <w:spacing w:after="0"/>
        <w:sectPr w:rsidR="00101000" w:rsidSect="00F4029B">
          <w:headerReference w:type="even" r:id="rId113"/>
          <w:headerReference w:type="default" r:id="rId114"/>
          <w:headerReference w:type="first" r:id="rId115"/>
          <w:pgSz w:w="11906" w:h="16838" w:code="9"/>
          <w:pgMar w:top="2410" w:right="1440" w:bottom="1440" w:left="1440" w:header="568" w:footer="708" w:gutter="0"/>
          <w:cols w:space="708"/>
          <w:docGrid w:linePitch="360"/>
        </w:sectPr>
      </w:pPr>
    </w:p>
    <w:p w14:paraId="02AC6B32" w14:textId="75912531" w:rsidR="00101000" w:rsidRPr="00E60B2D" w:rsidRDefault="00101000" w:rsidP="00101000">
      <w:pPr>
        <w:pStyle w:val="Heading2"/>
        <w:rPr>
          <w:rStyle w:val="normaltextrun"/>
          <w:bCs w:val="0"/>
        </w:rPr>
      </w:pPr>
      <w:bookmarkStart w:id="68" w:name="_Toc136435012"/>
      <w:bookmarkStart w:id="69" w:name="_Toc137552821"/>
      <w:r w:rsidRPr="00E60B2D">
        <w:rPr>
          <w:rStyle w:val="normaltextrun"/>
        </w:rPr>
        <w:t>6.1 Multi</w:t>
      </w:r>
      <w:r w:rsidR="008C757A">
        <w:rPr>
          <w:rStyle w:val="normaltextrun"/>
        </w:rPr>
        <w:t>-P</w:t>
      </w:r>
      <w:r w:rsidRPr="00E60B2D">
        <w:rPr>
          <w:rStyle w:val="normaltextrun"/>
        </w:rPr>
        <w:t xml:space="preserve">urpose </w:t>
      </w:r>
      <w:r w:rsidR="008C757A">
        <w:rPr>
          <w:rStyle w:val="normaltextrun"/>
        </w:rPr>
        <w:t>S</w:t>
      </w:r>
      <w:r w:rsidRPr="00E60B2D">
        <w:rPr>
          <w:rStyle w:val="normaltextrun"/>
        </w:rPr>
        <w:t>ervices</w:t>
      </w:r>
      <w:bookmarkEnd w:id="68"/>
      <w:bookmarkEnd w:id="69"/>
      <w:r w:rsidRPr="00E60B2D">
        <w:rPr>
          <w:rStyle w:val="normaltextrun"/>
        </w:rPr>
        <w:t xml:space="preserve"> </w:t>
      </w:r>
    </w:p>
    <w:p w14:paraId="2B991271" w14:textId="08FE9ABB" w:rsidR="00101000" w:rsidRPr="00024CA0" w:rsidRDefault="00EC0DF1" w:rsidP="00101000">
      <w:r w:rsidRPr="00024CA0">
        <w:t xml:space="preserve">The </w:t>
      </w:r>
      <w:hyperlink r:id="rId116" w:history="1">
        <w:r w:rsidR="00101000" w:rsidRPr="007B7290">
          <w:rPr>
            <w:rStyle w:val="Hyperlink"/>
          </w:rPr>
          <w:t>Multi</w:t>
        </w:r>
        <w:r w:rsidR="00C57E0A" w:rsidRPr="007B7290">
          <w:rPr>
            <w:rStyle w:val="Hyperlink"/>
          </w:rPr>
          <w:t>-P</w:t>
        </w:r>
        <w:r w:rsidR="00101000" w:rsidRPr="007B7290">
          <w:rPr>
            <w:rStyle w:val="Hyperlink"/>
          </w:rPr>
          <w:t xml:space="preserve">urpose </w:t>
        </w:r>
        <w:r w:rsidRPr="007B7290">
          <w:rPr>
            <w:rStyle w:val="Hyperlink"/>
          </w:rPr>
          <w:t>S</w:t>
        </w:r>
        <w:r w:rsidR="00101000" w:rsidRPr="007B7290">
          <w:rPr>
            <w:rStyle w:val="Hyperlink"/>
          </w:rPr>
          <w:t>ervices</w:t>
        </w:r>
      </w:hyperlink>
      <w:r w:rsidR="00101000">
        <w:t xml:space="preserve"> </w:t>
      </w:r>
      <w:r w:rsidR="00101000" w:rsidRPr="00024CA0">
        <w:t xml:space="preserve">(MPS) </w:t>
      </w:r>
      <w:r w:rsidRPr="00024CA0">
        <w:t>program</w:t>
      </w:r>
      <w:r w:rsidR="00101000" w:rsidRPr="00024CA0">
        <w:t xml:space="preserve"> provide</w:t>
      </w:r>
      <w:r w:rsidRPr="00024CA0">
        <w:t>s</w:t>
      </w:r>
      <w:r w:rsidR="00101000" w:rsidRPr="00024CA0">
        <w:t xml:space="preserve"> </w:t>
      </w:r>
      <w:r w:rsidR="00101000" w:rsidRPr="00024CA0">
        <w:rPr>
          <w:rStyle w:val="normaltextrun"/>
          <w:rFonts w:cs="Arial"/>
        </w:rPr>
        <w:t>health</w:t>
      </w:r>
      <w:r w:rsidR="00101000" w:rsidRPr="00024CA0">
        <w:t xml:space="preserve"> and aged care services for small regional and remote communities. </w:t>
      </w:r>
    </w:p>
    <w:p w14:paraId="2A653226" w14:textId="17C4B61B" w:rsidR="00101000" w:rsidRPr="00024CA0" w:rsidRDefault="00101000" w:rsidP="00101000">
      <w:r w:rsidRPr="00024CA0">
        <w:t>MPS</w:t>
      </w:r>
      <w:r w:rsidR="00264162" w:rsidRPr="00024CA0">
        <w:t xml:space="preserve"> are</w:t>
      </w:r>
      <w:r w:rsidRPr="00024CA0">
        <w:t xml:space="preserve"> not currently funded using the </w:t>
      </w:r>
      <w:r w:rsidR="00F75007" w:rsidRPr="00024CA0">
        <w:t xml:space="preserve">Australian </w:t>
      </w:r>
      <w:r w:rsidR="00914995" w:rsidRPr="00024CA0">
        <w:t xml:space="preserve">National </w:t>
      </w:r>
      <w:r w:rsidR="00F75007" w:rsidRPr="00024CA0">
        <w:t>Aged Care C</w:t>
      </w:r>
      <w:r w:rsidR="00E12285" w:rsidRPr="00024CA0">
        <w:t>lassification (</w:t>
      </w:r>
      <w:r w:rsidRPr="00024CA0">
        <w:t>AN-ACC</w:t>
      </w:r>
      <w:r w:rsidR="00E12285" w:rsidRPr="00024CA0">
        <w:t>)</w:t>
      </w:r>
      <w:r w:rsidRPr="00024CA0">
        <w:t xml:space="preserve"> funding and classification model. </w:t>
      </w:r>
    </w:p>
    <w:p w14:paraId="0741B606" w14:textId="77777777" w:rsidR="00101000" w:rsidRPr="00024CA0" w:rsidRDefault="00101000" w:rsidP="00101000">
      <w:r w:rsidRPr="00024CA0">
        <w:t>MPS providers receive a combination of funding, including:</w:t>
      </w:r>
    </w:p>
    <w:p w14:paraId="7EF0ABF7" w14:textId="546BFBB3" w:rsidR="00101000" w:rsidRPr="00024CA0" w:rsidRDefault="00101000" w:rsidP="0003369C">
      <w:pPr>
        <w:pStyle w:val="BulletL2"/>
        <w:numPr>
          <w:ilvl w:val="0"/>
          <w:numId w:val="64"/>
        </w:numPr>
      </w:pPr>
      <w:r w:rsidRPr="00024CA0">
        <w:t xml:space="preserve">a </w:t>
      </w:r>
      <w:r w:rsidRPr="00024CA0">
        <w:rPr>
          <w:rStyle w:val="normaltextrun"/>
        </w:rPr>
        <w:t>flexible</w:t>
      </w:r>
      <w:r w:rsidRPr="00024CA0">
        <w:t xml:space="preserve"> aged care subsidy from the </w:t>
      </w:r>
      <w:r w:rsidR="00DE0468" w:rsidRPr="00024CA0">
        <w:t xml:space="preserve">Australian </w:t>
      </w:r>
      <w:r w:rsidRPr="00024CA0">
        <w:t>Government (the Government) for aged care services</w:t>
      </w:r>
    </w:p>
    <w:p w14:paraId="72020DE0" w14:textId="4A7CAC3F" w:rsidR="00101000" w:rsidRPr="00024CA0" w:rsidRDefault="00101000" w:rsidP="0003369C">
      <w:pPr>
        <w:pStyle w:val="BulletL2"/>
        <w:numPr>
          <w:ilvl w:val="0"/>
          <w:numId w:val="64"/>
        </w:numPr>
      </w:pPr>
      <w:r w:rsidRPr="00024CA0">
        <w:t xml:space="preserve">state and territory government </w:t>
      </w:r>
      <w:r w:rsidRPr="00024CA0">
        <w:rPr>
          <w:rStyle w:val="normaltextrun"/>
        </w:rPr>
        <w:t>funding</w:t>
      </w:r>
      <w:r w:rsidRPr="00024CA0">
        <w:t xml:space="preserve"> for health services, capital and infrastructure costs</w:t>
      </w:r>
      <w:r w:rsidR="00380E54" w:rsidRPr="00024CA0">
        <w:t>.</w:t>
      </w:r>
    </w:p>
    <w:p w14:paraId="53DB40FC" w14:textId="43848E4B" w:rsidR="00101000" w:rsidRPr="00024CA0" w:rsidRDefault="00101000" w:rsidP="00101000">
      <w:r w:rsidRPr="00024CA0">
        <w:t xml:space="preserve">A payment agreement covering the aged care funding component of MPS exists between Government and MPS providers, with most </w:t>
      </w:r>
      <w:r w:rsidR="00380E54" w:rsidRPr="00024CA0">
        <w:t xml:space="preserve">MPS providers </w:t>
      </w:r>
      <w:r w:rsidRPr="00024CA0">
        <w:t>being state or territory governments.</w:t>
      </w:r>
    </w:p>
    <w:p w14:paraId="1D58F212" w14:textId="77777777" w:rsidR="00101000" w:rsidRPr="00024CA0" w:rsidRDefault="00101000" w:rsidP="00101000">
      <w:r w:rsidRPr="00024CA0">
        <w:t xml:space="preserve">The flexible aged care subsidy for each MPS is calculated based on the number of allocated places, daily funding, including relevant supplement equivalent amounts, and the number of bed days where care has been provided to an individual. </w:t>
      </w:r>
    </w:p>
    <w:p w14:paraId="784B4CF1" w14:textId="6634E040" w:rsidR="00101000" w:rsidRPr="00024CA0" w:rsidRDefault="75DE3FBA" w:rsidP="109BBF32">
      <w:r w:rsidRPr="00024CA0">
        <w:t xml:space="preserve">The Independent Health and Aged Care Pricing Authority (IHACPA) </w:t>
      </w:r>
      <w:r w:rsidR="00101000" w:rsidRPr="00024CA0">
        <w:t>will</w:t>
      </w:r>
      <w:r w:rsidR="002F754C" w:rsidRPr="00024CA0">
        <w:t>,</w:t>
      </w:r>
      <w:r w:rsidR="00101000" w:rsidRPr="00024CA0">
        <w:t xml:space="preserve"> </w:t>
      </w:r>
      <w:r w:rsidR="002F754C" w:rsidRPr="00024CA0">
        <w:t>over the coming years,</w:t>
      </w:r>
      <w:r w:rsidR="00101000" w:rsidRPr="00024CA0">
        <w:t xml:space="preserve"> undertake </w:t>
      </w:r>
      <w:r w:rsidR="00380E54" w:rsidRPr="00024CA0">
        <w:t xml:space="preserve">an </w:t>
      </w:r>
      <w:r w:rsidR="00101000" w:rsidRPr="00024CA0">
        <w:t xml:space="preserve">assessment to determine if and how MPS </w:t>
      </w:r>
      <w:r w:rsidR="00663F99">
        <w:t>c</w:t>
      </w:r>
      <w:r w:rsidR="00101000" w:rsidRPr="00024CA0">
        <w:t>ould be funded through the AN-ACC or a modified version of it.</w:t>
      </w:r>
    </w:p>
    <w:p w14:paraId="314EB362" w14:textId="77777777" w:rsidR="003107EC" w:rsidRDefault="003107EC" w:rsidP="00101000"/>
    <w:p w14:paraId="682113D3" w14:textId="77777777" w:rsidR="003107EC" w:rsidRDefault="003107EC" w:rsidP="00101000"/>
    <w:p w14:paraId="7BD3A06D" w14:textId="0A970B21" w:rsidR="00101000" w:rsidRDefault="00101000" w:rsidP="00101000">
      <w:pPr>
        <w:rPr>
          <w:color w:val="14272E"/>
        </w:rPr>
      </w:pPr>
      <w:r w:rsidRPr="00024CA0">
        <w:t>IHACPA will</w:t>
      </w:r>
      <w:r w:rsidR="001949C7">
        <w:t xml:space="preserve">, in the initial stages, </w:t>
      </w:r>
      <w:r w:rsidRPr="00024CA0">
        <w:t xml:space="preserve">work closely with </w:t>
      </w:r>
      <w:r w:rsidR="001949C7">
        <w:t xml:space="preserve">the Government to </w:t>
      </w:r>
      <w:r w:rsidRPr="00024CA0">
        <w:t>understand the implications of any changes to MPS residential aged care funding in the medium- to long-term, and what adjustments or refinements may be needed to ensure a potential funding model is fit-for-purpose.</w:t>
      </w:r>
      <w:r>
        <w:br/>
      </w:r>
    </w:p>
    <w:tbl>
      <w:tblPr>
        <w:tblStyle w:val="TableGrid"/>
        <w:tblpPr w:leftFromText="180" w:rightFromText="180" w:vertAnchor="text" w:horzAnchor="margin" w:tblpXSpec="right" w:tblpY="-53"/>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101000" w:rsidRPr="006746C9" w14:paraId="47B74A56" w14:textId="77777777" w:rsidTr="109BBF32">
        <w:trPr>
          <w:trHeight w:val="1466"/>
        </w:trPr>
        <w:tc>
          <w:tcPr>
            <w:tcW w:w="5000" w:type="pct"/>
            <w:tcBorders>
              <w:left w:val="nil"/>
            </w:tcBorders>
            <w:shd w:val="clear" w:color="auto" w:fill="E6F4F9"/>
          </w:tcPr>
          <w:p w14:paraId="4AB059A5" w14:textId="77777777" w:rsidR="00101000" w:rsidRPr="006746C9" w:rsidRDefault="00101000" w:rsidP="004C665E">
            <w:pPr>
              <w:pStyle w:val="Heading4"/>
              <w:framePr w:hSpace="0" w:wrap="auto" w:vAnchor="margin" w:hAnchor="text" w:yAlign="inline"/>
              <w:outlineLvl w:val="3"/>
              <w:rPr>
                <w:color w:val="000000" w:themeColor="text1"/>
              </w:rPr>
            </w:pPr>
            <w:r w:rsidRPr="006746C9">
              <w:rPr>
                <w:noProof/>
                <w:color w:val="000000" w:themeColor="text1"/>
              </w:rPr>
              <w:drawing>
                <wp:anchor distT="0" distB="0" distL="114300" distR="114300" simplePos="0" relativeHeight="251617280" behindDoc="0" locked="0" layoutInCell="1" allowOverlap="1" wp14:anchorId="5DABA6B9" wp14:editId="1D27ED1D">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254" name="Picture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t>Consultation question</w:t>
            </w:r>
          </w:p>
          <w:p w14:paraId="6A6BE183" w14:textId="4F8796BF" w:rsidR="00101000" w:rsidRPr="006746C9" w:rsidRDefault="5AB9D67D" w:rsidP="00CB75AD">
            <w:pPr>
              <w:pStyle w:val="Bullets"/>
              <w:framePr w:hSpace="0" w:wrap="auto" w:vAnchor="margin" w:hAnchor="text" w:xAlign="left" w:yAlign="inline"/>
            </w:pPr>
            <w:bookmarkStart w:id="70" w:name="_Hlk138192224"/>
            <w:r w:rsidRPr="00024CA0">
              <w:t>How could, or should the AN-ACC model be modified to be used for MPS</w:t>
            </w:r>
            <w:r w:rsidR="58EF8A64" w:rsidRPr="00024CA0">
              <w:t xml:space="preserve"> and are there </w:t>
            </w:r>
            <w:r w:rsidR="537EB825" w:rsidRPr="00024CA0">
              <w:t xml:space="preserve">any </w:t>
            </w:r>
            <w:r w:rsidR="58EF8A64" w:rsidRPr="00024CA0">
              <w:t xml:space="preserve">factors </w:t>
            </w:r>
            <w:r w:rsidR="66F26A92" w:rsidRPr="00024CA0">
              <w:t>that aren’t accounted for under the AN</w:t>
            </w:r>
            <w:r w:rsidR="000863A3" w:rsidRPr="00024CA0">
              <w:noBreakHyphen/>
            </w:r>
            <w:r w:rsidR="66F26A92" w:rsidRPr="00024CA0">
              <w:t>ACC model</w:t>
            </w:r>
            <w:r w:rsidRPr="00024CA0">
              <w:t>?</w:t>
            </w:r>
            <w:bookmarkEnd w:id="70"/>
          </w:p>
        </w:tc>
      </w:tr>
    </w:tbl>
    <w:p w14:paraId="3C9ABF75" w14:textId="77777777" w:rsidR="00101000" w:rsidRPr="00472B6C" w:rsidRDefault="00101000" w:rsidP="00101000">
      <w:pPr>
        <w:pStyle w:val="Heading2"/>
        <w:rPr>
          <w:rStyle w:val="normaltextrun"/>
        </w:rPr>
      </w:pPr>
      <w:bookmarkStart w:id="71" w:name="_Toc136435013"/>
      <w:bookmarkStart w:id="72" w:name="_Toc137552822"/>
      <w:r>
        <w:rPr>
          <w:rStyle w:val="normaltextrun"/>
        </w:rPr>
        <w:t xml:space="preserve">6.2 </w:t>
      </w:r>
      <w:r w:rsidRPr="00472B6C">
        <w:rPr>
          <w:rStyle w:val="normaltextrun"/>
        </w:rPr>
        <w:t>National Aboriginal and Torres Strait Islander Flexible Aged Care Program</w:t>
      </w:r>
      <w:bookmarkEnd w:id="71"/>
      <w:bookmarkEnd w:id="72"/>
    </w:p>
    <w:p w14:paraId="17AFC3C6" w14:textId="246810FB" w:rsidR="00101000" w:rsidRDefault="00101000" w:rsidP="00101000">
      <w:r w:rsidRPr="00024CA0">
        <w:t xml:space="preserve">The </w:t>
      </w:r>
      <w:hyperlink r:id="rId117" w:history="1">
        <w:r w:rsidR="002B08A0" w:rsidRPr="00F94BBA">
          <w:rPr>
            <w:rStyle w:val="Hyperlink"/>
          </w:rPr>
          <w:t>National Aboriginal and Torres Strait Islander Flexible Aged Care Program</w:t>
        </w:r>
      </w:hyperlink>
      <w:r>
        <w:t xml:space="preserve"> </w:t>
      </w:r>
      <w:r w:rsidR="00283692" w:rsidRPr="00024CA0">
        <w:t>(</w:t>
      </w:r>
      <w:r w:rsidRPr="00024CA0">
        <w:t>NATSIFACP</w:t>
      </w:r>
      <w:r w:rsidR="00283692" w:rsidRPr="00024CA0">
        <w:t>)</w:t>
      </w:r>
      <w:r w:rsidRPr="00024CA0">
        <w:t xml:space="preserve"> provides aged care </w:t>
      </w:r>
      <w:r w:rsidR="005A582C" w:rsidRPr="00024CA0">
        <w:t xml:space="preserve">services </w:t>
      </w:r>
      <w:r w:rsidRPr="00024CA0">
        <w:t xml:space="preserve">to older Aboriginal and Torres Strait Islander peoples. These aged care services are mainly delivered in rural and remote areas and are funded by the Department of Health and Aged Care (the Department), subject to parliamentary appropriation. </w:t>
      </w:r>
    </w:p>
    <w:p w14:paraId="39845468" w14:textId="77777777" w:rsidR="00B26978" w:rsidRDefault="00B26978" w:rsidP="00101000"/>
    <w:p w14:paraId="32F9D6A7" w14:textId="0220F877" w:rsidR="00B26978" w:rsidRDefault="00B26978" w:rsidP="00101000"/>
    <w:p w14:paraId="45E8A640" w14:textId="77777777" w:rsidR="001949C7" w:rsidRDefault="001949C7" w:rsidP="00101000"/>
    <w:p w14:paraId="57BE165C" w14:textId="77777777" w:rsidR="00F96671" w:rsidRDefault="00F96671" w:rsidP="00101000"/>
    <w:p w14:paraId="4CF6355B" w14:textId="1FA44F59" w:rsidR="00101000" w:rsidRPr="00024CA0" w:rsidRDefault="00101000" w:rsidP="00101000">
      <w:r w:rsidRPr="00024CA0">
        <w:lastRenderedPageBreak/>
        <w:t>Payments are provided under a ‘cashed</w:t>
      </w:r>
      <w:r w:rsidR="00383D22">
        <w:noBreakHyphen/>
      </w:r>
      <w:r w:rsidRPr="00024CA0">
        <w:t xml:space="preserve">out’ model, based on an agreement with the </w:t>
      </w:r>
      <w:r w:rsidR="61676278" w:rsidRPr="00024CA0">
        <w:t>service</w:t>
      </w:r>
      <w:r w:rsidRPr="00024CA0">
        <w:t xml:space="preserve"> and not on the occupancy of the </w:t>
      </w:r>
      <w:r w:rsidR="6289DE79" w:rsidRPr="00024CA0">
        <w:t>service</w:t>
      </w:r>
      <w:r w:rsidRPr="00024CA0">
        <w:t xml:space="preserve">. Aged care providers receive a daily base rate depending on whether the person receiving care is allocated to a </w:t>
      </w:r>
      <w:r w:rsidR="00967FB2">
        <w:t>r</w:t>
      </w:r>
      <w:r w:rsidRPr="00024CA0">
        <w:t xml:space="preserve">esidential place or a </w:t>
      </w:r>
      <w:r w:rsidR="00967FB2">
        <w:t>h</w:t>
      </w:r>
      <w:r w:rsidRPr="00024CA0">
        <w:t xml:space="preserve">ome </w:t>
      </w:r>
      <w:r w:rsidR="00967FB2">
        <w:t>c</w:t>
      </w:r>
      <w:r w:rsidRPr="00024CA0">
        <w:t>are place. Residential aged care providers additionally receive the following supplement equivalent amounts:</w:t>
      </w:r>
    </w:p>
    <w:p w14:paraId="1C69C744" w14:textId="77777777" w:rsidR="00101000" w:rsidRPr="00024CA0" w:rsidRDefault="00101000" w:rsidP="0003369C">
      <w:pPr>
        <w:pStyle w:val="BulletL2"/>
        <w:numPr>
          <w:ilvl w:val="0"/>
          <w:numId w:val="65"/>
        </w:numPr>
      </w:pPr>
      <w:r w:rsidRPr="00024CA0">
        <w:t xml:space="preserve">the Veterans’ Supplement </w:t>
      </w:r>
    </w:p>
    <w:p w14:paraId="210E4210" w14:textId="77777777" w:rsidR="00101000" w:rsidRPr="00024CA0" w:rsidRDefault="00101000" w:rsidP="0003369C">
      <w:pPr>
        <w:pStyle w:val="BulletL2"/>
        <w:numPr>
          <w:ilvl w:val="0"/>
          <w:numId w:val="65"/>
        </w:numPr>
      </w:pPr>
      <w:r w:rsidRPr="00024CA0">
        <w:t>the Residential Concessional Supplement</w:t>
      </w:r>
    </w:p>
    <w:p w14:paraId="3B0928CB" w14:textId="77777777" w:rsidR="00101000" w:rsidRPr="00024CA0" w:rsidRDefault="00101000" w:rsidP="0003369C">
      <w:pPr>
        <w:pStyle w:val="BulletL2"/>
        <w:numPr>
          <w:ilvl w:val="0"/>
          <w:numId w:val="65"/>
        </w:numPr>
      </w:pPr>
      <w:r w:rsidRPr="00024CA0">
        <w:t>the Respite Supplement</w:t>
      </w:r>
    </w:p>
    <w:p w14:paraId="696ECA70" w14:textId="77777777" w:rsidR="00101000" w:rsidRPr="00024CA0" w:rsidRDefault="00101000" w:rsidP="0003369C">
      <w:pPr>
        <w:pStyle w:val="BulletL2"/>
        <w:numPr>
          <w:ilvl w:val="0"/>
          <w:numId w:val="65"/>
        </w:numPr>
      </w:pPr>
      <w:r w:rsidRPr="00024CA0">
        <w:t xml:space="preserve">the Residential Aged Care Viability Supplement. </w:t>
      </w:r>
    </w:p>
    <w:p w14:paraId="5A590A98" w14:textId="158BE626" w:rsidR="00101000" w:rsidRPr="00024CA0" w:rsidRDefault="00101000" w:rsidP="00101000">
      <w:r w:rsidRPr="00024CA0">
        <w:t xml:space="preserve">Residential aged care places under NATSIFACP also receive ‘frailty indexation’, which is a financial supplement provided to address the disparity in funding per residential aged care place funded under the </w:t>
      </w:r>
      <w:r w:rsidR="00383D22">
        <w:t>p</w:t>
      </w:r>
      <w:r w:rsidRPr="00024CA0">
        <w:t xml:space="preserve">rogram as compared with mainstream residential aged care services operating under the </w:t>
      </w:r>
      <w:r w:rsidRPr="00024CA0">
        <w:rPr>
          <w:i/>
          <w:iCs/>
        </w:rPr>
        <w:t>Aged Care Act 1997.</w:t>
      </w:r>
      <w:r w:rsidRPr="00024CA0">
        <w:t xml:space="preserve"> </w:t>
      </w:r>
    </w:p>
    <w:p w14:paraId="24F8563E" w14:textId="495BEC9C" w:rsidR="00101000" w:rsidRPr="00024CA0" w:rsidRDefault="00101000" w:rsidP="00101000">
      <w:r w:rsidRPr="00024CA0">
        <w:t>In addition to the daily funding rate, services with an allocation of home care places may also receive the following supplement equivalent amounts</w:t>
      </w:r>
      <w:r w:rsidR="694B8C66" w:rsidRPr="00024CA0">
        <w:t>:</w:t>
      </w:r>
    </w:p>
    <w:p w14:paraId="66114703" w14:textId="3308ECB0" w:rsidR="00101000" w:rsidRPr="00024CA0" w:rsidRDefault="00101000" w:rsidP="0003369C">
      <w:pPr>
        <w:pStyle w:val="BulletL2"/>
        <w:numPr>
          <w:ilvl w:val="0"/>
          <w:numId w:val="66"/>
        </w:numPr>
      </w:pPr>
      <w:r w:rsidRPr="00024CA0">
        <w:t xml:space="preserve">the Dementia and Cognition </w:t>
      </w:r>
      <w:r w:rsidR="00383D22">
        <w:t>S</w:t>
      </w:r>
      <w:r w:rsidRPr="00024CA0">
        <w:t>upplement for home care</w:t>
      </w:r>
    </w:p>
    <w:p w14:paraId="3FDE2AA9" w14:textId="77777777" w:rsidR="00101000" w:rsidRPr="00024CA0" w:rsidRDefault="00101000" w:rsidP="0003369C">
      <w:pPr>
        <w:pStyle w:val="BulletL2"/>
        <w:numPr>
          <w:ilvl w:val="0"/>
          <w:numId w:val="66"/>
        </w:numPr>
      </w:pPr>
      <w:r w:rsidRPr="00024CA0">
        <w:t>the Veterans Supplement for aged care</w:t>
      </w:r>
    </w:p>
    <w:p w14:paraId="491776CD" w14:textId="77777777" w:rsidR="00101000" w:rsidRPr="00024CA0" w:rsidRDefault="00101000" w:rsidP="0003369C">
      <w:pPr>
        <w:pStyle w:val="BulletL2"/>
        <w:numPr>
          <w:ilvl w:val="0"/>
          <w:numId w:val="66"/>
        </w:numPr>
      </w:pPr>
      <w:r w:rsidRPr="00024CA0">
        <w:t xml:space="preserve">the Home Care Viability Supplement. </w:t>
      </w:r>
    </w:p>
    <w:p w14:paraId="3ACB14B7" w14:textId="068EF214" w:rsidR="00380E54" w:rsidRPr="00024CA0" w:rsidRDefault="00380E54" w:rsidP="00101000">
      <w:pPr>
        <w:spacing w:after="0"/>
      </w:pPr>
      <w:r w:rsidRPr="00024CA0">
        <w:t>IHACPA will</w:t>
      </w:r>
      <w:r w:rsidR="00F70276" w:rsidRPr="00024CA0">
        <w:t xml:space="preserve">, over the coming years, </w:t>
      </w:r>
      <w:r w:rsidRPr="00024CA0">
        <w:t>undertake an assessment to determine if and how the NATSIFACP should be funded through the AN-ACC or a modified version of it</w:t>
      </w:r>
      <w:r w:rsidR="31B68D1F" w:rsidRPr="00024CA0">
        <w:t>.</w:t>
      </w:r>
    </w:p>
    <w:p w14:paraId="4CC2D0AB" w14:textId="77777777" w:rsidR="00380E54" w:rsidRPr="00024CA0" w:rsidRDefault="00380E54" w:rsidP="00101000">
      <w:pPr>
        <w:spacing w:after="0"/>
      </w:pPr>
    </w:p>
    <w:p w14:paraId="5A1BAA06" w14:textId="77777777" w:rsidR="00566A78" w:rsidRDefault="00566A78" w:rsidP="00101000">
      <w:pPr>
        <w:spacing w:after="0"/>
      </w:pPr>
    </w:p>
    <w:p w14:paraId="7D285B94" w14:textId="77777777" w:rsidR="00566A78" w:rsidRDefault="00566A78" w:rsidP="00101000">
      <w:pPr>
        <w:spacing w:after="0"/>
      </w:pPr>
    </w:p>
    <w:p w14:paraId="233E1696" w14:textId="77777777" w:rsidR="00566A78" w:rsidRDefault="00566A78" w:rsidP="00101000">
      <w:pPr>
        <w:spacing w:after="0"/>
      </w:pPr>
    </w:p>
    <w:p w14:paraId="1E08DF39" w14:textId="77777777" w:rsidR="00566A78" w:rsidRDefault="00566A78" w:rsidP="00101000">
      <w:pPr>
        <w:spacing w:after="0"/>
      </w:pPr>
    </w:p>
    <w:p w14:paraId="1C3792A3" w14:textId="77777777" w:rsidR="00566A78" w:rsidRDefault="00566A78" w:rsidP="00101000">
      <w:pPr>
        <w:spacing w:after="0"/>
      </w:pPr>
    </w:p>
    <w:p w14:paraId="70130C6D" w14:textId="5568454E" w:rsidR="00F70276" w:rsidRPr="00024CA0" w:rsidRDefault="00101000" w:rsidP="00101000">
      <w:pPr>
        <w:spacing w:after="0"/>
      </w:pPr>
      <w:r w:rsidRPr="00024CA0">
        <w:t>IHACPA will a</w:t>
      </w:r>
      <w:r w:rsidR="00380E54" w:rsidRPr="00024CA0">
        <w:t xml:space="preserve">lso </w:t>
      </w:r>
      <w:r w:rsidRPr="00024CA0">
        <w:t xml:space="preserve">consult with Aboriginal and Torres Strait Islander stakeholders to inform considerations, data collection and analysis relevant to the potential use of AN-ACC, or a model based on AN-ACC, for NATSIFACP </w:t>
      </w:r>
      <w:r w:rsidR="00847A26" w:rsidRPr="00024CA0">
        <w:t>services</w:t>
      </w:r>
      <w:r w:rsidRPr="00024CA0">
        <w:t xml:space="preserve"> in the medium-</w:t>
      </w:r>
      <w:r w:rsidR="00410192">
        <w:t xml:space="preserve"> </w:t>
      </w:r>
      <w:r w:rsidRPr="00024CA0">
        <w:t>to long-term.</w:t>
      </w:r>
    </w:p>
    <w:tbl>
      <w:tblPr>
        <w:tblStyle w:val="TableGrid"/>
        <w:tblpPr w:leftFromText="180" w:rightFromText="180" w:vertAnchor="text" w:horzAnchor="margin" w:tblpXSpec="right" w:tblpY="130"/>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F70276" w:rsidRPr="006746C9" w14:paraId="794EED88" w14:textId="77777777" w:rsidTr="109BBF32">
        <w:trPr>
          <w:trHeight w:val="1466"/>
        </w:trPr>
        <w:tc>
          <w:tcPr>
            <w:tcW w:w="5000" w:type="pct"/>
            <w:tcBorders>
              <w:left w:val="nil"/>
            </w:tcBorders>
            <w:shd w:val="clear" w:color="auto" w:fill="E6F4F9"/>
          </w:tcPr>
          <w:p w14:paraId="1B0F6840" w14:textId="77777777" w:rsidR="00F70276" w:rsidRPr="004C665E" w:rsidRDefault="00F70276" w:rsidP="00F70276">
            <w:pPr>
              <w:pStyle w:val="Heading4"/>
              <w:framePr w:hSpace="0" w:wrap="auto" w:vAnchor="margin" w:hAnchor="text" w:yAlign="inline"/>
              <w:outlineLvl w:val="3"/>
            </w:pPr>
            <w:r w:rsidRPr="006746C9">
              <w:rPr>
                <w:noProof/>
                <w:color w:val="000000" w:themeColor="text1"/>
              </w:rPr>
              <w:drawing>
                <wp:anchor distT="0" distB="0" distL="114300" distR="114300" simplePos="0" relativeHeight="251682816" behindDoc="0" locked="0" layoutInCell="1" allowOverlap="1" wp14:anchorId="63FB6B52" wp14:editId="3F511ECD">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4C665E">
              <w:t>Consultation question</w:t>
            </w:r>
          </w:p>
          <w:p w14:paraId="391F1AAB" w14:textId="740D5048" w:rsidR="00F70276" w:rsidRPr="006746C9" w:rsidRDefault="00F70276" w:rsidP="00CB75AD">
            <w:pPr>
              <w:pStyle w:val="Bullets"/>
              <w:framePr w:hSpace="0" w:wrap="auto" w:vAnchor="margin" w:hAnchor="text" w:xAlign="left" w:yAlign="inline"/>
            </w:pPr>
            <w:bookmarkStart w:id="73" w:name="_Hlk138192240"/>
            <w:r w:rsidRPr="00024CA0">
              <w:t>How could, or should the AN-ACC model be modified to be used for NATSIFACP and are there any factors that aren’t accounted for under the AN</w:t>
            </w:r>
            <w:r w:rsidR="009874F2" w:rsidRPr="00024CA0">
              <w:noBreakHyphen/>
            </w:r>
            <w:r w:rsidRPr="00024CA0">
              <w:t>ACC model?</w:t>
            </w:r>
            <w:bookmarkEnd w:id="73"/>
          </w:p>
        </w:tc>
      </w:tr>
    </w:tbl>
    <w:p w14:paraId="266B6CA2" w14:textId="77777777" w:rsidR="00101000" w:rsidRPr="00A05977" w:rsidRDefault="00101000" w:rsidP="00101000">
      <w:pPr>
        <w:pStyle w:val="Heading2"/>
        <w:rPr>
          <w:rStyle w:val="normaltextrun"/>
          <w:bCs w:val="0"/>
        </w:rPr>
      </w:pPr>
      <w:bookmarkStart w:id="74" w:name="_Toc136435014"/>
      <w:bookmarkStart w:id="75" w:name="_Toc137552823"/>
      <w:r>
        <w:rPr>
          <w:rStyle w:val="normaltextrun"/>
        </w:rPr>
        <w:t xml:space="preserve">6.3 </w:t>
      </w:r>
      <w:r w:rsidRPr="00A05977">
        <w:rPr>
          <w:rStyle w:val="normaltextrun"/>
        </w:rPr>
        <w:t>Costing studies</w:t>
      </w:r>
      <w:bookmarkEnd w:id="74"/>
      <w:bookmarkEnd w:id="75"/>
    </w:p>
    <w:p w14:paraId="02335833" w14:textId="32280EDE" w:rsidR="00101000" w:rsidRPr="00024CA0" w:rsidRDefault="00101000" w:rsidP="00101000">
      <w:pPr>
        <w:pStyle w:val="ListParagraph"/>
        <w:ind w:left="0"/>
      </w:pPr>
      <w:r w:rsidRPr="00024CA0">
        <w:t xml:space="preserve">The establishment of IHACPA’s aged care costing and pricing functions will enable aged care </w:t>
      </w:r>
      <w:r w:rsidR="003872EE" w:rsidRPr="00024CA0">
        <w:t>pric</w:t>
      </w:r>
      <w:r w:rsidRPr="00024CA0">
        <w:t xml:space="preserve">ing advice to be informed by regular cost data collection and independent, </w:t>
      </w:r>
      <w:r w:rsidR="00D10424" w:rsidRPr="00024CA0">
        <w:t>evidence-based</w:t>
      </w:r>
      <w:r w:rsidRPr="00024CA0">
        <w:t xml:space="preserve"> advice on contemporary cost structures and care delivery models.</w:t>
      </w:r>
    </w:p>
    <w:p w14:paraId="06CB4BBC" w14:textId="77777777" w:rsidR="00101000" w:rsidRPr="00024CA0" w:rsidRDefault="00101000" w:rsidP="00101000">
      <w:pPr>
        <w:pStyle w:val="ListParagraph"/>
        <w:ind w:left="1080"/>
      </w:pPr>
    </w:p>
    <w:p w14:paraId="40252F69" w14:textId="50BB4A21" w:rsidR="00101000" w:rsidRPr="00024CA0" w:rsidRDefault="00101000" w:rsidP="00101000">
      <w:pPr>
        <w:pStyle w:val="ListParagraph"/>
        <w:ind w:left="0"/>
      </w:pPr>
      <w:r w:rsidRPr="00024CA0">
        <w:t xml:space="preserve">IHACPA’s pricing advice </w:t>
      </w:r>
      <w:r w:rsidR="00CB75AD" w:rsidRPr="00024CA0">
        <w:t>is</w:t>
      </w:r>
      <w:r w:rsidRPr="00024CA0">
        <w:t xml:space="preserve"> determined based on the best quality data available. IHACPA will support pricing recommendations with regular cost data collection and utilise other available, complementary data that can support costing and pricing advice.</w:t>
      </w:r>
    </w:p>
    <w:p w14:paraId="1645B736" w14:textId="77777777" w:rsidR="0042600D" w:rsidRPr="00024CA0" w:rsidRDefault="0042600D" w:rsidP="00101000">
      <w:pPr>
        <w:pStyle w:val="ListParagraph"/>
        <w:ind w:left="0"/>
      </w:pPr>
    </w:p>
    <w:p w14:paraId="0871F78C" w14:textId="3928114C" w:rsidR="0042600D" w:rsidRPr="00024CA0" w:rsidRDefault="0042600D" w:rsidP="00101000">
      <w:pPr>
        <w:pStyle w:val="ListParagraph"/>
        <w:ind w:left="0"/>
      </w:pPr>
      <w:r w:rsidRPr="00024CA0">
        <w:t xml:space="preserve">IHACPA commenced the Residential Aged Care Costing Study (RACCS) </w:t>
      </w:r>
      <w:r w:rsidR="003E1B66" w:rsidRPr="00024CA0">
        <w:t>in 2023</w:t>
      </w:r>
      <w:r w:rsidR="00C479A7" w:rsidRPr="00024CA0">
        <w:t xml:space="preserve"> as an initial broad</w:t>
      </w:r>
      <w:r w:rsidR="007B5D42" w:rsidRPr="00024CA0">
        <w:t xml:space="preserve">, residential aged care </w:t>
      </w:r>
      <w:r w:rsidR="00C479A7" w:rsidRPr="00024CA0">
        <w:t>costing study</w:t>
      </w:r>
      <w:r w:rsidR="007B5D42" w:rsidRPr="00024CA0">
        <w:t xml:space="preserve"> </w:t>
      </w:r>
      <w:r w:rsidR="00C479A7" w:rsidRPr="00024CA0">
        <w:t>to</w:t>
      </w:r>
      <w:r w:rsidR="007F4DD1" w:rsidRPr="00024CA0">
        <w:t xml:space="preserve"> produce a dataset including cost, time, and activity data.</w:t>
      </w:r>
    </w:p>
    <w:p w14:paraId="2DE1FE4E" w14:textId="1101F2EF" w:rsidR="00A34963" w:rsidRPr="00024CA0" w:rsidRDefault="00A34963" w:rsidP="00101000">
      <w:pPr>
        <w:pStyle w:val="ListParagraph"/>
        <w:ind w:left="0"/>
      </w:pPr>
    </w:p>
    <w:p w14:paraId="220E7B75" w14:textId="524586D0" w:rsidR="00A34963" w:rsidRPr="00024CA0" w:rsidRDefault="00A34963" w:rsidP="00AC1DBD">
      <w:pPr>
        <w:pStyle w:val="ListParagraph"/>
        <w:ind w:left="0"/>
      </w:pPr>
      <w:r w:rsidRPr="00024CA0">
        <w:t>The scope of services included in the RACC</w:t>
      </w:r>
      <w:r w:rsidR="00240FA6" w:rsidRPr="00024CA0">
        <w:t>S</w:t>
      </w:r>
      <w:r w:rsidRPr="00024CA0">
        <w:t xml:space="preserve"> are</w:t>
      </w:r>
      <w:r w:rsidR="00E560CC">
        <w:t xml:space="preserve"> outlined in section 3.1.3</w:t>
      </w:r>
    </w:p>
    <w:p w14:paraId="7674C649" w14:textId="65EF8CE3" w:rsidR="00151925" w:rsidRDefault="00E06939" w:rsidP="00593247">
      <w:r w:rsidRPr="004C3ABC">
        <w:t xml:space="preserve">IHACPA </w:t>
      </w:r>
      <w:r w:rsidRPr="00F04E6E">
        <w:t>aims to build upon and refine this initial data set over time</w:t>
      </w:r>
      <w:r w:rsidR="0059496F" w:rsidRPr="00F04E6E">
        <w:t>, with supplementation from additional costing studies to ensure IHACPA’s pricing advice uses relevant, evidence</w:t>
      </w:r>
      <w:r w:rsidR="149BAAFA">
        <w:t>-</w:t>
      </w:r>
      <w:r w:rsidR="0059496F" w:rsidRPr="00F04E6E">
        <w:t>based data.</w:t>
      </w:r>
    </w:p>
    <w:p w14:paraId="253DA4D3" w14:textId="48E902C0" w:rsidR="00E560CC" w:rsidRDefault="00E560CC" w:rsidP="00593247"/>
    <w:p w14:paraId="48525B3D" w14:textId="77642480" w:rsidR="00F04E6E" w:rsidRPr="00C153CE" w:rsidRDefault="00F04E6E" w:rsidP="00F04E6E">
      <w:pPr>
        <w:pStyle w:val="Heading2"/>
        <w:rPr>
          <w:rStyle w:val="normaltextrun"/>
          <w:bCs w:val="0"/>
        </w:rPr>
      </w:pPr>
      <w:r>
        <w:rPr>
          <w:rStyle w:val="normaltextrun"/>
        </w:rPr>
        <w:lastRenderedPageBreak/>
        <w:t>6.4</w:t>
      </w:r>
      <w:r w:rsidRPr="00C153CE">
        <w:rPr>
          <w:rStyle w:val="normaltextrun"/>
        </w:rPr>
        <w:t xml:space="preserve"> </w:t>
      </w:r>
      <w:r w:rsidRPr="00B71D21">
        <w:rPr>
          <w:rStyle w:val="normaltextrun"/>
        </w:rPr>
        <w:t xml:space="preserve">Grants </w:t>
      </w:r>
    </w:p>
    <w:p w14:paraId="2ECA9F5E" w14:textId="31FCC073" w:rsidR="00F04E6E" w:rsidRPr="00B71D21" w:rsidRDefault="00F04E6E" w:rsidP="00F04E6E">
      <w:r>
        <w:t>The Department ha</w:t>
      </w:r>
      <w:r w:rsidR="00383D22">
        <w:t>s</w:t>
      </w:r>
      <w:r>
        <w:t xml:space="preserve"> announced the following grants, relevant to residential aged care and residential respite care</w:t>
      </w:r>
      <w:r w:rsidR="00316320">
        <w:t>. IHACPA will seek to understand revenue sources such as grants and their associated costs</w:t>
      </w:r>
      <w:r w:rsidR="00BC1281">
        <w:t>.</w:t>
      </w:r>
    </w:p>
    <w:p w14:paraId="2E50935E" w14:textId="3C29D4B6" w:rsidR="00F04E6E" w:rsidRDefault="06D219B4" w:rsidP="109BBF32">
      <w:pPr>
        <w:pStyle w:val="Heading3"/>
        <w:rPr>
          <w:b w:val="0"/>
        </w:rPr>
      </w:pPr>
      <w:r>
        <w:t xml:space="preserve">6.4.1 </w:t>
      </w:r>
      <w:r w:rsidR="00F04E6E">
        <w:t>Leave liability grant</w:t>
      </w:r>
    </w:p>
    <w:p w14:paraId="64325C28" w14:textId="29388FCF" w:rsidR="00F04E6E" w:rsidRPr="00D82C19" w:rsidRDefault="00F04E6E" w:rsidP="00F04E6E">
      <w:r>
        <w:t>As part of the</w:t>
      </w:r>
      <w:r w:rsidRPr="00C153CE">
        <w:t xml:space="preserve"> </w:t>
      </w:r>
      <w:r w:rsidR="00FD1769">
        <w:t xml:space="preserve">Federal Budget </w:t>
      </w:r>
      <w:r w:rsidRPr="00C153CE">
        <w:t>2023</w:t>
      </w:r>
      <w:r w:rsidR="00E456DE">
        <w:rPr>
          <w:rFonts w:cs="Arial"/>
        </w:rPr>
        <w:t>–</w:t>
      </w:r>
      <w:r w:rsidRPr="00C153CE">
        <w:t>24</w:t>
      </w:r>
      <w:r>
        <w:t>, a one-off grant opportunity for leave liability provisions was announced for $98.7 million over four years from 1 July 2023 to provide one-off funding for residential aged care providers to meet historical leave liabilities.</w:t>
      </w:r>
    </w:p>
    <w:p w14:paraId="7B0650A8" w14:textId="6B245051" w:rsidR="00F04E6E" w:rsidRPr="00024CA0" w:rsidRDefault="13D53EB9" w:rsidP="109BBF32">
      <w:pPr>
        <w:pStyle w:val="Heading3"/>
        <w:rPr>
          <w:b w:val="0"/>
          <w:color w:val="auto"/>
        </w:rPr>
      </w:pPr>
      <w:r w:rsidRPr="00024CA0">
        <w:rPr>
          <w:color w:val="auto"/>
        </w:rPr>
        <w:t xml:space="preserve">6.4.2 </w:t>
      </w:r>
      <w:r w:rsidR="00F04E6E" w:rsidRPr="00024CA0">
        <w:rPr>
          <w:color w:val="auto"/>
        </w:rPr>
        <w:t>The AN-ACC transition fund</w:t>
      </w:r>
    </w:p>
    <w:p w14:paraId="3C512CFA" w14:textId="77777777" w:rsidR="00F04E6E" w:rsidRPr="00024CA0" w:rsidRDefault="00F04E6E" w:rsidP="00F04E6E">
      <w:r w:rsidRPr="00024CA0">
        <w:t xml:space="preserve">The Department established the </w:t>
      </w:r>
      <w:hyperlink r:id="rId118" w:history="1">
        <w:r w:rsidRPr="002D5456">
          <w:rPr>
            <w:rStyle w:val="Hyperlink"/>
          </w:rPr>
          <w:t xml:space="preserve">AN-ACC </w:t>
        </w:r>
        <w:r>
          <w:rPr>
            <w:rStyle w:val="Hyperlink"/>
          </w:rPr>
          <w:t>T</w:t>
        </w:r>
        <w:r w:rsidRPr="002D5456">
          <w:rPr>
            <w:rStyle w:val="Hyperlink"/>
          </w:rPr>
          <w:t xml:space="preserve">ransition </w:t>
        </w:r>
        <w:r>
          <w:rPr>
            <w:rStyle w:val="Hyperlink"/>
          </w:rPr>
          <w:t>F</w:t>
        </w:r>
        <w:r w:rsidRPr="002D5456">
          <w:rPr>
            <w:rStyle w:val="Hyperlink"/>
          </w:rPr>
          <w:t>und</w:t>
        </w:r>
      </w:hyperlink>
      <w:r w:rsidRPr="00024CA0">
        <w:t xml:space="preserve">, which commenced on 1 October 2022 to provide financial support to eligible residential aged care providers to transition their business operations from the Aged Care Funding Instrument to AN-ACC, with no impact on their funding during the first two years of transition. </w:t>
      </w:r>
    </w:p>
    <w:p w14:paraId="77531664" w14:textId="684F02BD" w:rsidR="003D304C" w:rsidRPr="00024CA0" w:rsidRDefault="00F04E6E" w:rsidP="00101000">
      <w:pPr>
        <w:rPr>
          <w:rStyle w:val="normaltextrun"/>
        </w:rPr>
      </w:pPr>
      <w:r w:rsidRPr="00024CA0">
        <w:t xml:space="preserve">The </w:t>
      </w:r>
      <w:r w:rsidR="00FD1769" w:rsidRPr="00024CA0">
        <w:t xml:space="preserve">Federal Budget </w:t>
      </w:r>
      <w:r w:rsidRPr="00024CA0">
        <w:t>2023</w:t>
      </w:r>
      <w:r w:rsidR="00E456DE" w:rsidRPr="00024CA0">
        <w:rPr>
          <w:rFonts w:cs="Arial"/>
        </w:rPr>
        <w:t>–</w:t>
      </w:r>
      <w:r w:rsidRPr="00024CA0">
        <w:t>24</w:t>
      </w:r>
      <w:r w:rsidR="00383D22">
        <w:t>,</w:t>
      </w:r>
      <w:r w:rsidRPr="00024CA0">
        <w:t xml:space="preserve"> saw an additional $6 million for a new grant opportunity under the AN-ACC transition fund to support services in isolated communities and larger services in remote and very remote locations. This is to provide temporary support from 1 July 2023 </w:t>
      </w:r>
      <w:r w:rsidR="00E340DE">
        <w:t>to</w:t>
      </w:r>
      <w:r w:rsidR="00E340DE" w:rsidRPr="00024CA0">
        <w:t xml:space="preserve"> </w:t>
      </w:r>
      <w:r w:rsidRPr="00024CA0">
        <w:t>30 June 2024.</w:t>
      </w:r>
    </w:p>
    <w:p w14:paraId="0AC400E3" w14:textId="77777777" w:rsidR="003D304C" w:rsidRDefault="003D304C" w:rsidP="00101000">
      <w:pPr>
        <w:rPr>
          <w:rStyle w:val="normaltextrun"/>
        </w:rPr>
      </w:pPr>
    </w:p>
    <w:p w14:paraId="152765EF" w14:textId="498EEA6C" w:rsidR="003D304C" w:rsidRPr="005E0FF3" w:rsidRDefault="003D304C" w:rsidP="00101000">
      <w:pPr>
        <w:rPr>
          <w:rStyle w:val="normaltextrun"/>
        </w:rPr>
        <w:sectPr w:rsidR="003D304C" w:rsidRPr="005E0FF3" w:rsidSect="00151925">
          <w:headerReference w:type="even" r:id="rId119"/>
          <w:headerReference w:type="default" r:id="rId120"/>
          <w:headerReference w:type="first" r:id="rId121"/>
          <w:type w:val="continuous"/>
          <w:pgSz w:w="11906" w:h="16838" w:code="9"/>
          <w:pgMar w:top="1440" w:right="1440" w:bottom="1440" w:left="1440" w:header="708" w:footer="708" w:gutter="0"/>
          <w:cols w:num="2" w:space="708"/>
          <w:docGrid w:linePitch="360"/>
        </w:sectPr>
      </w:pPr>
    </w:p>
    <w:p w14:paraId="3E424074" w14:textId="77777777" w:rsidR="005E0FF3" w:rsidRDefault="005E0FF3" w:rsidP="005E0FF3">
      <w:pPr>
        <w:sectPr w:rsidR="005E0FF3" w:rsidSect="00BF3B4C">
          <w:headerReference w:type="even" r:id="rId122"/>
          <w:headerReference w:type="default" r:id="rId123"/>
          <w:headerReference w:type="first" r:id="rId124"/>
          <w:type w:val="continuous"/>
          <w:pgSz w:w="11906" w:h="16838" w:code="9"/>
          <w:pgMar w:top="851" w:right="1440" w:bottom="1440" w:left="1440" w:header="708" w:footer="708" w:gutter="0"/>
          <w:cols w:space="708"/>
          <w:docGrid w:linePitch="360"/>
        </w:sectPr>
      </w:pPr>
    </w:p>
    <w:p w14:paraId="0EAF6B80" w14:textId="2B1BCD3A" w:rsidR="005E0FF3" w:rsidRPr="00050402" w:rsidRDefault="005E0FF3" w:rsidP="005E0FF3">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13184" behindDoc="0" locked="0" layoutInCell="1" allowOverlap="1" wp14:anchorId="67C25F97" wp14:editId="4BBC6CFC">
            <wp:simplePos x="0" y="0"/>
            <wp:positionH relativeFrom="column">
              <wp:posOffset>-902898</wp:posOffset>
            </wp:positionH>
            <wp:positionV relativeFrom="paragraph">
              <wp:posOffset>-610235</wp:posOffset>
            </wp:positionV>
            <wp:extent cx="7548659" cy="5151755"/>
            <wp:effectExtent l="0" t="0" r="0" b="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720"/>
          <w:szCs w:val="720"/>
        </w:rPr>
        <w:t>7</w:t>
      </w:r>
    </w:p>
    <w:p w14:paraId="7ABBBA4E" w14:textId="1411F353" w:rsidR="005E0FF3" w:rsidRPr="00267F1F" w:rsidRDefault="005E0FF3" w:rsidP="005E0FF3">
      <w:pPr>
        <w:pStyle w:val="Heading1"/>
        <w:ind w:right="4206"/>
        <w:rPr>
          <w:color w:val="auto"/>
        </w:rPr>
      </w:pPr>
      <w:bookmarkStart w:id="76" w:name="_Toc137552825"/>
      <w:r w:rsidRPr="00267F1F">
        <w:rPr>
          <w:color w:val="auto"/>
        </w:rPr>
        <w:t>Consultation process and next steps</w:t>
      </w:r>
      <w:bookmarkEnd w:id="76"/>
    </w:p>
    <w:p w14:paraId="0EE73401" w14:textId="77777777" w:rsidR="005E0FF3" w:rsidRDefault="005E0FF3" w:rsidP="005E0FF3">
      <w:pPr>
        <w:sectPr w:rsidR="005E0FF3" w:rsidSect="00C9543A">
          <w:headerReference w:type="even" r:id="rId125"/>
          <w:headerReference w:type="default" r:id="rId126"/>
          <w:headerReference w:type="first" r:id="rId127"/>
          <w:pgSz w:w="11906" w:h="16838" w:code="9"/>
          <w:pgMar w:top="851" w:right="1440" w:bottom="1440" w:left="1440" w:header="708" w:footer="708" w:gutter="0"/>
          <w:cols w:space="708"/>
          <w:docGrid w:linePitch="360"/>
        </w:sectPr>
      </w:pPr>
    </w:p>
    <w:p w14:paraId="648B3A47" w14:textId="77777777" w:rsidR="00F22C09" w:rsidRDefault="00F22C09" w:rsidP="00F22C09">
      <w:pPr>
        <w:pStyle w:val="Body"/>
        <w:spacing w:after="0"/>
        <w:sectPr w:rsidR="00F22C09" w:rsidSect="00F4029B">
          <w:headerReference w:type="even" r:id="rId128"/>
          <w:headerReference w:type="default" r:id="rId129"/>
          <w:headerReference w:type="first" r:id="rId130"/>
          <w:pgSz w:w="11906" w:h="16838" w:code="9"/>
          <w:pgMar w:top="2410" w:right="1440" w:bottom="1440" w:left="1440" w:header="568" w:footer="708" w:gutter="0"/>
          <w:cols w:space="708"/>
          <w:docGrid w:linePitch="360"/>
        </w:sectPr>
      </w:pPr>
    </w:p>
    <w:p w14:paraId="4F74B50A" w14:textId="5FF0FDF4" w:rsidR="00F22C09" w:rsidRPr="00024CA0" w:rsidRDefault="00F22C09" w:rsidP="00F22C09">
      <w:bookmarkStart w:id="77" w:name="_Hlk137551235"/>
      <w:bookmarkStart w:id="78" w:name="_Hlk137553190"/>
      <w:r w:rsidRPr="00024CA0">
        <w:t xml:space="preserve">The Independent Health and Aged Care Pricing Authority (IHACPA) is calling for submissions on this consultation paper until </w:t>
      </w:r>
      <w:r w:rsidR="00EF3070">
        <w:rPr>
          <w:b/>
          <w:bCs/>
        </w:rPr>
        <w:t>31</w:t>
      </w:r>
      <w:r w:rsidRPr="00024CA0">
        <w:rPr>
          <w:b/>
          <w:bCs/>
        </w:rPr>
        <w:t xml:space="preserve"> August 2023</w:t>
      </w:r>
      <w:r w:rsidRPr="00024CA0">
        <w:t>.</w:t>
      </w:r>
    </w:p>
    <w:bookmarkEnd w:id="77"/>
    <w:bookmarkEnd w:id="78"/>
    <w:p w14:paraId="60D68A4D" w14:textId="77777777" w:rsidR="00F22C09" w:rsidRPr="00024CA0" w:rsidRDefault="00F22C09" w:rsidP="00F22C09">
      <w:pPr>
        <w:ind w:right="-377"/>
      </w:pPr>
      <w:r w:rsidRPr="00024CA0">
        <w:t>The key dates regarding this consultation are:</w:t>
      </w:r>
    </w:p>
    <w:tbl>
      <w:tblPr>
        <w:tblStyle w:val="IHACPATable"/>
        <w:tblW w:w="4395" w:type="dxa"/>
        <w:tblBorders>
          <w:bottom w:val="single" w:sz="4" w:space="0" w:color="auto"/>
          <w:insideH w:val="single" w:sz="4" w:space="0" w:color="auto"/>
        </w:tblBorders>
        <w:tblLayout w:type="fixed"/>
        <w:tblLook w:val="0020" w:firstRow="1" w:lastRow="0" w:firstColumn="0" w:lastColumn="0" w:noHBand="0" w:noVBand="0"/>
      </w:tblPr>
      <w:tblGrid>
        <w:gridCol w:w="2699"/>
        <w:gridCol w:w="1696"/>
      </w:tblGrid>
      <w:tr w:rsidR="00F22C09" w:rsidRPr="00C91E95" w14:paraId="188C7B17" w14:textId="77777777" w:rsidTr="00AC70DF">
        <w:trPr>
          <w:cnfStyle w:val="100000000000" w:firstRow="1" w:lastRow="0" w:firstColumn="0" w:lastColumn="0" w:oddVBand="0" w:evenVBand="0" w:oddHBand="0" w:evenHBand="0" w:firstRowFirstColumn="0" w:firstRowLastColumn="0" w:lastRowFirstColumn="0" w:lastRowLastColumn="0"/>
          <w:trHeight w:val="19"/>
        </w:trPr>
        <w:tc>
          <w:tcPr>
            <w:tcW w:w="2699" w:type="dxa"/>
            <w:shd w:val="clear" w:color="auto" w:fill="0080C4" w:themeFill="accent2"/>
          </w:tcPr>
          <w:p w14:paraId="21849912" w14:textId="77777777" w:rsidR="00F22C09" w:rsidRPr="00C91E95" w:rsidRDefault="00F22C09" w:rsidP="00AC70DF">
            <w:pPr>
              <w:tabs>
                <w:tab w:val="center" w:pos="1599"/>
              </w:tabs>
              <w:spacing w:before="120" w:after="120"/>
              <w:rPr>
                <w:b/>
                <w:bCs/>
                <w:color w:val="E7E6E6" w:themeColor="background2"/>
                <w:szCs w:val="18"/>
              </w:rPr>
            </w:pPr>
            <w:r w:rsidRPr="00C91E95">
              <w:rPr>
                <w:b/>
                <w:bCs/>
                <w:color w:val="E7E6E6" w:themeColor="background2"/>
                <w:szCs w:val="18"/>
              </w:rPr>
              <w:t>Process</w:t>
            </w:r>
            <w:r w:rsidRPr="00C91E95">
              <w:rPr>
                <w:b/>
                <w:bCs/>
                <w:color w:val="E7E6E6" w:themeColor="background2"/>
                <w:szCs w:val="18"/>
              </w:rPr>
              <w:tab/>
            </w:r>
          </w:p>
        </w:tc>
        <w:tc>
          <w:tcPr>
            <w:tcW w:w="1696" w:type="dxa"/>
            <w:shd w:val="clear" w:color="auto" w:fill="0080C4" w:themeFill="accent2"/>
          </w:tcPr>
          <w:p w14:paraId="76F10CFF" w14:textId="77777777" w:rsidR="00F22C09" w:rsidRPr="00C91E95" w:rsidRDefault="00F22C09" w:rsidP="00AC70DF">
            <w:pPr>
              <w:spacing w:before="120" w:after="120"/>
              <w:rPr>
                <w:b/>
                <w:bCs/>
                <w:color w:val="E7E6E6" w:themeColor="background2"/>
                <w:szCs w:val="18"/>
              </w:rPr>
            </w:pPr>
            <w:r w:rsidRPr="00C91E95">
              <w:rPr>
                <w:b/>
                <w:bCs/>
                <w:color w:val="E7E6E6" w:themeColor="background2"/>
                <w:szCs w:val="18"/>
              </w:rPr>
              <w:t>Date</w:t>
            </w:r>
          </w:p>
        </w:tc>
      </w:tr>
      <w:tr w:rsidR="00F22C09" w:rsidRPr="00C91E95" w14:paraId="05E6954F" w14:textId="77777777" w:rsidTr="00AC70DF">
        <w:trPr>
          <w:cnfStyle w:val="000000100000" w:firstRow="0" w:lastRow="0" w:firstColumn="0" w:lastColumn="0" w:oddVBand="0" w:evenVBand="0" w:oddHBand="1" w:evenHBand="0" w:firstRowFirstColumn="0" w:firstRowLastColumn="0" w:lastRowFirstColumn="0" w:lastRowLastColumn="0"/>
          <w:trHeight w:val="19"/>
        </w:trPr>
        <w:tc>
          <w:tcPr>
            <w:tcW w:w="2699" w:type="dxa"/>
            <w:shd w:val="clear" w:color="auto" w:fill="auto"/>
          </w:tcPr>
          <w:p w14:paraId="605ADCEC" w14:textId="77777777" w:rsidR="00F22C09" w:rsidRPr="00024CA0" w:rsidRDefault="00F22C09" w:rsidP="00AC70DF">
            <w:pPr>
              <w:spacing w:before="120" w:after="120"/>
              <w:rPr>
                <w:szCs w:val="18"/>
              </w:rPr>
            </w:pPr>
            <w:r w:rsidRPr="00024CA0">
              <w:rPr>
                <w:szCs w:val="18"/>
              </w:rPr>
              <w:t>Release of the Consultation Paper</w:t>
            </w:r>
          </w:p>
        </w:tc>
        <w:tc>
          <w:tcPr>
            <w:tcW w:w="1696" w:type="dxa"/>
          </w:tcPr>
          <w:p w14:paraId="18DA3316" w14:textId="0AAF0346" w:rsidR="00F22C09" w:rsidRPr="00024CA0" w:rsidRDefault="00F22C09" w:rsidP="00AC70DF">
            <w:pPr>
              <w:spacing w:before="120" w:after="120"/>
              <w:rPr>
                <w:szCs w:val="18"/>
              </w:rPr>
            </w:pPr>
            <w:r w:rsidRPr="00024CA0">
              <w:rPr>
                <w:szCs w:val="18"/>
              </w:rPr>
              <w:t>1</w:t>
            </w:r>
            <w:r w:rsidR="00FE6890">
              <w:rPr>
                <w:szCs w:val="18"/>
              </w:rPr>
              <w:t>7</w:t>
            </w:r>
            <w:r w:rsidRPr="00024CA0">
              <w:rPr>
                <w:szCs w:val="18"/>
              </w:rPr>
              <w:t xml:space="preserve"> July 2023</w:t>
            </w:r>
          </w:p>
        </w:tc>
      </w:tr>
      <w:tr w:rsidR="00F22C09" w:rsidRPr="00C91E95" w14:paraId="0EA9A42B" w14:textId="77777777" w:rsidTr="00AC70DF">
        <w:trPr>
          <w:cnfStyle w:val="000000010000" w:firstRow="0" w:lastRow="0" w:firstColumn="0" w:lastColumn="0" w:oddVBand="0" w:evenVBand="0" w:oddHBand="0" w:evenHBand="1" w:firstRowFirstColumn="0" w:firstRowLastColumn="0" w:lastRowFirstColumn="0" w:lastRowLastColumn="0"/>
          <w:trHeight w:val="19"/>
        </w:trPr>
        <w:tc>
          <w:tcPr>
            <w:tcW w:w="2699" w:type="dxa"/>
            <w:tcBorders>
              <w:bottom w:val="single" w:sz="4" w:space="0" w:color="auto"/>
            </w:tcBorders>
            <w:shd w:val="clear" w:color="auto" w:fill="auto"/>
          </w:tcPr>
          <w:p w14:paraId="79FAA1A8" w14:textId="77777777" w:rsidR="00F22C09" w:rsidRPr="00024CA0" w:rsidRDefault="00F22C09" w:rsidP="00AC70DF">
            <w:pPr>
              <w:spacing w:before="120" w:after="120"/>
              <w:rPr>
                <w:szCs w:val="18"/>
              </w:rPr>
            </w:pPr>
            <w:r w:rsidRPr="00024CA0">
              <w:rPr>
                <w:szCs w:val="18"/>
              </w:rPr>
              <w:t>Submissions close</w:t>
            </w:r>
          </w:p>
        </w:tc>
        <w:tc>
          <w:tcPr>
            <w:tcW w:w="1696" w:type="dxa"/>
            <w:tcBorders>
              <w:bottom w:val="single" w:sz="4" w:space="0" w:color="auto"/>
            </w:tcBorders>
          </w:tcPr>
          <w:p w14:paraId="1F189F72" w14:textId="3F6DE4B7" w:rsidR="00F22C09" w:rsidRPr="00024CA0" w:rsidRDefault="00EF3070" w:rsidP="00AC70DF">
            <w:pPr>
              <w:spacing w:before="120" w:after="120"/>
              <w:rPr>
                <w:szCs w:val="18"/>
              </w:rPr>
            </w:pPr>
            <w:r>
              <w:rPr>
                <w:szCs w:val="18"/>
              </w:rPr>
              <w:t>31</w:t>
            </w:r>
            <w:r w:rsidR="00F22C09" w:rsidRPr="00024CA0">
              <w:rPr>
                <w:szCs w:val="18"/>
              </w:rPr>
              <w:t xml:space="preserve"> August 2023</w:t>
            </w:r>
            <w:r w:rsidR="00E745E5" w:rsidRPr="00024CA0">
              <w:rPr>
                <w:szCs w:val="18"/>
              </w:rPr>
              <w:t xml:space="preserve"> </w:t>
            </w:r>
          </w:p>
        </w:tc>
      </w:tr>
      <w:tr w:rsidR="00F22C09" w:rsidRPr="00C91E95" w14:paraId="3E4898C0" w14:textId="77777777" w:rsidTr="00AC70DF">
        <w:trPr>
          <w:cnfStyle w:val="000000100000" w:firstRow="0" w:lastRow="0" w:firstColumn="0" w:lastColumn="0" w:oddVBand="0" w:evenVBand="0" w:oddHBand="1" w:evenHBand="0" w:firstRowFirstColumn="0" w:firstRowLastColumn="0" w:lastRowFirstColumn="0" w:lastRowLastColumn="0"/>
          <w:trHeight w:val="19"/>
        </w:trPr>
        <w:tc>
          <w:tcPr>
            <w:tcW w:w="2699" w:type="dxa"/>
            <w:tcBorders>
              <w:top w:val="single" w:sz="4" w:space="0" w:color="auto"/>
              <w:bottom w:val="single" w:sz="4" w:space="0" w:color="auto"/>
            </w:tcBorders>
            <w:shd w:val="clear" w:color="auto" w:fill="auto"/>
          </w:tcPr>
          <w:p w14:paraId="1D0BD19A" w14:textId="77777777" w:rsidR="00F22C09" w:rsidRPr="00024CA0" w:rsidRDefault="00F22C09" w:rsidP="00AC70DF">
            <w:pPr>
              <w:spacing w:before="120" w:after="120"/>
              <w:rPr>
                <w:szCs w:val="18"/>
              </w:rPr>
            </w:pPr>
            <w:r w:rsidRPr="00024CA0">
              <w:rPr>
                <w:szCs w:val="18"/>
              </w:rPr>
              <w:t>Release of a consultation report consolidating stakeholder feedback</w:t>
            </w:r>
          </w:p>
        </w:tc>
        <w:tc>
          <w:tcPr>
            <w:tcW w:w="1696" w:type="dxa"/>
            <w:tcBorders>
              <w:top w:val="single" w:sz="4" w:space="0" w:color="auto"/>
              <w:bottom w:val="single" w:sz="4" w:space="0" w:color="auto"/>
            </w:tcBorders>
          </w:tcPr>
          <w:p w14:paraId="6974BB76" w14:textId="77777777" w:rsidR="00F22C09" w:rsidRPr="00024CA0" w:rsidRDefault="00F22C09" w:rsidP="00AC70DF">
            <w:pPr>
              <w:spacing w:before="120" w:after="120"/>
              <w:rPr>
                <w:szCs w:val="18"/>
              </w:rPr>
            </w:pPr>
            <w:r w:rsidRPr="00024CA0">
              <w:rPr>
                <w:szCs w:val="18"/>
              </w:rPr>
              <w:t>Early 2024</w:t>
            </w:r>
          </w:p>
        </w:tc>
      </w:tr>
      <w:tr w:rsidR="00F22C09" w:rsidRPr="00C91E95" w14:paraId="7FC2238E" w14:textId="77777777" w:rsidTr="00AC70DF">
        <w:trPr>
          <w:cnfStyle w:val="000000010000" w:firstRow="0" w:lastRow="0" w:firstColumn="0" w:lastColumn="0" w:oddVBand="0" w:evenVBand="0" w:oddHBand="0" w:evenHBand="1" w:firstRowFirstColumn="0" w:firstRowLastColumn="0" w:lastRowFirstColumn="0" w:lastRowLastColumn="0"/>
          <w:trHeight w:val="19"/>
        </w:trPr>
        <w:tc>
          <w:tcPr>
            <w:tcW w:w="2699" w:type="dxa"/>
            <w:tcBorders>
              <w:top w:val="single" w:sz="4" w:space="0" w:color="auto"/>
              <w:bottom w:val="single" w:sz="4" w:space="0" w:color="auto"/>
            </w:tcBorders>
            <w:shd w:val="clear" w:color="auto" w:fill="auto"/>
          </w:tcPr>
          <w:p w14:paraId="0218D366" w14:textId="1A7DAE50" w:rsidR="00F22C09" w:rsidRPr="00024CA0" w:rsidRDefault="00F22C09" w:rsidP="00AC70DF">
            <w:pPr>
              <w:spacing w:before="120" w:after="120"/>
              <w:rPr>
                <w:szCs w:val="18"/>
              </w:rPr>
            </w:pPr>
            <w:r w:rsidRPr="00024CA0">
              <w:rPr>
                <w:szCs w:val="18"/>
              </w:rPr>
              <w:t>Pricing Framework for Australian Residential Aged Care Services 2024</w:t>
            </w:r>
            <w:r w:rsidR="007B2E73" w:rsidRPr="00024CA0">
              <w:rPr>
                <w:rFonts w:cs="Arial"/>
                <w:szCs w:val="18"/>
              </w:rPr>
              <w:t>–</w:t>
            </w:r>
            <w:r w:rsidRPr="00024CA0">
              <w:rPr>
                <w:szCs w:val="18"/>
              </w:rPr>
              <w:t>25 published</w:t>
            </w:r>
          </w:p>
        </w:tc>
        <w:tc>
          <w:tcPr>
            <w:tcW w:w="1696" w:type="dxa"/>
            <w:tcBorders>
              <w:top w:val="single" w:sz="4" w:space="0" w:color="auto"/>
              <w:bottom w:val="single" w:sz="4" w:space="0" w:color="auto"/>
            </w:tcBorders>
          </w:tcPr>
          <w:p w14:paraId="0D7294C6" w14:textId="77777777" w:rsidR="00F22C09" w:rsidRPr="00024CA0" w:rsidRDefault="00F22C09" w:rsidP="00AC70DF">
            <w:pPr>
              <w:spacing w:before="120" w:after="120"/>
              <w:rPr>
                <w:szCs w:val="18"/>
              </w:rPr>
            </w:pPr>
            <w:r w:rsidRPr="00024CA0">
              <w:rPr>
                <w:szCs w:val="18"/>
              </w:rPr>
              <w:t>Early 2024</w:t>
            </w:r>
          </w:p>
        </w:tc>
      </w:tr>
    </w:tbl>
    <w:p w14:paraId="1E25528F" w14:textId="77777777" w:rsidR="005E0FF3" w:rsidRPr="00C91E95" w:rsidRDefault="005E0FF3" w:rsidP="00F22C09">
      <w:pPr>
        <w:widowControl w:val="0"/>
        <w:rPr>
          <w:sz w:val="8"/>
          <w:szCs w:val="8"/>
        </w:rPr>
      </w:pPr>
    </w:p>
    <w:p w14:paraId="5A9041FA" w14:textId="2A97B9D4" w:rsidR="005E0FF3" w:rsidRPr="00C91E95" w:rsidRDefault="005E0FF3" w:rsidP="00F22C09">
      <w:pPr>
        <w:pStyle w:val="Heading2"/>
        <w:keepNext w:val="0"/>
        <w:keepLines w:val="0"/>
        <w:widowControl w:val="0"/>
        <w:rPr>
          <w:rStyle w:val="normaltextrun"/>
          <w:b w:val="0"/>
          <w:bCs w:val="0"/>
        </w:rPr>
      </w:pPr>
      <w:bookmarkStart w:id="79" w:name="_Toc137552826"/>
      <w:r w:rsidRPr="00C91E95">
        <w:rPr>
          <w:rStyle w:val="normaltextrun"/>
        </w:rPr>
        <w:t>7.1 How your information will be used</w:t>
      </w:r>
      <w:bookmarkEnd w:id="79"/>
    </w:p>
    <w:p w14:paraId="19C0CEFD" w14:textId="392335D3" w:rsidR="005E0FF3" w:rsidRPr="00024CA0" w:rsidRDefault="005E0FF3" w:rsidP="00F22C09">
      <w:pPr>
        <w:widowControl w:val="0"/>
        <w:rPr>
          <w:rStyle w:val="normaltextrun"/>
          <w:rFonts w:cs="Arial"/>
          <w:color w:val="000000"/>
        </w:rPr>
      </w:pPr>
      <w:r w:rsidRPr="00024CA0">
        <w:rPr>
          <w:rStyle w:val="normaltextrun"/>
          <w:rFonts w:cs="Arial"/>
          <w:color w:val="000000"/>
        </w:rPr>
        <w:t xml:space="preserve">All submissions will be published on the </w:t>
      </w:r>
      <w:hyperlink r:id="rId131" w:history="1">
        <w:r w:rsidR="00AC1DBD" w:rsidRPr="00AC1DBD">
          <w:rPr>
            <w:rStyle w:val="Hyperlink"/>
            <w:rFonts w:cs="Arial"/>
          </w:rPr>
          <w:t>IHACPA website</w:t>
        </w:r>
      </w:hyperlink>
      <w:r w:rsidRPr="00024CA0">
        <w:rPr>
          <w:rStyle w:val="normaltextrun"/>
          <w:rFonts w:cs="Arial"/>
          <w:color w:val="000000"/>
        </w:rPr>
        <w:t xml:space="preserve"> unless you specifically identify any sections that you believe should be kept confidential due to commercial or other reasons.</w:t>
      </w:r>
    </w:p>
    <w:p w14:paraId="14D172A4" w14:textId="2323596A" w:rsidR="005E0FF3" w:rsidRPr="00024CA0" w:rsidRDefault="005E0FF3" w:rsidP="00F22C09">
      <w:pPr>
        <w:widowControl w:val="0"/>
        <w:rPr>
          <w:rStyle w:val="normaltextrun"/>
          <w:rFonts w:cs="Arial"/>
          <w:i/>
          <w:color w:val="000000"/>
        </w:rPr>
      </w:pPr>
      <w:r w:rsidRPr="00024CA0">
        <w:rPr>
          <w:rStyle w:val="normaltextrun"/>
          <w:rFonts w:cs="Arial"/>
          <w:color w:val="000000"/>
        </w:rPr>
        <w:t>Your submission will be carefully considered and IHACPA may contact some individuals or entities that make submissions. IHACPA will not contact everyone who makes a submission, but will ensure that all submissions are recorded, reviewed and used to inform the development of the Pricing Framework for Australian</w:t>
      </w:r>
      <w:r w:rsidR="009E7CE8">
        <w:rPr>
          <w:rStyle w:val="normaltextrun"/>
          <w:rFonts w:cs="Arial"/>
          <w:color w:val="000000"/>
        </w:rPr>
        <w:t xml:space="preserve"> Residential</w:t>
      </w:r>
      <w:r w:rsidRPr="00024CA0">
        <w:rPr>
          <w:rStyle w:val="normaltextrun"/>
          <w:rFonts w:cs="Arial"/>
          <w:color w:val="000000"/>
        </w:rPr>
        <w:t xml:space="preserve"> Aged Care Services 2024</w:t>
      </w:r>
      <w:r w:rsidR="00640E08" w:rsidRPr="00024CA0">
        <w:rPr>
          <w:rStyle w:val="normaltextrun"/>
          <w:rFonts w:cs="Arial"/>
          <w:color w:val="000000"/>
        </w:rPr>
        <w:t>–</w:t>
      </w:r>
      <w:r w:rsidRPr="00024CA0">
        <w:rPr>
          <w:rStyle w:val="normaltextrun"/>
          <w:rFonts w:cs="Arial"/>
          <w:color w:val="000000"/>
        </w:rPr>
        <w:t>25.</w:t>
      </w:r>
    </w:p>
    <w:p w14:paraId="6127854D" w14:textId="1264FB64" w:rsidR="00245C31" w:rsidRPr="00C91E95" w:rsidRDefault="00245C31" w:rsidP="005E0FF3">
      <w:pPr>
        <w:rPr>
          <w:rStyle w:val="normaltextrun"/>
          <w:rFonts w:cs="Arial"/>
        </w:rPr>
      </w:pPr>
    </w:p>
    <w:p w14:paraId="4227AFEE" w14:textId="2BE4A8DA" w:rsidR="005E0FF3" w:rsidRPr="00024CA0" w:rsidRDefault="005E0FF3" w:rsidP="005E0FF3">
      <w:pPr>
        <w:rPr>
          <w:rStyle w:val="normaltextrun"/>
          <w:rFonts w:cs="Arial"/>
        </w:rPr>
      </w:pPr>
      <w:r w:rsidRPr="00024CA0">
        <w:rPr>
          <w:rStyle w:val="normaltextrun"/>
          <w:rFonts w:cs="Arial"/>
        </w:rPr>
        <w:t xml:space="preserve">A consultation report </w:t>
      </w:r>
      <w:r w:rsidR="00B84028" w:rsidRPr="00024CA0">
        <w:rPr>
          <w:rStyle w:val="normaltextrun"/>
          <w:rFonts w:cs="Arial"/>
        </w:rPr>
        <w:t xml:space="preserve">consolidating stakeholder feedback </w:t>
      </w:r>
      <w:r w:rsidRPr="00024CA0">
        <w:rPr>
          <w:rStyle w:val="normaltextrun"/>
          <w:rFonts w:cs="Arial"/>
        </w:rPr>
        <w:t>will also be published in early 2024.</w:t>
      </w:r>
    </w:p>
    <w:p w14:paraId="36065391" w14:textId="77777777" w:rsidR="000D0D9B" w:rsidRPr="00C91E95" w:rsidRDefault="000D0D9B" w:rsidP="005E0FF3">
      <w:pPr>
        <w:rPr>
          <w:rStyle w:val="normaltextrun"/>
          <w:rFonts w:cs="Arial"/>
        </w:rPr>
      </w:pPr>
    </w:p>
    <w:tbl>
      <w:tblPr>
        <w:tblStyle w:val="TableGrid"/>
        <w:tblpPr w:leftFromText="180" w:rightFromText="180" w:vertAnchor="text" w:horzAnchor="margin" w:tblpXSpec="right" w:tblpY="-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Have your say box"/>
        <w:tblDescription w:val="Submissions close at 5pm AEDT on 14 October 2022.&#10;Submissions can be:&#10;o Completed via the online questionnaire&#10;o Emailed to submissions.ihacpa@ihacpa.gov.au&#10;o Mailed to:&#10;PO Box 483&#10;Darlinghurst NSW 1300&#10;• All submissions will be published on the IHACPA website unless respondents specifically identify sections that they believe should be kept confidential due to commercial or other reasons.&#10;• The Pricing Framework for Australian Aged Care Services 2023–24 will be published in early 2023.&#10;Enquiries&#10;• Enquiries related to this consultation process should be sent to: submissions.ihacpa@ihacpa.gov.au"/>
      </w:tblPr>
      <w:tblGrid>
        <w:gridCol w:w="4159"/>
      </w:tblGrid>
      <w:tr w:rsidR="00F22C09" w14:paraId="6CEAE923" w14:textId="77777777" w:rsidTr="00A27D90">
        <w:trPr>
          <w:trHeight w:val="4387"/>
        </w:trPr>
        <w:tc>
          <w:tcPr>
            <w:tcW w:w="5000" w:type="pct"/>
            <w:shd w:val="clear" w:color="auto" w:fill="FAFAFA"/>
          </w:tcPr>
          <w:p w14:paraId="11420566" w14:textId="77777777" w:rsidR="00F22C09" w:rsidRPr="00C91E95" w:rsidRDefault="00F22C09" w:rsidP="00F22C09">
            <w:pPr>
              <w:pStyle w:val="Heading4"/>
              <w:framePr w:hSpace="0" w:wrap="auto" w:vAnchor="margin" w:hAnchor="text" w:yAlign="inline"/>
              <w:outlineLvl w:val="3"/>
            </w:pPr>
            <w:r w:rsidRPr="00C91E95">
              <w:rPr>
                <w:noProof/>
              </w:rPr>
              <w:drawing>
                <wp:anchor distT="0" distB="0" distL="114300" distR="114300" simplePos="0" relativeHeight="251651072" behindDoc="0" locked="0" layoutInCell="1" allowOverlap="1" wp14:anchorId="0AFEE6B1" wp14:editId="6FE4DB41">
                  <wp:simplePos x="0" y="0"/>
                  <wp:positionH relativeFrom="column">
                    <wp:posOffset>2540</wp:posOffset>
                  </wp:positionH>
                  <wp:positionV relativeFrom="paragraph">
                    <wp:posOffset>108362</wp:posOffset>
                  </wp:positionV>
                  <wp:extent cx="209550" cy="203200"/>
                  <wp:effectExtent l="0" t="0" r="0" b="6350"/>
                  <wp:wrapThrough wrapText="bothSides">
                    <wp:wrapPolygon edited="0">
                      <wp:start x="0" y="0"/>
                      <wp:lineTo x="0" y="20250"/>
                      <wp:lineTo x="19636" y="20250"/>
                      <wp:lineTo x="19636" y="0"/>
                      <wp:lineTo x="0" y="0"/>
                    </wp:wrapPolygon>
                  </wp:wrapThrough>
                  <wp:docPr id="117" name="Picture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anchor>
              </w:drawing>
            </w:r>
            <w:r w:rsidRPr="00C91E95">
              <w:t>Have your say</w:t>
            </w:r>
          </w:p>
          <w:p w14:paraId="2CD5E01D" w14:textId="357AF6BC" w:rsidR="00F22C09" w:rsidRPr="00024CA0" w:rsidRDefault="00F22C09" w:rsidP="00CB75AD">
            <w:pPr>
              <w:pStyle w:val="Bullets"/>
              <w:framePr w:hSpace="0" w:wrap="auto" w:vAnchor="margin" w:hAnchor="text" w:xAlign="left" w:yAlign="inline"/>
              <w:rPr>
                <w:sz w:val="18"/>
                <w:szCs w:val="18"/>
              </w:rPr>
            </w:pPr>
            <w:r w:rsidRPr="00024CA0">
              <w:rPr>
                <w:sz w:val="18"/>
                <w:szCs w:val="18"/>
              </w:rPr>
              <w:t>Submissions close at 5</w:t>
            </w:r>
            <w:r w:rsidR="00C9281E" w:rsidRPr="00024CA0">
              <w:rPr>
                <w:sz w:val="18"/>
                <w:szCs w:val="18"/>
              </w:rPr>
              <w:t>:00</w:t>
            </w:r>
            <w:r w:rsidRPr="00024CA0">
              <w:rPr>
                <w:sz w:val="18"/>
                <w:szCs w:val="18"/>
              </w:rPr>
              <w:t xml:space="preserve">pm AEST on </w:t>
            </w:r>
            <w:r w:rsidR="00EF3070">
              <w:rPr>
                <w:sz w:val="18"/>
                <w:szCs w:val="18"/>
              </w:rPr>
              <w:t>31</w:t>
            </w:r>
            <w:r w:rsidRPr="00024CA0">
              <w:rPr>
                <w:sz w:val="18"/>
                <w:szCs w:val="18"/>
              </w:rPr>
              <w:t> August 2023</w:t>
            </w:r>
          </w:p>
          <w:p w14:paraId="24038C02" w14:textId="77777777" w:rsidR="00F22C09" w:rsidRPr="00024CA0" w:rsidRDefault="00F22C09" w:rsidP="00CB75AD">
            <w:pPr>
              <w:pStyle w:val="Bullets"/>
              <w:framePr w:hSpace="0" w:wrap="auto" w:vAnchor="margin" w:hAnchor="text" w:xAlign="left" w:yAlign="inline"/>
              <w:rPr>
                <w:sz w:val="18"/>
                <w:szCs w:val="18"/>
              </w:rPr>
            </w:pPr>
            <w:r w:rsidRPr="00024CA0">
              <w:rPr>
                <w:sz w:val="18"/>
                <w:szCs w:val="18"/>
              </w:rPr>
              <w:t>Submissions can be:</w:t>
            </w:r>
          </w:p>
          <w:p w14:paraId="371EE98A" w14:textId="495858F9" w:rsidR="00F22C09" w:rsidRPr="00E85BFD" w:rsidRDefault="00383D22" w:rsidP="00CB75AD">
            <w:pPr>
              <w:pStyle w:val="BulletL2"/>
              <w:numPr>
                <w:ilvl w:val="0"/>
                <w:numId w:val="52"/>
              </w:numPr>
              <w:rPr>
                <w:rStyle w:val="Hyperlink"/>
                <w:color w:val="auto"/>
                <w:sz w:val="18"/>
                <w:szCs w:val="18"/>
                <w:u w:val="none"/>
              </w:rPr>
            </w:pPr>
            <w:r>
              <w:rPr>
                <w:sz w:val="18"/>
                <w:szCs w:val="18"/>
              </w:rPr>
              <w:t>c</w:t>
            </w:r>
            <w:r w:rsidR="00F22C09" w:rsidRPr="00024CA0">
              <w:rPr>
                <w:sz w:val="18"/>
                <w:szCs w:val="18"/>
              </w:rPr>
              <w:t xml:space="preserve">ompleted via the </w:t>
            </w:r>
            <w:hyperlink r:id="rId132" w:history="1">
              <w:r w:rsidR="00366303" w:rsidRPr="00C91E95">
                <w:rPr>
                  <w:rStyle w:val="Hyperlink"/>
                  <w:sz w:val="18"/>
                  <w:szCs w:val="18"/>
                </w:rPr>
                <w:t xml:space="preserve">online </w:t>
              </w:r>
              <w:r w:rsidR="00366303">
                <w:rPr>
                  <w:rStyle w:val="Hyperlink"/>
                  <w:sz w:val="18"/>
                  <w:szCs w:val="18"/>
                </w:rPr>
                <w:t>submission</w:t>
              </w:r>
            </w:hyperlink>
            <w:r w:rsidR="00366303">
              <w:rPr>
                <w:rStyle w:val="Hyperlink"/>
                <w:sz w:val="18"/>
                <w:szCs w:val="18"/>
              </w:rPr>
              <w:t xml:space="preserve"> form</w:t>
            </w:r>
          </w:p>
          <w:p w14:paraId="0E04B619" w14:textId="4419DCC2" w:rsidR="00366303" w:rsidRPr="00366303" w:rsidRDefault="00366303" w:rsidP="00CB75AD">
            <w:pPr>
              <w:pStyle w:val="BulletL2"/>
              <w:numPr>
                <w:ilvl w:val="0"/>
                <w:numId w:val="52"/>
              </w:numPr>
              <w:rPr>
                <w:sz w:val="18"/>
                <w:szCs w:val="18"/>
              </w:rPr>
            </w:pPr>
            <w:r w:rsidRPr="00366303">
              <w:rPr>
                <w:sz w:val="18"/>
                <w:szCs w:val="18"/>
              </w:rPr>
              <w:t>c</w:t>
            </w:r>
            <w:r w:rsidRPr="00E85BFD">
              <w:rPr>
                <w:sz w:val="18"/>
                <w:szCs w:val="18"/>
              </w:rPr>
              <w:t xml:space="preserve">ompleted via the </w:t>
            </w:r>
            <w:r w:rsidR="00EF3070">
              <w:rPr>
                <w:sz w:val="18"/>
                <w:szCs w:val="18"/>
              </w:rPr>
              <w:t>downloadable</w:t>
            </w:r>
            <w:r w:rsidRPr="00E85BFD">
              <w:rPr>
                <w:sz w:val="18"/>
                <w:szCs w:val="18"/>
              </w:rPr>
              <w:t xml:space="preserve"> </w:t>
            </w:r>
            <w:r w:rsidR="00EF3070">
              <w:rPr>
                <w:sz w:val="18"/>
                <w:szCs w:val="18"/>
              </w:rPr>
              <w:t xml:space="preserve">submission </w:t>
            </w:r>
            <w:r w:rsidRPr="00E85BFD">
              <w:rPr>
                <w:sz w:val="18"/>
                <w:szCs w:val="18"/>
              </w:rPr>
              <w:t>form</w:t>
            </w:r>
          </w:p>
          <w:p w14:paraId="54672202" w14:textId="06657FC1" w:rsidR="00DE3E44" w:rsidRPr="00024CA0" w:rsidRDefault="00383D22" w:rsidP="00CB75AD">
            <w:pPr>
              <w:pStyle w:val="BulletL2"/>
              <w:numPr>
                <w:ilvl w:val="0"/>
                <w:numId w:val="52"/>
              </w:numPr>
              <w:rPr>
                <w:sz w:val="18"/>
                <w:szCs w:val="18"/>
              </w:rPr>
            </w:pPr>
            <w:r>
              <w:rPr>
                <w:sz w:val="18"/>
                <w:szCs w:val="18"/>
              </w:rPr>
              <w:t>e</w:t>
            </w:r>
            <w:r w:rsidR="00F22C09" w:rsidRPr="00024CA0">
              <w:rPr>
                <w:sz w:val="18"/>
                <w:szCs w:val="18"/>
              </w:rPr>
              <w:t>mailed t</w:t>
            </w:r>
            <w:r w:rsidR="00DE3E44" w:rsidRPr="00024CA0">
              <w:rPr>
                <w:sz w:val="18"/>
                <w:szCs w:val="18"/>
              </w:rPr>
              <w:t>o</w:t>
            </w:r>
          </w:p>
          <w:p w14:paraId="37F2318B" w14:textId="57590CCF" w:rsidR="00F22C09" w:rsidRPr="00C91E95" w:rsidRDefault="00300E7A" w:rsidP="00A27D90">
            <w:pPr>
              <w:pStyle w:val="BulletL2"/>
              <w:numPr>
                <w:ilvl w:val="0"/>
                <w:numId w:val="0"/>
              </w:numPr>
              <w:ind w:left="700"/>
              <w:rPr>
                <w:sz w:val="18"/>
                <w:szCs w:val="18"/>
              </w:rPr>
            </w:pPr>
            <w:hyperlink r:id="rId133" w:history="1">
              <w:r w:rsidR="21A6F577" w:rsidRPr="00C91E95">
                <w:rPr>
                  <w:rStyle w:val="Hyperlink"/>
                  <w:sz w:val="18"/>
                  <w:szCs w:val="18"/>
                </w:rPr>
                <w:t>submissions.ihacpa@ihacpa.gov.au</w:t>
              </w:r>
            </w:hyperlink>
          </w:p>
          <w:p w14:paraId="6163763D" w14:textId="5B962FB3" w:rsidR="00F22C09" w:rsidRPr="00024CA0" w:rsidRDefault="00E560CC" w:rsidP="00CB75AD">
            <w:pPr>
              <w:pStyle w:val="BulletL2"/>
              <w:numPr>
                <w:ilvl w:val="0"/>
                <w:numId w:val="52"/>
              </w:numPr>
              <w:rPr>
                <w:sz w:val="18"/>
                <w:szCs w:val="18"/>
              </w:rPr>
            </w:pPr>
            <w:r>
              <w:rPr>
                <w:sz w:val="18"/>
                <w:szCs w:val="18"/>
              </w:rPr>
              <w:t>m</w:t>
            </w:r>
            <w:r w:rsidR="00F22C09" w:rsidRPr="00024CA0">
              <w:rPr>
                <w:sz w:val="18"/>
                <w:szCs w:val="18"/>
              </w:rPr>
              <w:t>ailed to:</w:t>
            </w:r>
            <w:r w:rsidR="00F22C09" w:rsidRPr="00024CA0">
              <w:rPr>
                <w:sz w:val="18"/>
                <w:szCs w:val="18"/>
              </w:rPr>
              <w:br/>
              <w:t>PO Box 483</w:t>
            </w:r>
            <w:r w:rsidR="00F22C09" w:rsidRPr="00024CA0">
              <w:rPr>
                <w:sz w:val="18"/>
                <w:szCs w:val="18"/>
              </w:rPr>
              <w:br/>
              <w:t>Darlinghurst NSW 1300</w:t>
            </w:r>
          </w:p>
          <w:p w14:paraId="3FBBECB5" w14:textId="0E4D38A5" w:rsidR="00F22C09" w:rsidRPr="00024CA0" w:rsidRDefault="00F22C09" w:rsidP="00CB75AD">
            <w:pPr>
              <w:pStyle w:val="Bullets"/>
              <w:framePr w:hSpace="0" w:wrap="auto" w:vAnchor="margin" w:hAnchor="text" w:xAlign="left" w:yAlign="inline"/>
              <w:rPr>
                <w:sz w:val="18"/>
                <w:szCs w:val="18"/>
              </w:rPr>
            </w:pPr>
            <w:r w:rsidRPr="00024CA0">
              <w:rPr>
                <w:sz w:val="18"/>
                <w:szCs w:val="18"/>
              </w:rPr>
              <w:t>All submissions will be published on the </w:t>
            </w:r>
            <w:hyperlink r:id="rId134">
              <w:r w:rsidRPr="00C91E95">
                <w:rPr>
                  <w:rStyle w:val="Hyperlink"/>
                  <w:sz w:val="18"/>
                  <w:szCs w:val="18"/>
                </w:rPr>
                <w:t>IHACPA website</w:t>
              </w:r>
            </w:hyperlink>
            <w:r w:rsidRPr="00C91E95">
              <w:rPr>
                <w:sz w:val="18"/>
                <w:szCs w:val="18"/>
              </w:rPr>
              <w:t xml:space="preserve"> </w:t>
            </w:r>
            <w:r w:rsidRPr="00024CA0">
              <w:rPr>
                <w:sz w:val="18"/>
                <w:szCs w:val="18"/>
              </w:rPr>
              <w:t>unless respondents specifically identify sections that they believe should be kept confidential due to commercial or other reasons</w:t>
            </w:r>
          </w:p>
          <w:p w14:paraId="2774C0D6" w14:textId="7869A76E" w:rsidR="00F22C09" w:rsidRPr="00024CA0" w:rsidRDefault="00F22C09" w:rsidP="00CB75AD">
            <w:pPr>
              <w:pStyle w:val="Bullets"/>
              <w:framePr w:hSpace="0" w:wrap="auto" w:vAnchor="margin" w:hAnchor="text" w:xAlign="left" w:yAlign="inline"/>
              <w:rPr>
                <w:sz w:val="18"/>
                <w:szCs w:val="18"/>
              </w:rPr>
            </w:pPr>
            <w:r w:rsidRPr="00024CA0">
              <w:rPr>
                <w:sz w:val="18"/>
                <w:szCs w:val="18"/>
              </w:rPr>
              <w:t xml:space="preserve">The Pricing Framework for Australian </w:t>
            </w:r>
            <w:r w:rsidR="009E7CE8">
              <w:rPr>
                <w:sz w:val="18"/>
                <w:szCs w:val="18"/>
              </w:rPr>
              <w:t xml:space="preserve">Residential </w:t>
            </w:r>
            <w:r w:rsidRPr="00024CA0">
              <w:rPr>
                <w:sz w:val="18"/>
                <w:szCs w:val="18"/>
              </w:rPr>
              <w:t>Aged Care Services 2024</w:t>
            </w:r>
            <w:r w:rsidRPr="00024CA0">
              <w:rPr>
                <w:rFonts w:cs="Arial" w:hint="cs"/>
                <w:sz w:val="18"/>
                <w:szCs w:val="18"/>
              </w:rPr>
              <w:t>–</w:t>
            </w:r>
            <w:r w:rsidRPr="00024CA0">
              <w:rPr>
                <w:sz w:val="18"/>
                <w:szCs w:val="18"/>
              </w:rPr>
              <w:t>25 will be published in early 2024.</w:t>
            </w:r>
          </w:p>
          <w:p w14:paraId="769F3B22" w14:textId="77777777" w:rsidR="006C242D" w:rsidRPr="00C91E95" w:rsidRDefault="006C242D" w:rsidP="00A27D90">
            <w:pPr>
              <w:pStyle w:val="Bullets"/>
              <w:framePr w:hSpace="0" w:wrap="auto" w:vAnchor="margin" w:hAnchor="text" w:xAlign="left" w:yAlign="inline"/>
              <w:numPr>
                <w:ilvl w:val="0"/>
                <w:numId w:val="0"/>
              </w:numPr>
              <w:ind w:left="283"/>
              <w:rPr>
                <w:sz w:val="18"/>
                <w:szCs w:val="18"/>
              </w:rPr>
            </w:pPr>
          </w:p>
          <w:p w14:paraId="4516867E" w14:textId="77777777" w:rsidR="00F22C09" w:rsidRPr="00C91E95" w:rsidRDefault="00F22C09" w:rsidP="00F22C09">
            <w:pPr>
              <w:pStyle w:val="Heading4"/>
              <w:framePr w:hSpace="0" w:wrap="auto" w:vAnchor="margin" w:hAnchor="text" w:yAlign="inline"/>
              <w:outlineLvl w:val="3"/>
              <w:rPr>
                <w:sz w:val="18"/>
                <w:szCs w:val="18"/>
              </w:rPr>
            </w:pPr>
            <w:r w:rsidRPr="00C91E95">
              <w:rPr>
                <w:noProof/>
                <w:sz w:val="18"/>
                <w:szCs w:val="18"/>
              </w:rPr>
              <w:drawing>
                <wp:anchor distT="0" distB="0" distL="114300" distR="114300" simplePos="0" relativeHeight="251653120" behindDoc="0" locked="0" layoutInCell="1" allowOverlap="1" wp14:anchorId="39BC4D57" wp14:editId="07EFDED9">
                  <wp:simplePos x="0" y="0"/>
                  <wp:positionH relativeFrom="column">
                    <wp:posOffset>2540</wp:posOffset>
                  </wp:positionH>
                  <wp:positionV relativeFrom="paragraph">
                    <wp:posOffset>29210</wp:posOffset>
                  </wp:positionV>
                  <wp:extent cx="209550" cy="203200"/>
                  <wp:effectExtent l="0" t="0" r="0" b="6350"/>
                  <wp:wrapThrough wrapText="bothSides">
                    <wp:wrapPolygon edited="0">
                      <wp:start x="0" y="0"/>
                      <wp:lineTo x="0" y="20250"/>
                      <wp:lineTo x="19636" y="20250"/>
                      <wp:lineTo x="19636" y="0"/>
                      <wp:lineTo x="0" y="0"/>
                    </wp:wrapPolygon>
                  </wp:wrapThrough>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anchor>
              </w:drawing>
            </w:r>
            <w:r w:rsidRPr="00C91E95">
              <w:rPr>
                <w:sz w:val="18"/>
                <w:szCs w:val="18"/>
              </w:rPr>
              <w:t>Enquiries</w:t>
            </w:r>
          </w:p>
          <w:p w14:paraId="0C3264D2" w14:textId="4382C471" w:rsidR="00F22C09" w:rsidRPr="00C91E95" w:rsidRDefault="00F22C09" w:rsidP="00CB75AD">
            <w:pPr>
              <w:pStyle w:val="Bullets"/>
              <w:framePr w:hSpace="0" w:wrap="auto" w:vAnchor="margin" w:hAnchor="text" w:xAlign="left" w:yAlign="inline"/>
              <w:rPr>
                <w:sz w:val="18"/>
                <w:szCs w:val="18"/>
              </w:rPr>
            </w:pPr>
            <w:r w:rsidRPr="00024CA0">
              <w:rPr>
                <w:sz w:val="18"/>
                <w:szCs w:val="18"/>
              </w:rPr>
              <w:t xml:space="preserve">Enquiries related to this consultation process should be sent to: </w:t>
            </w:r>
            <w:bookmarkStart w:id="80" w:name="_Hlk137761562"/>
            <w:bookmarkStart w:id="81" w:name="_Hlk137768955"/>
            <w:r w:rsidRPr="00C91E95">
              <w:fldChar w:fldCharType="begin"/>
            </w:r>
            <w:r w:rsidRPr="00C91E95">
              <w:rPr>
                <w:sz w:val="18"/>
                <w:szCs w:val="18"/>
              </w:rPr>
              <w:instrText xml:space="preserve"> HYPERLINK "mailto:submissions.ihacpa@ihacpa.gov.au" </w:instrText>
            </w:r>
            <w:r w:rsidRPr="00C91E95">
              <w:fldChar w:fldCharType="separate"/>
            </w:r>
            <w:r w:rsidRPr="00C91E95">
              <w:rPr>
                <w:rStyle w:val="Hyperlink"/>
                <w:rFonts w:cs="Arial"/>
                <w:sz w:val="18"/>
                <w:szCs w:val="18"/>
              </w:rPr>
              <w:t>submissions.ihacpa@ihacpa.gov.au</w:t>
            </w:r>
            <w:r w:rsidRPr="00C91E95">
              <w:rPr>
                <w:rStyle w:val="Hyperlink"/>
                <w:rFonts w:cs="Arial"/>
                <w:sz w:val="18"/>
                <w:szCs w:val="18"/>
              </w:rPr>
              <w:fldChar w:fldCharType="end"/>
            </w:r>
            <w:r w:rsidR="7E0CC9A7" w:rsidRPr="00C91E95">
              <w:rPr>
                <w:sz w:val="18"/>
                <w:szCs w:val="18"/>
              </w:rPr>
              <w:t>.</w:t>
            </w:r>
            <w:bookmarkEnd w:id="80"/>
          </w:p>
          <w:bookmarkEnd w:id="81"/>
          <w:p w14:paraId="045285FD" w14:textId="77777777" w:rsidR="00F22C09" w:rsidRDefault="00F22C09" w:rsidP="00F22C09">
            <w:pPr>
              <w:pStyle w:val="Body"/>
            </w:pPr>
          </w:p>
        </w:tc>
      </w:tr>
    </w:tbl>
    <w:p w14:paraId="11ABBF60" w14:textId="77777777" w:rsidR="00F22C09" w:rsidRDefault="00F22C09" w:rsidP="00F22C09">
      <w:pPr>
        <w:pStyle w:val="Body"/>
      </w:pPr>
    </w:p>
    <w:p w14:paraId="04D98604" w14:textId="77777777" w:rsidR="00F22C09" w:rsidRDefault="00F22C09" w:rsidP="00F22C09">
      <w:pPr>
        <w:pStyle w:val="Body"/>
      </w:pPr>
    </w:p>
    <w:p w14:paraId="0C12885F" w14:textId="77777777" w:rsidR="00F22C09" w:rsidRDefault="00F22C09" w:rsidP="00F22C09">
      <w:pPr>
        <w:pStyle w:val="Body"/>
      </w:pPr>
    </w:p>
    <w:p w14:paraId="50E0DAD5" w14:textId="77777777" w:rsidR="00F22C09" w:rsidRDefault="00F22C09" w:rsidP="005E0FF3">
      <w:pPr>
        <w:rPr>
          <w:rStyle w:val="normaltextrun"/>
          <w:rFonts w:cs="Arial"/>
        </w:rPr>
      </w:pPr>
    </w:p>
    <w:p w14:paraId="47E5C793" w14:textId="77777777" w:rsidR="00F22C09" w:rsidRDefault="00F22C09" w:rsidP="005E0FF3">
      <w:pPr>
        <w:rPr>
          <w:rStyle w:val="normaltextrun"/>
          <w:rFonts w:cs="Arial"/>
        </w:rPr>
      </w:pPr>
    </w:p>
    <w:p w14:paraId="3553AE7F" w14:textId="77777777" w:rsidR="00F22C09" w:rsidRDefault="00F22C09" w:rsidP="005E0FF3">
      <w:pPr>
        <w:rPr>
          <w:rStyle w:val="normaltextrun"/>
          <w:rFonts w:cs="Arial"/>
        </w:rPr>
      </w:pPr>
    </w:p>
    <w:p w14:paraId="780D7630" w14:textId="552631DC" w:rsidR="00F22C09" w:rsidRDefault="00F22C09" w:rsidP="005E0FF3">
      <w:pPr>
        <w:rPr>
          <w:rStyle w:val="normaltextrun"/>
          <w:rFonts w:cs="Arial"/>
        </w:rPr>
        <w:sectPr w:rsidR="00F22C09" w:rsidSect="000D0D9B">
          <w:headerReference w:type="even" r:id="rId135"/>
          <w:headerReference w:type="default" r:id="rId136"/>
          <w:headerReference w:type="first" r:id="rId137"/>
          <w:type w:val="continuous"/>
          <w:pgSz w:w="11906" w:h="16838" w:code="9"/>
          <w:pgMar w:top="1440" w:right="1440" w:bottom="1440" w:left="1440" w:header="708" w:footer="708" w:gutter="0"/>
          <w:cols w:num="2" w:space="708"/>
          <w:docGrid w:linePitch="360"/>
        </w:sectPr>
      </w:pPr>
    </w:p>
    <w:p w14:paraId="65870963" w14:textId="77777777" w:rsidR="000D0D9B" w:rsidRDefault="000D0D9B" w:rsidP="000D0D9B">
      <w:pPr>
        <w:sectPr w:rsidR="000D0D9B" w:rsidSect="00BF3B4C">
          <w:type w:val="continuous"/>
          <w:pgSz w:w="11906" w:h="16838" w:code="9"/>
          <w:pgMar w:top="851" w:right="1440" w:bottom="1440" w:left="1440" w:header="708" w:footer="708" w:gutter="0"/>
          <w:cols w:space="708"/>
          <w:docGrid w:linePitch="360"/>
        </w:sectPr>
      </w:pPr>
    </w:p>
    <w:p w14:paraId="087FFFAC" w14:textId="463AD058" w:rsidR="000D0D9B" w:rsidRPr="00050402" w:rsidRDefault="000D0D9B" w:rsidP="000D0D9B">
      <w:pPr>
        <w:pStyle w:val="ChapterNumber"/>
        <w:spacing w:before="960" w:after="960"/>
        <w:rPr>
          <w:color w:val="FFFFFF" w:themeColor="background1"/>
          <w:sz w:val="720"/>
          <w:szCs w:val="720"/>
        </w:rPr>
      </w:pPr>
      <w:r>
        <w:rPr>
          <w:noProof/>
          <w:color w:val="FFFFFF" w:themeColor="background1"/>
          <w:sz w:val="720"/>
          <w:szCs w:val="720"/>
        </w:rPr>
        <w:lastRenderedPageBreak/>
        <w:drawing>
          <wp:anchor distT="0" distB="0" distL="114300" distR="114300" simplePos="0" relativeHeight="251649024" behindDoc="0" locked="0" layoutInCell="1" allowOverlap="1" wp14:anchorId="43F16106" wp14:editId="5DF21682">
            <wp:simplePos x="0" y="0"/>
            <wp:positionH relativeFrom="column">
              <wp:posOffset>-902898</wp:posOffset>
            </wp:positionH>
            <wp:positionV relativeFrom="paragraph">
              <wp:posOffset>-610235</wp:posOffset>
            </wp:positionV>
            <wp:extent cx="7548659" cy="5151755"/>
            <wp:effectExtent l="0" t="0" r="0" b="0"/>
            <wp:wrapNone/>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48659" cy="515175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720"/>
          <w:szCs w:val="720"/>
        </w:rPr>
        <w:t>8</w:t>
      </w:r>
    </w:p>
    <w:p w14:paraId="318021C2" w14:textId="46685549" w:rsidR="000D0D9B" w:rsidRPr="00267F1F" w:rsidRDefault="000D0D9B" w:rsidP="000D0D9B">
      <w:pPr>
        <w:pStyle w:val="Heading1"/>
        <w:ind w:right="2505"/>
        <w:rPr>
          <w:color w:val="auto"/>
        </w:rPr>
      </w:pPr>
      <w:bookmarkStart w:id="82" w:name="_Toc137552827"/>
      <w:r w:rsidRPr="00267F1F">
        <w:rPr>
          <w:color w:val="auto"/>
        </w:rPr>
        <w:t>Appendix A: Consultation questions</w:t>
      </w:r>
      <w:bookmarkEnd w:id="82"/>
    </w:p>
    <w:p w14:paraId="1B9BD2C4" w14:textId="77777777" w:rsidR="000D0D9B" w:rsidRDefault="000D0D9B" w:rsidP="000D0D9B">
      <w:pPr>
        <w:sectPr w:rsidR="000D0D9B" w:rsidSect="00C9543A">
          <w:headerReference w:type="even" r:id="rId138"/>
          <w:headerReference w:type="default" r:id="rId139"/>
          <w:headerReference w:type="first" r:id="rId140"/>
          <w:pgSz w:w="11906" w:h="16838" w:code="9"/>
          <w:pgMar w:top="851" w:right="1440" w:bottom="1440" w:left="1440" w:header="708" w:footer="708" w:gutter="0"/>
          <w:cols w:space="708"/>
          <w:docGrid w:linePitch="360"/>
        </w:sectPr>
      </w:pPr>
    </w:p>
    <w:p w14:paraId="444B3CD8" w14:textId="77777777" w:rsidR="00EE1A03" w:rsidRDefault="00EE1A03" w:rsidP="00EE1A03">
      <w:pPr>
        <w:pStyle w:val="Body"/>
      </w:pPr>
    </w:p>
    <w:p w14:paraId="3FE934B4" w14:textId="0873C0AC" w:rsidR="00EE1A03" w:rsidRDefault="00EE1A03" w:rsidP="00EE1A03">
      <w:pPr>
        <w:pStyle w:val="Body"/>
        <w:sectPr w:rsidR="00EE1A03" w:rsidSect="00F4029B">
          <w:headerReference w:type="even" r:id="rId141"/>
          <w:headerReference w:type="default" r:id="rId142"/>
          <w:footerReference w:type="default" r:id="rId143"/>
          <w:headerReference w:type="first" r:id="rId144"/>
          <w:pgSz w:w="11906" w:h="16838" w:code="9"/>
          <w:pgMar w:top="2410" w:right="1440" w:bottom="1440" w:left="1440" w:header="568" w:footer="708" w:gutter="0"/>
          <w:cols w:space="708"/>
          <w:docGrid w:linePitch="360"/>
        </w:sectPr>
      </w:pPr>
    </w:p>
    <w:tbl>
      <w:tblPr>
        <w:tblStyle w:val="TableGrid"/>
        <w:tblW w:w="5000" w:type="pct"/>
        <w:tblLook w:val="04A0" w:firstRow="1" w:lastRow="0" w:firstColumn="1" w:lastColumn="0" w:noHBand="0" w:noVBand="1"/>
        <w:tblCaption w:val="Appendix A Consultation questions"/>
        <w:tblDescription w:val="Table with 19 rows. Row one: Questions | Page number&#10;1. Are there any significant barriers to pricing admitted subacute and non-acute care using AN-SNAP Version 5.0 for NEP24? Page number 11&#10;&#10;2. Are there any other areas in the AECC that IHACPA should consider as part of the classification refinement work program? Page number 12&#10;&#10;3. What clinical areas and/or structural features should IHACPA consider in the development of the EPD Short List Thirteenth Edition? Page number 12&#10;&#10;4. Are there any other proposed refinement areas for the Tier 2 Non-Admitted Services Classification for 2024–25? Page number 13&#10;&#10;5. Following three years of shadow pricing and the development of risk mitigation strategies to support the transition to ABF, are there any significant barriers to pricing community mental health care using AMHCC Version 1.0 for NEP24? Page number 14&#10;&#10;6. Are there any other measures that will assist in transitioning community mental health care from block funding to ABF for NEP24? Page number 14&#10;&#10;7. How did the COVID-19 pandemic response impact activity and cost data in 2021–22, such as through significant events like lockdowns, and how should these impacts be accounted for in the NEP and National Efficient Cost Determination’s for 2024–25? Page number 16&#10;&#10;8. For NEP24, what evidence is available regarding the clinical management of patients with a COVID-19 diagnosis, including patients in an ICU, to support retention of the:&#10;• COVID-19 treatment adjustment&#10;• temporary ICU measure for COVID-19 patients&#10;• temporary HAC and AHR measures for COVID-19 patients? Page number 17&#10;&#10;9. To inform the review of the ICU adjustment:&#10;• what available evidence demonstrates the underlying drivers of cost variation for complex ICUs? &#10;• what additional or alternative measures, other than mechanical ventilation hours, should IHACPA consider for inclusion in the eligibility criteria for a specified ICU? Page number 19&#10;&#10;10. To inform the review of the paediatric adjustment:&#10;• what available evidence demonstrates the underlying drivers of cost variation between specialised and non-specialised children’s hospitals? &#10;• what additional or alternative measures should IHACPA consider for inclusion in the eligibility criteria for a specialised children’s hospital? Page number 19&#10;&#10;11. To inform the NEP indexation methodology review, what alternative indices or metrics are publicly available and applicable at a national level, that demonstrate an evidence-based correlation between price inflation and cost increases in the delivery of Australian public hospital services? Additionally, what are the underlying drivers of cost growth contributing to these cost increases? Page number 20&#10;&#10;12. What potential risks should IHACPA consider in progressing price harmonisation of chemotherapy and dialysis for future NEP Determinations? Page number 20&#10;&#10;13. Are there any other public hospital services that are potential candidates for price weight harmonisation across settings? Page number 20&#10;&#10;14. To inform the NEC indexation methodology review, what alternative indices or metrics are publicly available and applicable at a national level, that demonstrate an evidence-based correlation between price inflation and cost increases in the expenditure of small rural hospitals, specialist metropolitan hospitals or block-funded services? Additionally, what are the underlying drivers of cost growth unique to these services?  Page number 25&#10;&#10;15. What assurance approaches should IHACPA consider, to ensure NHCDC data is prepared in line with the AHPCS, and that would reduce duplication of data reporting for states and territories? Page number 27&#10;&#10;16. Given virtual care is a broad and evolving space, what specific areas and care streams where virtual care is being delivered should IHACPA prioritise for further investigation to inform future data collection, classification and pricing refinement?    Page number 28&#10;&#10;17. Do jurisdictions have the capacity to submit cost data for activity reported under the emergency care virtual care data specifications?  Page number 28&#10;&#10;18. Are there any further comments you wish to provide to inform the development of the NEP and NEC Determinations for 2024–25?  Page number 39"/>
      </w:tblPr>
      <w:tblGrid>
        <w:gridCol w:w="469"/>
        <w:gridCol w:w="6838"/>
        <w:gridCol w:w="1709"/>
      </w:tblGrid>
      <w:tr w:rsidR="003F0B5B" w14:paraId="3743980D" w14:textId="77777777" w:rsidTr="00F96671">
        <w:trPr>
          <w:cantSplit/>
        </w:trPr>
        <w:tc>
          <w:tcPr>
            <w:tcW w:w="4052" w:type="pct"/>
            <w:gridSpan w:val="2"/>
            <w:shd w:val="clear" w:color="auto" w:fill="104F99" w:themeFill="accent1"/>
          </w:tcPr>
          <w:p w14:paraId="5994498A" w14:textId="2A04536D" w:rsidR="003F0B5B" w:rsidRPr="003F0B5B" w:rsidRDefault="003F0B5B" w:rsidP="003F0B5B">
            <w:pPr>
              <w:pStyle w:val="TableParagraph"/>
              <w:spacing w:before="120" w:after="120"/>
              <w:ind w:left="51"/>
              <w:rPr>
                <w:b/>
                <w:bCs/>
              </w:rPr>
            </w:pPr>
            <w:bookmarkStart w:id="83" w:name="_Hlk135744147"/>
            <w:r w:rsidRPr="003F0B5B">
              <w:rPr>
                <w:b/>
                <w:bCs/>
                <w:color w:val="FFFFFF" w:themeColor="background1"/>
              </w:rPr>
              <w:t>Question</w:t>
            </w:r>
          </w:p>
        </w:tc>
        <w:tc>
          <w:tcPr>
            <w:tcW w:w="948" w:type="pct"/>
            <w:shd w:val="clear" w:color="auto" w:fill="104F99" w:themeFill="accent1"/>
          </w:tcPr>
          <w:p w14:paraId="28D6107F" w14:textId="4025E153" w:rsidR="003F0B5B" w:rsidRDefault="003F0B5B" w:rsidP="003F0B5B">
            <w:pPr>
              <w:pStyle w:val="TableParagraph"/>
              <w:spacing w:before="120" w:after="120"/>
              <w:ind w:left="51"/>
            </w:pPr>
            <w:r w:rsidRPr="003F0B5B">
              <w:rPr>
                <w:b/>
                <w:bCs/>
                <w:color w:val="FFFFFF" w:themeColor="background1"/>
              </w:rPr>
              <w:t>Page</w:t>
            </w:r>
          </w:p>
        </w:tc>
      </w:tr>
      <w:tr w:rsidR="000D0D9B" w14:paraId="32111C21" w14:textId="77777777" w:rsidTr="00F96671">
        <w:trPr>
          <w:cantSplit/>
          <w:trHeight w:val="598"/>
        </w:trPr>
        <w:tc>
          <w:tcPr>
            <w:tcW w:w="260" w:type="pct"/>
          </w:tcPr>
          <w:p w14:paraId="372D023D" w14:textId="78AC9485" w:rsidR="000D0D9B" w:rsidRPr="006152BA" w:rsidRDefault="000D0D9B" w:rsidP="000D0D9B">
            <w:pPr>
              <w:pStyle w:val="TableParagraph"/>
              <w:spacing w:before="120" w:after="120"/>
              <w:ind w:left="51"/>
              <w:rPr>
                <w:color w:val="000000"/>
              </w:rPr>
            </w:pPr>
            <w:r w:rsidRPr="006152BA">
              <w:rPr>
                <w:color w:val="000000"/>
              </w:rPr>
              <w:t>1</w:t>
            </w:r>
          </w:p>
        </w:tc>
        <w:tc>
          <w:tcPr>
            <w:tcW w:w="3792" w:type="pct"/>
          </w:tcPr>
          <w:p w14:paraId="54BBBDFE" w14:textId="118C6FB5" w:rsidR="000D0D9B" w:rsidRPr="006152BA" w:rsidRDefault="000D0D9B" w:rsidP="00E560CC">
            <w:pPr>
              <w:pStyle w:val="TableParagraph"/>
              <w:spacing w:before="120" w:after="120"/>
              <w:ind w:left="51"/>
              <w:rPr>
                <w:color w:val="000000"/>
              </w:rPr>
            </w:pPr>
            <w:r w:rsidRPr="006152BA">
              <w:rPr>
                <w:color w:val="000000"/>
              </w:rPr>
              <w:t xml:space="preserve">What, if any, changes do you suggest </w:t>
            </w:r>
            <w:r w:rsidR="00045CC2" w:rsidRPr="006152BA">
              <w:rPr>
                <w:color w:val="000000"/>
              </w:rPr>
              <w:t xml:space="preserve">the </w:t>
            </w:r>
            <w:r w:rsidR="006358A7" w:rsidRPr="006152BA">
              <w:rPr>
                <w:color w:val="000000"/>
              </w:rPr>
              <w:t>I</w:t>
            </w:r>
            <w:r w:rsidR="00680754" w:rsidRPr="006152BA">
              <w:rPr>
                <w:color w:val="000000"/>
              </w:rPr>
              <w:t>ndependent Health and Aged Care Pricing Authority (</w:t>
            </w:r>
            <w:r w:rsidR="006358A7" w:rsidRPr="006152BA">
              <w:rPr>
                <w:color w:val="000000"/>
              </w:rPr>
              <w:t>I</w:t>
            </w:r>
            <w:r w:rsidRPr="006152BA">
              <w:rPr>
                <w:color w:val="000000"/>
              </w:rPr>
              <w:t>HACPA</w:t>
            </w:r>
            <w:r w:rsidR="006358A7" w:rsidRPr="006152BA">
              <w:rPr>
                <w:color w:val="000000"/>
              </w:rPr>
              <w:t>)</w:t>
            </w:r>
            <w:r w:rsidRPr="006152BA">
              <w:rPr>
                <w:color w:val="000000"/>
              </w:rPr>
              <w:t xml:space="preserve"> consider for the residential aged care pricing principles? </w:t>
            </w:r>
          </w:p>
        </w:tc>
        <w:tc>
          <w:tcPr>
            <w:tcW w:w="948" w:type="pct"/>
          </w:tcPr>
          <w:p w14:paraId="41749F53" w14:textId="36D79C43" w:rsidR="000D0D9B" w:rsidRPr="006152BA" w:rsidRDefault="007C6878" w:rsidP="00F96671">
            <w:pPr>
              <w:pStyle w:val="TableParagraph"/>
              <w:spacing w:before="120" w:after="120"/>
              <w:ind w:left="51"/>
              <w:jc w:val="center"/>
              <w:rPr>
                <w:color w:val="000000"/>
              </w:rPr>
            </w:pPr>
            <w:r w:rsidRPr="006152BA">
              <w:rPr>
                <w:color w:val="000000"/>
              </w:rPr>
              <w:t>10</w:t>
            </w:r>
          </w:p>
        </w:tc>
      </w:tr>
      <w:tr w:rsidR="007C6878" w14:paraId="45D101E6" w14:textId="77777777" w:rsidTr="00F96671">
        <w:trPr>
          <w:cantSplit/>
        </w:trPr>
        <w:tc>
          <w:tcPr>
            <w:tcW w:w="260" w:type="pct"/>
          </w:tcPr>
          <w:p w14:paraId="1C6F081C" w14:textId="7E42BF40" w:rsidR="007C6878" w:rsidRPr="006152BA" w:rsidRDefault="007C6878" w:rsidP="000D0D9B">
            <w:pPr>
              <w:pStyle w:val="TableParagraph"/>
              <w:spacing w:before="120" w:after="120"/>
              <w:ind w:left="51"/>
              <w:rPr>
                <w:color w:val="000000"/>
              </w:rPr>
            </w:pPr>
            <w:r w:rsidRPr="006152BA">
              <w:rPr>
                <w:color w:val="000000"/>
              </w:rPr>
              <w:t>2</w:t>
            </w:r>
          </w:p>
        </w:tc>
        <w:tc>
          <w:tcPr>
            <w:tcW w:w="3792" w:type="pct"/>
          </w:tcPr>
          <w:p w14:paraId="6A96D357" w14:textId="5D5A254B" w:rsidR="007C6878" w:rsidRPr="006152BA" w:rsidRDefault="007C6878" w:rsidP="00E560CC">
            <w:pPr>
              <w:pStyle w:val="TableParagraph"/>
              <w:spacing w:before="120" w:after="120"/>
              <w:ind w:left="51"/>
              <w:rPr>
                <w:color w:val="000000"/>
              </w:rPr>
            </w:pPr>
            <w:r w:rsidRPr="006152BA">
              <w:rPr>
                <w:color w:val="000000"/>
              </w:rPr>
              <w:t>Do the current Australian National Aged Care Classification (AN-ACC) classes group residents in a manner that is relevant to both care and resource utilisation? (</w:t>
            </w:r>
            <w:proofErr w:type="gramStart"/>
            <w:r w:rsidR="00236B49">
              <w:rPr>
                <w:color w:val="000000"/>
              </w:rPr>
              <w:t>that</w:t>
            </w:r>
            <w:proofErr w:type="gramEnd"/>
            <w:r w:rsidR="00236B49">
              <w:rPr>
                <w:color w:val="000000"/>
              </w:rPr>
              <w:t xml:space="preserve"> is,</w:t>
            </w:r>
            <w:r w:rsidRPr="006152BA">
              <w:rPr>
                <w:color w:val="000000"/>
              </w:rPr>
              <w:t xml:space="preserve"> require the same degree of resources to support their care delivery). What evidence is there to support your answer?</w:t>
            </w:r>
          </w:p>
        </w:tc>
        <w:tc>
          <w:tcPr>
            <w:tcW w:w="948" w:type="pct"/>
          </w:tcPr>
          <w:p w14:paraId="3736A126" w14:textId="44801B7E" w:rsidR="007C6878" w:rsidRPr="006152BA" w:rsidRDefault="007C6878" w:rsidP="00F96671">
            <w:pPr>
              <w:pStyle w:val="TableParagraph"/>
              <w:spacing w:before="120" w:after="120"/>
              <w:jc w:val="center"/>
              <w:rPr>
                <w:color w:val="000000"/>
              </w:rPr>
            </w:pPr>
            <w:r w:rsidRPr="006152BA">
              <w:rPr>
                <w:color w:val="000000"/>
              </w:rPr>
              <w:t>14</w:t>
            </w:r>
          </w:p>
        </w:tc>
      </w:tr>
      <w:tr w:rsidR="000D0D9B" w14:paraId="06240C9B" w14:textId="77777777" w:rsidTr="00F96671">
        <w:trPr>
          <w:cantSplit/>
        </w:trPr>
        <w:tc>
          <w:tcPr>
            <w:tcW w:w="260" w:type="pct"/>
          </w:tcPr>
          <w:p w14:paraId="5570E3D2" w14:textId="08928205" w:rsidR="000D0D9B" w:rsidRPr="006152BA" w:rsidRDefault="007C6878" w:rsidP="000D0D9B">
            <w:pPr>
              <w:pStyle w:val="TableParagraph"/>
              <w:spacing w:before="120" w:after="120"/>
              <w:ind w:left="51"/>
              <w:rPr>
                <w:color w:val="000000"/>
              </w:rPr>
            </w:pPr>
            <w:r w:rsidRPr="006152BA">
              <w:rPr>
                <w:color w:val="000000"/>
              </w:rPr>
              <w:t>3</w:t>
            </w:r>
          </w:p>
        </w:tc>
        <w:tc>
          <w:tcPr>
            <w:tcW w:w="3792" w:type="pct"/>
          </w:tcPr>
          <w:p w14:paraId="66E0D437" w14:textId="4884231A" w:rsidR="000D0D9B" w:rsidRPr="006152BA" w:rsidRDefault="000D0D9B" w:rsidP="00E560CC">
            <w:pPr>
              <w:pStyle w:val="TableParagraph"/>
              <w:spacing w:before="120" w:after="120"/>
              <w:ind w:left="51"/>
              <w:rPr>
                <w:color w:val="000000"/>
              </w:rPr>
            </w:pPr>
            <w:r w:rsidRPr="006152BA">
              <w:rPr>
                <w:color w:val="000000"/>
              </w:rPr>
              <w:t>What, if any, factors should IHACPA consider in</w:t>
            </w:r>
            <w:r w:rsidR="003107EC" w:rsidRPr="006152BA">
              <w:rPr>
                <w:color w:val="000000"/>
              </w:rPr>
              <w:t xml:space="preserve"> future reviews </w:t>
            </w:r>
            <w:r w:rsidRPr="006152BA">
              <w:rPr>
                <w:color w:val="000000"/>
              </w:rPr>
              <w:t>of the AN-ACC classes?</w:t>
            </w:r>
          </w:p>
        </w:tc>
        <w:tc>
          <w:tcPr>
            <w:tcW w:w="948" w:type="pct"/>
          </w:tcPr>
          <w:p w14:paraId="5A3A3585" w14:textId="77B63171" w:rsidR="000D0D9B" w:rsidRPr="006152BA" w:rsidRDefault="007C6878" w:rsidP="00F96671">
            <w:pPr>
              <w:pStyle w:val="TableParagraph"/>
              <w:spacing w:before="120" w:after="120"/>
              <w:jc w:val="center"/>
              <w:rPr>
                <w:color w:val="000000"/>
              </w:rPr>
            </w:pPr>
            <w:r w:rsidRPr="006152BA">
              <w:rPr>
                <w:color w:val="000000"/>
              </w:rPr>
              <w:t>14</w:t>
            </w:r>
          </w:p>
        </w:tc>
      </w:tr>
      <w:tr w:rsidR="00F96671" w14:paraId="054E78C0" w14:textId="77777777" w:rsidTr="00F96671">
        <w:trPr>
          <w:cantSplit/>
        </w:trPr>
        <w:tc>
          <w:tcPr>
            <w:tcW w:w="260" w:type="pct"/>
          </w:tcPr>
          <w:p w14:paraId="1423FDFF" w14:textId="2E7B150C" w:rsidR="00F96671" w:rsidRPr="006152BA" w:rsidRDefault="00F96671" w:rsidP="000D0D9B">
            <w:pPr>
              <w:pStyle w:val="TableParagraph"/>
              <w:spacing w:before="120" w:after="120"/>
              <w:ind w:left="51"/>
              <w:rPr>
                <w:color w:val="000000"/>
              </w:rPr>
            </w:pPr>
            <w:r w:rsidRPr="006152BA">
              <w:rPr>
                <w:color w:val="000000"/>
              </w:rPr>
              <w:t>4</w:t>
            </w:r>
          </w:p>
        </w:tc>
        <w:tc>
          <w:tcPr>
            <w:tcW w:w="3792" w:type="pct"/>
          </w:tcPr>
          <w:p w14:paraId="43D3E58B" w14:textId="7AA0222B" w:rsidR="00F96671" w:rsidRPr="006152BA" w:rsidRDefault="00F96671" w:rsidP="00E560CC">
            <w:pPr>
              <w:pStyle w:val="TableParagraph"/>
              <w:spacing w:before="120" w:after="120"/>
              <w:ind w:left="51"/>
              <w:rPr>
                <w:color w:val="000000"/>
              </w:rPr>
            </w:pPr>
            <w:r w:rsidRPr="006152BA">
              <w:rPr>
                <w:color w:val="000000"/>
              </w:rPr>
              <w:t xml:space="preserve">Are there any other legitimate or unavoidable costs associated with a permanent resident’s stage of care? </w:t>
            </w:r>
            <w:r w:rsidR="00236B49">
              <w:rPr>
                <w:color w:val="000000"/>
              </w:rPr>
              <w:t>For example,</w:t>
            </w:r>
            <w:r w:rsidR="00236B49" w:rsidRPr="006152BA">
              <w:rPr>
                <w:color w:val="000000"/>
              </w:rPr>
              <w:t xml:space="preserve"> </w:t>
            </w:r>
            <w:r w:rsidRPr="006152BA">
              <w:rPr>
                <w:color w:val="000000"/>
              </w:rPr>
              <w:t>entry into or departure from a service.</w:t>
            </w:r>
          </w:p>
        </w:tc>
        <w:tc>
          <w:tcPr>
            <w:tcW w:w="948" w:type="pct"/>
          </w:tcPr>
          <w:p w14:paraId="3319F165" w14:textId="75D79B44" w:rsidR="00F96671" w:rsidRPr="006152BA" w:rsidRDefault="00F96671" w:rsidP="00F96671">
            <w:pPr>
              <w:pStyle w:val="TableParagraph"/>
              <w:spacing w:before="120" w:after="120"/>
              <w:ind w:left="51"/>
              <w:jc w:val="center"/>
              <w:rPr>
                <w:color w:val="000000"/>
              </w:rPr>
            </w:pPr>
            <w:r w:rsidRPr="006152BA">
              <w:rPr>
                <w:color w:val="000000"/>
              </w:rPr>
              <w:t>16</w:t>
            </w:r>
          </w:p>
        </w:tc>
      </w:tr>
      <w:tr w:rsidR="00F96671" w14:paraId="500E6156" w14:textId="77777777" w:rsidTr="00F96671">
        <w:trPr>
          <w:cantSplit/>
        </w:trPr>
        <w:tc>
          <w:tcPr>
            <w:tcW w:w="260" w:type="pct"/>
          </w:tcPr>
          <w:p w14:paraId="0AA621AA" w14:textId="24937FF8" w:rsidR="00F96671" w:rsidRPr="006152BA" w:rsidRDefault="00F96671" w:rsidP="00642B16">
            <w:pPr>
              <w:pStyle w:val="TableParagraph"/>
              <w:spacing w:before="120" w:after="120"/>
              <w:ind w:left="51"/>
              <w:rPr>
                <w:color w:val="000000"/>
              </w:rPr>
            </w:pPr>
            <w:r w:rsidRPr="006152BA">
              <w:rPr>
                <w:color w:val="000000"/>
              </w:rPr>
              <w:t>5</w:t>
            </w:r>
          </w:p>
        </w:tc>
        <w:tc>
          <w:tcPr>
            <w:tcW w:w="3792" w:type="pct"/>
          </w:tcPr>
          <w:p w14:paraId="22663DDE" w14:textId="109F4FF3" w:rsidR="00F96671" w:rsidRPr="006152BA" w:rsidRDefault="00F96671" w:rsidP="00E560CC">
            <w:pPr>
              <w:pStyle w:val="TableParagraph"/>
              <w:spacing w:before="120" w:after="120"/>
              <w:ind w:left="51"/>
              <w:rPr>
                <w:color w:val="000000"/>
              </w:rPr>
            </w:pPr>
            <w:r w:rsidRPr="006152BA">
              <w:rPr>
                <w:color w:val="000000"/>
              </w:rPr>
              <w:t>Are there any other legitimate or unavoidable costs associated with a respite resident’s stage of care? What evidence is there to support your answer?</w:t>
            </w:r>
          </w:p>
        </w:tc>
        <w:tc>
          <w:tcPr>
            <w:tcW w:w="948" w:type="pct"/>
          </w:tcPr>
          <w:p w14:paraId="47602F96" w14:textId="458ABA11" w:rsidR="00F96671" w:rsidRPr="006152BA" w:rsidRDefault="00F96671" w:rsidP="00F96671">
            <w:pPr>
              <w:pStyle w:val="TableParagraph"/>
              <w:spacing w:before="120" w:after="120"/>
              <w:ind w:left="51"/>
              <w:jc w:val="center"/>
              <w:rPr>
                <w:color w:val="000000"/>
              </w:rPr>
            </w:pPr>
            <w:r w:rsidRPr="006152BA">
              <w:rPr>
                <w:color w:val="000000"/>
              </w:rPr>
              <w:t>17</w:t>
            </w:r>
          </w:p>
        </w:tc>
      </w:tr>
      <w:tr w:rsidR="000D0D9B" w14:paraId="004FD367" w14:textId="1562FADF" w:rsidTr="00F96671">
        <w:trPr>
          <w:cantSplit/>
        </w:trPr>
        <w:tc>
          <w:tcPr>
            <w:tcW w:w="260" w:type="pct"/>
          </w:tcPr>
          <w:p w14:paraId="59786919" w14:textId="4E2C3EC7" w:rsidR="000D0D9B" w:rsidRPr="006152BA" w:rsidRDefault="00F96671" w:rsidP="000D0D9B">
            <w:pPr>
              <w:pStyle w:val="TableParagraph"/>
              <w:spacing w:before="120" w:after="120"/>
              <w:ind w:left="51"/>
              <w:rPr>
                <w:color w:val="000000"/>
              </w:rPr>
            </w:pPr>
            <w:r w:rsidRPr="006152BA">
              <w:rPr>
                <w:color w:val="000000"/>
              </w:rPr>
              <w:t>6</w:t>
            </w:r>
          </w:p>
        </w:tc>
        <w:tc>
          <w:tcPr>
            <w:tcW w:w="3792" w:type="pct"/>
          </w:tcPr>
          <w:p w14:paraId="7B64D260" w14:textId="7B817414" w:rsidR="000D0D9B" w:rsidRPr="006152BA" w:rsidRDefault="00D060B1" w:rsidP="00E560CC">
            <w:pPr>
              <w:pStyle w:val="TableParagraph"/>
              <w:spacing w:before="120" w:after="120"/>
              <w:ind w:left="51"/>
              <w:rPr>
                <w:color w:val="000000"/>
              </w:rPr>
            </w:pPr>
            <w:r w:rsidRPr="006152BA">
              <w:rPr>
                <w:color w:val="000000"/>
              </w:rPr>
              <w:t>What, if any, considerations should IHACPA seek to review in its indexation methodology for its residential aged care pricing advice?</w:t>
            </w:r>
          </w:p>
        </w:tc>
        <w:tc>
          <w:tcPr>
            <w:tcW w:w="948" w:type="pct"/>
          </w:tcPr>
          <w:p w14:paraId="65E79519" w14:textId="1AB4AA03" w:rsidR="000D0D9B" w:rsidRPr="006152BA" w:rsidRDefault="00F96671" w:rsidP="00F96671">
            <w:pPr>
              <w:pStyle w:val="TableParagraph"/>
              <w:spacing w:before="120" w:after="120"/>
              <w:ind w:left="51"/>
              <w:jc w:val="center"/>
              <w:rPr>
                <w:color w:val="000000"/>
              </w:rPr>
            </w:pPr>
            <w:r w:rsidRPr="006152BA">
              <w:rPr>
                <w:color w:val="000000"/>
              </w:rPr>
              <w:t>20</w:t>
            </w:r>
          </w:p>
        </w:tc>
      </w:tr>
      <w:tr w:rsidR="000D0D9B" w14:paraId="187E450D" w14:textId="77777777" w:rsidTr="00F96671">
        <w:trPr>
          <w:cantSplit/>
        </w:trPr>
        <w:tc>
          <w:tcPr>
            <w:tcW w:w="260" w:type="pct"/>
          </w:tcPr>
          <w:p w14:paraId="116DB870" w14:textId="69921B96" w:rsidR="000D0D9B" w:rsidRPr="006152BA" w:rsidRDefault="00F96671" w:rsidP="000D0D9B">
            <w:pPr>
              <w:pStyle w:val="TableParagraph"/>
              <w:spacing w:before="120" w:after="120"/>
              <w:ind w:left="51"/>
              <w:rPr>
                <w:color w:val="000000"/>
              </w:rPr>
            </w:pPr>
            <w:r w:rsidRPr="006152BA">
              <w:rPr>
                <w:color w:val="000000"/>
              </w:rPr>
              <w:t>7</w:t>
            </w:r>
          </w:p>
        </w:tc>
        <w:tc>
          <w:tcPr>
            <w:tcW w:w="3792" w:type="pct"/>
          </w:tcPr>
          <w:p w14:paraId="39496600" w14:textId="1271356F" w:rsidR="000D0D9B" w:rsidRPr="006152BA" w:rsidRDefault="000D0D9B" w:rsidP="00E560CC">
            <w:pPr>
              <w:pStyle w:val="TableParagraph"/>
              <w:spacing w:before="120" w:after="120"/>
              <w:ind w:left="51"/>
              <w:rPr>
                <w:color w:val="000000"/>
              </w:rPr>
            </w:pPr>
            <w:r w:rsidRPr="006152BA">
              <w:rPr>
                <w:color w:val="000000"/>
              </w:rPr>
              <w:t>What, if any, additional cost variations are associated with the provision of care to residents who require specialised services?</w:t>
            </w:r>
            <w:r w:rsidR="003107EC" w:rsidRPr="006152BA">
              <w:rPr>
                <w:color w:val="000000"/>
              </w:rPr>
              <w:t xml:space="preserve"> What</w:t>
            </w:r>
            <w:r w:rsidR="00F96671" w:rsidRPr="006152BA">
              <w:rPr>
                <w:color w:val="000000"/>
              </w:rPr>
              <w:t xml:space="preserve"> </w:t>
            </w:r>
            <w:r w:rsidR="003107EC" w:rsidRPr="006152BA">
              <w:rPr>
                <w:color w:val="000000"/>
              </w:rPr>
              <w:t>evidence is there to support this?</w:t>
            </w:r>
          </w:p>
        </w:tc>
        <w:tc>
          <w:tcPr>
            <w:tcW w:w="948" w:type="pct"/>
          </w:tcPr>
          <w:p w14:paraId="4FDAD084" w14:textId="1C56EB61" w:rsidR="000D0D9B" w:rsidRPr="006152BA" w:rsidRDefault="00F96671" w:rsidP="00F96671">
            <w:pPr>
              <w:pStyle w:val="TableParagraph"/>
              <w:spacing w:before="120" w:after="120"/>
              <w:ind w:left="51"/>
              <w:jc w:val="center"/>
              <w:rPr>
                <w:color w:val="000000"/>
              </w:rPr>
            </w:pPr>
            <w:r w:rsidRPr="006152BA">
              <w:rPr>
                <w:color w:val="000000"/>
              </w:rPr>
              <w:t>23</w:t>
            </w:r>
          </w:p>
        </w:tc>
      </w:tr>
      <w:tr w:rsidR="000D0D9B" w14:paraId="583A8FB9" w14:textId="77777777" w:rsidTr="00F96671">
        <w:trPr>
          <w:cantSplit/>
        </w:trPr>
        <w:tc>
          <w:tcPr>
            <w:tcW w:w="260" w:type="pct"/>
          </w:tcPr>
          <w:p w14:paraId="1778EF91" w14:textId="60B774C4" w:rsidR="000D0D9B" w:rsidRPr="006152BA" w:rsidRDefault="009D5949" w:rsidP="000D0D9B">
            <w:pPr>
              <w:pStyle w:val="TableParagraph"/>
              <w:spacing w:before="120" w:after="120"/>
              <w:ind w:left="51"/>
              <w:rPr>
                <w:color w:val="000000"/>
              </w:rPr>
            </w:pPr>
            <w:r w:rsidRPr="006152BA">
              <w:rPr>
                <w:color w:val="000000"/>
              </w:rPr>
              <w:t>8</w:t>
            </w:r>
          </w:p>
        </w:tc>
        <w:tc>
          <w:tcPr>
            <w:tcW w:w="3792" w:type="pct"/>
          </w:tcPr>
          <w:p w14:paraId="158B5430" w14:textId="6C81C814" w:rsidR="000D0D9B" w:rsidRPr="006152BA" w:rsidRDefault="00E560CC" w:rsidP="00E560CC">
            <w:pPr>
              <w:pStyle w:val="TableParagraph"/>
              <w:spacing w:before="120" w:after="120"/>
              <w:ind w:left="51"/>
              <w:rPr>
                <w:color w:val="000000"/>
              </w:rPr>
            </w:pPr>
            <w:r w:rsidRPr="00E560CC">
              <w:rPr>
                <w:color w:val="000000"/>
              </w:rPr>
              <w:t xml:space="preserve">What, if any, care-related costs are impacted by service location that are not currently addressed in the </w:t>
            </w:r>
            <w:r w:rsidR="00777F2C" w:rsidRPr="00E85BFD">
              <w:rPr>
                <w:rStyle w:val="normaltextrun"/>
                <w:rFonts w:cs="Arial"/>
                <w:color w:val="auto"/>
              </w:rPr>
              <w:t>Base Care Tariffs (</w:t>
            </w:r>
            <w:r w:rsidRPr="00E560CC">
              <w:rPr>
                <w:color w:val="000000"/>
              </w:rPr>
              <w:t>BCT</w:t>
            </w:r>
            <w:r w:rsidR="00777F2C">
              <w:rPr>
                <w:color w:val="000000"/>
              </w:rPr>
              <w:t>)</w:t>
            </w:r>
            <w:r w:rsidRPr="00E560CC">
              <w:rPr>
                <w:color w:val="000000"/>
              </w:rPr>
              <w:t xml:space="preserve"> weighting?</w:t>
            </w:r>
          </w:p>
        </w:tc>
        <w:tc>
          <w:tcPr>
            <w:tcW w:w="948" w:type="pct"/>
          </w:tcPr>
          <w:p w14:paraId="1D2965FE" w14:textId="181ECE77" w:rsidR="000D0D9B" w:rsidRPr="006152BA" w:rsidRDefault="009D5949" w:rsidP="009D5949">
            <w:pPr>
              <w:pStyle w:val="TableParagraph"/>
              <w:spacing w:before="120" w:after="120"/>
              <w:ind w:left="51"/>
              <w:jc w:val="center"/>
              <w:rPr>
                <w:color w:val="000000"/>
              </w:rPr>
            </w:pPr>
            <w:r w:rsidRPr="006152BA">
              <w:rPr>
                <w:color w:val="000000"/>
              </w:rPr>
              <w:t>23</w:t>
            </w:r>
          </w:p>
        </w:tc>
      </w:tr>
      <w:tr w:rsidR="000D0D9B" w14:paraId="0E324DD4" w14:textId="77777777" w:rsidTr="00F96671">
        <w:trPr>
          <w:cantSplit/>
        </w:trPr>
        <w:tc>
          <w:tcPr>
            <w:tcW w:w="260" w:type="pct"/>
          </w:tcPr>
          <w:p w14:paraId="4A25B11D" w14:textId="71856C9F" w:rsidR="000D0D9B" w:rsidRPr="006152BA" w:rsidRDefault="009D5949" w:rsidP="000D0D9B">
            <w:pPr>
              <w:pStyle w:val="TableParagraph"/>
              <w:spacing w:before="120" w:after="120"/>
              <w:ind w:left="51"/>
              <w:rPr>
                <w:color w:val="000000"/>
              </w:rPr>
            </w:pPr>
            <w:r w:rsidRPr="006152BA">
              <w:rPr>
                <w:color w:val="000000"/>
              </w:rPr>
              <w:t>9</w:t>
            </w:r>
          </w:p>
        </w:tc>
        <w:tc>
          <w:tcPr>
            <w:tcW w:w="3792" w:type="pct"/>
          </w:tcPr>
          <w:p w14:paraId="23088D20" w14:textId="1EBC8AD1" w:rsidR="000D0D9B" w:rsidRPr="006152BA" w:rsidRDefault="000D0D9B" w:rsidP="00E560CC">
            <w:pPr>
              <w:pStyle w:val="TableParagraph"/>
              <w:spacing w:before="120" w:after="120"/>
              <w:ind w:left="51"/>
              <w:rPr>
                <w:color w:val="000000"/>
              </w:rPr>
            </w:pPr>
            <w:r w:rsidRPr="006152BA">
              <w:rPr>
                <w:color w:val="000000"/>
              </w:rPr>
              <w:t>What, if any, evidence or considerations will support IHACPA’s long</w:t>
            </w:r>
            <w:r w:rsidR="00967FB2">
              <w:rPr>
                <w:color w:val="000000"/>
              </w:rPr>
              <w:t>er</w:t>
            </w:r>
            <w:r w:rsidRPr="006152BA">
              <w:rPr>
                <w:color w:val="000000"/>
              </w:rPr>
              <w:t xml:space="preserve"> term development path for safety and quality of AN-ACC and its associated adjustments?</w:t>
            </w:r>
          </w:p>
        </w:tc>
        <w:tc>
          <w:tcPr>
            <w:tcW w:w="948" w:type="pct"/>
          </w:tcPr>
          <w:p w14:paraId="1A1AB8DA" w14:textId="5EC36D7F" w:rsidR="000D0D9B" w:rsidRPr="006152BA" w:rsidRDefault="009D5949" w:rsidP="009D5949">
            <w:pPr>
              <w:pStyle w:val="TableParagraph"/>
              <w:spacing w:before="120" w:after="120"/>
              <w:ind w:left="51"/>
              <w:jc w:val="center"/>
              <w:rPr>
                <w:color w:val="000000"/>
              </w:rPr>
            </w:pPr>
            <w:r w:rsidRPr="006152BA">
              <w:rPr>
                <w:color w:val="000000"/>
              </w:rPr>
              <w:t>24</w:t>
            </w:r>
          </w:p>
        </w:tc>
      </w:tr>
      <w:tr w:rsidR="000D0D9B" w14:paraId="419B29F5" w14:textId="77777777" w:rsidTr="00F96671">
        <w:trPr>
          <w:cantSplit/>
        </w:trPr>
        <w:tc>
          <w:tcPr>
            <w:tcW w:w="260" w:type="pct"/>
          </w:tcPr>
          <w:p w14:paraId="478A6202" w14:textId="231DA29A" w:rsidR="000D0D9B" w:rsidRPr="006152BA" w:rsidRDefault="009D5949" w:rsidP="000D0D9B">
            <w:pPr>
              <w:pStyle w:val="TableParagraph"/>
              <w:spacing w:before="120" w:after="120"/>
              <w:ind w:left="51"/>
              <w:rPr>
                <w:color w:val="000000"/>
              </w:rPr>
            </w:pPr>
            <w:r w:rsidRPr="006152BA">
              <w:rPr>
                <w:color w:val="000000"/>
              </w:rPr>
              <w:t>10</w:t>
            </w:r>
          </w:p>
        </w:tc>
        <w:tc>
          <w:tcPr>
            <w:tcW w:w="3792" w:type="pct"/>
          </w:tcPr>
          <w:p w14:paraId="22DEC5E3" w14:textId="4F4A3C31" w:rsidR="000D0D9B" w:rsidRPr="006152BA" w:rsidRDefault="000C57CB" w:rsidP="00E560CC">
            <w:pPr>
              <w:pStyle w:val="TableParagraph"/>
              <w:spacing w:before="120" w:after="120"/>
              <w:ind w:left="51"/>
              <w:rPr>
                <w:color w:val="000000"/>
              </w:rPr>
            </w:pPr>
            <w:r w:rsidRPr="006152BA">
              <w:rPr>
                <w:color w:val="000000"/>
              </w:rPr>
              <w:t xml:space="preserve">How could, or should the AN-ACC model be modified to be used for </w:t>
            </w:r>
            <w:r w:rsidR="00027FB2" w:rsidRPr="006152BA">
              <w:rPr>
                <w:color w:val="000000"/>
              </w:rPr>
              <w:t>Multi</w:t>
            </w:r>
            <w:r w:rsidR="007F3CC8" w:rsidRPr="006152BA">
              <w:rPr>
                <w:color w:val="000000"/>
              </w:rPr>
              <w:t>-P</w:t>
            </w:r>
            <w:r w:rsidR="0086257F" w:rsidRPr="006152BA">
              <w:rPr>
                <w:color w:val="000000"/>
              </w:rPr>
              <w:t>urpose</w:t>
            </w:r>
            <w:r w:rsidR="00E52884" w:rsidRPr="006152BA">
              <w:rPr>
                <w:color w:val="000000"/>
              </w:rPr>
              <w:t xml:space="preserve"> </w:t>
            </w:r>
            <w:r w:rsidR="007F3CC8" w:rsidRPr="006152BA">
              <w:rPr>
                <w:color w:val="000000"/>
              </w:rPr>
              <w:t>S</w:t>
            </w:r>
            <w:r w:rsidR="00D3747C" w:rsidRPr="006152BA">
              <w:rPr>
                <w:color w:val="000000"/>
              </w:rPr>
              <w:t>ervices (</w:t>
            </w:r>
            <w:r w:rsidRPr="006152BA">
              <w:rPr>
                <w:color w:val="000000"/>
              </w:rPr>
              <w:t>MPS</w:t>
            </w:r>
            <w:r w:rsidR="00D3747C" w:rsidRPr="006152BA">
              <w:rPr>
                <w:color w:val="000000"/>
              </w:rPr>
              <w:t>)</w:t>
            </w:r>
            <w:r w:rsidR="00986C08" w:rsidRPr="006152BA">
              <w:rPr>
                <w:color w:val="000000"/>
              </w:rPr>
              <w:t xml:space="preserve"> and are there any factors that aren’t accounted for under the AN</w:t>
            </w:r>
            <w:r w:rsidR="009D5949" w:rsidRPr="006152BA">
              <w:rPr>
                <w:color w:val="000000"/>
              </w:rPr>
              <w:noBreakHyphen/>
            </w:r>
            <w:r w:rsidR="00986C08" w:rsidRPr="006152BA">
              <w:rPr>
                <w:color w:val="000000"/>
              </w:rPr>
              <w:t>ACC model</w:t>
            </w:r>
            <w:r w:rsidRPr="006152BA">
              <w:rPr>
                <w:color w:val="000000"/>
              </w:rPr>
              <w:t>?</w:t>
            </w:r>
          </w:p>
        </w:tc>
        <w:tc>
          <w:tcPr>
            <w:tcW w:w="948" w:type="pct"/>
          </w:tcPr>
          <w:p w14:paraId="575A632A" w14:textId="5FF3275C" w:rsidR="000D0D9B" w:rsidRPr="006152BA" w:rsidRDefault="009D5949" w:rsidP="009D5949">
            <w:pPr>
              <w:pStyle w:val="TableParagraph"/>
              <w:spacing w:before="120" w:after="120"/>
              <w:ind w:left="51"/>
              <w:jc w:val="center"/>
              <w:rPr>
                <w:color w:val="000000"/>
              </w:rPr>
            </w:pPr>
            <w:r w:rsidRPr="006152BA">
              <w:rPr>
                <w:color w:val="000000"/>
              </w:rPr>
              <w:t>26</w:t>
            </w:r>
          </w:p>
        </w:tc>
      </w:tr>
      <w:tr w:rsidR="000D0D9B" w14:paraId="26E459B8" w14:textId="77777777" w:rsidTr="00F96671">
        <w:trPr>
          <w:cantSplit/>
        </w:trPr>
        <w:tc>
          <w:tcPr>
            <w:tcW w:w="260" w:type="pct"/>
          </w:tcPr>
          <w:p w14:paraId="761DDB17" w14:textId="52B72CF1" w:rsidR="000D0D9B" w:rsidRPr="006152BA" w:rsidRDefault="000D0D9B" w:rsidP="000D0D9B">
            <w:pPr>
              <w:pStyle w:val="TableParagraph"/>
              <w:spacing w:before="120" w:after="120"/>
              <w:ind w:left="51"/>
              <w:rPr>
                <w:color w:val="000000"/>
              </w:rPr>
            </w:pPr>
            <w:r w:rsidRPr="006152BA">
              <w:rPr>
                <w:color w:val="000000"/>
              </w:rPr>
              <w:t>1</w:t>
            </w:r>
            <w:r w:rsidR="009D5949" w:rsidRPr="006152BA">
              <w:rPr>
                <w:color w:val="000000"/>
              </w:rPr>
              <w:t>1</w:t>
            </w:r>
          </w:p>
        </w:tc>
        <w:tc>
          <w:tcPr>
            <w:tcW w:w="3792" w:type="pct"/>
          </w:tcPr>
          <w:p w14:paraId="726AF62A" w14:textId="4769EAD1" w:rsidR="000D0D9B" w:rsidRPr="006152BA" w:rsidRDefault="000C57CB" w:rsidP="00E560CC">
            <w:pPr>
              <w:pStyle w:val="TableParagraph"/>
              <w:spacing w:before="120" w:after="120"/>
              <w:ind w:left="51"/>
              <w:rPr>
                <w:color w:val="000000"/>
              </w:rPr>
            </w:pPr>
            <w:r w:rsidRPr="006152BA">
              <w:rPr>
                <w:color w:val="000000"/>
              </w:rPr>
              <w:t xml:space="preserve">How could, or should the AN-ACC model be modified to be used for </w:t>
            </w:r>
            <w:r w:rsidR="00D614D1" w:rsidRPr="006152BA">
              <w:rPr>
                <w:color w:val="000000"/>
              </w:rPr>
              <w:t>National Aboriginal and Torres Strait Islander Flexible Aged Care Program (</w:t>
            </w:r>
            <w:r w:rsidRPr="006152BA">
              <w:rPr>
                <w:color w:val="000000"/>
              </w:rPr>
              <w:t>NATSIFACP</w:t>
            </w:r>
            <w:r w:rsidR="00D614D1" w:rsidRPr="006152BA">
              <w:rPr>
                <w:color w:val="000000"/>
              </w:rPr>
              <w:t>)</w:t>
            </w:r>
            <w:r w:rsidR="00680754" w:rsidRPr="006152BA">
              <w:rPr>
                <w:color w:val="000000"/>
              </w:rPr>
              <w:t xml:space="preserve"> and are there any factors that aren’t accounted for under the AN</w:t>
            </w:r>
            <w:r w:rsidR="009D5949" w:rsidRPr="006152BA">
              <w:rPr>
                <w:color w:val="000000"/>
              </w:rPr>
              <w:noBreakHyphen/>
            </w:r>
            <w:r w:rsidR="00680754" w:rsidRPr="006152BA">
              <w:rPr>
                <w:color w:val="000000"/>
              </w:rPr>
              <w:t>ACC model</w:t>
            </w:r>
            <w:r w:rsidRPr="006152BA">
              <w:rPr>
                <w:color w:val="000000"/>
              </w:rPr>
              <w:t>?</w:t>
            </w:r>
          </w:p>
        </w:tc>
        <w:tc>
          <w:tcPr>
            <w:tcW w:w="948" w:type="pct"/>
          </w:tcPr>
          <w:p w14:paraId="0C72B05B" w14:textId="5D6DD232" w:rsidR="000D0D9B" w:rsidRPr="006152BA" w:rsidRDefault="009D5949" w:rsidP="009D5949">
            <w:pPr>
              <w:pStyle w:val="TableParagraph"/>
              <w:spacing w:before="120" w:after="120"/>
              <w:ind w:left="51"/>
              <w:jc w:val="center"/>
              <w:rPr>
                <w:color w:val="000000"/>
              </w:rPr>
            </w:pPr>
            <w:r w:rsidRPr="006152BA">
              <w:rPr>
                <w:color w:val="000000"/>
              </w:rPr>
              <w:t>27</w:t>
            </w:r>
          </w:p>
        </w:tc>
      </w:tr>
      <w:bookmarkEnd w:id="83"/>
    </w:tbl>
    <w:p w14:paraId="04101C02" w14:textId="77777777" w:rsidR="00EE1A03" w:rsidRDefault="00EE1A03" w:rsidP="003F2F29">
      <w:pPr>
        <w:pStyle w:val="Body"/>
      </w:pPr>
    </w:p>
    <w:p w14:paraId="2CB85A7A" w14:textId="77777777" w:rsidR="000D0D9B" w:rsidRDefault="000D0D9B" w:rsidP="000D0D9B">
      <w:pPr>
        <w:pStyle w:val="Body"/>
        <w:sectPr w:rsidR="000D0D9B" w:rsidSect="000D0D9B">
          <w:headerReference w:type="even" r:id="rId145"/>
          <w:headerReference w:type="default" r:id="rId146"/>
          <w:footerReference w:type="default" r:id="rId147"/>
          <w:headerReference w:type="first" r:id="rId148"/>
          <w:type w:val="continuous"/>
          <w:pgSz w:w="11906" w:h="16838" w:code="9"/>
          <w:pgMar w:top="1440" w:right="1440" w:bottom="1440" w:left="1440" w:header="708" w:footer="708" w:gutter="0"/>
          <w:cols w:space="848"/>
          <w:docGrid w:linePitch="360"/>
        </w:sectPr>
      </w:pPr>
    </w:p>
    <w:p w14:paraId="3773CE17" w14:textId="60B8375D" w:rsidR="000D0D9B" w:rsidRDefault="000D0D9B" w:rsidP="000D0D9B">
      <w:pPr>
        <w:spacing w:before="10360" w:after="360"/>
        <w:rPr>
          <w:color w:val="E7E6E6" w:themeColor="background2"/>
        </w:rPr>
      </w:pPr>
      <w:r>
        <w:rPr>
          <w:noProof/>
          <w:color w:val="E7E6E6" w:themeColor="background2"/>
        </w:rPr>
        <w:lastRenderedPageBreak/>
        <w:drawing>
          <wp:inline distT="0" distB="0" distL="0" distR="0" wp14:anchorId="77E84F89" wp14:editId="264043BE">
            <wp:extent cx="1764880" cy="396484"/>
            <wp:effectExtent l="0" t="0" r="6985" b="3810"/>
            <wp:docPr id="107" name="Picture 107" descr="Independent Health and Aged Care Pricing Authority (IHAC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Independent Health and Aged Care Pricing Authority (IHACPA) logo "/>
                    <pic:cNvPicPr>
                      <a:picLocks noChangeAspect="1" noChangeArrowheads="1"/>
                    </pic:cNvPicPr>
                  </pic:nvPicPr>
                  <pic:blipFill>
                    <a:blip r:embed="rId149" cstate="print">
                      <a:extLst>
                        <a:ext uri="{28A0092B-C50C-407E-A947-70E740481C1C}">
                          <a14:useLocalDpi xmlns:a14="http://schemas.microsoft.com/office/drawing/2010/main" val="0"/>
                        </a:ext>
                        <a:ext uri="{96DAC541-7B7A-43D3-8B79-37D633B846F1}">
                          <asvg:svgBlip xmlns:asvg="http://schemas.microsoft.com/office/drawing/2016/SVG/main" r:embed="rId150"/>
                        </a:ext>
                      </a:extLst>
                    </a:blip>
                    <a:stretch>
                      <a:fillRect/>
                    </a:stretch>
                  </pic:blipFill>
                  <pic:spPr bwMode="auto">
                    <a:xfrm>
                      <a:off x="0" y="0"/>
                      <a:ext cx="1764880" cy="396484"/>
                    </a:xfrm>
                    <a:prstGeom prst="rect">
                      <a:avLst/>
                    </a:prstGeom>
                  </pic:spPr>
                </pic:pic>
              </a:graphicData>
            </a:graphic>
          </wp:inline>
        </w:drawing>
      </w:r>
    </w:p>
    <w:p w14:paraId="1362209B" w14:textId="77777777" w:rsidR="000D0D9B" w:rsidRPr="00D268AB" w:rsidRDefault="000D0D9B" w:rsidP="000D0D9B">
      <w:pPr>
        <w:pStyle w:val="Body"/>
        <w:rPr>
          <w:color w:val="FFFFFF" w:themeColor="background1"/>
        </w:rPr>
      </w:pPr>
      <w:r w:rsidRPr="00D268AB">
        <w:rPr>
          <w:color w:val="FFFFFF" w:themeColor="background1"/>
        </w:rPr>
        <w:t>Independent Health and Aged Care Pricing Authority</w:t>
      </w:r>
    </w:p>
    <w:p w14:paraId="6746A21D" w14:textId="77777777" w:rsidR="000D0D9B" w:rsidRPr="00D268AB" w:rsidRDefault="000D0D9B" w:rsidP="000D0D9B">
      <w:pPr>
        <w:pStyle w:val="Body"/>
        <w:rPr>
          <w:color w:val="54C1AF" w:themeColor="accent4"/>
        </w:rPr>
      </w:pPr>
      <w:r w:rsidRPr="00D268AB">
        <w:rPr>
          <w:color w:val="54C1AF" w:themeColor="accent4"/>
        </w:rPr>
        <w:t>Eora Nation, Level 12, 1 Oxford Street</w:t>
      </w:r>
      <w:r w:rsidRPr="00D268AB">
        <w:rPr>
          <w:color w:val="54C1AF" w:themeColor="accent4"/>
        </w:rPr>
        <w:br/>
        <w:t>Sydney NSW 2000</w:t>
      </w:r>
    </w:p>
    <w:p w14:paraId="1BC6269A" w14:textId="1268426D" w:rsidR="000D0D9B" w:rsidRPr="00D268AB" w:rsidRDefault="000D0D9B" w:rsidP="000D0D9B">
      <w:pPr>
        <w:pStyle w:val="Body"/>
        <w:rPr>
          <w:color w:val="FFFFFF" w:themeColor="background1"/>
        </w:rPr>
      </w:pPr>
      <w:r w:rsidRPr="00D268AB">
        <w:rPr>
          <w:color w:val="FFFFFF" w:themeColor="background1"/>
        </w:rPr>
        <w:t xml:space="preserve">Phone </w:t>
      </w:r>
      <w:r w:rsidRPr="00D268AB">
        <w:rPr>
          <w:color w:val="54C1AF" w:themeColor="accent4"/>
        </w:rPr>
        <w:t>02 8215 1100</w:t>
      </w:r>
      <w:r w:rsidRPr="00D268AB">
        <w:rPr>
          <w:color w:val="FFFFFF" w:themeColor="background1"/>
        </w:rPr>
        <w:br/>
        <w:t xml:space="preserve">Email </w:t>
      </w:r>
      <w:hyperlink r:id="rId151" w:history="1">
        <w:r w:rsidRPr="00D268AB">
          <w:rPr>
            <w:rStyle w:val="Hyperlink"/>
            <w:color w:val="54C1AF" w:themeColor="accent4"/>
            <w:u w:val="none"/>
          </w:rPr>
          <w:t>enquiries.ihacpa@ihacpa.gov.au</w:t>
        </w:r>
      </w:hyperlink>
      <w:r w:rsidRPr="00D268AB">
        <w:rPr>
          <w:color w:val="FFFFFF" w:themeColor="background1"/>
        </w:rPr>
        <w:br/>
        <w:t xml:space="preserve">Twitter </w:t>
      </w:r>
      <w:hyperlink r:id="rId152" w:history="1">
        <w:r w:rsidRPr="00BC5BE5">
          <w:rPr>
            <w:rStyle w:val="Hyperlink"/>
          </w:rPr>
          <w:t>@IHACPA</w:t>
        </w:r>
      </w:hyperlink>
    </w:p>
    <w:p w14:paraId="1BC3A349" w14:textId="3B07351F" w:rsidR="000D0D9B" w:rsidRPr="00D268AB" w:rsidRDefault="00981F05" w:rsidP="000D0D9B">
      <w:pPr>
        <w:pStyle w:val="Body"/>
        <w:rPr>
          <w:color w:val="54C1AF" w:themeColor="accent4"/>
        </w:rPr>
      </w:pPr>
      <w:hyperlink r:id="rId153" w:history="1">
        <w:r w:rsidR="000D0D9B" w:rsidRPr="00981F05">
          <w:rPr>
            <w:rStyle w:val="Hyperlink"/>
          </w:rPr>
          <w:t>www.ihacpa.gov.au</w:t>
        </w:r>
      </w:hyperlink>
    </w:p>
    <w:p w14:paraId="7C344808" w14:textId="18EA157A" w:rsidR="008D7ADC" w:rsidRPr="00D268AB" w:rsidRDefault="008D7ADC" w:rsidP="000D0D9B">
      <w:pPr>
        <w:spacing w:after="360"/>
        <w:rPr>
          <w:color w:val="54C1AF" w:themeColor="accent4"/>
        </w:rPr>
      </w:pPr>
    </w:p>
    <w:sectPr w:rsidR="008D7ADC" w:rsidRPr="00D268AB" w:rsidSect="000D0D9B">
      <w:headerReference w:type="even" r:id="rId154"/>
      <w:headerReference w:type="default" r:id="rId155"/>
      <w:footerReference w:type="default" r:id="rId156"/>
      <w:headerReference w:type="first" r:id="rId157"/>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0B11" w14:textId="77777777" w:rsidR="00300E7A" w:rsidRDefault="00300E7A" w:rsidP="001D7B7B">
      <w:pPr>
        <w:spacing w:after="0" w:line="240" w:lineRule="auto"/>
      </w:pPr>
      <w:r>
        <w:separator/>
      </w:r>
    </w:p>
    <w:p w14:paraId="31736B8A" w14:textId="77777777" w:rsidR="00300E7A" w:rsidRDefault="00300E7A"/>
  </w:endnote>
  <w:endnote w:type="continuationSeparator" w:id="0">
    <w:p w14:paraId="4A5F45CC" w14:textId="77777777" w:rsidR="00300E7A" w:rsidRDefault="00300E7A" w:rsidP="001D7B7B">
      <w:pPr>
        <w:spacing w:after="0" w:line="240" w:lineRule="auto"/>
      </w:pPr>
      <w:r>
        <w:continuationSeparator/>
      </w:r>
    </w:p>
    <w:p w14:paraId="440592C1" w14:textId="77777777" w:rsidR="00300E7A" w:rsidRDefault="00300E7A"/>
  </w:endnote>
  <w:endnote w:type="continuationNotice" w:id="1">
    <w:p w14:paraId="1DBA6CDA" w14:textId="77777777" w:rsidR="00300E7A" w:rsidRDefault="00300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Josefin Sans">
    <w:altName w:val="Josefin Sans"/>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Fira Sans">
    <w:charset w:val="00"/>
    <w:family w:val="swiss"/>
    <w:pitch w:val="variable"/>
    <w:sig w:usb0="600002FF" w:usb1="00000001" w:usb2="00000000" w:usb3="00000000" w:csb0="0000019F" w:csb1="00000000"/>
  </w:font>
  <w:font w:name="Josefin Sans Bold">
    <w:charset w:val="00"/>
    <w:family w:val="auto"/>
    <w:pitch w:val="variable"/>
    <w:sig w:usb0="A00000FF" w:usb1="4000204B" w:usb2="00000000" w:usb3="00000000" w:csb0="00000193" w:csb1="00000000"/>
  </w:font>
  <w:font w:name="Futura PT Book">
    <w:altName w:val="MS Gothic"/>
    <w:panose1 w:val="00000000000000000000"/>
    <w:charset w:val="00"/>
    <w:family w:val="swiss"/>
    <w:notTrueType/>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EYInterstate Light">
    <w:altName w:val="Franklin Gothic Medium Cond"/>
    <w:charset w:val="00"/>
    <w:family w:val="auto"/>
    <w:pitch w:val="variable"/>
    <w:sig w:usb0="A00002AF" w:usb1="5000206A" w:usb2="00000000" w:usb3="00000000" w:csb0="0000009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CFFA" w14:textId="77777777" w:rsidR="00916C26" w:rsidRPr="00E22DE4" w:rsidRDefault="00916C26">
    <w:pPr>
      <w:pStyle w:val="Footer"/>
      <w:rPr>
        <w:color w:val="FFFFFF" w:themeColor="background1"/>
        <w:sz w:val="18"/>
        <w:szCs w:val="18"/>
      </w:rPr>
    </w:pPr>
    <w:r w:rsidRPr="00E22DE4">
      <w:rPr>
        <w:color w:val="FFFFFF" w:themeColor="background1"/>
        <w:sz w:val="18"/>
        <w:szCs w:val="18"/>
      </w:rPr>
      <w:t>Independent Health and Aged Care Pricing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C430" w14:textId="1A0DB801" w:rsidR="00D74538" w:rsidRPr="00526F1C" w:rsidRDefault="00D74538" w:rsidP="005C6720">
    <w:pPr>
      <w:pStyle w:val="Footer"/>
      <w:tabs>
        <w:tab w:val="left" w:pos="1134"/>
      </w:tabs>
      <w:jc w:val="right"/>
      <w:rPr>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5B78" w14:textId="72FD73D9" w:rsidR="00D74538" w:rsidRPr="00916C26" w:rsidRDefault="00916C26"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sidR="00EF59E0">
      <w:rPr>
        <w:color w:val="000000" w:themeColor="text1"/>
        <w:sz w:val="18"/>
        <w:szCs w:val="18"/>
      </w:rPr>
      <w:t xml:space="preserve"> </w:t>
    </w:r>
    <w:r w:rsidR="00EF59E0">
      <w:rPr>
        <w:color w:val="000000" w:themeColor="text1"/>
        <w:sz w:val="18"/>
        <w:szCs w:val="18"/>
      </w:rPr>
      <w:tab/>
    </w:r>
    <w:r w:rsidR="00EF59E0">
      <w:rPr>
        <w:color w:val="000000" w:themeColor="text1"/>
        <w:sz w:val="18"/>
        <w:szCs w:val="18"/>
      </w:rPr>
      <w:tab/>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1</w:t>
    </w:r>
    <w:r w:rsidRPr="00526F1C">
      <w:rPr>
        <w:noProof/>
        <w:color w:val="000000" w:themeColor="text1"/>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EEA2" w14:textId="3667B260" w:rsidR="000C07E4" w:rsidRPr="00EF6ED4" w:rsidRDefault="000C07E4" w:rsidP="00EF6ED4">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rPr>
      <w:t>3</w:t>
    </w:r>
    <w:r w:rsidRPr="00526F1C">
      <w:rPr>
        <w:noProof/>
        <w:color w:val="000000" w:themeColor="text1"/>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A26D" w14:textId="657E107C" w:rsidR="00EE1A03" w:rsidRPr="00916C26" w:rsidRDefault="00EE1A03"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D94" w14:textId="367740B4" w:rsidR="000D0D9B" w:rsidRPr="00526F1C" w:rsidRDefault="000D0D9B" w:rsidP="005C6720">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t>Towards an Aged Care Pricing Framework</w:t>
    </w:r>
    <w:r>
      <w:rPr>
        <w:color w:val="000000" w:themeColor="text1"/>
        <w:sz w:val="18"/>
        <w:szCs w:val="18"/>
      </w:rPr>
      <w:t xml:space="preserve"> Consultation Paper</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sidRPr="00526F1C">
      <w:rPr>
        <w:noProof/>
        <w:color w:val="000000" w:themeColor="text1"/>
        <w:sz w:val="18"/>
        <w:szCs w:val="18"/>
      </w:rPr>
      <w:t>1</w:t>
    </w:r>
    <w:r w:rsidRPr="00526F1C">
      <w:rPr>
        <w:noProof/>
        <w:color w:val="000000" w:themeColor="text1"/>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9553" w14:textId="3A368D89" w:rsidR="00D74538" w:rsidRPr="00526F1C" w:rsidRDefault="00D74538" w:rsidP="005C6720">
    <w:pPr>
      <w:pStyle w:val="Footer"/>
      <w:tabs>
        <w:tab w:val="left" w:pos="1134"/>
      </w:tabs>
      <w:jc w:val="right"/>
      <w:rPr>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16EA" w14:textId="77777777" w:rsidR="00300E7A" w:rsidRDefault="00300E7A" w:rsidP="001D7B7B">
      <w:pPr>
        <w:spacing w:after="0" w:line="240" w:lineRule="auto"/>
      </w:pPr>
      <w:r>
        <w:separator/>
      </w:r>
    </w:p>
    <w:p w14:paraId="5E80D18B" w14:textId="77777777" w:rsidR="00300E7A" w:rsidRDefault="00300E7A"/>
  </w:footnote>
  <w:footnote w:type="continuationSeparator" w:id="0">
    <w:p w14:paraId="344FF042" w14:textId="77777777" w:rsidR="00300E7A" w:rsidRDefault="00300E7A" w:rsidP="001D7B7B">
      <w:pPr>
        <w:spacing w:after="0" w:line="240" w:lineRule="auto"/>
      </w:pPr>
      <w:r>
        <w:continuationSeparator/>
      </w:r>
    </w:p>
    <w:p w14:paraId="79C0E0C6" w14:textId="77777777" w:rsidR="00300E7A" w:rsidRDefault="00300E7A"/>
  </w:footnote>
  <w:footnote w:type="continuationNotice" w:id="1">
    <w:p w14:paraId="6DF599FE" w14:textId="77777777" w:rsidR="00300E7A" w:rsidRDefault="00300E7A">
      <w:pPr>
        <w:spacing w:after="0" w:line="240" w:lineRule="auto"/>
      </w:pPr>
    </w:p>
  </w:footnote>
  <w:footnote w:id="2">
    <w:p w14:paraId="6A5EB6CC" w14:textId="77777777" w:rsidR="00BF3B4C" w:rsidRDefault="00BF3B4C" w:rsidP="005D0BB9">
      <w:pPr>
        <w:pStyle w:val="FootnoteText"/>
        <w:ind w:right="-3357"/>
      </w:pPr>
      <w:r>
        <w:rPr>
          <w:rStyle w:val="FootnoteReference"/>
        </w:rPr>
        <w:footnoteRef/>
      </w:r>
      <w:r>
        <w:t xml:space="preserve"> </w:t>
      </w:r>
      <w:hyperlink r:id="rId1" w:history="1">
        <w:r w:rsidRPr="00562E57">
          <w:rPr>
            <w:rStyle w:val="Hyperlink"/>
            <w:sz w:val="16"/>
            <w:szCs w:val="16"/>
          </w:rPr>
          <w:t>Department of Health and Aged Care AN-ACC Reference</w:t>
        </w:r>
        <w:r>
          <w:rPr>
            <w:rStyle w:val="Hyperlink"/>
            <w:sz w:val="16"/>
            <w:szCs w:val="16"/>
          </w:rPr>
          <w:t xml:space="preserve"> </w:t>
        </w:r>
        <w:r w:rsidRPr="00562E57">
          <w:rPr>
            <w:rStyle w:val="Hyperlink"/>
            <w:sz w:val="16"/>
            <w:szCs w:val="16"/>
          </w:rPr>
          <w:t>Manual and AN-ACC Assessment Tool</w:t>
        </w:r>
      </w:hyperlink>
    </w:p>
  </w:footnote>
  <w:footnote w:id="3">
    <w:p w14:paraId="5F856161" w14:textId="00E9ADE0" w:rsidR="005474DB" w:rsidRDefault="005474DB" w:rsidP="00176CE6">
      <w:pPr>
        <w:pStyle w:val="FootnoteText"/>
        <w:ind w:right="-3354"/>
      </w:pPr>
      <w:r>
        <w:rPr>
          <w:rStyle w:val="FootnoteReference"/>
        </w:rPr>
        <w:footnoteRef/>
      </w:r>
      <w:r>
        <w:t xml:space="preserve"> </w:t>
      </w:r>
      <w:hyperlink r:id="rId2" w:history="1">
        <w:r>
          <w:rPr>
            <w:rStyle w:val="Hyperlink"/>
          </w:rPr>
          <w:t>Car</w:t>
        </w:r>
        <w:r w:rsidRPr="00541655">
          <w:rPr>
            <w:rStyle w:val="Hyperlink"/>
          </w:rPr>
          <w:t>e minutes | Australian Government Department of Health and Aged Care</w:t>
        </w:r>
      </w:hyperlink>
      <w:r w:rsidR="00176CE6">
        <w:rPr>
          <w:rStyle w:val="Hyperlink"/>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CAAA" w14:textId="2B4548F4" w:rsidR="00916C26" w:rsidRDefault="00E22DE4">
    <w:pPr>
      <w:pStyle w:val="Header"/>
    </w:pPr>
    <w:r>
      <w:rPr>
        <w:noProof/>
      </w:rPr>
      <w:drawing>
        <wp:anchor distT="0" distB="0" distL="114300" distR="114300" simplePos="0" relativeHeight="251621376" behindDoc="1" locked="0" layoutInCell="1" allowOverlap="1" wp14:anchorId="39CB4358" wp14:editId="212B03FA">
          <wp:simplePos x="0" y="0"/>
          <wp:positionH relativeFrom="page">
            <wp:posOffset>-30480</wp:posOffset>
          </wp:positionH>
          <wp:positionV relativeFrom="paragraph">
            <wp:posOffset>-457835</wp:posOffset>
          </wp:positionV>
          <wp:extent cx="7585136" cy="1072803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5136" cy="10728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2D21" w14:textId="259E5ED9" w:rsidR="00EF59E0" w:rsidRDefault="00EF59E0">
    <w:pPr>
      <w:pStyle w:val="Header"/>
    </w:pPr>
    <w:r>
      <w:rPr>
        <w:noProof/>
      </w:rPr>
      <w:drawing>
        <wp:anchor distT="0" distB="0" distL="114300" distR="114300" simplePos="0" relativeHeight="251629568" behindDoc="1" locked="0" layoutInCell="1" allowOverlap="1" wp14:anchorId="7BB1E761" wp14:editId="7306812D">
          <wp:simplePos x="0" y="0"/>
          <wp:positionH relativeFrom="column">
            <wp:posOffset>-914400</wp:posOffset>
          </wp:positionH>
          <wp:positionV relativeFrom="paragraph">
            <wp:posOffset>-449580</wp:posOffset>
          </wp:positionV>
          <wp:extent cx="7548880" cy="5151906"/>
          <wp:effectExtent l="0" t="0" r="0" b="0"/>
          <wp:wrapNone/>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16" cy="5161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25472" behindDoc="1" locked="0" layoutInCell="1" allowOverlap="1" wp14:anchorId="5B968ED0" wp14:editId="39F197F5">
          <wp:simplePos x="0" y="0"/>
          <wp:positionH relativeFrom="margin">
            <wp:posOffset>-914400</wp:posOffset>
          </wp:positionH>
          <wp:positionV relativeFrom="paragraph">
            <wp:posOffset>-449580</wp:posOffset>
          </wp:positionV>
          <wp:extent cx="7549116" cy="10677088"/>
          <wp:effectExtent l="0" t="0" r="0" b="0"/>
          <wp:wrapNone/>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F62D" w14:textId="75D065CC" w:rsidR="006B1FFA" w:rsidRDefault="006B1F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0E2A" w14:textId="480F68CF" w:rsidR="006B1FFA" w:rsidRDefault="006B1FF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80E1" w14:textId="1234B534" w:rsidR="004A2836" w:rsidRPr="00693E58" w:rsidRDefault="004A2836" w:rsidP="00F36A47">
    <w:pPr>
      <w:pStyle w:val="Heading1"/>
    </w:pPr>
    <w:r>
      <w:rPr>
        <w:noProof/>
      </w:rPr>
      <w:drawing>
        <wp:anchor distT="0" distB="0" distL="114300" distR="114300" simplePos="0" relativeHeight="251685888" behindDoc="1" locked="0" layoutInCell="1" allowOverlap="1" wp14:anchorId="5CD9810F" wp14:editId="3D40933C">
          <wp:simplePos x="0" y="0"/>
          <wp:positionH relativeFrom="margin">
            <wp:posOffset>-902263</wp:posOffset>
          </wp:positionH>
          <wp:positionV relativeFrom="paragraph">
            <wp:posOffset>236220</wp:posOffset>
          </wp:positionV>
          <wp:extent cx="7543800" cy="1468593"/>
          <wp:effectExtent l="0" t="0" r="0" b="0"/>
          <wp:wrapNone/>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E58">
      <w:t>1</w:t>
    </w:r>
    <w:r>
      <w:t>. Introduction</w:t>
    </w:r>
  </w:p>
  <w:p w14:paraId="3FE504B1" w14:textId="77777777" w:rsidR="004A2836" w:rsidRDefault="004A28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4B67" w14:textId="47A96188" w:rsidR="006B1FFA" w:rsidRDefault="006B1FF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F6BA" w14:textId="3CF04310" w:rsidR="006B1FFA" w:rsidRDefault="006B1FF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8E3" w14:textId="6849851E" w:rsidR="004A2836" w:rsidRPr="00AD603F" w:rsidRDefault="004A2836" w:rsidP="00AD603F">
    <w:pPr>
      <w:pStyle w:val="Header"/>
    </w:pPr>
  </w:p>
  <w:p w14:paraId="1F2676F8" w14:textId="77777777" w:rsidR="004A2836" w:rsidRDefault="004A2836"/>
  <w:p w14:paraId="2C1D3A3A" w14:textId="77777777" w:rsidR="004A2836" w:rsidRDefault="004A283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802" w14:textId="0B1843DE" w:rsidR="006B1FFA" w:rsidRDefault="006B1FF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518F" w14:textId="69115694" w:rsidR="006B1FFA" w:rsidRDefault="006B1FF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3FBE" w14:textId="5933556A" w:rsidR="004A2836" w:rsidRDefault="001C59B1">
    <w:pPr>
      <w:pStyle w:val="Header"/>
    </w:pPr>
    <w:r>
      <w:rPr>
        <w:noProof/>
      </w:rPr>
      <w:drawing>
        <wp:anchor distT="0" distB="0" distL="114300" distR="114300" simplePos="0" relativeHeight="251633664" behindDoc="1" locked="0" layoutInCell="1" allowOverlap="1" wp14:anchorId="4786B1D0" wp14:editId="2AA6C9F3">
          <wp:simplePos x="0" y="0"/>
          <wp:positionH relativeFrom="margin">
            <wp:posOffset>-914400</wp:posOffset>
          </wp:positionH>
          <wp:positionV relativeFrom="paragraph">
            <wp:posOffset>-446405</wp:posOffset>
          </wp:positionV>
          <wp:extent cx="7549116" cy="10677088"/>
          <wp:effectExtent l="0" t="0" r="0" b="0"/>
          <wp:wrapNone/>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836">
      <w:rPr>
        <w:noProof/>
      </w:rPr>
      <w:drawing>
        <wp:anchor distT="0" distB="0" distL="114300" distR="114300" simplePos="0" relativeHeight="251677696" behindDoc="1" locked="0" layoutInCell="1" allowOverlap="1" wp14:anchorId="5C1FE14B" wp14:editId="46098B9F">
          <wp:simplePos x="0" y="0"/>
          <wp:positionH relativeFrom="column">
            <wp:posOffset>-914814</wp:posOffset>
          </wp:positionH>
          <wp:positionV relativeFrom="paragraph">
            <wp:posOffset>-449580</wp:posOffset>
          </wp:positionV>
          <wp:extent cx="7548880" cy="5151906"/>
          <wp:effectExtent l="0" t="0" r="0" b="0"/>
          <wp:wrapNone/>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8880" cy="51519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B4C4" w14:textId="57EBF618" w:rsidR="00916C26" w:rsidRPr="00385C49" w:rsidRDefault="00916C26" w:rsidP="00932F95">
    <w:pPr>
      <w:pStyle w:val="Heading1"/>
      <w:spacing w:before="600" w:line="720" w:lineRule="exact"/>
    </w:pPr>
    <w:r>
      <w:rPr>
        <w:noProof/>
      </w:rPr>
      <w:drawing>
        <wp:anchor distT="0" distB="0" distL="114300" distR="114300" simplePos="0" relativeHeight="251688960" behindDoc="1" locked="0" layoutInCell="1" allowOverlap="1" wp14:anchorId="3C24D640" wp14:editId="6C3C1D1B">
          <wp:simplePos x="0" y="0"/>
          <wp:positionH relativeFrom="margin">
            <wp:posOffset>-913765</wp:posOffset>
          </wp:positionH>
          <wp:positionV relativeFrom="paragraph">
            <wp:posOffset>-265497</wp:posOffset>
          </wp:positionV>
          <wp:extent cx="7563003" cy="1957093"/>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t>2</w:t>
    </w:r>
    <w:r w:rsidRPr="00385C49">
      <w:t xml:space="preserve">. </w:t>
    </w:r>
    <w:r>
      <w:t xml:space="preserve">Impact of </w:t>
    </w:r>
    <w:r w:rsidRPr="00B82DE1">
      <w:rPr>
        <w:rFonts w:asciiTheme="majorHAnsi" w:hAnsiTheme="majorHAnsi" w:cs="Times New Roman (Headings CS)"/>
      </w:rPr>
      <w:t>COVID</w:t>
    </w:r>
    <w:r>
      <w:t>-19</w:t>
    </w:r>
  </w:p>
  <w:p w14:paraId="48D7B073" w14:textId="77777777" w:rsidR="00916C26" w:rsidRDefault="00916C2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CF77" w14:textId="6784B49A" w:rsidR="006B1FFA" w:rsidRDefault="006B1FF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AD84" w14:textId="1327E982" w:rsidR="006B1FFA" w:rsidRDefault="006B1FF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E038" w14:textId="7D35CA68" w:rsidR="004A2836" w:rsidRPr="00693E58" w:rsidRDefault="004A2836" w:rsidP="00F36A47">
    <w:pPr>
      <w:pStyle w:val="Heading1"/>
    </w:pPr>
    <w:r>
      <w:rPr>
        <w:noProof/>
      </w:rPr>
      <w:drawing>
        <wp:anchor distT="0" distB="0" distL="114300" distR="114300" simplePos="0" relativeHeight="251681792" behindDoc="1" locked="0" layoutInCell="1" allowOverlap="1" wp14:anchorId="2CAA7B0E" wp14:editId="2B78F367">
          <wp:simplePos x="0" y="0"/>
          <wp:positionH relativeFrom="margin">
            <wp:posOffset>-894292</wp:posOffset>
          </wp:positionH>
          <wp:positionV relativeFrom="paragraph">
            <wp:posOffset>483870</wp:posOffset>
          </wp:positionV>
          <wp:extent cx="7543800" cy="1468593"/>
          <wp:effectExtent l="0" t="0" r="0" b="0"/>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2. </w:t>
    </w:r>
    <w:r w:rsidR="00375D3E">
      <w:t xml:space="preserve">Principles for </w:t>
    </w:r>
    <w:proofErr w:type="gramStart"/>
    <w:r w:rsidR="00375D3E">
      <w:t>activity based</w:t>
    </w:r>
    <w:proofErr w:type="gramEnd"/>
    <w:r w:rsidR="00375D3E">
      <w:t xml:space="preserve"> funding in aged care</w:t>
    </w:r>
  </w:p>
  <w:p w14:paraId="2F74A60D" w14:textId="77777777" w:rsidR="004A2836" w:rsidRDefault="004A283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D842" w14:textId="2160A1B2" w:rsidR="006B1FFA" w:rsidRDefault="006B1FF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9B6" w14:textId="6F945EE8" w:rsidR="006B1FFA" w:rsidRDefault="006B1FF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9DC0" w14:textId="2A09E4B7" w:rsidR="000C07E4" w:rsidRPr="00385C49" w:rsidRDefault="000C07E4" w:rsidP="00385C49">
    <w:pPr>
      <w:pStyle w:val="Heading1"/>
      <w:spacing w:before="600" w:line="720" w:lineRule="exact"/>
    </w:pPr>
    <w:r>
      <w:rPr>
        <w:noProof/>
      </w:rPr>
      <w:drawing>
        <wp:anchor distT="0" distB="0" distL="114300" distR="114300" simplePos="0" relativeHeight="251693056" behindDoc="1" locked="0" layoutInCell="1" allowOverlap="1" wp14:anchorId="24C210F2" wp14:editId="4410ECDB">
          <wp:simplePos x="0" y="0"/>
          <wp:positionH relativeFrom="margin">
            <wp:posOffset>-907415</wp:posOffset>
          </wp:positionH>
          <wp:positionV relativeFrom="paragraph">
            <wp:posOffset>-412799</wp:posOffset>
          </wp:positionV>
          <wp:extent cx="7562850" cy="1957070"/>
          <wp:effectExtent l="0" t="0" r="0" b="0"/>
          <wp:wrapNone/>
          <wp:docPr id="109"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2850" cy="1957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C884" w14:textId="13A3021A" w:rsidR="006B1FFA" w:rsidRDefault="006B1FF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7855" w14:textId="0071A640" w:rsidR="006B1FFA" w:rsidRDefault="006B1FF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54B3" w14:textId="23038DCA" w:rsidR="006B1FFA" w:rsidRDefault="006B1FF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B39C" w14:textId="584594FE" w:rsidR="006B1FFA" w:rsidRDefault="006B1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61FD" w14:textId="289BB306" w:rsidR="006B1FFA" w:rsidRDefault="006B1FF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BE6A" w14:textId="3384A8BF" w:rsidR="006B1FFA" w:rsidRDefault="006B1FF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9C97" w14:textId="034A6847" w:rsidR="00BF3B4C" w:rsidRDefault="00BF3B4C">
    <w:pPr>
      <w:pStyle w:val="Header"/>
    </w:pPr>
    <w:r>
      <w:rPr>
        <w:noProof/>
      </w:rPr>
      <w:drawing>
        <wp:anchor distT="0" distB="0" distL="114300" distR="114300" simplePos="0" relativeHeight="251641856" behindDoc="1" locked="0" layoutInCell="1" allowOverlap="1" wp14:anchorId="6A55377C" wp14:editId="623E73B3">
          <wp:simplePos x="0" y="0"/>
          <wp:positionH relativeFrom="column">
            <wp:posOffset>-914400</wp:posOffset>
          </wp:positionH>
          <wp:positionV relativeFrom="paragraph">
            <wp:posOffset>-449580</wp:posOffset>
          </wp:positionV>
          <wp:extent cx="7548880" cy="5151906"/>
          <wp:effectExtent l="0" t="0" r="0" b="0"/>
          <wp:wrapNone/>
          <wp:docPr id="110" name="Pictur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16" cy="5161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7760" behindDoc="1" locked="0" layoutInCell="1" allowOverlap="1" wp14:anchorId="10E98A33" wp14:editId="6A6776C7">
          <wp:simplePos x="0" y="0"/>
          <wp:positionH relativeFrom="margin">
            <wp:posOffset>-914400</wp:posOffset>
          </wp:positionH>
          <wp:positionV relativeFrom="paragraph">
            <wp:posOffset>-449580</wp:posOffset>
          </wp:positionV>
          <wp:extent cx="7549116" cy="10677088"/>
          <wp:effectExtent l="0" t="0" r="0" b="0"/>
          <wp:wrapNone/>
          <wp:docPr id="111" name="Pictur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0678" w14:textId="257C7AED" w:rsidR="006B1FFA" w:rsidRDefault="006B1FF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0B79" w14:textId="076A17D4" w:rsidR="006B1FFA" w:rsidRDefault="006B1FF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B617" w14:textId="0C20D538" w:rsidR="00BF3B4C" w:rsidRPr="00693E58" w:rsidRDefault="00BF3B4C" w:rsidP="00F36A47">
    <w:pPr>
      <w:pStyle w:val="Heading1"/>
    </w:pPr>
    <w:r>
      <w:rPr>
        <w:noProof/>
      </w:rPr>
      <w:drawing>
        <wp:anchor distT="0" distB="0" distL="114300" distR="114300" simplePos="0" relativeHeight="251645952" behindDoc="1" locked="0" layoutInCell="1" allowOverlap="1" wp14:anchorId="1E44AF99" wp14:editId="1B2127EC">
          <wp:simplePos x="0" y="0"/>
          <wp:positionH relativeFrom="margin">
            <wp:posOffset>-894927</wp:posOffset>
          </wp:positionH>
          <wp:positionV relativeFrom="paragraph">
            <wp:posOffset>869950</wp:posOffset>
          </wp:positionV>
          <wp:extent cx="7543800" cy="1468593"/>
          <wp:effectExtent l="0" t="0" r="0" b="0"/>
          <wp:wrapNone/>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3. </w:t>
    </w:r>
    <w:r w:rsidR="00375D3E">
      <w:t>The Australian National Aged Care Classification funding model</w:t>
    </w:r>
  </w:p>
  <w:p w14:paraId="25287DD4" w14:textId="77777777" w:rsidR="00BF3B4C" w:rsidRDefault="00BF3B4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AE10" w14:textId="588F2ACE" w:rsidR="006B1FFA" w:rsidRDefault="006B1FF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9CED" w14:textId="4114244A" w:rsidR="006B1FFA" w:rsidRDefault="006B1FF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AA2C" w14:textId="3CC101BA" w:rsidR="0055477F" w:rsidRPr="00AD603F" w:rsidRDefault="0055477F" w:rsidP="00AD603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1BAA" w14:textId="62A07778" w:rsidR="006B1FFA" w:rsidRDefault="006B1FF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3EF0" w14:textId="71E44B80" w:rsidR="006B1FFA" w:rsidRDefault="006B1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6AF1" w14:textId="782FA7C5" w:rsidR="00D74538" w:rsidRDefault="00D7453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CA01" w14:textId="5E31531A" w:rsidR="00971953" w:rsidRDefault="00971953">
    <w:pPr>
      <w:pStyle w:val="Header"/>
    </w:pPr>
    <w:r>
      <w:rPr>
        <w:noProof/>
      </w:rPr>
      <w:drawing>
        <wp:anchor distT="0" distB="0" distL="114300" distR="114300" simplePos="0" relativeHeight="251654144" behindDoc="1" locked="0" layoutInCell="1" allowOverlap="1" wp14:anchorId="2A8754B9" wp14:editId="24CA05D1">
          <wp:simplePos x="0" y="0"/>
          <wp:positionH relativeFrom="column">
            <wp:posOffset>-914400</wp:posOffset>
          </wp:positionH>
          <wp:positionV relativeFrom="paragraph">
            <wp:posOffset>-449580</wp:posOffset>
          </wp:positionV>
          <wp:extent cx="7548880" cy="5151906"/>
          <wp:effectExtent l="0" t="0" r="0" b="0"/>
          <wp:wrapNone/>
          <wp:docPr id="2132372451" name="Picture 2132372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16" cy="5161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048" behindDoc="1" locked="0" layoutInCell="1" allowOverlap="1" wp14:anchorId="754DD6C6" wp14:editId="46355E71">
          <wp:simplePos x="0" y="0"/>
          <wp:positionH relativeFrom="margin">
            <wp:posOffset>-914400</wp:posOffset>
          </wp:positionH>
          <wp:positionV relativeFrom="paragraph">
            <wp:posOffset>-449580</wp:posOffset>
          </wp:positionV>
          <wp:extent cx="7549116" cy="10677088"/>
          <wp:effectExtent l="0" t="0" r="0" b="0"/>
          <wp:wrapNone/>
          <wp:docPr id="2132372452" name="Picture 2132372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EBA2" w14:textId="536C040D" w:rsidR="006B1FFA" w:rsidRDefault="006B1FF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B1C" w14:textId="3A48BC04" w:rsidR="006B1FFA" w:rsidRDefault="006B1FF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D507" w14:textId="1361C823" w:rsidR="00971953" w:rsidRPr="00693E58" w:rsidRDefault="00971953" w:rsidP="00F36A47">
    <w:pPr>
      <w:pStyle w:val="Heading1"/>
    </w:pPr>
    <w:r>
      <w:rPr>
        <w:noProof/>
      </w:rPr>
      <w:drawing>
        <wp:anchor distT="0" distB="0" distL="114300" distR="114300" simplePos="0" relativeHeight="251658240" behindDoc="1" locked="0" layoutInCell="1" allowOverlap="1" wp14:anchorId="08750047" wp14:editId="6F3587B0">
          <wp:simplePos x="0" y="0"/>
          <wp:positionH relativeFrom="margin">
            <wp:posOffset>-898954</wp:posOffset>
          </wp:positionH>
          <wp:positionV relativeFrom="paragraph">
            <wp:posOffset>469900</wp:posOffset>
          </wp:positionV>
          <wp:extent cx="7543800" cy="1468593"/>
          <wp:effectExtent l="0" t="0" r="0" b="0"/>
          <wp:wrapNone/>
          <wp:docPr id="2132372453" name="Picture 2132372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4. </w:t>
    </w:r>
    <w:r w:rsidR="00101000">
      <w:t>Developing aged care pricing advice</w:t>
    </w:r>
  </w:p>
  <w:p w14:paraId="1E274284" w14:textId="77777777" w:rsidR="00971953" w:rsidRDefault="0097195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23EF" w14:textId="254DF1FA" w:rsidR="006B1FFA" w:rsidRDefault="006B1FF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B6E1" w14:textId="3C37ECDC" w:rsidR="006B1FFA" w:rsidRDefault="006B1FF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0FED" w14:textId="488687FE" w:rsidR="00971953" w:rsidRPr="00AD603F" w:rsidRDefault="00971953" w:rsidP="00AD603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FA9A" w14:textId="2947A2A9" w:rsidR="006B1FFA" w:rsidRDefault="006B1FF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D9F4" w14:textId="0671F867" w:rsidR="006B1FFA" w:rsidRDefault="006B1FF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C5DA" w14:textId="5D5338CB" w:rsidR="00101000" w:rsidRDefault="00101000">
    <w:pPr>
      <w:pStyle w:val="Header"/>
    </w:pPr>
    <w:r>
      <w:rPr>
        <w:noProof/>
      </w:rPr>
      <w:drawing>
        <wp:anchor distT="0" distB="0" distL="114300" distR="114300" simplePos="0" relativeHeight="251662336" behindDoc="1" locked="0" layoutInCell="1" allowOverlap="1" wp14:anchorId="652D8689" wp14:editId="1E8F1980">
          <wp:simplePos x="0" y="0"/>
          <wp:positionH relativeFrom="column">
            <wp:posOffset>-914400</wp:posOffset>
          </wp:positionH>
          <wp:positionV relativeFrom="paragraph">
            <wp:posOffset>-449580</wp:posOffset>
          </wp:positionV>
          <wp:extent cx="7548880" cy="5151906"/>
          <wp:effectExtent l="0" t="0" r="0" b="0"/>
          <wp:wrapNone/>
          <wp:docPr id="2132372454" name="Picture 2132372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16" cy="5161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2D21445" wp14:editId="006093EE">
          <wp:simplePos x="0" y="0"/>
          <wp:positionH relativeFrom="margin">
            <wp:posOffset>-914400</wp:posOffset>
          </wp:positionH>
          <wp:positionV relativeFrom="paragraph">
            <wp:posOffset>-449580</wp:posOffset>
          </wp:positionV>
          <wp:extent cx="7549116" cy="10677088"/>
          <wp:effectExtent l="0" t="0" r="0" b="0"/>
          <wp:wrapNone/>
          <wp:docPr id="2132372455" name="Picture 2132372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E168" w14:textId="1C0C8D76" w:rsidR="006B1FFA" w:rsidRDefault="006B1FF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4735" w14:textId="6C1BED78" w:rsidR="006B1FFA" w:rsidRDefault="006B1FF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BE5" w14:textId="68D046BC" w:rsidR="006B1FFA" w:rsidRDefault="006B1FF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62F3" w14:textId="19368466" w:rsidR="00101000" w:rsidRDefault="00101000" w:rsidP="00101000">
    <w:pPr>
      <w:pStyle w:val="Heading1"/>
    </w:pPr>
    <w:r>
      <w:rPr>
        <w:noProof/>
      </w:rPr>
      <w:drawing>
        <wp:anchor distT="0" distB="0" distL="114300" distR="114300" simplePos="0" relativeHeight="251664384" behindDoc="1" locked="0" layoutInCell="1" allowOverlap="1" wp14:anchorId="1417C47D" wp14:editId="0FB18CA0">
          <wp:simplePos x="0" y="0"/>
          <wp:positionH relativeFrom="margin">
            <wp:posOffset>-898319</wp:posOffset>
          </wp:positionH>
          <wp:positionV relativeFrom="paragraph">
            <wp:posOffset>542925</wp:posOffset>
          </wp:positionV>
          <wp:extent cx="7543800" cy="1468593"/>
          <wp:effectExtent l="0" t="0" r="0" b="0"/>
          <wp:wrapNone/>
          <wp:docPr id="2132372456" name="Picture 21323724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t>5. Adjustments to the recommended price</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4D45" w14:textId="5CB6B87C" w:rsidR="006B1FFA" w:rsidRDefault="006B1FF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C8EA" w14:textId="242055A1" w:rsidR="006B1FFA" w:rsidRDefault="006B1FF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4983" w14:textId="0781D44A" w:rsidR="00101000" w:rsidRPr="00AD603F" w:rsidRDefault="00101000" w:rsidP="00AD603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EC2" w14:textId="5B81F852" w:rsidR="006B1FFA" w:rsidRDefault="006B1FF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D17" w14:textId="6387E41A" w:rsidR="006B1FFA" w:rsidRDefault="006B1FF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79E8" w14:textId="6F46B12E" w:rsidR="00D05D0A" w:rsidRPr="00AD603F" w:rsidRDefault="00D05D0A" w:rsidP="00AD603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1B8F" w14:textId="1AB9C359" w:rsidR="006B1FFA" w:rsidRDefault="006B1F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E3E6" w14:textId="6E4F0477" w:rsidR="006B1FFA" w:rsidRDefault="006B1FF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E87C" w14:textId="7F3120A3" w:rsidR="006B1FFA" w:rsidRDefault="006B1FF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F4EC" w14:textId="1ABE04CE" w:rsidR="00101000" w:rsidRDefault="00101000">
    <w:pPr>
      <w:pStyle w:val="Header"/>
    </w:pPr>
    <w:r>
      <w:rPr>
        <w:noProof/>
      </w:rPr>
      <w:drawing>
        <wp:anchor distT="0" distB="0" distL="114300" distR="114300" simplePos="0" relativeHeight="251666432" behindDoc="1" locked="0" layoutInCell="1" allowOverlap="1" wp14:anchorId="54979F44" wp14:editId="57C5E9A4">
          <wp:simplePos x="0" y="0"/>
          <wp:positionH relativeFrom="column">
            <wp:posOffset>-914400</wp:posOffset>
          </wp:positionH>
          <wp:positionV relativeFrom="paragraph">
            <wp:posOffset>-449580</wp:posOffset>
          </wp:positionV>
          <wp:extent cx="7548880" cy="5151906"/>
          <wp:effectExtent l="0" t="0" r="0" b="0"/>
          <wp:wrapNone/>
          <wp:docPr id="2132372457" name="Picture 2132372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16" cy="5161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EA10EAB" wp14:editId="63BCAB02">
          <wp:simplePos x="0" y="0"/>
          <wp:positionH relativeFrom="margin">
            <wp:posOffset>-914400</wp:posOffset>
          </wp:positionH>
          <wp:positionV relativeFrom="paragraph">
            <wp:posOffset>-449580</wp:posOffset>
          </wp:positionV>
          <wp:extent cx="7549116" cy="10677088"/>
          <wp:effectExtent l="0" t="0" r="0" b="0"/>
          <wp:wrapNone/>
          <wp:docPr id="2132372458" name="Picture 21323724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321" w14:textId="06081598" w:rsidR="006B1FFA" w:rsidRDefault="006B1FF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FFBC" w14:textId="35288376" w:rsidR="006B1FFA" w:rsidRDefault="006B1FF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490A" w14:textId="6E480F5F" w:rsidR="00101000" w:rsidRPr="00693E58" w:rsidRDefault="00101000" w:rsidP="00F36A47">
    <w:pPr>
      <w:pStyle w:val="Heading1"/>
    </w:pPr>
    <w:r>
      <w:rPr>
        <w:noProof/>
      </w:rPr>
      <w:drawing>
        <wp:anchor distT="0" distB="0" distL="114300" distR="114300" simplePos="0" relativeHeight="251667456" behindDoc="1" locked="0" layoutInCell="1" allowOverlap="1" wp14:anchorId="57F9535A" wp14:editId="32167EC3">
          <wp:simplePos x="0" y="0"/>
          <wp:positionH relativeFrom="margin">
            <wp:posOffset>-893396</wp:posOffset>
          </wp:positionH>
          <wp:positionV relativeFrom="paragraph">
            <wp:posOffset>516255</wp:posOffset>
          </wp:positionV>
          <wp:extent cx="7543800" cy="1468593"/>
          <wp:effectExtent l="0" t="0" r="0" b="0"/>
          <wp:wrapNone/>
          <wp:docPr id="2132372459" name="Picture 2132372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t>6. Priorities for future developments</w:t>
    </w:r>
  </w:p>
  <w:p w14:paraId="576AC00D" w14:textId="77777777" w:rsidR="00101000" w:rsidRDefault="00101000">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C366" w14:textId="06CB026B" w:rsidR="006B1FFA" w:rsidRDefault="006B1FF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B757" w14:textId="74F2E6D2" w:rsidR="006B1FFA" w:rsidRDefault="006B1FF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C554" w14:textId="258DF5EF" w:rsidR="00923F85" w:rsidRDefault="00923F85"/>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8988" w14:textId="5D82909E" w:rsidR="006B1FFA" w:rsidRDefault="006B1FF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794E" w14:textId="486101B5" w:rsidR="006B1FFA" w:rsidRDefault="006B1F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0FD5" w14:textId="686B4203" w:rsidR="006B1FFA" w:rsidRDefault="006B1FF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677" w14:textId="4C8B6308" w:rsidR="005E0FF3" w:rsidRPr="00AD603F" w:rsidRDefault="005E0FF3" w:rsidP="00AD603F">
    <w:pPr>
      <w:pStyle w:val="Header"/>
    </w:pPr>
  </w:p>
  <w:p w14:paraId="71FD9041" w14:textId="77777777" w:rsidR="005E0FF3" w:rsidRDefault="005E0FF3"/>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3B46" w14:textId="52209E2D" w:rsidR="006B1FFA" w:rsidRDefault="006B1FF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5A4C" w14:textId="633A6C11" w:rsidR="006B1FFA" w:rsidRDefault="006B1FFA">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6EC6" w14:textId="5350AE3A" w:rsidR="005E0FF3" w:rsidRDefault="005E0FF3">
    <w:pPr>
      <w:pStyle w:val="Header"/>
    </w:pPr>
    <w:r>
      <w:rPr>
        <w:noProof/>
      </w:rPr>
      <w:drawing>
        <wp:anchor distT="0" distB="0" distL="114300" distR="114300" simplePos="0" relativeHeight="251669504" behindDoc="1" locked="0" layoutInCell="1" allowOverlap="1" wp14:anchorId="0DBCFF59" wp14:editId="269CAC36">
          <wp:simplePos x="0" y="0"/>
          <wp:positionH relativeFrom="column">
            <wp:posOffset>-914400</wp:posOffset>
          </wp:positionH>
          <wp:positionV relativeFrom="paragraph">
            <wp:posOffset>-449580</wp:posOffset>
          </wp:positionV>
          <wp:extent cx="7548880" cy="5151906"/>
          <wp:effectExtent l="0" t="0" r="0" b="0"/>
          <wp:wrapNone/>
          <wp:docPr id="2132372460" name="Picture 2132372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16" cy="5161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38753E7" wp14:editId="59AABF46">
          <wp:simplePos x="0" y="0"/>
          <wp:positionH relativeFrom="margin">
            <wp:posOffset>-914400</wp:posOffset>
          </wp:positionH>
          <wp:positionV relativeFrom="paragraph">
            <wp:posOffset>-449580</wp:posOffset>
          </wp:positionV>
          <wp:extent cx="7549116" cy="10677088"/>
          <wp:effectExtent l="0" t="0" r="0" b="0"/>
          <wp:wrapNone/>
          <wp:docPr id="2132372461" name="Picture 21323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CC06" w14:textId="1A63016D" w:rsidR="006B1FFA" w:rsidRDefault="006B1FF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AFB4" w14:textId="73922231" w:rsidR="006B1FFA" w:rsidRDefault="006B1FF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226F" w14:textId="483696BB" w:rsidR="00F22C09" w:rsidRPr="00693E58" w:rsidRDefault="00F22C09" w:rsidP="00F36A47">
    <w:pPr>
      <w:pStyle w:val="Heading1"/>
    </w:pPr>
    <w:r>
      <w:rPr>
        <w:noProof/>
      </w:rPr>
      <w:drawing>
        <wp:anchor distT="0" distB="0" distL="114300" distR="114300" simplePos="0" relativeHeight="251672576" behindDoc="1" locked="0" layoutInCell="1" allowOverlap="1" wp14:anchorId="5800A76C" wp14:editId="2E28FE4C">
          <wp:simplePos x="0" y="0"/>
          <wp:positionH relativeFrom="margin">
            <wp:posOffset>-897183</wp:posOffset>
          </wp:positionH>
          <wp:positionV relativeFrom="paragraph">
            <wp:posOffset>622300</wp:posOffset>
          </wp:positionV>
          <wp:extent cx="7543800" cy="1468593"/>
          <wp:effectExtent l="0" t="0" r="0" b="0"/>
          <wp:wrapNone/>
          <wp:docPr id="2132372462" name="Picture 21323724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t>7. Consultation process and next steps</w:t>
    </w:r>
  </w:p>
  <w:p w14:paraId="1497FE07" w14:textId="77777777" w:rsidR="00F22C09" w:rsidRDefault="00F22C0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1E53" w14:textId="5938D00B" w:rsidR="006B1FFA" w:rsidRDefault="006B1FFA">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CEE9" w14:textId="71D45C53" w:rsidR="006B1FFA" w:rsidRDefault="006B1FFA">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C526" w14:textId="7AE6DDDA" w:rsidR="000D0D9B" w:rsidRPr="00AD603F" w:rsidRDefault="000D0D9B" w:rsidP="00AD603F">
    <w:pPr>
      <w:pStyle w:val="Header"/>
    </w:pPr>
  </w:p>
  <w:p w14:paraId="050026C3" w14:textId="77777777" w:rsidR="000D0D9B" w:rsidRDefault="000D0D9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2984" w14:textId="5744326B" w:rsidR="006B1FFA" w:rsidRDefault="006B1FF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39AB" w14:textId="7141512F" w:rsidR="006B1FFA" w:rsidRDefault="006B1FF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C144" w14:textId="122EE516" w:rsidR="006B1FFA" w:rsidRDefault="006B1FFA">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B2AB" w14:textId="2C172F32" w:rsidR="000D0D9B" w:rsidRDefault="000D0D9B">
    <w:pPr>
      <w:pStyle w:val="Header"/>
    </w:pPr>
    <w:r>
      <w:rPr>
        <w:noProof/>
      </w:rPr>
      <w:drawing>
        <wp:anchor distT="0" distB="0" distL="114300" distR="114300" simplePos="0" relativeHeight="251671552" behindDoc="1" locked="0" layoutInCell="1" allowOverlap="1" wp14:anchorId="1EE3A739" wp14:editId="1E92EE21">
          <wp:simplePos x="0" y="0"/>
          <wp:positionH relativeFrom="column">
            <wp:posOffset>-914400</wp:posOffset>
          </wp:positionH>
          <wp:positionV relativeFrom="paragraph">
            <wp:posOffset>-449580</wp:posOffset>
          </wp:positionV>
          <wp:extent cx="7548880" cy="5151906"/>
          <wp:effectExtent l="0" t="0" r="0" b="0"/>
          <wp:wrapNone/>
          <wp:docPr id="2132372463" name="Picture 2132372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16" cy="5161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05C63937" wp14:editId="208DA290">
          <wp:simplePos x="0" y="0"/>
          <wp:positionH relativeFrom="margin">
            <wp:posOffset>-914400</wp:posOffset>
          </wp:positionH>
          <wp:positionV relativeFrom="paragraph">
            <wp:posOffset>-449580</wp:posOffset>
          </wp:positionV>
          <wp:extent cx="7549116" cy="10677088"/>
          <wp:effectExtent l="0" t="0" r="0" b="0"/>
          <wp:wrapNone/>
          <wp:docPr id="2132372464" name="Picture 2132372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6" cy="1067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697A" w14:textId="05D9DE39" w:rsidR="006B1FFA" w:rsidRDefault="006B1FF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AEC3" w14:textId="41AD2AF4" w:rsidR="006B1FFA" w:rsidRDefault="006B1FF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6E9D" w14:textId="1A47ECD6" w:rsidR="00EE1A03" w:rsidRPr="00693E58" w:rsidRDefault="00866CE0" w:rsidP="00D207F8">
    <w:pPr>
      <w:pStyle w:val="Heading1"/>
      <w:spacing w:before="600" w:line="720" w:lineRule="exact"/>
    </w:pPr>
    <w:r>
      <w:rPr>
        <w:noProof/>
      </w:rPr>
      <w:drawing>
        <wp:anchor distT="0" distB="0" distL="114300" distR="114300" simplePos="0" relativeHeight="251698176" behindDoc="1" locked="0" layoutInCell="1" allowOverlap="1" wp14:anchorId="04F60722" wp14:editId="28A57F91">
          <wp:simplePos x="0" y="0"/>
          <wp:positionH relativeFrom="margin">
            <wp:posOffset>-890270</wp:posOffset>
          </wp:positionH>
          <wp:positionV relativeFrom="paragraph">
            <wp:posOffset>835356</wp:posOffset>
          </wp:positionV>
          <wp:extent cx="7543800" cy="146859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68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A03">
      <w:rPr>
        <w:noProof/>
      </w:rPr>
      <w:t>Appendix A:</w:t>
    </w:r>
    <w:r w:rsidR="002E0082">
      <w:rPr>
        <w:noProof/>
      </w:rPr>
      <w:br/>
    </w:r>
    <w:r w:rsidR="00EE1A03">
      <w:rPr>
        <w:noProof/>
      </w:rPr>
      <w:t>Consultation questions</w:t>
    </w:r>
  </w:p>
  <w:p w14:paraId="65686B7A" w14:textId="77777777" w:rsidR="00EE1A03" w:rsidRDefault="00EE1A03">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4A7A" w14:textId="107A5F78" w:rsidR="006B1FFA" w:rsidRDefault="006B1FF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365" w14:textId="513182B0" w:rsidR="006B1FFA" w:rsidRDefault="006B1FF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8500" w14:textId="736F8156" w:rsidR="000D0D9B" w:rsidRPr="00EC04F4" w:rsidRDefault="000D0D9B" w:rsidP="00680F3D">
    <w:pPr>
      <w:pStyle w:val="Heading1"/>
    </w:pPr>
    <w:r>
      <w:rPr>
        <w:noProof/>
      </w:rPr>
      <w:drawing>
        <wp:anchor distT="0" distB="0" distL="114300" distR="114300" simplePos="0" relativeHeight="251696128" behindDoc="1" locked="0" layoutInCell="1" allowOverlap="1" wp14:anchorId="7B14C2B4" wp14:editId="667E6342">
          <wp:simplePos x="0" y="0"/>
          <wp:positionH relativeFrom="margin">
            <wp:posOffset>-914400</wp:posOffset>
          </wp:positionH>
          <wp:positionV relativeFrom="paragraph">
            <wp:posOffset>468407</wp:posOffset>
          </wp:positionV>
          <wp:extent cx="7545070" cy="1468755"/>
          <wp:effectExtent l="0" t="0" r="0" b="0"/>
          <wp:wrapNone/>
          <wp:docPr id="232" name="Picture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r>
      <w:t>10. Appendix A: Consultation questions</w:t>
    </w:r>
  </w:p>
  <w:p w14:paraId="0CC21497" w14:textId="77777777" w:rsidR="000D0D9B" w:rsidRPr="006569B3" w:rsidRDefault="000D0D9B" w:rsidP="00680F3D">
    <w:pPr>
      <w:pStyle w:val="Header"/>
    </w:pPr>
  </w:p>
  <w:p w14:paraId="0C9C9231" w14:textId="77777777" w:rsidR="000D0D9B" w:rsidRPr="006569B3" w:rsidRDefault="000D0D9B" w:rsidP="00A5369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0F2C" w14:textId="0E14DB66" w:rsidR="006B1FFA" w:rsidRDefault="006B1F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314" w14:textId="56DE34D9" w:rsidR="006B1FFA" w:rsidRDefault="006B1FF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64B0" w14:textId="7D123D67" w:rsidR="006B1FFA" w:rsidRDefault="006B1FF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577E" w14:textId="3FCA8B0F" w:rsidR="00D74538" w:rsidRPr="006569B3" w:rsidRDefault="000D0D9B" w:rsidP="00A5369B">
    <w:pPr>
      <w:pStyle w:val="Header"/>
    </w:pPr>
    <w:r>
      <w:rPr>
        <w:noProof/>
      </w:rPr>
      <w:drawing>
        <wp:anchor distT="0" distB="0" distL="114300" distR="114300" simplePos="0" relativeHeight="251658261" behindDoc="1" locked="0" layoutInCell="1" allowOverlap="1" wp14:anchorId="355B70BB" wp14:editId="206AD285">
          <wp:simplePos x="0" y="0"/>
          <wp:positionH relativeFrom="column">
            <wp:posOffset>-937260</wp:posOffset>
          </wp:positionH>
          <wp:positionV relativeFrom="paragraph">
            <wp:posOffset>-498665</wp:posOffset>
          </wp:positionV>
          <wp:extent cx="7672969" cy="10762584"/>
          <wp:effectExtent l="0" t="0" r="4445" b="1270"/>
          <wp:wrapNone/>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969" cy="107625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22D" w14:textId="17C1B38F" w:rsidR="006B1FFA" w:rsidRDefault="006B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FC6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D421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548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B44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F20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06D0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D05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D2F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C0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00D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26D1"/>
    <w:multiLevelType w:val="hybridMultilevel"/>
    <w:tmpl w:val="FFFFFFFF"/>
    <w:lvl w:ilvl="0" w:tplc="96B04C06">
      <w:start w:val="1"/>
      <w:numFmt w:val="decimal"/>
      <w:lvlText w:val="%1."/>
      <w:lvlJc w:val="left"/>
      <w:pPr>
        <w:ind w:left="720" w:hanging="360"/>
      </w:pPr>
    </w:lvl>
    <w:lvl w:ilvl="1" w:tplc="FD46EF40">
      <w:start w:val="1"/>
      <w:numFmt w:val="lowerLetter"/>
      <w:lvlText w:val="%2."/>
      <w:lvlJc w:val="left"/>
      <w:pPr>
        <w:ind w:left="1440" w:hanging="360"/>
      </w:pPr>
    </w:lvl>
    <w:lvl w:ilvl="2" w:tplc="1C0C410A">
      <w:start w:val="1"/>
      <w:numFmt w:val="lowerRoman"/>
      <w:lvlText w:val="%3."/>
      <w:lvlJc w:val="right"/>
      <w:pPr>
        <w:ind w:left="2160" w:hanging="180"/>
      </w:pPr>
    </w:lvl>
    <w:lvl w:ilvl="3" w:tplc="66C88916">
      <w:start w:val="1"/>
      <w:numFmt w:val="decimal"/>
      <w:lvlText w:val="%4."/>
      <w:lvlJc w:val="left"/>
      <w:pPr>
        <w:ind w:left="2880" w:hanging="360"/>
      </w:pPr>
    </w:lvl>
    <w:lvl w:ilvl="4" w:tplc="8996CD42">
      <w:start w:val="1"/>
      <w:numFmt w:val="lowerLetter"/>
      <w:lvlText w:val="%5."/>
      <w:lvlJc w:val="left"/>
      <w:pPr>
        <w:ind w:left="3600" w:hanging="360"/>
      </w:pPr>
    </w:lvl>
    <w:lvl w:ilvl="5" w:tplc="F84E8040">
      <w:start w:val="1"/>
      <w:numFmt w:val="lowerRoman"/>
      <w:lvlText w:val="%6."/>
      <w:lvlJc w:val="right"/>
      <w:pPr>
        <w:ind w:left="4320" w:hanging="180"/>
      </w:pPr>
    </w:lvl>
    <w:lvl w:ilvl="6" w:tplc="B4A012F0">
      <w:start w:val="1"/>
      <w:numFmt w:val="decimal"/>
      <w:lvlText w:val="%7."/>
      <w:lvlJc w:val="left"/>
      <w:pPr>
        <w:ind w:left="5040" w:hanging="360"/>
      </w:pPr>
    </w:lvl>
    <w:lvl w:ilvl="7" w:tplc="F6FA9BB0">
      <w:start w:val="1"/>
      <w:numFmt w:val="lowerLetter"/>
      <w:lvlText w:val="%8."/>
      <w:lvlJc w:val="left"/>
      <w:pPr>
        <w:ind w:left="5760" w:hanging="360"/>
      </w:pPr>
    </w:lvl>
    <w:lvl w:ilvl="8" w:tplc="21D43F3E">
      <w:start w:val="1"/>
      <w:numFmt w:val="lowerRoman"/>
      <w:lvlText w:val="%9."/>
      <w:lvlJc w:val="right"/>
      <w:pPr>
        <w:ind w:left="6480" w:hanging="180"/>
      </w:pPr>
    </w:lvl>
  </w:abstractNum>
  <w:abstractNum w:abstractNumId="11" w15:restartNumberingAfterBreak="0">
    <w:nsid w:val="09A663BD"/>
    <w:multiLevelType w:val="hybridMultilevel"/>
    <w:tmpl w:val="2B361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6C6A6B"/>
    <w:multiLevelType w:val="hybridMultilevel"/>
    <w:tmpl w:val="C7DE18DC"/>
    <w:lvl w:ilvl="0" w:tplc="0C090003">
      <w:start w:val="1"/>
      <w:numFmt w:val="bullet"/>
      <w:lvlText w:val="o"/>
      <w:lvlJc w:val="left"/>
      <w:pPr>
        <w:ind w:left="700" w:hanging="360"/>
      </w:pPr>
      <w:rPr>
        <w:rFonts w:ascii="Courier New" w:hAnsi="Courier New" w:cs="Courier New"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3" w15:restartNumberingAfterBreak="0">
    <w:nsid w:val="1339355D"/>
    <w:multiLevelType w:val="hybridMultilevel"/>
    <w:tmpl w:val="DE1C7C2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358466F"/>
    <w:multiLevelType w:val="hybridMultilevel"/>
    <w:tmpl w:val="66AE80CE"/>
    <w:lvl w:ilvl="0" w:tplc="4248103E">
      <w:start w:val="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5685193"/>
    <w:multiLevelType w:val="hybridMultilevel"/>
    <w:tmpl w:val="2BF0F0BC"/>
    <w:lvl w:ilvl="0" w:tplc="2116B33E">
      <w:start w:val="1"/>
      <w:numFmt w:val="bullet"/>
      <w:lvlText w:val=""/>
      <w:lvlJc w:val="left"/>
      <w:pPr>
        <w:ind w:left="720" w:hanging="360"/>
      </w:pPr>
      <w:rPr>
        <w:rFonts w:ascii="Symbol" w:hAnsi="Symbol" w:hint="default"/>
      </w:rPr>
    </w:lvl>
    <w:lvl w:ilvl="1" w:tplc="C4E89ECE">
      <w:start w:val="1"/>
      <w:numFmt w:val="bullet"/>
      <w:lvlText w:val="o"/>
      <w:lvlJc w:val="left"/>
      <w:pPr>
        <w:ind w:left="1440" w:hanging="360"/>
      </w:pPr>
      <w:rPr>
        <w:rFonts w:ascii="Courier New" w:hAnsi="Courier New" w:hint="default"/>
      </w:rPr>
    </w:lvl>
    <w:lvl w:ilvl="2" w:tplc="DAF215EC">
      <w:start w:val="1"/>
      <w:numFmt w:val="bullet"/>
      <w:lvlText w:val=""/>
      <w:lvlJc w:val="left"/>
      <w:pPr>
        <w:ind w:left="2160" w:hanging="360"/>
      </w:pPr>
      <w:rPr>
        <w:rFonts w:ascii="Wingdings" w:hAnsi="Wingdings" w:hint="default"/>
      </w:rPr>
    </w:lvl>
    <w:lvl w:ilvl="3" w:tplc="3C6EAC12">
      <w:start w:val="1"/>
      <w:numFmt w:val="bullet"/>
      <w:lvlText w:val=""/>
      <w:lvlJc w:val="left"/>
      <w:pPr>
        <w:ind w:left="2880" w:hanging="360"/>
      </w:pPr>
      <w:rPr>
        <w:rFonts w:ascii="Symbol" w:hAnsi="Symbol" w:hint="default"/>
      </w:rPr>
    </w:lvl>
    <w:lvl w:ilvl="4" w:tplc="BDA86070">
      <w:start w:val="1"/>
      <w:numFmt w:val="bullet"/>
      <w:lvlText w:val="o"/>
      <w:lvlJc w:val="left"/>
      <w:pPr>
        <w:ind w:left="3600" w:hanging="360"/>
      </w:pPr>
      <w:rPr>
        <w:rFonts w:ascii="Courier New" w:hAnsi="Courier New" w:hint="default"/>
      </w:rPr>
    </w:lvl>
    <w:lvl w:ilvl="5" w:tplc="16761E0A">
      <w:start w:val="1"/>
      <w:numFmt w:val="bullet"/>
      <w:lvlText w:val=""/>
      <w:lvlJc w:val="left"/>
      <w:pPr>
        <w:ind w:left="4320" w:hanging="360"/>
      </w:pPr>
      <w:rPr>
        <w:rFonts w:ascii="Wingdings" w:hAnsi="Wingdings" w:hint="default"/>
      </w:rPr>
    </w:lvl>
    <w:lvl w:ilvl="6" w:tplc="C9185786">
      <w:start w:val="1"/>
      <w:numFmt w:val="bullet"/>
      <w:lvlText w:val=""/>
      <w:lvlJc w:val="left"/>
      <w:pPr>
        <w:ind w:left="5040" w:hanging="360"/>
      </w:pPr>
      <w:rPr>
        <w:rFonts w:ascii="Symbol" w:hAnsi="Symbol" w:hint="default"/>
      </w:rPr>
    </w:lvl>
    <w:lvl w:ilvl="7" w:tplc="34203DAC">
      <w:start w:val="1"/>
      <w:numFmt w:val="bullet"/>
      <w:lvlText w:val="o"/>
      <w:lvlJc w:val="left"/>
      <w:pPr>
        <w:ind w:left="5760" w:hanging="360"/>
      </w:pPr>
      <w:rPr>
        <w:rFonts w:ascii="Courier New" w:hAnsi="Courier New" w:hint="default"/>
      </w:rPr>
    </w:lvl>
    <w:lvl w:ilvl="8" w:tplc="53E034D8">
      <w:start w:val="1"/>
      <w:numFmt w:val="bullet"/>
      <w:lvlText w:val=""/>
      <w:lvlJc w:val="left"/>
      <w:pPr>
        <w:ind w:left="6480" w:hanging="360"/>
      </w:pPr>
      <w:rPr>
        <w:rFonts w:ascii="Wingdings" w:hAnsi="Wingdings" w:hint="default"/>
      </w:rPr>
    </w:lvl>
  </w:abstractNum>
  <w:abstractNum w:abstractNumId="16" w15:restartNumberingAfterBreak="0">
    <w:nsid w:val="157F57F6"/>
    <w:multiLevelType w:val="hybridMultilevel"/>
    <w:tmpl w:val="6B925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99325E"/>
    <w:multiLevelType w:val="hybridMultilevel"/>
    <w:tmpl w:val="137CC74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7735A7E"/>
    <w:multiLevelType w:val="hybridMultilevel"/>
    <w:tmpl w:val="B40254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9AC415D"/>
    <w:multiLevelType w:val="hybridMultilevel"/>
    <w:tmpl w:val="FFFFFFFF"/>
    <w:lvl w:ilvl="0" w:tplc="DF88101C">
      <w:start w:val="1"/>
      <w:numFmt w:val="bullet"/>
      <w:lvlText w:val=""/>
      <w:lvlJc w:val="left"/>
      <w:pPr>
        <w:ind w:left="720" w:hanging="360"/>
      </w:pPr>
      <w:rPr>
        <w:rFonts w:ascii="Symbol" w:hAnsi="Symbol" w:hint="default"/>
      </w:rPr>
    </w:lvl>
    <w:lvl w:ilvl="1" w:tplc="4008D1BE">
      <w:start w:val="1"/>
      <w:numFmt w:val="bullet"/>
      <w:lvlText w:val="o"/>
      <w:lvlJc w:val="left"/>
      <w:pPr>
        <w:ind w:left="1440" w:hanging="360"/>
      </w:pPr>
      <w:rPr>
        <w:rFonts w:ascii="Courier New" w:hAnsi="Courier New" w:hint="default"/>
      </w:rPr>
    </w:lvl>
    <w:lvl w:ilvl="2" w:tplc="24EA9A18">
      <w:start w:val="1"/>
      <w:numFmt w:val="bullet"/>
      <w:lvlText w:val=""/>
      <w:lvlJc w:val="left"/>
      <w:pPr>
        <w:ind w:left="2160" w:hanging="360"/>
      </w:pPr>
      <w:rPr>
        <w:rFonts w:ascii="Wingdings" w:hAnsi="Wingdings" w:hint="default"/>
      </w:rPr>
    </w:lvl>
    <w:lvl w:ilvl="3" w:tplc="336E5A76">
      <w:start w:val="1"/>
      <w:numFmt w:val="bullet"/>
      <w:lvlText w:val=""/>
      <w:lvlJc w:val="left"/>
      <w:pPr>
        <w:ind w:left="2880" w:hanging="360"/>
      </w:pPr>
      <w:rPr>
        <w:rFonts w:ascii="Symbol" w:hAnsi="Symbol" w:hint="default"/>
      </w:rPr>
    </w:lvl>
    <w:lvl w:ilvl="4" w:tplc="E47621A8">
      <w:start w:val="1"/>
      <w:numFmt w:val="bullet"/>
      <w:lvlText w:val="o"/>
      <w:lvlJc w:val="left"/>
      <w:pPr>
        <w:ind w:left="3600" w:hanging="360"/>
      </w:pPr>
      <w:rPr>
        <w:rFonts w:ascii="Courier New" w:hAnsi="Courier New" w:hint="default"/>
      </w:rPr>
    </w:lvl>
    <w:lvl w:ilvl="5" w:tplc="7BC6B998">
      <w:start w:val="1"/>
      <w:numFmt w:val="bullet"/>
      <w:lvlText w:val=""/>
      <w:lvlJc w:val="left"/>
      <w:pPr>
        <w:ind w:left="4320" w:hanging="360"/>
      </w:pPr>
      <w:rPr>
        <w:rFonts w:ascii="Wingdings" w:hAnsi="Wingdings" w:hint="default"/>
      </w:rPr>
    </w:lvl>
    <w:lvl w:ilvl="6" w:tplc="88EC4290">
      <w:start w:val="1"/>
      <w:numFmt w:val="bullet"/>
      <w:lvlText w:val=""/>
      <w:lvlJc w:val="left"/>
      <w:pPr>
        <w:ind w:left="5040" w:hanging="360"/>
      </w:pPr>
      <w:rPr>
        <w:rFonts w:ascii="Symbol" w:hAnsi="Symbol" w:hint="default"/>
      </w:rPr>
    </w:lvl>
    <w:lvl w:ilvl="7" w:tplc="19DA26A6">
      <w:start w:val="1"/>
      <w:numFmt w:val="bullet"/>
      <w:lvlText w:val="o"/>
      <w:lvlJc w:val="left"/>
      <w:pPr>
        <w:ind w:left="5760" w:hanging="360"/>
      </w:pPr>
      <w:rPr>
        <w:rFonts w:ascii="Courier New" w:hAnsi="Courier New" w:hint="default"/>
      </w:rPr>
    </w:lvl>
    <w:lvl w:ilvl="8" w:tplc="0DDC169C">
      <w:start w:val="1"/>
      <w:numFmt w:val="bullet"/>
      <w:lvlText w:val=""/>
      <w:lvlJc w:val="left"/>
      <w:pPr>
        <w:ind w:left="6480" w:hanging="360"/>
      </w:pPr>
      <w:rPr>
        <w:rFonts w:ascii="Wingdings" w:hAnsi="Wingdings" w:hint="default"/>
      </w:rPr>
    </w:lvl>
  </w:abstractNum>
  <w:abstractNum w:abstractNumId="20" w15:restartNumberingAfterBreak="0">
    <w:nsid w:val="204F2B6A"/>
    <w:multiLevelType w:val="hybridMultilevel"/>
    <w:tmpl w:val="58A2AA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0D37B7D"/>
    <w:multiLevelType w:val="hybridMultilevel"/>
    <w:tmpl w:val="EE387B58"/>
    <w:lvl w:ilvl="0" w:tplc="7898F600">
      <w:start w:val="1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4B5528"/>
    <w:multiLevelType w:val="hybridMultilevel"/>
    <w:tmpl w:val="7028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CE1B76"/>
    <w:multiLevelType w:val="hybridMultilevel"/>
    <w:tmpl w:val="76FC18C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5BF5786"/>
    <w:multiLevelType w:val="hybridMultilevel"/>
    <w:tmpl w:val="CC00C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414E0D"/>
    <w:multiLevelType w:val="hybridMultilevel"/>
    <w:tmpl w:val="2A5C5B9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2AEC5835"/>
    <w:multiLevelType w:val="hybridMultilevel"/>
    <w:tmpl w:val="887EBC6C"/>
    <w:lvl w:ilvl="0" w:tplc="3340906E">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C197961"/>
    <w:multiLevelType w:val="hybridMultilevel"/>
    <w:tmpl w:val="AAD8A3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C4D502F"/>
    <w:multiLevelType w:val="hybridMultilevel"/>
    <w:tmpl w:val="DE78529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2CB13A69"/>
    <w:multiLevelType w:val="hybridMultilevel"/>
    <w:tmpl w:val="1752150C"/>
    <w:lvl w:ilvl="0" w:tplc="0C090001">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30" w15:restartNumberingAfterBreak="0">
    <w:nsid w:val="2D0975C5"/>
    <w:multiLevelType w:val="hybridMultilevel"/>
    <w:tmpl w:val="94306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6550F7"/>
    <w:multiLevelType w:val="hybridMultilevel"/>
    <w:tmpl w:val="E71EE938"/>
    <w:lvl w:ilvl="0" w:tplc="FFFFFFFF">
      <w:start w:val="1"/>
      <w:numFmt w:val="decimal"/>
      <w:pStyle w:val="BulletL2"/>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B5B44D5"/>
    <w:multiLevelType w:val="hybridMultilevel"/>
    <w:tmpl w:val="B26C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D473A9"/>
    <w:multiLevelType w:val="hybridMultilevel"/>
    <w:tmpl w:val="B48E34A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C820D2F"/>
    <w:multiLevelType w:val="hybridMultilevel"/>
    <w:tmpl w:val="E74C1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1663DE"/>
    <w:multiLevelType w:val="hybridMultilevel"/>
    <w:tmpl w:val="F67A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9B7507"/>
    <w:multiLevelType w:val="hybridMultilevel"/>
    <w:tmpl w:val="B854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852FE9"/>
    <w:multiLevelType w:val="hybridMultilevel"/>
    <w:tmpl w:val="6F860440"/>
    <w:lvl w:ilvl="0" w:tplc="0C090003">
      <w:start w:val="1"/>
      <w:numFmt w:val="bullet"/>
      <w:lvlText w:val="o"/>
      <w:lvlJc w:val="left"/>
      <w:pPr>
        <w:ind w:left="700" w:hanging="360"/>
      </w:pPr>
      <w:rPr>
        <w:rFonts w:ascii="Courier New" w:hAnsi="Courier New" w:cs="Courier New"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38" w15:restartNumberingAfterBreak="0">
    <w:nsid w:val="50214E46"/>
    <w:multiLevelType w:val="hybridMultilevel"/>
    <w:tmpl w:val="EC1A1E90"/>
    <w:lvl w:ilvl="0" w:tplc="E0A22836">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1DC26AE"/>
    <w:multiLevelType w:val="hybridMultilevel"/>
    <w:tmpl w:val="32683CB4"/>
    <w:lvl w:ilvl="0" w:tplc="0C09000F">
      <w:start w:val="1"/>
      <w:numFmt w:val="decimal"/>
      <w:lvlText w:val="%1."/>
      <w:lvlJc w:val="left"/>
      <w:pPr>
        <w:ind w:left="1080" w:hanging="720"/>
      </w:pPr>
      <w:rPr>
        <w:rFonts w:hint="default"/>
      </w:rPr>
    </w:lvl>
    <w:lvl w:ilvl="1" w:tplc="110694E2">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51E212A7"/>
    <w:multiLevelType w:val="hybridMultilevel"/>
    <w:tmpl w:val="FA9CFA48"/>
    <w:lvl w:ilvl="0" w:tplc="60344170">
      <w:numFmt w:val="bullet"/>
      <w:pStyle w:val="Bullets"/>
      <w:lvlText w:val="•"/>
      <w:lvlJc w:val="left"/>
      <w:pPr>
        <w:ind w:left="1761" w:hanging="720"/>
      </w:pPr>
      <w:rPr>
        <w:rFonts w:ascii="Arial" w:eastAsiaTheme="minorHAnsi" w:hAnsi="Arial" w:cs="Arial" w:hint="default"/>
      </w:rPr>
    </w:lvl>
    <w:lvl w:ilvl="1" w:tplc="110694E2">
      <w:start w:val="1"/>
      <w:numFmt w:val="bullet"/>
      <w:lvlText w:val="o"/>
      <w:lvlJc w:val="left"/>
      <w:pPr>
        <w:ind w:left="2121" w:hanging="360"/>
      </w:pPr>
      <w:rPr>
        <w:rFonts w:ascii="Courier New" w:hAnsi="Courier New" w:cs="Courier New" w:hint="default"/>
      </w:rPr>
    </w:lvl>
    <w:lvl w:ilvl="2" w:tplc="34090005" w:tentative="1">
      <w:start w:val="1"/>
      <w:numFmt w:val="bullet"/>
      <w:lvlText w:val=""/>
      <w:lvlJc w:val="left"/>
      <w:pPr>
        <w:ind w:left="2841" w:hanging="360"/>
      </w:pPr>
      <w:rPr>
        <w:rFonts w:ascii="Wingdings" w:hAnsi="Wingdings" w:hint="default"/>
      </w:rPr>
    </w:lvl>
    <w:lvl w:ilvl="3" w:tplc="34090001" w:tentative="1">
      <w:start w:val="1"/>
      <w:numFmt w:val="bullet"/>
      <w:lvlText w:val=""/>
      <w:lvlJc w:val="left"/>
      <w:pPr>
        <w:ind w:left="3561" w:hanging="360"/>
      </w:pPr>
      <w:rPr>
        <w:rFonts w:ascii="Symbol" w:hAnsi="Symbol" w:hint="default"/>
      </w:rPr>
    </w:lvl>
    <w:lvl w:ilvl="4" w:tplc="34090003" w:tentative="1">
      <w:start w:val="1"/>
      <w:numFmt w:val="bullet"/>
      <w:lvlText w:val="o"/>
      <w:lvlJc w:val="left"/>
      <w:pPr>
        <w:ind w:left="4281" w:hanging="360"/>
      </w:pPr>
      <w:rPr>
        <w:rFonts w:ascii="Courier New" w:hAnsi="Courier New" w:cs="Courier New" w:hint="default"/>
      </w:rPr>
    </w:lvl>
    <w:lvl w:ilvl="5" w:tplc="34090005" w:tentative="1">
      <w:start w:val="1"/>
      <w:numFmt w:val="bullet"/>
      <w:lvlText w:val=""/>
      <w:lvlJc w:val="left"/>
      <w:pPr>
        <w:ind w:left="5001" w:hanging="360"/>
      </w:pPr>
      <w:rPr>
        <w:rFonts w:ascii="Wingdings" w:hAnsi="Wingdings" w:hint="default"/>
      </w:rPr>
    </w:lvl>
    <w:lvl w:ilvl="6" w:tplc="34090001" w:tentative="1">
      <w:start w:val="1"/>
      <w:numFmt w:val="bullet"/>
      <w:lvlText w:val=""/>
      <w:lvlJc w:val="left"/>
      <w:pPr>
        <w:ind w:left="5721" w:hanging="360"/>
      </w:pPr>
      <w:rPr>
        <w:rFonts w:ascii="Symbol" w:hAnsi="Symbol" w:hint="default"/>
      </w:rPr>
    </w:lvl>
    <w:lvl w:ilvl="7" w:tplc="34090003" w:tentative="1">
      <w:start w:val="1"/>
      <w:numFmt w:val="bullet"/>
      <w:lvlText w:val="o"/>
      <w:lvlJc w:val="left"/>
      <w:pPr>
        <w:ind w:left="6441" w:hanging="360"/>
      </w:pPr>
      <w:rPr>
        <w:rFonts w:ascii="Courier New" w:hAnsi="Courier New" w:cs="Courier New" w:hint="default"/>
      </w:rPr>
    </w:lvl>
    <w:lvl w:ilvl="8" w:tplc="34090005" w:tentative="1">
      <w:start w:val="1"/>
      <w:numFmt w:val="bullet"/>
      <w:lvlText w:val=""/>
      <w:lvlJc w:val="left"/>
      <w:pPr>
        <w:ind w:left="7161" w:hanging="360"/>
      </w:pPr>
      <w:rPr>
        <w:rFonts w:ascii="Wingdings" w:hAnsi="Wingdings" w:hint="default"/>
      </w:rPr>
    </w:lvl>
  </w:abstractNum>
  <w:abstractNum w:abstractNumId="41" w15:restartNumberingAfterBreak="0">
    <w:nsid w:val="577B5911"/>
    <w:multiLevelType w:val="hybridMultilevel"/>
    <w:tmpl w:val="76ECA086"/>
    <w:lvl w:ilvl="0" w:tplc="0C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9056DAC"/>
    <w:multiLevelType w:val="hybridMultilevel"/>
    <w:tmpl w:val="61BCCD1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5C64310D"/>
    <w:multiLevelType w:val="hybridMultilevel"/>
    <w:tmpl w:val="E106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CD79E3"/>
    <w:multiLevelType w:val="hybridMultilevel"/>
    <w:tmpl w:val="A84873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5CF61E29"/>
    <w:multiLevelType w:val="hybridMultilevel"/>
    <w:tmpl w:val="692C562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F28552A"/>
    <w:multiLevelType w:val="hybridMultilevel"/>
    <w:tmpl w:val="02885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9D60C8"/>
    <w:multiLevelType w:val="hybridMultilevel"/>
    <w:tmpl w:val="3676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C856EB"/>
    <w:multiLevelType w:val="hybridMultilevel"/>
    <w:tmpl w:val="CED441D8"/>
    <w:lvl w:ilvl="0" w:tplc="526C84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CC6E20"/>
    <w:multiLevelType w:val="hybridMultilevel"/>
    <w:tmpl w:val="A91883E4"/>
    <w:lvl w:ilvl="0" w:tplc="26AC0AAC">
      <w:start w:val="1"/>
      <w:numFmt w:val="decimal"/>
      <w:pStyle w:val="Numberlist"/>
      <w:lvlText w:val="%1."/>
      <w:lvlJc w:val="left"/>
      <w:pPr>
        <w:ind w:left="473"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66F04391"/>
    <w:multiLevelType w:val="hybridMultilevel"/>
    <w:tmpl w:val="BBCE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367990"/>
    <w:multiLevelType w:val="hybridMultilevel"/>
    <w:tmpl w:val="9B9897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DBE529C"/>
    <w:multiLevelType w:val="hybridMultilevel"/>
    <w:tmpl w:val="6C5C9C7A"/>
    <w:lvl w:ilvl="0" w:tplc="9A729A5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117BC4"/>
    <w:multiLevelType w:val="hybridMultilevel"/>
    <w:tmpl w:val="C7A6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246CB0"/>
    <w:multiLevelType w:val="hybridMultilevel"/>
    <w:tmpl w:val="B7244E26"/>
    <w:lvl w:ilvl="0" w:tplc="3340906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65860C3"/>
    <w:multiLevelType w:val="hybridMultilevel"/>
    <w:tmpl w:val="C66C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FA0B5F"/>
    <w:multiLevelType w:val="hybridMultilevel"/>
    <w:tmpl w:val="FD3800FA"/>
    <w:lvl w:ilvl="0" w:tplc="0C090001">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num w:numId="1">
    <w:abstractNumId w:val="18"/>
  </w:num>
  <w:num w:numId="2">
    <w:abstractNumId w:val="40"/>
  </w:num>
  <w:num w:numId="3">
    <w:abstractNumId w:val="44"/>
  </w:num>
  <w:num w:numId="4">
    <w:abstractNumId w:val="49"/>
  </w:num>
  <w:num w:numId="5">
    <w:abstractNumId w:val="49"/>
    <w:lvlOverride w:ilvl="0">
      <w:startOverride w:val="1"/>
    </w:lvlOverride>
  </w:num>
  <w:num w:numId="6">
    <w:abstractNumId w:val="49"/>
    <w:lvlOverride w:ilvl="0">
      <w:startOverride w:val="1"/>
    </w:lvlOverride>
  </w:num>
  <w:num w:numId="7">
    <w:abstractNumId w:val="49"/>
    <w:lvlOverride w:ilvl="0">
      <w:startOverride w:val="1"/>
    </w:lvlOverride>
  </w:num>
  <w:num w:numId="8">
    <w:abstractNumId w:val="49"/>
    <w:lvlOverride w:ilvl="0">
      <w:lvl w:ilvl="0" w:tplc="26AC0AAC">
        <w:start w:val="1"/>
        <w:numFmt w:val="decimal"/>
        <w:pStyle w:val="Numberlist"/>
        <w:lvlText w:val="%1."/>
        <w:lvlJc w:val="left"/>
        <w:pPr>
          <w:ind w:left="340" w:hanging="227"/>
        </w:pPr>
        <w:rPr>
          <w:rFonts w:hint="default"/>
        </w:rPr>
      </w:lvl>
    </w:lvlOverride>
    <w:lvlOverride w:ilvl="1">
      <w:lvl w:ilvl="1" w:tplc="34090019" w:tentative="1">
        <w:start w:val="1"/>
        <w:numFmt w:val="lowerLetter"/>
        <w:lvlText w:val="%2."/>
        <w:lvlJc w:val="left"/>
        <w:pPr>
          <w:ind w:left="1440" w:hanging="360"/>
        </w:pPr>
      </w:lvl>
    </w:lvlOverride>
    <w:lvlOverride w:ilvl="2">
      <w:lvl w:ilvl="2" w:tplc="3409001B" w:tentative="1">
        <w:start w:val="1"/>
        <w:numFmt w:val="lowerRoman"/>
        <w:lvlText w:val="%3."/>
        <w:lvlJc w:val="right"/>
        <w:pPr>
          <w:ind w:left="2160" w:hanging="180"/>
        </w:pPr>
      </w:lvl>
    </w:lvlOverride>
    <w:lvlOverride w:ilvl="3">
      <w:lvl w:ilvl="3" w:tplc="3409000F" w:tentative="1">
        <w:start w:val="1"/>
        <w:numFmt w:val="decimal"/>
        <w:lvlText w:val="%4."/>
        <w:lvlJc w:val="left"/>
        <w:pPr>
          <w:ind w:left="2880" w:hanging="360"/>
        </w:pPr>
      </w:lvl>
    </w:lvlOverride>
    <w:lvlOverride w:ilvl="4">
      <w:lvl w:ilvl="4" w:tplc="34090019" w:tentative="1">
        <w:start w:val="1"/>
        <w:numFmt w:val="lowerLetter"/>
        <w:lvlText w:val="%5."/>
        <w:lvlJc w:val="left"/>
        <w:pPr>
          <w:ind w:left="3600" w:hanging="360"/>
        </w:pPr>
      </w:lvl>
    </w:lvlOverride>
    <w:lvlOverride w:ilvl="5">
      <w:lvl w:ilvl="5" w:tplc="3409001B" w:tentative="1">
        <w:start w:val="1"/>
        <w:numFmt w:val="lowerRoman"/>
        <w:lvlText w:val="%6."/>
        <w:lvlJc w:val="right"/>
        <w:pPr>
          <w:ind w:left="4320" w:hanging="180"/>
        </w:pPr>
      </w:lvl>
    </w:lvlOverride>
    <w:lvlOverride w:ilvl="6">
      <w:lvl w:ilvl="6" w:tplc="3409000F" w:tentative="1">
        <w:start w:val="1"/>
        <w:numFmt w:val="decimal"/>
        <w:lvlText w:val="%7."/>
        <w:lvlJc w:val="left"/>
        <w:pPr>
          <w:ind w:left="5040" w:hanging="360"/>
        </w:pPr>
      </w:lvl>
    </w:lvlOverride>
    <w:lvlOverride w:ilvl="7">
      <w:lvl w:ilvl="7" w:tplc="34090019" w:tentative="1">
        <w:start w:val="1"/>
        <w:numFmt w:val="lowerLetter"/>
        <w:lvlText w:val="%8."/>
        <w:lvlJc w:val="left"/>
        <w:pPr>
          <w:ind w:left="5760" w:hanging="360"/>
        </w:pPr>
      </w:lvl>
    </w:lvlOverride>
    <w:lvlOverride w:ilvl="8">
      <w:lvl w:ilvl="8" w:tplc="3409001B" w:tentative="1">
        <w:start w:val="1"/>
        <w:numFmt w:val="lowerRoman"/>
        <w:lvlText w:val="%9."/>
        <w:lvlJc w:val="right"/>
        <w:pPr>
          <w:ind w:left="6480" w:hanging="180"/>
        </w:pPr>
      </w:lvl>
    </w:lvlOverride>
  </w:num>
  <w:num w:numId="9">
    <w:abstractNumId w:val="49"/>
    <w:lvlOverride w:ilvl="0">
      <w:startOverride w:val="1"/>
    </w:lvlOverride>
  </w:num>
  <w:num w:numId="10">
    <w:abstractNumId w:val="49"/>
    <w:lvlOverride w:ilvl="0">
      <w:startOverride w:val="1"/>
    </w:lvlOverride>
  </w:num>
  <w:num w:numId="11">
    <w:abstractNumId w:val="49"/>
    <w:lvlOverride w:ilvl="0">
      <w:startOverride w:val="1"/>
    </w:lvlOverride>
  </w:num>
  <w:num w:numId="12">
    <w:abstractNumId w:val="49"/>
    <w:lvlOverride w:ilvl="0">
      <w:startOverride w:val="1"/>
    </w:lvlOverride>
  </w:num>
  <w:num w:numId="13">
    <w:abstractNumId w:val="21"/>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52"/>
  </w:num>
  <w:num w:numId="25">
    <w:abstractNumId w:val="39"/>
  </w:num>
  <w:num w:numId="26">
    <w:abstractNumId w:val="55"/>
  </w:num>
  <w:num w:numId="27">
    <w:abstractNumId w:val="46"/>
  </w:num>
  <w:num w:numId="28">
    <w:abstractNumId w:val="16"/>
  </w:num>
  <w:num w:numId="29">
    <w:abstractNumId w:val="34"/>
  </w:num>
  <w:num w:numId="30">
    <w:abstractNumId w:val="50"/>
  </w:num>
  <w:num w:numId="31">
    <w:abstractNumId w:val="28"/>
  </w:num>
  <w:num w:numId="32">
    <w:abstractNumId w:val="56"/>
  </w:num>
  <w:num w:numId="33">
    <w:abstractNumId w:val="29"/>
  </w:num>
  <w:num w:numId="34">
    <w:abstractNumId w:val="35"/>
  </w:num>
  <w:num w:numId="35">
    <w:abstractNumId w:val="15"/>
  </w:num>
  <w:num w:numId="36">
    <w:abstractNumId w:val="24"/>
  </w:num>
  <w:num w:numId="37">
    <w:abstractNumId w:val="32"/>
  </w:num>
  <w:num w:numId="38">
    <w:abstractNumId w:val="43"/>
  </w:num>
  <w:num w:numId="39">
    <w:abstractNumId w:val="48"/>
  </w:num>
  <w:num w:numId="40">
    <w:abstractNumId w:val="20"/>
  </w:num>
  <w:num w:numId="41">
    <w:abstractNumId w:val="54"/>
  </w:num>
  <w:num w:numId="42">
    <w:abstractNumId w:val="38"/>
  </w:num>
  <w:num w:numId="43">
    <w:abstractNumId w:val="26"/>
  </w:num>
  <w:num w:numId="44">
    <w:abstractNumId w:val="53"/>
  </w:num>
  <w:num w:numId="45">
    <w:abstractNumId w:val="31"/>
  </w:num>
  <w:num w:numId="46">
    <w:abstractNumId w:val="31"/>
  </w:num>
  <w:num w:numId="47">
    <w:abstractNumId w:val="31"/>
  </w:num>
  <w:num w:numId="48">
    <w:abstractNumId w:val="30"/>
  </w:num>
  <w:num w:numId="49">
    <w:abstractNumId w:val="14"/>
  </w:num>
  <w:num w:numId="50">
    <w:abstractNumId w:val="51"/>
  </w:num>
  <w:num w:numId="51">
    <w:abstractNumId w:val="12"/>
  </w:num>
  <w:num w:numId="52">
    <w:abstractNumId w:val="37"/>
  </w:num>
  <w:num w:numId="53">
    <w:abstractNumId w:val="36"/>
  </w:num>
  <w:num w:numId="54">
    <w:abstractNumId w:val="31"/>
  </w:num>
  <w:num w:numId="55">
    <w:abstractNumId w:val="22"/>
  </w:num>
  <w:num w:numId="56">
    <w:abstractNumId w:val="47"/>
  </w:num>
  <w:num w:numId="57">
    <w:abstractNumId w:val="10"/>
  </w:num>
  <w:num w:numId="58">
    <w:abstractNumId w:val="25"/>
  </w:num>
  <w:num w:numId="59">
    <w:abstractNumId w:val="33"/>
  </w:num>
  <w:num w:numId="60">
    <w:abstractNumId w:val="45"/>
  </w:num>
  <w:num w:numId="61">
    <w:abstractNumId w:val="41"/>
  </w:num>
  <w:num w:numId="62">
    <w:abstractNumId w:val="23"/>
  </w:num>
  <w:num w:numId="63">
    <w:abstractNumId w:val="42"/>
  </w:num>
  <w:num w:numId="64">
    <w:abstractNumId w:val="17"/>
  </w:num>
  <w:num w:numId="65">
    <w:abstractNumId w:val="27"/>
  </w:num>
  <w:num w:numId="66">
    <w:abstractNumId w:val="13"/>
  </w:num>
  <w:num w:numId="67">
    <w:abstractNumId w:val="19"/>
  </w:num>
  <w:num w:numId="68">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03"/>
    <w:rsid w:val="00001148"/>
    <w:rsid w:val="00001E22"/>
    <w:rsid w:val="0000304E"/>
    <w:rsid w:val="000032F4"/>
    <w:rsid w:val="00004908"/>
    <w:rsid w:val="00004F79"/>
    <w:rsid w:val="00005318"/>
    <w:rsid w:val="00006532"/>
    <w:rsid w:val="00007C17"/>
    <w:rsid w:val="000100C2"/>
    <w:rsid w:val="000115E2"/>
    <w:rsid w:val="00013812"/>
    <w:rsid w:val="000138C3"/>
    <w:rsid w:val="000138E2"/>
    <w:rsid w:val="00013995"/>
    <w:rsid w:val="00013AFE"/>
    <w:rsid w:val="000141D1"/>
    <w:rsid w:val="00014678"/>
    <w:rsid w:val="0001484D"/>
    <w:rsid w:val="00014ED1"/>
    <w:rsid w:val="0001511F"/>
    <w:rsid w:val="0001538E"/>
    <w:rsid w:val="000177B2"/>
    <w:rsid w:val="000206C8"/>
    <w:rsid w:val="00020ED4"/>
    <w:rsid w:val="00021082"/>
    <w:rsid w:val="000219A0"/>
    <w:rsid w:val="000223E7"/>
    <w:rsid w:val="00022C21"/>
    <w:rsid w:val="000233A3"/>
    <w:rsid w:val="000234E6"/>
    <w:rsid w:val="00023EEA"/>
    <w:rsid w:val="000243E6"/>
    <w:rsid w:val="00024CA0"/>
    <w:rsid w:val="00024CB1"/>
    <w:rsid w:val="0002524D"/>
    <w:rsid w:val="000253CA"/>
    <w:rsid w:val="00025422"/>
    <w:rsid w:val="00025820"/>
    <w:rsid w:val="000258BC"/>
    <w:rsid w:val="00026A54"/>
    <w:rsid w:val="0002727D"/>
    <w:rsid w:val="00027645"/>
    <w:rsid w:val="00027A5C"/>
    <w:rsid w:val="00027FB2"/>
    <w:rsid w:val="00027FBD"/>
    <w:rsid w:val="0003369C"/>
    <w:rsid w:val="000337CE"/>
    <w:rsid w:val="00033A81"/>
    <w:rsid w:val="00033D4E"/>
    <w:rsid w:val="000342A5"/>
    <w:rsid w:val="00035C3F"/>
    <w:rsid w:val="00036373"/>
    <w:rsid w:val="00037761"/>
    <w:rsid w:val="00040F88"/>
    <w:rsid w:val="00042B51"/>
    <w:rsid w:val="00043642"/>
    <w:rsid w:val="00043D3D"/>
    <w:rsid w:val="000444AE"/>
    <w:rsid w:val="00045047"/>
    <w:rsid w:val="00045A21"/>
    <w:rsid w:val="00045CC2"/>
    <w:rsid w:val="000460AA"/>
    <w:rsid w:val="00046252"/>
    <w:rsid w:val="000474D0"/>
    <w:rsid w:val="00050174"/>
    <w:rsid w:val="00050402"/>
    <w:rsid w:val="0005126B"/>
    <w:rsid w:val="00051844"/>
    <w:rsid w:val="00051990"/>
    <w:rsid w:val="00051E62"/>
    <w:rsid w:val="00052092"/>
    <w:rsid w:val="000523A1"/>
    <w:rsid w:val="00052AA1"/>
    <w:rsid w:val="00053D2B"/>
    <w:rsid w:val="00053FF2"/>
    <w:rsid w:val="00054C9B"/>
    <w:rsid w:val="0005529A"/>
    <w:rsid w:val="000559F9"/>
    <w:rsid w:val="00055C77"/>
    <w:rsid w:val="00055CBA"/>
    <w:rsid w:val="000608CB"/>
    <w:rsid w:val="0006219E"/>
    <w:rsid w:val="00063287"/>
    <w:rsid w:val="0006372F"/>
    <w:rsid w:val="00063B37"/>
    <w:rsid w:val="00064F58"/>
    <w:rsid w:val="000654E9"/>
    <w:rsid w:val="00066029"/>
    <w:rsid w:val="00066AD0"/>
    <w:rsid w:val="00070524"/>
    <w:rsid w:val="000705E6"/>
    <w:rsid w:val="00071346"/>
    <w:rsid w:val="0007158D"/>
    <w:rsid w:val="000761AD"/>
    <w:rsid w:val="00077410"/>
    <w:rsid w:val="00077F5C"/>
    <w:rsid w:val="00080AD9"/>
    <w:rsid w:val="00081553"/>
    <w:rsid w:val="00081FCA"/>
    <w:rsid w:val="000825C5"/>
    <w:rsid w:val="000827C4"/>
    <w:rsid w:val="000832F1"/>
    <w:rsid w:val="000863A3"/>
    <w:rsid w:val="000914B1"/>
    <w:rsid w:val="00091670"/>
    <w:rsid w:val="00092741"/>
    <w:rsid w:val="0009296B"/>
    <w:rsid w:val="00092BA9"/>
    <w:rsid w:val="00093019"/>
    <w:rsid w:val="000933DA"/>
    <w:rsid w:val="00093C4A"/>
    <w:rsid w:val="000947D6"/>
    <w:rsid w:val="00094F01"/>
    <w:rsid w:val="000952AC"/>
    <w:rsid w:val="00095755"/>
    <w:rsid w:val="000958E3"/>
    <w:rsid w:val="00095DAE"/>
    <w:rsid w:val="00096626"/>
    <w:rsid w:val="0009689F"/>
    <w:rsid w:val="00096906"/>
    <w:rsid w:val="000978E1"/>
    <w:rsid w:val="000A0C43"/>
    <w:rsid w:val="000A0DBC"/>
    <w:rsid w:val="000A2C21"/>
    <w:rsid w:val="000A38F8"/>
    <w:rsid w:val="000A4ADC"/>
    <w:rsid w:val="000A4BB1"/>
    <w:rsid w:val="000A5AB3"/>
    <w:rsid w:val="000A5ACD"/>
    <w:rsid w:val="000A664D"/>
    <w:rsid w:val="000A6B59"/>
    <w:rsid w:val="000A74AA"/>
    <w:rsid w:val="000A760B"/>
    <w:rsid w:val="000A7D02"/>
    <w:rsid w:val="000B04E0"/>
    <w:rsid w:val="000B15F0"/>
    <w:rsid w:val="000B16D5"/>
    <w:rsid w:val="000B1A68"/>
    <w:rsid w:val="000B1DC2"/>
    <w:rsid w:val="000B2EAA"/>
    <w:rsid w:val="000B58DA"/>
    <w:rsid w:val="000B5A78"/>
    <w:rsid w:val="000B7DDA"/>
    <w:rsid w:val="000C0215"/>
    <w:rsid w:val="000C07E4"/>
    <w:rsid w:val="000C1508"/>
    <w:rsid w:val="000C17BC"/>
    <w:rsid w:val="000C1E58"/>
    <w:rsid w:val="000C2744"/>
    <w:rsid w:val="000C2856"/>
    <w:rsid w:val="000C3ED8"/>
    <w:rsid w:val="000C4417"/>
    <w:rsid w:val="000C44CF"/>
    <w:rsid w:val="000C54A8"/>
    <w:rsid w:val="000C57CB"/>
    <w:rsid w:val="000C7FB4"/>
    <w:rsid w:val="000D0930"/>
    <w:rsid w:val="000D0D9B"/>
    <w:rsid w:val="000D0F09"/>
    <w:rsid w:val="000D0F52"/>
    <w:rsid w:val="000D12CD"/>
    <w:rsid w:val="000D1A6D"/>
    <w:rsid w:val="000D21F7"/>
    <w:rsid w:val="000D30A4"/>
    <w:rsid w:val="000D43B4"/>
    <w:rsid w:val="000D45EC"/>
    <w:rsid w:val="000D58C6"/>
    <w:rsid w:val="000D604C"/>
    <w:rsid w:val="000D6304"/>
    <w:rsid w:val="000D6E85"/>
    <w:rsid w:val="000D7227"/>
    <w:rsid w:val="000D77B3"/>
    <w:rsid w:val="000D7B4B"/>
    <w:rsid w:val="000E0311"/>
    <w:rsid w:val="000E0BB1"/>
    <w:rsid w:val="000E0C53"/>
    <w:rsid w:val="000E154B"/>
    <w:rsid w:val="000E163F"/>
    <w:rsid w:val="000E1BAE"/>
    <w:rsid w:val="000E24B5"/>
    <w:rsid w:val="000E5A6B"/>
    <w:rsid w:val="000E635F"/>
    <w:rsid w:val="000E6632"/>
    <w:rsid w:val="000E6BE6"/>
    <w:rsid w:val="000E71AA"/>
    <w:rsid w:val="000F0BD4"/>
    <w:rsid w:val="000F1739"/>
    <w:rsid w:val="000F19C2"/>
    <w:rsid w:val="000F1DE7"/>
    <w:rsid w:val="000F26A9"/>
    <w:rsid w:val="000F2A4B"/>
    <w:rsid w:val="000F3CED"/>
    <w:rsid w:val="000F43EE"/>
    <w:rsid w:val="000F46C2"/>
    <w:rsid w:val="000F49EE"/>
    <w:rsid w:val="000F537E"/>
    <w:rsid w:val="000F60B8"/>
    <w:rsid w:val="000F60DE"/>
    <w:rsid w:val="000F626F"/>
    <w:rsid w:val="000F63EE"/>
    <w:rsid w:val="000F76BA"/>
    <w:rsid w:val="000F7E4F"/>
    <w:rsid w:val="001005DC"/>
    <w:rsid w:val="00100E2C"/>
    <w:rsid w:val="00101000"/>
    <w:rsid w:val="001013C8"/>
    <w:rsid w:val="00101BB5"/>
    <w:rsid w:val="0010233C"/>
    <w:rsid w:val="00102F6C"/>
    <w:rsid w:val="00103315"/>
    <w:rsid w:val="00103B0C"/>
    <w:rsid w:val="001049CF"/>
    <w:rsid w:val="001051A8"/>
    <w:rsid w:val="001057A9"/>
    <w:rsid w:val="00105CAD"/>
    <w:rsid w:val="00105DA0"/>
    <w:rsid w:val="00105EB7"/>
    <w:rsid w:val="00106154"/>
    <w:rsid w:val="00106CC4"/>
    <w:rsid w:val="00107B88"/>
    <w:rsid w:val="001123F7"/>
    <w:rsid w:val="0011271A"/>
    <w:rsid w:val="00112866"/>
    <w:rsid w:val="00112A1F"/>
    <w:rsid w:val="00112BF2"/>
    <w:rsid w:val="00112D96"/>
    <w:rsid w:val="00113B53"/>
    <w:rsid w:val="00113F56"/>
    <w:rsid w:val="001157B8"/>
    <w:rsid w:val="00116005"/>
    <w:rsid w:val="00116BD2"/>
    <w:rsid w:val="00117B1D"/>
    <w:rsid w:val="00117D02"/>
    <w:rsid w:val="00120378"/>
    <w:rsid w:val="001205BD"/>
    <w:rsid w:val="00121E67"/>
    <w:rsid w:val="00122DA0"/>
    <w:rsid w:val="0012301B"/>
    <w:rsid w:val="0012304F"/>
    <w:rsid w:val="00123A46"/>
    <w:rsid w:val="001247D2"/>
    <w:rsid w:val="001249BF"/>
    <w:rsid w:val="00125C66"/>
    <w:rsid w:val="001268B1"/>
    <w:rsid w:val="00126C85"/>
    <w:rsid w:val="00130422"/>
    <w:rsid w:val="00130655"/>
    <w:rsid w:val="00130C7A"/>
    <w:rsid w:val="00130CFF"/>
    <w:rsid w:val="00131DFE"/>
    <w:rsid w:val="0013236E"/>
    <w:rsid w:val="00132449"/>
    <w:rsid w:val="001324EF"/>
    <w:rsid w:val="001331D5"/>
    <w:rsid w:val="001359A4"/>
    <w:rsid w:val="001362C0"/>
    <w:rsid w:val="00136888"/>
    <w:rsid w:val="00136A41"/>
    <w:rsid w:val="00136D36"/>
    <w:rsid w:val="00136DD0"/>
    <w:rsid w:val="001376A3"/>
    <w:rsid w:val="00137F51"/>
    <w:rsid w:val="00140375"/>
    <w:rsid w:val="001412C7"/>
    <w:rsid w:val="0014153A"/>
    <w:rsid w:val="001426E3"/>
    <w:rsid w:val="001428C5"/>
    <w:rsid w:val="00142C61"/>
    <w:rsid w:val="001464FC"/>
    <w:rsid w:val="0014653D"/>
    <w:rsid w:val="00147917"/>
    <w:rsid w:val="0015036D"/>
    <w:rsid w:val="00151925"/>
    <w:rsid w:val="00151EAF"/>
    <w:rsid w:val="001524C0"/>
    <w:rsid w:val="00153001"/>
    <w:rsid w:val="00153365"/>
    <w:rsid w:val="00154070"/>
    <w:rsid w:val="001546BA"/>
    <w:rsid w:val="00154B91"/>
    <w:rsid w:val="00155823"/>
    <w:rsid w:val="00155D46"/>
    <w:rsid w:val="00156B65"/>
    <w:rsid w:val="00156C81"/>
    <w:rsid w:val="00156F87"/>
    <w:rsid w:val="00157C6D"/>
    <w:rsid w:val="001607FE"/>
    <w:rsid w:val="0016177F"/>
    <w:rsid w:val="00162AB5"/>
    <w:rsid w:val="00163F50"/>
    <w:rsid w:val="001640A1"/>
    <w:rsid w:val="0016414F"/>
    <w:rsid w:val="00164159"/>
    <w:rsid w:val="00164250"/>
    <w:rsid w:val="0016431A"/>
    <w:rsid w:val="001647EE"/>
    <w:rsid w:val="00164A2A"/>
    <w:rsid w:val="001651D8"/>
    <w:rsid w:val="00165663"/>
    <w:rsid w:val="00165AA9"/>
    <w:rsid w:val="00170350"/>
    <w:rsid w:val="0017094F"/>
    <w:rsid w:val="00170962"/>
    <w:rsid w:val="00171197"/>
    <w:rsid w:val="00171962"/>
    <w:rsid w:val="00172389"/>
    <w:rsid w:val="00172E40"/>
    <w:rsid w:val="0017439F"/>
    <w:rsid w:val="00174837"/>
    <w:rsid w:val="00175CDA"/>
    <w:rsid w:val="00176CE6"/>
    <w:rsid w:val="00180C42"/>
    <w:rsid w:val="001839AB"/>
    <w:rsid w:val="00183B31"/>
    <w:rsid w:val="001857F8"/>
    <w:rsid w:val="001870D0"/>
    <w:rsid w:val="00187A3D"/>
    <w:rsid w:val="0019085E"/>
    <w:rsid w:val="00191293"/>
    <w:rsid w:val="001912D2"/>
    <w:rsid w:val="00191371"/>
    <w:rsid w:val="001913A2"/>
    <w:rsid w:val="0019158F"/>
    <w:rsid w:val="00192DB7"/>
    <w:rsid w:val="00193538"/>
    <w:rsid w:val="0019364B"/>
    <w:rsid w:val="00193819"/>
    <w:rsid w:val="00193B4E"/>
    <w:rsid w:val="001949C7"/>
    <w:rsid w:val="0019744A"/>
    <w:rsid w:val="001A0F98"/>
    <w:rsid w:val="001A127E"/>
    <w:rsid w:val="001A1BE6"/>
    <w:rsid w:val="001A238C"/>
    <w:rsid w:val="001A3456"/>
    <w:rsid w:val="001A3B58"/>
    <w:rsid w:val="001A4327"/>
    <w:rsid w:val="001A54D2"/>
    <w:rsid w:val="001A5DF3"/>
    <w:rsid w:val="001A65D0"/>
    <w:rsid w:val="001A6E78"/>
    <w:rsid w:val="001B0446"/>
    <w:rsid w:val="001B0F43"/>
    <w:rsid w:val="001B1269"/>
    <w:rsid w:val="001B1734"/>
    <w:rsid w:val="001B17AD"/>
    <w:rsid w:val="001B18E9"/>
    <w:rsid w:val="001B290E"/>
    <w:rsid w:val="001B333B"/>
    <w:rsid w:val="001B348E"/>
    <w:rsid w:val="001B576D"/>
    <w:rsid w:val="001B6AF4"/>
    <w:rsid w:val="001C181E"/>
    <w:rsid w:val="001C1EC0"/>
    <w:rsid w:val="001C283F"/>
    <w:rsid w:val="001C28E0"/>
    <w:rsid w:val="001C2D84"/>
    <w:rsid w:val="001C3BA1"/>
    <w:rsid w:val="001C44C7"/>
    <w:rsid w:val="001C44D4"/>
    <w:rsid w:val="001C5134"/>
    <w:rsid w:val="001C538C"/>
    <w:rsid w:val="001C59B1"/>
    <w:rsid w:val="001C5DB9"/>
    <w:rsid w:val="001C5EFB"/>
    <w:rsid w:val="001C6822"/>
    <w:rsid w:val="001C74E7"/>
    <w:rsid w:val="001D04D9"/>
    <w:rsid w:val="001D0B75"/>
    <w:rsid w:val="001D1059"/>
    <w:rsid w:val="001D12ED"/>
    <w:rsid w:val="001D1546"/>
    <w:rsid w:val="001D1ED5"/>
    <w:rsid w:val="001D2283"/>
    <w:rsid w:val="001D3197"/>
    <w:rsid w:val="001D3E10"/>
    <w:rsid w:val="001D48EB"/>
    <w:rsid w:val="001D502A"/>
    <w:rsid w:val="001D5727"/>
    <w:rsid w:val="001D5AA6"/>
    <w:rsid w:val="001D6146"/>
    <w:rsid w:val="001D61B8"/>
    <w:rsid w:val="001D77BC"/>
    <w:rsid w:val="001D7824"/>
    <w:rsid w:val="001D7B7B"/>
    <w:rsid w:val="001E08BF"/>
    <w:rsid w:val="001E0951"/>
    <w:rsid w:val="001E1048"/>
    <w:rsid w:val="001E1CBC"/>
    <w:rsid w:val="001E2152"/>
    <w:rsid w:val="001E27D8"/>
    <w:rsid w:val="001E439D"/>
    <w:rsid w:val="001E57FB"/>
    <w:rsid w:val="001E5937"/>
    <w:rsid w:val="001E6184"/>
    <w:rsid w:val="001E64F3"/>
    <w:rsid w:val="001E70D5"/>
    <w:rsid w:val="001E7A44"/>
    <w:rsid w:val="001E7A9F"/>
    <w:rsid w:val="001F0201"/>
    <w:rsid w:val="001F05BA"/>
    <w:rsid w:val="001F11BD"/>
    <w:rsid w:val="001F12A3"/>
    <w:rsid w:val="001F1950"/>
    <w:rsid w:val="001F1B5F"/>
    <w:rsid w:val="001F24DF"/>
    <w:rsid w:val="001F27AD"/>
    <w:rsid w:val="001F3D9D"/>
    <w:rsid w:val="001F4038"/>
    <w:rsid w:val="001F537A"/>
    <w:rsid w:val="001F5D67"/>
    <w:rsid w:val="001F6177"/>
    <w:rsid w:val="0020001D"/>
    <w:rsid w:val="0020035F"/>
    <w:rsid w:val="00202197"/>
    <w:rsid w:val="00202494"/>
    <w:rsid w:val="00202A53"/>
    <w:rsid w:val="0020305C"/>
    <w:rsid w:val="00203C3C"/>
    <w:rsid w:val="00203DCB"/>
    <w:rsid w:val="002052FA"/>
    <w:rsid w:val="00205370"/>
    <w:rsid w:val="00205A99"/>
    <w:rsid w:val="00206848"/>
    <w:rsid w:val="002068C6"/>
    <w:rsid w:val="00206E21"/>
    <w:rsid w:val="0020730C"/>
    <w:rsid w:val="0021104F"/>
    <w:rsid w:val="00211B53"/>
    <w:rsid w:val="0021201C"/>
    <w:rsid w:val="0021308E"/>
    <w:rsid w:val="00214982"/>
    <w:rsid w:val="00214CF9"/>
    <w:rsid w:val="002154E5"/>
    <w:rsid w:val="00216499"/>
    <w:rsid w:val="00216BFB"/>
    <w:rsid w:val="0021729D"/>
    <w:rsid w:val="00217DAF"/>
    <w:rsid w:val="00220A1D"/>
    <w:rsid w:val="00220B79"/>
    <w:rsid w:val="00221107"/>
    <w:rsid w:val="002222C0"/>
    <w:rsid w:val="00222458"/>
    <w:rsid w:val="00222801"/>
    <w:rsid w:val="002229CA"/>
    <w:rsid w:val="00223EAB"/>
    <w:rsid w:val="00225EBC"/>
    <w:rsid w:val="002265AC"/>
    <w:rsid w:val="00227787"/>
    <w:rsid w:val="00230349"/>
    <w:rsid w:val="0023085A"/>
    <w:rsid w:val="002311C8"/>
    <w:rsid w:val="002318F7"/>
    <w:rsid w:val="0023198B"/>
    <w:rsid w:val="00231A51"/>
    <w:rsid w:val="00231D3B"/>
    <w:rsid w:val="002321E0"/>
    <w:rsid w:val="00232217"/>
    <w:rsid w:val="00233532"/>
    <w:rsid w:val="002338E3"/>
    <w:rsid w:val="00234877"/>
    <w:rsid w:val="00234F6E"/>
    <w:rsid w:val="002352CE"/>
    <w:rsid w:val="0023533B"/>
    <w:rsid w:val="0023598E"/>
    <w:rsid w:val="00235E5C"/>
    <w:rsid w:val="00236183"/>
    <w:rsid w:val="00236B49"/>
    <w:rsid w:val="002378FE"/>
    <w:rsid w:val="00237F20"/>
    <w:rsid w:val="00240FA6"/>
    <w:rsid w:val="0024124A"/>
    <w:rsid w:val="00241316"/>
    <w:rsid w:val="00241B55"/>
    <w:rsid w:val="0024256D"/>
    <w:rsid w:val="00242B3F"/>
    <w:rsid w:val="00242BC6"/>
    <w:rsid w:val="00243DBB"/>
    <w:rsid w:val="00245C31"/>
    <w:rsid w:val="00245DEB"/>
    <w:rsid w:val="00246621"/>
    <w:rsid w:val="00246AA9"/>
    <w:rsid w:val="00246E28"/>
    <w:rsid w:val="00246E32"/>
    <w:rsid w:val="002472E8"/>
    <w:rsid w:val="00247567"/>
    <w:rsid w:val="00247CAE"/>
    <w:rsid w:val="0025124A"/>
    <w:rsid w:val="0025186C"/>
    <w:rsid w:val="002518B7"/>
    <w:rsid w:val="00251A3D"/>
    <w:rsid w:val="00252173"/>
    <w:rsid w:val="002525B1"/>
    <w:rsid w:val="00252A24"/>
    <w:rsid w:val="00252B59"/>
    <w:rsid w:val="0025438E"/>
    <w:rsid w:val="002547F7"/>
    <w:rsid w:val="0025503C"/>
    <w:rsid w:val="002553F8"/>
    <w:rsid w:val="002554EC"/>
    <w:rsid w:val="00256FB3"/>
    <w:rsid w:val="0025701F"/>
    <w:rsid w:val="00257ACE"/>
    <w:rsid w:val="00260070"/>
    <w:rsid w:val="00260DCB"/>
    <w:rsid w:val="002614E8"/>
    <w:rsid w:val="0026196F"/>
    <w:rsid w:val="00262026"/>
    <w:rsid w:val="002627C0"/>
    <w:rsid w:val="00262BAD"/>
    <w:rsid w:val="00262BC7"/>
    <w:rsid w:val="00262C9A"/>
    <w:rsid w:val="00264162"/>
    <w:rsid w:val="00265DCA"/>
    <w:rsid w:val="00267649"/>
    <w:rsid w:val="00267F1F"/>
    <w:rsid w:val="002701E3"/>
    <w:rsid w:val="002702B1"/>
    <w:rsid w:val="002725AD"/>
    <w:rsid w:val="0027281C"/>
    <w:rsid w:val="00272EC4"/>
    <w:rsid w:val="00273661"/>
    <w:rsid w:val="00274F4A"/>
    <w:rsid w:val="00275C60"/>
    <w:rsid w:val="0027687D"/>
    <w:rsid w:val="002771C2"/>
    <w:rsid w:val="00280B1D"/>
    <w:rsid w:val="00280D04"/>
    <w:rsid w:val="00280D30"/>
    <w:rsid w:val="00281403"/>
    <w:rsid w:val="00281AB3"/>
    <w:rsid w:val="002824CE"/>
    <w:rsid w:val="00283343"/>
    <w:rsid w:val="00283538"/>
    <w:rsid w:val="00283692"/>
    <w:rsid w:val="00283BE1"/>
    <w:rsid w:val="00285265"/>
    <w:rsid w:val="002901AC"/>
    <w:rsid w:val="00291F12"/>
    <w:rsid w:val="00292F54"/>
    <w:rsid w:val="00293E6C"/>
    <w:rsid w:val="002944DB"/>
    <w:rsid w:val="002945F3"/>
    <w:rsid w:val="002949A5"/>
    <w:rsid w:val="002951D2"/>
    <w:rsid w:val="002957ED"/>
    <w:rsid w:val="00295EDA"/>
    <w:rsid w:val="002961FB"/>
    <w:rsid w:val="00296E1F"/>
    <w:rsid w:val="00297537"/>
    <w:rsid w:val="00297655"/>
    <w:rsid w:val="00297FFC"/>
    <w:rsid w:val="002A03D4"/>
    <w:rsid w:val="002A04CD"/>
    <w:rsid w:val="002A0C7D"/>
    <w:rsid w:val="002A12E1"/>
    <w:rsid w:val="002A15CB"/>
    <w:rsid w:val="002A186F"/>
    <w:rsid w:val="002A28DB"/>
    <w:rsid w:val="002A3025"/>
    <w:rsid w:val="002A4096"/>
    <w:rsid w:val="002A4468"/>
    <w:rsid w:val="002A449C"/>
    <w:rsid w:val="002A465C"/>
    <w:rsid w:val="002A6656"/>
    <w:rsid w:val="002B032D"/>
    <w:rsid w:val="002B08A0"/>
    <w:rsid w:val="002B123C"/>
    <w:rsid w:val="002B1764"/>
    <w:rsid w:val="002B1D8C"/>
    <w:rsid w:val="002B2F04"/>
    <w:rsid w:val="002B2F9C"/>
    <w:rsid w:val="002B3690"/>
    <w:rsid w:val="002B3787"/>
    <w:rsid w:val="002B3AC7"/>
    <w:rsid w:val="002B3B5D"/>
    <w:rsid w:val="002B4047"/>
    <w:rsid w:val="002B434A"/>
    <w:rsid w:val="002B59CC"/>
    <w:rsid w:val="002C02FD"/>
    <w:rsid w:val="002C0CB5"/>
    <w:rsid w:val="002C0D8E"/>
    <w:rsid w:val="002C1D0D"/>
    <w:rsid w:val="002C1DC0"/>
    <w:rsid w:val="002C205E"/>
    <w:rsid w:val="002C418D"/>
    <w:rsid w:val="002C4D0E"/>
    <w:rsid w:val="002C6CD1"/>
    <w:rsid w:val="002C70F5"/>
    <w:rsid w:val="002C7145"/>
    <w:rsid w:val="002C7BC1"/>
    <w:rsid w:val="002C7E76"/>
    <w:rsid w:val="002D1177"/>
    <w:rsid w:val="002D1635"/>
    <w:rsid w:val="002D1778"/>
    <w:rsid w:val="002D2317"/>
    <w:rsid w:val="002D232E"/>
    <w:rsid w:val="002D28A6"/>
    <w:rsid w:val="002D361E"/>
    <w:rsid w:val="002D3A17"/>
    <w:rsid w:val="002D41FD"/>
    <w:rsid w:val="002D4F87"/>
    <w:rsid w:val="002D7A88"/>
    <w:rsid w:val="002D7E8B"/>
    <w:rsid w:val="002E0082"/>
    <w:rsid w:val="002E050C"/>
    <w:rsid w:val="002E1FC5"/>
    <w:rsid w:val="002E2091"/>
    <w:rsid w:val="002E22E2"/>
    <w:rsid w:val="002E2580"/>
    <w:rsid w:val="002E2F45"/>
    <w:rsid w:val="002E3271"/>
    <w:rsid w:val="002E4357"/>
    <w:rsid w:val="002E543B"/>
    <w:rsid w:val="002E585C"/>
    <w:rsid w:val="002E5870"/>
    <w:rsid w:val="002E66EF"/>
    <w:rsid w:val="002E6DE1"/>
    <w:rsid w:val="002E7193"/>
    <w:rsid w:val="002E72AD"/>
    <w:rsid w:val="002F183E"/>
    <w:rsid w:val="002F214D"/>
    <w:rsid w:val="002F255D"/>
    <w:rsid w:val="002F264B"/>
    <w:rsid w:val="002F29A3"/>
    <w:rsid w:val="002F2F5C"/>
    <w:rsid w:val="002F4560"/>
    <w:rsid w:val="002F4AD9"/>
    <w:rsid w:val="002F4B8F"/>
    <w:rsid w:val="002F550A"/>
    <w:rsid w:val="002F7350"/>
    <w:rsid w:val="002F754C"/>
    <w:rsid w:val="002F77B4"/>
    <w:rsid w:val="002F7F81"/>
    <w:rsid w:val="00300E7A"/>
    <w:rsid w:val="003013A7"/>
    <w:rsid w:val="003014E0"/>
    <w:rsid w:val="0030154F"/>
    <w:rsid w:val="00302182"/>
    <w:rsid w:val="00303752"/>
    <w:rsid w:val="00305421"/>
    <w:rsid w:val="003054A8"/>
    <w:rsid w:val="0030569E"/>
    <w:rsid w:val="00306EDB"/>
    <w:rsid w:val="0031027E"/>
    <w:rsid w:val="003107EC"/>
    <w:rsid w:val="00311031"/>
    <w:rsid w:val="0031136C"/>
    <w:rsid w:val="00311413"/>
    <w:rsid w:val="003114AC"/>
    <w:rsid w:val="003115B9"/>
    <w:rsid w:val="00311A87"/>
    <w:rsid w:val="00311A89"/>
    <w:rsid w:val="00311EA5"/>
    <w:rsid w:val="0031220E"/>
    <w:rsid w:val="00312248"/>
    <w:rsid w:val="00312C63"/>
    <w:rsid w:val="00313AD3"/>
    <w:rsid w:val="00313EB7"/>
    <w:rsid w:val="00314BB6"/>
    <w:rsid w:val="00314E9F"/>
    <w:rsid w:val="00315511"/>
    <w:rsid w:val="003158D9"/>
    <w:rsid w:val="00315D70"/>
    <w:rsid w:val="00315E94"/>
    <w:rsid w:val="00316320"/>
    <w:rsid w:val="00316C40"/>
    <w:rsid w:val="0031757A"/>
    <w:rsid w:val="0031782D"/>
    <w:rsid w:val="00317A77"/>
    <w:rsid w:val="00320461"/>
    <w:rsid w:val="0032144C"/>
    <w:rsid w:val="00322A5B"/>
    <w:rsid w:val="00322D1B"/>
    <w:rsid w:val="003231C5"/>
    <w:rsid w:val="0032372A"/>
    <w:rsid w:val="0032378D"/>
    <w:rsid w:val="003237EC"/>
    <w:rsid w:val="00325542"/>
    <w:rsid w:val="0032659E"/>
    <w:rsid w:val="003265AB"/>
    <w:rsid w:val="00326F93"/>
    <w:rsid w:val="0032752E"/>
    <w:rsid w:val="00327817"/>
    <w:rsid w:val="00327CE5"/>
    <w:rsid w:val="00330FDB"/>
    <w:rsid w:val="00331991"/>
    <w:rsid w:val="00331E4F"/>
    <w:rsid w:val="003326A1"/>
    <w:rsid w:val="003327B7"/>
    <w:rsid w:val="00332A1E"/>
    <w:rsid w:val="00332C38"/>
    <w:rsid w:val="0033376A"/>
    <w:rsid w:val="00333827"/>
    <w:rsid w:val="0033439A"/>
    <w:rsid w:val="003344B1"/>
    <w:rsid w:val="00334AE4"/>
    <w:rsid w:val="00334F30"/>
    <w:rsid w:val="003379C6"/>
    <w:rsid w:val="003408CE"/>
    <w:rsid w:val="003411EB"/>
    <w:rsid w:val="00341427"/>
    <w:rsid w:val="0034253B"/>
    <w:rsid w:val="00342D69"/>
    <w:rsid w:val="00343D63"/>
    <w:rsid w:val="0034447F"/>
    <w:rsid w:val="00344D3D"/>
    <w:rsid w:val="003454CE"/>
    <w:rsid w:val="00345980"/>
    <w:rsid w:val="00345B60"/>
    <w:rsid w:val="00345F0D"/>
    <w:rsid w:val="003505A5"/>
    <w:rsid w:val="00351A2C"/>
    <w:rsid w:val="00352169"/>
    <w:rsid w:val="00352660"/>
    <w:rsid w:val="00352A85"/>
    <w:rsid w:val="00352BC9"/>
    <w:rsid w:val="00352E5B"/>
    <w:rsid w:val="00352FCA"/>
    <w:rsid w:val="003549AF"/>
    <w:rsid w:val="00354C50"/>
    <w:rsid w:val="00354C61"/>
    <w:rsid w:val="00354F17"/>
    <w:rsid w:val="003551BF"/>
    <w:rsid w:val="00355747"/>
    <w:rsid w:val="00357075"/>
    <w:rsid w:val="00360C7F"/>
    <w:rsid w:val="003611B6"/>
    <w:rsid w:val="00361875"/>
    <w:rsid w:val="00362701"/>
    <w:rsid w:val="00363C31"/>
    <w:rsid w:val="003646A6"/>
    <w:rsid w:val="00366303"/>
    <w:rsid w:val="00366321"/>
    <w:rsid w:val="00366652"/>
    <w:rsid w:val="003669EE"/>
    <w:rsid w:val="00370859"/>
    <w:rsid w:val="00370C53"/>
    <w:rsid w:val="0037126F"/>
    <w:rsid w:val="00371EAC"/>
    <w:rsid w:val="00372E3E"/>
    <w:rsid w:val="00374046"/>
    <w:rsid w:val="0037484C"/>
    <w:rsid w:val="00374DD3"/>
    <w:rsid w:val="00375D3E"/>
    <w:rsid w:val="0037600F"/>
    <w:rsid w:val="00376EA5"/>
    <w:rsid w:val="00380087"/>
    <w:rsid w:val="00380853"/>
    <w:rsid w:val="00380E54"/>
    <w:rsid w:val="00381A03"/>
    <w:rsid w:val="00381C86"/>
    <w:rsid w:val="00381DD5"/>
    <w:rsid w:val="00383D22"/>
    <w:rsid w:val="00383EF6"/>
    <w:rsid w:val="00384154"/>
    <w:rsid w:val="00385C49"/>
    <w:rsid w:val="00385F9B"/>
    <w:rsid w:val="00386A7B"/>
    <w:rsid w:val="003872EE"/>
    <w:rsid w:val="00387B53"/>
    <w:rsid w:val="00387C8B"/>
    <w:rsid w:val="00391A2C"/>
    <w:rsid w:val="00391F23"/>
    <w:rsid w:val="00392BB1"/>
    <w:rsid w:val="00393E17"/>
    <w:rsid w:val="00395005"/>
    <w:rsid w:val="00395635"/>
    <w:rsid w:val="00395F4C"/>
    <w:rsid w:val="00396AE8"/>
    <w:rsid w:val="00397BC2"/>
    <w:rsid w:val="003A039A"/>
    <w:rsid w:val="003A048B"/>
    <w:rsid w:val="003A0921"/>
    <w:rsid w:val="003A12F1"/>
    <w:rsid w:val="003A3724"/>
    <w:rsid w:val="003A3850"/>
    <w:rsid w:val="003A3A3C"/>
    <w:rsid w:val="003A4CCD"/>
    <w:rsid w:val="003A6805"/>
    <w:rsid w:val="003A6B4C"/>
    <w:rsid w:val="003A6E37"/>
    <w:rsid w:val="003A799E"/>
    <w:rsid w:val="003B0316"/>
    <w:rsid w:val="003B0502"/>
    <w:rsid w:val="003B06CF"/>
    <w:rsid w:val="003B1ED8"/>
    <w:rsid w:val="003B2BB3"/>
    <w:rsid w:val="003B3F81"/>
    <w:rsid w:val="003B54F0"/>
    <w:rsid w:val="003B66DF"/>
    <w:rsid w:val="003B6827"/>
    <w:rsid w:val="003C01DE"/>
    <w:rsid w:val="003C0640"/>
    <w:rsid w:val="003C0761"/>
    <w:rsid w:val="003C10C5"/>
    <w:rsid w:val="003C3555"/>
    <w:rsid w:val="003C360C"/>
    <w:rsid w:val="003C3B92"/>
    <w:rsid w:val="003C4BE3"/>
    <w:rsid w:val="003C54FA"/>
    <w:rsid w:val="003C55C0"/>
    <w:rsid w:val="003C644B"/>
    <w:rsid w:val="003C64F1"/>
    <w:rsid w:val="003C70D1"/>
    <w:rsid w:val="003C774D"/>
    <w:rsid w:val="003D1010"/>
    <w:rsid w:val="003D14C0"/>
    <w:rsid w:val="003D26BA"/>
    <w:rsid w:val="003D28A4"/>
    <w:rsid w:val="003D2C0A"/>
    <w:rsid w:val="003D304C"/>
    <w:rsid w:val="003D4A06"/>
    <w:rsid w:val="003D5084"/>
    <w:rsid w:val="003D6279"/>
    <w:rsid w:val="003D7AA3"/>
    <w:rsid w:val="003E00C7"/>
    <w:rsid w:val="003E0123"/>
    <w:rsid w:val="003E0D59"/>
    <w:rsid w:val="003E1627"/>
    <w:rsid w:val="003E1B66"/>
    <w:rsid w:val="003E27E0"/>
    <w:rsid w:val="003E4723"/>
    <w:rsid w:val="003E4977"/>
    <w:rsid w:val="003E543C"/>
    <w:rsid w:val="003E561E"/>
    <w:rsid w:val="003E6016"/>
    <w:rsid w:val="003E61B3"/>
    <w:rsid w:val="003E7C50"/>
    <w:rsid w:val="003F0455"/>
    <w:rsid w:val="003F0B5B"/>
    <w:rsid w:val="003F1C8C"/>
    <w:rsid w:val="003F246C"/>
    <w:rsid w:val="003F2E69"/>
    <w:rsid w:val="003F2F29"/>
    <w:rsid w:val="003F3295"/>
    <w:rsid w:val="003F412C"/>
    <w:rsid w:val="003F4964"/>
    <w:rsid w:val="003F4E0F"/>
    <w:rsid w:val="003F5058"/>
    <w:rsid w:val="003F53BE"/>
    <w:rsid w:val="003F6A2F"/>
    <w:rsid w:val="003F77CF"/>
    <w:rsid w:val="00401D1C"/>
    <w:rsid w:val="0040363A"/>
    <w:rsid w:val="004052B4"/>
    <w:rsid w:val="00405F79"/>
    <w:rsid w:val="0040700E"/>
    <w:rsid w:val="00407321"/>
    <w:rsid w:val="00410192"/>
    <w:rsid w:val="00410430"/>
    <w:rsid w:val="004104BC"/>
    <w:rsid w:val="00410830"/>
    <w:rsid w:val="00411054"/>
    <w:rsid w:val="00411AB0"/>
    <w:rsid w:val="00412E34"/>
    <w:rsid w:val="004140F5"/>
    <w:rsid w:val="0041733D"/>
    <w:rsid w:val="00417B57"/>
    <w:rsid w:val="00417DC1"/>
    <w:rsid w:val="004202DC"/>
    <w:rsid w:val="00420D06"/>
    <w:rsid w:val="004211F1"/>
    <w:rsid w:val="00421FDB"/>
    <w:rsid w:val="0042220E"/>
    <w:rsid w:val="00422485"/>
    <w:rsid w:val="004227F1"/>
    <w:rsid w:val="0042362F"/>
    <w:rsid w:val="00424A14"/>
    <w:rsid w:val="0042528A"/>
    <w:rsid w:val="00425721"/>
    <w:rsid w:val="00425A80"/>
    <w:rsid w:val="0042600D"/>
    <w:rsid w:val="00426667"/>
    <w:rsid w:val="0042684E"/>
    <w:rsid w:val="00426DFA"/>
    <w:rsid w:val="00427C87"/>
    <w:rsid w:val="0043055B"/>
    <w:rsid w:val="004307BA"/>
    <w:rsid w:val="00431BB3"/>
    <w:rsid w:val="004322A2"/>
    <w:rsid w:val="00432D28"/>
    <w:rsid w:val="00433ADD"/>
    <w:rsid w:val="00433F09"/>
    <w:rsid w:val="0043600D"/>
    <w:rsid w:val="004361F0"/>
    <w:rsid w:val="00436C72"/>
    <w:rsid w:val="004378CC"/>
    <w:rsid w:val="00437BC9"/>
    <w:rsid w:val="00440558"/>
    <w:rsid w:val="0044307C"/>
    <w:rsid w:val="004430C6"/>
    <w:rsid w:val="00443889"/>
    <w:rsid w:val="00443961"/>
    <w:rsid w:val="00443A75"/>
    <w:rsid w:val="00443AD4"/>
    <w:rsid w:val="00446040"/>
    <w:rsid w:val="004472DC"/>
    <w:rsid w:val="00447FC6"/>
    <w:rsid w:val="004504C7"/>
    <w:rsid w:val="00450FF7"/>
    <w:rsid w:val="00451A2E"/>
    <w:rsid w:val="004529D2"/>
    <w:rsid w:val="00452ACE"/>
    <w:rsid w:val="00453BED"/>
    <w:rsid w:val="004543F0"/>
    <w:rsid w:val="0045467C"/>
    <w:rsid w:val="00454753"/>
    <w:rsid w:val="00454A83"/>
    <w:rsid w:val="00454BA1"/>
    <w:rsid w:val="00454F7C"/>
    <w:rsid w:val="004556AB"/>
    <w:rsid w:val="00455C6A"/>
    <w:rsid w:val="00455D01"/>
    <w:rsid w:val="00457AB3"/>
    <w:rsid w:val="004606F6"/>
    <w:rsid w:val="004617AC"/>
    <w:rsid w:val="004619C7"/>
    <w:rsid w:val="004628CE"/>
    <w:rsid w:val="00463159"/>
    <w:rsid w:val="00463D15"/>
    <w:rsid w:val="004640F9"/>
    <w:rsid w:val="0046467D"/>
    <w:rsid w:val="00464C15"/>
    <w:rsid w:val="00465F33"/>
    <w:rsid w:val="00466DAB"/>
    <w:rsid w:val="00466FA4"/>
    <w:rsid w:val="00466FB7"/>
    <w:rsid w:val="004672FD"/>
    <w:rsid w:val="00467C5E"/>
    <w:rsid w:val="00471409"/>
    <w:rsid w:val="004716D9"/>
    <w:rsid w:val="004719FC"/>
    <w:rsid w:val="00471E19"/>
    <w:rsid w:val="004723C1"/>
    <w:rsid w:val="004731C5"/>
    <w:rsid w:val="00473D83"/>
    <w:rsid w:val="00474373"/>
    <w:rsid w:val="004749A4"/>
    <w:rsid w:val="00474A61"/>
    <w:rsid w:val="00475026"/>
    <w:rsid w:val="00475419"/>
    <w:rsid w:val="004774E0"/>
    <w:rsid w:val="0047784F"/>
    <w:rsid w:val="00477893"/>
    <w:rsid w:val="004779D9"/>
    <w:rsid w:val="00480231"/>
    <w:rsid w:val="004808E8"/>
    <w:rsid w:val="004811C2"/>
    <w:rsid w:val="00481520"/>
    <w:rsid w:val="00483A77"/>
    <w:rsid w:val="0048482E"/>
    <w:rsid w:val="00484E06"/>
    <w:rsid w:val="0048591A"/>
    <w:rsid w:val="00486508"/>
    <w:rsid w:val="00486578"/>
    <w:rsid w:val="00487C6E"/>
    <w:rsid w:val="004917C6"/>
    <w:rsid w:val="00493EC9"/>
    <w:rsid w:val="00493FFE"/>
    <w:rsid w:val="00495203"/>
    <w:rsid w:val="0049550C"/>
    <w:rsid w:val="0049597D"/>
    <w:rsid w:val="00495E41"/>
    <w:rsid w:val="00496461"/>
    <w:rsid w:val="00496A3B"/>
    <w:rsid w:val="00497408"/>
    <w:rsid w:val="004A10E5"/>
    <w:rsid w:val="004A25CA"/>
    <w:rsid w:val="004A27F8"/>
    <w:rsid w:val="004A2836"/>
    <w:rsid w:val="004A5933"/>
    <w:rsid w:val="004A5B0B"/>
    <w:rsid w:val="004A6A4A"/>
    <w:rsid w:val="004A7741"/>
    <w:rsid w:val="004B0E5B"/>
    <w:rsid w:val="004B31E1"/>
    <w:rsid w:val="004B331F"/>
    <w:rsid w:val="004B3A51"/>
    <w:rsid w:val="004B59D2"/>
    <w:rsid w:val="004B5CE2"/>
    <w:rsid w:val="004B6CC8"/>
    <w:rsid w:val="004B6FE1"/>
    <w:rsid w:val="004B75ED"/>
    <w:rsid w:val="004C0810"/>
    <w:rsid w:val="004C0BBF"/>
    <w:rsid w:val="004C0C78"/>
    <w:rsid w:val="004C1CBB"/>
    <w:rsid w:val="004C3ABC"/>
    <w:rsid w:val="004C3F97"/>
    <w:rsid w:val="004C4097"/>
    <w:rsid w:val="004C498C"/>
    <w:rsid w:val="004C665E"/>
    <w:rsid w:val="004D07DC"/>
    <w:rsid w:val="004D0A93"/>
    <w:rsid w:val="004D1EA7"/>
    <w:rsid w:val="004D3042"/>
    <w:rsid w:val="004D48BC"/>
    <w:rsid w:val="004D49D7"/>
    <w:rsid w:val="004D5CDE"/>
    <w:rsid w:val="004D5ED4"/>
    <w:rsid w:val="004D6989"/>
    <w:rsid w:val="004D6AE9"/>
    <w:rsid w:val="004D6DEC"/>
    <w:rsid w:val="004D70F3"/>
    <w:rsid w:val="004D74DE"/>
    <w:rsid w:val="004D7616"/>
    <w:rsid w:val="004E0928"/>
    <w:rsid w:val="004E0E0C"/>
    <w:rsid w:val="004E19DB"/>
    <w:rsid w:val="004E2D20"/>
    <w:rsid w:val="004E3C01"/>
    <w:rsid w:val="004E5ED7"/>
    <w:rsid w:val="004E60BF"/>
    <w:rsid w:val="004F387E"/>
    <w:rsid w:val="004F5689"/>
    <w:rsid w:val="004F5705"/>
    <w:rsid w:val="004F6288"/>
    <w:rsid w:val="004F6792"/>
    <w:rsid w:val="004F6B08"/>
    <w:rsid w:val="004F6D2E"/>
    <w:rsid w:val="004F7AA8"/>
    <w:rsid w:val="00500055"/>
    <w:rsid w:val="00500515"/>
    <w:rsid w:val="00500D3C"/>
    <w:rsid w:val="005012CF"/>
    <w:rsid w:val="005017DB"/>
    <w:rsid w:val="00501B99"/>
    <w:rsid w:val="00502641"/>
    <w:rsid w:val="00502A16"/>
    <w:rsid w:val="00502A9B"/>
    <w:rsid w:val="005047B6"/>
    <w:rsid w:val="00504E86"/>
    <w:rsid w:val="00505D27"/>
    <w:rsid w:val="00505F14"/>
    <w:rsid w:val="00507203"/>
    <w:rsid w:val="005072C1"/>
    <w:rsid w:val="00507D98"/>
    <w:rsid w:val="005107C4"/>
    <w:rsid w:val="005108DD"/>
    <w:rsid w:val="00510E9F"/>
    <w:rsid w:val="005111A8"/>
    <w:rsid w:val="005112AA"/>
    <w:rsid w:val="005124F4"/>
    <w:rsid w:val="0051274A"/>
    <w:rsid w:val="005129E7"/>
    <w:rsid w:val="0051372B"/>
    <w:rsid w:val="00513BFC"/>
    <w:rsid w:val="00513D5B"/>
    <w:rsid w:val="00513FE6"/>
    <w:rsid w:val="00514E1C"/>
    <w:rsid w:val="0051503F"/>
    <w:rsid w:val="0051582D"/>
    <w:rsid w:val="00516FD0"/>
    <w:rsid w:val="00517676"/>
    <w:rsid w:val="00521729"/>
    <w:rsid w:val="00521A24"/>
    <w:rsid w:val="00521DD8"/>
    <w:rsid w:val="00522729"/>
    <w:rsid w:val="00522D51"/>
    <w:rsid w:val="00522FF0"/>
    <w:rsid w:val="00523D86"/>
    <w:rsid w:val="0052484D"/>
    <w:rsid w:val="00526536"/>
    <w:rsid w:val="00526878"/>
    <w:rsid w:val="00526F1C"/>
    <w:rsid w:val="00532412"/>
    <w:rsid w:val="005332E7"/>
    <w:rsid w:val="00533763"/>
    <w:rsid w:val="00535093"/>
    <w:rsid w:val="00536D00"/>
    <w:rsid w:val="00537129"/>
    <w:rsid w:val="00541EC4"/>
    <w:rsid w:val="005420BC"/>
    <w:rsid w:val="005437B8"/>
    <w:rsid w:val="005438AE"/>
    <w:rsid w:val="0054393B"/>
    <w:rsid w:val="00543E5C"/>
    <w:rsid w:val="00544077"/>
    <w:rsid w:val="005442F1"/>
    <w:rsid w:val="005443A4"/>
    <w:rsid w:val="00544E82"/>
    <w:rsid w:val="005452B3"/>
    <w:rsid w:val="00545A38"/>
    <w:rsid w:val="0054615C"/>
    <w:rsid w:val="00546DF9"/>
    <w:rsid w:val="00546E58"/>
    <w:rsid w:val="005474DB"/>
    <w:rsid w:val="0055030A"/>
    <w:rsid w:val="00550926"/>
    <w:rsid w:val="00551671"/>
    <w:rsid w:val="00551FAF"/>
    <w:rsid w:val="005520D3"/>
    <w:rsid w:val="00552869"/>
    <w:rsid w:val="00552CF1"/>
    <w:rsid w:val="00553806"/>
    <w:rsid w:val="00553833"/>
    <w:rsid w:val="0055477F"/>
    <w:rsid w:val="0055484B"/>
    <w:rsid w:val="00555148"/>
    <w:rsid w:val="0055541A"/>
    <w:rsid w:val="00555ADB"/>
    <w:rsid w:val="0055674F"/>
    <w:rsid w:val="00556CE4"/>
    <w:rsid w:val="00557199"/>
    <w:rsid w:val="00557205"/>
    <w:rsid w:val="00557C58"/>
    <w:rsid w:val="005606E0"/>
    <w:rsid w:val="00562A30"/>
    <w:rsid w:val="00562DE7"/>
    <w:rsid w:val="00563681"/>
    <w:rsid w:val="00564231"/>
    <w:rsid w:val="005643CE"/>
    <w:rsid w:val="00565DCA"/>
    <w:rsid w:val="00566A78"/>
    <w:rsid w:val="0057020D"/>
    <w:rsid w:val="005705BF"/>
    <w:rsid w:val="0057112D"/>
    <w:rsid w:val="005715C1"/>
    <w:rsid w:val="00571D27"/>
    <w:rsid w:val="00571D2D"/>
    <w:rsid w:val="0057293E"/>
    <w:rsid w:val="00572F20"/>
    <w:rsid w:val="0057321D"/>
    <w:rsid w:val="0057415A"/>
    <w:rsid w:val="005772D4"/>
    <w:rsid w:val="00577FE7"/>
    <w:rsid w:val="00580167"/>
    <w:rsid w:val="005808C8"/>
    <w:rsid w:val="00580A6A"/>
    <w:rsid w:val="00580A81"/>
    <w:rsid w:val="00580C38"/>
    <w:rsid w:val="00581EBB"/>
    <w:rsid w:val="00582426"/>
    <w:rsid w:val="005830C5"/>
    <w:rsid w:val="00584A5B"/>
    <w:rsid w:val="00584A8E"/>
    <w:rsid w:val="00584F3E"/>
    <w:rsid w:val="0058524F"/>
    <w:rsid w:val="00585870"/>
    <w:rsid w:val="00586B99"/>
    <w:rsid w:val="00587035"/>
    <w:rsid w:val="005877B2"/>
    <w:rsid w:val="00587B47"/>
    <w:rsid w:val="0059007D"/>
    <w:rsid w:val="005906B0"/>
    <w:rsid w:val="00590CFC"/>
    <w:rsid w:val="00590F6A"/>
    <w:rsid w:val="005912ED"/>
    <w:rsid w:val="005914D5"/>
    <w:rsid w:val="005930A3"/>
    <w:rsid w:val="0059311E"/>
    <w:rsid w:val="00593247"/>
    <w:rsid w:val="005936A0"/>
    <w:rsid w:val="00593799"/>
    <w:rsid w:val="00594402"/>
    <w:rsid w:val="005944DB"/>
    <w:rsid w:val="0059496F"/>
    <w:rsid w:val="00594B12"/>
    <w:rsid w:val="00595767"/>
    <w:rsid w:val="00595AE8"/>
    <w:rsid w:val="005961C8"/>
    <w:rsid w:val="00596348"/>
    <w:rsid w:val="00596965"/>
    <w:rsid w:val="005A0FBC"/>
    <w:rsid w:val="005A16D6"/>
    <w:rsid w:val="005A19D6"/>
    <w:rsid w:val="005A1B01"/>
    <w:rsid w:val="005A2422"/>
    <w:rsid w:val="005A38FB"/>
    <w:rsid w:val="005A423F"/>
    <w:rsid w:val="005A46C5"/>
    <w:rsid w:val="005A582C"/>
    <w:rsid w:val="005A5C13"/>
    <w:rsid w:val="005A64CF"/>
    <w:rsid w:val="005B058D"/>
    <w:rsid w:val="005B0ED0"/>
    <w:rsid w:val="005B39F7"/>
    <w:rsid w:val="005B41A8"/>
    <w:rsid w:val="005B6445"/>
    <w:rsid w:val="005B6A66"/>
    <w:rsid w:val="005B6E7E"/>
    <w:rsid w:val="005C01C4"/>
    <w:rsid w:val="005C0A12"/>
    <w:rsid w:val="005C1032"/>
    <w:rsid w:val="005C1F7E"/>
    <w:rsid w:val="005C2191"/>
    <w:rsid w:val="005C233F"/>
    <w:rsid w:val="005C3AD3"/>
    <w:rsid w:val="005C4B32"/>
    <w:rsid w:val="005C5AD7"/>
    <w:rsid w:val="005C64D0"/>
    <w:rsid w:val="005C6720"/>
    <w:rsid w:val="005C68FA"/>
    <w:rsid w:val="005C7999"/>
    <w:rsid w:val="005D0BB9"/>
    <w:rsid w:val="005D2D94"/>
    <w:rsid w:val="005D3897"/>
    <w:rsid w:val="005D3D3D"/>
    <w:rsid w:val="005D4A9E"/>
    <w:rsid w:val="005D4E95"/>
    <w:rsid w:val="005D5082"/>
    <w:rsid w:val="005D5717"/>
    <w:rsid w:val="005D57E6"/>
    <w:rsid w:val="005D58B0"/>
    <w:rsid w:val="005D5C69"/>
    <w:rsid w:val="005D6079"/>
    <w:rsid w:val="005D690D"/>
    <w:rsid w:val="005D6F6F"/>
    <w:rsid w:val="005D72EA"/>
    <w:rsid w:val="005E0FF3"/>
    <w:rsid w:val="005E29A7"/>
    <w:rsid w:val="005E2A5B"/>
    <w:rsid w:val="005E3322"/>
    <w:rsid w:val="005E35C9"/>
    <w:rsid w:val="005E3DC3"/>
    <w:rsid w:val="005E41DD"/>
    <w:rsid w:val="005E437E"/>
    <w:rsid w:val="005E7BFC"/>
    <w:rsid w:val="005E7F3E"/>
    <w:rsid w:val="005F08CD"/>
    <w:rsid w:val="005F3A75"/>
    <w:rsid w:val="005F3FC0"/>
    <w:rsid w:val="005F437A"/>
    <w:rsid w:val="005F4F73"/>
    <w:rsid w:val="005F56A9"/>
    <w:rsid w:val="005F58BF"/>
    <w:rsid w:val="005F6080"/>
    <w:rsid w:val="005F6A2E"/>
    <w:rsid w:val="00600DBB"/>
    <w:rsid w:val="0060158A"/>
    <w:rsid w:val="00601B43"/>
    <w:rsid w:val="00601E26"/>
    <w:rsid w:val="00602915"/>
    <w:rsid w:val="00602A47"/>
    <w:rsid w:val="00602F3B"/>
    <w:rsid w:val="006043C5"/>
    <w:rsid w:val="00604582"/>
    <w:rsid w:val="0060592D"/>
    <w:rsid w:val="0060596C"/>
    <w:rsid w:val="00605D25"/>
    <w:rsid w:val="00605E94"/>
    <w:rsid w:val="00606D3F"/>
    <w:rsid w:val="0060EF18"/>
    <w:rsid w:val="00610A1B"/>
    <w:rsid w:val="006112CB"/>
    <w:rsid w:val="00612782"/>
    <w:rsid w:val="00612ABD"/>
    <w:rsid w:val="006136E7"/>
    <w:rsid w:val="00613C4A"/>
    <w:rsid w:val="00614131"/>
    <w:rsid w:val="00614510"/>
    <w:rsid w:val="006147AA"/>
    <w:rsid w:val="00615116"/>
    <w:rsid w:val="006152BA"/>
    <w:rsid w:val="006167AF"/>
    <w:rsid w:val="00616B17"/>
    <w:rsid w:val="006171C3"/>
    <w:rsid w:val="0062081A"/>
    <w:rsid w:val="00620A83"/>
    <w:rsid w:val="00620E51"/>
    <w:rsid w:val="0062157F"/>
    <w:rsid w:val="006228F8"/>
    <w:rsid w:val="00622945"/>
    <w:rsid w:val="00623DEF"/>
    <w:rsid w:val="00624053"/>
    <w:rsid w:val="00625D04"/>
    <w:rsid w:val="00626518"/>
    <w:rsid w:val="006269FB"/>
    <w:rsid w:val="006271FA"/>
    <w:rsid w:val="006302DA"/>
    <w:rsid w:val="006325FC"/>
    <w:rsid w:val="00632C84"/>
    <w:rsid w:val="0063306B"/>
    <w:rsid w:val="0063345A"/>
    <w:rsid w:val="00633B5E"/>
    <w:rsid w:val="00634548"/>
    <w:rsid w:val="00634D7C"/>
    <w:rsid w:val="006350A7"/>
    <w:rsid w:val="006357E9"/>
    <w:rsid w:val="006358A7"/>
    <w:rsid w:val="00636829"/>
    <w:rsid w:val="00637440"/>
    <w:rsid w:val="00637B2F"/>
    <w:rsid w:val="00637F43"/>
    <w:rsid w:val="00640E08"/>
    <w:rsid w:val="006425B1"/>
    <w:rsid w:val="00642AF0"/>
    <w:rsid w:val="00642B16"/>
    <w:rsid w:val="00643D2E"/>
    <w:rsid w:val="00643D54"/>
    <w:rsid w:val="00643F38"/>
    <w:rsid w:val="00643FB5"/>
    <w:rsid w:val="00645180"/>
    <w:rsid w:val="00646A69"/>
    <w:rsid w:val="00646D56"/>
    <w:rsid w:val="00647374"/>
    <w:rsid w:val="00647965"/>
    <w:rsid w:val="00647D64"/>
    <w:rsid w:val="00647EE3"/>
    <w:rsid w:val="00650216"/>
    <w:rsid w:val="00651147"/>
    <w:rsid w:val="006517C6"/>
    <w:rsid w:val="00651DFD"/>
    <w:rsid w:val="006526B8"/>
    <w:rsid w:val="00653495"/>
    <w:rsid w:val="006551EA"/>
    <w:rsid w:val="00655C7A"/>
    <w:rsid w:val="006560C6"/>
    <w:rsid w:val="00656130"/>
    <w:rsid w:val="006569B3"/>
    <w:rsid w:val="00657337"/>
    <w:rsid w:val="00657346"/>
    <w:rsid w:val="0066105D"/>
    <w:rsid w:val="0066131F"/>
    <w:rsid w:val="00661545"/>
    <w:rsid w:val="006621F4"/>
    <w:rsid w:val="00663ADF"/>
    <w:rsid w:val="00663F99"/>
    <w:rsid w:val="00665288"/>
    <w:rsid w:val="006652CA"/>
    <w:rsid w:val="006660AB"/>
    <w:rsid w:val="00666EC8"/>
    <w:rsid w:val="00667028"/>
    <w:rsid w:val="006678FB"/>
    <w:rsid w:val="00667937"/>
    <w:rsid w:val="00671867"/>
    <w:rsid w:val="006735E1"/>
    <w:rsid w:val="00673C8E"/>
    <w:rsid w:val="00674381"/>
    <w:rsid w:val="0067453C"/>
    <w:rsid w:val="006746C9"/>
    <w:rsid w:val="00675452"/>
    <w:rsid w:val="00676497"/>
    <w:rsid w:val="00676EA7"/>
    <w:rsid w:val="00677AA0"/>
    <w:rsid w:val="00677CC7"/>
    <w:rsid w:val="006800D1"/>
    <w:rsid w:val="0068014D"/>
    <w:rsid w:val="00680607"/>
    <w:rsid w:val="00680754"/>
    <w:rsid w:val="00680BFB"/>
    <w:rsid w:val="00680E6D"/>
    <w:rsid w:val="00680F3D"/>
    <w:rsid w:val="0068153A"/>
    <w:rsid w:val="00681CAC"/>
    <w:rsid w:val="00681DB0"/>
    <w:rsid w:val="0068211B"/>
    <w:rsid w:val="0068295D"/>
    <w:rsid w:val="00682BA7"/>
    <w:rsid w:val="006833E3"/>
    <w:rsid w:val="00683EB2"/>
    <w:rsid w:val="006840A7"/>
    <w:rsid w:val="006856AF"/>
    <w:rsid w:val="00686283"/>
    <w:rsid w:val="00686B3C"/>
    <w:rsid w:val="00686E9C"/>
    <w:rsid w:val="00686FE4"/>
    <w:rsid w:val="00687068"/>
    <w:rsid w:val="00687B5A"/>
    <w:rsid w:val="00690941"/>
    <w:rsid w:val="00690B15"/>
    <w:rsid w:val="006916F2"/>
    <w:rsid w:val="0069170B"/>
    <w:rsid w:val="0069209C"/>
    <w:rsid w:val="00693B5F"/>
    <w:rsid w:val="00693E58"/>
    <w:rsid w:val="00694207"/>
    <w:rsid w:val="00694348"/>
    <w:rsid w:val="00694FED"/>
    <w:rsid w:val="006976DD"/>
    <w:rsid w:val="00697827"/>
    <w:rsid w:val="006A031F"/>
    <w:rsid w:val="006A0E8C"/>
    <w:rsid w:val="006A131E"/>
    <w:rsid w:val="006A14B2"/>
    <w:rsid w:val="006A15ED"/>
    <w:rsid w:val="006A225D"/>
    <w:rsid w:val="006A2942"/>
    <w:rsid w:val="006A45E1"/>
    <w:rsid w:val="006A5D34"/>
    <w:rsid w:val="006A67A7"/>
    <w:rsid w:val="006A6A57"/>
    <w:rsid w:val="006A77C1"/>
    <w:rsid w:val="006A7884"/>
    <w:rsid w:val="006A7964"/>
    <w:rsid w:val="006B06BB"/>
    <w:rsid w:val="006B1582"/>
    <w:rsid w:val="006B19D6"/>
    <w:rsid w:val="006B1FFA"/>
    <w:rsid w:val="006B2BA9"/>
    <w:rsid w:val="006B3B2F"/>
    <w:rsid w:val="006B3FFC"/>
    <w:rsid w:val="006B5086"/>
    <w:rsid w:val="006B59BD"/>
    <w:rsid w:val="006C00E0"/>
    <w:rsid w:val="006C0459"/>
    <w:rsid w:val="006C058F"/>
    <w:rsid w:val="006C07B5"/>
    <w:rsid w:val="006C0A32"/>
    <w:rsid w:val="006C0E58"/>
    <w:rsid w:val="006C109B"/>
    <w:rsid w:val="006C14D4"/>
    <w:rsid w:val="006C19D6"/>
    <w:rsid w:val="006C242D"/>
    <w:rsid w:val="006C3233"/>
    <w:rsid w:val="006C5093"/>
    <w:rsid w:val="006C626A"/>
    <w:rsid w:val="006D067D"/>
    <w:rsid w:val="006D0B84"/>
    <w:rsid w:val="006D3587"/>
    <w:rsid w:val="006D48EB"/>
    <w:rsid w:val="006D61E3"/>
    <w:rsid w:val="006E006A"/>
    <w:rsid w:val="006E033E"/>
    <w:rsid w:val="006E0A90"/>
    <w:rsid w:val="006E23FE"/>
    <w:rsid w:val="006E24F7"/>
    <w:rsid w:val="006E2AB5"/>
    <w:rsid w:val="006E3FB1"/>
    <w:rsid w:val="006E4348"/>
    <w:rsid w:val="006E539E"/>
    <w:rsid w:val="006E5804"/>
    <w:rsid w:val="006E65A4"/>
    <w:rsid w:val="006E683C"/>
    <w:rsid w:val="006E693E"/>
    <w:rsid w:val="006F0C50"/>
    <w:rsid w:val="006F1341"/>
    <w:rsid w:val="006F221F"/>
    <w:rsid w:val="006F3F1C"/>
    <w:rsid w:val="006F4070"/>
    <w:rsid w:val="006F68E5"/>
    <w:rsid w:val="006F691C"/>
    <w:rsid w:val="006F7A95"/>
    <w:rsid w:val="00700E43"/>
    <w:rsid w:val="007019C7"/>
    <w:rsid w:val="0070209F"/>
    <w:rsid w:val="00702642"/>
    <w:rsid w:val="00702AC3"/>
    <w:rsid w:val="00703CAA"/>
    <w:rsid w:val="00704B81"/>
    <w:rsid w:val="00705198"/>
    <w:rsid w:val="00705451"/>
    <w:rsid w:val="007076C3"/>
    <w:rsid w:val="00707C0D"/>
    <w:rsid w:val="007100C2"/>
    <w:rsid w:val="00711038"/>
    <w:rsid w:val="007112A9"/>
    <w:rsid w:val="007122DA"/>
    <w:rsid w:val="00712351"/>
    <w:rsid w:val="007135B4"/>
    <w:rsid w:val="00713A7F"/>
    <w:rsid w:val="00715952"/>
    <w:rsid w:val="00716D7B"/>
    <w:rsid w:val="00717687"/>
    <w:rsid w:val="007178FA"/>
    <w:rsid w:val="0071793F"/>
    <w:rsid w:val="007211A1"/>
    <w:rsid w:val="007214F9"/>
    <w:rsid w:val="007215D1"/>
    <w:rsid w:val="00721D21"/>
    <w:rsid w:val="00723AD8"/>
    <w:rsid w:val="00724153"/>
    <w:rsid w:val="007249B5"/>
    <w:rsid w:val="00725BC2"/>
    <w:rsid w:val="007263F4"/>
    <w:rsid w:val="00726F31"/>
    <w:rsid w:val="007302F7"/>
    <w:rsid w:val="007304FE"/>
    <w:rsid w:val="0073057F"/>
    <w:rsid w:val="0073068B"/>
    <w:rsid w:val="007314AD"/>
    <w:rsid w:val="007317FE"/>
    <w:rsid w:val="00731E91"/>
    <w:rsid w:val="0073273A"/>
    <w:rsid w:val="0073356E"/>
    <w:rsid w:val="00734B62"/>
    <w:rsid w:val="007355A2"/>
    <w:rsid w:val="007356CD"/>
    <w:rsid w:val="00736016"/>
    <w:rsid w:val="00737091"/>
    <w:rsid w:val="00737192"/>
    <w:rsid w:val="00737E73"/>
    <w:rsid w:val="00740CA7"/>
    <w:rsid w:val="00740DC1"/>
    <w:rsid w:val="007416BE"/>
    <w:rsid w:val="00742A3E"/>
    <w:rsid w:val="00743DD3"/>
    <w:rsid w:val="0074499C"/>
    <w:rsid w:val="00745806"/>
    <w:rsid w:val="007458FB"/>
    <w:rsid w:val="007460B0"/>
    <w:rsid w:val="0075026A"/>
    <w:rsid w:val="007510CA"/>
    <w:rsid w:val="007521F9"/>
    <w:rsid w:val="00752A75"/>
    <w:rsid w:val="00752F98"/>
    <w:rsid w:val="00753513"/>
    <w:rsid w:val="0075383A"/>
    <w:rsid w:val="007539A2"/>
    <w:rsid w:val="0075417A"/>
    <w:rsid w:val="00754D54"/>
    <w:rsid w:val="0075500C"/>
    <w:rsid w:val="007558F4"/>
    <w:rsid w:val="007567C9"/>
    <w:rsid w:val="00756BF0"/>
    <w:rsid w:val="00757B14"/>
    <w:rsid w:val="00761443"/>
    <w:rsid w:val="0076144B"/>
    <w:rsid w:val="00762D40"/>
    <w:rsid w:val="00762FAE"/>
    <w:rsid w:val="00763808"/>
    <w:rsid w:val="00764472"/>
    <w:rsid w:val="0076469B"/>
    <w:rsid w:val="007648D3"/>
    <w:rsid w:val="00764A3B"/>
    <w:rsid w:val="0076548B"/>
    <w:rsid w:val="007656CA"/>
    <w:rsid w:val="007667C1"/>
    <w:rsid w:val="00766DC8"/>
    <w:rsid w:val="00766DCC"/>
    <w:rsid w:val="00766EA3"/>
    <w:rsid w:val="00767154"/>
    <w:rsid w:val="007701CE"/>
    <w:rsid w:val="0077020C"/>
    <w:rsid w:val="0077057E"/>
    <w:rsid w:val="00770748"/>
    <w:rsid w:val="00770E90"/>
    <w:rsid w:val="007714B5"/>
    <w:rsid w:val="0077294A"/>
    <w:rsid w:val="00772E71"/>
    <w:rsid w:val="00773480"/>
    <w:rsid w:val="00773760"/>
    <w:rsid w:val="00774294"/>
    <w:rsid w:val="007756FB"/>
    <w:rsid w:val="00775B3B"/>
    <w:rsid w:val="00776D50"/>
    <w:rsid w:val="00776DAA"/>
    <w:rsid w:val="00777F2C"/>
    <w:rsid w:val="007800D6"/>
    <w:rsid w:val="00781F9B"/>
    <w:rsid w:val="007825BE"/>
    <w:rsid w:val="00782A85"/>
    <w:rsid w:val="00782F75"/>
    <w:rsid w:val="007831E7"/>
    <w:rsid w:val="00786467"/>
    <w:rsid w:val="00787163"/>
    <w:rsid w:val="0078757E"/>
    <w:rsid w:val="0079062E"/>
    <w:rsid w:val="00790A2D"/>
    <w:rsid w:val="00791794"/>
    <w:rsid w:val="00791CDF"/>
    <w:rsid w:val="0079369F"/>
    <w:rsid w:val="00793971"/>
    <w:rsid w:val="00794445"/>
    <w:rsid w:val="0079451F"/>
    <w:rsid w:val="00794C86"/>
    <w:rsid w:val="0079530D"/>
    <w:rsid w:val="00796BB7"/>
    <w:rsid w:val="00797434"/>
    <w:rsid w:val="007A0EC5"/>
    <w:rsid w:val="007A1B76"/>
    <w:rsid w:val="007A2978"/>
    <w:rsid w:val="007A2E5D"/>
    <w:rsid w:val="007A4680"/>
    <w:rsid w:val="007A5663"/>
    <w:rsid w:val="007A5D87"/>
    <w:rsid w:val="007A5E47"/>
    <w:rsid w:val="007A67EA"/>
    <w:rsid w:val="007A711B"/>
    <w:rsid w:val="007A7DE0"/>
    <w:rsid w:val="007B0F69"/>
    <w:rsid w:val="007B1169"/>
    <w:rsid w:val="007B1196"/>
    <w:rsid w:val="007B1271"/>
    <w:rsid w:val="007B2348"/>
    <w:rsid w:val="007B2E73"/>
    <w:rsid w:val="007B32C8"/>
    <w:rsid w:val="007B466C"/>
    <w:rsid w:val="007B5D42"/>
    <w:rsid w:val="007B66EF"/>
    <w:rsid w:val="007B7290"/>
    <w:rsid w:val="007B7B2B"/>
    <w:rsid w:val="007C011E"/>
    <w:rsid w:val="007C027C"/>
    <w:rsid w:val="007C3A60"/>
    <w:rsid w:val="007C3BCB"/>
    <w:rsid w:val="007C52CC"/>
    <w:rsid w:val="007C62B5"/>
    <w:rsid w:val="007C659D"/>
    <w:rsid w:val="007C65A6"/>
    <w:rsid w:val="007C6878"/>
    <w:rsid w:val="007C6FE6"/>
    <w:rsid w:val="007C704F"/>
    <w:rsid w:val="007C7AD2"/>
    <w:rsid w:val="007C7FD7"/>
    <w:rsid w:val="007D0D3F"/>
    <w:rsid w:val="007D142C"/>
    <w:rsid w:val="007D197B"/>
    <w:rsid w:val="007D1C3F"/>
    <w:rsid w:val="007D2B5A"/>
    <w:rsid w:val="007D2CF5"/>
    <w:rsid w:val="007D3D9C"/>
    <w:rsid w:val="007D66B3"/>
    <w:rsid w:val="007D66B4"/>
    <w:rsid w:val="007D7592"/>
    <w:rsid w:val="007E0122"/>
    <w:rsid w:val="007E242A"/>
    <w:rsid w:val="007E28B9"/>
    <w:rsid w:val="007E2F10"/>
    <w:rsid w:val="007E3909"/>
    <w:rsid w:val="007E3970"/>
    <w:rsid w:val="007E3CD0"/>
    <w:rsid w:val="007E3E8E"/>
    <w:rsid w:val="007E4821"/>
    <w:rsid w:val="007E4E68"/>
    <w:rsid w:val="007E6C18"/>
    <w:rsid w:val="007E7404"/>
    <w:rsid w:val="007E7578"/>
    <w:rsid w:val="007F0892"/>
    <w:rsid w:val="007F0FBB"/>
    <w:rsid w:val="007F1521"/>
    <w:rsid w:val="007F23E5"/>
    <w:rsid w:val="007F25AE"/>
    <w:rsid w:val="007F27C6"/>
    <w:rsid w:val="007F2F9F"/>
    <w:rsid w:val="007F3CC8"/>
    <w:rsid w:val="007F4170"/>
    <w:rsid w:val="007F4570"/>
    <w:rsid w:val="007F4DD1"/>
    <w:rsid w:val="007F4E29"/>
    <w:rsid w:val="007F4EA8"/>
    <w:rsid w:val="007F55C6"/>
    <w:rsid w:val="007F589D"/>
    <w:rsid w:val="007F6B51"/>
    <w:rsid w:val="008001F8"/>
    <w:rsid w:val="00800AC5"/>
    <w:rsid w:val="008010DC"/>
    <w:rsid w:val="00801FBD"/>
    <w:rsid w:val="00801FED"/>
    <w:rsid w:val="008028C8"/>
    <w:rsid w:val="00805DC9"/>
    <w:rsid w:val="00806A5C"/>
    <w:rsid w:val="00806EE2"/>
    <w:rsid w:val="00810069"/>
    <w:rsid w:val="00811E64"/>
    <w:rsid w:val="0081230C"/>
    <w:rsid w:val="0081280D"/>
    <w:rsid w:val="008129BA"/>
    <w:rsid w:val="00813B2E"/>
    <w:rsid w:val="008146B0"/>
    <w:rsid w:val="00815CB0"/>
    <w:rsid w:val="00817BDD"/>
    <w:rsid w:val="00820378"/>
    <w:rsid w:val="008209BC"/>
    <w:rsid w:val="008209FD"/>
    <w:rsid w:val="00820A2A"/>
    <w:rsid w:val="00820E58"/>
    <w:rsid w:val="00821F13"/>
    <w:rsid w:val="00823CFC"/>
    <w:rsid w:val="00825598"/>
    <w:rsid w:val="0082688A"/>
    <w:rsid w:val="00826C15"/>
    <w:rsid w:val="00827041"/>
    <w:rsid w:val="0083073B"/>
    <w:rsid w:val="00831A0B"/>
    <w:rsid w:val="00831ACA"/>
    <w:rsid w:val="00832096"/>
    <w:rsid w:val="00832CEB"/>
    <w:rsid w:val="008337BC"/>
    <w:rsid w:val="00834888"/>
    <w:rsid w:val="00835209"/>
    <w:rsid w:val="00835CCD"/>
    <w:rsid w:val="00835DFF"/>
    <w:rsid w:val="00835E6E"/>
    <w:rsid w:val="008368E0"/>
    <w:rsid w:val="00836A77"/>
    <w:rsid w:val="00836E4B"/>
    <w:rsid w:val="00837053"/>
    <w:rsid w:val="00837BA2"/>
    <w:rsid w:val="00837DCC"/>
    <w:rsid w:val="00837E92"/>
    <w:rsid w:val="00837EDE"/>
    <w:rsid w:val="00840A03"/>
    <w:rsid w:val="00841AD4"/>
    <w:rsid w:val="00841EED"/>
    <w:rsid w:val="00842262"/>
    <w:rsid w:val="00842315"/>
    <w:rsid w:val="00842CA2"/>
    <w:rsid w:val="008430F8"/>
    <w:rsid w:val="00843C6D"/>
    <w:rsid w:val="00844F71"/>
    <w:rsid w:val="008454A9"/>
    <w:rsid w:val="00846C8E"/>
    <w:rsid w:val="00846F35"/>
    <w:rsid w:val="00846F4A"/>
    <w:rsid w:val="0084741D"/>
    <w:rsid w:val="00847A26"/>
    <w:rsid w:val="00847C19"/>
    <w:rsid w:val="0085045C"/>
    <w:rsid w:val="00852A16"/>
    <w:rsid w:val="00852DEB"/>
    <w:rsid w:val="00852EAB"/>
    <w:rsid w:val="0085311D"/>
    <w:rsid w:val="008538C3"/>
    <w:rsid w:val="00854C28"/>
    <w:rsid w:val="00854FFA"/>
    <w:rsid w:val="00855A6D"/>
    <w:rsid w:val="00855F9B"/>
    <w:rsid w:val="0085611E"/>
    <w:rsid w:val="00856FFE"/>
    <w:rsid w:val="0086036B"/>
    <w:rsid w:val="00861CB6"/>
    <w:rsid w:val="0086257F"/>
    <w:rsid w:val="00862B6D"/>
    <w:rsid w:val="00865179"/>
    <w:rsid w:val="008656F9"/>
    <w:rsid w:val="0086579B"/>
    <w:rsid w:val="00866036"/>
    <w:rsid w:val="00866CE0"/>
    <w:rsid w:val="00871E60"/>
    <w:rsid w:val="008729DC"/>
    <w:rsid w:val="00872BC5"/>
    <w:rsid w:val="0087300C"/>
    <w:rsid w:val="0087311A"/>
    <w:rsid w:val="00873205"/>
    <w:rsid w:val="008743F4"/>
    <w:rsid w:val="0087575F"/>
    <w:rsid w:val="00876D79"/>
    <w:rsid w:val="00877C93"/>
    <w:rsid w:val="00880CD4"/>
    <w:rsid w:val="00881509"/>
    <w:rsid w:val="00881661"/>
    <w:rsid w:val="00881D14"/>
    <w:rsid w:val="00883669"/>
    <w:rsid w:val="00884D09"/>
    <w:rsid w:val="00884FE5"/>
    <w:rsid w:val="008862A9"/>
    <w:rsid w:val="008863CF"/>
    <w:rsid w:val="008869C6"/>
    <w:rsid w:val="00886A9E"/>
    <w:rsid w:val="00886E3A"/>
    <w:rsid w:val="00887841"/>
    <w:rsid w:val="00887E89"/>
    <w:rsid w:val="00890723"/>
    <w:rsid w:val="0089083E"/>
    <w:rsid w:val="00892AA9"/>
    <w:rsid w:val="00892FCD"/>
    <w:rsid w:val="008930F4"/>
    <w:rsid w:val="008940A0"/>
    <w:rsid w:val="008943AF"/>
    <w:rsid w:val="00894785"/>
    <w:rsid w:val="00895B8C"/>
    <w:rsid w:val="00895F49"/>
    <w:rsid w:val="00896386"/>
    <w:rsid w:val="008978AC"/>
    <w:rsid w:val="008A076D"/>
    <w:rsid w:val="008A2DF5"/>
    <w:rsid w:val="008A4959"/>
    <w:rsid w:val="008A57FD"/>
    <w:rsid w:val="008A5829"/>
    <w:rsid w:val="008A7233"/>
    <w:rsid w:val="008A7902"/>
    <w:rsid w:val="008A7AA1"/>
    <w:rsid w:val="008B00C9"/>
    <w:rsid w:val="008B0334"/>
    <w:rsid w:val="008B0515"/>
    <w:rsid w:val="008B2561"/>
    <w:rsid w:val="008B2B43"/>
    <w:rsid w:val="008B3215"/>
    <w:rsid w:val="008B376B"/>
    <w:rsid w:val="008B3BF3"/>
    <w:rsid w:val="008B57BA"/>
    <w:rsid w:val="008B642A"/>
    <w:rsid w:val="008B770A"/>
    <w:rsid w:val="008B78B6"/>
    <w:rsid w:val="008B7F89"/>
    <w:rsid w:val="008C091F"/>
    <w:rsid w:val="008C32ED"/>
    <w:rsid w:val="008C33BE"/>
    <w:rsid w:val="008C3983"/>
    <w:rsid w:val="008C43ED"/>
    <w:rsid w:val="008C556B"/>
    <w:rsid w:val="008C582D"/>
    <w:rsid w:val="008C650A"/>
    <w:rsid w:val="008C7156"/>
    <w:rsid w:val="008C744B"/>
    <w:rsid w:val="008C757A"/>
    <w:rsid w:val="008C759C"/>
    <w:rsid w:val="008D0410"/>
    <w:rsid w:val="008D11E4"/>
    <w:rsid w:val="008D22DE"/>
    <w:rsid w:val="008D2F72"/>
    <w:rsid w:val="008D4AB1"/>
    <w:rsid w:val="008D4E18"/>
    <w:rsid w:val="008D62E9"/>
    <w:rsid w:val="008D6CEF"/>
    <w:rsid w:val="008D6F6B"/>
    <w:rsid w:val="008D7236"/>
    <w:rsid w:val="008D7AC6"/>
    <w:rsid w:val="008D7ADC"/>
    <w:rsid w:val="008E0188"/>
    <w:rsid w:val="008E1733"/>
    <w:rsid w:val="008E2162"/>
    <w:rsid w:val="008E3B93"/>
    <w:rsid w:val="008E3CC8"/>
    <w:rsid w:val="008E3F72"/>
    <w:rsid w:val="008E40C8"/>
    <w:rsid w:val="008E50A0"/>
    <w:rsid w:val="008E55A4"/>
    <w:rsid w:val="008E7776"/>
    <w:rsid w:val="008E7D81"/>
    <w:rsid w:val="008F00D5"/>
    <w:rsid w:val="008F1353"/>
    <w:rsid w:val="008F18FE"/>
    <w:rsid w:val="008F2CFA"/>
    <w:rsid w:val="008F33F9"/>
    <w:rsid w:val="008F5393"/>
    <w:rsid w:val="008F60C9"/>
    <w:rsid w:val="008F6E9F"/>
    <w:rsid w:val="0090002E"/>
    <w:rsid w:val="0090013F"/>
    <w:rsid w:val="00900752"/>
    <w:rsid w:val="00900D4D"/>
    <w:rsid w:val="00900F4A"/>
    <w:rsid w:val="00901AE2"/>
    <w:rsid w:val="0090241E"/>
    <w:rsid w:val="00902532"/>
    <w:rsid w:val="00902C17"/>
    <w:rsid w:val="0090318E"/>
    <w:rsid w:val="009039AD"/>
    <w:rsid w:val="00903F22"/>
    <w:rsid w:val="0090558D"/>
    <w:rsid w:val="00905A02"/>
    <w:rsid w:val="00905BEB"/>
    <w:rsid w:val="00906CD6"/>
    <w:rsid w:val="00906FA7"/>
    <w:rsid w:val="00911289"/>
    <w:rsid w:val="009112EB"/>
    <w:rsid w:val="00911EDC"/>
    <w:rsid w:val="00912267"/>
    <w:rsid w:val="00912B82"/>
    <w:rsid w:val="00914995"/>
    <w:rsid w:val="009156AD"/>
    <w:rsid w:val="00916B76"/>
    <w:rsid w:val="00916C26"/>
    <w:rsid w:val="009172BA"/>
    <w:rsid w:val="00920333"/>
    <w:rsid w:val="0092041B"/>
    <w:rsid w:val="009209C6"/>
    <w:rsid w:val="00921003"/>
    <w:rsid w:val="00921702"/>
    <w:rsid w:val="00922CAD"/>
    <w:rsid w:val="00923099"/>
    <w:rsid w:val="009232A1"/>
    <w:rsid w:val="00923F85"/>
    <w:rsid w:val="009242DE"/>
    <w:rsid w:val="00924936"/>
    <w:rsid w:val="00924BDF"/>
    <w:rsid w:val="00924D06"/>
    <w:rsid w:val="00925C4D"/>
    <w:rsid w:val="009264FC"/>
    <w:rsid w:val="009267B2"/>
    <w:rsid w:val="0092777B"/>
    <w:rsid w:val="00931777"/>
    <w:rsid w:val="00931CF8"/>
    <w:rsid w:val="00932535"/>
    <w:rsid w:val="00932F95"/>
    <w:rsid w:val="00932FEC"/>
    <w:rsid w:val="00936CD9"/>
    <w:rsid w:val="009370CB"/>
    <w:rsid w:val="009378A0"/>
    <w:rsid w:val="00940F75"/>
    <w:rsid w:val="00941068"/>
    <w:rsid w:val="009426C7"/>
    <w:rsid w:val="00943540"/>
    <w:rsid w:val="00943551"/>
    <w:rsid w:val="0094416D"/>
    <w:rsid w:val="009450F0"/>
    <w:rsid w:val="00945F14"/>
    <w:rsid w:val="00945FFE"/>
    <w:rsid w:val="0094615C"/>
    <w:rsid w:val="00946233"/>
    <w:rsid w:val="009474B2"/>
    <w:rsid w:val="009507AE"/>
    <w:rsid w:val="00951EA9"/>
    <w:rsid w:val="009526D3"/>
    <w:rsid w:val="00952ACC"/>
    <w:rsid w:val="0095314F"/>
    <w:rsid w:val="009540EA"/>
    <w:rsid w:val="00954106"/>
    <w:rsid w:val="00954A59"/>
    <w:rsid w:val="009560B9"/>
    <w:rsid w:val="009566FF"/>
    <w:rsid w:val="00960EB5"/>
    <w:rsid w:val="0096152A"/>
    <w:rsid w:val="00961CEB"/>
    <w:rsid w:val="00963C8C"/>
    <w:rsid w:val="0096429F"/>
    <w:rsid w:val="009643BB"/>
    <w:rsid w:val="00964F72"/>
    <w:rsid w:val="009659A9"/>
    <w:rsid w:val="00965C5B"/>
    <w:rsid w:val="00965DAD"/>
    <w:rsid w:val="00965F17"/>
    <w:rsid w:val="00966AE6"/>
    <w:rsid w:val="00966CE9"/>
    <w:rsid w:val="00966EEC"/>
    <w:rsid w:val="00967A2F"/>
    <w:rsid w:val="00967FB2"/>
    <w:rsid w:val="00970294"/>
    <w:rsid w:val="0097037B"/>
    <w:rsid w:val="00970D23"/>
    <w:rsid w:val="00971953"/>
    <w:rsid w:val="009721BC"/>
    <w:rsid w:val="0097222E"/>
    <w:rsid w:val="00972291"/>
    <w:rsid w:val="0097284A"/>
    <w:rsid w:val="00972A84"/>
    <w:rsid w:val="00973264"/>
    <w:rsid w:val="0097482B"/>
    <w:rsid w:val="00974E2A"/>
    <w:rsid w:val="0097552C"/>
    <w:rsid w:val="00975B20"/>
    <w:rsid w:val="00981852"/>
    <w:rsid w:val="00981D80"/>
    <w:rsid w:val="00981F05"/>
    <w:rsid w:val="00982B21"/>
    <w:rsid w:val="0098306A"/>
    <w:rsid w:val="00984160"/>
    <w:rsid w:val="00984698"/>
    <w:rsid w:val="00984BAF"/>
    <w:rsid w:val="00984C4E"/>
    <w:rsid w:val="0098580A"/>
    <w:rsid w:val="00985BE0"/>
    <w:rsid w:val="00986C08"/>
    <w:rsid w:val="009874F2"/>
    <w:rsid w:val="009878B2"/>
    <w:rsid w:val="00987A38"/>
    <w:rsid w:val="0099038A"/>
    <w:rsid w:val="009903CB"/>
    <w:rsid w:val="00990566"/>
    <w:rsid w:val="00990951"/>
    <w:rsid w:val="00990B58"/>
    <w:rsid w:val="00991687"/>
    <w:rsid w:val="00991FA1"/>
    <w:rsid w:val="00992667"/>
    <w:rsid w:val="00992AA3"/>
    <w:rsid w:val="00992BBC"/>
    <w:rsid w:val="009969AC"/>
    <w:rsid w:val="0099709D"/>
    <w:rsid w:val="00997BA4"/>
    <w:rsid w:val="00997DF8"/>
    <w:rsid w:val="009A0662"/>
    <w:rsid w:val="009A0DE8"/>
    <w:rsid w:val="009A0E7B"/>
    <w:rsid w:val="009A11CA"/>
    <w:rsid w:val="009A2440"/>
    <w:rsid w:val="009A4BC9"/>
    <w:rsid w:val="009A519E"/>
    <w:rsid w:val="009A5C6F"/>
    <w:rsid w:val="009A65A6"/>
    <w:rsid w:val="009A68C9"/>
    <w:rsid w:val="009A6A41"/>
    <w:rsid w:val="009A6EBD"/>
    <w:rsid w:val="009B0866"/>
    <w:rsid w:val="009B0923"/>
    <w:rsid w:val="009B0CA2"/>
    <w:rsid w:val="009B0CF3"/>
    <w:rsid w:val="009B22E6"/>
    <w:rsid w:val="009B2A7F"/>
    <w:rsid w:val="009B417D"/>
    <w:rsid w:val="009B4CC0"/>
    <w:rsid w:val="009B5526"/>
    <w:rsid w:val="009B6587"/>
    <w:rsid w:val="009B6F1A"/>
    <w:rsid w:val="009B7082"/>
    <w:rsid w:val="009C1309"/>
    <w:rsid w:val="009C151E"/>
    <w:rsid w:val="009C23EE"/>
    <w:rsid w:val="009C283D"/>
    <w:rsid w:val="009C36D8"/>
    <w:rsid w:val="009C38EB"/>
    <w:rsid w:val="009C3D4F"/>
    <w:rsid w:val="009C4CF4"/>
    <w:rsid w:val="009C686B"/>
    <w:rsid w:val="009C6A9A"/>
    <w:rsid w:val="009C7438"/>
    <w:rsid w:val="009C7B7F"/>
    <w:rsid w:val="009D0AE6"/>
    <w:rsid w:val="009D0F09"/>
    <w:rsid w:val="009D16FA"/>
    <w:rsid w:val="009D2067"/>
    <w:rsid w:val="009D265E"/>
    <w:rsid w:val="009D4487"/>
    <w:rsid w:val="009D4541"/>
    <w:rsid w:val="009D4D88"/>
    <w:rsid w:val="009D4E42"/>
    <w:rsid w:val="009D5276"/>
    <w:rsid w:val="009D554E"/>
    <w:rsid w:val="009D5949"/>
    <w:rsid w:val="009D5A03"/>
    <w:rsid w:val="009D62EF"/>
    <w:rsid w:val="009D6847"/>
    <w:rsid w:val="009D6B8F"/>
    <w:rsid w:val="009D6BDB"/>
    <w:rsid w:val="009D71D2"/>
    <w:rsid w:val="009D7944"/>
    <w:rsid w:val="009D7B9C"/>
    <w:rsid w:val="009E1321"/>
    <w:rsid w:val="009E31BE"/>
    <w:rsid w:val="009E365D"/>
    <w:rsid w:val="009E4255"/>
    <w:rsid w:val="009E6AF8"/>
    <w:rsid w:val="009E6B97"/>
    <w:rsid w:val="009E6CB1"/>
    <w:rsid w:val="009E7B2B"/>
    <w:rsid w:val="009E7CE8"/>
    <w:rsid w:val="009F066C"/>
    <w:rsid w:val="009F0C6E"/>
    <w:rsid w:val="009F147E"/>
    <w:rsid w:val="009F214A"/>
    <w:rsid w:val="009F3C28"/>
    <w:rsid w:val="009F5C72"/>
    <w:rsid w:val="009F6C48"/>
    <w:rsid w:val="009F75C5"/>
    <w:rsid w:val="00A00247"/>
    <w:rsid w:val="00A0263D"/>
    <w:rsid w:val="00A0275C"/>
    <w:rsid w:val="00A03634"/>
    <w:rsid w:val="00A04132"/>
    <w:rsid w:val="00A07D14"/>
    <w:rsid w:val="00A10877"/>
    <w:rsid w:val="00A11262"/>
    <w:rsid w:val="00A112A5"/>
    <w:rsid w:val="00A13CB9"/>
    <w:rsid w:val="00A14083"/>
    <w:rsid w:val="00A15207"/>
    <w:rsid w:val="00A155EE"/>
    <w:rsid w:val="00A15E76"/>
    <w:rsid w:val="00A162BA"/>
    <w:rsid w:val="00A16D15"/>
    <w:rsid w:val="00A17031"/>
    <w:rsid w:val="00A17282"/>
    <w:rsid w:val="00A21215"/>
    <w:rsid w:val="00A2153D"/>
    <w:rsid w:val="00A21C1B"/>
    <w:rsid w:val="00A21FDB"/>
    <w:rsid w:val="00A226A1"/>
    <w:rsid w:val="00A22CE0"/>
    <w:rsid w:val="00A232A6"/>
    <w:rsid w:val="00A23F2A"/>
    <w:rsid w:val="00A23FC4"/>
    <w:rsid w:val="00A246E4"/>
    <w:rsid w:val="00A262E8"/>
    <w:rsid w:val="00A26B8C"/>
    <w:rsid w:val="00A279B0"/>
    <w:rsid w:val="00A27D90"/>
    <w:rsid w:val="00A300B5"/>
    <w:rsid w:val="00A302EE"/>
    <w:rsid w:val="00A303DC"/>
    <w:rsid w:val="00A308E6"/>
    <w:rsid w:val="00A32542"/>
    <w:rsid w:val="00A33E09"/>
    <w:rsid w:val="00A34460"/>
    <w:rsid w:val="00A34841"/>
    <w:rsid w:val="00A34963"/>
    <w:rsid w:val="00A3556B"/>
    <w:rsid w:val="00A356A3"/>
    <w:rsid w:val="00A3578B"/>
    <w:rsid w:val="00A35FC6"/>
    <w:rsid w:val="00A36108"/>
    <w:rsid w:val="00A361F9"/>
    <w:rsid w:val="00A36206"/>
    <w:rsid w:val="00A42E1B"/>
    <w:rsid w:val="00A43111"/>
    <w:rsid w:val="00A442B0"/>
    <w:rsid w:val="00A459ED"/>
    <w:rsid w:val="00A4698A"/>
    <w:rsid w:val="00A46AA6"/>
    <w:rsid w:val="00A5091A"/>
    <w:rsid w:val="00A50EF5"/>
    <w:rsid w:val="00A511FC"/>
    <w:rsid w:val="00A524C3"/>
    <w:rsid w:val="00A527EB"/>
    <w:rsid w:val="00A528B7"/>
    <w:rsid w:val="00A5369B"/>
    <w:rsid w:val="00A543AC"/>
    <w:rsid w:val="00A5455F"/>
    <w:rsid w:val="00A54BDC"/>
    <w:rsid w:val="00A550FD"/>
    <w:rsid w:val="00A55367"/>
    <w:rsid w:val="00A557A2"/>
    <w:rsid w:val="00A56F1F"/>
    <w:rsid w:val="00A57642"/>
    <w:rsid w:val="00A60B39"/>
    <w:rsid w:val="00A618C5"/>
    <w:rsid w:val="00A61ECE"/>
    <w:rsid w:val="00A624C8"/>
    <w:rsid w:val="00A6343D"/>
    <w:rsid w:val="00A6397F"/>
    <w:rsid w:val="00A642FB"/>
    <w:rsid w:val="00A6453B"/>
    <w:rsid w:val="00A64F68"/>
    <w:rsid w:val="00A6606D"/>
    <w:rsid w:val="00A6613F"/>
    <w:rsid w:val="00A6651A"/>
    <w:rsid w:val="00A66E90"/>
    <w:rsid w:val="00A671D9"/>
    <w:rsid w:val="00A67D63"/>
    <w:rsid w:val="00A71E80"/>
    <w:rsid w:val="00A731DA"/>
    <w:rsid w:val="00A736A0"/>
    <w:rsid w:val="00A745FE"/>
    <w:rsid w:val="00A77038"/>
    <w:rsid w:val="00A802F9"/>
    <w:rsid w:val="00A80F4D"/>
    <w:rsid w:val="00A80F56"/>
    <w:rsid w:val="00A81697"/>
    <w:rsid w:val="00A82021"/>
    <w:rsid w:val="00A83099"/>
    <w:rsid w:val="00A83EDA"/>
    <w:rsid w:val="00A843C4"/>
    <w:rsid w:val="00A84E4E"/>
    <w:rsid w:val="00A85B02"/>
    <w:rsid w:val="00A8625F"/>
    <w:rsid w:val="00A864CE"/>
    <w:rsid w:val="00A87199"/>
    <w:rsid w:val="00A873C2"/>
    <w:rsid w:val="00A91600"/>
    <w:rsid w:val="00A924EB"/>
    <w:rsid w:val="00A937BE"/>
    <w:rsid w:val="00A93D17"/>
    <w:rsid w:val="00A9625B"/>
    <w:rsid w:val="00A96BDE"/>
    <w:rsid w:val="00AA18B6"/>
    <w:rsid w:val="00AA332B"/>
    <w:rsid w:val="00AA339C"/>
    <w:rsid w:val="00AA479C"/>
    <w:rsid w:val="00AA47ED"/>
    <w:rsid w:val="00AA493D"/>
    <w:rsid w:val="00AA4A75"/>
    <w:rsid w:val="00AA5FFA"/>
    <w:rsid w:val="00AA6252"/>
    <w:rsid w:val="00AB093C"/>
    <w:rsid w:val="00AB19A7"/>
    <w:rsid w:val="00AB1C02"/>
    <w:rsid w:val="00AB3A81"/>
    <w:rsid w:val="00AB3D8A"/>
    <w:rsid w:val="00AB424E"/>
    <w:rsid w:val="00AB449E"/>
    <w:rsid w:val="00AB5B68"/>
    <w:rsid w:val="00AB7FDC"/>
    <w:rsid w:val="00AC085C"/>
    <w:rsid w:val="00AC08C3"/>
    <w:rsid w:val="00AC1DBD"/>
    <w:rsid w:val="00AC1F7E"/>
    <w:rsid w:val="00AC2A92"/>
    <w:rsid w:val="00AC2D46"/>
    <w:rsid w:val="00AC3FB3"/>
    <w:rsid w:val="00AC4434"/>
    <w:rsid w:val="00AC4A15"/>
    <w:rsid w:val="00AC4B57"/>
    <w:rsid w:val="00AC4F7A"/>
    <w:rsid w:val="00AC67DA"/>
    <w:rsid w:val="00AC70DF"/>
    <w:rsid w:val="00AC7A67"/>
    <w:rsid w:val="00AD0C73"/>
    <w:rsid w:val="00AD10ED"/>
    <w:rsid w:val="00AD1B9E"/>
    <w:rsid w:val="00AD1F27"/>
    <w:rsid w:val="00AD23F8"/>
    <w:rsid w:val="00AD3065"/>
    <w:rsid w:val="00AD3A1F"/>
    <w:rsid w:val="00AD42D5"/>
    <w:rsid w:val="00AD45F1"/>
    <w:rsid w:val="00AD51CD"/>
    <w:rsid w:val="00AD5FA2"/>
    <w:rsid w:val="00AD603F"/>
    <w:rsid w:val="00AD688A"/>
    <w:rsid w:val="00AD7965"/>
    <w:rsid w:val="00AE0E50"/>
    <w:rsid w:val="00AE102F"/>
    <w:rsid w:val="00AE10DD"/>
    <w:rsid w:val="00AE17EA"/>
    <w:rsid w:val="00AE2DEE"/>
    <w:rsid w:val="00AE2DFF"/>
    <w:rsid w:val="00AE4C23"/>
    <w:rsid w:val="00AE4CA2"/>
    <w:rsid w:val="00AE50AE"/>
    <w:rsid w:val="00AE5B07"/>
    <w:rsid w:val="00AE722A"/>
    <w:rsid w:val="00AE7C6B"/>
    <w:rsid w:val="00AF0F08"/>
    <w:rsid w:val="00AF11AA"/>
    <w:rsid w:val="00AF14DE"/>
    <w:rsid w:val="00AF1BF8"/>
    <w:rsid w:val="00AF2332"/>
    <w:rsid w:val="00AF28D4"/>
    <w:rsid w:val="00AF3071"/>
    <w:rsid w:val="00AF3667"/>
    <w:rsid w:val="00AF3EBC"/>
    <w:rsid w:val="00AF5448"/>
    <w:rsid w:val="00AF5D34"/>
    <w:rsid w:val="00AF6B15"/>
    <w:rsid w:val="00AF7399"/>
    <w:rsid w:val="00AF7FB4"/>
    <w:rsid w:val="00B00D3D"/>
    <w:rsid w:val="00B00E16"/>
    <w:rsid w:val="00B00F0F"/>
    <w:rsid w:val="00B01BC9"/>
    <w:rsid w:val="00B036A4"/>
    <w:rsid w:val="00B03889"/>
    <w:rsid w:val="00B041F2"/>
    <w:rsid w:val="00B05191"/>
    <w:rsid w:val="00B065F9"/>
    <w:rsid w:val="00B06B3D"/>
    <w:rsid w:val="00B1087F"/>
    <w:rsid w:val="00B11A3A"/>
    <w:rsid w:val="00B12510"/>
    <w:rsid w:val="00B130E0"/>
    <w:rsid w:val="00B1359E"/>
    <w:rsid w:val="00B138AF"/>
    <w:rsid w:val="00B14666"/>
    <w:rsid w:val="00B14816"/>
    <w:rsid w:val="00B148F3"/>
    <w:rsid w:val="00B14E4F"/>
    <w:rsid w:val="00B168AF"/>
    <w:rsid w:val="00B169D4"/>
    <w:rsid w:val="00B1795B"/>
    <w:rsid w:val="00B2016F"/>
    <w:rsid w:val="00B20253"/>
    <w:rsid w:val="00B2047E"/>
    <w:rsid w:val="00B22519"/>
    <w:rsid w:val="00B22BEE"/>
    <w:rsid w:val="00B22D3C"/>
    <w:rsid w:val="00B23A26"/>
    <w:rsid w:val="00B249CA"/>
    <w:rsid w:val="00B24D7E"/>
    <w:rsid w:val="00B253E9"/>
    <w:rsid w:val="00B259FB"/>
    <w:rsid w:val="00B25E42"/>
    <w:rsid w:val="00B26946"/>
    <w:rsid w:val="00B26978"/>
    <w:rsid w:val="00B26DBA"/>
    <w:rsid w:val="00B26DFC"/>
    <w:rsid w:val="00B27C4F"/>
    <w:rsid w:val="00B30CAA"/>
    <w:rsid w:val="00B30DA4"/>
    <w:rsid w:val="00B31542"/>
    <w:rsid w:val="00B31B52"/>
    <w:rsid w:val="00B32041"/>
    <w:rsid w:val="00B32335"/>
    <w:rsid w:val="00B3243C"/>
    <w:rsid w:val="00B3265C"/>
    <w:rsid w:val="00B32A8D"/>
    <w:rsid w:val="00B33956"/>
    <w:rsid w:val="00B34B23"/>
    <w:rsid w:val="00B34C70"/>
    <w:rsid w:val="00B35175"/>
    <w:rsid w:val="00B35769"/>
    <w:rsid w:val="00B360F7"/>
    <w:rsid w:val="00B3690E"/>
    <w:rsid w:val="00B37AB5"/>
    <w:rsid w:val="00B37BC8"/>
    <w:rsid w:val="00B42E12"/>
    <w:rsid w:val="00B43BB8"/>
    <w:rsid w:val="00B44EF3"/>
    <w:rsid w:val="00B450FF"/>
    <w:rsid w:val="00B45272"/>
    <w:rsid w:val="00B45A2A"/>
    <w:rsid w:val="00B45C78"/>
    <w:rsid w:val="00B468EA"/>
    <w:rsid w:val="00B47240"/>
    <w:rsid w:val="00B4779A"/>
    <w:rsid w:val="00B47C26"/>
    <w:rsid w:val="00B51B5D"/>
    <w:rsid w:val="00B51BE6"/>
    <w:rsid w:val="00B52299"/>
    <w:rsid w:val="00B5241C"/>
    <w:rsid w:val="00B5337D"/>
    <w:rsid w:val="00B536DB"/>
    <w:rsid w:val="00B53A61"/>
    <w:rsid w:val="00B54909"/>
    <w:rsid w:val="00B54A0E"/>
    <w:rsid w:val="00B5570A"/>
    <w:rsid w:val="00B570F3"/>
    <w:rsid w:val="00B572FF"/>
    <w:rsid w:val="00B57903"/>
    <w:rsid w:val="00B6053F"/>
    <w:rsid w:val="00B60E47"/>
    <w:rsid w:val="00B62B8E"/>
    <w:rsid w:val="00B634B5"/>
    <w:rsid w:val="00B640B8"/>
    <w:rsid w:val="00B64922"/>
    <w:rsid w:val="00B64FC1"/>
    <w:rsid w:val="00B66C55"/>
    <w:rsid w:val="00B677C5"/>
    <w:rsid w:val="00B67C0B"/>
    <w:rsid w:val="00B70944"/>
    <w:rsid w:val="00B70A8A"/>
    <w:rsid w:val="00B70C67"/>
    <w:rsid w:val="00B7129F"/>
    <w:rsid w:val="00B719B1"/>
    <w:rsid w:val="00B721E6"/>
    <w:rsid w:val="00B72927"/>
    <w:rsid w:val="00B7356E"/>
    <w:rsid w:val="00B74F5B"/>
    <w:rsid w:val="00B75744"/>
    <w:rsid w:val="00B76131"/>
    <w:rsid w:val="00B76AE9"/>
    <w:rsid w:val="00B76DD9"/>
    <w:rsid w:val="00B7766D"/>
    <w:rsid w:val="00B77DD6"/>
    <w:rsid w:val="00B77EFC"/>
    <w:rsid w:val="00B77FA5"/>
    <w:rsid w:val="00B8167C"/>
    <w:rsid w:val="00B81920"/>
    <w:rsid w:val="00B819CD"/>
    <w:rsid w:val="00B81CCF"/>
    <w:rsid w:val="00B82416"/>
    <w:rsid w:val="00B84028"/>
    <w:rsid w:val="00B84782"/>
    <w:rsid w:val="00B84F3B"/>
    <w:rsid w:val="00B84F54"/>
    <w:rsid w:val="00B86049"/>
    <w:rsid w:val="00B86991"/>
    <w:rsid w:val="00B87986"/>
    <w:rsid w:val="00B879B3"/>
    <w:rsid w:val="00B87A07"/>
    <w:rsid w:val="00B907D0"/>
    <w:rsid w:val="00B90848"/>
    <w:rsid w:val="00B911FF"/>
    <w:rsid w:val="00B91BC4"/>
    <w:rsid w:val="00B91FDA"/>
    <w:rsid w:val="00B9397E"/>
    <w:rsid w:val="00B9489D"/>
    <w:rsid w:val="00B94F9F"/>
    <w:rsid w:val="00B9509C"/>
    <w:rsid w:val="00B95526"/>
    <w:rsid w:val="00B96399"/>
    <w:rsid w:val="00B96518"/>
    <w:rsid w:val="00BA0680"/>
    <w:rsid w:val="00BA0E71"/>
    <w:rsid w:val="00BA1007"/>
    <w:rsid w:val="00BA1D2F"/>
    <w:rsid w:val="00BA1EBF"/>
    <w:rsid w:val="00BA37A9"/>
    <w:rsid w:val="00BA3824"/>
    <w:rsid w:val="00BA4D3A"/>
    <w:rsid w:val="00BA4FF8"/>
    <w:rsid w:val="00BA54C2"/>
    <w:rsid w:val="00BA57AC"/>
    <w:rsid w:val="00BA7397"/>
    <w:rsid w:val="00BB06F5"/>
    <w:rsid w:val="00BB1159"/>
    <w:rsid w:val="00BB3BFB"/>
    <w:rsid w:val="00BB48A2"/>
    <w:rsid w:val="00BB78C1"/>
    <w:rsid w:val="00BB78EE"/>
    <w:rsid w:val="00BC026B"/>
    <w:rsid w:val="00BC0849"/>
    <w:rsid w:val="00BC1281"/>
    <w:rsid w:val="00BC15AA"/>
    <w:rsid w:val="00BC1CF1"/>
    <w:rsid w:val="00BC3106"/>
    <w:rsid w:val="00BC315F"/>
    <w:rsid w:val="00BC34CB"/>
    <w:rsid w:val="00BC3ACE"/>
    <w:rsid w:val="00BC3E43"/>
    <w:rsid w:val="00BC448E"/>
    <w:rsid w:val="00BC58FA"/>
    <w:rsid w:val="00BC5BE5"/>
    <w:rsid w:val="00BC5FD0"/>
    <w:rsid w:val="00BC62D0"/>
    <w:rsid w:val="00BC6C8A"/>
    <w:rsid w:val="00BC7138"/>
    <w:rsid w:val="00BD0D84"/>
    <w:rsid w:val="00BD1351"/>
    <w:rsid w:val="00BD1B04"/>
    <w:rsid w:val="00BD2427"/>
    <w:rsid w:val="00BD2764"/>
    <w:rsid w:val="00BD296C"/>
    <w:rsid w:val="00BD2AAA"/>
    <w:rsid w:val="00BD389A"/>
    <w:rsid w:val="00BD40BC"/>
    <w:rsid w:val="00BD45D1"/>
    <w:rsid w:val="00BD4B15"/>
    <w:rsid w:val="00BD632B"/>
    <w:rsid w:val="00BD6469"/>
    <w:rsid w:val="00BD775C"/>
    <w:rsid w:val="00BE0839"/>
    <w:rsid w:val="00BE0A0B"/>
    <w:rsid w:val="00BE0F85"/>
    <w:rsid w:val="00BE1885"/>
    <w:rsid w:val="00BE1CAC"/>
    <w:rsid w:val="00BE2262"/>
    <w:rsid w:val="00BE2B10"/>
    <w:rsid w:val="00BE3079"/>
    <w:rsid w:val="00BE415B"/>
    <w:rsid w:val="00BE4347"/>
    <w:rsid w:val="00BE55A4"/>
    <w:rsid w:val="00BE5E7F"/>
    <w:rsid w:val="00BE74A9"/>
    <w:rsid w:val="00BF0CB3"/>
    <w:rsid w:val="00BF12AF"/>
    <w:rsid w:val="00BF218A"/>
    <w:rsid w:val="00BF3B4C"/>
    <w:rsid w:val="00BF4169"/>
    <w:rsid w:val="00BF5847"/>
    <w:rsid w:val="00BF6C30"/>
    <w:rsid w:val="00BF7A77"/>
    <w:rsid w:val="00BF7E09"/>
    <w:rsid w:val="00C0172F"/>
    <w:rsid w:val="00C017B3"/>
    <w:rsid w:val="00C0252D"/>
    <w:rsid w:val="00C03B42"/>
    <w:rsid w:val="00C041D6"/>
    <w:rsid w:val="00C04E45"/>
    <w:rsid w:val="00C04F03"/>
    <w:rsid w:val="00C05076"/>
    <w:rsid w:val="00C051E1"/>
    <w:rsid w:val="00C05540"/>
    <w:rsid w:val="00C06CC5"/>
    <w:rsid w:val="00C07F43"/>
    <w:rsid w:val="00C1036D"/>
    <w:rsid w:val="00C11511"/>
    <w:rsid w:val="00C12E43"/>
    <w:rsid w:val="00C1393A"/>
    <w:rsid w:val="00C13C88"/>
    <w:rsid w:val="00C13EAC"/>
    <w:rsid w:val="00C1469F"/>
    <w:rsid w:val="00C15B59"/>
    <w:rsid w:val="00C17A5C"/>
    <w:rsid w:val="00C17D94"/>
    <w:rsid w:val="00C200B6"/>
    <w:rsid w:val="00C21018"/>
    <w:rsid w:val="00C23ADA"/>
    <w:rsid w:val="00C25116"/>
    <w:rsid w:val="00C25436"/>
    <w:rsid w:val="00C255C6"/>
    <w:rsid w:val="00C25B48"/>
    <w:rsid w:val="00C26303"/>
    <w:rsid w:val="00C2661C"/>
    <w:rsid w:val="00C26840"/>
    <w:rsid w:val="00C26938"/>
    <w:rsid w:val="00C279F5"/>
    <w:rsid w:val="00C27BE8"/>
    <w:rsid w:val="00C30DFF"/>
    <w:rsid w:val="00C31207"/>
    <w:rsid w:val="00C353B6"/>
    <w:rsid w:val="00C35DF2"/>
    <w:rsid w:val="00C36617"/>
    <w:rsid w:val="00C375E4"/>
    <w:rsid w:val="00C37CC3"/>
    <w:rsid w:val="00C402BF"/>
    <w:rsid w:val="00C40D13"/>
    <w:rsid w:val="00C4244E"/>
    <w:rsid w:val="00C44A73"/>
    <w:rsid w:val="00C44C51"/>
    <w:rsid w:val="00C44EF9"/>
    <w:rsid w:val="00C4546A"/>
    <w:rsid w:val="00C45BA4"/>
    <w:rsid w:val="00C46148"/>
    <w:rsid w:val="00C46E8E"/>
    <w:rsid w:val="00C4731D"/>
    <w:rsid w:val="00C479A7"/>
    <w:rsid w:val="00C47E06"/>
    <w:rsid w:val="00C51FB0"/>
    <w:rsid w:val="00C52902"/>
    <w:rsid w:val="00C52D59"/>
    <w:rsid w:val="00C53405"/>
    <w:rsid w:val="00C53504"/>
    <w:rsid w:val="00C538B9"/>
    <w:rsid w:val="00C53CD2"/>
    <w:rsid w:val="00C54C1D"/>
    <w:rsid w:val="00C56E8C"/>
    <w:rsid w:val="00C57E0A"/>
    <w:rsid w:val="00C603DE"/>
    <w:rsid w:val="00C60B59"/>
    <w:rsid w:val="00C62EF2"/>
    <w:rsid w:val="00C65797"/>
    <w:rsid w:val="00C661B4"/>
    <w:rsid w:val="00C6644F"/>
    <w:rsid w:val="00C67421"/>
    <w:rsid w:val="00C703D7"/>
    <w:rsid w:val="00C71620"/>
    <w:rsid w:val="00C71F91"/>
    <w:rsid w:val="00C72C9C"/>
    <w:rsid w:val="00C72CFF"/>
    <w:rsid w:val="00C73850"/>
    <w:rsid w:val="00C74672"/>
    <w:rsid w:val="00C76238"/>
    <w:rsid w:val="00C76B17"/>
    <w:rsid w:val="00C77660"/>
    <w:rsid w:val="00C77B80"/>
    <w:rsid w:val="00C77CD0"/>
    <w:rsid w:val="00C77EC7"/>
    <w:rsid w:val="00C800FF"/>
    <w:rsid w:val="00C82713"/>
    <w:rsid w:val="00C82B0C"/>
    <w:rsid w:val="00C82B6E"/>
    <w:rsid w:val="00C8319E"/>
    <w:rsid w:val="00C8440F"/>
    <w:rsid w:val="00C84C79"/>
    <w:rsid w:val="00C85BA0"/>
    <w:rsid w:val="00C90BA4"/>
    <w:rsid w:val="00C917D7"/>
    <w:rsid w:val="00C91E95"/>
    <w:rsid w:val="00C91FB0"/>
    <w:rsid w:val="00C9281E"/>
    <w:rsid w:val="00C9366E"/>
    <w:rsid w:val="00C936DC"/>
    <w:rsid w:val="00C94522"/>
    <w:rsid w:val="00C94B48"/>
    <w:rsid w:val="00C94D48"/>
    <w:rsid w:val="00C9543A"/>
    <w:rsid w:val="00C9624C"/>
    <w:rsid w:val="00C96271"/>
    <w:rsid w:val="00C9657B"/>
    <w:rsid w:val="00C96EAA"/>
    <w:rsid w:val="00CA0569"/>
    <w:rsid w:val="00CA0655"/>
    <w:rsid w:val="00CA0675"/>
    <w:rsid w:val="00CA1218"/>
    <w:rsid w:val="00CA1447"/>
    <w:rsid w:val="00CA1483"/>
    <w:rsid w:val="00CA1DDF"/>
    <w:rsid w:val="00CA20E5"/>
    <w:rsid w:val="00CA25E6"/>
    <w:rsid w:val="00CA41C5"/>
    <w:rsid w:val="00CA4465"/>
    <w:rsid w:val="00CA4B0A"/>
    <w:rsid w:val="00CA4C89"/>
    <w:rsid w:val="00CA511C"/>
    <w:rsid w:val="00CA5E7E"/>
    <w:rsid w:val="00CA7BB2"/>
    <w:rsid w:val="00CB01EE"/>
    <w:rsid w:val="00CB03E7"/>
    <w:rsid w:val="00CB0A67"/>
    <w:rsid w:val="00CB169C"/>
    <w:rsid w:val="00CB1AA4"/>
    <w:rsid w:val="00CB1C3D"/>
    <w:rsid w:val="00CB2004"/>
    <w:rsid w:val="00CB3140"/>
    <w:rsid w:val="00CB318C"/>
    <w:rsid w:val="00CB3348"/>
    <w:rsid w:val="00CB3887"/>
    <w:rsid w:val="00CB38F6"/>
    <w:rsid w:val="00CB3D01"/>
    <w:rsid w:val="00CB49B2"/>
    <w:rsid w:val="00CB6792"/>
    <w:rsid w:val="00CB75AD"/>
    <w:rsid w:val="00CB7AB7"/>
    <w:rsid w:val="00CC1304"/>
    <w:rsid w:val="00CC1D94"/>
    <w:rsid w:val="00CC1E70"/>
    <w:rsid w:val="00CC2EF7"/>
    <w:rsid w:val="00CC32F1"/>
    <w:rsid w:val="00CC3B6E"/>
    <w:rsid w:val="00CC5CF7"/>
    <w:rsid w:val="00CC5E45"/>
    <w:rsid w:val="00CC6DFD"/>
    <w:rsid w:val="00CC77DD"/>
    <w:rsid w:val="00CC78AE"/>
    <w:rsid w:val="00CC7C08"/>
    <w:rsid w:val="00CD11A0"/>
    <w:rsid w:val="00CD275F"/>
    <w:rsid w:val="00CD39D6"/>
    <w:rsid w:val="00CD4239"/>
    <w:rsid w:val="00CD62B9"/>
    <w:rsid w:val="00CD6C4A"/>
    <w:rsid w:val="00CD767D"/>
    <w:rsid w:val="00CD77C8"/>
    <w:rsid w:val="00CE29E7"/>
    <w:rsid w:val="00CE34F4"/>
    <w:rsid w:val="00CE39F2"/>
    <w:rsid w:val="00CE40E5"/>
    <w:rsid w:val="00CE59C2"/>
    <w:rsid w:val="00CE6985"/>
    <w:rsid w:val="00CF053B"/>
    <w:rsid w:val="00CF0597"/>
    <w:rsid w:val="00CF0A68"/>
    <w:rsid w:val="00CF0BA5"/>
    <w:rsid w:val="00CF1B2F"/>
    <w:rsid w:val="00CF21FC"/>
    <w:rsid w:val="00CF233B"/>
    <w:rsid w:val="00CF25A1"/>
    <w:rsid w:val="00CF3207"/>
    <w:rsid w:val="00CF3222"/>
    <w:rsid w:val="00CF368C"/>
    <w:rsid w:val="00CF531D"/>
    <w:rsid w:val="00CF56EA"/>
    <w:rsid w:val="00CF5808"/>
    <w:rsid w:val="00CF5902"/>
    <w:rsid w:val="00CF66B7"/>
    <w:rsid w:val="00CF7BC4"/>
    <w:rsid w:val="00CF7BDA"/>
    <w:rsid w:val="00D00A52"/>
    <w:rsid w:val="00D00FC4"/>
    <w:rsid w:val="00D0156B"/>
    <w:rsid w:val="00D015FB"/>
    <w:rsid w:val="00D03372"/>
    <w:rsid w:val="00D039BA"/>
    <w:rsid w:val="00D05D0A"/>
    <w:rsid w:val="00D060B1"/>
    <w:rsid w:val="00D067F1"/>
    <w:rsid w:val="00D06D82"/>
    <w:rsid w:val="00D06DF5"/>
    <w:rsid w:val="00D07193"/>
    <w:rsid w:val="00D078BB"/>
    <w:rsid w:val="00D10424"/>
    <w:rsid w:val="00D11180"/>
    <w:rsid w:val="00D11A4C"/>
    <w:rsid w:val="00D11ED3"/>
    <w:rsid w:val="00D12050"/>
    <w:rsid w:val="00D124D8"/>
    <w:rsid w:val="00D1275B"/>
    <w:rsid w:val="00D12CC7"/>
    <w:rsid w:val="00D133CA"/>
    <w:rsid w:val="00D16404"/>
    <w:rsid w:val="00D207F8"/>
    <w:rsid w:val="00D20E1E"/>
    <w:rsid w:val="00D22607"/>
    <w:rsid w:val="00D26372"/>
    <w:rsid w:val="00D2673C"/>
    <w:rsid w:val="00D268AB"/>
    <w:rsid w:val="00D27291"/>
    <w:rsid w:val="00D30030"/>
    <w:rsid w:val="00D3057B"/>
    <w:rsid w:val="00D306E3"/>
    <w:rsid w:val="00D326EF"/>
    <w:rsid w:val="00D33360"/>
    <w:rsid w:val="00D339F7"/>
    <w:rsid w:val="00D368A0"/>
    <w:rsid w:val="00D36CDB"/>
    <w:rsid w:val="00D3747C"/>
    <w:rsid w:val="00D37F9F"/>
    <w:rsid w:val="00D40029"/>
    <w:rsid w:val="00D406DF"/>
    <w:rsid w:val="00D408DA"/>
    <w:rsid w:val="00D40C73"/>
    <w:rsid w:val="00D414A6"/>
    <w:rsid w:val="00D417D1"/>
    <w:rsid w:val="00D420D8"/>
    <w:rsid w:val="00D423CC"/>
    <w:rsid w:val="00D43735"/>
    <w:rsid w:val="00D46617"/>
    <w:rsid w:val="00D46C49"/>
    <w:rsid w:val="00D46DD3"/>
    <w:rsid w:val="00D514E3"/>
    <w:rsid w:val="00D522E2"/>
    <w:rsid w:val="00D528D4"/>
    <w:rsid w:val="00D54C28"/>
    <w:rsid w:val="00D555FD"/>
    <w:rsid w:val="00D55AF5"/>
    <w:rsid w:val="00D55E67"/>
    <w:rsid w:val="00D562F0"/>
    <w:rsid w:val="00D5799B"/>
    <w:rsid w:val="00D6042E"/>
    <w:rsid w:val="00D611B7"/>
    <w:rsid w:val="00D614D1"/>
    <w:rsid w:val="00D622B6"/>
    <w:rsid w:val="00D63CB7"/>
    <w:rsid w:val="00D64308"/>
    <w:rsid w:val="00D6432C"/>
    <w:rsid w:val="00D64AD7"/>
    <w:rsid w:val="00D65743"/>
    <w:rsid w:val="00D6664F"/>
    <w:rsid w:val="00D66B3D"/>
    <w:rsid w:val="00D67522"/>
    <w:rsid w:val="00D678B8"/>
    <w:rsid w:val="00D7100B"/>
    <w:rsid w:val="00D71462"/>
    <w:rsid w:val="00D722A5"/>
    <w:rsid w:val="00D73022"/>
    <w:rsid w:val="00D73426"/>
    <w:rsid w:val="00D73A52"/>
    <w:rsid w:val="00D74038"/>
    <w:rsid w:val="00D74538"/>
    <w:rsid w:val="00D75B8C"/>
    <w:rsid w:val="00D76EA6"/>
    <w:rsid w:val="00D77BE7"/>
    <w:rsid w:val="00D77FC9"/>
    <w:rsid w:val="00D80166"/>
    <w:rsid w:val="00D8064A"/>
    <w:rsid w:val="00D81115"/>
    <w:rsid w:val="00D8224F"/>
    <w:rsid w:val="00D835E3"/>
    <w:rsid w:val="00D83BA6"/>
    <w:rsid w:val="00D83BC8"/>
    <w:rsid w:val="00D84921"/>
    <w:rsid w:val="00D85402"/>
    <w:rsid w:val="00D85BFD"/>
    <w:rsid w:val="00D85E25"/>
    <w:rsid w:val="00D862F7"/>
    <w:rsid w:val="00D872BA"/>
    <w:rsid w:val="00D87B7B"/>
    <w:rsid w:val="00D90629"/>
    <w:rsid w:val="00D91289"/>
    <w:rsid w:val="00D91669"/>
    <w:rsid w:val="00D91D96"/>
    <w:rsid w:val="00D926D2"/>
    <w:rsid w:val="00D929F3"/>
    <w:rsid w:val="00D9410A"/>
    <w:rsid w:val="00D9620E"/>
    <w:rsid w:val="00D966AE"/>
    <w:rsid w:val="00D97BA8"/>
    <w:rsid w:val="00D97E45"/>
    <w:rsid w:val="00DA0199"/>
    <w:rsid w:val="00DA0233"/>
    <w:rsid w:val="00DA07E0"/>
    <w:rsid w:val="00DA1178"/>
    <w:rsid w:val="00DA19CA"/>
    <w:rsid w:val="00DA2F8A"/>
    <w:rsid w:val="00DA30B8"/>
    <w:rsid w:val="00DA5977"/>
    <w:rsid w:val="00DA5C3E"/>
    <w:rsid w:val="00DB023B"/>
    <w:rsid w:val="00DB07FC"/>
    <w:rsid w:val="00DB0EAB"/>
    <w:rsid w:val="00DB106E"/>
    <w:rsid w:val="00DB199E"/>
    <w:rsid w:val="00DB1CE3"/>
    <w:rsid w:val="00DB238C"/>
    <w:rsid w:val="00DB3DE8"/>
    <w:rsid w:val="00DB43E0"/>
    <w:rsid w:val="00DB4C84"/>
    <w:rsid w:val="00DB651D"/>
    <w:rsid w:val="00DB6FB6"/>
    <w:rsid w:val="00DB75B0"/>
    <w:rsid w:val="00DB7C6E"/>
    <w:rsid w:val="00DB7F48"/>
    <w:rsid w:val="00DC2087"/>
    <w:rsid w:val="00DC334F"/>
    <w:rsid w:val="00DC374C"/>
    <w:rsid w:val="00DC3BA3"/>
    <w:rsid w:val="00DC3C06"/>
    <w:rsid w:val="00DC530D"/>
    <w:rsid w:val="00DC573D"/>
    <w:rsid w:val="00DC5DA0"/>
    <w:rsid w:val="00DC675D"/>
    <w:rsid w:val="00DC69EE"/>
    <w:rsid w:val="00DD093E"/>
    <w:rsid w:val="00DD09C7"/>
    <w:rsid w:val="00DD1273"/>
    <w:rsid w:val="00DD18B1"/>
    <w:rsid w:val="00DD2352"/>
    <w:rsid w:val="00DD25E8"/>
    <w:rsid w:val="00DD3BD9"/>
    <w:rsid w:val="00DD4B66"/>
    <w:rsid w:val="00DD5101"/>
    <w:rsid w:val="00DD52FB"/>
    <w:rsid w:val="00DD59FB"/>
    <w:rsid w:val="00DD5CA3"/>
    <w:rsid w:val="00DD6006"/>
    <w:rsid w:val="00DD6DC2"/>
    <w:rsid w:val="00DD6F57"/>
    <w:rsid w:val="00DD7F0E"/>
    <w:rsid w:val="00DE0468"/>
    <w:rsid w:val="00DE0572"/>
    <w:rsid w:val="00DE062A"/>
    <w:rsid w:val="00DE133B"/>
    <w:rsid w:val="00DE2662"/>
    <w:rsid w:val="00DE2BE4"/>
    <w:rsid w:val="00DE3E44"/>
    <w:rsid w:val="00DE4002"/>
    <w:rsid w:val="00DE448E"/>
    <w:rsid w:val="00DE453C"/>
    <w:rsid w:val="00DE4691"/>
    <w:rsid w:val="00DE4874"/>
    <w:rsid w:val="00DE55F7"/>
    <w:rsid w:val="00DE5E54"/>
    <w:rsid w:val="00DE60C3"/>
    <w:rsid w:val="00DE7556"/>
    <w:rsid w:val="00DE7D46"/>
    <w:rsid w:val="00DF040F"/>
    <w:rsid w:val="00DF07D1"/>
    <w:rsid w:val="00DF12C5"/>
    <w:rsid w:val="00DF1827"/>
    <w:rsid w:val="00DF1FF3"/>
    <w:rsid w:val="00DF2B25"/>
    <w:rsid w:val="00DF4500"/>
    <w:rsid w:val="00DF5A54"/>
    <w:rsid w:val="00DF5EE3"/>
    <w:rsid w:val="00DF6906"/>
    <w:rsid w:val="00DF7A27"/>
    <w:rsid w:val="00E00168"/>
    <w:rsid w:val="00E01769"/>
    <w:rsid w:val="00E0227E"/>
    <w:rsid w:val="00E025D6"/>
    <w:rsid w:val="00E02600"/>
    <w:rsid w:val="00E0303E"/>
    <w:rsid w:val="00E0313C"/>
    <w:rsid w:val="00E0315C"/>
    <w:rsid w:val="00E03D27"/>
    <w:rsid w:val="00E049F6"/>
    <w:rsid w:val="00E06882"/>
    <w:rsid w:val="00E068F7"/>
    <w:rsid w:val="00E06939"/>
    <w:rsid w:val="00E07729"/>
    <w:rsid w:val="00E07C9F"/>
    <w:rsid w:val="00E07E96"/>
    <w:rsid w:val="00E11321"/>
    <w:rsid w:val="00E12285"/>
    <w:rsid w:val="00E13B30"/>
    <w:rsid w:val="00E15250"/>
    <w:rsid w:val="00E15352"/>
    <w:rsid w:val="00E16521"/>
    <w:rsid w:val="00E2010D"/>
    <w:rsid w:val="00E2058A"/>
    <w:rsid w:val="00E208E5"/>
    <w:rsid w:val="00E216EF"/>
    <w:rsid w:val="00E21775"/>
    <w:rsid w:val="00E21D22"/>
    <w:rsid w:val="00E2218B"/>
    <w:rsid w:val="00E22282"/>
    <w:rsid w:val="00E22DE4"/>
    <w:rsid w:val="00E2351C"/>
    <w:rsid w:val="00E23884"/>
    <w:rsid w:val="00E243F9"/>
    <w:rsid w:val="00E248B6"/>
    <w:rsid w:val="00E252F3"/>
    <w:rsid w:val="00E25434"/>
    <w:rsid w:val="00E3081F"/>
    <w:rsid w:val="00E31460"/>
    <w:rsid w:val="00E31E41"/>
    <w:rsid w:val="00E32C3C"/>
    <w:rsid w:val="00E32CFC"/>
    <w:rsid w:val="00E340DE"/>
    <w:rsid w:val="00E34463"/>
    <w:rsid w:val="00E355D5"/>
    <w:rsid w:val="00E3593D"/>
    <w:rsid w:val="00E35E65"/>
    <w:rsid w:val="00E36216"/>
    <w:rsid w:val="00E362F7"/>
    <w:rsid w:val="00E367EB"/>
    <w:rsid w:val="00E369C2"/>
    <w:rsid w:val="00E377C3"/>
    <w:rsid w:val="00E37FBE"/>
    <w:rsid w:val="00E400F0"/>
    <w:rsid w:val="00E404C1"/>
    <w:rsid w:val="00E406BF"/>
    <w:rsid w:val="00E42B94"/>
    <w:rsid w:val="00E42F56"/>
    <w:rsid w:val="00E432A8"/>
    <w:rsid w:val="00E43C9E"/>
    <w:rsid w:val="00E45006"/>
    <w:rsid w:val="00E45578"/>
    <w:rsid w:val="00E456DE"/>
    <w:rsid w:val="00E45AA4"/>
    <w:rsid w:val="00E46388"/>
    <w:rsid w:val="00E476ED"/>
    <w:rsid w:val="00E47764"/>
    <w:rsid w:val="00E47B24"/>
    <w:rsid w:val="00E50EC9"/>
    <w:rsid w:val="00E51042"/>
    <w:rsid w:val="00E5143A"/>
    <w:rsid w:val="00E51FB3"/>
    <w:rsid w:val="00E520BA"/>
    <w:rsid w:val="00E52884"/>
    <w:rsid w:val="00E53FB4"/>
    <w:rsid w:val="00E5418D"/>
    <w:rsid w:val="00E553A9"/>
    <w:rsid w:val="00E55BE9"/>
    <w:rsid w:val="00E560CC"/>
    <w:rsid w:val="00E57DDC"/>
    <w:rsid w:val="00E60CB4"/>
    <w:rsid w:val="00E60CEF"/>
    <w:rsid w:val="00E60FEE"/>
    <w:rsid w:val="00E6243B"/>
    <w:rsid w:val="00E631E8"/>
    <w:rsid w:val="00E658D3"/>
    <w:rsid w:val="00E65A31"/>
    <w:rsid w:val="00E65AB4"/>
    <w:rsid w:val="00E66753"/>
    <w:rsid w:val="00E66900"/>
    <w:rsid w:val="00E67D1F"/>
    <w:rsid w:val="00E701FA"/>
    <w:rsid w:val="00E718DD"/>
    <w:rsid w:val="00E74477"/>
    <w:rsid w:val="00E745E5"/>
    <w:rsid w:val="00E749B1"/>
    <w:rsid w:val="00E75919"/>
    <w:rsid w:val="00E75CF4"/>
    <w:rsid w:val="00E75D3E"/>
    <w:rsid w:val="00E809EB"/>
    <w:rsid w:val="00E80FAB"/>
    <w:rsid w:val="00E820A3"/>
    <w:rsid w:val="00E844BB"/>
    <w:rsid w:val="00E85280"/>
    <w:rsid w:val="00E85BFD"/>
    <w:rsid w:val="00E86687"/>
    <w:rsid w:val="00E872AA"/>
    <w:rsid w:val="00E87DCC"/>
    <w:rsid w:val="00E90B65"/>
    <w:rsid w:val="00E91B29"/>
    <w:rsid w:val="00E91E4E"/>
    <w:rsid w:val="00E926EC"/>
    <w:rsid w:val="00E9333E"/>
    <w:rsid w:val="00E93C75"/>
    <w:rsid w:val="00E93ED2"/>
    <w:rsid w:val="00E94A34"/>
    <w:rsid w:val="00E951C7"/>
    <w:rsid w:val="00E952AE"/>
    <w:rsid w:val="00E9663D"/>
    <w:rsid w:val="00E9674C"/>
    <w:rsid w:val="00E9693C"/>
    <w:rsid w:val="00E96A2A"/>
    <w:rsid w:val="00E97A58"/>
    <w:rsid w:val="00EA00F4"/>
    <w:rsid w:val="00EA0265"/>
    <w:rsid w:val="00EA1077"/>
    <w:rsid w:val="00EA185A"/>
    <w:rsid w:val="00EA190C"/>
    <w:rsid w:val="00EA1EA7"/>
    <w:rsid w:val="00EA2018"/>
    <w:rsid w:val="00EA3262"/>
    <w:rsid w:val="00EA34CB"/>
    <w:rsid w:val="00EA36AD"/>
    <w:rsid w:val="00EA3B4D"/>
    <w:rsid w:val="00EA4527"/>
    <w:rsid w:val="00EA4BD2"/>
    <w:rsid w:val="00EA4D4C"/>
    <w:rsid w:val="00EA4DA7"/>
    <w:rsid w:val="00EA5124"/>
    <w:rsid w:val="00EA52B2"/>
    <w:rsid w:val="00EA54DB"/>
    <w:rsid w:val="00EA58E1"/>
    <w:rsid w:val="00EA590F"/>
    <w:rsid w:val="00EA6CD9"/>
    <w:rsid w:val="00EA6EFE"/>
    <w:rsid w:val="00EA7618"/>
    <w:rsid w:val="00EB0844"/>
    <w:rsid w:val="00EB2D0E"/>
    <w:rsid w:val="00EB36E4"/>
    <w:rsid w:val="00EB3D84"/>
    <w:rsid w:val="00EB44EA"/>
    <w:rsid w:val="00EB4A5C"/>
    <w:rsid w:val="00EB59EA"/>
    <w:rsid w:val="00EB5DA0"/>
    <w:rsid w:val="00EB6243"/>
    <w:rsid w:val="00EB630F"/>
    <w:rsid w:val="00EB6F79"/>
    <w:rsid w:val="00EB7337"/>
    <w:rsid w:val="00EB7346"/>
    <w:rsid w:val="00EB74AE"/>
    <w:rsid w:val="00EB77D5"/>
    <w:rsid w:val="00EB7F31"/>
    <w:rsid w:val="00EC04F4"/>
    <w:rsid w:val="00EC0DF1"/>
    <w:rsid w:val="00EC0DFA"/>
    <w:rsid w:val="00EC17B6"/>
    <w:rsid w:val="00EC1F73"/>
    <w:rsid w:val="00EC2646"/>
    <w:rsid w:val="00EC3270"/>
    <w:rsid w:val="00EC36E3"/>
    <w:rsid w:val="00EC3AF0"/>
    <w:rsid w:val="00EC4368"/>
    <w:rsid w:val="00EC44DF"/>
    <w:rsid w:val="00EC4756"/>
    <w:rsid w:val="00EC504B"/>
    <w:rsid w:val="00EC5F7F"/>
    <w:rsid w:val="00EC6834"/>
    <w:rsid w:val="00EC69AA"/>
    <w:rsid w:val="00EC6B46"/>
    <w:rsid w:val="00ED0722"/>
    <w:rsid w:val="00ED14EF"/>
    <w:rsid w:val="00ED158F"/>
    <w:rsid w:val="00ED294D"/>
    <w:rsid w:val="00ED3646"/>
    <w:rsid w:val="00ED3844"/>
    <w:rsid w:val="00ED4842"/>
    <w:rsid w:val="00ED52D6"/>
    <w:rsid w:val="00ED5426"/>
    <w:rsid w:val="00ED5525"/>
    <w:rsid w:val="00ED55D6"/>
    <w:rsid w:val="00ED5B96"/>
    <w:rsid w:val="00ED61EB"/>
    <w:rsid w:val="00ED7AB2"/>
    <w:rsid w:val="00ED7C47"/>
    <w:rsid w:val="00EE0336"/>
    <w:rsid w:val="00EE1A03"/>
    <w:rsid w:val="00EE24D6"/>
    <w:rsid w:val="00EE32E7"/>
    <w:rsid w:val="00EE3D97"/>
    <w:rsid w:val="00EE3D9F"/>
    <w:rsid w:val="00EE40C0"/>
    <w:rsid w:val="00EE4C9B"/>
    <w:rsid w:val="00EE57C5"/>
    <w:rsid w:val="00EE7DD8"/>
    <w:rsid w:val="00EF0458"/>
    <w:rsid w:val="00EF0AF9"/>
    <w:rsid w:val="00EF1041"/>
    <w:rsid w:val="00EF12EE"/>
    <w:rsid w:val="00EF24D2"/>
    <w:rsid w:val="00EF3070"/>
    <w:rsid w:val="00EF320E"/>
    <w:rsid w:val="00EF4E61"/>
    <w:rsid w:val="00EF4E9D"/>
    <w:rsid w:val="00EF53F7"/>
    <w:rsid w:val="00EF59E0"/>
    <w:rsid w:val="00EF5ABC"/>
    <w:rsid w:val="00EF649B"/>
    <w:rsid w:val="00EF6B9A"/>
    <w:rsid w:val="00EF6ED4"/>
    <w:rsid w:val="00EF7132"/>
    <w:rsid w:val="00EF79D7"/>
    <w:rsid w:val="00EF7F7E"/>
    <w:rsid w:val="00F0051E"/>
    <w:rsid w:val="00F01119"/>
    <w:rsid w:val="00F01889"/>
    <w:rsid w:val="00F01BFC"/>
    <w:rsid w:val="00F03570"/>
    <w:rsid w:val="00F03678"/>
    <w:rsid w:val="00F04899"/>
    <w:rsid w:val="00F04A5D"/>
    <w:rsid w:val="00F04CB6"/>
    <w:rsid w:val="00F04E19"/>
    <w:rsid w:val="00F04E6E"/>
    <w:rsid w:val="00F04F5E"/>
    <w:rsid w:val="00F052AB"/>
    <w:rsid w:val="00F05640"/>
    <w:rsid w:val="00F06C64"/>
    <w:rsid w:val="00F0730C"/>
    <w:rsid w:val="00F0778B"/>
    <w:rsid w:val="00F07E8B"/>
    <w:rsid w:val="00F1071F"/>
    <w:rsid w:val="00F1076D"/>
    <w:rsid w:val="00F108FF"/>
    <w:rsid w:val="00F10EE9"/>
    <w:rsid w:val="00F11498"/>
    <w:rsid w:val="00F115D3"/>
    <w:rsid w:val="00F11FF2"/>
    <w:rsid w:val="00F1314D"/>
    <w:rsid w:val="00F13CDE"/>
    <w:rsid w:val="00F13D91"/>
    <w:rsid w:val="00F1407C"/>
    <w:rsid w:val="00F1443C"/>
    <w:rsid w:val="00F14D88"/>
    <w:rsid w:val="00F14DF2"/>
    <w:rsid w:val="00F152D2"/>
    <w:rsid w:val="00F15381"/>
    <w:rsid w:val="00F1603C"/>
    <w:rsid w:val="00F16B71"/>
    <w:rsid w:val="00F17A9D"/>
    <w:rsid w:val="00F17F27"/>
    <w:rsid w:val="00F22B77"/>
    <w:rsid w:val="00F22C09"/>
    <w:rsid w:val="00F23FEF"/>
    <w:rsid w:val="00F245D1"/>
    <w:rsid w:val="00F26795"/>
    <w:rsid w:val="00F2733F"/>
    <w:rsid w:val="00F2737E"/>
    <w:rsid w:val="00F2762D"/>
    <w:rsid w:val="00F309FB"/>
    <w:rsid w:val="00F31542"/>
    <w:rsid w:val="00F316F9"/>
    <w:rsid w:val="00F31C1A"/>
    <w:rsid w:val="00F32470"/>
    <w:rsid w:val="00F328FE"/>
    <w:rsid w:val="00F33FFB"/>
    <w:rsid w:val="00F34094"/>
    <w:rsid w:val="00F34249"/>
    <w:rsid w:val="00F34556"/>
    <w:rsid w:val="00F36418"/>
    <w:rsid w:val="00F364C6"/>
    <w:rsid w:val="00F366D3"/>
    <w:rsid w:val="00F36A47"/>
    <w:rsid w:val="00F36BCB"/>
    <w:rsid w:val="00F36ED4"/>
    <w:rsid w:val="00F36F06"/>
    <w:rsid w:val="00F37DC4"/>
    <w:rsid w:val="00F4029B"/>
    <w:rsid w:val="00F40435"/>
    <w:rsid w:val="00F40620"/>
    <w:rsid w:val="00F40F99"/>
    <w:rsid w:val="00F42334"/>
    <w:rsid w:val="00F42780"/>
    <w:rsid w:val="00F42C8F"/>
    <w:rsid w:val="00F42FBB"/>
    <w:rsid w:val="00F43D17"/>
    <w:rsid w:val="00F43D2B"/>
    <w:rsid w:val="00F4431E"/>
    <w:rsid w:val="00F449DA"/>
    <w:rsid w:val="00F45761"/>
    <w:rsid w:val="00F45D7C"/>
    <w:rsid w:val="00F462F3"/>
    <w:rsid w:val="00F46A5D"/>
    <w:rsid w:val="00F46DB4"/>
    <w:rsid w:val="00F47EFA"/>
    <w:rsid w:val="00F507B3"/>
    <w:rsid w:val="00F513F0"/>
    <w:rsid w:val="00F5222B"/>
    <w:rsid w:val="00F533A0"/>
    <w:rsid w:val="00F53F49"/>
    <w:rsid w:val="00F54531"/>
    <w:rsid w:val="00F54D01"/>
    <w:rsid w:val="00F5554C"/>
    <w:rsid w:val="00F559BB"/>
    <w:rsid w:val="00F60C66"/>
    <w:rsid w:val="00F60C7E"/>
    <w:rsid w:val="00F617B5"/>
    <w:rsid w:val="00F61DEE"/>
    <w:rsid w:val="00F61DFB"/>
    <w:rsid w:val="00F62FFB"/>
    <w:rsid w:val="00F6442A"/>
    <w:rsid w:val="00F64C7B"/>
    <w:rsid w:val="00F6555E"/>
    <w:rsid w:val="00F65E8E"/>
    <w:rsid w:val="00F66A00"/>
    <w:rsid w:val="00F66B71"/>
    <w:rsid w:val="00F66BFD"/>
    <w:rsid w:val="00F66D32"/>
    <w:rsid w:val="00F67206"/>
    <w:rsid w:val="00F70276"/>
    <w:rsid w:val="00F70320"/>
    <w:rsid w:val="00F70C02"/>
    <w:rsid w:val="00F72D4D"/>
    <w:rsid w:val="00F732C9"/>
    <w:rsid w:val="00F73347"/>
    <w:rsid w:val="00F735B1"/>
    <w:rsid w:val="00F75007"/>
    <w:rsid w:val="00F77213"/>
    <w:rsid w:val="00F772BB"/>
    <w:rsid w:val="00F77BB1"/>
    <w:rsid w:val="00F816DC"/>
    <w:rsid w:val="00F819B0"/>
    <w:rsid w:val="00F83148"/>
    <w:rsid w:val="00F8383E"/>
    <w:rsid w:val="00F83BA1"/>
    <w:rsid w:val="00F83BCF"/>
    <w:rsid w:val="00F84DFA"/>
    <w:rsid w:val="00F8570A"/>
    <w:rsid w:val="00F86044"/>
    <w:rsid w:val="00F90136"/>
    <w:rsid w:val="00F90CDA"/>
    <w:rsid w:val="00F912D7"/>
    <w:rsid w:val="00F91AEE"/>
    <w:rsid w:val="00F920F2"/>
    <w:rsid w:val="00F921FA"/>
    <w:rsid w:val="00F93F76"/>
    <w:rsid w:val="00F94BBA"/>
    <w:rsid w:val="00F94D88"/>
    <w:rsid w:val="00F953D4"/>
    <w:rsid w:val="00F954E9"/>
    <w:rsid w:val="00F95859"/>
    <w:rsid w:val="00F95993"/>
    <w:rsid w:val="00F95CE8"/>
    <w:rsid w:val="00F963C2"/>
    <w:rsid w:val="00F963C3"/>
    <w:rsid w:val="00F96671"/>
    <w:rsid w:val="00F967CA"/>
    <w:rsid w:val="00F96C66"/>
    <w:rsid w:val="00F971DF"/>
    <w:rsid w:val="00F97465"/>
    <w:rsid w:val="00F97622"/>
    <w:rsid w:val="00FA0A8A"/>
    <w:rsid w:val="00FA0AD1"/>
    <w:rsid w:val="00FA2318"/>
    <w:rsid w:val="00FA2AD3"/>
    <w:rsid w:val="00FA2E01"/>
    <w:rsid w:val="00FA37F2"/>
    <w:rsid w:val="00FA407E"/>
    <w:rsid w:val="00FA4667"/>
    <w:rsid w:val="00FA50AD"/>
    <w:rsid w:val="00FA5B75"/>
    <w:rsid w:val="00FA6181"/>
    <w:rsid w:val="00FA649B"/>
    <w:rsid w:val="00FA68EE"/>
    <w:rsid w:val="00FA75E9"/>
    <w:rsid w:val="00FB1548"/>
    <w:rsid w:val="00FB2BB7"/>
    <w:rsid w:val="00FB2D2B"/>
    <w:rsid w:val="00FB31E0"/>
    <w:rsid w:val="00FB385B"/>
    <w:rsid w:val="00FB3C98"/>
    <w:rsid w:val="00FB5F0C"/>
    <w:rsid w:val="00FB6A09"/>
    <w:rsid w:val="00FB7211"/>
    <w:rsid w:val="00FB78AA"/>
    <w:rsid w:val="00FC156C"/>
    <w:rsid w:val="00FC1B15"/>
    <w:rsid w:val="00FC3AA4"/>
    <w:rsid w:val="00FC615F"/>
    <w:rsid w:val="00FC6A5F"/>
    <w:rsid w:val="00FD1769"/>
    <w:rsid w:val="00FD2341"/>
    <w:rsid w:val="00FD3F64"/>
    <w:rsid w:val="00FD3F88"/>
    <w:rsid w:val="00FD4FE8"/>
    <w:rsid w:val="00FD55CC"/>
    <w:rsid w:val="00FD61CF"/>
    <w:rsid w:val="00FD6602"/>
    <w:rsid w:val="00FD74E7"/>
    <w:rsid w:val="00FD7DB4"/>
    <w:rsid w:val="00FE038D"/>
    <w:rsid w:val="00FE0DC6"/>
    <w:rsid w:val="00FE0EAF"/>
    <w:rsid w:val="00FE1145"/>
    <w:rsid w:val="00FE16A6"/>
    <w:rsid w:val="00FE25E8"/>
    <w:rsid w:val="00FE2627"/>
    <w:rsid w:val="00FE2682"/>
    <w:rsid w:val="00FE2E3C"/>
    <w:rsid w:val="00FE3955"/>
    <w:rsid w:val="00FE4575"/>
    <w:rsid w:val="00FE46B3"/>
    <w:rsid w:val="00FE4FCA"/>
    <w:rsid w:val="00FE6890"/>
    <w:rsid w:val="00FE6D7A"/>
    <w:rsid w:val="00FE7859"/>
    <w:rsid w:val="00FE7FBB"/>
    <w:rsid w:val="00FF098B"/>
    <w:rsid w:val="00FF1025"/>
    <w:rsid w:val="00FF16AF"/>
    <w:rsid w:val="00FF1869"/>
    <w:rsid w:val="00FF27D1"/>
    <w:rsid w:val="00FF2B5D"/>
    <w:rsid w:val="00FF360B"/>
    <w:rsid w:val="00FF3747"/>
    <w:rsid w:val="00FF3BD3"/>
    <w:rsid w:val="00FF4C4C"/>
    <w:rsid w:val="00FF4D1D"/>
    <w:rsid w:val="00FF56FC"/>
    <w:rsid w:val="00FF5DAE"/>
    <w:rsid w:val="00FF61D1"/>
    <w:rsid w:val="00FF6C52"/>
    <w:rsid w:val="00FF7016"/>
    <w:rsid w:val="00FF7B01"/>
    <w:rsid w:val="0209E227"/>
    <w:rsid w:val="02275712"/>
    <w:rsid w:val="029B6DFB"/>
    <w:rsid w:val="02BFA4EE"/>
    <w:rsid w:val="035D4D8F"/>
    <w:rsid w:val="03735CC1"/>
    <w:rsid w:val="04052112"/>
    <w:rsid w:val="0496A1C8"/>
    <w:rsid w:val="04A81604"/>
    <w:rsid w:val="04D2FE89"/>
    <w:rsid w:val="06BEF6B8"/>
    <w:rsid w:val="06D219B4"/>
    <w:rsid w:val="07BA282D"/>
    <w:rsid w:val="0807D3C5"/>
    <w:rsid w:val="0859ADD4"/>
    <w:rsid w:val="087F617A"/>
    <w:rsid w:val="089020F9"/>
    <w:rsid w:val="08C8F159"/>
    <w:rsid w:val="08EB719F"/>
    <w:rsid w:val="094C4D0E"/>
    <w:rsid w:val="097DE323"/>
    <w:rsid w:val="09C4C20D"/>
    <w:rsid w:val="09C54EED"/>
    <w:rsid w:val="0A812701"/>
    <w:rsid w:val="0B1ED39F"/>
    <w:rsid w:val="0BA36EEE"/>
    <w:rsid w:val="0BC0E12F"/>
    <w:rsid w:val="0C02B6C6"/>
    <w:rsid w:val="0C5E6181"/>
    <w:rsid w:val="0CC8BBC2"/>
    <w:rsid w:val="0D6BE586"/>
    <w:rsid w:val="0D7CE12B"/>
    <w:rsid w:val="0DDA0E81"/>
    <w:rsid w:val="0DEDDD27"/>
    <w:rsid w:val="0E1761C8"/>
    <w:rsid w:val="0ED74552"/>
    <w:rsid w:val="0F9FAA12"/>
    <w:rsid w:val="109BBF32"/>
    <w:rsid w:val="10B0FBE1"/>
    <w:rsid w:val="10CEE0E1"/>
    <w:rsid w:val="10FBC9C9"/>
    <w:rsid w:val="1118FA2D"/>
    <w:rsid w:val="11653BDE"/>
    <w:rsid w:val="11EC3EB5"/>
    <w:rsid w:val="12E9F881"/>
    <w:rsid w:val="13495653"/>
    <w:rsid w:val="13682FE2"/>
    <w:rsid w:val="13D53EB9"/>
    <w:rsid w:val="149BAAFA"/>
    <w:rsid w:val="15601F92"/>
    <w:rsid w:val="156C97AD"/>
    <w:rsid w:val="15B3FB37"/>
    <w:rsid w:val="15E46D2A"/>
    <w:rsid w:val="15EC9F40"/>
    <w:rsid w:val="16071315"/>
    <w:rsid w:val="16428001"/>
    <w:rsid w:val="16696CC3"/>
    <w:rsid w:val="16DCA173"/>
    <w:rsid w:val="1707962F"/>
    <w:rsid w:val="1721AC89"/>
    <w:rsid w:val="17CC301D"/>
    <w:rsid w:val="17DE358B"/>
    <w:rsid w:val="1806CAFD"/>
    <w:rsid w:val="1891CEA0"/>
    <w:rsid w:val="18AEC466"/>
    <w:rsid w:val="18E3DA80"/>
    <w:rsid w:val="18EABAEB"/>
    <w:rsid w:val="1921498B"/>
    <w:rsid w:val="199BF4D0"/>
    <w:rsid w:val="19D0726B"/>
    <w:rsid w:val="1A2C24D4"/>
    <w:rsid w:val="1A391448"/>
    <w:rsid w:val="1A6E3731"/>
    <w:rsid w:val="1AB3882F"/>
    <w:rsid w:val="1AD31E1E"/>
    <w:rsid w:val="1B01CDD8"/>
    <w:rsid w:val="1B807DC4"/>
    <w:rsid w:val="1C2E2D8E"/>
    <w:rsid w:val="1CD4D126"/>
    <w:rsid w:val="1CE57F67"/>
    <w:rsid w:val="1D44BFBA"/>
    <w:rsid w:val="1D68483E"/>
    <w:rsid w:val="1DA3B801"/>
    <w:rsid w:val="1E4B4BB2"/>
    <w:rsid w:val="1F61A4B8"/>
    <w:rsid w:val="1F90F59D"/>
    <w:rsid w:val="20270423"/>
    <w:rsid w:val="208CA63B"/>
    <w:rsid w:val="21A6F577"/>
    <w:rsid w:val="21ED87E0"/>
    <w:rsid w:val="222195F2"/>
    <w:rsid w:val="2265D827"/>
    <w:rsid w:val="2286A289"/>
    <w:rsid w:val="231D26A0"/>
    <w:rsid w:val="231EEAC1"/>
    <w:rsid w:val="23644A9D"/>
    <w:rsid w:val="23981035"/>
    <w:rsid w:val="23D6209B"/>
    <w:rsid w:val="23E05BFA"/>
    <w:rsid w:val="241060BF"/>
    <w:rsid w:val="246E4039"/>
    <w:rsid w:val="24ADFCA2"/>
    <w:rsid w:val="24B76B71"/>
    <w:rsid w:val="25207B4F"/>
    <w:rsid w:val="252C4ED6"/>
    <w:rsid w:val="253B748B"/>
    <w:rsid w:val="25487C8C"/>
    <w:rsid w:val="2646F321"/>
    <w:rsid w:val="26584138"/>
    <w:rsid w:val="266E2AD5"/>
    <w:rsid w:val="269601AA"/>
    <w:rsid w:val="26D6BBA4"/>
    <w:rsid w:val="26E966F0"/>
    <w:rsid w:val="26F61C9A"/>
    <w:rsid w:val="27157854"/>
    <w:rsid w:val="273E5C07"/>
    <w:rsid w:val="27CF3906"/>
    <w:rsid w:val="28053F38"/>
    <w:rsid w:val="288CCF36"/>
    <w:rsid w:val="289941CC"/>
    <w:rsid w:val="296541B7"/>
    <w:rsid w:val="2A8F6FAF"/>
    <w:rsid w:val="2AD01080"/>
    <w:rsid w:val="2B204DF9"/>
    <w:rsid w:val="2C084A25"/>
    <w:rsid w:val="2C331BD0"/>
    <w:rsid w:val="2C384C07"/>
    <w:rsid w:val="2C52C9B0"/>
    <w:rsid w:val="2C5ADDE8"/>
    <w:rsid w:val="2C6D5F29"/>
    <w:rsid w:val="2CFD7E80"/>
    <w:rsid w:val="2D4627E3"/>
    <w:rsid w:val="2E08DD38"/>
    <w:rsid w:val="2E114557"/>
    <w:rsid w:val="2E2930D9"/>
    <w:rsid w:val="2E66B682"/>
    <w:rsid w:val="2EAD358E"/>
    <w:rsid w:val="2EBDB88B"/>
    <w:rsid w:val="2EF5B7C6"/>
    <w:rsid w:val="302DA0BF"/>
    <w:rsid w:val="306F017D"/>
    <w:rsid w:val="30FBA8D5"/>
    <w:rsid w:val="310C4A0A"/>
    <w:rsid w:val="31646ECC"/>
    <w:rsid w:val="31B68D1F"/>
    <w:rsid w:val="31BF81FB"/>
    <w:rsid w:val="322D5C66"/>
    <w:rsid w:val="323911DE"/>
    <w:rsid w:val="3245E957"/>
    <w:rsid w:val="32805823"/>
    <w:rsid w:val="328925AA"/>
    <w:rsid w:val="32F9DF75"/>
    <w:rsid w:val="32FB246B"/>
    <w:rsid w:val="335985F8"/>
    <w:rsid w:val="34AF8567"/>
    <w:rsid w:val="3640D12B"/>
    <w:rsid w:val="365BB00D"/>
    <w:rsid w:val="36635AAF"/>
    <w:rsid w:val="369AADD3"/>
    <w:rsid w:val="378A52E2"/>
    <w:rsid w:val="383C3FB0"/>
    <w:rsid w:val="385475E7"/>
    <w:rsid w:val="389B4969"/>
    <w:rsid w:val="38C07C13"/>
    <w:rsid w:val="38F20284"/>
    <w:rsid w:val="3AA75488"/>
    <w:rsid w:val="3AFA987B"/>
    <w:rsid w:val="3B2B650C"/>
    <w:rsid w:val="3B4FCB76"/>
    <w:rsid w:val="3B828D61"/>
    <w:rsid w:val="3B846FC1"/>
    <w:rsid w:val="3BB2F9D9"/>
    <w:rsid w:val="3C32EA8F"/>
    <w:rsid w:val="3C39E098"/>
    <w:rsid w:val="3C3F3ED3"/>
    <w:rsid w:val="3D271A99"/>
    <w:rsid w:val="3DD5331E"/>
    <w:rsid w:val="3E41B6AD"/>
    <w:rsid w:val="3EA4DFA0"/>
    <w:rsid w:val="3ED2AF1F"/>
    <w:rsid w:val="3F891C36"/>
    <w:rsid w:val="3FFC8279"/>
    <w:rsid w:val="4018EDBC"/>
    <w:rsid w:val="40274E78"/>
    <w:rsid w:val="40F3DBD9"/>
    <w:rsid w:val="41215361"/>
    <w:rsid w:val="41D75064"/>
    <w:rsid w:val="41EBF578"/>
    <w:rsid w:val="425D6894"/>
    <w:rsid w:val="42AA1623"/>
    <w:rsid w:val="42B4AA59"/>
    <w:rsid w:val="4359C64F"/>
    <w:rsid w:val="43C78617"/>
    <w:rsid w:val="44B109C3"/>
    <w:rsid w:val="44E05906"/>
    <w:rsid w:val="4503C5C6"/>
    <w:rsid w:val="453224AD"/>
    <w:rsid w:val="4554E937"/>
    <w:rsid w:val="458F0E50"/>
    <w:rsid w:val="45C60C9A"/>
    <w:rsid w:val="46151A4F"/>
    <w:rsid w:val="4636975C"/>
    <w:rsid w:val="4649B2F6"/>
    <w:rsid w:val="467BA9AB"/>
    <w:rsid w:val="4759A9B8"/>
    <w:rsid w:val="478FE663"/>
    <w:rsid w:val="47C5282D"/>
    <w:rsid w:val="4811A0D4"/>
    <w:rsid w:val="481AA117"/>
    <w:rsid w:val="481E02CA"/>
    <w:rsid w:val="4850CFE3"/>
    <w:rsid w:val="48E839F2"/>
    <w:rsid w:val="490931DD"/>
    <w:rsid w:val="491E2C61"/>
    <w:rsid w:val="49A00028"/>
    <w:rsid w:val="4A3C553E"/>
    <w:rsid w:val="4A4FDFA5"/>
    <w:rsid w:val="4A7BDC7C"/>
    <w:rsid w:val="4B42C24A"/>
    <w:rsid w:val="4B578ED4"/>
    <w:rsid w:val="4BF3FA33"/>
    <w:rsid w:val="4C4D9502"/>
    <w:rsid w:val="4C70F277"/>
    <w:rsid w:val="4D3B3DB5"/>
    <w:rsid w:val="4D49B6A4"/>
    <w:rsid w:val="4DC81FF0"/>
    <w:rsid w:val="4DE9D72F"/>
    <w:rsid w:val="4DE9D787"/>
    <w:rsid w:val="4E047A61"/>
    <w:rsid w:val="4E3BF443"/>
    <w:rsid w:val="4E4C568E"/>
    <w:rsid w:val="4F75E287"/>
    <w:rsid w:val="4FCCACDC"/>
    <w:rsid w:val="4FEE85A0"/>
    <w:rsid w:val="4FF06F5A"/>
    <w:rsid w:val="4FFE955C"/>
    <w:rsid w:val="50259528"/>
    <w:rsid w:val="5091A7A6"/>
    <w:rsid w:val="509AE781"/>
    <w:rsid w:val="50EA6C65"/>
    <w:rsid w:val="511F9C12"/>
    <w:rsid w:val="51668096"/>
    <w:rsid w:val="51D4AA6C"/>
    <w:rsid w:val="523370E7"/>
    <w:rsid w:val="53569446"/>
    <w:rsid w:val="537EB825"/>
    <w:rsid w:val="54162B1C"/>
    <w:rsid w:val="541F3769"/>
    <w:rsid w:val="54347CF9"/>
    <w:rsid w:val="54D1C0DB"/>
    <w:rsid w:val="54E3B986"/>
    <w:rsid w:val="54ED6819"/>
    <w:rsid w:val="55A1AC03"/>
    <w:rsid w:val="55EC56DC"/>
    <w:rsid w:val="56285CE4"/>
    <w:rsid w:val="5641B87B"/>
    <w:rsid w:val="56EAC0BD"/>
    <w:rsid w:val="571D8CF7"/>
    <w:rsid w:val="5788C3C9"/>
    <w:rsid w:val="578E3B31"/>
    <w:rsid w:val="57AB53EC"/>
    <w:rsid w:val="57C6D0B9"/>
    <w:rsid w:val="581CE2BB"/>
    <w:rsid w:val="586E21DE"/>
    <w:rsid w:val="5879E3BD"/>
    <w:rsid w:val="589AE19B"/>
    <w:rsid w:val="58DA97D5"/>
    <w:rsid w:val="58EF8A64"/>
    <w:rsid w:val="59498CAD"/>
    <w:rsid w:val="597C6170"/>
    <w:rsid w:val="598EF20F"/>
    <w:rsid w:val="598FBD3F"/>
    <w:rsid w:val="59D2A063"/>
    <w:rsid w:val="59E7A9D7"/>
    <w:rsid w:val="5A48C657"/>
    <w:rsid w:val="5AB9D67D"/>
    <w:rsid w:val="5C15DBAD"/>
    <w:rsid w:val="5C201B2B"/>
    <w:rsid w:val="5C2700B0"/>
    <w:rsid w:val="5C4C685D"/>
    <w:rsid w:val="5D109F78"/>
    <w:rsid w:val="5D205D56"/>
    <w:rsid w:val="5E828DD4"/>
    <w:rsid w:val="5EFF9452"/>
    <w:rsid w:val="5F402BDC"/>
    <w:rsid w:val="5F408A9F"/>
    <w:rsid w:val="5F54FB78"/>
    <w:rsid w:val="612C57D4"/>
    <w:rsid w:val="61676278"/>
    <w:rsid w:val="61AFD201"/>
    <w:rsid w:val="6211FBDF"/>
    <w:rsid w:val="62159AFD"/>
    <w:rsid w:val="6268E936"/>
    <w:rsid w:val="6289DE79"/>
    <w:rsid w:val="62B18826"/>
    <w:rsid w:val="62BADB8F"/>
    <w:rsid w:val="62CD0736"/>
    <w:rsid w:val="6339FBE5"/>
    <w:rsid w:val="63C85379"/>
    <w:rsid w:val="63F0353A"/>
    <w:rsid w:val="64C2AB67"/>
    <w:rsid w:val="6520FD92"/>
    <w:rsid w:val="652C1BE3"/>
    <w:rsid w:val="662C64F0"/>
    <w:rsid w:val="66EC3792"/>
    <w:rsid w:val="66F26A92"/>
    <w:rsid w:val="673033CA"/>
    <w:rsid w:val="6780B307"/>
    <w:rsid w:val="67E63324"/>
    <w:rsid w:val="6813B805"/>
    <w:rsid w:val="683DE2FF"/>
    <w:rsid w:val="684AE72D"/>
    <w:rsid w:val="689ABC05"/>
    <w:rsid w:val="68BBE141"/>
    <w:rsid w:val="692FC8ED"/>
    <w:rsid w:val="694B8C66"/>
    <w:rsid w:val="69A893A3"/>
    <w:rsid w:val="69DDAA97"/>
    <w:rsid w:val="6BD8676F"/>
    <w:rsid w:val="6CC30B52"/>
    <w:rsid w:val="6D6DABC8"/>
    <w:rsid w:val="6DCA53E0"/>
    <w:rsid w:val="6E3CA686"/>
    <w:rsid w:val="6E9F94B9"/>
    <w:rsid w:val="6ECFAB2D"/>
    <w:rsid w:val="6EEA5A11"/>
    <w:rsid w:val="6EFD62A6"/>
    <w:rsid w:val="6F8261A5"/>
    <w:rsid w:val="705F120E"/>
    <w:rsid w:val="709B3B97"/>
    <w:rsid w:val="70AE4E38"/>
    <w:rsid w:val="71C6D78B"/>
    <w:rsid w:val="71DAE318"/>
    <w:rsid w:val="7233D537"/>
    <w:rsid w:val="738D9835"/>
    <w:rsid w:val="73A1BA8F"/>
    <w:rsid w:val="7471B219"/>
    <w:rsid w:val="74A66EE7"/>
    <w:rsid w:val="74DFFD43"/>
    <w:rsid w:val="74F080C4"/>
    <w:rsid w:val="75A0EF18"/>
    <w:rsid w:val="75DD12FE"/>
    <w:rsid w:val="75DE3FBA"/>
    <w:rsid w:val="77B0F0EA"/>
    <w:rsid w:val="77DE0FE4"/>
    <w:rsid w:val="78B56A0C"/>
    <w:rsid w:val="799B5AE1"/>
    <w:rsid w:val="79B1939A"/>
    <w:rsid w:val="7B9D5EC9"/>
    <w:rsid w:val="7C05CB59"/>
    <w:rsid w:val="7C222608"/>
    <w:rsid w:val="7CD36ED9"/>
    <w:rsid w:val="7DAD1515"/>
    <w:rsid w:val="7DC1397D"/>
    <w:rsid w:val="7E0CC9A7"/>
    <w:rsid w:val="7E690BB2"/>
    <w:rsid w:val="7E81F4F3"/>
    <w:rsid w:val="7EDB1F9C"/>
    <w:rsid w:val="7F331CA3"/>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7085"/>
  <w15:docId w15:val="{2367764E-FB8E-4929-BB65-AF00F530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2C09"/>
    <w:rPr>
      <w:rFonts w:ascii="Arial" w:hAnsi="Arial"/>
      <w:lang w:val="en-AU"/>
    </w:rPr>
  </w:style>
  <w:style w:type="paragraph" w:styleId="Heading1">
    <w:name w:val="heading 1"/>
    <w:basedOn w:val="Normal"/>
    <w:next w:val="Normal"/>
    <w:link w:val="Heading1Char"/>
    <w:uiPriority w:val="9"/>
    <w:qFormat/>
    <w:rsid w:val="00FB1548"/>
    <w:pPr>
      <w:keepNext/>
      <w:keepLines/>
      <w:spacing w:before="240" w:after="600"/>
      <w:outlineLvl w:val="0"/>
    </w:pPr>
    <w:rPr>
      <w:rFonts w:ascii="Josefin Sans" w:eastAsiaTheme="majorEastAsia" w:hAnsi="Josefin Sans" w:cstheme="majorBidi"/>
      <w:b/>
      <w:color w:val="000000" w:themeColor="text1"/>
      <w:sz w:val="60"/>
      <w:szCs w:val="32"/>
    </w:rPr>
  </w:style>
  <w:style w:type="paragraph" w:styleId="Heading2">
    <w:name w:val="heading 2"/>
    <w:basedOn w:val="Normal"/>
    <w:next w:val="Normal"/>
    <w:link w:val="Heading2Char"/>
    <w:uiPriority w:val="9"/>
    <w:unhideWhenUsed/>
    <w:qFormat/>
    <w:rsid w:val="00513FE6"/>
    <w:pPr>
      <w:keepNext/>
      <w:keepLines/>
      <w:spacing w:before="320" w:after="120"/>
      <w:outlineLvl w:val="1"/>
    </w:pPr>
    <w:rPr>
      <w:rFonts w:ascii="Josefin Sans" w:eastAsiaTheme="majorEastAsia" w:hAnsi="Josefin Sans" w:cs="Arial"/>
      <w:b/>
      <w:bCs/>
      <w:color w:val="104F99" w:themeColor="accent1"/>
      <w:sz w:val="36"/>
      <w:szCs w:val="36"/>
    </w:rPr>
  </w:style>
  <w:style w:type="paragraph" w:styleId="Heading3">
    <w:name w:val="heading 3"/>
    <w:basedOn w:val="Normal"/>
    <w:next w:val="Normal"/>
    <w:link w:val="Heading3Char"/>
    <w:uiPriority w:val="9"/>
    <w:unhideWhenUsed/>
    <w:qFormat/>
    <w:rsid w:val="000D0930"/>
    <w:pPr>
      <w:keepNext/>
      <w:keepLines/>
      <w:spacing w:before="360" w:after="240"/>
      <w:outlineLvl w:val="2"/>
    </w:pPr>
    <w:rPr>
      <w:rFonts w:ascii="Josefin Sans" w:eastAsiaTheme="majorEastAsia" w:hAnsi="Josefin Sans" w:cstheme="majorBidi"/>
      <w:b/>
      <w:color w:val="000000" w:themeColor="text1"/>
      <w:sz w:val="24"/>
      <w:szCs w:val="24"/>
    </w:rPr>
  </w:style>
  <w:style w:type="paragraph" w:styleId="Heading4">
    <w:name w:val="heading 4"/>
    <w:basedOn w:val="Normal"/>
    <w:next w:val="Normal"/>
    <w:link w:val="Heading4Char"/>
    <w:uiPriority w:val="9"/>
    <w:unhideWhenUsed/>
    <w:qFormat/>
    <w:rsid w:val="004C665E"/>
    <w:pPr>
      <w:keepNext/>
      <w:keepLines/>
      <w:framePr w:hSpace="180" w:wrap="around" w:vAnchor="text" w:hAnchor="margin" w:y="149"/>
      <w:spacing w:before="240" w:after="120" w:line="360" w:lineRule="auto"/>
      <w:outlineLvl w:val="3"/>
    </w:pPr>
    <w:rPr>
      <w:rFonts w:ascii="Josefin Sans" w:eastAsiaTheme="majorEastAsia" w:hAnsi="Josefin Sans" w:cstheme="majorBidi"/>
      <w:b/>
      <w:iCs/>
      <w:color w:val="104F99" w:themeColor="accent1"/>
      <w:sz w:val="20"/>
    </w:rPr>
  </w:style>
  <w:style w:type="paragraph" w:styleId="Heading5">
    <w:name w:val="heading 5"/>
    <w:basedOn w:val="Normal"/>
    <w:next w:val="Normal"/>
    <w:link w:val="Heading5Char"/>
    <w:uiPriority w:val="9"/>
    <w:unhideWhenUsed/>
    <w:rsid w:val="00FB1548"/>
    <w:pPr>
      <w:keepNext/>
      <w:keepLines/>
      <w:spacing w:before="40" w:after="0"/>
      <w:outlineLvl w:val="4"/>
    </w:pPr>
    <w:rPr>
      <w:rFonts w:ascii="Josefin Sans" w:eastAsiaTheme="majorEastAsia" w:hAnsi="Josefin Sans" w:cstheme="majorBidi"/>
      <w:b/>
      <w:color w:val="0C3A72" w:themeColor="accent1" w:themeShade="BF"/>
    </w:rPr>
  </w:style>
  <w:style w:type="paragraph" w:styleId="Heading6">
    <w:name w:val="heading 6"/>
    <w:basedOn w:val="Normal"/>
    <w:next w:val="Normal"/>
    <w:link w:val="Heading6Char"/>
    <w:uiPriority w:val="9"/>
    <w:semiHidden/>
    <w:unhideWhenUsed/>
    <w:rsid w:val="00FB1548"/>
    <w:pPr>
      <w:keepNext/>
      <w:keepLines/>
      <w:spacing w:before="40" w:after="0"/>
      <w:outlineLvl w:val="5"/>
    </w:pPr>
    <w:rPr>
      <w:rFonts w:ascii="Josefin Sans" w:eastAsiaTheme="majorEastAsia" w:hAnsi="Josefin Sans" w:cstheme="majorBidi"/>
      <w:b/>
      <w:color w:val="0827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65D"/>
    <w:rPr>
      <w:rFonts w:ascii="Arial" w:hAnsi="Arial"/>
      <w:lang w:val="en-AU"/>
    </w:rPr>
  </w:style>
  <w:style w:type="paragraph" w:styleId="Footer">
    <w:name w:val="footer"/>
    <w:basedOn w:val="Normal"/>
    <w:link w:val="FooterChar"/>
    <w:uiPriority w:val="99"/>
    <w:unhideWhenUsed/>
    <w:rsid w:val="009E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65D"/>
    <w:rPr>
      <w:rFonts w:ascii="Arial" w:hAnsi="Arial"/>
      <w:lang w:val="en-AU"/>
    </w:rPr>
  </w:style>
  <w:style w:type="character" w:customStyle="1" w:styleId="Heading1Char">
    <w:name w:val="Heading 1 Char"/>
    <w:basedOn w:val="DefaultParagraphFont"/>
    <w:link w:val="Heading1"/>
    <w:uiPriority w:val="9"/>
    <w:rsid w:val="00FB1548"/>
    <w:rPr>
      <w:rFonts w:ascii="Josefin Sans" w:eastAsiaTheme="majorEastAsia" w:hAnsi="Josefin Sans" w:cstheme="majorBidi"/>
      <w:b/>
      <w:color w:val="000000" w:themeColor="text1"/>
      <w:sz w:val="60"/>
      <w:szCs w:val="32"/>
      <w:lang w:val="en-AU"/>
    </w:rPr>
  </w:style>
  <w:style w:type="paragraph" w:customStyle="1" w:styleId="ChapterNumber">
    <w:name w:val="Chapter Number"/>
    <w:basedOn w:val="Normal"/>
    <w:link w:val="ChapterNumberChar"/>
    <w:qFormat/>
    <w:rsid w:val="00FB1548"/>
    <w:pPr>
      <w:spacing w:after="4080"/>
      <w:jc w:val="right"/>
    </w:pPr>
    <w:rPr>
      <w:rFonts w:ascii="Josefin Sans" w:hAnsi="Josefin Sans"/>
      <w:b/>
      <w:color w:val="D3E3F2"/>
      <w:sz w:val="440"/>
      <w:szCs w:val="440"/>
    </w:rPr>
  </w:style>
  <w:style w:type="character" w:customStyle="1" w:styleId="Heading2Char">
    <w:name w:val="Heading 2 Char"/>
    <w:basedOn w:val="DefaultParagraphFont"/>
    <w:link w:val="Heading2"/>
    <w:uiPriority w:val="9"/>
    <w:rsid w:val="00513FE6"/>
    <w:rPr>
      <w:rFonts w:ascii="Josefin Sans" w:eastAsiaTheme="majorEastAsia" w:hAnsi="Josefin Sans" w:cs="Arial"/>
      <w:b/>
      <w:bCs/>
      <w:color w:val="104F99" w:themeColor="accent1"/>
      <w:sz w:val="36"/>
      <w:szCs w:val="36"/>
      <w:lang w:val="en-AU"/>
    </w:rPr>
  </w:style>
  <w:style w:type="character" w:customStyle="1" w:styleId="ChapterNumberChar">
    <w:name w:val="Chapter Number Char"/>
    <w:basedOn w:val="DefaultParagraphFont"/>
    <w:link w:val="ChapterNumber"/>
    <w:rsid w:val="00FB1548"/>
    <w:rPr>
      <w:rFonts w:ascii="Josefin Sans" w:hAnsi="Josefin Sans"/>
      <w:b/>
      <w:color w:val="D3E3F2"/>
      <w:sz w:val="440"/>
      <w:szCs w:val="440"/>
      <w:lang w:val="en-AU"/>
    </w:rPr>
  </w:style>
  <w:style w:type="character" w:customStyle="1" w:styleId="Heading3Char">
    <w:name w:val="Heading 3 Char"/>
    <w:basedOn w:val="DefaultParagraphFont"/>
    <w:link w:val="Heading3"/>
    <w:uiPriority w:val="9"/>
    <w:rsid w:val="000D0930"/>
    <w:rPr>
      <w:rFonts w:ascii="Josefin Sans" w:eastAsiaTheme="majorEastAsia" w:hAnsi="Josefin Sans" w:cstheme="majorBidi"/>
      <w:b/>
      <w:color w:val="000000" w:themeColor="text1"/>
      <w:sz w:val="24"/>
      <w:szCs w:val="24"/>
      <w:lang w:val="en-AU"/>
    </w:rPr>
  </w:style>
  <w:style w:type="paragraph" w:customStyle="1" w:styleId="Body">
    <w:name w:val="Body"/>
    <w:link w:val="BodyChar"/>
    <w:qFormat/>
    <w:rsid w:val="001B1269"/>
    <w:pPr>
      <w:spacing w:before="240"/>
    </w:pPr>
    <w:rPr>
      <w:rFonts w:ascii="Arial" w:hAnsi="Arial"/>
      <w:sz w:val="18"/>
      <w:szCs w:val="18"/>
      <w:lang w:val="en-AU"/>
    </w:rPr>
  </w:style>
  <w:style w:type="character" w:customStyle="1" w:styleId="Heading4Char">
    <w:name w:val="Heading 4 Char"/>
    <w:basedOn w:val="DefaultParagraphFont"/>
    <w:link w:val="Heading4"/>
    <w:uiPriority w:val="9"/>
    <w:rsid w:val="004C665E"/>
    <w:rPr>
      <w:rFonts w:ascii="Josefin Sans" w:eastAsiaTheme="majorEastAsia" w:hAnsi="Josefin Sans" w:cstheme="majorBidi"/>
      <w:b/>
      <w:iCs/>
      <w:color w:val="104F99" w:themeColor="accent1"/>
      <w:sz w:val="20"/>
      <w:lang w:val="en-AU"/>
    </w:rPr>
  </w:style>
  <w:style w:type="character" w:customStyle="1" w:styleId="BodyChar">
    <w:name w:val="Body Char"/>
    <w:basedOn w:val="DefaultParagraphFont"/>
    <w:link w:val="Body"/>
    <w:rsid w:val="001B1269"/>
    <w:rPr>
      <w:rFonts w:ascii="Arial" w:hAnsi="Arial"/>
      <w:sz w:val="18"/>
      <w:szCs w:val="18"/>
      <w:lang w:val="en-AU"/>
    </w:rPr>
  </w:style>
  <w:style w:type="paragraph" w:customStyle="1" w:styleId="Bullets">
    <w:name w:val="Bullets"/>
    <w:basedOn w:val="Body"/>
    <w:link w:val="BulletsChar"/>
    <w:qFormat/>
    <w:rsid w:val="00680607"/>
    <w:pPr>
      <w:framePr w:hSpace="180" w:wrap="around" w:vAnchor="text" w:hAnchor="margin" w:xAlign="right" w:y="-134"/>
      <w:numPr>
        <w:numId w:val="2"/>
      </w:numPr>
      <w:spacing w:before="80" w:after="80" w:line="240" w:lineRule="auto"/>
      <w:ind w:left="283" w:hanging="283"/>
    </w:pPr>
    <w:rPr>
      <w:sz w:val="20"/>
      <w:szCs w:val="20"/>
    </w:rPr>
  </w:style>
  <w:style w:type="paragraph" w:customStyle="1" w:styleId="Bulletslast">
    <w:name w:val="Bullets last"/>
    <w:basedOn w:val="Bullets"/>
    <w:link w:val="BulletslastChar"/>
    <w:qFormat/>
    <w:rsid w:val="00C52D59"/>
    <w:pPr>
      <w:framePr w:wrap="around"/>
      <w:spacing w:after="320"/>
    </w:pPr>
  </w:style>
  <w:style w:type="character" w:customStyle="1" w:styleId="BulletsChar">
    <w:name w:val="Bullets Char"/>
    <w:basedOn w:val="BodyChar"/>
    <w:link w:val="Bullets"/>
    <w:rsid w:val="00680607"/>
    <w:rPr>
      <w:rFonts w:ascii="Arial" w:hAnsi="Arial"/>
      <w:sz w:val="20"/>
      <w:szCs w:val="20"/>
      <w:lang w:val="en-AU"/>
    </w:rPr>
  </w:style>
  <w:style w:type="paragraph" w:customStyle="1" w:styleId="CoverTitle">
    <w:name w:val="Cover Title"/>
    <w:basedOn w:val="Heading1"/>
    <w:link w:val="CoverTitleChar"/>
    <w:qFormat/>
    <w:rsid w:val="00FB1548"/>
    <w:pPr>
      <w:spacing w:before="8760"/>
    </w:pPr>
    <w:rPr>
      <w:color w:val="FFFFFF" w:themeColor="background1"/>
      <w:sz w:val="80"/>
      <w:szCs w:val="80"/>
    </w:rPr>
  </w:style>
  <w:style w:type="character" w:customStyle="1" w:styleId="BulletslastChar">
    <w:name w:val="Bullets last Char"/>
    <w:basedOn w:val="BulletsChar"/>
    <w:link w:val="Bulletslast"/>
    <w:rsid w:val="00C52D59"/>
    <w:rPr>
      <w:rFonts w:ascii="Fira Sans" w:hAnsi="Fira Sans"/>
      <w:sz w:val="18"/>
      <w:szCs w:val="18"/>
      <w:lang w:val="en-AU"/>
    </w:rPr>
  </w:style>
  <w:style w:type="paragraph" w:customStyle="1" w:styleId="Numberlist">
    <w:name w:val="Number list"/>
    <w:basedOn w:val="Body"/>
    <w:link w:val="NumberlistChar"/>
    <w:autoRedefine/>
    <w:qFormat/>
    <w:rsid w:val="0040700E"/>
    <w:pPr>
      <w:numPr>
        <w:numId w:val="4"/>
      </w:numPr>
      <w:spacing w:before="80" w:after="80"/>
      <w:ind w:left="470" w:hanging="357"/>
      <w:mirrorIndents/>
    </w:pPr>
  </w:style>
  <w:style w:type="character" w:customStyle="1" w:styleId="CoverTitleChar">
    <w:name w:val="Cover Title Char"/>
    <w:basedOn w:val="Heading1Char"/>
    <w:link w:val="CoverTitle"/>
    <w:rsid w:val="00FB1548"/>
    <w:rPr>
      <w:rFonts w:ascii="Josefin Sans" w:eastAsiaTheme="majorEastAsia" w:hAnsi="Josefin Sans" w:cstheme="majorBidi"/>
      <w:b/>
      <w:color w:val="FFFFFF" w:themeColor="background1"/>
      <w:sz w:val="80"/>
      <w:szCs w:val="80"/>
      <w:lang w:val="en-AU"/>
    </w:rPr>
  </w:style>
  <w:style w:type="paragraph" w:customStyle="1" w:styleId="Numberedlistlast">
    <w:name w:val="Numbered list last"/>
    <w:basedOn w:val="Numberlist"/>
    <w:link w:val="NumberedlistlastChar"/>
    <w:rsid w:val="00AD603F"/>
    <w:pPr>
      <w:spacing w:after="240"/>
    </w:pPr>
  </w:style>
  <w:style w:type="character" w:customStyle="1" w:styleId="NumberlistChar">
    <w:name w:val="Number list Char"/>
    <w:basedOn w:val="BodyChar"/>
    <w:link w:val="Numberlist"/>
    <w:rsid w:val="0040700E"/>
    <w:rPr>
      <w:rFonts w:ascii="Arial" w:hAnsi="Arial"/>
      <w:sz w:val="18"/>
      <w:szCs w:val="18"/>
      <w:lang w:val="en-AU"/>
    </w:rPr>
  </w:style>
  <w:style w:type="character" w:customStyle="1" w:styleId="Heading5Char">
    <w:name w:val="Heading 5 Char"/>
    <w:basedOn w:val="DefaultParagraphFont"/>
    <w:link w:val="Heading5"/>
    <w:uiPriority w:val="9"/>
    <w:rsid w:val="00FB1548"/>
    <w:rPr>
      <w:rFonts w:ascii="Josefin Sans" w:eastAsiaTheme="majorEastAsia" w:hAnsi="Josefin Sans" w:cstheme="majorBidi"/>
      <w:b/>
      <w:color w:val="0C3A72" w:themeColor="accent1" w:themeShade="BF"/>
      <w:lang w:val="en-AU"/>
    </w:rPr>
  </w:style>
  <w:style w:type="character" w:customStyle="1" w:styleId="NumberedlistlastChar">
    <w:name w:val="Numbered list last Char"/>
    <w:basedOn w:val="NumberlistChar"/>
    <w:link w:val="Numberedlistlast"/>
    <w:rsid w:val="00AD603F"/>
    <w:rPr>
      <w:rFonts w:ascii="Fira Sans" w:hAnsi="Fira Sans"/>
      <w:sz w:val="18"/>
      <w:szCs w:val="18"/>
      <w:lang w:val="en-AU"/>
    </w:rPr>
  </w:style>
  <w:style w:type="paragraph" w:customStyle="1" w:styleId="FigureTableHeading">
    <w:name w:val="Figure Table Heading"/>
    <w:basedOn w:val="Body"/>
    <w:link w:val="FigureTableHeadingChar"/>
    <w:qFormat/>
    <w:rsid w:val="001B1269"/>
    <w:pPr>
      <w:spacing w:after="0" w:line="240" w:lineRule="auto"/>
    </w:pPr>
    <w:rPr>
      <w:b/>
      <w:bCs/>
      <w:color w:val="FFFFFF" w:themeColor="background1"/>
    </w:rPr>
  </w:style>
  <w:style w:type="paragraph" w:customStyle="1" w:styleId="BulletL2">
    <w:name w:val="Bullet L2"/>
    <w:basedOn w:val="ListParagraph"/>
    <w:link w:val="BulletL2Char"/>
    <w:qFormat/>
    <w:rsid w:val="00680607"/>
    <w:pPr>
      <w:numPr>
        <w:numId w:val="45"/>
      </w:numPr>
      <w:spacing w:before="80" w:after="80" w:line="288" w:lineRule="auto"/>
      <w:ind w:left="426"/>
    </w:pPr>
    <w:rPr>
      <w:rFonts w:cs="Arial"/>
    </w:rPr>
  </w:style>
  <w:style w:type="character" w:customStyle="1" w:styleId="FigureTableHeadingChar">
    <w:name w:val="Figure Table Heading Char"/>
    <w:basedOn w:val="Heading5Char"/>
    <w:link w:val="FigureTableHeading"/>
    <w:rsid w:val="001B1269"/>
    <w:rPr>
      <w:rFonts w:ascii="Arial" w:eastAsiaTheme="majorEastAsia" w:hAnsi="Arial" w:cstheme="majorBidi"/>
      <w:b/>
      <w:bCs/>
      <w:color w:val="FFFFFF" w:themeColor="background1"/>
      <w:sz w:val="18"/>
      <w:szCs w:val="18"/>
      <w:lang w:val="en-AU"/>
    </w:rPr>
  </w:style>
  <w:style w:type="paragraph" w:customStyle="1" w:styleId="BulletL2Last">
    <w:name w:val="Bullet L2 Last"/>
    <w:basedOn w:val="BulletL2"/>
    <w:link w:val="BulletL2LastChar"/>
    <w:rsid w:val="00A550FD"/>
    <w:pPr>
      <w:spacing w:after="240"/>
    </w:pPr>
  </w:style>
  <w:style w:type="character" w:customStyle="1" w:styleId="BulletL2Char">
    <w:name w:val="Bullet L2 Char"/>
    <w:basedOn w:val="BulletsChar"/>
    <w:link w:val="BulletL2"/>
    <w:rsid w:val="00680607"/>
    <w:rPr>
      <w:rFonts w:ascii="Arial" w:hAnsi="Arial" w:cs="Arial"/>
      <w:sz w:val="20"/>
      <w:szCs w:val="20"/>
      <w:lang w:val="en-AU"/>
    </w:rPr>
  </w:style>
  <w:style w:type="table" w:styleId="TableGrid">
    <w:name w:val="Table Grid"/>
    <w:basedOn w:val="TableNormal"/>
    <w:uiPriority w:val="39"/>
    <w:rsid w:val="0000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2LastChar">
    <w:name w:val="Bullet L2 Last Char"/>
    <w:basedOn w:val="BulletL2Char"/>
    <w:link w:val="BulletL2Last"/>
    <w:rsid w:val="00A550FD"/>
    <w:rPr>
      <w:rFonts w:ascii="Fira Sans" w:hAnsi="Fira Sans" w:cs="Arial"/>
      <w:sz w:val="18"/>
      <w:szCs w:val="18"/>
      <w:lang w:val="en-AU"/>
    </w:rPr>
  </w:style>
  <w:style w:type="character" w:styleId="Hyperlink">
    <w:name w:val="Hyperlink"/>
    <w:basedOn w:val="DefaultParagraphFont"/>
    <w:uiPriority w:val="99"/>
    <w:unhideWhenUsed/>
    <w:rsid w:val="009E365D"/>
    <w:rPr>
      <w:rFonts w:ascii="Arial" w:hAnsi="Arial"/>
      <w:b w:val="0"/>
      <w:i w:val="0"/>
      <w:color w:val="104F99" w:themeColor="hyperlink"/>
      <w:u w:val="single"/>
    </w:rPr>
  </w:style>
  <w:style w:type="character" w:styleId="UnresolvedMention">
    <w:name w:val="Unresolved Mention"/>
    <w:basedOn w:val="DefaultParagraphFont"/>
    <w:uiPriority w:val="99"/>
    <w:semiHidden/>
    <w:unhideWhenUsed/>
    <w:rsid w:val="002627C0"/>
    <w:rPr>
      <w:color w:val="605E5C"/>
      <w:shd w:val="clear" w:color="auto" w:fill="E1DFDD"/>
    </w:rPr>
  </w:style>
  <w:style w:type="paragraph" w:styleId="FootnoteText">
    <w:name w:val="footnote text"/>
    <w:basedOn w:val="Normal"/>
    <w:link w:val="FootnoteTextChar"/>
    <w:uiPriority w:val="99"/>
    <w:semiHidden/>
    <w:unhideWhenUsed/>
    <w:rsid w:val="008B32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215"/>
    <w:rPr>
      <w:sz w:val="20"/>
      <w:szCs w:val="20"/>
    </w:rPr>
  </w:style>
  <w:style w:type="character" w:styleId="FootnoteReference">
    <w:name w:val="footnote reference"/>
    <w:aliases w:val="fr"/>
    <w:basedOn w:val="DefaultParagraphFont"/>
    <w:semiHidden/>
    <w:unhideWhenUsed/>
    <w:rsid w:val="008B3215"/>
    <w:rPr>
      <w:vertAlign w:val="superscript"/>
    </w:rPr>
  </w:style>
  <w:style w:type="paragraph" w:customStyle="1" w:styleId="Footnote">
    <w:name w:val="Footnote"/>
    <w:next w:val="Body"/>
    <w:link w:val="FootnoteChar"/>
    <w:qFormat/>
    <w:rsid w:val="00ED14EF"/>
    <w:rPr>
      <w:rFonts w:ascii="Arial" w:hAnsi="Arial"/>
      <w:sz w:val="14"/>
      <w:szCs w:val="14"/>
      <w:lang w:val="en-AU"/>
    </w:rPr>
  </w:style>
  <w:style w:type="character" w:customStyle="1" w:styleId="FootnoteChar">
    <w:name w:val="Footnote Char"/>
    <w:basedOn w:val="FootnoteTextChar"/>
    <w:link w:val="Footnote"/>
    <w:rsid w:val="00ED14EF"/>
    <w:rPr>
      <w:rFonts w:ascii="Arial" w:hAnsi="Arial"/>
      <w:sz w:val="14"/>
      <w:szCs w:val="14"/>
      <w:lang w:val="en-AU"/>
    </w:rPr>
  </w:style>
  <w:style w:type="paragraph" w:styleId="TOC2">
    <w:name w:val="toc 2"/>
    <w:basedOn w:val="Normal"/>
    <w:next w:val="Normal"/>
    <w:link w:val="TOC2Char"/>
    <w:autoRedefine/>
    <w:uiPriority w:val="39"/>
    <w:unhideWhenUsed/>
    <w:rsid w:val="002A465C"/>
    <w:pPr>
      <w:tabs>
        <w:tab w:val="right" w:leader="dot" w:pos="9016"/>
      </w:tabs>
      <w:spacing w:after="100"/>
      <w:ind w:left="220"/>
    </w:pPr>
    <w:rPr>
      <w:noProof/>
      <w:sz w:val="16"/>
      <w:szCs w:val="16"/>
    </w:rPr>
  </w:style>
  <w:style w:type="paragraph" w:styleId="TOC1">
    <w:name w:val="toc 1"/>
    <w:basedOn w:val="Normal"/>
    <w:next w:val="Normal"/>
    <w:link w:val="TOC1Char"/>
    <w:autoRedefine/>
    <w:uiPriority w:val="39"/>
    <w:unhideWhenUsed/>
    <w:rsid w:val="00523D86"/>
    <w:pPr>
      <w:tabs>
        <w:tab w:val="right" w:leader="dot" w:pos="9016"/>
      </w:tabs>
      <w:spacing w:after="100" w:line="240" w:lineRule="auto"/>
    </w:pPr>
    <w:rPr>
      <w:rFonts w:asciiTheme="majorHAnsi" w:hAnsiTheme="majorHAnsi" w:cs="Arial"/>
      <w:b/>
      <w:bCs/>
      <w:noProof/>
      <w:sz w:val="16"/>
      <w:szCs w:val="16"/>
    </w:rPr>
  </w:style>
  <w:style w:type="paragraph" w:styleId="TOC3">
    <w:name w:val="toc 3"/>
    <w:basedOn w:val="Normal"/>
    <w:next w:val="Normal"/>
    <w:autoRedefine/>
    <w:uiPriority w:val="39"/>
    <w:unhideWhenUsed/>
    <w:rsid w:val="004E0E0C"/>
    <w:pPr>
      <w:tabs>
        <w:tab w:val="right" w:leader="dot" w:pos="9016"/>
      </w:tabs>
      <w:spacing w:after="100"/>
      <w:ind w:left="440"/>
    </w:pPr>
    <w:rPr>
      <w:noProof/>
      <w:sz w:val="16"/>
      <w:szCs w:val="16"/>
    </w:rPr>
  </w:style>
  <w:style w:type="table" w:customStyle="1" w:styleId="TableGrid1">
    <w:name w:val="Table Grid1"/>
    <w:basedOn w:val="TableNormal"/>
    <w:next w:val="TableGrid"/>
    <w:uiPriority w:val="39"/>
    <w:rsid w:val="00BD2AA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rsid w:val="00F366D3"/>
    <w:pPr>
      <w:widowControl w:val="0"/>
      <w:autoSpaceDE w:val="0"/>
      <w:autoSpaceDN w:val="0"/>
      <w:spacing w:before="62" w:after="0" w:line="240" w:lineRule="auto"/>
      <w:ind w:left="50"/>
    </w:pPr>
    <w:rPr>
      <w:rFonts w:eastAsia="Futura PT Book" w:cs="Futura PT Book"/>
      <w:color w:val="58595A"/>
      <w:sz w:val="18"/>
      <w:szCs w:val="18"/>
      <w:lang w:bidi="en-US"/>
    </w:rPr>
  </w:style>
  <w:style w:type="character" w:customStyle="1" w:styleId="TableParagraphChar">
    <w:name w:val="Table Paragraph Char"/>
    <w:basedOn w:val="DefaultParagraphFont"/>
    <w:link w:val="TableParagraph"/>
    <w:uiPriority w:val="1"/>
    <w:rsid w:val="00F366D3"/>
    <w:rPr>
      <w:rFonts w:ascii="Arial" w:eastAsia="Futura PT Book" w:hAnsi="Arial" w:cs="Futura PT Book"/>
      <w:color w:val="58595A"/>
      <w:sz w:val="18"/>
      <w:szCs w:val="18"/>
      <w:lang w:val="en-AU" w:bidi="en-US"/>
    </w:rPr>
  </w:style>
  <w:style w:type="table" w:customStyle="1" w:styleId="IHACPA">
    <w:name w:val="IHACPA"/>
    <w:basedOn w:val="TableNormal"/>
    <w:uiPriority w:val="99"/>
    <w:rsid w:val="00731E91"/>
    <w:pPr>
      <w:spacing w:after="0" w:line="240" w:lineRule="auto"/>
    </w:pPr>
    <w:tblPr>
      <w:tblBorders>
        <w:bottom w:val="single" w:sz="4" w:space="0" w:color="DFECFB" w:themeColor="accent1" w:themeTint="1A"/>
        <w:insideH w:val="single" w:sz="4" w:space="0" w:color="DFECFB" w:themeColor="accent1" w:themeTint="1A"/>
      </w:tblBorders>
    </w:tblPr>
    <w:tblStylePr w:type="firstRow">
      <w:rPr>
        <w:rFonts w:asciiTheme="minorHAnsi" w:hAnsiTheme="minorHAnsi"/>
        <w:b/>
        <w:color w:val="FFFFFF" w:themeColor="background1"/>
      </w:rPr>
      <w:tblPr/>
      <w:tcPr>
        <w:shd w:val="clear" w:color="auto" w:fill="44546A" w:themeFill="text2"/>
      </w:tcPr>
    </w:tblStylePr>
  </w:style>
  <w:style w:type="paragraph" w:customStyle="1" w:styleId="TOCheaders">
    <w:name w:val="TOC headers"/>
    <w:basedOn w:val="TOC1"/>
    <w:link w:val="TOCheadersChar"/>
    <w:qFormat/>
    <w:rsid w:val="009E365D"/>
    <w:pPr>
      <w:spacing w:after="0" w:line="312" w:lineRule="auto"/>
    </w:pPr>
  </w:style>
  <w:style w:type="paragraph" w:customStyle="1" w:styleId="TOCsubheadings">
    <w:name w:val="TOC subheadings"/>
    <w:basedOn w:val="TOC2"/>
    <w:link w:val="TOCsubheadingsChar"/>
    <w:qFormat/>
    <w:rsid w:val="007D1C3F"/>
    <w:pPr>
      <w:spacing w:after="0" w:line="312" w:lineRule="auto"/>
    </w:pPr>
  </w:style>
  <w:style w:type="character" w:customStyle="1" w:styleId="TOC1Char">
    <w:name w:val="TOC 1 Char"/>
    <w:basedOn w:val="DefaultParagraphFont"/>
    <w:link w:val="TOC1"/>
    <w:uiPriority w:val="39"/>
    <w:rsid w:val="00523D86"/>
    <w:rPr>
      <w:rFonts w:asciiTheme="majorHAnsi" w:hAnsiTheme="majorHAnsi" w:cs="Arial"/>
      <w:b/>
      <w:bCs/>
      <w:noProof/>
      <w:sz w:val="16"/>
      <w:szCs w:val="16"/>
      <w:lang w:val="en-AU"/>
    </w:rPr>
  </w:style>
  <w:style w:type="character" w:customStyle="1" w:styleId="TOCheadersChar">
    <w:name w:val="TOC headers Char"/>
    <w:basedOn w:val="TOC1Char"/>
    <w:link w:val="TOCheaders"/>
    <w:rsid w:val="009E365D"/>
    <w:rPr>
      <w:rFonts w:ascii="Arial" w:hAnsi="Arial" w:cs="Arial"/>
      <w:b/>
      <w:bCs/>
      <w:noProof/>
      <w:sz w:val="16"/>
      <w:szCs w:val="16"/>
      <w:lang w:val="en-AU"/>
    </w:rPr>
  </w:style>
  <w:style w:type="character" w:customStyle="1" w:styleId="TOC2Char">
    <w:name w:val="TOC 2 Char"/>
    <w:basedOn w:val="DefaultParagraphFont"/>
    <w:link w:val="TOC2"/>
    <w:uiPriority w:val="39"/>
    <w:rsid w:val="002A465C"/>
    <w:rPr>
      <w:rFonts w:ascii="Arial" w:hAnsi="Arial"/>
      <w:noProof/>
      <w:sz w:val="16"/>
      <w:szCs w:val="16"/>
      <w:lang w:val="en-AU"/>
    </w:rPr>
  </w:style>
  <w:style w:type="character" w:customStyle="1" w:styleId="TOCsubheadingsChar">
    <w:name w:val="TOC subheadings Char"/>
    <w:basedOn w:val="TOC2Char"/>
    <w:link w:val="TOCsubheadings"/>
    <w:rsid w:val="007D1C3F"/>
    <w:rPr>
      <w:rFonts w:ascii="Arial" w:hAnsi="Arial"/>
      <w:noProof/>
      <w:sz w:val="16"/>
      <w:szCs w:val="16"/>
      <w:lang w:val="en-AU"/>
    </w:rPr>
  </w:style>
  <w:style w:type="character" w:styleId="FollowedHyperlink">
    <w:name w:val="FollowedHyperlink"/>
    <w:basedOn w:val="DefaultParagraphFont"/>
    <w:uiPriority w:val="99"/>
    <w:semiHidden/>
    <w:unhideWhenUsed/>
    <w:rsid w:val="00516FD0"/>
    <w:rPr>
      <w:color w:val="104F99" w:themeColor="followedHyperlink"/>
      <w:u w:val="single"/>
    </w:rPr>
  </w:style>
  <w:style w:type="character" w:styleId="CommentReference">
    <w:name w:val="annotation reference"/>
    <w:basedOn w:val="DefaultParagraphFont"/>
    <w:uiPriority w:val="99"/>
    <w:semiHidden/>
    <w:unhideWhenUsed/>
    <w:rsid w:val="00BA1007"/>
    <w:rPr>
      <w:sz w:val="16"/>
      <w:szCs w:val="16"/>
    </w:rPr>
  </w:style>
  <w:style w:type="paragraph" w:styleId="CommentText">
    <w:name w:val="annotation text"/>
    <w:basedOn w:val="Normal"/>
    <w:link w:val="CommentTextChar"/>
    <w:uiPriority w:val="99"/>
    <w:unhideWhenUsed/>
    <w:rsid w:val="00BA1007"/>
    <w:pPr>
      <w:spacing w:line="240" w:lineRule="auto"/>
    </w:pPr>
    <w:rPr>
      <w:sz w:val="20"/>
      <w:szCs w:val="20"/>
    </w:rPr>
  </w:style>
  <w:style w:type="character" w:customStyle="1" w:styleId="CommentTextChar">
    <w:name w:val="Comment Text Char"/>
    <w:basedOn w:val="DefaultParagraphFont"/>
    <w:link w:val="CommentText"/>
    <w:uiPriority w:val="99"/>
    <w:rsid w:val="00BA1007"/>
    <w:rPr>
      <w:sz w:val="20"/>
      <w:szCs w:val="20"/>
      <w:lang w:val="en-AU"/>
    </w:rPr>
  </w:style>
  <w:style w:type="paragraph" w:styleId="CommentSubject">
    <w:name w:val="annotation subject"/>
    <w:basedOn w:val="CommentText"/>
    <w:next w:val="CommentText"/>
    <w:link w:val="CommentSubjectChar"/>
    <w:uiPriority w:val="99"/>
    <w:semiHidden/>
    <w:unhideWhenUsed/>
    <w:rsid w:val="00BA1007"/>
    <w:rPr>
      <w:b/>
      <w:bCs/>
    </w:rPr>
  </w:style>
  <w:style w:type="character" w:customStyle="1" w:styleId="CommentSubjectChar">
    <w:name w:val="Comment Subject Char"/>
    <w:basedOn w:val="CommentTextChar"/>
    <w:link w:val="CommentSubject"/>
    <w:uiPriority w:val="99"/>
    <w:semiHidden/>
    <w:rsid w:val="00BA1007"/>
    <w:rPr>
      <w:b/>
      <w:bCs/>
      <w:sz w:val="20"/>
      <w:szCs w:val="20"/>
      <w:lang w:val="en-AU"/>
    </w:rPr>
  </w:style>
  <w:style w:type="character" w:customStyle="1" w:styleId="Heading6Char">
    <w:name w:val="Heading 6 Char"/>
    <w:basedOn w:val="DefaultParagraphFont"/>
    <w:link w:val="Heading6"/>
    <w:uiPriority w:val="9"/>
    <w:semiHidden/>
    <w:rsid w:val="00FB1548"/>
    <w:rPr>
      <w:rFonts w:ascii="Josefin Sans" w:eastAsiaTheme="majorEastAsia" w:hAnsi="Josefin Sans" w:cstheme="majorBidi"/>
      <w:b/>
      <w:color w:val="08274C" w:themeColor="accent1" w:themeShade="7F"/>
      <w:lang w:val="en-AU"/>
    </w:rPr>
  </w:style>
  <w:style w:type="paragraph" w:styleId="Title">
    <w:name w:val="Title"/>
    <w:basedOn w:val="Normal"/>
    <w:next w:val="Normal"/>
    <w:link w:val="TitleChar"/>
    <w:uiPriority w:val="10"/>
    <w:qFormat/>
    <w:rsid w:val="00FB1548"/>
    <w:pPr>
      <w:spacing w:after="0" w:line="240" w:lineRule="auto"/>
      <w:contextualSpacing/>
    </w:pPr>
    <w:rPr>
      <w:rFonts w:ascii="Josefin Sans" w:eastAsiaTheme="majorEastAsia" w:hAnsi="Josefin Sans" w:cstheme="majorBidi"/>
      <w:b/>
      <w:spacing w:val="-10"/>
      <w:kern w:val="28"/>
      <w:sz w:val="56"/>
      <w:szCs w:val="56"/>
    </w:rPr>
  </w:style>
  <w:style w:type="character" w:customStyle="1" w:styleId="TitleChar">
    <w:name w:val="Title Char"/>
    <w:basedOn w:val="DefaultParagraphFont"/>
    <w:link w:val="Title"/>
    <w:uiPriority w:val="10"/>
    <w:rsid w:val="00FB1548"/>
    <w:rPr>
      <w:rFonts w:ascii="Josefin Sans" w:eastAsiaTheme="majorEastAsia" w:hAnsi="Josefin Sans" w:cstheme="majorBidi"/>
      <w:b/>
      <w:spacing w:val="-10"/>
      <w:kern w:val="28"/>
      <w:sz w:val="56"/>
      <w:szCs w:val="56"/>
      <w:lang w:val="en-AU"/>
    </w:rPr>
  </w:style>
  <w:style w:type="paragraph" w:styleId="Subtitle">
    <w:name w:val="Subtitle"/>
    <w:basedOn w:val="Normal"/>
    <w:next w:val="Normal"/>
    <w:link w:val="SubtitleChar"/>
    <w:uiPriority w:val="11"/>
    <w:qFormat/>
    <w:rsid w:val="00FB15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1548"/>
    <w:rPr>
      <w:rFonts w:ascii="Fira Sans" w:eastAsiaTheme="minorEastAsia" w:hAnsi="Fira Sans"/>
      <w:color w:val="5A5A5A" w:themeColor="text1" w:themeTint="A5"/>
      <w:spacing w:val="15"/>
      <w:lang w:val="en-AU"/>
    </w:rPr>
  </w:style>
  <w:style w:type="character" w:styleId="SubtleEmphasis">
    <w:name w:val="Subtle Emphasis"/>
    <w:basedOn w:val="DefaultParagraphFont"/>
    <w:uiPriority w:val="19"/>
    <w:qFormat/>
    <w:rsid w:val="009E365D"/>
    <w:rPr>
      <w:i/>
      <w:iCs/>
      <w:color w:val="404040" w:themeColor="text1" w:themeTint="BF"/>
    </w:rPr>
  </w:style>
  <w:style w:type="character" w:styleId="Emphasis">
    <w:name w:val="Emphasis"/>
    <w:basedOn w:val="DefaultParagraphFont"/>
    <w:uiPriority w:val="20"/>
    <w:qFormat/>
    <w:rsid w:val="009E365D"/>
    <w:rPr>
      <w:i/>
      <w:iCs/>
    </w:rPr>
  </w:style>
  <w:style w:type="character" w:styleId="IntenseEmphasis">
    <w:name w:val="Intense Emphasis"/>
    <w:basedOn w:val="DefaultParagraphFont"/>
    <w:uiPriority w:val="21"/>
    <w:qFormat/>
    <w:rsid w:val="009E365D"/>
    <w:rPr>
      <w:i/>
      <w:iCs/>
      <w:color w:val="104F99" w:themeColor="accent1"/>
    </w:rPr>
  </w:style>
  <w:style w:type="character" w:styleId="Strong">
    <w:name w:val="Strong"/>
    <w:basedOn w:val="DefaultParagraphFont"/>
    <w:uiPriority w:val="22"/>
    <w:qFormat/>
    <w:rsid w:val="009E365D"/>
    <w:rPr>
      <w:rFonts w:ascii="Arial" w:hAnsi="Arial"/>
      <w:b/>
      <w:bCs/>
      <w:i w:val="0"/>
    </w:rPr>
  </w:style>
  <w:style w:type="paragraph" w:styleId="Quote">
    <w:name w:val="Quote"/>
    <w:basedOn w:val="Normal"/>
    <w:next w:val="Normal"/>
    <w:link w:val="QuoteChar"/>
    <w:uiPriority w:val="29"/>
    <w:qFormat/>
    <w:rsid w:val="009E36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365D"/>
    <w:rPr>
      <w:rFonts w:ascii="Fira Sans" w:hAnsi="Fira Sans"/>
      <w:i/>
      <w:iCs/>
      <w:color w:val="404040" w:themeColor="text1" w:themeTint="BF"/>
      <w:lang w:val="en-AU"/>
    </w:rPr>
  </w:style>
  <w:style w:type="paragraph" w:styleId="IntenseQuote">
    <w:name w:val="Intense Quote"/>
    <w:basedOn w:val="Normal"/>
    <w:next w:val="Normal"/>
    <w:link w:val="IntenseQuoteChar"/>
    <w:uiPriority w:val="30"/>
    <w:qFormat/>
    <w:rsid w:val="009E365D"/>
    <w:pPr>
      <w:pBdr>
        <w:top w:val="single" w:sz="4" w:space="10" w:color="104F99" w:themeColor="accent1"/>
        <w:bottom w:val="single" w:sz="4" w:space="10" w:color="104F99" w:themeColor="accent1"/>
      </w:pBdr>
      <w:spacing w:before="360" w:after="360"/>
      <w:ind w:left="864" w:right="864"/>
      <w:jc w:val="center"/>
    </w:pPr>
    <w:rPr>
      <w:i/>
      <w:iCs/>
      <w:color w:val="104F99" w:themeColor="accent1"/>
    </w:rPr>
  </w:style>
  <w:style w:type="character" w:customStyle="1" w:styleId="IntenseQuoteChar">
    <w:name w:val="Intense Quote Char"/>
    <w:basedOn w:val="DefaultParagraphFont"/>
    <w:link w:val="IntenseQuote"/>
    <w:uiPriority w:val="30"/>
    <w:rsid w:val="009E365D"/>
    <w:rPr>
      <w:rFonts w:ascii="Fira Sans" w:hAnsi="Fira Sans"/>
      <w:i/>
      <w:iCs/>
      <w:color w:val="104F99" w:themeColor="accent1"/>
      <w:lang w:val="en-AU"/>
    </w:rPr>
  </w:style>
  <w:style w:type="character" w:styleId="SubtleReference">
    <w:name w:val="Subtle Reference"/>
    <w:basedOn w:val="DefaultParagraphFont"/>
    <w:uiPriority w:val="31"/>
    <w:qFormat/>
    <w:rsid w:val="009E365D"/>
    <w:rPr>
      <w:smallCaps/>
      <w:color w:val="5A5A5A" w:themeColor="text1" w:themeTint="A5"/>
    </w:rPr>
  </w:style>
  <w:style w:type="character" w:styleId="IntenseReference">
    <w:name w:val="Intense Reference"/>
    <w:basedOn w:val="DefaultParagraphFont"/>
    <w:uiPriority w:val="32"/>
    <w:qFormat/>
    <w:rsid w:val="009E365D"/>
    <w:rPr>
      <w:rFonts w:ascii="Arial" w:hAnsi="Arial"/>
      <w:b/>
      <w:bCs/>
      <w:i w:val="0"/>
      <w:smallCaps/>
      <w:color w:val="104F99" w:themeColor="accent1"/>
      <w:spacing w:val="5"/>
    </w:rPr>
  </w:style>
  <w:style w:type="character" w:styleId="BookTitle">
    <w:name w:val="Book Title"/>
    <w:basedOn w:val="DefaultParagraphFont"/>
    <w:uiPriority w:val="33"/>
    <w:qFormat/>
    <w:rsid w:val="009E365D"/>
    <w:rPr>
      <w:rFonts w:ascii="Arial" w:hAnsi="Arial"/>
      <w:b/>
      <w:bCs/>
      <w:i/>
      <w:iCs/>
      <w:spacing w:val="5"/>
    </w:rPr>
  </w:style>
  <w:style w:type="paragraph" w:styleId="ListParagraph">
    <w:name w:val="List Paragraph"/>
    <w:aliases w:val="List Paragraph1,Recommendation,Bullet L1,Bullet table"/>
    <w:basedOn w:val="Normal"/>
    <w:link w:val="ListParagraphChar"/>
    <w:uiPriority w:val="34"/>
    <w:qFormat/>
    <w:rsid w:val="009E365D"/>
    <w:pPr>
      <w:ind w:left="720"/>
      <w:contextualSpacing/>
    </w:pPr>
  </w:style>
  <w:style w:type="paragraph" w:customStyle="1" w:styleId="Heading-Sectionstart">
    <w:name w:val="Heading - Section start"/>
    <w:basedOn w:val="Heading1"/>
    <w:link w:val="Heading-SectionstartChar"/>
    <w:qFormat/>
    <w:rsid w:val="000258BC"/>
    <w:rPr>
      <w:color w:val="54C1AF" w:themeColor="accent4"/>
    </w:rPr>
  </w:style>
  <w:style w:type="paragraph" w:customStyle="1" w:styleId="Hyperlinktext">
    <w:name w:val="Hyperlink text"/>
    <w:basedOn w:val="Body"/>
    <w:link w:val="HyperlinktextChar"/>
    <w:qFormat/>
    <w:rsid w:val="00D81115"/>
    <w:pPr>
      <w:spacing w:after="0" w:line="240" w:lineRule="auto"/>
    </w:pPr>
    <w:rPr>
      <w:color w:val="009055" w:themeColor="accent5"/>
      <w:u w:val="single"/>
    </w:rPr>
  </w:style>
  <w:style w:type="character" w:customStyle="1" w:styleId="Heading-SectionstartChar">
    <w:name w:val="Heading - Section start Char"/>
    <w:basedOn w:val="Heading1Char"/>
    <w:link w:val="Heading-Sectionstart"/>
    <w:rsid w:val="000258BC"/>
    <w:rPr>
      <w:rFonts w:ascii="Josefin Sans" w:eastAsiaTheme="majorEastAsia" w:hAnsi="Josefin Sans" w:cstheme="majorBidi"/>
      <w:b/>
      <w:color w:val="54C1AF" w:themeColor="accent4"/>
      <w:sz w:val="60"/>
      <w:szCs w:val="32"/>
      <w:lang w:val="en-AU"/>
    </w:rPr>
  </w:style>
  <w:style w:type="character" w:customStyle="1" w:styleId="HyperlinktextChar">
    <w:name w:val="Hyperlink text Char"/>
    <w:basedOn w:val="BodyChar"/>
    <w:link w:val="Hyperlinktext"/>
    <w:rsid w:val="00D81115"/>
    <w:rPr>
      <w:rFonts w:ascii="Arial" w:hAnsi="Arial"/>
      <w:color w:val="009055" w:themeColor="accent5"/>
      <w:sz w:val="18"/>
      <w:szCs w:val="18"/>
      <w:u w:val="single"/>
      <w:lang w:val="en-AU"/>
    </w:rPr>
  </w:style>
  <w:style w:type="character" w:customStyle="1" w:styleId="ListParagraphChar">
    <w:name w:val="List Paragraph Char"/>
    <w:aliases w:val="List Paragraph1 Char,Recommendation Char,Bullet L1 Char,Bullet table Char"/>
    <w:basedOn w:val="DefaultParagraphFont"/>
    <w:link w:val="ListParagraph"/>
    <w:uiPriority w:val="34"/>
    <w:locked/>
    <w:rsid w:val="000C07E4"/>
    <w:rPr>
      <w:rFonts w:ascii="Arial" w:hAnsi="Arial"/>
      <w:lang w:val="en-AU"/>
    </w:rPr>
  </w:style>
  <w:style w:type="paragraph" w:styleId="BodyText">
    <w:name w:val="Body Text"/>
    <w:basedOn w:val="Normal"/>
    <w:link w:val="BodyTextChar"/>
    <w:uiPriority w:val="1"/>
    <w:qFormat/>
    <w:rsid w:val="000C07E4"/>
    <w:pPr>
      <w:widowControl w:val="0"/>
      <w:autoSpaceDE w:val="0"/>
      <w:autoSpaceDN w:val="0"/>
      <w:spacing w:before="163" w:after="0" w:line="256" w:lineRule="auto"/>
      <w:ind w:right="143"/>
    </w:pPr>
    <w:rPr>
      <w:rFonts w:ascii="Fira Sans" w:eastAsia="Futura PT Book" w:hAnsi="Fira Sans" w:cs="Futura PT Book"/>
      <w:color w:val="58595B"/>
      <w:sz w:val="19"/>
      <w:szCs w:val="19"/>
      <w:lang w:bidi="en-US"/>
    </w:rPr>
  </w:style>
  <w:style w:type="character" w:customStyle="1" w:styleId="BodyTextChar">
    <w:name w:val="Body Text Char"/>
    <w:basedOn w:val="DefaultParagraphFont"/>
    <w:link w:val="BodyText"/>
    <w:uiPriority w:val="1"/>
    <w:rsid w:val="000C07E4"/>
    <w:rPr>
      <w:rFonts w:ascii="Fira Sans" w:eastAsia="Futura PT Book" w:hAnsi="Fira Sans" w:cs="Futura PT Book"/>
      <w:color w:val="58595B"/>
      <w:sz w:val="19"/>
      <w:szCs w:val="19"/>
      <w:lang w:val="en-AU" w:bidi="en-US"/>
    </w:rPr>
  </w:style>
  <w:style w:type="paragraph" w:styleId="TOCHeading">
    <w:name w:val="TOC Heading"/>
    <w:basedOn w:val="Heading1"/>
    <w:next w:val="Normal"/>
    <w:uiPriority w:val="39"/>
    <w:unhideWhenUsed/>
    <w:qFormat/>
    <w:rsid w:val="004E0E0C"/>
    <w:pPr>
      <w:spacing w:after="0"/>
      <w:outlineLvl w:val="9"/>
    </w:pPr>
    <w:rPr>
      <w:rFonts w:asciiTheme="majorHAnsi" w:hAnsiTheme="majorHAnsi"/>
      <w:b w:val="0"/>
      <w:color w:val="0C3A72" w:themeColor="accent1" w:themeShade="BF"/>
      <w:sz w:val="32"/>
      <w:lang w:val="en-US"/>
    </w:rPr>
  </w:style>
  <w:style w:type="paragraph" w:styleId="NormalWeb">
    <w:name w:val="Normal (Web)"/>
    <w:basedOn w:val="Normal"/>
    <w:uiPriority w:val="99"/>
    <w:semiHidden/>
    <w:unhideWhenUsed/>
    <w:rsid w:val="000450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85B02"/>
    <w:pPr>
      <w:spacing w:after="0" w:line="240" w:lineRule="auto"/>
    </w:pPr>
    <w:rPr>
      <w:rFonts w:ascii="Arial" w:hAnsi="Arial"/>
      <w:lang w:val="en-AU"/>
    </w:rPr>
  </w:style>
  <w:style w:type="table" w:customStyle="1" w:styleId="IHACPATable">
    <w:name w:val="IHACPA Table"/>
    <w:basedOn w:val="TableNormal"/>
    <w:uiPriority w:val="99"/>
    <w:rsid w:val="00FE7FBB"/>
    <w:pPr>
      <w:spacing w:after="0" w:line="240" w:lineRule="auto"/>
    </w:pPr>
    <w:rPr>
      <w:sz w:val="18"/>
    </w:rPr>
    <w:tblPr>
      <w:tblStyleRowBandSize w:val="1"/>
    </w:tblPr>
    <w:tblStylePr w:type="firstRow">
      <w:tblPr/>
      <w:tcPr>
        <w:shd w:val="clear" w:color="auto" w:fill="44546A" w:themeFill="text2"/>
      </w:tcPr>
    </w:tblStylePr>
    <w:tblStylePr w:type="lastRow">
      <w:rPr>
        <w:rFonts w:asciiTheme="minorHAnsi" w:hAnsiTheme="minorHAnsi"/>
        <w:sz w:val="15"/>
      </w:rPr>
      <w:tblPr/>
      <w:tcPr>
        <w:tcBorders>
          <w:top w:val="nil"/>
          <w:bottom w:val="single" w:sz="4" w:space="0" w:color="C5C2C2"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C5C2C2" w:themeColor="background2" w:themeShade="D9"/>
          <w:left w:val="nil"/>
          <w:bottom w:val="single" w:sz="4" w:space="0" w:color="C5C2C2" w:themeColor="background2" w:themeShade="D9"/>
          <w:right w:val="nil"/>
          <w:insideH w:val="nil"/>
          <w:insideV w:val="nil"/>
          <w:tl2br w:val="nil"/>
          <w:tr2bl w:val="nil"/>
        </w:tcBorders>
      </w:tcPr>
    </w:tblStylePr>
    <w:tblStylePr w:type="band2Horz">
      <w:tblPr/>
      <w:tcPr>
        <w:tcBorders>
          <w:top w:val="single" w:sz="4" w:space="0" w:color="C5C2C2" w:themeColor="background2" w:themeShade="D9"/>
          <w:bottom w:val="nil"/>
        </w:tcBorders>
      </w:tcPr>
    </w:tblStylePr>
  </w:style>
  <w:style w:type="character" w:customStyle="1" w:styleId="normaltextrun">
    <w:name w:val="normaltextrun"/>
    <w:basedOn w:val="DefaultParagraphFont"/>
    <w:rsid w:val="00FE7FBB"/>
  </w:style>
  <w:style w:type="paragraph" w:customStyle="1" w:styleId="Default">
    <w:name w:val="Default"/>
    <w:rsid w:val="00FE7FBB"/>
    <w:pPr>
      <w:autoSpaceDE w:val="0"/>
      <w:autoSpaceDN w:val="0"/>
      <w:adjustRightInd w:val="0"/>
      <w:spacing w:after="0" w:line="240" w:lineRule="auto"/>
    </w:pPr>
    <w:rPr>
      <w:rFonts w:ascii="Fira Sans" w:hAnsi="Fira Sans" w:cs="Fira Sans"/>
      <w:color w:val="000000"/>
      <w:sz w:val="24"/>
      <w:szCs w:val="24"/>
      <w:lang w:val="en-AU"/>
    </w:rPr>
  </w:style>
  <w:style w:type="paragraph" w:customStyle="1" w:styleId="EYBodytextwithparaspace">
    <w:name w:val="EY Body text (with para space)"/>
    <w:basedOn w:val="Normal"/>
    <w:link w:val="EYBodytextwithparaspaceChar"/>
    <w:qFormat/>
    <w:rsid w:val="00BF3B4C"/>
    <w:pPr>
      <w:autoSpaceDE w:val="0"/>
      <w:autoSpaceDN w:val="0"/>
      <w:adjustRightInd w:val="0"/>
      <w:spacing w:after="240" w:line="240" w:lineRule="auto"/>
    </w:pPr>
    <w:rPr>
      <w:rFonts w:ascii="EYInterstate Light" w:eastAsia="Times New Roman" w:hAnsi="EYInterstate Light" w:cs="Times New Roman"/>
      <w:sz w:val="20"/>
      <w:szCs w:val="24"/>
    </w:rPr>
  </w:style>
  <w:style w:type="character" w:customStyle="1" w:styleId="EYBodytextwithparaspaceChar">
    <w:name w:val="EY Body text (with para space) Char"/>
    <w:basedOn w:val="DefaultParagraphFont"/>
    <w:link w:val="EYBodytextwithparaspace"/>
    <w:locked/>
    <w:rsid w:val="00BF3B4C"/>
    <w:rPr>
      <w:rFonts w:ascii="EYInterstate Light" w:eastAsia="Times New Roman" w:hAnsi="EYInterstate Light"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9208">
      <w:bodyDiv w:val="1"/>
      <w:marLeft w:val="0"/>
      <w:marRight w:val="0"/>
      <w:marTop w:val="0"/>
      <w:marBottom w:val="0"/>
      <w:divBdr>
        <w:top w:val="none" w:sz="0" w:space="0" w:color="auto"/>
        <w:left w:val="none" w:sz="0" w:space="0" w:color="auto"/>
        <w:bottom w:val="none" w:sz="0" w:space="0" w:color="auto"/>
        <w:right w:val="none" w:sz="0" w:space="0" w:color="auto"/>
      </w:divBdr>
    </w:div>
    <w:div w:id="89473569">
      <w:bodyDiv w:val="1"/>
      <w:marLeft w:val="0"/>
      <w:marRight w:val="0"/>
      <w:marTop w:val="0"/>
      <w:marBottom w:val="0"/>
      <w:divBdr>
        <w:top w:val="none" w:sz="0" w:space="0" w:color="auto"/>
        <w:left w:val="none" w:sz="0" w:space="0" w:color="auto"/>
        <w:bottom w:val="none" w:sz="0" w:space="0" w:color="auto"/>
        <w:right w:val="none" w:sz="0" w:space="0" w:color="auto"/>
      </w:divBdr>
    </w:div>
    <w:div w:id="91292175">
      <w:bodyDiv w:val="1"/>
      <w:marLeft w:val="0"/>
      <w:marRight w:val="0"/>
      <w:marTop w:val="0"/>
      <w:marBottom w:val="0"/>
      <w:divBdr>
        <w:top w:val="none" w:sz="0" w:space="0" w:color="auto"/>
        <w:left w:val="none" w:sz="0" w:space="0" w:color="auto"/>
        <w:bottom w:val="none" w:sz="0" w:space="0" w:color="auto"/>
        <w:right w:val="none" w:sz="0" w:space="0" w:color="auto"/>
      </w:divBdr>
    </w:div>
    <w:div w:id="140659224">
      <w:bodyDiv w:val="1"/>
      <w:marLeft w:val="0"/>
      <w:marRight w:val="0"/>
      <w:marTop w:val="0"/>
      <w:marBottom w:val="0"/>
      <w:divBdr>
        <w:top w:val="none" w:sz="0" w:space="0" w:color="auto"/>
        <w:left w:val="none" w:sz="0" w:space="0" w:color="auto"/>
        <w:bottom w:val="none" w:sz="0" w:space="0" w:color="auto"/>
        <w:right w:val="none" w:sz="0" w:space="0" w:color="auto"/>
      </w:divBdr>
    </w:div>
    <w:div w:id="143860730">
      <w:bodyDiv w:val="1"/>
      <w:marLeft w:val="0"/>
      <w:marRight w:val="0"/>
      <w:marTop w:val="0"/>
      <w:marBottom w:val="0"/>
      <w:divBdr>
        <w:top w:val="none" w:sz="0" w:space="0" w:color="auto"/>
        <w:left w:val="none" w:sz="0" w:space="0" w:color="auto"/>
        <w:bottom w:val="none" w:sz="0" w:space="0" w:color="auto"/>
        <w:right w:val="none" w:sz="0" w:space="0" w:color="auto"/>
      </w:divBdr>
    </w:div>
    <w:div w:id="149100545">
      <w:bodyDiv w:val="1"/>
      <w:marLeft w:val="0"/>
      <w:marRight w:val="0"/>
      <w:marTop w:val="0"/>
      <w:marBottom w:val="0"/>
      <w:divBdr>
        <w:top w:val="none" w:sz="0" w:space="0" w:color="auto"/>
        <w:left w:val="none" w:sz="0" w:space="0" w:color="auto"/>
        <w:bottom w:val="none" w:sz="0" w:space="0" w:color="auto"/>
        <w:right w:val="none" w:sz="0" w:space="0" w:color="auto"/>
      </w:divBdr>
    </w:div>
    <w:div w:id="160435931">
      <w:bodyDiv w:val="1"/>
      <w:marLeft w:val="0"/>
      <w:marRight w:val="0"/>
      <w:marTop w:val="0"/>
      <w:marBottom w:val="0"/>
      <w:divBdr>
        <w:top w:val="none" w:sz="0" w:space="0" w:color="auto"/>
        <w:left w:val="none" w:sz="0" w:space="0" w:color="auto"/>
        <w:bottom w:val="none" w:sz="0" w:space="0" w:color="auto"/>
        <w:right w:val="none" w:sz="0" w:space="0" w:color="auto"/>
      </w:divBdr>
    </w:div>
    <w:div w:id="181289599">
      <w:bodyDiv w:val="1"/>
      <w:marLeft w:val="0"/>
      <w:marRight w:val="0"/>
      <w:marTop w:val="0"/>
      <w:marBottom w:val="0"/>
      <w:divBdr>
        <w:top w:val="none" w:sz="0" w:space="0" w:color="auto"/>
        <w:left w:val="none" w:sz="0" w:space="0" w:color="auto"/>
        <w:bottom w:val="none" w:sz="0" w:space="0" w:color="auto"/>
        <w:right w:val="none" w:sz="0" w:space="0" w:color="auto"/>
      </w:divBdr>
    </w:div>
    <w:div w:id="248083476">
      <w:bodyDiv w:val="1"/>
      <w:marLeft w:val="0"/>
      <w:marRight w:val="0"/>
      <w:marTop w:val="0"/>
      <w:marBottom w:val="0"/>
      <w:divBdr>
        <w:top w:val="none" w:sz="0" w:space="0" w:color="auto"/>
        <w:left w:val="none" w:sz="0" w:space="0" w:color="auto"/>
        <w:bottom w:val="none" w:sz="0" w:space="0" w:color="auto"/>
        <w:right w:val="none" w:sz="0" w:space="0" w:color="auto"/>
      </w:divBdr>
    </w:div>
    <w:div w:id="257711867">
      <w:bodyDiv w:val="1"/>
      <w:marLeft w:val="0"/>
      <w:marRight w:val="0"/>
      <w:marTop w:val="0"/>
      <w:marBottom w:val="0"/>
      <w:divBdr>
        <w:top w:val="none" w:sz="0" w:space="0" w:color="auto"/>
        <w:left w:val="none" w:sz="0" w:space="0" w:color="auto"/>
        <w:bottom w:val="none" w:sz="0" w:space="0" w:color="auto"/>
        <w:right w:val="none" w:sz="0" w:space="0" w:color="auto"/>
      </w:divBdr>
    </w:div>
    <w:div w:id="271936005">
      <w:bodyDiv w:val="1"/>
      <w:marLeft w:val="0"/>
      <w:marRight w:val="0"/>
      <w:marTop w:val="0"/>
      <w:marBottom w:val="0"/>
      <w:divBdr>
        <w:top w:val="none" w:sz="0" w:space="0" w:color="auto"/>
        <w:left w:val="none" w:sz="0" w:space="0" w:color="auto"/>
        <w:bottom w:val="none" w:sz="0" w:space="0" w:color="auto"/>
        <w:right w:val="none" w:sz="0" w:space="0" w:color="auto"/>
      </w:divBdr>
    </w:div>
    <w:div w:id="272129034">
      <w:bodyDiv w:val="1"/>
      <w:marLeft w:val="0"/>
      <w:marRight w:val="0"/>
      <w:marTop w:val="0"/>
      <w:marBottom w:val="0"/>
      <w:divBdr>
        <w:top w:val="none" w:sz="0" w:space="0" w:color="auto"/>
        <w:left w:val="none" w:sz="0" w:space="0" w:color="auto"/>
        <w:bottom w:val="none" w:sz="0" w:space="0" w:color="auto"/>
        <w:right w:val="none" w:sz="0" w:space="0" w:color="auto"/>
      </w:divBdr>
    </w:div>
    <w:div w:id="272634540">
      <w:bodyDiv w:val="1"/>
      <w:marLeft w:val="0"/>
      <w:marRight w:val="0"/>
      <w:marTop w:val="0"/>
      <w:marBottom w:val="0"/>
      <w:divBdr>
        <w:top w:val="none" w:sz="0" w:space="0" w:color="auto"/>
        <w:left w:val="none" w:sz="0" w:space="0" w:color="auto"/>
        <w:bottom w:val="none" w:sz="0" w:space="0" w:color="auto"/>
        <w:right w:val="none" w:sz="0" w:space="0" w:color="auto"/>
      </w:divBdr>
    </w:div>
    <w:div w:id="308632329">
      <w:bodyDiv w:val="1"/>
      <w:marLeft w:val="0"/>
      <w:marRight w:val="0"/>
      <w:marTop w:val="0"/>
      <w:marBottom w:val="0"/>
      <w:divBdr>
        <w:top w:val="none" w:sz="0" w:space="0" w:color="auto"/>
        <w:left w:val="none" w:sz="0" w:space="0" w:color="auto"/>
        <w:bottom w:val="none" w:sz="0" w:space="0" w:color="auto"/>
        <w:right w:val="none" w:sz="0" w:space="0" w:color="auto"/>
      </w:divBdr>
    </w:div>
    <w:div w:id="471141780">
      <w:bodyDiv w:val="1"/>
      <w:marLeft w:val="0"/>
      <w:marRight w:val="0"/>
      <w:marTop w:val="0"/>
      <w:marBottom w:val="0"/>
      <w:divBdr>
        <w:top w:val="none" w:sz="0" w:space="0" w:color="auto"/>
        <w:left w:val="none" w:sz="0" w:space="0" w:color="auto"/>
        <w:bottom w:val="none" w:sz="0" w:space="0" w:color="auto"/>
        <w:right w:val="none" w:sz="0" w:space="0" w:color="auto"/>
      </w:divBdr>
    </w:div>
    <w:div w:id="471563600">
      <w:bodyDiv w:val="1"/>
      <w:marLeft w:val="0"/>
      <w:marRight w:val="0"/>
      <w:marTop w:val="0"/>
      <w:marBottom w:val="0"/>
      <w:divBdr>
        <w:top w:val="none" w:sz="0" w:space="0" w:color="auto"/>
        <w:left w:val="none" w:sz="0" w:space="0" w:color="auto"/>
        <w:bottom w:val="none" w:sz="0" w:space="0" w:color="auto"/>
        <w:right w:val="none" w:sz="0" w:space="0" w:color="auto"/>
      </w:divBdr>
    </w:div>
    <w:div w:id="501435755">
      <w:bodyDiv w:val="1"/>
      <w:marLeft w:val="0"/>
      <w:marRight w:val="0"/>
      <w:marTop w:val="0"/>
      <w:marBottom w:val="0"/>
      <w:divBdr>
        <w:top w:val="none" w:sz="0" w:space="0" w:color="auto"/>
        <w:left w:val="none" w:sz="0" w:space="0" w:color="auto"/>
        <w:bottom w:val="none" w:sz="0" w:space="0" w:color="auto"/>
        <w:right w:val="none" w:sz="0" w:space="0" w:color="auto"/>
      </w:divBdr>
    </w:div>
    <w:div w:id="525288202">
      <w:bodyDiv w:val="1"/>
      <w:marLeft w:val="0"/>
      <w:marRight w:val="0"/>
      <w:marTop w:val="0"/>
      <w:marBottom w:val="0"/>
      <w:divBdr>
        <w:top w:val="none" w:sz="0" w:space="0" w:color="auto"/>
        <w:left w:val="none" w:sz="0" w:space="0" w:color="auto"/>
        <w:bottom w:val="none" w:sz="0" w:space="0" w:color="auto"/>
        <w:right w:val="none" w:sz="0" w:space="0" w:color="auto"/>
      </w:divBdr>
    </w:div>
    <w:div w:id="552693587">
      <w:bodyDiv w:val="1"/>
      <w:marLeft w:val="0"/>
      <w:marRight w:val="0"/>
      <w:marTop w:val="0"/>
      <w:marBottom w:val="0"/>
      <w:divBdr>
        <w:top w:val="none" w:sz="0" w:space="0" w:color="auto"/>
        <w:left w:val="none" w:sz="0" w:space="0" w:color="auto"/>
        <w:bottom w:val="none" w:sz="0" w:space="0" w:color="auto"/>
        <w:right w:val="none" w:sz="0" w:space="0" w:color="auto"/>
      </w:divBdr>
    </w:div>
    <w:div w:id="593788505">
      <w:bodyDiv w:val="1"/>
      <w:marLeft w:val="0"/>
      <w:marRight w:val="0"/>
      <w:marTop w:val="0"/>
      <w:marBottom w:val="0"/>
      <w:divBdr>
        <w:top w:val="none" w:sz="0" w:space="0" w:color="auto"/>
        <w:left w:val="none" w:sz="0" w:space="0" w:color="auto"/>
        <w:bottom w:val="none" w:sz="0" w:space="0" w:color="auto"/>
        <w:right w:val="none" w:sz="0" w:space="0" w:color="auto"/>
      </w:divBdr>
    </w:div>
    <w:div w:id="607929601">
      <w:bodyDiv w:val="1"/>
      <w:marLeft w:val="0"/>
      <w:marRight w:val="0"/>
      <w:marTop w:val="0"/>
      <w:marBottom w:val="0"/>
      <w:divBdr>
        <w:top w:val="none" w:sz="0" w:space="0" w:color="auto"/>
        <w:left w:val="none" w:sz="0" w:space="0" w:color="auto"/>
        <w:bottom w:val="none" w:sz="0" w:space="0" w:color="auto"/>
        <w:right w:val="none" w:sz="0" w:space="0" w:color="auto"/>
      </w:divBdr>
    </w:div>
    <w:div w:id="638998335">
      <w:bodyDiv w:val="1"/>
      <w:marLeft w:val="0"/>
      <w:marRight w:val="0"/>
      <w:marTop w:val="0"/>
      <w:marBottom w:val="0"/>
      <w:divBdr>
        <w:top w:val="none" w:sz="0" w:space="0" w:color="auto"/>
        <w:left w:val="none" w:sz="0" w:space="0" w:color="auto"/>
        <w:bottom w:val="none" w:sz="0" w:space="0" w:color="auto"/>
        <w:right w:val="none" w:sz="0" w:space="0" w:color="auto"/>
      </w:divBdr>
    </w:div>
    <w:div w:id="675811318">
      <w:bodyDiv w:val="1"/>
      <w:marLeft w:val="0"/>
      <w:marRight w:val="0"/>
      <w:marTop w:val="0"/>
      <w:marBottom w:val="0"/>
      <w:divBdr>
        <w:top w:val="none" w:sz="0" w:space="0" w:color="auto"/>
        <w:left w:val="none" w:sz="0" w:space="0" w:color="auto"/>
        <w:bottom w:val="none" w:sz="0" w:space="0" w:color="auto"/>
        <w:right w:val="none" w:sz="0" w:space="0" w:color="auto"/>
      </w:divBdr>
    </w:div>
    <w:div w:id="678386773">
      <w:bodyDiv w:val="1"/>
      <w:marLeft w:val="0"/>
      <w:marRight w:val="0"/>
      <w:marTop w:val="0"/>
      <w:marBottom w:val="0"/>
      <w:divBdr>
        <w:top w:val="none" w:sz="0" w:space="0" w:color="auto"/>
        <w:left w:val="none" w:sz="0" w:space="0" w:color="auto"/>
        <w:bottom w:val="none" w:sz="0" w:space="0" w:color="auto"/>
        <w:right w:val="none" w:sz="0" w:space="0" w:color="auto"/>
      </w:divBdr>
    </w:div>
    <w:div w:id="735396609">
      <w:bodyDiv w:val="1"/>
      <w:marLeft w:val="0"/>
      <w:marRight w:val="0"/>
      <w:marTop w:val="0"/>
      <w:marBottom w:val="0"/>
      <w:divBdr>
        <w:top w:val="none" w:sz="0" w:space="0" w:color="auto"/>
        <w:left w:val="none" w:sz="0" w:space="0" w:color="auto"/>
        <w:bottom w:val="none" w:sz="0" w:space="0" w:color="auto"/>
        <w:right w:val="none" w:sz="0" w:space="0" w:color="auto"/>
      </w:divBdr>
    </w:div>
    <w:div w:id="777019164">
      <w:bodyDiv w:val="1"/>
      <w:marLeft w:val="0"/>
      <w:marRight w:val="0"/>
      <w:marTop w:val="0"/>
      <w:marBottom w:val="0"/>
      <w:divBdr>
        <w:top w:val="none" w:sz="0" w:space="0" w:color="auto"/>
        <w:left w:val="none" w:sz="0" w:space="0" w:color="auto"/>
        <w:bottom w:val="none" w:sz="0" w:space="0" w:color="auto"/>
        <w:right w:val="none" w:sz="0" w:space="0" w:color="auto"/>
      </w:divBdr>
    </w:div>
    <w:div w:id="967778762">
      <w:bodyDiv w:val="1"/>
      <w:marLeft w:val="0"/>
      <w:marRight w:val="0"/>
      <w:marTop w:val="0"/>
      <w:marBottom w:val="0"/>
      <w:divBdr>
        <w:top w:val="none" w:sz="0" w:space="0" w:color="auto"/>
        <w:left w:val="none" w:sz="0" w:space="0" w:color="auto"/>
        <w:bottom w:val="none" w:sz="0" w:space="0" w:color="auto"/>
        <w:right w:val="none" w:sz="0" w:space="0" w:color="auto"/>
      </w:divBdr>
    </w:div>
    <w:div w:id="1019426184">
      <w:bodyDiv w:val="1"/>
      <w:marLeft w:val="0"/>
      <w:marRight w:val="0"/>
      <w:marTop w:val="0"/>
      <w:marBottom w:val="0"/>
      <w:divBdr>
        <w:top w:val="none" w:sz="0" w:space="0" w:color="auto"/>
        <w:left w:val="none" w:sz="0" w:space="0" w:color="auto"/>
        <w:bottom w:val="none" w:sz="0" w:space="0" w:color="auto"/>
        <w:right w:val="none" w:sz="0" w:space="0" w:color="auto"/>
      </w:divBdr>
    </w:div>
    <w:div w:id="1026323279">
      <w:bodyDiv w:val="1"/>
      <w:marLeft w:val="0"/>
      <w:marRight w:val="0"/>
      <w:marTop w:val="0"/>
      <w:marBottom w:val="0"/>
      <w:divBdr>
        <w:top w:val="none" w:sz="0" w:space="0" w:color="auto"/>
        <w:left w:val="none" w:sz="0" w:space="0" w:color="auto"/>
        <w:bottom w:val="none" w:sz="0" w:space="0" w:color="auto"/>
        <w:right w:val="none" w:sz="0" w:space="0" w:color="auto"/>
      </w:divBdr>
    </w:div>
    <w:div w:id="1039352599">
      <w:bodyDiv w:val="1"/>
      <w:marLeft w:val="0"/>
      <w:marRight w:val="0"/>
      <w:marTop w:val="0"/>
      <w:marBottom w:val="0"/>
      <w:divBdr>
        <w:top w:val="none" w:sz="0" w:space="0" w:color="auto"/>
        <w:left w:val="none" w:sz="0" w:space="0" w:color="auto"/>
        <w:bottom w:val="none" w:sz="0" w:space="0" w:color="auto"/>
        <w:right w:val="none" w:sz="0" w:space="0" w:color="auto"/>
      </w:divBdr>
    </w:div>
    <w:div w:id="1190221457">
      <w:bodyDiv w:val="1"/>
      <w:marLeft w:val="0"/>
      <w:marRight w:val="0"/>
      <w:marTop w:val="0"/>
      <w:marBottom w:val="0"/>
      <w:divBdr>
        <w:top w:val="none" w:sz="0" w:space="0" w:color="auto"/>
        <w:left w:val="none" w:sz="0" w:space="0" w:color="auto"/>
        <w:bottom w:val="none" w:sz="0" w:space="0" w:color="auto"/>
        <w:right w:val="none" w:sz="0" w:space="0" w:color="auto"/>
      </w:divBdr>
    </w:div>
    <w:div w:id="1284265465">
      <w:bodyDiv w:val="1"/>
      <w:marLeft w:val="0"/>
      <w:marRight w:val="0"/>
      <w:marTop w:val="0"/>
      <w:marBottom w:val="0"/>
      <w:divBdr>
        <w:top w:val="none" w:sz="0" w:space="0" w:color="auto"/>
        <w:left w:val="none" w:sz="0" w:space="0" w:color="auto"/>
        <w:bottom w:val="none" w:sz="0" w:space="0" w:color="auto"/>
        <w:right w:val="none" w:sz="0" w:space="0" w:color="auto"/>
      </w:divBdr>
    </w:div>
    <w:div w:id="1330520340">
      <w:bodyDiv w:val="1"/>
      <w:marLeft w:val="0"/>
      <w:marRight w:val="0"/>
      <w:marTop w:val="0"/>
      <w:marBottom w:val="0"/>
      <w:divBdr>
        <w:top w:val="none" w:sz="0" w:space="0" w:color="auto"/>
        <w:left w:val="none" w:sz="0" w:space="0" w:color="auto"/>
        <w:bottom w:val="none" w:sz="0" w:space="0" w:color="auto"/>
        <w:right w:val="none" w:sz="0" w:space="0" w:color="auto"/>
      </w:divBdr>
    </w:div>
    <w:div w:id="1357198968">
      <w:bodyDiv w:val="1"/>
      <w:marLeft w:val="0"/>
      <w:marRight w:val="0"/>
      <w:marTop w:val="0"/>
      <w:marBottom w:val="0"/>
      <w:divBdr>
        <w:top w:val="none" w:sz="0" w:space="0" w:color="auto"/>
        <w:left w:val="none" w:sz="0" w:space="0" w:color="auto"/>
        <w:bottom w:val="none" w:sz="0" w:space="0" w:color="auto"/>
        <w:right w:val="none" w:sz="0" w:space="0" w:color="auto"/>
      </w:divBdr>
    </w:div>
    <w:div w:id="1367098079">
      <w:bodyDiv w:val="1"/>
      <w:marLeft w:val="0"/>
      <w:marRight w:val="0"/>
      <w:marTop w:val="0"/>
      <w:marBottom w:val="0"/>
      <w:divBdr>
        <w:top w:val="none" w:sz="0" w:space="0" w:color="auto"/>
        <w:left w:val="none" w:sz="0" w:space="0" w:color="auto"/>
        <w:bottom w:val="none" w:sz="0" w:space="0" w:color="auto"/>
        <w:right w:val="none" w:sz="0" w:space="0" w:color="auto"/>
      </w:divBdr>
    </w:div>
    <w:div w:id="1368408457">
      <w:bodyDiv w:val="1"/>
      <w:marLeft w:val="0"/>
      <w:marRight w:val="0"/>
      <w:marTop w:val="0"/>
      <w:marBottom w:val="0"/>
      <w:divBdr>
        <w:top w:val="none" w:sz="0" w:space="0" w:color="auto"/>
        <w:left w:val="none" w:sz="0" w:space="0" w:color="auto"/>
        <w:bottom w:val="none" w:sz="0" w:space="0" w:color="auto"/>
        <w:right w:val="none" w:sz="0" w:space="0" w:color="auto"/>
      </w:divBdr>
    </w:div>
    <w:div w:id="1380592760">
      <w:bodyDiv w:val="1"/>
      <w:marLeft w:val="0"/>
      <w:marRight w:val="0"/>
      <w:marTop w:val="0"/>
      <w:marBottom w:val="0"/>
      <w:divBdr>
        <w:top w:val="none" w:sz="0" w:space="0" w:color="auto"/>
        <w:left w:val="none" w:sz="0" w:space="0" w:color="auto"/>
        <w:bottom w:val="none" w:sz="0" w:space="0" w:color="auto"/>
        <w:right w:val="none" w:sz="0" w:space="0" w:color="auto"/>
      </w:divBdr>
    </w:div>
    <w:div w:id="1388339971">
      <w:bodyDiv w:val="1"/>
      <w:marLeft w:val="0"/>
      <w:marRight w:val="0"/>
      <w:marTop w:val="0"/>
      <w:marBottom w:val="0"/>
      <w:divBdr>
        <w:top w:val="none" w:sz="0" w:space="0" w:color="auto"/>
        <w:left w:val="none" w:sz="0" w:space="0" w:color="auto"/>
        <w:bottom w:val="none" w:sz="0" w:space="0" w:color="auto"/>
        <w:right w:val="none" w:sz="0" w:space="0" w:color="auto"/>
      </w:divBdr>
    </w:div>
    <w:div w:id="1412318029">
      <w:bodyDiv w:val="1"/>
      <w:marLeft w:val="0"/>
      <w:marRight w:val="0"/>
      <w:marTop w:val="0"/>
      <w:marBottom w:val="0"/>
      <w:divBdr>
        <w:top w:val="none" w:sz="0" w:space="0" w:color="auto"/>
        <w:left w:val="none" w:sz="0" w:space="0" w:color="auto"/>
        <w:bottom w:val="none" w:sz="0" w:space="0" w:color="auto"/>
        <w:right w:val="none" w:sz="0" w:space="0" w:color="auto"/>
      </w:divBdr>
    </w:div>
    <w:div w:id="1422484290">
      <w:bodyDiv w:val="1"/>
      <w:marLeft w:val="0"/>
      <w:marRight w:val="0"/>
      <w:marTop w:val="0"/>
      <w:marBottom w:val="0"/>
      <w:divBdr>
        <w:top w:val="none" w:sz="0" w:space="0" w:color="auto"/>
        <w:left w:val="none" w:sz="0" w:space="0" w:color="auto"/>
        <w:bottom w:val="none" w:sz="0" w:space="0" w:color="auto"/>
        <w:right w:val="none" w:sz="0" w:space="0" w:color="auto"/>
      </w:divBdr>
    </w:div>
    <w:div w:id="1431775519">
      <w:bodyDiv w:val="1"/>
      <w:marLeft w:val="0"/>
      <w:marRight w:val="0"/>
      <w:marTop w:val="0"/>
      <w:marBottom w:val="0"/>
      <w:divBdr>
        <w:top w:val="none" w:sz="0" w:space="0" w:color="auto"/>
        <w:left w:val="none" w:sz="0" w:space="0" w:color="auto"/>
        <w:bottom w:val="none" w:sz="0" w:space="0" w:color="auto"/>
        <w:right w:val="none" w:sz="0" w:space="0" w:color="auto"/>
      </w:divBdr>
    </w:div>
    <w:div w:id="1481457368">
      <w:bodyDiv w:val="1"/>
      <w:marLeft w:val="0"/>
      <w:marRight w:val="0"/>
      <w:marTop w:val="0"/>
      <w:marBottom w:val="0"/>
      <w:divBdr>
        <w:top w:val="none" w:sz="0" w:space="0" w:color="auto"/>
        <w:left w:val="none" w:sz="0" w:space="0" w:color="auto"/>
        <w:bottom w:val="none" w:sz="0" w:space="0" w:color="auto"/>
        <w:right w:val="none" w:sz="0" w:space="0" w:color="auto"/>
      </w:divBdr>
    </w:div>
    <w:div w:id="1510832047">
      <w:bodyDiv w:val="1"/>
      <w:marLeft w:val="0"/>
      <w:marRight w:val="0"/>
      <w:marTop w:val="0"/>
      <w:marBottom w:val="0"/>
      <w:divBdr>
        <w:top w:val="none" w:sz="0" w:space="0" w:color="auto"/>
        <w:left w:val="none" w:sz="0" w:space="0" w:color="auto"/>
        <w:bottom w:val="none" w:sz="0" w:space="0" w:color="auto"/>
        <w:right w:val="none" w:sz="0" w:space="0" w:color="auto"/>
      </w:divBdr>
    </w:div>
    <w:div w:id="1516069451">
      <w:bodyDiv w:val="1"/>
      <w:marLeft w:val="0"/>
      <w:marRight w:val="0"/>
      <w:marTop w:val="0"/>
      <w:marBottom w:val="0"/>
      <w:divBdr>
        <w:top w:val="none" w:sz="0" w:space="0" w:color="auto"/>
        <w:left w:val="none" w:sz="0" w:space="0" w:color="auto"/>
        <w:bottom w:val="none" w:sz="0" w:space="0" w:color="auto"/>
        <w:right w:val="none" w:sz="0" w:space="0" w:color="auto"/>
      </w:divBdr>
    </w:div>
    <w:div w:id="1547176022">
      <w:bodyDiv w:val="1"/>
      <w:marLeft w:val="0"/>
      <w:marRight w:val="0"/>
      <w:marTop w:val="0"/>
      <w:marBottom w:val="0"/>
      <w:divBdr>
        <w:top w:val="none" w:sz="0" w:space="0" w:color="auto"/>
        <w:left w:val="none" w:sz="0" w:space="0" w:color="auto"/>
        <w:bottom w:val="none" w:sz="0" w:space="0" w:color="auto"/>
        <w:right w:val="none" w:sz="0" w:space="0" w:color="auto"/>
      </w:divBdr>
    </w:div>
    <w:div w:id="1610701439">
      <w:bodyDiv w:val="1"/>
      <w:marLeft w:val="0"/>
      <w:marRight w:val="0"/>
      <w:marTop w:val="0"/>
      <w:marBottom w:val="0"/>
      <w:divBdr>
        <w:top w:val="none" w:sz="0" w:space="0" w:color="auto"/>
        <w:left w:val="none" w:sz="0" w:space="0" w:color="auto"/>
        <w:bottom w:val="none" w:sz="0" w:space="0" w:color="auto"/>
        <w:right w:val="none" w:sz="0" w:space="0" w:color="auto"/>
      </w:divBdr>
    </w:div>
    <w:div w:id="1613976342">
      <w:bodyDiv w:val="1"/>
      <w:marLeft w:val="0"/>
      <w:marRight w:val="0"/>
      <w:marTop w:val="0"/>
      <w:marBottom w:val="0"/>
      <w:divBdr>
        <w:top w:val="none" w:sz="0" w:space="0" w:color="auto"/>
        <w:left w:val="none" w:sz="0" w:space="0" w:color="auto"/>
        <w:bottom w:val="none" w:sz="0" w:space="0" w:color="auto"/>
        <w:right w:val="none" w:sz="0" w:space="0" w:color="auto"/>
      </w:divBdr>
    </w:div>
    <w:div w:id="1617367058">
      <w:bodyDiv w:val="1"/>
      <w:marLeft w:val="0"/>
      <w:marRight w:val="0"/>
      <w:marTop w:val="0"/>
      <w:marBottom w:val="0"/>
      <w:divBdr>
        <w:top w:val="none" w:sz="0" w:space="0" w:color="auto"/>
        <w:left w:val="none" w:sz="0" w:space="0" w:color="auto"/>
        <w:bottom w:val="none" w:sz="0" w:space="0" w:color="auto"/>
        <w:right w:val="none" w:sz="0" w:space="0" w:color="auto"/>
      </w:divBdr>
    </w:div>
    <w:div w:id="1649438019">
      <w:bodyDiv w:val="1"/>
      <w:marLeft w:val="0"/>
      <w:marRight w:val="0"/>
      <w:marTop w:val="0"/>
      <w:marBottom w:val="0"/>
      <w:divBdr>
        <w:top w:val="none" w:sz="0" w:space="0" w:color="auto"/>
        <w:left w:val="none" w:sz="0" w:space="0" w:color="auto"/>
        <w:bottom w:val="none" w:sz="0" w:space="0" w:color="auto"/>
        <w:right w:val="none" w:sz="0" w:space="0" w:color="auto"/>
      </w:divBdr>
    </w:div>
    <w:div w:id="1659073169">
      <w:bodyDiv w:val="1"/>
      <w:marLeft w:val="0"/>
      <w:marRight w:val="0"/>
      <w:marTop w:val="0"/>
      <w:marBottom w:val="0"/>
      <w:divBdr>
        <w:top w:val="none" w:sz="0" w:space="0" w:color="auto"/>
        <w:left w:val="none" w:sz="0" w:space="0" w:color="auto"/>
        <w:bottom w:val="none" w:sz="0" w:space="0" w:color="auto"/>
        <w:right w:val="none" w:sz="0" w:space="0" w:color="auto"/>
      </w:divBdr>
    </w:div>
    <w:div w:id="1705330748">
      <w:bodyDiv w:val="1"/>
      <w:marLeft w:val="0"/>
      <w:marRight w:val="0"/>
      <w:marTop w:val="0"/>
      <w:marBottom w:val="0"/>
      <w:divBdr>
        <w:top w:val="none" w:sz="0" w:space="0" w:color="auto"/>
        <w:left w:val="none" w:sz="0" w:space="0" w:color="auto"/>
        <w:bottom w:val="none" w:sz="0" w:space="0" w:color="auto"/>
        <w:right w:val="none" w:sz="0" w:space="0" w:color="auto"/>
      </w:divBdr>
    </w:div>
    <w:div w:id="1731463049">
      <w:bodyDiv w:val="1"/>
      <w:marLeft w:val="0"/>
      <w:marRight w:val="0"/>
      <w:marTop w:val="0"/>
      <w:marBottom w:val="0"/>
      <w:divBdr>
        <w:top w:val="none" w:sz="0" w:space="0" w:color="auto"/>
        <w:left w:val="none" w:sz="0" w:space="0" w:color="auto"/>
        <w:bottom w:val="none" w:sz="0" w:space="0" w:color="auto"/>
        <w:right w:val="none" w:sz="0" w:space="0" w:color="auto"/>
      </w:divBdr>
    </w:div>
    <w:div w:id="1735739614">
      <w:bodyDiv w:val="1"/>
      <w:marLeft w:val="0"/>
      <w:marRight w:val="0"/>
      <w:marTop w:val="0"/>
      <w:marBottom w:val="0"/>
      <w:divBdr>
        <w:top w:val="none" w:sz="0" w:space="0" w:color="auto"/>
        <w:left w:val="none" w:sz="0" w:space="0" w:color="auto"/>
        <w:bottom w:val="none" w:sz="0" w:space="0" w:color="auto"/>
        <w:right w:val="none" w:sz="0" w:space="0" w:color="auto"/>
      </w:divBdr>
    </w:div>
    <w:div w:id="1772117969">
      <w:bodyDiv w:val="1"/>
      <w:marLeft w:val="0"/>
      <w:marRight w:val="0"/>
      <w:marTop w:val="0"/>
      <w:marBottom w:val="0"/>
      <w:divBdr>
        <w:top w:val="none" w:sz="0" w:space="0" w:color="auto"/>
        <w:left w:val="none" w:sz="0" w:space="0" w:color="auto"/>
        <w:bottom w:val="none" w:sz="0" w:space="0" w:color="auto"/>
        <w:right w:val="none" w:sz="0" w:space="0" w:color="auto"/>
      </w:divBdr>
    </w:div>
    <w:div w:id="1812482438">
      <w:bodyDiv w:val="1"/>
      <w:marLeft w:val="0"/>
      <w:marRight w:val="0"/>
      <w:marTop w:val="0"/>
      <w:marBottom w:val="0"/>
      <w:divBdr>
        <w:top w:val="none" w:sz="0" w:space="0" w:color="auto"/>
        <w:left w:val="none" w:sz="0" w:space="0" w:color="auto"/>
        <w:bottom w:val="none" w:sz="0" w:space="0" w:color="auto"/>
        <w:right w:val="none" w:sz="0" w:space="0" w:color="auto"/>
      </w:divBdr>
    </w:div>
    <w:div w:id="1821847359">
      <w:bodyDiv w:val="1"/>
      <w:marLeft w:val="0"/>
      <w:marRight w:val="0"/>
      <w:marTop w:val="0"/>
      <w:marBottom w:val="0"/>
      <w:divBdr>
        <w:top w:val="none" w:sz="0" w:space="0" w:color="auto"/>
        <w:left w:val="none" w:sz="0" w:space="0" w:color="auto"/>
        <w:bottom w:val="none" w:sz="0" w:space="0" w:color="auto"/>
        <w:right w:val="none" w:sz="0" w:space="0" w:color="auto"/>
      </w:divBdr>
    </w:div>
    <w:div w:id="1855224281">
      <w:bodyDiv w:val="1"/>
      <w:marLeft w:val="0"/>
      <w:marRight w:val="0"/>
      <w:marTop w:val="0"/>
      <w:marBottom w:val="0"/>
      <w:divBdr>
        <w:top w:val="none" w:sz="0" w:space="0" w:color="auto"/>
        <w:left w:val="none" w:sz="0" w:space="0" w:color="auto"/>
        <w:bottom w:val="none" w:sz="0" w:space="0" w:color="auto"/>
        <w:right w:val="none" w:sz="0" w:space="0" w:color="auto"/>
      </w:divBdr>
    </w:div>
    <w:div w:id="1924488010">
      <w:bodyDiv w:val="1"/>
      <w:marLeft w:val="0"/>
      <w:marRight w:val="0"/>
      <w:marTop w:val="0"/>
      <w:marBottom w:val="0"/>
      <w:divBdr>
        <w:top w:val="none" w:sz="0" w:space="0" w:color="auto"/>
        <w:left w:val="none" w:sz="0" w:space="0" w:color="auto"/>
        <w:bottom w:val="none" w:sz="0" w:space="0" w:color="auto"/>
        <w:right w:val="none" w:sz="0" w:space="0" w:color="auto"/>
      </w:divBdr>
    </w:div>
    <w:div w:id="1985154372">
      <w:bodyDiv w:val="1"/>
      <w:marLeft w:val="0"/>
      <w:marRight w:val="0"/>
      <w:marTop w:val="0"/>
      <w:marBottom w:val="0"/>
      <w:divBdr>
        <w:top w:val="none" w:sz="0" w:space="0" w:color="auto"/>
        <w:left w:val="none" w:sz="0" w:space="0" w:color="auto"/>
        <w:bottom w:val="none" w:sz="0" w:space="0" w:color="auto"/>
        <w:right w:val="none" w:sz="0" w:space="0" w:color="auto"/>
      </w:divBdr>
    </w:div>
    <w:div w:id="1998343533">
      <w:bodyDiv w:val="1"/>
      <w:marLeft w:val="0"/>
      <w:marRight w:val="0"/>
      <w:marTop w:val="0"/>
      <w:marBottom w:val="0"/>
      <w:divBdr>
        <w:top w:val="none" w:sz="0" w:space="0" w:color="auto"/>
        <w:left w:val="none" w:sz="0" w:space="0" w:color="auto"/>
        <w:bottom w:val="none" w:sz="0" w:space="0" w:color="auto"/>
        <w:right w:val="none" w:sz="0" w:space="0" w:color="auto"/>
      </w:divBdr>
    </w:div>
    <w:div w:id="2020236516">
      <w:bodyDiv w:val="1"/>
      <w:marLeft w:val="0"/>
      <w:marRight w:val="0"/>
      <w:marTop w:val="0"/>
      <w:marBottom w:val="0"/>
      <w:divBdr>
        <w:top w:val="none" w:sz="0" w:space="0" w:color="auto"/>
        <w:left w:val="none" w:sz="0" w:space="0" w:color="auto"/>
        <w:bottom w:val="none" w:sz="0" w:space="0" w:color="auto"/>
        <w:right w:val="none" w:sz="0" w:space="0" w:color="auto"/>
      </w:divBdr>
    </w:div>
    <w:div w:id="2114594995">
      <w:bodyDiv w:val="1"/>
      <w:marLeft w:val="0"/>
      <w:marRight w:val="0"/>
      <w:marTop w:val="0"/>
      <w:marBottom w:val="0"/>
      <w:divBdr>
        <w:top w:val="none" w:sz="0" w:space="0" w:color="auto"/>
        <w:left w:val="none" w:sz="0" w:space="0" w:color="auto"/>
        <w:bottom w:val="none" w:sz="0" w:space="0" w:color="auto"/>
        <w:right w:val="none" w:sz="0" w:space="0" w:color="auto"/>
      </w:divBdr>
    </w:div>
    <w:div w:id="2136554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hyperlink" Target="https://www.health.gov.au/our-work/national-aboriginal-and-torres-strait-islander-flexible-aged-care-program" TargetMode="External"/><Relationship Id="rId21" Type="http://schemas.openxmlformats.org/officeDocument/2006/relationships/header" Target="header5.xml"/><Relationship Id="rId42" Type="http://schemas.openxmlformats.org/officeDocument/2006/relationships/hyperlink" Target="https://www.ihacpa.gov.au/resources/pricing-framework-australian-residential-aged-care-services-2023-24" TargetMode="External"/><Relationship Id="rId47" Type="http://schemas.openxmlformats.org/officeDocument/2006/relationships/hyperlink" Target="mailto:submissions.ihacpa@ihacpa.gov.au" TargetMode="External"/><Relationship Id="rId63" Type="http://schemas.openxmlformats.org/officeDocument/2006/relationships/footer" Target="footer4.xml"/><Relationship Id="rId68" Type="http://schemas.openxmlformats.org/officeDocument/2006/relationships/header" Target="header30.xml"/><Relationship Id="rId84" Type="http://schemas.openxmlformats.org/officeDocument/2006/relationships/header" Target="header39.xml"/><Relationship Id="rId89" Type="http://schemas.openxmlformats.org/officeDocument/2006/relationships/header" Target="header44.xml"/><Relationship Id="rId112" Type="http://schemas.openxmlformats.org/officeDocument/2006/relationships/header" Target="header62.xml"/><Relationship Id="rId133" Type="http://schemas.openxmlformats.org/officeDocument/2006/relationships/hyperlink" Target="mailto:submissions.ihacpa@ihacpa.gov.au" TargetMode="External"/><Relationship Id="rId138" Type="http://schemas.openxmlformats.org/officeDocument/2006/relationships/header" Target="header81.xml"/><Relationship Id="rId154" Type="http://schemas.openxmlformats.org/officeDocument/2006/relationships/header" Target="header90.xml"/><Relationship Id="rId159" Type="http://schemas.openxmlformats.org/officeDocument/2006/relationships/theme" Target="theme/theme1.xml"/><Relationship Id="rId16" Type="http://schemas.openxmlformats.org/officeDocument/2006/relationships/hyperlink" Target="https://creativecommons.org/licenses/by/3.0/au/" TargetMode="External"/><Relationship Id="rId107" Type="http://schemas.openxmlformats.org/officeDocument/2006/relationships/header" Target="header57.xml"/><Relationship Id="rId11" Type="http://schemas.openxmlformats.org/officeDocument/2006/relationships/header" Target="header1.xml"/><Relationship Id="rId32" Type="http://schemas.openxmlformats.org/officeDocument/2006/relationships/header" Target="header14.xml"/><Relationship Id="rId37" Type="http://schemas.openxmlformats.org/officeDocument/2006/relationships/hyperlink" Target="https://www.ihacpa.gov.au/resources/ihacpa-statement-of-intent-aged-care-pricing-October-2022" TargetMode="External"/><Relationship Id="rId53" Type="http://schemas.openxmlformats.org/officeDocument/2006/relationships/header" Target="header18.xml"/><Relationship Id="rId58" Type="http://schemas.openxmlformats.org/officeDocument/2006/relationships/header" Target="header23.xml"/><Relationship Id="rId74" Type="http://schemas.openxmlformats.org/officeDocument/2006/relationships/hyperlink" Target="https://www.health.gov.au/resources/publications/the-australian-national-aged-care-classification-an-acc-funding-guide" TargetMode="External"/><Relationship Id="rId79" Type="http://schemas.openxmlformats.org/officeDocument/2006/relationships/hyperlink" Target="https://www.health.gov.au/resources/publications/care-minutes-and-247-registered-nurse-responsibility-guide" TargetMode="External"/><Relationship Id="rId102" Type="http://schemas.openxmlformats.org/officeDocument/2006/relationships/hyperlink" Target="https://www.health.gov.au/topics/rural-health-workforce/classifications/mmm#:~:text=The%20Modified%20Monash%20Model%20(MMM)%20is%20how%20we%20define%20whether,MM%207%20is%20very%20remote." TargetMode="External"/><Relationship Id="rId123" Type="http://schemas.openxmlformats.org/officeDocument/2006/relationships/header" Target="header70.xml"/><Relationship Id="rId128" Type="http://schemas.openxmlformats.org/officeDocument/2006/relationships/header" Target="header75.xml"/><Relationship Id="rId144" Type="http://schemas.openxmlformats.org/officeDocument/2006/relationships/header" Target="header86.xml"/><Relationship Id="rId149" Type="http://schemas.openxmlformats.org/officeDocument/2006/relationships/image" Target="media/image14.png"/><Relationship Id="rId5" Type="http://schemas.openxmlformats.org/officeDocument/2006/relationships/numbering" Target="numbering.xml"/><Relationship Id="rId90" Type="http://schemas.openxmlformats.org/officeDocument/2006/relationships/hyperlink" Target="https://www.legislation.gov.au/Details/F2023C00345" TargetMode="External"/><Relationship Id="rId95" Type="http://schemas.openxmlformats.org/officeDocument/2006/relationships/header" Target="header48.xml"/><Relationship Id="rId22" Type="http://schemas.openxmlformats.org/officeDocument/2006/relationships/header" Target="header6.xml"/><Relationship Id="rId27" Type="http://schemas.openxmlformats.org/officeDocument/2006/relationships/header" Target="header9.xml"/><Relationship Id="rId43" Type="http://schemas.openxmlformats.org/officeDocument/2006/relationships/hyperlink" Target="https://www.ihacpa.gov.au/resources/pricing-framework-australian-residential-aged-care-services-2023-24" TargetMode="External"/><Relationship Id="rId48" Type="http://schemas.openxmlformats.org/officeDocument/2006/relationships/hyperlink" Target="https://www.ihacpa.gov.au/consultations" TargetMode="External"/><Relationship Id="rId64" Type="http://schemas.openxmlformats.org/officeDocument/2006/relationships/header" Target="header26.xml"/><Relationship Id="rId69" Type="http://schemas.openxmlformats.org/officeDocument/2006/relationships/header" Target="header31.xml"/><Relationship Id="rId113" Type="http://schemas.openxmlformats.org/officeDocument/2006/relationships/header" Target="header63.xml"/><Relationship Id="rId118" Type="http://schemas.openxmlformats.org/officeDocument/2006/relationships/hyperlink" Target="https://www.health.gov.au/sites/default/files/2023-05/what-is-the-an-acc-transition-fund.pdf" TargetMode="External"/><Relationship Id="rId134" Type="http://schemas.openxmlformats.org/officeDocument/2006/relationships/hyperlink" Target="https://www.ihacpa.gov.au/consultations" TargetMode="External"/><Relationship Id="rId139" Type="http://schemas.openxmlformats.org/officeDocument/2006/relationships/header" Target="header82.xml"/><Relationship Id="rId80" Type="http://schemas.openxmlformats.org/officeDocument/2006/relationships/hyperlink" Target="https://www.myagedcare.gov.au/quality-aged-care" TargetMode="External"/><Relationship Id="rId85" Type="http://schemas.openxmlformats.org/officeDocument/2006/relationships/header" Target="header40.xml"/><Relationship Id="rId150" Type="http://schemas.openxmlformats.org/officeDocument/2006/relationships/image" Target="media/image15.svg"/><Relationship Id="rId155" Type="http://schemas.openxmlformats.org/officeDocument/2006/relationships/header" Target="header91.xml"/><Relationship Id="rId12" Type="http://schemas.openxmlformats.org/officeDocument/2006/relationships/footer" Target="footer1.xml"/><Relationship Id="rId17" Type="http://schemas.openxmlformats.org/officeDocument/2006/relationships/image" Target="media/image6.jpg"/><Relationship Id="rId33" Type="http://schemas.openxmlformats.org/officeDocument/2006/relationships/hyperlink" Target="https://www.legislation.gov.au/Details/C2022C00237" TargetMode="External"/><Relationship Id="rId38" Type="http://schemas.openxmlformats.org/officeDocument/2006/relationships/hyperlink" Target="https://www.agedcarequality.gov.au/providers/standards" TargetMode="External"/><Relationship Id="rId59" Type="http://schemas.openxmlformats.org/officeDocument/2006/relationships/image" Target="media/image12.png"/><Relationship Id="rId103" Type="http://schemas.openxmlformats.org/officeDocument/2006/relationships/hyperlink" Target="https://www.agedcarequality.gov.au/about-us" TargetMode="External"/><Relationship Id="rId108" Type="http://schemas.openxmlformats.org/officeDocument/2006/relationships/header" Target="header58.xml"/><Relationship Id="rId124" Type="http://schemas.openxmlformats.org/officeDocument/2006/relationships/header" Target="header71.xml"/><Relationship Id="rId129" Type="http://schemas.openxmlformats.org/officeDocument/2006/relationships/header" Target="header76.xml"/><Relationship Id="rId20" Type="http://schemas.openxmlformats.org/officeDocument/2006/relationships/footer" Target="footer2.xml"/><Relationship Id="rId41" Type="http://schemas.openxmlformats.org/officeDocument/2006/relationships/hyperlink" Target="https://www.ihacpa.gov.au/resources/towards-aged-care-pricing-framework-consultation-paper" TargetMode="External"/><Relationship Id="rId54" Type="http://schemas.openxmlformats.org/officeDocument/2006/relationships/header" Target="header19.xml"/><Relationship Id="rId62" Type="http://schemas.openxmlformats.org/officeDocument/2006/relationships/header" Target="header25.xml"/><Relationship Id="rId70" Type="http://schemas.openxmlformats.org/officeDocument/2006/relationships/header" Target="header32.xml"/><Relationship Id="rId75" Type="http://schemas.openxmlformats.org/officeDocument/2006/relationships/hyperlink" Target="https://www.health.gov.au/resources/publications/the-australian-national-aged-care-classification-an-acc-funding-guide" TargetMode="External"/><Relationship Id="rId83" Type="http://schemas.openxmlformats.org/officeDocument/2006/relationships/header" Target="header38.xml"/><Relationship Id="rId88" Type="http://schemas.openxmlformats.org/officeDocument/2006/relationships/header" Target="header43.xml"/><Relationship Id="rId91" Type="http://schemas.openxmlformats.org/officeDocument/2006/relationships/hyperlink" Target="https://www.health.gov.au/our-work/residential-aged-care/funding/supplements/hotelling" TargetMode="External"/><Relationship Id="rId96" Type="http://schemas.openxmlformats.org/officeDocument/2006/relationships/header" Target="header49.xml"/><Relationship Id="rId111" Type="http://schemas.openxmlformats.org/officeDocument/2006/relationships/header" Target="header61.xml"/><Relationship Id="rId132" Type="http://schemas.openxmlformats.org/officeDocument/2006/relationships/hyperlink" Target="https://www.ihacpa.gov.au/resources/consultation-paper-pricing-framework-australian-residential-aged-care-services-2024-25-fact-sheet" TargetMode="External"/><Relationship Id="rId140" Type="http://schemas.openxmlformats.org/officeDocument/2006/relationships/header" Target="header83.xml"/><Relationship Id="rId145" Type="http://schemas.openxmlformats.org/officeDocument/2006/relationships/header" Target="header87.xml"/><Relationship Id="rId153" Type="http://schemas.openxmlformats.org/officeDocument/2006/relationships/hyperlink" Target="https://www.ihacpa.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ihacpa.gov.au/resources/ihacpa-statement-of-intent-aged-care-pricing-October-2022" TargetMode="External"/><Relationship Id="rId49" Type="http://schemas.openxmlformats.org/officeDocument/2006/relationships/hyperlink" Target="mailto:submissions.ihacpa@ihacpa.gov.au" TargetMode="External"/><Relationship Id="rId57" Type="http://schemas.openxmlformats.org/officeDocument/2006/relationships/header" Target="header22.xml"/><Relationship Id="rId106" Type="http://schemas.openxmlformats.org/officeDocument/2006/relationships/header" Target="header56.xml"/><Relationship Id="rId114" Type="http://schemas.openxmlformats.org/officeDocument/2006/relationships/header" Target="header64.xml"/><Relationship Id="rId119" Type="http://schemas.openxmlformats.org/officeDocument/2006/relationships/header" Target="header66.xml"/><Relationship Id="rId127" Type="http://schemas.openxmlformats.org/officeDocument/2006/relationships/header" Target="header74.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yperlink" Target="https://www.ihacpa.gov.au/resources/residential-aged-care-pricing-advice-2023-24" TargetMode="External"/><Relationship Id="rId52" Type="http://schemas.openxmlformats.org/officeDocument/2006/relationships/header" Target="header17.xml"/><Relationship Id="rId60" Type="http://schemas.openxmlformats.org/officeDocument/2006/relationships/image" Target="media/image13.svg"/><Relationship Id="rId65" Type="http://schemas.openxmlformats.org/officeDocument/2006/relationships/header" Target="header27.xml"/><Relationship Id="rId73" Type="http://schemas.openxmlformats.org/officeDocument/2006/relationships/header" Target="header35.xml"/><Relationship Id="rId78" Type="http://schemas.openxmlformats.org/officeDocument/2006/relationships/hyperlink" Target="https://www.health.gov.au/resources/publications/the-australian-national-aged-care-classification-an-acc-funding-guide" TargetMode="External"/><Relationship Id="rId81" Type="http://schemas.openxmlformats.org/officeDocument/2006/relationships/header" Target="header36.xml"/><Relationship Id="rId86" Type="http://schemas.openxmlformats.org/officeDocument/2006/relationships/header" Target="header41.xml"/><Relationship Id="rId94" Type="http://schemas.openxmlformats.org/officeDocument/2006/relationships/header" Target="header47.xml"/><Relationship Id="rId99" Type="http://schemas.openxmlformats.org/officeDocument/2006/relationships/header" Target="header52.xml"/><Relationship Id="rId101" Type="http://schemas.openxmlformats.org/officeDocument/2006/relationships/hyperlink" Target="https://www.health.gov.au/resources/publications/australian-national-aged-care-classification-an-acc-specialised-status-guide-for-residential-aged-care-approved-providers" TargetMode="External"/><Relationship Id="rId122" Type="http://schemas.openxmlformats.org/officeDocument/2006/relationships/header" Target="header69.xml"/><Relationship Id="rId130" Type="http://schemas.openxmlformats.org/officeDocument/2006/relationships/header" Target="header77.xml"/><Relationship Id="rId135" Type="http://schemas.openxmlformats.org/officeDocument/2006/relationships/header" Target="header78.xml"/><Relationship Id="rId143" Type="http://schemas.openxmlformats.org/officeDocument/2006/relationships/footer" Target="footer5.xml"/><Relationship Id="rId148" Type="http://schemas.openxmlformats.org/officeDocument/2006/relationships/header" Target="header89.xml"/><Relationship Id="rId151" Type="http://schemas.openxmlformats.org/officeDocument/2006/relationships/hyperlink" Target="mailto:enquiries.ihacpa@ihacpa.gov.au" TargetMode="External"/><Relationship Id="rId156"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9" Type="http://schemas.openxmlformats.org/officeDocument/2006/relationships/hyperlink" Target="https://www.health.gov.au/committees-and-groups/aged-care-taskforce#:~:text=The%20Aged%20Care%20Taskforce%20is%20being%20established%20to,arrangements%20for%20aged%20care%20with%20a%20focus%20on%3A" TargetMode="External"/><Relationship Id="rId109" Type="http://schemas.openxmlformats.org/officeDocument/2006/relationships/header" Target="header59.xml"/><Relationship Id="rId34" Type="http://schemas.openxmlformats.org/officeDocument/2006/relationships/hyperlink" Target="https://www.legislation.gov.au/Details/C2023C00073" TargetMode="External"/><Relationship Id="rId50" Type="http://schemas.openxmlformats.org/officeDocument/2006/relationships/header" Target="header15.xml"/><Relationship Id="rId55" Type="http://schemas.openxmlformats.org/officeDocument/2006/relationships/header" Target="header20.xml"/><Relationship Id="rId76" Type="http://schemas.openxmlformats.org/officeDocument/2006/relationships/hyperlink" Target="https://www.ihacpa.gov.au/resources/residential-aged-care-pricing-advice-2023-24" TargetMode="External"/><Relationship Id="rId97" Type="http://schemas.openxmlformats.org/officeDocument/2006/relationships/header" Target="header50.xml"/><Relationship Id="rId104" Type="http://schemas.openxmlformats.org/officeDocument/2006/relationships/header" Target="header54.xml"/><Relationship Id="rId120" Type="http://schemas.openxmlformats.org/officeDocument/2006/relationships/header" Target="header67.xml"/><Relationship Id="rId125" Type="http://schemas.openxmlformats.org/officeDocument/2006/relationships/header" Target="header72.xml"/><Relationship Id="rId141" Type="http://schemas.openxmlformats.org/officeDocument/2006/relationships/header" Target="header84.xml"/><Relationship Id="rId146" Type="http://schemas.openxmlformats.org/officeDocument/2006/relationships/header" Target="header88.xml"/><Relationship Id="rId7" Type="http://schemas.openxmlformats.org/officeDocument/2006/relationships/settings" Target="settings.xml"/><Relationship Id="rId71" Type="http://schemas.openxmlformats.org/officeDocument/2006/relationships/header" Target="header33.xml"/><Relationship Id="rId92" Type="http://schemas.openxmlformats.org/officeDocument/2006/relationships/header" Target="header45.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3.xml"/><Relationship Id="rId40" Type="http://schemas.openxmlformats.org/officeDocument/2006/relationships/hyperlink" Target="https://www.health.gov.au/sites/default/files/documents/2022/04/budget-2022-23-home-care-supporting-senior-australians-to-remain-independent-for-longer.pdf" TargetMode="External"/><Relationship Id="rId45" Type="http://schemas.openxmlformats.org/officeDocument/2006/relationships/image" Target="media/image11.png"/><Relationship Id="rId66" Type="http://schemas.openxmlformats.org/officeDocument/2006/relationships/header" Target="header28.xml"/><Relationship Id="rId87" Type="http://schemas.openxmlformats.org/officeDocument/2006/relationships/header" Target="header42.xml"/><Relationship Id="rId110" Type="http://schemas.openxmlformats.org/officeDocument/2006/relationships/header" Target="header60.xml"/><Relationship Id="rId115" Type="http://schemas.openxmlformats.org/officeDocument/2006/relationships/header" Target="header65.xml"/><Relationship Id="rId131" Type="http://schemas.openxmlformats.org/officeDocument/2006/relationships/hyperlink" Target="https://www.ihacpa.gov.au/consultations" TargetMode="External"/><Relationship Id="rId136" Type="http://schemas.openxmlformats.org/officeDocument/2006/relationships/header" Target="header79.xml"/><Relationship Id="rId157" Type="http://schemas.openxmlformats.org/officeDocument/2006/relationships/header" Target="header92.xml"/><Relationship Id="rId61" Type="http://schemas.openxmlformats.org/officeDocument/2006/relationships/header" Target="header24.xml"/><Relationship Id="rId82" Type="http://schemas.openxmlformats.org/officeDocument/2006/relationships/header" Target="header37.xml"/><Relationship Id="rId152" Type="http://schemas.openxmlformats.org/officeDocument/2006/relationships/hyperlink" Target="https://twitter.com/IHACPA" TargetMode="External"/><Relationship Id="rId19" Type="http://schemas.openxmlformats.org/officeDocument/2006/relationships/header" Target="header4.xml"/><Relationship Id="rId14" Type="http://schemas.openxmlformats.org/officeDocument/2006/relationships/image" Target="media/image4.png"/><Relationship Id="rId30" Type="http://schemas.openxmlformats.org/officeDocument/2006/relationships/header" Target="header12.xml"/><Relationship Id="rId35" Type="http://schemas.openxmlformats.org/officeDocument/2006/relationships/hyperlink" Target="https://www.legislation.gov.au/Details/C2022C00332" TargetMode="External"/><Relationship Id="rId56" Type="http://schemas.openxmlformats.org/officeDocument/2006/relationships/header" Target="header21.xml"/><Relationship Id="rId77" Type="http://schemas.openxmlformats.org/officeDocument/2006/relationships/hyperlink" Target="https://www.ihacpa.gov.au/resources/residential-aged-care-pricing-advice-2023-24" TargetMode="External"/><Relationship Id="rId100" Type="http://schemas.openxmlformats.org/officeDocument/2006/relationships/header" Target="header53.xml"/><Relationship Id="rId105" Type="http://schemas.openxmlformats.org/officeDocument/2006/relationships/header" Target="header55.xml"/><Relationship Id="rId126" Type="http://schemas.openxmlformats.org/officeDocument/2006/relationships/header" Target="header73.xml"/><Relationship Id="rId147"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eader" Target="header34.xml"/><Relationship Id="rId93" Type="http://schemas.openxmlformats.org/officeDocument/2006/relationships/header" Target="header46.xml"/><Relationship Id="rId98" Type="http://schemas.openxmlformats.org/officeDocument/2006/relationships/header" Target="header51.xml"/><Relationship Id="rId121" Type="http://schemas.openxmlformats.org/officeDocument/2006/relationships/header" Target="header68.xml"/><Relationship Id="rId142" Type="http://schemas.openxmlformats.org/officeDocument/2006/relationships/header" Target="header85.xml"/><Relationship Id="rId3"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hyperlink" Target="https://www.ihacpa.gov.au/resources/consultation-paper-pricing-framework-australian-residential-aged-care-services-2024-25-fact-sheet" TargetMode="External"/><Relationship Id="rId67" Type="http://schemas.openxmlformats.org/officeDocument/2006/relationships/header" Target="header29.xml"/><Relationship Id="rId116" Type="http://schemas.openxmlformats.org/officeDocument/2006/relationships/hyperlink" Target="https://www.health.gov.au/our-work/multi-purpose-services-mps-program" TargetMode="External"/><Relationship Id="rId137" Type="http://schemas.openxmlformats.org/officeDocument/2006/relationships/header" Target="header80.xml"/><Relationship Id="rId158"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our-work/care-minutes-registered-nurses-aged-care/care-minutes" TargetMode="External"/><Relationship Id="rId1" Type="http://schemas.openxmlformats.org/officeDocument/2006/relationships/hyperlink" Target="https://www.health.gov.au/resources/publications/an-acc-reference-manual-and-an-acc-assessment-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3.xml.rels><?xml version="1.0" encoding="UTF-8" standalone="yes"?>
<Relationships xmlns="http://schemas.openxmlformats.org/package/2006/relationships"><Relationship Id="rId1" Type="http://schemas.openxmlformats.org/officeDocument/2006/relationships/image" Target="media/image10.png"/></Relationships>
</file>

<file path=word/_rels/header19.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10.png"/></Relationships>
</file>

<file path=word/_rels/header2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4.xml.rels><?xml version="1.0" encoding="UTF-8" standalone="yes"?>
<Relationships xmlns="http://schemas.openxmlformats.org/package/2006/relationships"><Relationship Id="rId1" Type="http://schemas.openxmlformats.org/officeDocument/2006/relationships/image" Target="media/image10.png"/></Relationships>
</file>

<file path=word/_rels/header40.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3.xml.rels><?xml version="1.0" encoding="UTF-8" standalone="yes"?>
<Relationships xmlns="http://schemas.openxmlformats.org/package/2006/relationships"><Relationship Id="rId1" Type="http://schemas.openxmlformats.org/officeDocument/2006/relationships/image" Target="media/image10.png"/></Relationships>
</file>

<file path=word/_rels/header49.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52.xml.rels><?xml version="1.0" encoding="UTF-8" standalone="yes"?>
<Relationships xmlns="http://schemas.openxmlformats.org/package/2006/relationships"><Relationship Id="rId1" Type="http://schemas.openxmlformats.org/officeDocument/2006/relationships/image" Target="media/image10.png"/></Relationships>
</file>

<file path=word/_rels/header6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64.xml.rels><?xml version="1.0" encoding="UTF-8" standalone="yes"?>
<Relationships xmlns="http://schemas.openxmlformats.org/package/2006/relationships"><Relationship Id="rId1" Type="http://schemas.openxmlformats.org/officeDocument/2006/relationships/image" Target="media/image10.png"/></Relationships>
</file>

<file path=word/_rels/header7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76.xml.rels><?xml version="1.0" encoding="UTF-8" standalone="yes"?>
<Relationships xmlns="http://schemas.openxmlformats.org/package/2006/relationships"><Relationship Id="rId1" Type="http://schemas.openxmlformats.org/officeDocument/2006/relationships/image" Target="media/image10.png"/></Relationships>
</file>

<file path=word/_rels/header8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85.xml.rels><?xml version="1.0" encoding="UTF-8" standalone="yes"?>
<Relationships xmlns="http://schemas.openxmlformats.org/package/2006/relationships"><Relationship Id="rId1" Type="http://schemas.openxmlformats.org/officeDocument/2006/relationships/image" Target="media/image10.png"/></Relationships>
</file>

<file path=word/_rels/header88.xml.rels><?xml version="1.0" encoding="UTF-8" standalone="yes"?>
<Relationships xmlns="http://schemas.openxmlformats.org/package/2006/relationships"><Relationship Id="rId1" Type="http://schemas.openxmlformats.org/officeDocument/2006/relationships/image" Target="media/image10.png"/></Relationships>
</file>

<file path=word/_rels/header9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IHACPA - primary">
      <a:dk1>
        <a:sysClr val="windowText" lastClr="000000"/>
      </a:dk1>
      <a:lt1>
        <a:sysClr val="window" lastClr="FFFFFF"/>
      </a:lt1>
      <a:dk2>
        <a:srgbClr val="44546A"/>
      </a:dk2>
      <a:lt2>
        <a:srgbClr val="E7E6E6"/>
      </a:lt2>
      <a:accent1>
        <a:srgbClr val="104F99"/>
      </a:accent1>
      <a:accent2>
        <a:srgbClr val="0080C4"/>
      </a:accent2>
      <a:accent3>
        <a:srgbClr val="15272F"/>
      </a:accent3>
      <a:accent4>
        <a:srgbClr val="54C1AF"/>
      </a:accent4>
      <a:accent5>
        <a:srgbClr val="009055"/>
      </a:accent5>
      <a:accent6>
        <a:srgbClr val="70AD47"/>
      </a:accent6>
      <a:hlink>
        <a:srgbClr val="104F99"/>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2" ma:contentTypeDescription="Create a new document." ma:contentTypeScope="" ma:versionID="0aea9f01f963a9b4a106ba52c381d765">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65111f92ad0237d87af907e01143466b"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12b0d6-e985-4185-b4cc-7e82bfb7bd9d}"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0AE12-A922-4986-9E22-023412453DB3}">
  <ds:schemaRefs>
    <ds:schemaRef ds:uri="http://schemas.microsoft.com/sharepoint/v3/contenttype/forms"/>
  </ds:schemaRefs>
</ds:datastoreItem>
</file>

<file path=customXml/itemProps2.xml><?xml version="1.0" encoding="utf-8"?>
<ds:datastoreItem xmlns:ds="http://schemas.openxmlformats.org/officeDocument/2006/customXml" ds:itemID="{C733DD44-0D60-4D95-92C8-9900D7DFDB86}">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3.xml><?xml version="1.0" encoding="utf-8"?>
<ds:datastoreItem xmlns:ds="http://schemas.openxmlformats.org/officeDocument/2006/customXml" ds:itemID="{3238FB8D-4317-4572-8510-7B77FC29AA11}">
  <ds:schemaRefs>
    <ds:schemaRef ds:uri="http://schemas.openxmlformats.org/officeDocument/2006/bibliography"/>
  </ds:schemaRefs>
</ds:datastoreItem>
</file>

<file path=customXml/itemProps4.xml><?xml version="1.0" encoding="utf-8"?>
<ds:datastoreItem xmlns:ds="http://schemas.openxmlformats.org/officeDocument/2006/customXml" ds:itemID="{802B76C2-00E5-4239-906D-D4C8B322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8202</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54845</CharactersWithSpaces>
  <SharedDoc>false</SharedDoc>
  <HLinks>
    <vt:vector size="288" baseType="variant">
      <vt:variant>
        <vt:i4>2555925</vt:i4>
      </vt:variant>
      <vt:variant>
        <vt:i4>174</vt:i4>
      </vt:variant>
      <vt:variant>
        <vt:i4>0</vt:i4>
      </vt:variant>
      <vt:variant>
        <vt:i4>5</vt:i4>
      </vt:variant>
      <vt:variant>
        <vt:lpwstr>mailto:enquiries.ihacpa@ihacpa.gov.au</vt:lpwstr>
      </vt:variant>
      <vt:variant>
        <vt:lpwstr/>
      </vt:variant>
      <vt:variant>
        <vt:i4>5701749</vt:i4>
      </vt:variant>
      <vt:variant>
        <vt:i4>171</vt:i4>
      </vt:variant>
      <vt:variant>
        <vt:i4>0</vt:i4>
      </vt:variant>
      <vt:variant>
        <vt:i4>5</vt:i4>
      </vt:variant>
      <vt:variant>
        <vt:lpwstr>mailto:submissions.ihacpa@ihacpa.gov.au</vt:lpwstr>
      </vt:variant>
      <vt:variant>
        <vt:lpwstr/>
      </vt:variant>
      <vt:variant>
        <vt:i4>7012405</vt:i4>
      </vt:variant>
      <vt:variant>
        <vt:i4>168</vt:i4>
      </vt:variant>
      <vt:variant>
        <vt:i4>0</vt:i4>
      </vt:variant>
      <vt:variant>
        <vt:i4>5</vt:i4>
      </vt:variant>
      <vt:variant>
        <vt:lpwstr>https://www.ihacpa.gov.au/consultations</vt:lpwstr>
      </vt:variant>
      <vt:variant>
        <vt:lpwstr/>
      </vt:variant>
      <vt:variant>
        <vt:i4>5701749</vt:i4>
      </vt:variant>
      <vt:variant>
        <vt:i4>165</vt:i4>
      </vt:variant>
      <vt:variant>
        <vt:i4>0</vt:i4>
      </vt:variant>
      <vt:variant>
        <vt:i4>5</vt:i4>
      </vt:variant>
      <vt:variant>
        <vt:lpwstr>mailto:submissions.ihacpa@ihacpa.gov.au</vt:lpwstr>
      </vt:variant>
      <vt:variant>
        <vt:lpwstr/>
      </vt:variant>
      <vt:variant>
        <vt:i4>7012405</vt:i4>
      </vt:variant>
      <vt:variant>
        <vt:i4>162</vt:i4>
      </vt:variant>
      <vt:variant>
        <vt:i4>0</vt:i4>
      </vt:variant>
      <vt:variant>
        <vt:i4>5</vt:i4>
      </vt:variant>
      <vt:variant>
        <vt:lpwstr>https://www.ihacpa.gov.au/consultations</vt:lpwstr>
      </vt:variant>
      <vt:variant>
        <vt:lpwstr/>
      </vt:variant>
      <vt:variant>
        <vt:i4>7012405</vt:i4>
      </vt:variant>
      <vt:variant>
        <vt:i4>159</vt:i4>
      </vt:variant>
      <vt:variant>
        <vt:i4>0</vt:i4>
      </vt:variant>
      <vt:variant>
        <vt:i4>5</vt:i4>
      </vt:variant>
      <vt:variant>
        <vt:lpwstr>https://www.ihacpa.gov.au/consultations</vt:lpwstr>
      </vt:variant>
      <vt:variant>
        <vt:lpwstr/>
      </vt:variant>
      <vt:variant>
        <vt:i4>720986</vt:i4>
      </vt:variant>
      <vt:variant>
        <vt:i4>156</vt:i4>
      </vt:variant>
      <vt:variant>
        <vt:i4>0</vt:i4>
      </vt:variant>
      <vt:variant>
        <vt:i4>5</vt:i4>
      </vt:variant>
      <vt:variant>
        <vt:lpwstr>https://www.health.gov.au/sites/default/files/2023-05/what-is-the-an-acc-transition-fund.pdf</vt:lpwstr>
      </vt:variant>
      <vt:variant>
        <vt:lpwstr/>
      </vt:variant>
      <vt:variant>
        <vt:i4>5308500</vt:i4>
      </vt:variant>
      <vt:variant>
        <vt:i4>153</vt:i4>
      </vt:variant>
      <vt:variant>
        <vt:i4>0</vt:i4>
      </vt:variant>
      <vt:variant>
        <vt:i4>5</vt:i4>
      </vt:variant>
      <vt:variant>
        <vt:lpwstr>https://www.health.gov.au/our-work/national-aboriginal-and-torres-strait-islander-flexible-aged-care-program</vt:lpwstr>
      </vt:variant>
      <vt:variant>
        <vt:lpwstr/>
      </vt:variant>
      <vt:variant>
        <vt:i4>4390935</vt:i4>
      </vt:variant>
      <vt:variant>
        <vt:i4>150</vt:i4>
      </vt:variant>
      <vt:variant>
        <vt:i4>0</vt:i4>
      </vt:variant>
      <vt:variant>
        <vt:i4>5</vt:i4>
      </vt:variant>
      <vt:variant>
        <vt:lpwstr>https://www.health.gov.au/our-work/multi-purpose-services-mps-program</vt:lpwstr>
      </vt:variant>
      <vt:variant>
        <vt:lpwstr/>
      </vt:variant>
      <vt:variant>
        <vt:i4>1638464</vt:i4>
      </vt:variant>
      <vt:variant>
        <vt:i4>147</vt:i4>
      </vt:variant>
      <vt:variant>
        <vt:i4>0</vt:i4>
      </vt:variant>
      <vt:variant>
        <vt:i4>5</vt:i4>
      </vt:variant>
      <vt:variant>
        <vt:lpwstr>https://www.agedcarequality.gov.au/about-us</vt:lpwstr>
      </vt:variant>
      <vt:variant>
        <vt:lpwstr>our-purpose</vt:lpwstr>
      </vt:variant>
      <vt:variant>
        <vt:i4>4718684</vt:i4>
      </vt:variant>
      <vt:variant>
        <vt:i4>144</vt:i4>
      </vt:variant>
      <vt:variant>
        <vt:i4>0</vt:i4>
      </vt:variant>
      <vt:variant>
        <vt:i4>5</vt:i4>
      </vt:variant>
      <vt:variant>
        <vt:lpwstr>https://www.health.gov.au/topics/rural-health-workforce/classifications/mmm</vt:lpwstr>
      </vt:variant>
      <vt:variant>
        <vt:lpwstr>:~:text=The%20Modified%20Monash%20Model%20(MMM)%20is%20how%20we%20define%20whether,MM%207%20is%20very%20remote.</vt:lpwstr>
      </vt:variant>
      <vt:variant>
        <vt:i4>3211315</vt:i4>
      </vt:variant>
      <vt:variant>
        <vt:i4>141</vt:i4>
      </vt:variant>
      <vt:variant>
        <vt:i4>0</vt:i4>
      </vt:variant>
      <vt:variant>
        <vt:i4>5</vt:i4>
      </vt:variant>
      <vt:variant>
        <vt:lpwstr>https://www.health.gov.au/resources/publications/australian-national-aged-care-classification-an-acc-specialised-status-guide-for-residential-aged-care-approved-providers</vt:lpwstr>
      </vt:variant>
      <vt:variant>
        <vt:lpwstr/>
      </vt:variant>
      <vt:variant>
        <vt:i4>3538982</vt:i4>
      </vt:variant>
      <vt:variant>
        <vt:i4>138</vt:i4>
      </vt:variant>
      <vt:variant>
        <vt:i4>0</vt:i4>
      </vt:variant>
      <vt:variant>
        <vt:i4>5</vt:i4>
      </vt:variant>
      <vt:variant>
        <vt:lpwstr>https://www.ihacpa.gov.au/resources/towards-aged-care-pricing-framework-consultation-paper</vt:lpwstr>
      </vt:variant>
      <vt:variant>
        <vt:lpwstr/>
      </vt:variant>
      <vt:variant>
        <vt:i4>131098</vt:i4>
      </vt:variant>
      <vt:variant>
        <vt:i4>135</vt:i4>
      </vt:variant>
      <vt:variant>
        <vt:i4>0</vt:i4>
      </vt:variant>
      <vt:variant>
        <vt:i4>5</vt:i4>
      </vt:variant>
      <vt:variant>
        <vt:lpwstr>https://www.ihacpa.gov.au/resources/residential-aged-care-pricing-advice-2023-24</vt:lpwstr>
      </vt:variant>
      <vt:variant>
        <vt:lpwstr/>
      </vt:variant>
      <vt:variant>
        <vt:i4>131098</vt:i4>
      </vt:variant>
      <vt:variant>
        <vt:i4>132</vt:i4>
      </vt:variant>
      <vt:variant>
        <vt:i4>0</vt:i4>
      </vt:variant>
      <vt:variant>
        <vt:i4>5</vt:i4>
      </vt:variant>
      <vt:variant>
        <vt:lpwstr>https://www.ihacpa.gov.au/resources/residential-aged-care-pricing-advice-2023-24</vt:lpwstr>
      </vt:variant>
      <vt:variant>
        <vt:lpwstr/>
      </vt:variant>
      <vt:variant>
        <vt:i4>131098</vt:i4>
      </vt:variant>
      <vt:variant>
        <vt:i4>129</vt:i4>
      </vt:variant>
      <vt:variant>
        <vt:i4>0</vt:i4>
      </vt:variant>
      <vt:variant>
        <vt:i4>5</vt:i4>
      </vt:variant>
      <vt:variant>
        <vt:lpwstr>https://www.ihacpa.gov.au/resources/residential-aged-care-pricing-advice-2023-24</vt:lpwstr>
      </vt:variant>
      <vt:variant>
        <vt:lpwstr/>
      </vt:variant>
      <vt:variant>
        <vt:i4>7340065</vt:i4>
      </vt:variant>
      <vt:variant>
        <vt:i4>123</vt:i4>
      </vt:variant>
      <vt:variant>
        <vt:i4>0</vt:i4>
      </vt:variant>
      <vt:variant>
        <vt:i4>5</vt:i4>
      </vt:variant>
      <vt:variant>
        <vt:lpwstr>https://www.legislation.gov.au/Details/F2023C00345</vt:lpwstr>
      </vt:variant>
      <vt:variant>
        <vt:lpwstr/>
      </vt:variant>
      <vt:variant>
        <vt:i4>3801143</vt:i4>
      </vt:variant>
      <vt:variant>
        <vt:i4>117</vt:i4>
      </vt:variant>
      <vt:variant>
        <vt:i4>0</vt:i4>
      </vt:variant>
      <vt:variant>
        <vt:i4>5</vt:i4>
      </vt:variant>
      <vt:variant>
        <vt:lpwstr>https://www.myagedcare.gov.au/quality-aged-care</vt:lpwstr>
      </vt:variant>
      <vt:variant>
        <vt:lpwstr>what-do-the-star-ratings-mean</vt:lpwstr>
      </vt:variant>
      <vt:variant>
        <vt:i4>2621556</vt:i4>
      </vt:variant>
      <vt:variant>
        <vt:i4>114</vt:i4>
      </vt:variant>
      <vt:variant>
        <vt:i4>0</vt:i4>
      </vt:variant>
      <vt:variant>
        <vt:i4>5</vt:i4>
      </vt:variant>
      <vt:variant>
        <vt:lpwstr>https://www.health.gov.au/resources/publications/care-minutes-and-247-registered-nurse-responsibility-guide</vt:lpwstr>
      </vt:variant>
      <vt:variant>
        <vt:lpwstr/>
      </vt:variant>
      <vt:variant>
        <vt:i4>6488173</vt:i4>
      </vt:variant>
      <vt:variant>
        <vt:i4>108</vt:i4>
      </vt:variant>
      <vt:variant>
        <vt:i4>0</vt:i4>
      </vt:variant>
      <vt:variant>
        <vt:i4>5</vt:i4>
      </vt:variant>
      <vt:variant>
        <vt:lpwstr>https://www.health.gov.au/resources/publications/the-australian-national-aged-care-classification-an-acc-funding-guide</vt:lpwstr>
      </vt:variant>
      <vt:variant>
        <vt:lpwstr/>
      </vt:variant>
      <vt:variant>
        <vt:i4>327711</vt:i4>
      </vt:variant>
      <vt:variant>
        <vt:i4>102</vt:i4>
      </vt:variant>
      <vt:variant>
        <vt:i4>0</vt:i4>
      </vt:variant>
      <vt:variant>
        <vt:i4>5</vt:i4>
      </vt:variant>
      <vt:variant>
        <vt:lpwstr>https://www.health.gov.au/our-work/AN-ACC</vt:lpwstr>
      </vt:variant>
      <vt:variant>
        <vt:lpwstr/>
      </vt:variant>
      <vt:variant>
        <vt:i4>5701749</vt:i4>
      </vt:variant>
      <vt:variant>
        <vt:i4>99</vt:i4>
      </vt:variant>
      <vt:variant>
        <vt:i4>0</vt:i4>
      </vt:variant>
      <vt:variant>
        <vt:i4>5</vt:i4>
      </vt:variant>
      <vt:variant>
        <vt:lpwstr>mailto:submissions.ihacpa@ihacpa.gov.au</vt:lpwstr>
      </vt:variant>
      <vt:variant>
        <vt:lpwstr/>
      </vt:variant>
      <vt:variant>
        <vt:i4>7012405</vt:i4>
      </vt:variant>
      <vt:variant>
        <vt:i4>96</vt:i4>
      </vt:variant>
      <vt:variant>
        <vt:i4>0</vt:i4>
      </vt:variant>
      <vt:variant>
        <vt:i4>5</vt:i4>
      </vt:variant>
      <vt:variant>
        <vt:lpwstr>https://www.ihacpa.gov.au/consultations</vt:lpwstr>
      </vt:variant>
      <vt:variant>
        <vt:lpwstr/>
      </vt:variant>
      <vt:variant>
        <vt:i4>5701749</vt:i4>
      </vt:variant>
      <vt:variant>
        <vt:i4>93</vt:i4>
      </vt:variant>
      <vt:variant>
        <vt:i4>0</vt:i4>
      </vt:variant>
      <vt:variant>
        <vt:i4>5</vt:i4>
      </vt:variant>
      <vt:variant>
        <vt:lpwstr>mailto:submissions.ihacpa@ihacpa.gov.au</vt:lpwstr>
      </vt:variant>
      <vt:variant>
        <vt:lpwstr/>
      </vt:variant>
      <vt:variant>
        <vt:i4>7012405</vt:i4>
      </vt:variant>
      <vt:variant>
        <vt:i4>90</vt:i4>
      </vt:variant>
      <vt:variant>
        <vt:i4>0</vt:i4>
      </vt:variant>
      <vt:variant>
        <vt:i4>5</vt:i4>
      </vt:variant>
      <vt:variant>
        <vt:lpwstr>https://www.ihacpa.gov.au/consultations</vt:lpwstr>
      </vt:variant>
      <vt:variant>
        <vt:lpwstr/>
      </vt:variant>
      <vt:variant>
        <vt:i4>131098</vt:i4>
      </vt:variant>
      <vt:variant>
        <vt:i4>87</vt:i4>
      </vt:variant>
      <vt:variant>
        <vt:i4>0</vt:i4>
      </vt:variant>
      <vt:variant>
        <vt:i4>5</vt:i4>
      </vt:variant>
      <vt:variant>
        <vt:lpwstr>https://www.ihacpa.gov.au/resources/residential-aged-care-pricing-advice-2023-24</vt:lpwstr>
      </vt:variant>
      <vt:variant>
        <vt:lpwstr/>
      </vt:variant>
      <vt:variant>
        <vt:i4>8323127</vt:i4>
      </vt:variant>
      <vt:variant>
        <vt:i4>84</vt:i4>
      </vt:variant>
      <vt:variant>
        <vt:i4>0</vt:i4>
      </vt:variant>
      <vt:variant>
        <vt:i4>5</vt:i4>
      </vt:variant>
      <vt:variant>
        <vt:lpwstr>https://www.ihacpa.gov.au/resources/pricing-framework-australian-residential-aged-care-services-2023-24</vt:lpwstr>
      </vt:variant>
      <vt:variant>
        <vt:lpwstr/>
      </vt:variant>
      <vt:variant>
        <vt:i4>8323127</vt:i4>
      </vt:variant>
      <vt:variant>
        <vt:i4>81</vt:i4>
      </vt:variant>
      <vt:variant>
        <vt:i4>0</vt:i4>
      </vt:variant>
      <vt:variant>
        <vt:i4>5</vt:i4>
      </vt:variant>
      <vt:variant>
        <vt:lpwstr>https://www.ihacpa.gov.au/resources/pricing-framework-australian-residential-aged-care-services-2023-24</vt:lpwstr>
      </vt:variant>
      <vt:variant>
        <vt:lpwstr/>
      </vt:variant>
      <vt:variant>
        <vt:i4>3538982</vt:i4>
      </vt:variant>
      <vt:variant>
        <vt:i4>78</vt:i4>
      </vt:variant>
      <vt:variant>
        <vt:i4>0</vt:i4>
      </vt:variant>
      <vt:variant>
        <vt:i4>5</vt:i4>
      </vt:variant>
      <vt:variant>
        <vt:lpwstr>https://www.ihacpa.gov.au/resources/towards-aged-care-pricing-framework-consultation-paper</vt:lpwstr>
      </vt:variant>
      <vt:variant>
        <vt:lpwstr/>
      </vt:variant>
      <vt:variant>
        <vt:i4>7274617</vt:i4>
      </vt:variant>
      <vt:variant>
        <vt:i4>75</vt:i4>
      </vt:variant>
      <vt:variant>
        <vt:i4>0</vt:i4>
      </vt:variant>
      <vt:variant>
        <vt:i4>5</vt:i4>
      </vt:variant>
      <vt:variant>
        <vt:lpwstr>https://www.health.gov.au/sites/default/files/documents/2022/04/budget-2022-23-home-care-supporting-senior-australians-to-remain-independent-for-longer.pdf</vt:lpwstr>
      </vt:variant>
      <vt:variant>
        <vt:lpwstr/>
      </vt:variant>
      <vt:variant>
        <vt:i4>5177372</vt:i4>
      </vt:variant>
      <vt:variant>
        <vt:i4>72</vt:i4>
      </vt:variant>
      <vt:variant>
        <vt:i4>0</vt:i4>
      </vt:variant>
      <vt:variant>
        <vt:i4>5</vt:i4>
      </vt:variant>
      <vt:variant>
        <vt:lpwstr>https://www.ihacpa.gov.au/resources/ihacpa-statement-of-intent-aged-care-pricing-October-2022</vt:lpwstr>
      </vt:variant>
      <vt:variant>
        <vt:lpwstr/>
      </vt:variant>
      <vt:variant>
        <vt:i4>5177372</vt:i4>
      </vt:variant>
      <vt:variant>
        <vt:i4>69</vt:i4>
      </vt:variant>
      <vt:variant>
        <vt:i4>0</vt:i4>
      </vt:variant>
      <vt:variant>
        <vt:i4>5</vt:i4>
      </vt:variant>
      <vt:variant>
        <vt:lpwstr>https://www.ihacpa.gov.au/resources/ihacpa-statement-of-intent-aged-care-pricing-October-2022</vt:lpwstr>
      </vt:variant>
      <vt:variant>
        <vt:lpwstr/>
      </vt:variant>
      <vt:variant>
        <vt:i4>7536678</vt:i4>
      </vt:variant>
      <vt:variant>
        <vt:i4>66</vt:i4>
      </vt:variant>
      <vt:variant>
        <vt:i4>0</vt:i4>
      </vt:variant>
      <vt:variant>
        <vt:i4>5</vt:i4>
      </vt:variant>
      <vt:variant>
        <vt:lpwstr>https://www.legislation.gov.au/Details/C2022C00332</vt:lpwstr>
      </vt:variant>
      <vt:variant>
        <vt:lpwstr/>
      </vt:variant>
      <vt:variant>
        <vt:i4>7340066</vt:i4>
      </vt:variant>
      <vt:variant>
        <vt:i4>63</vt:i4>
      </vt:variant>
      <vt:variant>
        <vt:i4>0</vt:i4>
      </vt:variant>
      <vt:variant>
        <vt:i4>5</vt:i4>
      </vt:variant>
      <vt:variant>
        <vt:lpwstr>https://www.legislation.gov.au/Details/C2023C00073</vt:lpwstr>
      </vt:variant>
      <vt:variant>
        <vt:lpwstr/>
      </vt:variant>
      <vt:variant>
        <vt:i4>7798822</vt:i4>
      </vt:variant>
      <vt:variant>
        <vt:i4>60</vt:i4>
      </vt:variant>
      <vt:variant>
        <vt:i4>0</vt:i4>
      </vt:variant>
      <vt:variant>
        <vt:i4>5</vt:i4>
      </vt:variant>
      <vt:variant>
        <vt:lpwstr>https://www.legislation.gov.au/Details/C2022C00237</vt:lpwstr>
      </vt:variant>
      <vt:variant>
        <vt:lpwstr/>
      </vt:variant>
      <vt:variant>
        <vt:i4>1114171</vt:i4>
      </vt:variant>
      <vt:variant>
        <vt:i4>53</vt:i4>
      </vt:variant>
      <vt:variant>
        <vt:i4>0</vt:i4>
      </vt:variant>
      <vt:variant>
        <vt:i4>5</vt:i4>
      </vt:variant>
      <vt:variant>
        <vt:lpwstr/>
      </vt:variant>
      <vt:variant>
        <vt:lpwstr>_Toc137552827</vt:lpwstr>
      </vt:variant>
      <vt:variant>
        <vt:i4>1114171</vt:i4>
      </vt:variant>
      <vt:variant>
        <vt:i4>47</vt:i4>
      </vt:variant>
      <vt:variant>
        <vt:i4>0</vt:i4>
      </vt:variant>
      <vt:variant>
        <vt:i4>5</vt:i4>
      </vt:variant>
      <vt:variant>
        <vt:lpwstr/>
      </vt:variant>
      <vt:variant>
        <vt:lpwstr>_Toc137552825</vt:lpwstr>
      </vt:variant>
      <vt:variant>
        <vt:i4>1114171</vt:i4>
      </vt:variant>
      <vt:variant>
        <vt:i4>41</vt:i4>
      </vt:variant>
      <vt:variant>
        <vt:i4>0</vt:i4>
      </vt:variant>
      <vt:variant>
        <vt:i4>5</vt:i4>
      </vt:variant>
      <vt:variant>
        <vt:lpwstr/>
      </vt:variant>
      <vt:variant>
        <vt:lpwstr>_Toc137552820</vt:lpwstr>
      </vt:variant>
      <vt:variant>
        <vt:i4>1179707</vt:i4>
      </vt:variant>
      <vt:variant>
        <vt:i4>35</vt:i4>
      </vt:variant>
      <vt:variant>
        <vt:i4>0</vt:i4>
      </vt:variant>
      <vt:variant>
        <vt:i4>5</vt:i4>
      </vt:variant>
      <vt:variant>
        <vt:lpwstr/>
      </vt:variant>
      <vt:variant>
        <vt:lpwstr>_Toc137552816</vt:lpwstr>
      </vt:variant>
      <vt:variant>
        <vt:i4>1179707</vt:i4>
      </vt:variant>
      <vt:variant>
        <vt:i4>29</vt:i4>
      </vt:variant>
      <vt:variant>
        <vt:i4>0</vt:i4>
      </vt:variant>
      <vt:variant>
        <vt:i4>5</vt:i4>
      </vt:variant>
      <vt:variant>
        <vt:lpwstr/>
      </vt:variant>
      <vt:variant>
        <vt:lpwstr>_Toc137552811</vt:lpwstr>
      </vt:variant>
      <vt:variant>
        <vt:i4>1245243</vt:i4>
      </vt:variant>
      <vt:variant>
        <vt:i4>23</vt:i4>
      </vt:variant>
      <vt:variant>
        <vt:i4>0</vt:i4>
      </vt:variant>
      <vt:variant>
        <vt:i4>5</vt:i4>
      </vt:variant>
      <vt:variant>
        <vt:lpwstr/>
      </vt:variant>
      <vt:variant>
        <vt:lpwstr>_Toc137552805</vt:lpwstr>
      </vt:variant>
      <vt:variant>
        <vt:i4>1245243</vt:i4>
      </vt:variant>
      <vt:variant>
        <vt:i4>17</vt:i4>
      </vt:variant>
      <vt:variant>
        <vt:i4>0</vt:i4>
      </vt:variant>
      <vt:variant>
        <vt:i4>5</vt:i4>
      </vt:variant>
      <vt:variant>
        <vt:lpwstr/>
      </vt:variant>
      <vt:variant>
        <vt:lpwstr>_Toc137552804</vt:lpwstr>
      </vt:variant>
      <vt:variant>
        <vt:i4>1703988</vt:i4>
      </vt:variant>
      <vt:variant>
        <vt:i4>11</vt:i4>
      </vt:variant>
      <vt:variant>
        <vt:i4>0</vt:i4>
      </vt:variant>
      <vt:variant>
        <vt:i4>5</vt:i4>
      </vt:variant>
      <vt:variant>
        <vt:lpwstr/>
      </vt:variant>
      <vt:variant>
        <vt:lpwstr>_Toc137552797</vt:lpwstr>
      </vt:variant>
      <vt:variant>
        <vt:i4>1703988</vt:i4>
      </vt:variant>
      <vt:variant>
        <vt:i4>5</vt:i4>
      </vt:variant>
      <vt:variant>
        <vt:i4>0</vt:i4>
      </vt:variant>
      <vt:variant>
        <vt:i4>5</vt:i4>
      </vt:variant>
      <vt:variant>
        <vt:lpwstr/>
      </vt:variant>
      <vt:variant>
        <vt:lpwstr>_Toc137552796</vt:lpwstr>
      </vt:variant>
      <vt:variant>
        <vt:i4>2359406</vt:i4>
      </vt:variant>
      <vt:variant>
        <vt:i4>0</vt:i4>
      </vt:variant>
      <vt:variant>
        <vt:i4>0</vt:i4>
      </vt:variant>
      <vt:variant>
        <vt:i4>5</vt:i4>
      </vt:variant>
      <vt:variant>
        <vt:lpwstr>https://creativecommons.org/licenses/by/3.0/au/</vt:lpwstr>
      </vt:variant>
      <vt:variant>
        <vt:lpwstr/>
      </vt:variant>
      <vt:variant>
        <vt:i4>7995449</vt:i4>
      </vt:variant>
      <vt:variant>
        <vt:i4>6</vt:i4>
      </vt:variant>
      <vt:variant>
        <vt:i4>0</vt:i4>
      </vt:variant>
      <vt:variant>
        <vt:i4>5</vt:i4>
      </vt:variant>
      <vt:variant>
        <vt:lpwstr>https://www.health.gov.au/our-work/aged-care-reforms/what-were-doing/sustainable-care</vt:lpwstr>
      </vt:variant>
      <vt:variant>
        <vt:lpwstr>establishing-a-new-aged-care-taskforce</vt:lpwstr>
      </vt:variant>
      <vt:variant>
        <vt:i4>4522054</vt:i4>
      </vt:variant>
      <vt:variant>
        <vt:i4>3</vt:i4>
      </vt:variant>
      <vt:variant>
        <vt:i4>0</vt:i4>
      </vt:variant>
      <vt:variant>
        <vt:i4>5</vt:i4>
      </vt:variant>
      <vt:variant>
        <vt:lpwstr>https://www.health.gov.au/our-work/care-minutes-registered-nurses-aged-care/care-minutes</vt:lpwstr>
      </vt:variant>
      <vt:variant>
        <vt:lpwstr/>
      </vt:variant>
      <vt:variant>
        <vt:i4>7274544</vt:i4>
      </vt:variant>
      <vt:variant>
        <vt:i4>0</vt:i4>
      </vt:variant>
      <vt:variant>
        <vt:i4>0</vt:i4>
      </vt:variant>
      <vt:variant>
        <vt:i4>5</vt:i4>
      </vt:variant>
      <vt:variant>
        <vt:lpwstr>https://www.health.gov.au/resources/publications/an-acc-reference-manual-and-an-acc-assessment-tool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CARSTAIRS, Lisa</cp:lastModifiedBy>
  <cp:revision>2</cp:revision>
  <cp:lastPrinted>2023-06-27T23:04:00Z</cp:lastPrinted>
  <dcterms:created xsi:type="dcterms:W3CDTF">2023-07-14T04:10:00Z</dcterms:created>
  <dcterms:modified xsi:type="dcterms:W3CDTF">2023-07-14T04:10:00Z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