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54E9" w14:textId="4CBA426D" w:rsidR="009A1681" w:rsidRPr="00AC04B2" w:rsidRDefault="009A1681" w:rsidP="00F00D91">
      <w:pPr>
        <w:pStyle w:val="Body"/>
      </w:pPr>
      <w:r w:rsidRPr="00AC04B2">
        <w:rPr>
          <w:noProof/>
        </w:rPr>
        <w:drawing>
          <wp:inline distT="0" distB="0" distL="0" distR="0" wp14:anchorId="185A067A" wp14:editId="20931FB3">
            <wp:extent cx="1346200" cy="825500"/>
            <wp:effectExtent l="0" t="0" r="0" b="0"/>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46200" cy="825500"/>
                    </a:xfrm>
                    <a:prstGeom prst="rect">
                      <a:avLst/>
                    </a:prstGeom>
                  </pic:spPr>
                </pic:pic>
              </a:graphicData>
            </a:graphic>
          </wp:inline>
        </w:drawing>
      </w:r>
    </w:p>
    <w:p w14:paraId="36BC4018" w14:textId="27F2F500" w:rsidR="009A1681" w:rsidRPr="00AC04B2" w:rsidRDefault="009A1681" w:rsidP="007A72D2">
      <w:pPr>
        <w:pStyle w:val="CoverTitle"/>
        <w:tabs>
          <w:tab w:val="left" w:pos="8647"/>
        </w:tabs>
        <w:spacing w:before="1920" w:after="1200"/>
        <w:ind w:right="1728"/>
        <w:rPr>
          <w:bCs/>
          <w:color w:val="FFFFFF" w:themeColor="background2"/>
          <w:sz w:val="80"/>
          <w:szCs w:val="80"/>
        </w:rPr>
      </w:pPr>
      <w:r w:rsidRPr="00AC04B2">
        <w:rPr>
          <w:bCs/>
          <w:color w:val="FFFFFF" w:themeColor="background2"/>
          <w:sz w:val="80"/>
          <w:szCs w:val="80"/>
        </w:rPr>
        <w:t>IH</w:t>
      </w:r>
      <w:r w:rsidR="00420E75" w:rsidRPr="00AC04B2">
        <w:rPr>
          <w:bCs/>
          <w:color w:val="FFFFFF" w:themeColor="background2"/>
          <w:sz w:val="80"/>
          <w:szCs w:val="80"/>
        </w:rPr>
        <w:t>AC</w:t>
      </w:r>
      <w:r w:rsidRPr="00AC04B2">
        <w:rPr>
          <w:bCs/>
          <w:color w:val="FFFFFF" w:themeColor="background2"/>
          <w:sz w:val="80"/>
          <w:szCs w:val="80"/>
        </w:rPr>
        <w:t>PA Work Program and Corporate Plan 202</w:t>
      </w:r>
      <w:r w:rsidR="003127A9">
        <w:rPr>
          <w:bCs/>
          <w:color w:val="FFFFFF" w:themeColor="background2"/>
          <w:sz w:val="80"/>
          <w:szCs w:val="80"/>
        </w:rPr>
        <w:t>4</w:t>
      </w:r>
      <w:r w:rsidRPr="00AC04B2">
        <w:rPr>
          <w:bCs/>
          <w:color w:val="FFFFFF" w:themeColor="background2"/>
          <w:sz w:val="80"/>
          <w:szCs w:val="80"/>
        </w:rPr>
        <w:t>–2</w:t>
      </w:r>
      <w:r w:rsidR="003127A9">
        <w:rPr>
          <w:bCs/>
          <w:color w:val="FFFFFF" w:themeColor="background2"/>
          <w:sz w:val="80"/>
          <w:szCs w:val="80"/>
        </w:rPr>
        <w:t>5</w:t>
      </w:r>
    </w:p>
    <w:p w14:paraId="182A4CE3" w14:textId="0BE072AD" w:rsidR="00B1762E" w:rsidRPr="00FC10A1" w:rsidRDefault="001A2BC2" w:rsidP="00FC10A1">
      <w:pPr>
        <w:pStyle w:val="CoverSubhead"/>
        <w:spacing w:after="600"/>
        <w:rPr>
          <w:color w:val="FFFFFF" w:themeColor="background2"/>
          <w:sz w:val="50"/>
          <w:szCs w:val="50"/>
        </w:rPr>
      </w:pPr>
      <w:r w:rsidRPr="00FC10A1">
        <w:rPr>
          <w:color w:val="FFFFFF" w:themeColor="background2"/>
          <w:sz w:val="50"/>
          <w:szCs w:val="50"/>
        </w:rPr>
        <w:t xml:space="preserve">Draft for </w:t>
      </w:r>
      <w:r w:rsidR="00B1762E" w:rsidRPr="00FC10A1">
        <w:rPr>
          <w:color w:val="FFFFFF" w:themeColor="background2"/>
          <w:sz w:val="50"/>
          <w:szCs w:val="50"/>
        </w:rPr>
        <w:t>p</w:t>
      </w:r>
      <w:r w:rsidR="009226A2" w:rsidRPr="00FC10A1">
        <w:rPr>
          <w:color w:val="FFFFFF" w:themeColor="background2"/>
          <w:sz w:val="50"/>
          <w:szCs w:val="50"/>
        </w:rPr>
        <w:t xml:space="preserve">ublic </w:t>
      </w:r>
      <w:r w:rsidR="00B1762E" w:rsidRPr="00FC10A1">
        <w:rPr>
          <w:color w:val="FFFFFF" w:themeColor="background2"/>
          <w:sz w:val="50"/>
          <w:szCs w:val="50"/>
        </w:rPr>
        <w:t>c</w:t>
      </w:r>
      <w:r w:rsidRPr="00FC10A1">
        <w:rPr>
          <w:color w:val="FFFFFF" w:themeColor="background2"/>
          <w:sz w:val="50"/>
          <w:szCs w:val="50"/>
        </w:rPr>
        <w:t>onsultation</w:t>
      </w:r>
      <w:r w:rsidR="00AC231D">
        <w:rPr>
          <w:color w:val="FFFFFF" w:themeColor="background2"/>
          <w:sz w:val="30"/>
          <w:szCs w:val="30"/>
        </w:rPr>
        <w:t xml:space="preserve"> </w:t>
      </w:r>
    </w:p>
    <w:p w14:paraId="522E24F3" w14:textId="235CF64B" w:rsidR="006D0548" w:rsidRPr="00AC04B2" w:rsidRDefault="009226A2" w:rsidP="00FF0E74">
      <w:pPr>
        <w:pStyle w:val="CoverSubhead"/>
        <w:spacing w:after="120"/>
        <w:rPr>
          <w:color w:val="FFFFFF" w:themeColor="background2"/>
          <w:sz w:val="30"/>
          <w:szCs w:val="30"/>
        </w:rPr>
        <w:sectPr w:rsidR="006D0548" w:rsidRPr="00AC04B2" w:rsidSect="009D5276">
          <w:headerReference w:type="even" r:id="rId10"/>
          <w:headerReference w:type="default" r:id="rId11"/>
          <w:footerReference w:type="even" r:id="rId12"/>
          <w:footerReference w:type="default" r:id="rId13"/>
          <w:headerReference w:type="first" r:id="rId14"/>
          <w:footerReference w:type="first" r:id="rId15"/>
          <w:pgSz w:w="11906" w:h="16838" w:code="9"/>
          <w:pgMar w:top="1303" w:right="907" w:bottom="907" w:left="907" w:header="709" w:footer="709" w:gutter="0"/>
          <w:cols w:space="708"/>
          <w:titlePg/>
          <w:docGrid w:linePitch="360"/>
        </w:sectPr>
      </w:pPr>
      <w:r>
        <w:rPr>
          <w:color w:val="FFFFFF" w:themeColor="background2"/>
          <w:sz w:val="30"/>
          <w:szCs w:val="30"/>
        </w:rPr>
        <w:t xml:space="preserve">March </w:t>
      </w:r>
      <w:r w:rsidR="00BA70FD">
        <w:rPr>
          <w:color w:val="FFFFFF" w:themeColor="background2"/>
          <w:sz w:val="30"/>
          <w:szCs w:val="30"/>
        </w:rPr>
        <w:t>202</w:t>
      </w:r>
      <w:r>
        <w:rPr>
          <w:color w:val="FFFFFF" w:themeColor="background2"/>
          <w:sz w:val="30"/>
          <w:szCs w:val="30"/>
        </w:rPr>
        <w:t>4</w:t>
      </w:r>
    </w:p>
    <w:p w14:paraId="07487268" w14:textId="014A6EA1" w:rsidR="00F33F85" w:rsidRPr="00AC04B2" w:rsidRDefault="00F33F85" w:rsidP="00F33F85">
      <w:pPr>
        <w:pStyle w:val="Copyrightheading"/>
        <w:rPr>
          <w:rFonts w:asciiTheme="majorHAnsi" w:hAnsiTheme="majorHAnsi"/>
        </w:rPr>
      </w:pPr>
      <w:r w:rsidRPr="00AC04B2">
        <w:rPr>
          <w:rFonts w:asciiTheme="majorHAnsi" w:hAnsiTheme="majorHAnsi"/>
        </w:rPr>
        <w:lastRenderedPageBreak/>
        <w:t>IHACPA Work Program and Corporate Plan 202</w:t>
      </w:r>
      <w:r w:rsidR="00AC231D">
        <w:rPr>
          <w:rFonts w:asciiTheme="majorHAnsi" w:hAnsiTheme="majorHAnsi"/>
        </w:rPr>
        <w:t>4</w:t>
      </w:r>
      <w:r w:rsidRPr="00AC04B2">
        <w:rPr>
          <w:rFonts w:asciiTheme="majorHAnsi" w:hAnsiTheme="majorHAnsi"/>
        </w:rPr>
        <w:t>–2</w:t>
      </w:r>
      <w:r w:rsidR="00AC231D">
        <w:rPr>
          <w:rFonts w:asciiTheme="majorHAnsi" w:hAnsiTheme="majorHAnsi"/>
        </w:rPr>
        <w:t>5</w:t>
      </w:r>
      <w:r w:rsidR="00B1762E">
        <w:rPr>
          <w:rFonts w:asciiTheme="majorHAnsi" w:hAnsiTheme="majorHAnsi"/>
        </w:rPr>
        <w:br/>
      </w:r>
      <w:r w:rsidR="00B45989">
        <w:rPr>
          <w:rFonts w:asciiTheme="majorHAnsi" w:hAnsiTheme="majorHAnsi"/>
        </w:rPr>
        <w:t xml:space="preserve">Draft for </w:t>
      </w:r>
      <w:r w:rsidR="00B1762E">
        <w:rPr>
          <w:rFonts w:asciiTheme="majorHAnsi" w:hAnsiTheme="majorHAnsi"/>
        </w:rPr>
        <w:t xml:space="preserve">public </w:t>
      </w:r>
      <w:r w:rsidR="00B45989">
        <w:rPr>
          <w:rFonts w:asciiTheme="majorHAnsi" w:hAnsiTheme="majorHAnsi"/>
        </w:rPr>
        <w:t xml:space="preserve">consultation – </w:t>
      </w:r>
      <w:r w:rsidR="00B1762E">
        <w:rPr>
          <w:rFonts w:asciiTheme="majorHAnsi" w:hAnsiTheme="majorHAnsi"/>
        </w:rPr>
        <w:t xml:space="preserve">March </w:t>
      </w:r>
      <w:r w:rsidR="0027123D">
        <w:rPr>
          <w:rFonts w:asciiTheme="majorHAnsi" w:hAnsiTheme="majorHAnsi"/>
        </w:rPr>
        <w:t>202</w:t>
      </w:r>
      <w:r w:rsidR="00B1762E">
        <w:rPr>
          <w:rFonts w:asciiTheme="majorHAnsi" w:hAnsiTheme="majorHAnsi"/>
        </w:rPr>
        <w:t>4</w:t>
      </w:r>
    </w:p>
    <w:p w14:paraId="0159A2A1" w14:textId="677E4717" w:rsidR="00F33F85" w:rsidRPr="00F373CC" w:rsidRDefault="00F33F85" w:rsidP="00F33F85">
      <w:pPr>
        <w:pStyle w:val="Copyrightcopy"/>
        <w:rPr>
          <w:rFonts w:cs="Arial"/>
        </w:rPr>
      </w:pPr>
      <w:r w:rsidRPr="00F373CC">
        <w:rPr>
          <w:rFonts w:cs="Arial"/>
        </w:rPr>
        <w:t>© Independent Health and Aged Care Pricing Authority 202</w:t>
      </w:r>
      <w:r w:rsidR="00B45989">
        <w:rPr>
          <w:rFonts w:cs="Arial"/>
        </w:rPr>
        <w:t>4</w:t>
      </w:r>
    </w:p>
    <w:p w14:paraId="66C0995B" w14:textId="1FBD3BC5" w:rsidR="00F33F85" w:rsidRPr="00F373CC" w:rsidRDefault="00F33F85" w:rsidP="00F33F85">
      <w:pPr>
        <w:pStyle w:val="Copyrightcopy"/>
        <w:rPr>
          <w:rFonts w:cs="Arial"/>
          <w:color w:val="auto"/>
        </w:rPr>
      </w:pPr>
      <w:r w:rsidRPr="00F373CC">
        <w:rPr>
          <w:rFonts w:cs="Arial"/>
          <w:color w:val="auto"/>
        </w:rPr>
        <w:t xml:space="preserve">This publication is available for your use under a </w:t>
      </w:r>
      <w:hyperlink r:id="rId16" w:history="1">
        <w:r w:rsidRPr="00F373CC">
          <w:rPr>
            <w:rStyle w:val="Hyperlink"/>
            <w:rFonts w:cs="Arial"/>
            <w:color w:val="auto"/>
          </w:rPr>
          <w:t xml:space="preserve">Creative Commons </w:t>
        </w:r>
        <w:r w:rsidR="009B67A8" w:rsidRPr="00F373CC">
          <w:rPr>
            <w:rStyle w:val="Hyperlink"/>
            <w:rFonts w:cs="Arial"/>
            <w:color w:val="auto"/>
          </w:rPr>
          <w:t xml:space="preserve">BY </w:t>
        </w:r>
        <w:r w:rsidRPr="00F373CC">
          <w:rPr>
            <w:rStyle w:val="Hyperlink"/>
            <w:rFonts w:cs="Arial"/>
            <w:color w:val="auto"/>
          </w:rPr>
          <w:t>Attribution 3.0 Australia licence</w:t>
        </w:r>
      </w:hyperlink>
      <w:r w:rsidRPr="00F373CC">
        <w:rPr>
          <w:rFonts w:cs="Arial"/>
          <w:color w:val="auto"/>
        </w:rPr>
        <w:t>, with the exception of the Independent Health and Aged Care Pricing Authority logo, photographs, images, signatures and where otherwise stated. The full licence terms are available from the Creative Commons website.</w:t>
      </w:r>
    </w:p>
    <w:p w14:paraId="05C831F9" w14:textId="77777777" w:rsidR="00F33F85" w:rsidRPr="00F373CC" w:rsidRDefault="00F33F85" w:rsidP="00F33F85">
      <w:pPr>
        <w:pStyle w:val="Copyrightcopy"/>
        <w:rPr>
          <w:rFonts w:cs="Arial"/>
        </w:rPr>
      </w:pPr>
      <w:r w:rsidRPr="00F373CC">
        <w:rPr>
          <w:rFonts w:cs="Arial"/>
          <w:noProof/>
        </w:rPr>
        <w:drawing>
          <wp:inline distT="0" distB="0" distL="0" distR="0" wp14:anchorId="12B2D622" wp14:editId="71CD86E7">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7">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F373CC">
        <w:rPr>
          <w:rFonts w:cs="Arial"/>
        </w:rPr>
        <w:t xml:space="preserve"> </w:t>
      </w:r>
    </w:p>
    <w:p w14:paraId="6C31CA56" w14:textId="4F1B6DE5" w:rsidR="00F33F85" w:rsidRPr="00F373CC" w:rsidRDefault="00F33F85" w:rsidP="00F33F85">
      <w:pPr>
        <w:pStyle w:val="Copyrightcopy"/>
        <w:rPr>
          <w:rFonts w:cs="Arial"/>
        </w:rPr>
      </w:pPr>
      <w:r w:rsidRPr="00F373CC">
        <w:rPr>
          <w:rFonts w:cs="Arial"/>
        </w:rPr>
        <w:t xml:space="preserve">Use of Independent Health and Aged Care Pricing Authority material under a Creative Commons </w:t>
      </w:r>
      <w:r w:rsidR="009B67A8" w:rsidRPr="00F373CC">
        <w:rPr>
          <w:rFonts w:cs="Arial"/>
        </w:rPr>
        <w:t xml:space="preserve">BY </w:t>
      </w:r>
      <w:r w:rsidRPr="00F373CC">
        <w:rPr>
          <w:rFonts w:cs="Arial"/>
        </w:rPr>
        <w:t>Attribution 3.0 Australia licence requires you to attribute the work (but not in any way that suggests that the Independent Health and Aged Care Pricing Authority endorses you or your use of the work).</w:t>
      </w:r>
    </w:p>
    <w:p w14:paraId="4D2C3DE0" w14:textId="77777777" w:rsidR="00F33F85" w:rsidRPr="00F373CC" w:rsidRDefault="00F33F85" w:rsidP="00F33F85">
      <w:pPr>
        <w:pStyle w:val="Copyrightcopy"/>
        <w:rPr>
          <w:rFonts w:cs="Arial"/>
        </w:rPr>
      </w:pPr>
      <w:r w:rsidRPr="00F373CC">
        <w:rPr>
          <w:rFonts w:cs="Arial"/>
        </w:rPr>
        <w:t>Independent Health and Aged Care Pricing Authority material used ‘as supplied’.</w:t>
      </w:r>
    </w:p>
    <w:p w14:paraId="354EA54C" w14:textId="77777777" w:rsidR="00F33F85" w:rsidRPr="00F373CC" w:rsidRDefault="00F33F85" w:rsidP="00F33F85">
      <w:pPr>
        <w:pStyle w:val="Copyrightcopy"/>
        <w:rPr>
          <w:rFonts w:cs="Arial"/>
        </w:rPr>
      </w:pPr>
      <w:r w:rsidRPr="00F373CC">
        <w:rPr>
          <w:rFonts w:cs="Arial"/>
        </w:rPr>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p>
    <w:p w14:paraId="2528362B" w14:textId="77777777" w:rsidR="00F33F85" w:rsidRPr="00F373CC" w:rsidRDefault="00F33F85" w:rsidP="00F33F85">
      <w:pPr>
        <w:pStyle w:val="Copyrightcopy"/>
        <w:rPr>
          <w:rFonts w:cs="Arial"/>
        </w:rPr>
        <w:sectPr w:rsidR="00F33F85" w:rsidRPr="00F373CC" w:rsidSect="00276510">
          <w:headerReference w:type="even" r:id="rId18"/>
          <w:headerReference w:type="default" r:id="rId19"/>
          <w:footerReference w:type="default" r:id="rId20"/>
          <w:headerReference w:type="first" r:id="rId21"/>
          <w:pgSz w:w="11906" w:h="16838" w:code="9"/>
          <w:pgMar w:top="7371" w:right="1077" w:bottom="1440" w:left="1077" w:header="709" w:footer="709" w:gutter="0"/>
          <w:cols w:space="720"/>
          <w:docGrid w:linePitch="360"/>
        </w:sectPr>
      </w:pPr>
      <w:r w:rsidRPr="00F373CC">
        <w:rPr>
          <w:rFonts w:cs="Arial"/>
        </w:rPr>
        <w:t>Source: The Independent Health and Aged Care Pricing Authority</w:t>
      </w:r>
    </w:p>
    <w:bookmarkStart w:id="0" w:name="_Toc118461801" w:displacedByCustomXml="next"/>
    <w:bookmarkStart w:id="1" w:name="_Toc118126568" w:displacedByCustomXml="next"/>
    <w:bookmarkStart w:id="2" w:name="_Toc117616830" w:displacedByCustomXml="next"/>
    <w:bookmarkStart w:id="3" w:name="_Toc93327255" w:displacedByCustomXml="next"/>
    <w:bookmarkStart w:id="4" w:name="_Toc117538690" w:displacedByCustomXml="next"/>
    <w:bookmarkStart w:id="5" w:name="_Toc120738858" w:displacedByCustomXml="next"/>
    <w:bookmarkStart w:id="6" w:name="_Toc120883045" w:displacedByCustomXml="next"/>
    <w:bookmarkStart w:id="7" w:name="_Toc133416929" w:displacedByCustomXml="next"/>
    <w:sdt>
      <w:sdtPr>
        <w:rPr>
          <w:rFonts w:asciiTheme="minorHAnsi" w:hAnsiTheme="minorHAnsi" w:cstheme="minorBidi"/>
          <w:b/>
          <w:color w:val="auto"/>
          <w:sz w:val="22"/>
          <w:szCs w:val="22"/>
        </w:rPr>
        <w:id w:val="1596509323"/>
        <w:docPartObj>
          <w:docPartGallery w:val="Table of Contents"/>
          <w:docPartUnique/>
        </w:docPartObj>
      </w:sdtPr>
      <w:sdtEndPr>
        <w:rPr>
          <w:rFonts w:ascii="Arial Bold" w:hAnsi="Arial Bold"/>
          <w:bCs/>
        </w:rPr>
      </w:sdtEndPr>
      <w:sdtContent>
        <w:bookmarkStart w:id="8" w:name="_Toc93327581" w:displacedByCustomXml="prev"/>
        <w:p w14:paraId="70C6EBEB" w14:textId="6275E4B8" w:rsidR="00AD75B9" w:rsidRPr="00AC04B2" w:rsidRDefault="008D5984" w:rsidP="008D5984">
          <w:pPr>
            <w:pStyle w:val="TOCHeading"/>
          </w:pPr>
          <w:r w:rsidRPr="00AC04B2">
            <w:t xml:space="preserve">Table of </w:t>
          </w:r>
          <w:bookmarkEnd w:id="6"/>
          <w:bookmarkEnd w:id="5"/>
          <w:bookmarkEnd w:id="4"/>
          <w:bookmarkEnd w:id="3"/>
          <w:bookmarkEnd w:id="2"/>
          <w:bookmarkEnd w:id="1"/>
          <w:bookmarkEnd w:id="0"/>
          <w:bookmarkEnd w:id="8"/>
          <w:r w:rsidR="00101AB8">
            <w:t>C</w:t>
          </w:r>
          <w:r w:rsidR="00101AB8" w:rsidRPr="00AC04B2">
            <w:t>ontents</w:t>
          </w:r>
          <w:bookmarkEnd w:id="7"/>
        </w:p>
        <w:p w14:paraId="0B50A07E" w14:textId="04D5BD76" w:rsidR="004904BF" w:rsidRDefault="004763FD">
          <w:pPr>
            <w:pStyle w:val="TOC1"/>
            <w:tabs>
              <w:tab w:val="right" w:leader="dot" w:pos="10082"/>
            </w:tabs>
            <w:rPr>
              <w:rFonts w:asciiTheme="minorHAnsi" w:eastAsiaTheme="minorEastAsia" w:hAnsiTheme="minorHAnsi"/>
              <w:b w:val="0"/>
              <w:noProof/>
              <w:lang w:eastAsia="en-AU"/>
            </w:rPr>
          </w:pPr>
          <w:r w:rsidRPr="00AC04B2">
            <w:rPr>
              <w:rFonts w:asciiTheme="minorHAnsi" w:hAnsiTheme="minorHAnsi"/>
              <w:b w:val="0"/>
              <w:color w:val="15272F" w:themeColor="text1"/>
              <w:sz w:val="21"/>
              <w:szCs w:val="21"/>
            </w:rPr>
            <w:fldChar w:fldCharType="begin"/>
          </w:r>
          <w:r w:rsidRPr="00AC04B2">
            <w:rPr>
              <w:rFonts w:asciiTheme="minorHAnsi" w:hAnsiTheme="minorHAnsi"/>
              <w:b w:val="0"/>
              <w:color w:val="15272F" w:themeColor="text1"/>
              <w:sz w:val="21"/>
              <w:szCs w:val="21"/>
            </w:rPr>
            <w:instrText xml:space="preserve"> TOC \o "1-1" \h \z \t "Heading 2,2,H2,2" </w:instrText>
          </w:r>
          <w:r w:rsidRPr="00AC04B2">
            <w:rPr>
              <w:rFonts w:asciiTheme="minorHAnsi" w:hAnsiTheme="minorHAnsi"/>
              <w:b w:val="0"/>
              <w:color w:val="15272F" w:themeColor="text1"/>
              <w:sz w:val="21"/>
              <w:szCs w:val="21"/>
            </w:rPr>
            <w:fldChar w:fldCharType="separate"/>
          </w:r>
          <w:hyperlink w:anchor="_Toc133416930" w:history="1">
            <w:r w:rsidR="004904BF" w:rsidRPr="00030402">
              <w:rPr>
                <w:rStyle w:val="Hyperlink"/>
                <w:noProof/>
              </w:rPr>
              <w:t>Abbreviations and acronyms</w:t>
            </w:r>
            <w:r w:rsidR="004904BF">
              <w:rPr>
                <w:noProof/>
                <w:webHidden/>
              </w:rPr>
              <w:tab/>
            </w:r>
            <w:r w:rsidR="004904BF">
              <w:rPr>
                <w:noProof/>
                <w:webHidden/>
              </w:rPr>
              <w:fldChar w:fldCharType="begin"/>
            </w:r>
            <w:r w:rsidR="004904BF">
              <w:rPr>
                <w:noProof/>
                <w:webHidden/>
              </w:rPr>
              <w:instrText xml:space="preserve"> PAGEREF _Toc133416930 \h </w:instrText>
            </w:r>
            <w:r w:rsidR="004904BF">
              <w:rPr>
                <w:noProof/>
                <w:webHidden/>
              </w:rPr>
            </w:r>
            <w:r w:rsidR="004904BF">
              <w:rPr>
                <w:noProof/>
                <w:webHidden/>
              </w:rPr>
              <w:fldChar w:fldCharType="separate"/>
            </w:r>
            <w:r w:rsidR="00E01ED8">
              <w:rPr>
                <w:noProof/>
                <w:webHidden/>
              </w:rPr>
              <w:t>5</w:t>
            </w:r>
            <w:r w:rsidR="004904BF">
              <w:rPr>
                <w:noProof/>
                <w:webHidden/>
              </w:rPr>
              <w:fldChar w:fldCharType="end"/>
            </w:r>
          </w:hyperlink>
        </w:p>
        <w:p w14:paraId="2F29AC69" w14:textId="2406895A" w:rsidR="004904BF" w:rsidRDefault="00000000">
          <w:pPr>
            <w:pStyle w:val="TOC1"/>
            <w:tabs>
              <w:tab w:val="left" w:pos="880"/>
              <w:tab w:val="right" w:leader="dot" w:pos="10082"/>
            </w:tabs>
            <w:rPr>
              <w:rFonts w:asciiTheme="minorHAnsi" w:eastAsiaTheme="minorEastAsia" w:hAnsiTheme="minorHAnsi"/>
              <w:b w:val="0"/>
              <w:noProof/>
              <w:lang w:eastAsia="en-AU"/>
            </w:rPr>
          </w:pPr>
          <w:hyperlink w:anchor="_Toc133416931" w:history="1">
            <w:r w:rsidR="004904BF" w:rsidRPr="00030402">
              <w:rPr>
                <w:rStyle w:val="Hyperlink"/>
                <w:noProof/>
              </w:rPr>
              <w:t>1.</w:t>
            </w:r>
            <w:r w:rsidR="004904BF">
              <w:rPr>
                <w:rFonts w:asciiTheme="minorHAnsi" w:eastAsiaTheme="minorEastAsia" w:hAnsiTheme="minorHAnsi"/>
                <w:b w:val="0"/>
                <w:noProof/>
                <w:lang w:eastAsia="en-AU"/>
              </w:rPr>
              <w:tab/>
            </w:r>
            <w:r w:rsidR="004904BF" w:rsidRPr="00030402">
              <w:rPr>
                <w:rStyle w:val="Hyperlink"/>
                <w:noProof/>
              </w:rPr>
              <w:t>Introduction</w:t>
            </w:r>
            <w:r w:rsidR="004904BF">
              <w:rPr>
                <w:noProof/>
                <w:webHidden/>
              </w:rPr>
              <w:tab/>
            </w:r>
            <w:r w:rsidR="004904BF">
              <w:rPr>
                <w:noProof/>
                <w:webHidden/>
              </w:rPr>
              <w:fldChar w:fldCharType="begin"/>
            </w:r>
            <w:r w:rsidR="004904BF">
              <w:rPr>
                <w:noProof/>
                <w:webHidden/>
              </w:rPr>
              <w:instrText xml:space="preserve"> PAGEREF _Toc133416931 \h </w:instrText>
            </w:r>
            <w:r w:rsidR="004904BF">
              <w:rPr>
                <w:noProof/>
                <w:webHidden/>
              </w:rPr>
            </w:r>
            <w:r w:rsidR="004904BF">
              <w:rPr>
                <w:noProof/>
                <w:webHidden/>
              </w:rPr>
              <w:fldChar w:fldCharType="separate"/>
            </w:r>
            <w:r w:rsidR="00E01ED8">
              <w:rPr>
                <w:noProof/>
                <w:webHidden/>
              </w:rPr>
              <w:t>6</w:t>
            </w:r>
            <w:r w:rsidR="004904BF">
              <w:rPr>
                <w:noProof/>
                <w:webHidden/>
              </w:rPr>
              <w:fldChar w:fldCharType="end"/>
            </w:r>
          </w:hyperlink>
        </w:p>
        <w:p w14:paraId="6CC7F92E" w14:textId="4F866CDA" w:rsidR="004904BF" w:rsidRDefault="00000000">
          <w:pPr>
            <w:pStyle w:val="TOC2"/>
            <w:tabs>
              <w:tab w:val="left" w:pos="880"/>
              <w:tab w:val="right" w:leader="dot" w:pos="10082"/>
            </w:tabs>
            <w:rPr>
              <w:rFonts w:asciiTheme="minorHAnsi" w:eastAsiaTheme="minorEastAsia" w:hAnsiTheme="minorHAnsi" w:cstheme="minorBidi"/>
              <w:lang w:eastAsia="en-AU"/>
            </w:rPr>
          </w:pPr>
          <w:hyperlink w:anchor="_Toc133416932" w:history="1">
            <w:r w:rsidR="004904BF" w:rsidRPr="00030402">
              <w:rPr>
                <w:rStyle w:val="Hyperlink"/>
              </w:rPr>
              <w:t>1.1</w:t>
            </w:r>
            <w:r w:rsidR="004904BF">
              <w:rPr>
                <w:rFonts w:asciiTheme="minorHAnsi" w:eastAsiaTheme="minorEastAsia" w:hAnsiTheme="minorHAnsi" w:cstheme="minorBidi"/>
                <w:lang w:eastAsia="en-AU"/>
              </w:rPr>
              <w:tab/>
            </w:r>
            <w:r w:rsidR="004904BF" w:rsidRPr="00030402">
              <w:rPr>
                <w:rStyle w:val="Hyperlink"/>
              </w:rPr>
              <w:t>Purpose</w:t>
            </w:r>
            <w:r w:rsidR="004904BF">
              <w:rPr>
                <w:webHidden/>
              </w:rPr>
              <w:tab/>
            </w:r>
            <w:r w:rsidR="004904BF">
              <w:rPr>
                <w:webHidden/>
              </w:rPr>
              <w:fldChar w:fldCharType="begin"/>
            </w:r>
            <w:r w:rsidR="004904BF">
              <w:rPr>
                <w:webHidden/>
              </w:rPr>
              <w:instrText xml:space="preserve"> PAGEREF _Toc133416932 \h </w:instrText>
            </w:r>
            <w:r w:rsidR="004904BF">
              <w:rPr>
                <w:webHidden/>
              </w:rPr>
            </w:r>
            <w:r w:rsidR="004904BF">
              <w:rPr>
                <w:webHidden/>
              </w:rPr>
              <w:fldChar w:fldCharType="separate"/>
            </w:r>
            <w:r w:rsidR="00E01ED8">
              <w:rPr>
                <w:webHidden/>
              </w:rPr>
              <w:t>6</w:t>
            </w:r>
            <w:r w:rsidR="004904BF">
              <w:rPr>
                <w:webHidden/>
              </w:rPr>
              <w:fldChar w:fldCharType="end"/>
            </w:r>
          </w:hyperlink>
        </w:p>
        <w:p w14:paraId="4EAF4D06" w14:textId="760EDFD1" w:rsidR="004904BF" w:rsidRDefault="00000000">
          <w:pPr>
            <w:pStyle w:val="TOC2"/>
            <w:tabs>
              <w:tab w:val="left" w:pos="880"/>
              <w:tab w:val="right" w:leader="dot" w:pos="10082"/>
            </w:tabs>
            <w:rPr>
              <w:rFonts w:asciiTheme="minorHAnsi" w:eastAsiaTheme="minorEastAsia" w:hAnsiTheme="minorHAnsi" w:cstheme="minorBidi"/>
              <w:lang w:eastAsia="en-AU"/>
            </w:rPr>
          </w:pPr>
          <w:hyperlink w:anchor="_Toc133416933" w:history="1">
            <w:r w:rsidR="004904BF" w:rsidRPr="00030402">
              <w:rPr>
                <w:rStyle w:val="Hyperlink"/>
              </w:rPr>
              <w:t>1.2</w:t>
            </w:r>
            <w:r w:rsidR="004904BF">
              <w:rPr>
                <w:rFonts w:asciiTheme="minorHAnsi" w:eastAsiaTheme="minorEastAsia" w:hAnsiTheme="minorHAnsi" w:cstheme="minorBidi"/>
                <w:lang w:eastAsia="en-AU"/>
              </w:rPr>
              <w:tab/>
            </w:r>
            <w:r w:rsidR="004904BF" w:rsidRPr="00030402">
              <w:rPr>
                <w:rStyle w:val="Hyperlink"/>
              </w:rPr>
              <w:t>Strategic objectives and key activities</w:t>
            </w:r>
            <w:r w:rsidR="004904BF">
              <w:rPr>
                <w:webHidden/>
              </w:rPr>
              <w:tab/>
            </w:r>
            <w:r w:rsidR="004904BF">
              <w:rPr>
                <w:webHidden/>
              </w:rPr>
              <w:fldChar w:fldCharType="begin"/>
            </w:r>
            <w:r w:rsidR="004904BF">
              <w:rPr>
                <w:webHidden/>
              </w:rPr>
              <w:instrText xml:space="preserve"> PAGEREF _Toc133416933 \h </w:instrText>
            </w:r>
            <w:r w:rsidR="004904BF">
              <w:rPr>
                <w:webHidden/>
              </w:rPr>
            </w:r>
            <w:r w:rsidR="004904BF">
              <w:rPr>
                <w:webHidden/>
              </w:rPr>
              <w:fldChar w:fldCharType="separate"/>
            </w:r>
            <w:r w:rsidR="00E01ED8">
              <w:rPr>
                <w:webHidden/>
              </w:rPr>
              <w:t>7</w:t>
            </w:r>
            <w:r w:rsidR="004904BF">
              <w:rPr>
                <w:webHidden/>
              </w:rPr>
              <w:fldChar w:fldCharType="end"/>
            </w:r>
          </w:hyperlink>
        </w:p>
        <w:p w14:paraId="362ACE00" w14:textId="230F88BB" w:rsidR="004904BF" w:rsidRDefault="00000000">
          <w:pPr>
            <w:pStyle w:val="TOC1"/>
            <w:tabs>
              <w:tab w:val="left" w:pos="880"/>
              <w:tab w:val="right" w:leader="dot" w:pos="10082"/>
            </w:tabs>
            <w:rPr>
              <w:rFonts w:asciiTheme="minorHAnsi" w:eastAsiaTheme="minorEastAsia" w:hAnsiTheme="minorHAnsi"/>
              <w:b w:val="0"/>
              <w:noProof/>
              <w:lang w:eastAsia="en-AU"/>
            </w:rPr>
          </w:pPr>
          <w:hyperlink w:anchor="_Toc133416934" w:history="1">
            <w:r w:rsidR="004904BF" w:rsidRPr="00030402">
              <w:rPr>
                <w:rStyle w:val="Hyperlink"/>
                <w:noProof/>
              </w:rPr>
              <w:t>2.</w:t>
            </w:r>
            <w:r w:rsidR="004904BF">
              <w:rPr>
                <w:rFonts w:asciiTheme="minorHAnsi" w:eastAsiaTheme="minorEastAsia" w:hAnsiTheme="minorHAnsi"/>
                <w:b w:val="0"/>
                <w:noProof/>
                <w:lang w:eastAsia="en-AU"/>
              </w:rPr>
              <w:tab/>
            </w:r>
            <w:r w:rsidR="004904BF" w:rsidRPr="00030402">
              <w:rPr>
                <w:rStyle w:val="Hyperlink"/>
                <w:noProof/>
              </w:rPr>
              <w:t>Key activities</w:t>
            </w:r>
            <w:r w:rsidR="004904BF">
              <w:rPr>
                <w:noProof/>
                <w:webHidden/>
              </w:rPr>
              <w:tab/>
            </w:r>
            <w:r w:rsidR="004904BF">
              <w:rPr>
                <w:noProof/>
                <w:webHidden/>
              </w:rPr>
              <w:fldChar w:fldCharType="begin"/>
            </w:r>
            <w:r w:rsidR="004904BF">
              <w:rPr>
                <w:noProof/>
                <w:webHidden/>
              </w:rPr>
              <w:instrText xml:space="preserve"> PAGEREF _Toc133416934 \h </w:instrText>
            </w:r>
            <w:r w:rsidR="004904BF">
              <w:rPr>
                <w:noProof/>
                <w:webHidden/>
              </w:rPr>
            </w:r>
            <w:r w:rsidR="004904BF">
              <w:rPr>
                <w:noProof/>
                <w:webHidden/>
              </w:rPr>
              <w:fldChar w:fldCharType="separate"/>
            </w:r>
            <w:r w:rsidR="00E01ED8">
              <w:rPr>
                <w:noProof/>
                <w:webHidden/>
              </w:rPr>
              <w:t>9</w:t>
            </w:r>
            <w:r w:rsidR="004904BF">
              <w:rPr>
                <w:noProof/>
                <w:webHidden/>
              </w:rPr>
              <w:fldChar w:fldCharType="end"/>
            </w:r>
          </w:hyperlink>
        </w:p>
        <w:p w14:paraId="232DA247" w14:textId="005DB550" w:rsidR="004904BF" w:rsidRDefault="00000000">
          <w:pPr>
            <w:pStyle w:val="TOC2"/>
            <w:tabs>
              <w:tab w:val="right" w:leader="dot" w:pos="10082"/>
            </w:tabs>
            <w:rPr>
              <w:rFonts w:asciiTheme="minorHAnsi" w:eastAsiaTheme="minorEastAsia" w:hAnsiTheme="minorHAnsi" w:cstheme="minorBidi"/>
              <w:lang w:eastAsia="en-AU"/>
            </w:rPr>
          </w:pPr>
          <w:hyperlink w:anchor="_Toc133416935" w:history="1">
            <w:r w:rsidR="004904BF" w:rsidRPr="00030402">
              <w:rPr>
                <w:rStyle w:val="Hyperlink"/>
              </w:rPr>
              <w:t>Strategic Objective One: Perform pricing functions</w:t>
            </w:r>
            <w:r w:rsidR="004904BF">
              <w:rPr>
                <w:webHidden/>
              </w:rPr>
              <w:tab/>
            </w:r>
            <w:r w:rsidR="004904BF">
              <w:rPr>
                <w:webHidden/>
              </w:rPr>
              <w:fldChar w:fldCharType="begin"/>
            </w:r>
            <w:r w:rsidR="004904BF">
              <w:rPr>
                <w:webHidden/>
              </w:rPr>
              <w:instrText xml:space="preserve"> PAGEREF _Toc133416935 \h </w:instrText>
            </w:r>
            <w:r w:rsidR="004904BF">
              <w:rPr>
                <w:webHidden/>
              </w:rPr>
            </w:r>
            <w:r w:rsidR="004904BF">
              <w:rPr>
                <w:webHidden/>
              </w:rPr>
              <w:fldChar w:fldCharType="separate"/>
            </w:r>
            <w:r w:rsidR="00E01ED8">
              <w:rPr>
                <w:webHidden/>
              </w:rPr>
              <w:t>9</w:t>
            </w:r>
            <w:r w:rsidR="004904BF">
              <w:rPr>
                <w:webHidden/>
              </w:rPr>
              <w:fldChar w:fldCharType="end"/>
            </w:r>
          </w:hyperlink>
        </w:p>
        <w:p w14:paraId="28B75430" w14:textId="39743A9D" w:rsidR="004904BF" w:rsidRDefault="00000000">
          <w:pPr>
            <w:pStyle w:val="TOC2"/>
            <w:tabs>
              <w:tab w:val="right" w:leader="dot" w:pos="10082"/>
            </w:tabs>
            <w:rPr>
              <w:rFonts w:asciiTheme="minorHAnsi" w:eastAsiaTheme="minorEastAsia" w:hAnsiTheme="minorHAnsi" w:cstheme="minorBidi"/>
              <w:lang w:eastAsia="en-AU"/>
            </w:rPr>
          </w:pPr>
          <w:hyperlink w:anchor="_Toc133416936" w:history="1">
            <w:r w:rsidR="004904BF" w:rsidRPr="00030402">
              <w:rPr>
                <w:rStyle w:val="Hyperlink"/>
              </w:rPr>
              <w:t xml:space="preserve">Strategic Objective Two: Refine and develop hospital and aged care activity classification </w:t>
            </w:r>
            <w:r w:rsidR="00C12B79">
              <w:rPr>
                <w:rStyle w:val="Hyperlink"/>
              </w:rPr>
              <w:br/>
            </w:r>
            <w:r w:rsidR="004904BF" w:rsidRPr="00030402">
              <w:rPr>
                <w:rStyle w:val="Hyperlink"/>
              </w:rPr>
              <w:t>systems</w:t>
            </w:r>
            <w:r w:rsidR="004904BF">
              <w:rPr>
                <w:webHidden/>
              </w:rPr>
              <w:tab/>
            </w:r>
            <w:r w:rsidR="004904BF">
              <w:rPr>
                <w:webHidden/>
              </w:rPr>
              <w:fldChar w:fldCharType="begin"/>
            </w:r>
            <w:r w:rsidR="004904BF">
              <w:rPr>
                <w:webHidden/>
              </w:rPr>
              <w:instrText xml:space="preserve"> PAGEREF _Toc133416936 \h </w:instrText>
            </w:r>
            <w:r w:rsidR="004904BF">
              <w:rPr>
                <w:webHidden/>
              </w:rPr>
            </w:r>
            <w:r w:rsidR="004904BF">
              <w:rPr>
                <w:webHidden/>
              </w:rPr>
              <w:fldChar w:fldCharType="separate"/>
            </w:r>
            <w:r w:rsidR="00E01ED8">
              <w:rPr>
                <w:webHidden/>
              </w:rPr>
              <w:t>16</w:t>
            </w:r>
            <w:r w:rsidR="004904BF">
              <w:rPr>
                <w:webHidden/>
              </w:rPr>
              <w:fldChar w:fldCharType="end"/>
            </w:r>
          </w:hyperlink>
        </w:p>
        <w:p w14:paraId="1C25797A" w14:textId="6356D7E9" w:rsidR="004904BF" w:rsidRDefault="00000000">
          <w:pPr>
            <w:pStyle w:val="TOC2"/>
            <w:tabs>
              <w:tab w:val="right" w:leader="dot" w:pos="10082"/>
            </w:tabs>
            <w:rPr>
              <w:rFonts w:asciiTheme="minorHAnsi" w:eastAsiaTheme="minorEastAsia" w:hAnsiTheme="minorHAnsi" w:cstheme="minorBidi"/>
              <w:lang w:eastAsia="en-AU"/>
            </w:rPr>
          </w:pPr>
          <w:hyperlink w:anchor="_Toc133416937" w:history="1">
            <w:r w:rsidR="004904BF" w:rsidRPr="00030402">
              <w:rPr>
                <w:rStyle w:val="Hyperlink"/>
              </w:rPr>
              <w:t>Strategic Objective Three: Refine and improve hospital and aged care costing</w:t>
            </w:r>
            <w:r w:rsidR="004904BF">
              <w:rPr>
                <w:webHidden/>
              </w:rPr>
              <w:tab/>
            </w:r>
            <w:r w:rsidR="004904BF">
              <w:rPr>
                <w:webHidden/>
              </w:rPr>
              <w:fldChar w:fldCharType="begin"/>
            </w:r>
            <w:r w:rsidR="004904BF">
              <w:rPr>
                <w:webHidden/>
              </w:rPr>
              <w:instrText xml:space="preserve"> PAGEREF _Toc133416937 \h </w:instrText>
            </w:r>
            <w:r w:rsidR="004904BF">
              <w:rPr>
                <w:webHidden/>
              </w:rPr>
            </w:r>
            <w:r w:rsidR="004904BF">
              <w:rPr>
                <w:webHidden/>
              </w:rPr>
              <w:fldChar w:fldCharType="separate"/>
            </w:r>
            <w:r w:rsidR="00E01ED8">
              <w:rPr>
                <w:webHidden/>
              </w:rPr>
              <w:t>21</w:t>
            </w:r>
            <w:r w:rsidR="004904BF">
              <w:rPr>
                <w:webHidden/>
              </w:rPr>
              <w:fldChar w:fldCharType="end"/>
            </w:r>
          </w:hyperlink>
        </w:p>
        <w:p w14:paraId="64B1EE19" w14:textId="38903EB3" w:rsidR="004904BF" w:rsidRDefault="00000000">
          <w:pPr>
            <w:pStyle w:val="TOC2"/>
            <w:tabs>
              <w:tab w:val="right" w:leader="dot" w:pos="10082"/>
            </w:tabs>
            <w:rPr>
              <w:rFonts w:asciiTheme="minorHAnsi" w:eastAsiaTheme="minorEastAsia" w:hAnsiTheme="minorHAnsi" w:cstheme="minorBidi"/>
              <w:lang w:eastAsia="en-AU"/>
            </w:rPr>
          </w:pPr>
          <w:hyperlink w:anchor="_Toc133416938" w:history="1">
            <w:r w:rsidR="004904BF" w:rsidRPr="00030402">
              <w:rPr>
                <w:rStyle w:val="Hyperlink"/>
              </w:rPr>
              <w:t>Strategic Objective Four: Determine data requirements and collect data</w:t>
            </w:r>
            <w:r w:rsidR="004904BF">
              <w:rPr>
                <w:webHidden/>
              </w:rPr>
              <w:tab/>
            </w:r>
            <w:r w:rsidR="004904BF">
              <w:rPr>
                <w:webHidden/>
              </w:rPr>
              <w:fldChar w:fldCharType="begin"/>
            </w:r>
            <w:r w:rsidR="004904BF">
              <w:rPr>
                <w:webHidden/>
              </w:rPr>
              <w:instrText xml:space="preserve"> PAGEREF _Toc133416938 \h </w:instrText>
            </w:r>
            <w:r w:rsidR="004904BF">
              <w:rPr>
                <w:webHidden/>
              </w:rPr>
            </w:r>
            <w:r w:rsidR="004904BF">
              <w:rPr>
                <w:webHidden/>
              </w:rPr>
              <w:fldChar w:fldCharType="separate"/>
            </w:r>
            <w:r w:rsidR="00E01ED8">
              <w:rPr>
                <w:webHidden/>
              </w:rPr>
              <w:t>24</w:t>
            </w:r>
            <w:r w:rsidR="004904BF">
              <w:rPr>
                <w:webHidden/>
              </w:rPr>
              <w:fldChar w:fldCharType="end"/>
            </w:r>
          </w:hyperlink>
        </w:p>
        <w:p w14:paraId="19081871" w14:textId="2039B06D" w:rsidR="004904BF" w:rsidRDefault="00000000">
          <w:pPr>
            <w:pStyle w:val="TOC2"/>
            <w:tabs>
              <w:tab w:val="right" w:leader="dot" w:pos="10082"/>
            </w:tabs>
            <w:rPr>
              <w:rFonts w:asciiTheme="minorHAnsi" w:eastAsiaTheme="minorEastAsia" w:hAnsiTheme="minorHAnsi" w:cstheme="minorBidi"/>
              <w:lang w:eastAsia="en-AU"/>
            </w:rPr>
          </w:pPr>
          <w:hyperlink w:anchor="_Toc133416939" w:history="1">
            <w:r w:rsidR="004904BF" w:rsidRPr="00030402">
              <w:rPr>
                <w:rStyle w:val="Hyperlink"/>
              </w:rPr>
              <w:t>Strategic Objective Five: Investigate and make recommendations concerning cost</w:t>
            </w:r>
            <w:r w:rsidR="004904BF" w:rsidRPr="00030402">
              <w:rPr>
                <w:rStyle w:val="Hyperlink"/>
              </w:rPr>
              <w:noBreakHyphen/>
              <w:t xml:space="preserve">shifting </w:t>
            </w:r>
            <w:r w:rsidR="00C12B79">
              <w:rPr>
                <w:rStyle w:val="Hyperlink"/>
              </w:rPr>
              <w:br/>
            </w:r>
            <w:r w:rsidR="004904BF" w:rsidRPr="00030402">
              <w:rPr>
                <w:rStyle w:val="Hyperlink"/>
              </w:rPr>
              <w:t>and cross-border disputes</w:t>
            </w:r>
            <w:r w:rsidR="004904BF">
              <w:rPr>
                <w:webHidden/>
              </w:rPr>
              <w:tab/>
            </w:r>
            <w:r w:rsidR="004904BF">
              <w:rPr>
                <w:webHidden/>
              </w:rPr>
              <w:fldChar w:fldCharType="begin"/>
            </w:r>
            <w:r w:rsidR="004904BF">
              <w:rPr>
                <w:webHidden/>
              </w:rPr>
              <w:instrText xml:space="preserve"> PAGEREF _Toc133416939 \h </w:instrText>
            </w:r>
            <w:r w:rsidR="004904BF">
              <w:rPr>
                <w:webHidden/>
              </w:rPr>
            </w:r>
            <w:r w:rsidR="004904BF">
              <w:rPr>
                <w:webHidden/>
              </w:rPr>
              <w:fldChar w:fldCharType="separate"/>
            </w:r>
            <w:r w:rsidR="00E01ED8">
              <w:rPr>
                <w:webHidden/>
              </w:rPr>
              <w:t>27</w:t>
            </w:r>
            <w:r w:rsidR="004904BF">
              <w:rPr>
                <w:webHidden/>
              </w:rPr>
              <w:fldChar w:fldCharType="end"/>
            </w:r>
          </w:hyperlink>
        </w:p>
        <w:p w14:paraId="669E54FB" w14:textId="0686793C" w:rsidR="004904BF" w:rsidRDefault="00000000">
          <w:pPr>
            <w:pStyle w:val="TOC2"/>
            <w:tabs>
              <w:tab w:val="right" w:leader="dot" w:pos="10082"/>
            </w:tabs>
            <w:rPr>
              <w:rFonts w:asciiTheme="minorHAnsi" w:eastAsiaTheme="minorEastAsia" w:hAnsiTheme="minorHAnsi" w:cstheme="minorBidi"/>
              <w:lang w:eastAsia="en-AU"/>
            </w:rPr>
          </w:pPr>
          <w:hyperlink w:anchor="_Toc133416940" w:history="1">
            <w:r w:rsidR="004904BF" w:rsidRPr="00030402">
              <w:rPr>
                <w:rStyle w:val="Hyperlink"/>
              </w:rPr>
              <w:t xml:space="preserve">Strategic Objective Six: Conduct independent and transparent decision-making and engage </w:t>
            </w:r>
            <w:r w:rsidR="00C12B79">
              <w:rPr>
                <w:rStyle w:val="Hyperlink"/>
              </w:rPr>
              <w:br/>
            </w:r>
            <w:r w:rsidR="004904BF" w:rsidRPr="00030402">
              <w:rPr>
                <w:rStyle w:val="Hyperlink"/>
              </w:rPr>
              <w:t>with stakeholders</w:t>
            </w:r>
            <w:r w:rsidR="004904BF">
              <w:rPr>
                <w:webHidden/>
              </w:rPr>
              <w:tab/>
            </w:r>
            <w:r w:rsidR="004904BF">
              <w:rPr>
                <w:webHidden/>
              </w:rPr>
              <w:fldChar w:fldCharType="begin"/>
            </w:r>
            <w:r w:rsidR="004904BF">
              <w:rPr>
                <w:webHidden/>
              </w:rPr>
              <w:instrText xml:space="preserve"> PAGEREF _Toc133416940 \h </w:instrText>
            </w:r>
            <w:r w:rsidR="004904BF">
              <w:rPr>
                <w:webHidden/>
              </w:rPr>
            </w:r>
            <w:r w:rsidR="004904BF">
              <w:rPr>
                <w:webHidden/>
              </w:rPr>
              <w:fldChar w:fldCharType="separate"/>
            </w:r>
            <w:r w:rsidR="00E01ED8">
              <w:rPr>
                <w:webHidden/>
              </w:rPr>
              <w:t>28</w:t>
            </w:r>
            <w:r w:rsidR="004904BF">
              <w:rPr>
                <w:webHidden/>
              </w:rPr>
              <w:fldChar w:fldCharType="end"/>
            </w:r>
          </w:hyperlink>
        </w:p>
        <w:p w14:paraId="632F0848" w14:textId="26D6A8D5" w:rsidR="004904BF" w:rsidRDefault="00000000">
          <w:pPr>
            <w:pStyle w:val="TOC1"/>
            <w:tabs>
              <w:tab w:val="left" w:pos="880"/>
              <w:tab w:val="right" w:leader="dot" w:pos="10082"/>
            </w:tabs>
            <w:rPr>
              <w:rFonts w:asciiTheme="minorHAnsi" w:eastAsiaTheme="minorEastAsia" w:hAnsiTheme="minorHAnsi"/>
              <w:b w:val="0"/>
              <w:noProof/>
              <w:lang w:eastAsia="en-AU"/>
            </w:rPr>
          </w:pPr>
          <w:hyperlink w:anchor="_Toc133416941" w:history="1">
            <w:r w:rsidR="004904BF" w:rsidRPr="00030402">
              <w:rPr>
                <w:rStyle w:val="Hyperlink"/>
                <w:noProof/>
              </w:rPr>
              <w:t>3.</w:t>
            </w:r>
            <w:r w:rsidR="004904BF">
              <w:rPr>
                <w:rFonts w:asciiTheme="minorHAnsi" w:eastAsiaTheme="minorEastAsia" w:hAnsiTheme="minorHAnsi"/>
                <w:b w:val="0"/>
                <w:noProof/>
                <w:lang w:eastAsia="en-AU"/>
              </w:rPr>
              <w:tab/>
            </w:r>
            <w:r w:rsidR="004904BF" w:rsidRPr="00030402">
              <w:rPr>
                <w:rStyle w:val="Hyperlink"/>
                <w:noProof/>
              </w:rPr>
              <w:t>Operating context</w:t>
            </w:r>
            <w:r w:rsidR="004904BF">
              <w:rPr>
                <w:noProof/>
                <w:webHidden/>
              </w:rPr>
              <w:tab/>
            </w:r>
            <w:r w:rsidR="004904BF">
              <w:rPr>
                <w:noProof/>
                <w:webHidden/>
              </w:rPr>
              <w:fldChar w:fldCharType="begin"/>
            </w:r>
            <w:r w:rsidR="004904BF">
              <w:rPr>
                <w:noProof/>
                <w:webHidden/>
              </w:rPr>
              <w:instrText xml:space="preserve"> PAGEREF _Toc133416941 \h </w:instrText>
            </w:r>
            <w:r w:rsidR="004904BF">
              <w:rPr>
                <w:noProof/>
                <w:webHidden/>
              </w:rPr>
            </w:r>
            <w:r w:rsidR="004904BF">
              <w:rPr>
                <w:noProof/>
                <w:webHidden/>
              </w:rPr>
              <w:fldChar w:fldCharType="separate"/>
            </w:r>
            <w:r w:rsidR="00E01ED8">
              <w:rPr>
                <w:noProof/>
                <w:webHidden/>
              </w:rPr>
              <w:t>31</w:t>
            </w:r>
            <w:r w:rsidR="004904BF">
              <w:rPr>
                <w:noProof/>
                <w:webHidden/>
              </w:rPr>
              <w:fldChar w:fldCharType="end"/>
            </w:r>
          </w:hyperlink>
        </w:p>
        <w:p w14:paraId="1E5DAFF7" w14:textId="42B649D3" w:rsidR="004904BF" w:rsidRDefault="00000000">
          <w:pPr>
            <w:pStyle w:val="TOC2"/>
            <w:tabs>
              <w:tab w:val="left" w:pos="880"/>
              <w:tab w:val="right" w:leader="dot" w:pos="10082"/>
            </w:tabs>
            <w:rPr>
              <w:rFonts w:asciiTheme="minorHAnsi" w:eastAsiaTheme="minorEastAsia" w:hAnsiTheme="minorHAnsi" w:cstheme="minorBidi"/>
              <w:lang w:eastAsia="en-AU"/>
            </w:rPr>
          </w:pPr>
          <w:hyperlink w:anchor="_Toc133416942" w:history="1">
            <w:r w:rsidR="004904BF" w:rsidRPr="00030402">
              <w:rPr>
                <w:rStyle w:val="Hyperlink"/>
              </w:rPr>
              <w:t>3.1</w:t>
            </w:r>
            <w:r w:rsidR="004904BF">
              <w:rPr>
                <w:rFonts w:asciiTheme="minorHAnsi" w:eastAsiaTheme="minorEastAsia" w:hAnsiTheme="minorHAnsi" w:cstheme="minorBidi"/>
                <w:lang w:eastAsia="en-AU"/>
              </w:rPr>
              <w:tab/>
            </w:r>
            <w:r w:rsidR="004904BF" w:rsidRPr="00030402">
              <w:rPr>
                <w:rStyle w:val="Hyperlink"/>
              </w:rPr>
              <w:t>Environment</w:t>
            </w:r>
            <w:r w:rsidR="004904BF">
              <w:rPr>
                <w:webHidden/>
              </w:rPr>
              <w:tab/>
            </w:r>
            <w:r w:rsidR="004904BF">
              <w:rPr>
                <w:webHidden/>
              </w:rPr>
              <w:fldChar w:fldCharType="begin"/>
            </w:r>
            <w:r w:rsidR="004904BF">
              <w:rPr>
                <w:webHidden/>
              </w:rPr>
              <w:instrText xml:space="preserve"> PAGEREF _Toc133416942 \h </w:instrText>
            </w:r>
            <w:r w:rsidR="004904BF">
              <w:rPr>
                <w:webHidden/>
              </w:rPr>
            </w:r>
            <w:r w:rsidR="004904BF">
              <w:rPr>
                <w:webHidden/>
              </w:rPr>
              <w:fldChar w:fldCharType="separate"/>
            </w:r>
            <w:r w:rsidR="00E01ED8">
              <w:rPr>
                <w:webHidden/>
              </w:rPr>
              <w:t>31</w:t>
            </w:r>
            <w:r w:rsidR="004904BF">
              <w:rPr>
                <w:webHidden/>
              </w:rPr>
              <w:fldChar w:fldCharType="end"/>
            </w:r>
          </w:hyperlink>
        </w:p>
        <w:p w14:paraId="0B34493C" w14:textId="0F7F7C35" w:rsidR="004904BF" w:rsidRDefault="00000000">
          <w:pPr>
            <w:pStyle w:val="TOC2"/>
            <w:tabs>
              <w:tab w:val="left" w:pos="880"/>
              <w:tab w:val="right" w:leader="dot" w:pos="10082"/>
            </w:tabs>
            <w:rPr>
              <w:rFonts w:asciiTheme="minorHAnsi" w:eastAsiaTheme="minorEastAsia" w:hAnsiTheme="minorHAnsi" w:cstheme="minorBidi"/>
              <w:lang w:eastAsia="en-AU"/>
            </w:rPr>
          </w:pPr>
          <w:hyperlink w:anchor="_Toc133416943" w:history="1">
            <w:r w:rsidR="004904BF" w:rsidRPr="00030402">
              <w:rPr>
                <w:rStyle w:val="Hyperlink"/>
              </w:rPr>
              <w:t>3.2</w:t>
            </w:r>
            <w:r w:rsidR="004904BF">
              <w:rPr>
                <w:rFonts w:asciiTheme="minorHAnsi" w:eastAsiaTheme="minorEastAsia" w:hAnsiTheme="minorHAnsi" w:cstheme="minorBidi"/>
                <w:lang w:eastAsia="en-AU"/>
              </w:rPr>
              <w:tab/>
            </w:r>
            <w:r w:rsidR="004904BF" w:rsidRPr="00030402">
              <w:rPr>
                <w:rStyle w:val="Hyperlink"/>
              </w:rPr>
              <w:t>Capability</w:t>
            </w:r>
            <w:r w:rsidR="004904BF">
              <w:rPr>
                <w:webHidden/>
              </w:rPr>
              <w:tab/>
            </w:r>
            <w:r w:rsidR="004904BF">
              <w:rPr>
                <w:webHidden/>
              </w:rPr>
              <w:fldChar w:fldCharType="begin"/>
            </w:r>
            <w:r w:rsidR="004904BF">
              <w:rPr>
                <w:webHidden/>
              </w:rPr>
              <w:instrText xml:space="preserve"> PAGEREF _Toc133416943 \h </w:instrText>
            </w:r>
            <w:r w:rsidR="004904BF">
              <w:rPr>
                <w:webHidden/>
              </w:rPr>
            </w:r>
            <w:r w:rsidR="004904BF">
              <w:rPr>
                <w:webHidden/>
              </w:rPr>
              <w:fldChar w:fldCharType="separate"/>
            </w:r>
            <w:r w:rsidR="00E01ED8">
              <w:rPr>
                <w:webHidden/>
              </w:rPr>
              <w:t>31</w:t>
            </w:r>
            <w:r w:rsidR="004904BF">
              <w:rPr>
                <w:webHidden/>
              </w:rPr>
              <w:fldChar w:fldCharType="end"/>
            </w:r>
          </w:hyperlink>
        </w:p>
        <w:p w14:paraId="6FEA469B" w14:textId="194F08E5" w:rsidR="004904BF" w:rsidRDefault="00000000">
          <w:pPr>
            <w:pStyle w:val="TOC2"/>
            <w:tabs>
              <w:tab w:val="left" w:pos="880"/>
              <w:tab w:val="right" w:leader="dot" w:pos="10082"/>
            </w:tabs>
            <w:rPr>
              <w:rFonts w:asciiTheme="minorHAnsi" w:eastAsiaTheme="minorEastAsia" w:hAnsiTheme="minorHAnsi" w:cstheme="minorBidi"/>
              <w:lang w:eastAsia="en-AU"/>
            </w:rPr>
          </w:pPr>
          <w:hyperlink w:anchor="_Toc133416944" w:history="1">
            <w:r w:rsidR="004904BF" w:rsidRPr="00030402">
              <w:rPr>
                <w:rStyle w:val="Hyperlink"/>
              </w:rPr>
              <w:t>3.3</w:t>
            </w:r>
            <w:r w:rsidR="004904BF">
              <w:rPr>
                <w:rFonts w:asciiTheme="minorHAnsi" w:eastAsiaTheme="minorEastAsia" w:hAnsiTheme="minorHAnsi" w:cstheme="minorBidi"/>
                <w:lang w:eastAsia="en-AU"/>
              </w:rPr>
              <w:tab/>
            </w:r>
            <w:r w:rsidR="004904BF" w:rsidRPr="00030402">
              <w:rPr>
                <w:rStyle w:val="Hyperlink"/>
              </w:rPr>
              <w:t>Cooperation and collaboration</w:t>
            </w:r>
            <w:r w:rsidR="004904BF">
              <w:rPr>
                <w:webHidden/>
              </w:rPr>
              <w:tab/>
            </w:r>
            <w:r w:rsidR="004904BF">
              <w:rPr>
                <w:webHidden/>
              </w:rPr>
              <w:fldChar w:fldCharType="begin"/>
            </w:r>
            <w:r w:rsidR="004904BF">
              <w:rPr>
                <w:webHidden/>
              </w:rPr>
              <w:instrText xml:space="preserve"> PAGEREF _Toc133416944 \h </w:instrText>
            </w:r>
            <w:r w:rsidR="004904BF">
              <w:rPr>
                <w:webHidden/>
              </w:rPr>
            </w:r>
            <w:r w:rsidR="004904BF">
              <w:rPr>
                <w:webHidden/>
              </w:rPr>
              <w:fldChar w:fldCharType="separate"/>
            </w:r>
            <w:r w:rsidR="00E01ED8">
              <w:rPr>
                <w:webHidden/>
              </w:rPr>
              <w:t>32</w:t>
            </w:r>
            <w:r w:rsidR="004904BF">
              <w:rPr>
                <w:webHidden/>
              </w:rPr>
              <w:fldChar w:fldCharType="end"/>
            </w:r>
          </w:hyperlink>
        </w:p>
        <w:p w14:paraId="09A390EA" w14:textId="33647642" w:rsidR="004904BF" w:rsidRDefault="00000000">
          <w:pPr>
            <w:pStyle w:val="TOC2"/>
            <w:tabs>
              <w:tab w:val="left" w:pos="880"/>
              <w:tab w:val="right" w:leader="dot" w:pos="10082"/>
            </w:tabs>
            <w:rPr>
              <w:rFonts w:asciiTheme="minorHAnsi" w:eastAsiaTheme="minorEastAsia" w:hAnsiTheme="minorHAnsi" w:cstheme="minorBidi"/>
              <w:lang w:eastAsia="en-AU"/>
            </w:rPr>
          </w:pPr>
          <w:hyperlink w:anchor="_Toc133416945" w:history="1">
            <w:r w:rsidR="004904BF" w:rsidRPr="00030402">
              <w:rPr>
                <w:rStyle w:val="Hyperlink"/>
              </w:rPr>
              <w:t>3.4</w:t>
            </w:r>
            <w:r w:rsidR="004904BF">
              <w:rPr>
                <w:rFonts w:asciiTheme="minorHAnsi" w:eastAsiaTheme="minorEastAsia" w:hAnsiTheme="minorHAnsi" w:cstheme="minorBidi"/>
                <w:lang w:eastAsia="en-AU"/>
              </w:rPr>
              <w:tab/>
            </w:r>
            <w:r w:rsidR="004904BF" w:rsidRPr="00030402">
              <w:rPr>
                <w:rStyle w:val="Hyperlink"/>
              </w:rPr>
              <w:t>Enterprise risk</w:t>
            </w:r>
            <w:r w:rsidR="004904BF">
              <w:rPr>
                <w:webHidden/>
              </w:rPr>
              <w:tab/>
            </w:r>
            <w:r w:rsidR="004904BF">
              <w:rPr>
                <w:webHidden/>
              </w:rPr>
              <w:fldChar w:fldCharType="begin"/>
            </w:r>
            <w:r w:rsidR="004904BF">
              <w:rPr>
                <w:webHidden/>
              </w:rPr>
              <w:instrText xml:space="preserve"> PAGEREF _Toc133416945 \h </w:instrText>
            </w:r>
            <w:r w:rsidR="004904BF">
              <w:rPr>
                <w:webHidden/>
              </w:rPr>
            </w:r>
            <w:r w:rsidR="004904BF">
              <w:rPr>
                <w:webHidden/>
              </w:rPr>
              <w:fldChar w:fldCharType="separate"/>
            </w:r>
            <w:r w:rsidR="00E01ED8">
              <w:rPr>
                <w:webHidden/>
              </w:rPr>
              <w:t>32</w:t>
            </w:r>
            <w:r w:rsidR="004904BF">
              <w:rPr>
                <w:webHidden/>
              </w:rPr>
              <w:fldChar w:fldCharType="end"/>
            </w:r>
          </w:hyperlink>
        </w:p>
        <w:p w14:paraId="62FB03FF" w14:textId="09849EE8" w:rsidR="004904BF" w:rsidRDefault="00000000">
          <w:pPr>
            <w:pStyle w:val="TOC2"/>
            <w:tabs>
              <w:tab w:val="left" w:pos="880"/>
              <w:tab w:val="right" w:leader="dot" w:pos="10082"/>
            </w:tabs>
            <w:rPr>
              <w:rFonts w:asciiTheme="minorHAnsi" w:eastAsiaTheme="minorEastAsia" w:hAnsiTheme="minorHAnsi" w:cstheme="minorBidi"/>
              <w:lang w:eastAsia="en-AU"/>
            </w:rPr>
          </w:pPr>
          <w:hyperlink w:anchor="_Toc133416946" w:history="1">
            <w:r w:rsidR="004904BF" w:rsidRPr="00030402">
              <w:rPr>
                <w:rStyle w:val="Hyperlink"/>
              </w:rPr>
              <w:t>3.5</w:t>
            </w:r>
            <w:r w:rsidR="004904BF">
              <w:rPr>
                <w:rFonts w:asciiTheme="minorHAnsi" w:eastAsiaTheme="minorEastAsia" w:hAnsiTheme="minorHAnsi" w:cstheme="minorBidi"/>
                <w:lang w:eastAsia="en-AU"/>
              </w:rPr>
              <w:tab/>
            </w:r>
            <w:r w:rsidR="004904BF" w:rsidRPr="00030402">
              <w:rPr>
                <w:rStyle w:val="Hyperlink"/>
              </w:rPr>
              <w:t>Performance measures</w:t>
            </w:r>
            <w:r w:rsidR="004904BF">
              <w:rPr>
                <w:webHidden/>
              </w:rPr>
              <w:tab/>
            </w:r>
            <w:r w:rsidR="004904BF">
              <w:rPr>
                <w:webHidden/>
              </w:rPr>
              <w:fldChar w:fldCharType="begin"/>
            </w:r>
            <w:r w:rsidR="004904BF">
              <w:rPr>
                <w:webHidden/>
              </w:rPr>
              <w:instrText xml:space="preserve"> PAGEREF _Toc133416946 \h </w:instrText>
            </w:r>
            <w:r w:rsidR="004904BF">
              <w:rPr>
                <w:webHidden/>
              </w:rPr>
            </w:r>
            <w:r w:rsidR="004904BF">
              <w:rPr>
                <w:webHidden/>
              </w:rPr>
              <w:fldChar w:fldCharType="separate"/>
            </w:r>
            <w:r w:rsidR="00E01ED8">
              <w:rPr>
                <w:webHidden/>
              </w:rPr>
              <w:t>35</w:t>
            </w:r>
            <w:r w:rsidR="004904BF">
              <w:rPr>
                <w:webHidden/>
              </w:rPr>
              <w:fldChar w:fldCharType="end"/>
            </w:r>
          </w:hyperlink>
        </w:p>
        <w:p w14:paraId="1A559381" w14:textId="69FE3518" w:rsidR="00AD75B9" w:rsidRPr="00AC04B2" w:rsidRDefault="004763FD" w:rsidP="00F33F85">
          <w:pPr>
            <w:pStyle w:val="TOC1"/>
            <w:tabs>
              <w:tab w:val="right" w:pos="9072"/>
            </w:tabs>
            <w:ind w:left="142"/>
            <w:rPr>
              <w:b w:val="0"/>
            </w:rPr>
          </w:pPr>
          <w:r w:rsidRPr="00AC04B2">
            <w:rPr>
              <w:rFonts w:asciiTheme="minorHAnsi" w:hAnsiTheme="minorHAnsi"/>
              <w:b w:val="0"/>
              <w:color w:val="15272F" w:themeColor="text1"/>
              <w:sz w:val="21"/>
              <w:szCs w:val="21"/>
            </w:rPr>
            <w:fldChar w:fldCharType="end"/>
          </w:r>
        </w:p>
      </w:sdtContent>
    </w:sdt>
    <w:p w14:paraId="52184234" w14:textId="77777777" w:rsidR="009F09C6" w:rsidRPr="00AC04B2" w:rsidRDefault="009F09C6" w:rsidP="00631851"/>
    <w:p w14:paraId="07B09EF5" w14:textId="77777777" w:rsidR="009F09C6" w:rsidRPr="00AC04B2" w:rsidRDefault="009F09C6" w:rsidP="00473722">
      <w:pPr>
        <w:ind w:right="510"/>
        <w:sectPr w:rsidR="009F09C6" w:rsidRPr="00AC04B2" w:rsidSect="008A637B">
          <w:headerReference w:type="even" r:id="rId22"/>
          <w:headerReference w:type="default" r:id="rId23"/>
          <w:headerReference w:type="first" r:id="rId24"/>
          <w:pgSz w:w="11906" w:h="16838" w:code="9"/>
          <w:pgMar w:top="907" w:right="907" w:bottom="1797" w:left="907" w:header="709" w:footer="709" w:gutter="0"/>
          <w:cols w:space="708"/>
          <w:titlePg/>
          <w:docGrid w:linePitch="360"/>
        </w:sectPr>
      </w:pPr>
    </w:p>
    <w:p w14:paraId="73D1FC39" w14:textId="41B645B6" w:rsidR="00C663C3" w:rsidRPr="002F7355" w:rsidRDefault="00C663C3" w:rsidP="00F00D91">
      <w:pPr>
        <w:pStyle w:val="Body"/>
      </w:pPr>
      <w:bookmarkStart w:id="9" w:name="_Toc55044570"/>
      <w:r w:rsidRPr="002F7355">
        <w:lastRenderedPageBreak/>
        <w:t xml:space="preserve">I am pleased to present the Independent </w:t>
      </w:r>
      <w:r w:rsidR="002F06AC" w:rsidRPr="002F7355">
        <w:t xml:space="preserve">Health and Aged Care </w:t>
      </w:r>
      <w:r w:rsidRPr="002F7355">
        <w:t>Pricing Authority's Work Program and Corporate Plan 202</w:t>
      </w:r>
      <w:r w:rsidR="00BE4E17">
        <w:t>4</w:t>
      </w:r>
      <w:r w:rsidRPr="002F7355">
        <w:t>–2</w:t>
      </w:r>
      <w:r w:rsidR="00BE4E17">
        <w:t>5</w:t>
      </w:r>
      <w:r w:rsidRPr="002F7355">
        <w:t xml:space="preserve"> for the reporting periods </w:t>
      </w:r>
      <w:r w:rsidR="005331A6" w:rsidRPr="002F7355">
        <w:t>202</w:t>
      </w:r>
      <w:r w:rsidR="00BE4E17">
        <w:t>4</w:t>
      </w:r>
      <w:r w:rsidR="005331A6" w:rsidRPr="002F7355">
        <w:t>–2</w:t>
      </w:r>
      <w:r w:rsidR="00BE4E17">
        <w:t>5</w:t>
      </w:r>
      <w:r w:rsidR="005331A6" w:rsidRPr="002F7355">
        <w:t xml:space="preserve"> to 202</w:t>
      </w:r>
      <w:r w:rsidR="00CE1E23">
        <w:t>6</w:t>
      </w:r>
      <w:r w:rsidR="005331A6" w:rsidRPr="002F7355">
        <w:t>–2</w:t>
      </w:r>
      <w:r w:rsidR="00CF67D9">
        <w:t>7</w:t>
      </w:r>
      <w:r w:rsidRPr="002F7355">
        <w:t>.</w:t>
      </w:r>
    </w:p>
    <w:p w14:paraId="258D6183" w14:textId="24088EF8" w:rsidR="002C292F" w:rsidRPr="002F7355" w:rsidRDefault="002D411B" w:rsidP="00F00D91">
      <w:pPr>
        <w:pStyle w:val="Body"/>
      </w:pPr>
      <w:r w:rsidRPr="002F7355">
        <w:t xml:space="preserve">The Independent </w:t>
      </w:r>
      <w:r w:rsidR="00B979CE">
        <w:t>Health and Aged Care</w:t>
      </w:r>
      <w:r w:rsidR="00B979CE" w:rsidRPr="002F7355">
        <w:t xml:space="preserve"> </w:t>
      </w:r>
      <w:r w:rsidRPr="002F7355">
        <w:t xml:space="preserve">Pricing Authority </w:t>
      </w:r>
      <w:r w:rsidR="00CF67D9">
        <w:t>is an independent government agency</w:t>
      </w:r>
      <w:r w:rsidR="00CF67D9" w:rsidRPr="002F7355">
        <w:t xml:space="preserve"> </w:t>
      </w:r>
      <w:r w:rsidRPr="002F7355">
        <w:t xml:space="preserve">established under the </w:t>
      </w:r>
      <w:r w:rsidRPr="002F7355">
        <w:rPr>
          <w:i/>
          <w:iCs/>
        </w:rPr>
        <w:t>National Health Reform Act</w:t>
      </w:r>
      <w:r w:rsidR="00DE58CB" w:rsidRPr="002F7355">
        <w:rPr>
          <w:i/>
          <w:iCs/>
        </w:rPr>
        <w:t> </w:t>
      </w:r>
      <w:r w:rsidRPr="002F7355">
        <w:rPr>
          <w:i/>
          <w:iCs/>
        </w:rPr>
        <w:t>2011</w:t>
      </w:r>
      <w:r w:rsidRPr="002F7355">
        <w:t xml:space="preserve"> to implement national activity based funding for public hospital </w:t>
      </w:r>
      <w:r w:rsidR="00F5743B">
        <w:t xml:space="preserve">services </w:t>
      </w:r>
      <w:r w:rsidR="00AE0D55">
        <w:t xml:space="preserve">and </w:t>
      </w:r>
      <w:r w:rsidR="007B6B7B">
        <w:t xml:space="preserve">provide costing and pricing advice </w:t>
      </w:r>
      <w:r w:rsidR="0051173F">
        <w:t xml:space="preserve">for </w:t>
      </w:r>
      <w:r w:rsidR="00AE0D55">
        <w:t xml:space="preserve">aged care </w:t>
      </w:r>
      <w:r w:rsidRPr="002F7355">
        <w:t>services</w:t>
      </w:r>
      <w:r w:rsidR="00FD7866">
        <w:t xml:space="preserve"> </w:t>
      </w:r>
      <w:r w:rsidR="000C1262">
        <w:t>to</w:t>
      </w:r>
      <w:r w:rsidR="00FD7866">
        <w:t xml:space="preserve"> promote efficiency and transparency in the delivery</w:t>
      </w:r>
      <w:r w:rsidR="000A2617">
        <w:t xml:space="preserve"> and funding of public health and aged care services across Australia</w:t>
      </w:r>
      <w:r w:rsidRPr="002F7355">
        <w:t>.</w:t>
      </w:r>
    </w:p>
    <w:p w14:paraId="3AE80B53" w14:textId="4219F9E5" w:rsidR="002D411B" w:rsidRPr="002F7355" w:rsidRDefault="00F5743B" w:rsidP="00F00D91">
      <w:pPr>
        <w:pStyle w:val="Body"/>
      </w:pPr>
      <w:r>
        <w:t>Each year, t</w:t>
      </w:r>
      <w:r w:rsidR="003C639A" w:rsidRPr="002F7355">
        <w:t xml:space="preserve">he Independent </w:t>
      </w:r>
      <w:r w:rsidR="002F06AC" w:rsidRPr="002F7355">
        <w:t xml:space="preserve">Health and Aged Care </w:t>
      </w:r>
      <w:r w:rsidR="003C639A" w:rsidRPr="002F7355">
        <w:t>Pricing Authority delivers a national efficient price for activity based funding for public hospital services and a national efficient cost for block</w:t>
      </w:r>
      <w:r w:rsidR="003007BE" w:rsidRPr="002F7355">
        <w:t>-</w:t>
      </w:r>
      <w:r w:rsidR="003C639A" w:rsidRPr="002F7355">
        <w:t>funded public hospital services</w:t>
      </w:r>
      <w:r>
        <w:t xml:space="preserve">, </w:t>
      </w:r>
      <w:r w:rsidRPr="009109EA">
        <w:t>underpinned by nationally consistent costing, data collection and classification systems</w:t>
      </w:r>
      <w:r w:rsidR="00DD142D" w:rsidRPr="009109EA">
        <w:t xml:space="preserve">. </w:t>
      </w:r>
      <w:r w:rsidR="005C178A" w:rsidRPr="009109EA">
        <w:t>We</w:t>
      </w:r>
      <w:r w:rsidR="005C178A" w:rsidRPr="009109EA">
        <w:rPr>
          <w:bCs/>
        </w:rPr>
        <w:t xml:space="preserve"> </w:t>
      </w:r>
      <w:r w:rsidRPr="009109EA">
        <w:rPr>
          <w:bCs/>
        </w:rPr>
        <w:t>also</w:t>
      </w:r>
      <w:r w:rsidR="0051173F" w:rsidRPr="009109EA">
        <w:rPr>
          <w:bCs/>
        </w:rPr>
        <w:t xml:space="preserve"> </w:t>
      </w:r>
      <w:r w:rsidR="00561DC0" w:rsidRPr="009109EA">
        <w:t xml:space="preserve">develop </w:t>
      </w:r>
      <w:r w:rsidR="004763FD" w:rsidRPr="009109EA">
        <w:t>aged care pricing advice on methods for calculating amounts of subsidies to be paid for residential aged care</w:t>
      </w:r>
      <w:r w:rsidR="0051173F" w:rsidRPr="009109EA">
        <w:t xml:space="preserve"> and</w:t>
      </w:r>
      <w:r w:rsidR="004763FD" w:rsidRPr="009109EA">
        <w:t xml:space="preserve"> residential respite care</w:t>
      </w:r>
      <w:r w:rsidR="0051173F" w:rsidRPr="009109EA">
        <w:t>, and from 1 July 2025 will also provide annual pricing advice on the Support at Home Program</w:t>
      </w:r>
      <w:r w:rsidR="00216DE6" w:rsidRPr="009109EA">
        <w:t>.</w:t>
      </w:r>
    </w:p>
    <w:p w14:paraId="7990A98E" w14:textId="37839294" w:rsidR="002D411B" w:rsidRPr="002F7355" w:rsidRDefault="003C639A" w:rsidP="00F00D91">
      <w:pPr>
        <w:pStyle w:val="Body"/>
      </w:pPr>
      <w:r w:rsidRPr="002F7355">
        <w:t>The Work P</w:t>
      </w:r>
      <w:r w:rsidR="009204DC" w:rsidRPr="002F7355">
        <w:t>rogram and Corporate Plan 202</w:t>
      </w:r>
      <w:r w:rsidR="00561DC0">
        <w:t>4</w:t>
      </w:r>
      <w:r w:rsidR="00DE58CB" w:rsidRPr="002F7355">
        <w:t>–</w:t>
      </w:r>
      <w:r w:rsidR="009204DC" w:rsidRPr="002F7355">
        <w:t>2</w:t>
      </w:r>
      <w:r w:rsidR="004D2C19">
        <w:t>5</w:t>
      </w:r>
      <w:r w:rsidR="009204DC" w:rsidRPr="002F7355">
        <w:t xml:space="preserve"> strengthens the alignment between its purpose, strategic objectives and key activities. Through the Work Program and Corporate Plan 202</w:t>
      </w:r>
      <w:r w:rsidR="004D2C19">
        <w:t>4</w:t>
      </w:r>
      <w:r w:rsidR="00DE58CB" w:rsidRPr="002F7355">
        <w:t>–</w:t>
      </w:r>
      <w:r w:rsidR="009204DC" w:rsidRPr="002F7355">
        <w:t>2</w:t>
      </w:r>
      <w:r w:rsidR="004D2C19">
        <w:t>5</w:t>
      </w:r>
      <w:r w:rsidR="009204DC" w:rsidRPr="002F7355">
        <w:t>, the</w:t>
      </w:r>
      <w:r w:rsidR="0032169B" w:rsidRPr="002F7355">
        <w:t> </w:t>
      </w:r>
      <w:r w:rsidR="009204DC" w:rsidRPr="002F7355">
        <w:t xml:space="preserve">Independent </w:t>
      </w:r>
      <w:r w:rsidR="002F06AC" w:rsidRPr="002F7355">
        <w:t xml:space="preserve">Health and Aged Care </w:t>
      </w:r>
      <w:r w:rsidR="009204DC" w:rsidRPr="002F7355">
        <w:t xml:space="preserve">Pricing Authority aims to reflect </w:t>
      </w:r>
      <w:r w:rsidR="005C178A">
        <w:t>our</w:t>
      </w:r>
      <w:r w:rsidR="005C178A" w:rsidRPr="002F7355">
        <w:t xml:space="preserve"> </w:t>
      </w:r>
      <w:r w:rsidR="009204DC" w:rsidRPr="002F7355">
        <w:t xml:space="preserve">accountability more clearly and comprehensively to the </w:t>
      </w:r>
      <w:r w:rsidR="005C178A">
        <w:t>Australian</w:t>
      </w:r>
      <w:r w:rsidR="005C178A" w:rsidRPr="002F7355">
        <w:t xml:space="preserve"> </w:t>
      </w:r>
      <w:r w:rsidR="009204DC" w:rsidRPr="002F7355">
        <w:t>Government, the states and territories, broader stakeholders and the Australian public.</w:t>
      </w:r>
      <w:r w:rsidR="002D411B" w:rsidRPr="002F7355">
        <w:t xml:space="preserve"> </w:t>
      </w:r>
    </w:p>
    <w:p w14:paraId="5D50235B" w14:textId="66694547" w:rsidR="00C0134D" w:rsidRPr="002F7355" w:rsidRDefault="00C0134D" w:rsidP="00F00D91">
      <w:pPr>
        <w:pStyle w:val="Body"/>
      </w:pPr>
    </w:p>
    <w:p w14:paraId="6F93B238" w14:textId="77777777" w:rsidR="00C0134D" w:rsidRPr="002F7355" w:rsidRDefault="00C0134D" w:rsidP="00F00D91">
      <w:pPr>
        <w:pStyle w:val="Body"/>
      </w:pPr>
    </w:p>
    <w:p w14:paraId="21F8F116" w14:textId="083BA364" w:rsidR="002D411B" w:rsidRPr="002F7355" w:rsidRDefault="00F14C55" w:rsidP="00F00D91">
      <w:pPr>
        <w:pStyle w:val="Body"/>
      </w:pPr>
      <w:r w:rsidRPr="002F7355">
        <w:t>Prof</w:t>
      </w:r>
      <w:r w:rsidR="00101AB8" w:rsidRPr="002F7355">
        <w:t>essor</w:t>
      </w:r>
      <w:r w:rsidRPr="002F7355">
        <w:t xml:space="preserve"> </w:t>
      </w:r>
      <w:r w:rsidR="00BA70FD" w:rsidRPr="002F7355">
        <w:t>Michael Pervan</w:t>
      </w:r>
    </w:p>
    <w:p w14:paraId="30A3E6E3" w14:textId="60849D46" w:rsidR="00A04C9D" w:rsidRPr="002F7355" w:rsidRDefault="002D411B" w:rsidP="00F00D91">
      <w:pPr>
        <w:pStyle w:val="Body"/>
      </w:pPr>
      <w:r w:rsidRPr="002F7355">
        <w:t xml:space="preserve">Chief Executive Officer, Independent </w:t>
      </w:r>
      <w:r w:rsidR="002F06AC" w:rsidRPr="002F7355">
        <w:t xml:space="preserve">Health and Aged Care </w:t>
      </w:r>
      <w:r w:rsidRPr="002F7355">
        <w:t>Pricing Authority</w:t>
      </w:r>
      <w:r w:rsidRPr="002F7355">
        <w:br/>
        <w:t>Accountable Authority</w:t>
      </w:r>
    </w:p>
    <w:p w14:paraId="6B35F79B" w14:textId="77777777" w:rsidR="00A47820" w:rsidRPr="00F373CC" w:rsidRDefault="00C75448">
      <w:pPr>
        <w:rPr>
          <w:rFonts w:ascii="Arial" w:eastAsia="Calibri" w:hAnsi="Arial" w:cs="Arial"/>
          <w:shd w:val="clear" w:color="auto" w:fill="FFFFFF"/>
        </w:rPr>
        <w:sectPr w:rsidR="00A47820" w:rsidRPr="00F373CC" w:rsidSect="006F42D5">
          <w:headerReference w:type="even" r:id="rId25"/>
          <w:headerReference w:type="default" r:id="rId26"/>
          <w:headerReference w:type="first" r:id="rId27"/>
          <w:pgSz w:w="11906" w:h="16838" w:code="9"/>
          <w:pgMar w:top="907" w:right="907" w:bottom="907" w:left="907" w:header="709" w:footer="709" w:gutter="0"/>
          <w:cols w:space="708"/>
          <w:vAlign w:val="center"/>
          <w:titlePg/>
          <w:docGrid w:linePitch="360"/>
        </w:sectPr>
      </w:pPr>
      <w:r w:rsidRPr="00F373CC">
        <w:rPr>
          <w:rFonts w:ascii="Arial" w:eastAsia="Calibri" w:hAnsi="Arial" w:cs="Arial"/>
          <w:shd w:val="clear" w:color="auto" w:fill="FFFFFF"/>
        </w:rPr>
        <w:br w:type="page"/>
      </w:r>
    </w:p>
    <w:p w14:paraId="1DCEDD38" w14:textId="11068F5E" w:rsidR="009F09C6" w:rsidRPr="00AC04B2" w:rsidRDefault="00631851" w:rsidP="000F3E16">
      <w:pPr>
        <w:pStyle w:val="TOCHeading"/>
        <w:spacing w:after="560"/>
        <w:ind w:right="453"/>
        <w:rPr>
          <w:color w:val="auto"/>
          <w:sz w:val="56"/>
          <w:szCs w:val="56"/>
        </w:rPr>
      </w:pPr>
      <w:bookmarkStart w:id="10" w:name="_Toc133416930"/>
      <w:r w:rsidRPr="00AC04B2">
        <w:rPr>
          <w:color w:val="auto"/>
          <w:sz w:val="56"/>
          <w:szCs w:val="56"/>
        </w:rPr>
        <w:lastRenderedPageBreak/>
        <w:t>Abbreviations and</w:t>
      </w:r>
      <w:r w:rsidR="00BE509C" w:rsidRPr="00AC04B2">
        <w:rPr>
          <w:color w:val="auto"/>
          <w:sz w:val="56"/>
          <w:szCs w:val="56"/>
        </w:rPr>
        <w:t> </w:t>
      </w:r>
      <w:r w:rsidRPr="00AC04B2">
        <w:rPr>
          <w:color w:val="auto"/>
          <w:sz w:val="56"/>
          <w:szCs w:val="56"/>
        </w:rPr>
        <w:t>acronyms</w:t>
      </w:r>
      <w:bookmarkEnd w:id="9"/>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388"/>
      </w:tblGrid>
      <w:tr w:rsidR="00FF0E74" w:rsidRPr="00F373CC" w14:paraId="69D9AB09" w14:textId="77777777" w:rsidTr="00FF0E74">
        <w:tc>
          <w:tcPr>
            <w:tcW w:w="2694" w:type="dxa"/>
          </w:tcPr>
          <w:p w14:paraId="0753F5B5" w14:textId="4046A2FF" w:rsidR="00FF0E74" w:rsidRPr="00F00D91" w:rsidRDefault="00FF0E74" w:rsidP="000F3E16">
            <w:pPr>
              <w:spacing w:after="140"/>
              <w:rPr>
                <w:rFonts w:ascii="Arial" w:hAnsi="Arial" w:cs="Arial"/>
                <w:sz w:val="20"/>
                <w:szCs w:val="20"/>
              </w:rPr>
            </w:pPr>
            <w:r w:rsidRPr="00F00D91">
              <w:rPr>
                <w:rFonts w:ascii="Arial" w:hAnsi="Arial" w:cs="Arial"/>
                <w:b/>
                <w:sz w:val="20"/>
                <w:szCs w:val="20"/>
              </w:rPr>
              <w:t>ABF</w:t>
            </w:r>
          </w:p>
        </w:tc>
        <w:tc>
          <w:tcPr>
            <w:tcW w:w="7388" w:type="dxa"/>
          </w:tcPr>
          <w:p w14:paraId="3B05D56E" w14:textId="475AB9C7" w:rsidR="00FF0E74" w:rsidRPr="00F00D91" w:rsidRDefault="00FF0E74" w:rsidP="000F3E16">
            <w:pPr>
              <w:spacing w:after="140"/>
              <w:rPr>
                <w:rFonts w:ascii="Arial" w:hAnsi="Arial" w:cs="Arial"/>
                <w:sz w:val="20"/>
                <w:szCs w:val="20"/>
              </w:rPr>
            </w:pPr>
            <w:r w:rsidRPr="00F00D91">
              <w:rPr>
                <w:rFonts w:ascii="Arial" w:hAnsi="Arial" w:cs="Arial"/>
                <w:sz w:val="20"/>
                <w:szCs w:val="20"/>
              </w:rPr>
              <w:t>Activity based funding</w:t>
            </w:r>
          </w:p>
        </w:tc>
      </w:tr>
      <w:tr w:rsidR="00FF0E74" w:rsidRPr="00F373CC" w14:paraId="3F67C5C5" w14:textId="77777777" w:rsidTr="00FF0E74">
        <w:tc>
          <w:tcPr>
            <w:tcW w:w="2694" w:type="dxa"/>
          </w:tcPr>
          <w:p w14:paraId="5E835C72" w14:textId="58A8BD60" w:rsidR="00FF0E74" w:rsidRPr="00F00D91" w:rsidRDefault="00FF0E74" w:rsidP="000F3E16">
            <w:pPr>
              <w:spacing w:after="140"/>
              <w:rPr>
                <w:rFonts w:ascii="Arial" w:hAnsi="Arial" w:cs="Arial"/>
                <w:sz w:val="20"/>
                <w:szCs w:val="20"/>
              </w:rPr>
            </w:pPr>
            <w:r w:rsidRPr="00F00D91">
              <w:rPr>
                <w:rFonts w:ascii="Arial" w:hAnsi="Arial" w:cs="Arial"/>
                <w:b/>
                <w:sz w:val="20"/>
                <w:szCs w:val="20"/>
              </w:rPr>
              <w:t>ACHI</w:t>
            </w:r>
          </w:p>
        </w:tc>
        <w:tc>
          <w:tcPr>
            <w:tcW w:w="7388" w:type="dxa"/>
          </w:tcPr>
          <w:p w14:paraId="707E7BFE" w14:textId="66F0BB5E" w:rsidR="00FF0E74" w:rsidRPr="00F00D91" w:rsidRDefault="00FF0E74" w:rsidP="000F3E16">
            <w:pPr>
              <w:spacing w:after="140"/>
              <w:rPr>
                <w:rFonts w:ascii="Arial" w:hAnsi="Arial" w:cs="Arial"/>
                <w:sz w:val="20"/>
                <w:szCs w:val="20"/>
              </w:rPr>
            </w:pPr>
            <w:r w:rsidRPr="00F00D91">
              <w:rPr>
                <w:rFonts w:ascii="Arial" w:hAnsi="Arial" w:cs="Arial"/>
                <w:sz w:val="20"/>
                <w:szCs w:val="20"/>
              </w:rPr>
              <w:t>Australian Classification of Health Interventions</w:t>
            </w:r>
          </w:p>
        </w:tc>
      </w:tr>
      <w:tr w:rsidR="00FF0E74" w:rsidRPr="00F373CC" w14:paraId="2DAA03E8" w14:textId="77777777" w:rsidTr="00FF0E74">
        <w:tc>
          <w:tcPr>
            <w:tcW w:w="2694" w:type="dxa"/>
          </w:tcPr>
          <w:p w14:paraId="0B1AF235" w14:textId="3D2E8F14" w:rsidR="00FF0E74" w:rsidRPr="00F00D91" w:rsidRDefault="00FF0E74" w:rsidP="000F3E16">
            <w:pPr>
              <w:spacing w:after="140"/>
              <w:rPr>
                <w:rFonts w:ascii="Arial" w:hAnsi="Arial" w:cs="Arial"/>
                <w:sz w:val="20"/>
                <w:szCs w:val="20"/>
              </w:rPr>
            </w:pPr>
            <w:r w:rsidRPr="00F00D91">
              <w:rPr>
                <w:rFonts w:ascii="Arial" w:hAnsi="Arial" w:cs="Arial"/>
                <w:b/>
                <w:sz w:val="20"/>
                <w:szCs w:val="20"/>
              </w:rPr>
              <w:t>ACS</w:t>
            </w:r>
          </w:p>
        </w:tc>
        <w:tc>
          <w:tcPr>
            <w:tcW w:w="7388" w:type="dxa"/>
          </w:tcPr>
          <w:p w14:paraId="23CA945A" w14:textId="4545976F" w:rsidR="00FF0E74" w:rsidRPr="00F00D91" w:rsidRDefault="00FF0E74" w:rsidP="000F3E16">
            <w:pPr>
              <w:spacing w:after="140"/>
              <w:rPr>
                <w:rFonts w:ascii="Arial" w:hAnsi="Arial" w:cs="Arial"/>
                <w:sz w:val="20"/>
                <w:szCs w:val="20"/>
              </w:rPr>
            </w:pPr>
            <w:r w:rsidRPr="00F00D91">
              <w:rPr>
                <w:rFonts w:ascii="Arial" w:hAnsi="Arial" w:cs="Arial"/>
                <w:sz w:val="20"/>
                <w:szCs w:val="20"/>
              </w:rPr>
              <w:t>Australian Coding Standards</w:t>
            </w:r>
          </w:p>
        </w:tc>
      </w:tr>
      <w:tr w:rsidR="00FF0E74" w:rsidRPr="00F373CC" w14:paraId="061F2B1F" w14:textId="77777777" w:rsidTr="00FF0E74">
        <w:tc>
          <w:tcPr>
            <w:tcW w:w="2694" w:type="dxa"/>
          </w:tcPr>
          <w:p w14:paraId="6E64B27F" w14:textId="4C83A0EA" w:rsidR="00FF0E74" w:rsidRPr="00F00D91" w:rsidRDefault="00FF0E74" w:rsidP="000F3E16">
            <w:pPr>
              <w:spacing w:after="140"/>
              <w:rPr>
                <w:rFonts w:ascii="Arial" w:hAnsi="Arial" w:cs="Arial"/>
                <w:sz w:val="20"/>
                <w:szCs w:val="20"/>
              </w:rPr>
            </w:pPr>
            <w:r w:rsidRPr="00F00D91">
              <w:rPr>
                <w:rFonts w:ascii="Arial" w:hAnsi="Arial" w:cs="Arial"/>
                <w:b/>
                <w:sz w:val="20"/>
                <w:szCs w:val="20"/>
              </w:rPr>
              <w:t>AECC</w:t>
            </w:r>
          </w:p>
        </w:tc>
        <w:tc>
          <w:tcPr>
            <w:tcW w:w="7388" w:type="dxa"/>
          </w:tcPr>
          <w:p w14:paraId="28209C76" w14:textId="333A1E4D" w:rsidR="00FF0E74" w:rsidRPr="00F00D91" w:rsidRDefault="00FF0E74" w:rsidP="000F3E16">
            <w:pPr>
              <w:spacing w:after="140"/>
              <w:rPr>
                <w:rFonts w:ascii="Arial" w:hAnsi="Arial" w:cs="Arial"/>
                <w:sz w:val="20"/>
                <w:szCs w:val="20"/>
              </w:rPr>
            </w:pPr>
            <w:r w:rsidRPr="00F00D91">
              <w:rPr>
                <w:rFonts w:ascii="Arial" w:hAnsi="Arial" w:cs="Arial"/>
                <w:sz w:val="20"/>
                <w:szCs w:val="20"/>
              </w:rPr>
              <w:t>Australian Emergency Care Classification</w:t>
            </w:r>
          </w:p>
        </w:tc>
      </w:tr>
      <w:tr w:rsidR="00FF0E74" w:rsidRPr="00F373CC" w14:paraId="1CFD9142" w14:textId="77777777" w:rsidTr="00FF0E74">
        <w:tc>
          <w:tcPr>
            <w:tcW w:w="2694" w:type="dxa"/>
          </w:tcPr>
          <w:p w14:paraId="74C5E5FA" w14:textId="26795254" w:rsidR="00FF0E74" w:rsidRPr="00F00D91" w:rsidRDefault="00FF0E74" w:rsidP="000F3E16">
            <w:pPr>
              <w:spacing w:after="140"/>
              <w:rPr>
                <w:rFonts w:ascii="Arial" w:hAnsi="Arial" w:cs="Arial"/>
                <w:sz w:val="20"/>
                <w:szCs w:val="20"/>
              </w:rPr>
            </w:pPr>
            <w:r w:rsidRPr="00F00D91">
              <w:rPr>
                <w:rFonts w:ascii="Arial" w:hAnsi="Arial" w:cs="Arial"/>
                <w:b/>
                <w:sz w:val="20"/>
                <w:szCs w:val="20"/>
              </w:rPr>
              <w:t>AHPCS</w:t>
            </w:r>
          </w:p>
        </w:tc>
        <w:tc>
          <w:tcPr>
            <w:tcW w:w="7388" w:type="dxa"/>
          </w:tcPr>
          <w:p w14:paraId="67149DFB" w14:textId="0C1B1282" w:rsidR="00FF0E74" w:rsidRPr="00F00D91" w:rsidRDefault="00FF0E74" w:rsidP="000F3E16">
            <w:pPr>
              <w:spacing w:after="140"/>
              <w:rPr>
                <w:rFonts w:ascii="Arial" w:hAnsi="Arial" w:cs="Arial"/>
                <w:sz w:val="20"/>
                <w:szCs w:val="20"/>
              </w:rPr>
            </w:pPr>
            <w:r w:rsidRPr="00F00D91">
              <w:rPr>
                <w:rFonts w:ascii="Arial" w:hAnsi="Arial" w:cs="Arial"/>
                <w:sz w:val="20"/>
                <w:szCs w:val="20"/>
              </w:rPr>
              <w:t>Australian Hospital Patient Costing Standards</w:t>
            </w:r>
          </w:p>
        </w:tc>
      </w:tr>
      <w:tr w:rsidR="00FF0E74" w:rsidRPr="00F373CC" w14:paraId="36A77A5B" w14:textId="77777777" w:rsidTr="00FF0E74">
        <w:tc>
          <w:tcPr>
            <w:tcW w:w="2694" w:type="dxa"/>
          </w:tcPr>
          <w:p w14:paraId="46BA5A1B" w14:textId="6FAE01CB" w:rsidR="00FF0E74" w:rsidRPr="00F00D91" w:rsidRDefault="00FF0E74" w:rsidP="000F3E16">
            <w:pPr>
              <w:spacing w:after="140"/>
              <w:rPr>
                <w:rFonts w:ascii="Arial" w:hAnsi="Arial" w:cs="Arial"/>
                <w:sz w:val="20"/>
                <w:szCs w:val="20"/>
              </w:rPr>
            </w:pPr>
            <w:r w:rsidRPr="00F00D91">
              <w:rPr>
                <w:rFonts w:ascii="Arial" w:hAnsi="Arial" w:cs="Arial"/>
                <w:b/>
                <w:sz w:val="20"/>
                <w:szCs w:val="20"/>
              </w:rPr>
              <w:t>AMHCC</w:t>
            </w:r>
          </w:p>
        </w:tc>
        <w:tc>
          <w:tcPr>
            <w:tcW w:w="7388" w:type="dxa"/>
          </w:tcPr>
          <w:p w14:paraId="761FA26F" w14:textId="0E037423" w:rsidR="00FF0E74" w:rsidRPr="00F00D91" w:rsidRDefault="00FF0E74" w:rsidP="000F3E16">
            <w:pPr>
              <w:spacing w:after="140"/>
              <w:rPr>
                <w:rFonts w:ascii="Arial" w:hAnsi="Arial" w:cs="Arial"/>
                <w:sz w:val="20"/>
                <w:szCs w:val="20"/>
              </w:rPr>
            </w:pPr>
            <w:r w:rsidRPr="00F00D91">
              <w:rPr>
                <w:rFonts w:ascii="Arial" w:hAnsi="Arial" w:cs="Arial"/>
                <w:sz w:val="20"/>
                <w:szCs w:val="20"/>
              </w:rPr>
              <w:t>Australian Mental Health Care Classification</w:t>
            </w:r>
          </w:p>
        </w:tc>
      </w:tr>
      <w:tr w:rsidR="004B165C" w:rsidRPr="00F373CC" w14:paraId="196C6C22" w14:textId="77777777" w:rsidTr="00FF0E74">
        <w:tc>
          <w:tcPr>
            <w:tcW w:w="2694" w:type="dxa"/>
          </w:tcPr>
          <w:p w14:paraId="4ACD575A" w14:textId="0E278C08" w:rsidR="004B165C" w:rsidRPr="00F00D91" w:rsidRDefault="004B165C" w:rsidP="000F3E16">
            <w:pPr>
              <w:spacing w:after="140"/>
              <w:rPr>
                <w:rFonts w:ascii="Arial" w:hAnsi="Arial" w:cs="Arial"/>
                <w:b/>
                <w:sz w:val="20"/>
                <w:szCs w:val="20"/>
              </w:rPr>
            </w:pPr>
            <w:r w:rsidRPr="00F00D91">
              <w:rPr>
                <w:rFonts w:ascii="Arial" w:hAnsi="Arial" w:cs="Arial"/>
                <w:b/>
                <w:sz w:val="20"/>
                <w:szCs w:val="20"/>
              </w:rPr>
              <w:t>AN-ACC</w:t>
            </w:r>
          </w:p>
        </w:tc>
        <w:tc>
          <w:tcPr>
            <w:tcW w:w="7388" w:type="dxa"/>
          </w:tcPr>
          <w:p w14:paraId="429CEE3D" w14:textId="6F7DB0B2" w:rsidR="004B165C" w:rsidRPr="00F00D91" w:rsidRDefault="004B165C" w:rsidP="000F3E16">
            <w:pPr>
              <w:spacing w:after="140"/>
              <w:rPr>
                <w:rFonts w:ascii="Arial" w:hAnsi="Arial" w:cs="Arial"/>
                <w:sz w:val="20"/>
                <w:szCs w:val="20"/>
              </w:rPr>
            </w:pPr>
            <w:r w:rsidRPr="00F00D91">
              <w:rPr>
                <w:rFonts w:ascii="Arial" w:hAnsi="Arial" w:cs="Arial"/>
                <w:sz w:val="20"/>
                <w:szCs w:val="20"/>
              </w:rPr>
              <w:t xml:space="preserve">Australian National Aged Care </w:t>
            </w:r>
            <w:r w:rsidR="003272CA" w:rsidRPr="00F00D91">
              <w:rPr>
                <w:rFonts w:ascii="Arial" w:hAnsi="Arial" w:cs="Arial"/>
                <w:sz w:val="20"/>
                <w:szCs w:val="20"/>
              </w:rPr>
              <w:t>Classification</w:t>
            </w:r>
          </w:p>
        </w:tc>
      </w:tr>
      <w:tr w:rsidR="00FF0E74" w:rsidRPr="00F373CC" w14:paraId="34E8E024" w14:textId="77777777" w:rsidTr="00FF0E74">
        <w:tc>
          <w:tcPr>
            <w:tcW w:w="2694" w:type="dxa"/>
          </w:tcPr>
          <w:p w14:paraId="520DBC9D" w14:textId="7D77F4E8" w:rsidR="00FF0E74" w:rsidRPr="00F00D91" w:rsidRDefault="00FF0E74" w:rsidP="000F3E16">
            <w:pPr>
              <w:spacing w:after="140"/>
              <w:rPr>
                <w:rFonts w:ascii="Arial" w:hAnsi="Arial" w:cs="Arial"/>
                <w:sz w:val="20"/>
                <w:szCs w:val="20"/>
              </w:rPr>
            </w:pPr>
            <w:r w:rsidRPr="00F00D91">
              <w:rPr>
                <w:rFonts w:ascii="Arial" w:hAnsi="Arial" w:cs="Arial"/>
                <w:b/>
                <w:sz w:val="20"/>
                <w:szCs w:val="20"/>
              </w:rPr>
              <w:t>AN-SNAP</w:t>
            </w:r>
          </w:p>
        </w:tc>
        <w:tc>
          <w:tcPr>
            <w:tcW w:w="7388" w:type="dxa"/>
          </w:tcPr>
          <w:p w14:paraId="7409BEC7" w14:textId="41B9DC7A" w:rsidR="00FF0E74" w:rsidRPr="00F00D91" w:rsidRDefault="00FF0E74" w:rsidP="000F3E16">
            <w:pPr>
              <w:spacing w:after="140"/>
              <w:rPr>
                <w:rFonts w:ascii="Arial" w:hAnsi="Arial" w:cs="Arial"/>
                <w:sz w:val="20"/>
                <w:szCs w:val="20"/>
              </w:rPr>
            </w:pPr>
            <w:r w:rsidRPr="00F00D91">
              <w:rPr>
                <w:rFonts w:ascii="Arial" w:hAnsi="Arial" w:cs="Arial"/>
                <w:sz w:val="20"/>
                <w:szCs w:val="20"/>
              </w:rPr>
              <w:t>Australian National Subacute and Non-Acute Patient Classification</w:t>
            </w:r>
          </w:p>
        </w:tc>
      </w:tr>
      <w:tr w:rsidR="00FF0E74" w:rsidRPr="00F373CC" w14:paraId="6B380CA7" w14:textId="77777777" w:rsidTr="00FF0E74">
        <w:tc>
          <w:tcPr>
            <w:tcW w:w="2694" w:type="dxa"/>
          </w:tcPr>
          <w:p w14:paraId="64EB84B1" w14:textId="75A0C674" w:rsidR="00FF0E74" w:rsidRPr="00F00D91" w:rsidRDefault="00FF0E74" w:rsidP="000F3E16">
            <w:pPr>
              <w:spacing w:after="140"/>
              <w:rPr>
                <w:rFonts w:ascii="Arial" w:hAnsi="Arial" w:cs="Arial"/>
                <w:sz w:val="20"/>
                <w:szCs w:val="20"/>
              </w:rPr>
            </w:pPr>
            <w:r w:rsidRPr="00F00D91">
              <w:rPr>
                <w:rFonts w:ascii="Arial" w:hAnsi="Arial" w:cs="Arial"/>
                <w:b/>
                <w:sz w:val="20"/>
                <w:szCs w:val="20"/>
              </w:rPr>
              <w:t>AR-DRG</w:t>
            </w:r>
          </w:p>
        </w:tc>
        <w:tc>
          <w:tcPr>
            <w:tcW w:w="7388" w:type="dxa"/>
          </w:tcPr>
          <w:p w14:paraId="3A4E5C4F" w14:textId="67E8B2F1" w:rsidR="00FF0E74" w:rsidRPr="00F00D91" w:rsidRDefault="00FF0E74" w:rsidP="000F3E16">
            <w:pPr>
              <w:spacing w:after="140"/>
              <w:rPr>
                <w:rFonts w:ascii="Arial" w:hAnsi="Arial" w:cs="Arial"/>
                <w:sz w:val="20"/>
                <w:szCs w:val="20"/>
              </w:rPr>
            </w:pPr>
            <w:r w:rsidRPr="00F00D91">
              <w:rPr>
                <w:rFonts w:ascii="Arial" w:hAnsi="Arial" w:cs="Arial"/>
                <w:sz w:val="20"/>
                <w:szCs w:val="20"/>
              </w:rPr>
              <w:t>Australian Refined Diagnosis Related Groups Classification</w:t>
            </w:r>
          </w:p>
        </w:tc>
      </w:tr>
      <w:tr w:rsidR="00FF0E74" w:rsidRPr="00F373CC" w14:paraId="0BDD9A4F" w14:textId="77777777" w:rsidTr="00FF0E74">
        <w:tc>
          <w:tcPr>
            <w:tcW w:w="2694" w:type="dxa"/>
          </w:tcPr>
          <w:p w14:paraId="26373CBA" w14:textId="3C4824A8" w:rsidR="00FF0E74" w:rsidRPr="00F00D91" w:rsidRDefault="00FF0E74" w:rsidP="000F3E16">
            <w:pPr>
              <w:spacing w:after="140"/>
              <w:rPr>
                <w:rFonts w:ascii="Arial" w:hAnsi="Arial" w:cs="Arial"/>
                <w:b/>
                <w:sz w:val="20"/>
                <w:szCs w:val="20"/>
              </w:rPr>
            </w:pPr>
            <w:r w:rsidRPr="00F00D91">
              <w:rPr>
                <w:rFonts w:ascii="Arial" w:hAnsi="Arial" w:cs="Arial"/>
                <w:b/>
                <w:sz w:val="20"/>
                <w:szCs w:val="20"/>
              </w:rPr>
              <w:t>ATTC</w:t>
            </w:r>
          </w:p>
        </w:tc>
        <w:tc>
          <w:tcPr>
            <w:tcW w:w="7388" w:type="dxa"/>
          </w:tcPr>
          <w:p w14:paraId="302162F2" w14:textId="4DF247FA" w:rsidR="00FF0E74" w:rsidRPr="00F00D91" w:rsidRDefault="00FF0E74" w:rsidP="000F3E16">
            <w:pPr>
              <w:spacing w:after="140"/>
              <w:rPr>
                <w:rFonts w:ascii="Arial" w:hAnsi="Arial" w:cs="Arial"/>
                <w:sz w:val="20"/>
                <w:szCs w:val="20"/>
              </w:rPr>
            </w:pPr>
            <w:r w:rsidRPr="00F00D91">
              <w:rPr>
                <w:rFonts w:ascii="Arial" w:hAnsi="Arial" w:cs="Arial"/>
                <w:sz w:val="20"/>
                <w:szCs w:val="20"/>
              </w:rPr>
              <w:t>Australian Teaching and Training Classification</w:t>
            </w:r>
          </w:p>
        </w:tc>
      </w:tr>
      <w:tr w:rsidR="00FF0E74" w:rsidRPr="00F373CC" w14:paraId="3F0E5531" w14:textId="77777777" w:rsidTr="00FF0E74">
        <w:tc>
          <w:tcPr>
            <w:tcW w:w="2694" w:type="dxa"/>
          </w:tcPr>
          <w:p w14:paraId="3D0A0405" w14:textId="4996E3BE" w:rsidR="00FF0E74" w:rsidRPr="00F00D91" w:rsidRDefault="00FF0E74" w:rsidP="000F3E16">
            <w:pPr>
              <w:spacing w:after="140"/>
              <w:rPr>
                <w:rFonts w:ascii="Arial" w:hAnsi="Arial" w:cs="Arial"/>
                <w:b/>
                <w:sz w:val="20"/>
                <w:szCs w:val="20"/>
              </w:rPr>
            </w:pPr>
            <w:r w:rsidRPr="00F00D91">
              <w:rPr>
                <w:rFonts w:ascii="Arial" w:hAnsi="Arial" w:cs="Arial"/>
                <w:b/>
                <w:sz w:val="20"/>
                <w:szCs w:val="20"/>
              </w:rPr>
              <w:t>CEO</w:t>
            </w:r>
          </w:p>
        </w:tc>
        <w:tc>
          <w:tcPr>
            <w:tcW w:w="7388" w:type="dxa"/>
          </w:tcPr>
          <w:p w14:paraId="4448FC92" w14:textId="1C30E595" w:rsidR="00FF0E74" w:rsidRPr="00F00D91" w:rsidRDefault="00FF0E74" w:rsidP="000F3E16">
            <w:pPr>
              <w:spacing w:after="140"/>
              <w:rPr>
                <w:rFonts w:ascii="Arial" w:hAnsi="Arial" w:cs="Arial"/>
                <w:sz w:val="20"/>
                <w:szCs w:val="20"/>
              </w:rPr>
            </w:pPr>
            <w:r w:rsidRPr="00F00D91">
              <w:rPr>
                <w:rFonts w:ascii="Arial" w:hAnsi="Arial" w:cs="Arial"/>
                <w:sz w:val="20"/>
                <w:szCs w:val="20"/>
              </w:rPr>
              <w:t>Chief Executive Officer</w:t>
            </w:r>
          </w:p>
        </w:tc>
      </w:tr>
      <w:tr w:rsidR="00FF0E74" w:rsidRPr="00F373CC" w14:paraId="732E139A" w14:textId="77777777" w:rsidTr="00FF0E74">
        <w:tc>
          <w:tcPr>
            <w:tcW w:w="2694" w:type="dxa"/>
          </w:tcPr>
          <w:p w14:paraId="563B8320" w14:textId="3888A893" w:rsidR="00FF0E74" w:rsidRPr="00F00D91" w:rsidRDefault="00FF0E74" w:rsidP="000F3E16">
            <w:pPr>
              <w:spacing w:after="140"/>
              <w:rPr>
                <w:rFonts w:ascii="Arial" w:hAnsi="Arial" w:cs="Arial"/>
                <w:b/>
                <w:sz w:val="20"/>
                <w:szCs w:val="20"/>
              </w:rPr>
            </w:pPr>
            <w:r w:rsidRPr="00F00D91">
              <w:rPr>
                <w:rFonts w:ascii="Arial" w:hAnsi="Arial" w:cs="Arial"/>
                <w:b/>
                <w:sz w:val="20"/>
                <w:szCs w:val="20"/>
              </w:rPr>
              <w:t>COVID-19</w:t>
            </w:r>
          </w:p>
        </w:tc>
        <w:tc>
          <w:tcPr>
            <w:tcW w:w="7388" w:type="dxa"/>
          </w:tcPr>
          <w:p w14:paraId="44224E99" w14:textId="12A5BC2D" w:rsidR="00FF0E74" w:rsidRPr="00F00D91" w:rsidRDefault="00FF0E74" w:rsidP="000F3E16">
            <w:pPr>
              <w:spacing w:after="140"/>
              <w:rPr>
                <w:rFonts w:ascii="Arial" w:hAnsi="Arial" w:cs="Arial"/>
                <w:sz w:val="20"/>
                <w:szCs w:val="20"/>
              </w:rPr>
            </w:pPr>
            <w:r w:rsidRPr="00F00D91">
              <w:rPr>
                <w:rFonts w:ascii="Arial" w:hAnsi="Arial" w:cs="Arial"/>
                <w:sz w:val="20"/>
                <w:szCs w:val="20"/>
              </w:rPr>
              <w:t>Coronavirus disease 2019</w:t>
            </w:r>
          </w:p>
        </w:tc>
      </w:tr>
      <w:tr w:rsidR="00FF0E74" w:rsidRPr="00F373CC" w14:paraId="11019146" w14:textId="77777777" w:rsidTr="00FF0E74">
        <w:tc>
          <w:tcPr>
            <w:tcW w:w="2694" w:type="dxa"/>
          </w:tcPr>
          <w:p w14:paraId="0FB14546" w14:textId="115A461A" w:rsidR="00FF0E74" w:rsidRPr="00F00D91" w:rsidRDefault="00FF0E74" w:rsidP="000F3E16">
            <w:pPr>
              <w:spacing w:after="140"/>
              <w:rPr>
                <w:rFonts w:ascii="Arial" w:hAnsi="Arial" w:cs="Arial"/>
                <w:b/>
                <w:sz w:val="20"/>
                <w:szCs w:val="20"/>
              </w:rPr>
            </w:pPr>
            <w:r w:rsidRPr="00F00D91">
              <w:rPr>
                <w:rFonts w:ascii="Arial" w:hAnsi="Arial" w:cs="Arial"/>
                <w:b/>
                <w:sz w:val="20"/>
                <w:szCs w:val="20"/>
              </w:rPr>
              <w:t>HAC</w:t>
            </w:r>
          </w:p>
        </w:tc>
        <w:tc>
          <w:tcPr>
            <w:tcW w:w="7388" w:type="dxa"/>
          </w:tcPr>
          <w:p w14:paraId="1EBB42E2" w14:textId="1D9E45F8" w:rsidR="00FF0E74" w:rsidRPr="00F00D91" w:rsidRDefault="00FF0E74" w:rsidP="000F3E16">
            <w:pPr>
              <w:spacing w:after="140"/>
              <w:rPr>
                <w:rFonts w:ascii="Arial" w:hAnsi="Arial" w:cs="Arial"/>
                <w:sz w:val="20"/>
                <w:szCs w:val="20"/>
              </w:rPr>
            </w:pPr>
            <w:r w:rsidRPr="00F00D91">
              <w:rPr>
                <w:rFonts w:ascii="Arial" w:hAnsi="Arial" w:cs="Arial"/>
                <w:sz w:val="20"/>
                <w:szCs w:val="20"/>
              </w:rPr>
              <w:t>Hospital acquired complication</w:t>
            </w:r>
          </w:p>
        </w:tc>
      </w:tr>
      <w:tr w:rsidR="00976580" w:rsidRPr="00F373CC" w14:paraId="1B3EC351" w14:textId="77777777" w:rsidTr="00FF0E74">
        <w:tc>
          <w:tcPr>
            <w:tcW w:w="2694" w:type="dxa"/>
          </w:tcPr>
          <w:p w14:paraId="4CB3FEA2" w14:textId="4186852C" w:rsidR="00976580" w:rsidRPr="00F00D91" w:rsidRDefault="00976580" w:rsidP="000F3E16">
            <w:pPr>
              <w:spacing w:after="140"/>
              <w:rPr>
                <w:rFonts w:ascii="Arial" w:hAnsi="Arial" w:cs="Arial"/>
                <w:b/>
                <w:sz w:val="20"/>
                <w:szCs w:val="20"/>
              </w:rPr>
            </w:pPr>
            <w:r>
              <w:rPr>
                <w:rFonts w:ascii="Arial" w:hAnsi="Arial" w:cs="Arial"/>
                <w:b/>
                <w:sz w:val="20"/>
                <w:szCs w:val="20"/>
              </w:rPr>
              <w:t>HoNOS</w:t>
            </w:r>
          </w:p>
        </w:tc>
        <w:tc>
          <w:tcPr>
            <w:tcW w:w="7388" w:type="dxa"/>
          </w:tcPr>
          <w:p w14:paraId="303C7AC6" w14:textId="51AEB5DC" w:rsidR="00976580" w:rsidRPr="00F00D91" w:rsidRDefault="00976580" w:rsidP="000F3E16">
            <w:pPr>
              <w:spacing w:after="140"/>
              <w:rPr>
                <w:rFonts w:ascii="Arial" w:hAnsi="Arial" w:cs="Arial"/>
                <w:sz w:val="20"/>
                <w:szCs w:val="20"/>
              </w:rPr>
            </w:pPr>
            <w:r w:rsidRPr="00A81D23">
              <w:rPr>
                <w:rFonts w:ascii="Arial" w:hAnsi="Arial" w:cs="Arial"/>
                <w:sz w:val="20"/>
                <w:szCs w:val="20"/>
              </w:rPr>
              <w:t>Health of the Nation Outcome Scales</w:t>
            </w:r>
          </w:p>
        </w:tc>
      </w:tr>
      <w:tr w:rsidR="00FF0E74" w:rsidRPr="00F373CC" w14:paraId="5621EE3B" w14:textId="77777777" w:rsidTr="00FF0E74">
        <w:tc>
          <w:tcPr>
            <w:tcW w:w="2694" w:type="dxa"/>
          </w:tcPr>
          <w:p w14:paraId="4CACD887" w14:textId="614D1A97" w:rsidR="00FF0E74" w:rsidRPr="00F00D91" w:rsidRDefault="00FF0E74" w:rsidP="000F3E16">
            <w:pPr>
              <w:spacing w:after="140"/>
              <w:rPr>
                <w:rFonts w:ascii="Arial" w:hAnsi="Arial" w:cs="Arial"/>
                <w:b/>
                <w:sz w:val="20"/>
                <w:szCs w:val="20"/>
              </w:rPr>
            </w:pPr>
            <w:r w:rsidRPr="00F00D91">
              <w:rPr>
                <w:rFonts w:ascii="Arial" w:hAnsi="Arial" w:cs="Arial"/>
                <w:b/>
                <w:sz w:val="20"/>
                <w:szCs w:val="20"/>
              </w:rPr>
              <w:t>ICD</w:t>
            </w:r>
            <w:r w:rsidRPr="00F00D91">
              <w:rPr>
                <w:rFonts w:ascii="Cambria Math" w:hAnsi="Cambria Math" w:cs="Cambria Math"/>
                <w:b/>
                <w:sz w:val="20"/>
                <w:szCs w:val="20"/>
              </w:rPr>
              <w:t>‑</w:t>
            </w:r>
            <w:r w:rsidRPr="00F00D91">
              <w:rPr>
                <w:rFonts w:ascii="Arial" w:hAnsi="Arial" w:cs="Arial"/>
                <w:b/>
                <w:sz w:val="20"/>
                <w:szCs w:val="20"/>
              </w:rPr>
              <w:t>10</w:t>
            </w:r>
            <w:r w:rsidRPr="00F00D91">
              <w:rPr>
                <w:rFonts w:ascii="Cambria Math" w:hAnsi="Cambria Math" w:cs="Cambria Math"/>
                <w:b/>
                <w:sz w:val="20"/>
                <w:szCs w:val="20"/>
              </w:rPr>
              <w:t>‑</w:t>
            </w:r>
            <w:r w:rsidRPr="00F00D91">
              <w:rPr>
                <w:rFonts w:ascii="Arial" w:hAnsi="Arial" w:cs="Arial"/>
                <w:b/>
                <w:sz w:val="20"/>
                <w:szCs w:val="20"/>
              </w:rPr>
              <w:t>AM</w:t>
            </w:r>
          </w:p>
        </w:tc>
        <w:tc>
          <w:tcPr>
            <w:tcW w:w="7388" w:type="dxa"/>
          </w:tcPr>
          <w:p w14:paraId="1DFB8B76" w14:textId="335B8210" w:rsidR="00FF0E74" w:rsidRPr="00F00D91" w:rsidRDefault="00FF0E74" w:rsidP="000F3E16">
            <w:pPr>
              <w:spacing w:after="140"/>
              <w:rPr>
                <w:rFonts w:ascii="Arial" w:hAnsi="Arial" w:cs="Arial"/>
                <w:sz w:val="20"/>
                <w:szCs w:val="20"/>
              </w:rPr>
            </w:pPr>
            <w:r w:rsidRPr="00F00D91">
              <w:rPr>
                <w:rFonts w:ascii="Arial" w:hAnsi="Arial" w:cs="Arial"/>
                <w:sz w:val="20"/>
                <w:szCs w:val="20"/>
              </w:rPr>
              <w:t>International Statistical Classification of Diseases and Related Health Problems, Tenth Revision, Australian Modification</w:t>
            </w:r>
          </w:p>
        </w:tc>
      </w:tr>
      <w:tr w:rsidR="005331A6" w:rsidRPr="00F373CC" w14:paraId="31E1CCD8" w14:textId="77777777" w:rsidTr="00FF0E74">
        <w:tc>
          <w:tcPr>
            <w:tcW w:w="2694" w:type="dxa"/>
          </w:tcPr>
          <w:p w14:paraId="11C18CCC" w14:textId="699AE122" w:rsidR="005331A6" w:rsidRPr="00F00D91" w:rsidRDefault="005331A6" w:rsidP="000F3E16">
            <w:pPr>
              <w:spacing w:after="140"/>
              <w:rPr>
                <w:rFonts w:ascii="Arial" w:hAnsi="Arial" w:cs="Arial"/>
                <w:b/>
                <w:sz w:val="20"/>
                <w:szCs w:val="20"/>
              </w:rPr>
            </w:pPr>
            <w:r w:rsidRPr="00F00D91">
              <w:rPr>
                <w:rFonts w:ascii="Arial" w:hAnsi="Arial" w:cs="Arial"/>
                <w:b/>
                <w:sz w:val="20"/>
                <w:szCs w:val="20"/>
              </w:rPr>
              <w:t>IHACPA</w:t>
            </w:r>
          </w:p>
        </w:tc>
        <w:tc>
          <w:tcPr>
            <w:tcW w:w="7388" w:type="dxa"/>
          </w:tcPr>
          <w:p w14:paraId="494331FF" w14:textId="75BBC73D" w:rsidR="005331A6" w:rsidRPr="00F00D91" w:rsidRDefault="005331A6" w:rsidP="000F3E16">
            <w:pPr>
              <w:spacing w:after="140"/>
              <w:rPr>
                <w:rFonts w:ascii="Arial" w:hAnsi="Arial" w:cs="Arial"/>
                <w:sz w:val="20"/>
                <w:szCs w:val="20"/>
              </w:rPr>
            </w:pPr>
            <w:r w:rsidRPr="00F00D91">
              <w:rPr>
                <w:rFonts w:ascii="Arial" w:hAnsi="Arial" w:cs="Arial"/>
                <w:sz w:val="20"/>
                <w:szCs w:val="20"/>
              </w:rPr>
              <w:t>Independent Health and Aged Care Pricing Authority</w:t>
            </w:r>
          </w:p>
        </w:tc>
      </w:tr>
      <w:tr w:rsidR="005331A6" w:rsidRPr="00F373CC" w14:paraId="421A81B2" w14:textId="77777777" w:rsidTr="00FF0E74">
        <w:tc>
          <w:tcPr>
            <w:tcW w:w="2694" w:type="dxa"/>
          </w:tcPr>
          <w:p w14:paraId="2D32F1B3" w14:textId="0CE8057A" w:rsidR="005331A6" w:rsidRPr="00F00D91" w:rsidRDefault="005331A6" w:rsidP="000F3E16">
            <w:pPr>
              <w:spacing w:after="140"/>
              <w:rPr>
                <w:rFonts w:ascii="Arial" w:hAnsi="Arial" w:cs="Arial"/>
                <w:b/>
                <w:sz w:val="20"/>
                <w:szCs w:val="20"/>
              </w:rPr>
            </w:pPr>
            <w:r w:rsidRPr="00F00D91">
              <w:rPr>
                <w:rFonts w:ascii="Arial" w:hAnsi="Arial" w:cs="Arial"/>
                <w:b/>
                <w:sz w:val="20"/>
                <w:szCs w:val="20"/>
              </w:rPr>
              <w:t>MSAC</w:t>
            </w:r>
          </w:p>
        </w:tc>
        <w:tc>
          <w:tcPr>
            <w:tcW w:w="7388" w:type="dxa"/>
          </w:tcPr>
          <w:p w14:paraId="166F2CE8" w14:textId="3F85927A" w:rsidR="005331A6" w:rsidRPr="00F00D91" w:rsidRDefault="005331A6" w:rsidP="000F3E16">
            <w:pPr>
              <w:spacing w:after="140"/>
              <w:rPr>
                <w:rFonts w:ascii="Arial" w:hAnsi="Arial" w:cs="Arial"/>
                <w:sz w:val="20"/>
                <w:szCs w:val="20"/>
              </w:rPr>
            </w:pPr>
            <w:r w:rsidRPr="00F00D91">
              <w:rPr>
                <w:rFonts w:ascii="Arial" w:hAnsi="Arial" w:cs="Arial"/>
                <w:sz w:val="20"/>
                <w:szCs w:val="20"/>
              </w:rPr>
              <w:t>Medical Services Advisory Committee</w:t>
            </w:r>
          </w:p>
        </w:tc>
      </w:tr>
      <w:tr w:rsidR="005331A6" w:rsidRPr="00F373CC" w14:paraId="6EEF7EAF" w14:textId="77777777" w:rsidTr="00FF0E74">
        <w:tc>
          <w:tcPr>
            <w:tcW w:w="2694" w:type="dxa"/>
          </w:tcPr>
          <w:p w14:paraId="6780F73B" w14:textId="3F572D9C" w:rsidR="005331A6" w:rsidRPr="00F00D91" w:rsidRDefault="005331A6" w:rsidP="000F3E16">
            <w:pPr>
              <w:spacing w:after="140"/>
              <w:rPr>
                <w:rFonts w:ascii="Arial" w:hAnsi="Arial" w:cs="Arial"/>
                <w:b/>
                <w:sz w:val="20"/>
                <w:szCs w:val="20"/>
              </w:rPr>
            </w:pPr>
            <w:r w:rsidRPr="00F00D91">
              <w:rPr>
                <w:rFonts w:ascii="Arial" w:hAnsi="Arial" w:cs="Arial"/>
                <w:b/>
                <w:sz w:val="20"/>
                <w:szCs w:val="20"/>
              </w:rPr>
              <w:t>NBP</w:t>
            </w:r>
          </w:p>
        </w:tc>
        <w:tc>
          <w:tcPr>
            <w:tcW w:w="7388" w:type="dxa"/>
          </w:tcPr>
          <w:p w14:paraId="59997377" w14:textId="38AF13A3" w:rsidR="005331A6" w:rsidRPr="00F00D91" w:rsidRDefault="005331A6" w:rsidP="000F3E16">
            <w:pPr>
              <w:spacing w:after="140"/>
              <w:rPr>
                <w:rFonts w:ascii="Arial" w:hAnsi="Arial" w:cs="Arial"/>
                <w:sz w:val="20"/>
                <w:szCs w:val="20"/>
              </w:rPr>
            </w:pPr>
            <w:r w:rsidRPr="00F00D91">
              <w:rPr>
                <w:rFonts w:ascii="Arial" w:hAnsi="Arial" w:cs="Arial"/>
                <w:sz w:val="20"/>
                <w:szCs w:val="20"/>
              </w:rPr>
              <w:t>National Benchmarking Portal</w:t>
            </w:r>
          </w:p>
        </w:tc>
      </w:tr>
      <w:tr w:rsidR="005331A6" w:rsidRPr="00F373CC" w14:paraId="2FC1FF17" w14:textId="77777777" w:rsidTr="00FF0E74">
        <w:tc>
          <w:tcPr>
            <w:tcW w:w="2694" w:type="dxa"/>
          </w:tcPr>
          <w:p w14:paraId="097152E4" w14:textId="497F4178" w:rsidR="005331A6" w:rsidRPr="00F00D91" w:rsidRDefault="005331A6" w:rsidP="000F3E16">
            <w:pPr>
              <w:spacing w:after="140"/>
              <w:rPr>
                <w:rFonts w:ascii="Arial" w:hAnsi="Arial" w:cs="Arial"/>
                <w:b/>
                <w:sz w:val="20"/>
                <w:szCs w:val="20"/>
              </w:rPr>
            </w:pPr>
            <w:r w:rsidRPr="00F00D91">
              <w:rPr>
                <w:rFonts w:ascii="Arial" w:hAnsi="Arial" w:cs="Arial"/>
                <w:b/>
                <w:sz w:val="20"/>
                <w:szCs w:val="20"/>
              </w:rPr>
              <w:t>NEC</w:t>
            </w:r>
          </w:p>
        </w:tc>
        <w:tc>
          <w:tcPr>
            <w:tcW w:w="7388" w:type="dxa"/>
          </w:tcPr>
          <w:p w14:paraId="5B859C17" w14:textId="0CC53AD4" w:rsidR="005331A6" w:rsidRPr="00F00D91" w:rsidRDefault="005331A6" w:rsidP="000F3E16">
            <w:pPr>
              <w:spacing w:after="140"/>
              <w:rPr>
                <w:rFonts w:ascii="Arial" w:hAnsi="Arial" w:cs="Arial"/>
                <w:sz w:val="20"/>
                <w:szCs w:val="20"/>
              </w:rPr>
            </w:pPr>
            <w:r w:rsidRPr="00F00D91">
              <w:rPr>
                <w:rFonts w:ascii="Arial" w:hAnsi="Arial" w:cs="Arial"/>
                <w:sz w:val="20"/>
                <w:szCs w:val="20"/>
              </w:rPr>
              <w:t>National efficient cost</w:t>
            </w:r>
          </w:p>
        </w:tc>
      </w:tr>
      <w:tr w:rsidR="005331A6" w:rsidRPr="00F373CC" w14:paraId="2124BF91" w14:textId="77777777" w:rsidTr="00FF0E74">
        <w:tc>
          <w:tcPr>
            <w:tcW w:w="2694" w:type="dxa"/>
          </w:tcPr>
          <w:p w14:paraId="20725037" w14:textId="5E8E8637" w:rsidR="005331A6" w:rsidRPr="00F00D91" w:rsidRDefault="005331A6" w:rsidP="000F3E16">
            <w:pPr>
              <w:spacing w:after="140"/>
              <w:rPr>
                <w:rFonts w:ascii="Arial" w:hAnsi="Arial" w:cs="Arial"/>
                <w:b/>
                <w:sz w:val="20"/>
                <w:szCs w:val="20"/>
              </w:rPr>
            </w:pPr>
            <w:r w:rsidRPr="00F00D91">
              <w:rPr>
                <w:rFonts w:ascii="Arial" w:hAnsi="Arial" w:cs="Arial"/>
                <w:b/>
                <w:sz w:val="20"/>
                <w:szCs w:val="20"/>
              </w:rPr>
              <w:t>NEP</w:t>
            </w:r>
          </w:p>
        </w:tc>
        <w:tc>
          <w:tcPr>
            <w:tcW w:w="7388" w:type="dxa"/>
          </w:tcPr>
          <w:p w14:paraId="5C7C21AD" w14:textId="2B93E798" w:rsidR="005331A6" w:rsidRPr="00F00D91" w:rsidRDefault="005331A6" w:rsidP="000F3E16">
            <w:pPr>
              <w:spacing w:after="140"/>
              <w:rPr>
                <w:rFonts w:ascii="Arial" w:hAnsi="Arial" w:cs="Arial"/>
                <w:sz w:val="20"/>
                <w:szCs w:val="20"/>
              </w:rPr>
            </w:pPr>
            <w:r w:rsidRPr="00F00D91">
              <w:rPr>
                <w:rFonts w:ascii="Arial" w:hAnsi="Arial" w:cs="Arial"/>
                <w:sz w:val="20"/>
                <w:szCs w:val="20"/>
              </w:rPr>
              <w:t>National efficient price</w:t>
            </w:r>
          </w:p>
        </w:tc>
      </w:tr>
      <w:tr w:rsidR="005331A6" w:rsidRPr="00F373CC" w14:paraId="2BA23295" w14:textId="77777777" w:rsidTr="00FF0E74">
        <w:tc>
          <w:tcPr>
            <w:tcW w:w="2694" w:type="dxa"/>
          </w:tcPr>
          <w:p w14:paraId="0C663480" w14:textId="1A7CFE5E" w:rsidR="005331A6" w:rsidRPr="00F00D91" w:rsidRDefault="005331A6" w:rsidP="000F3E16">
            <w:pPr>
              <w:spacing w:after="140"/>
              <w:rPr>
                <w:rFonts w:ascii="Arial" w:hAnsi="Arial" w:cs="Arial"/>
                <w:b/>
                <w:sz w:val="20"/>
                <w:szCs w:val="20"/>
              </w:rPr>
            </w:pPr>
            <w:r w:rsidRPr="00F00D91">
              <w:rPr>
                <w:rFonts w:ascii="Arial" w:hAnsi="Arial" w:cs="Arial"/>
                <w:b/>
                <w:sz w:val="20"/>
                <w:szCs w:val="20"/>
              </w:rPr>
              <w:t>NHCDC</w:t>
            </w:r>
          </w:p>
        </w:tc>
        <w:tc>
          <w:tcPr>
            <w:tcW w:w="7388" w:type="dxa"/>
          </w:tcPr>
          <w:p w14:paraId="47F8B771" w14:textId="38DE07BE" w:rsidR="005331A6" w:rsidRPr="00F00D91" w:rsidRDefault="005331A6" w:rsidP="000F3E16">
            <w:pPr>
              <w:spacing w:after="140"/>
              <w:rPr>
                <w:rFonts w:ascii="Arial" w:hAnsi="Arial" w:cs="Arial"/>
                <w:sz w:val="20"/>
                <w:szCs w:val="20"/>
              </w:rPr>
            </w:pPr>
            <w:r w:rsidRPr="00F00D91">
              <w:rPr>
                <w:rFonts w:ascii="Arial" w:hAnsi="Arial" w:cs="Arial"/>
                <w:sz w:val="20"/>
                <w:szCs w:val="20"/>
              </w:rPr>
              <w:t>National Hospital Cost Data Collection</w:t>
            </w:r>
          </w:p>
        </w:tc>
      </w:tr>
      <w:tr w:rsidR="005331A6" w:rsidRPr="00F373CC" w14:paraId="16D0BD31" w14:textId="77777777" w:rsidTr="00FF0E74">
        <w:tc>
          <w:tcPr>
            <w:tcW w:w="2694" w:type="dxa"/>
          </w:tcPr>
          <w:p w14:paraId="4D06D0B4" w14:textId="17002B8D" w:rsidR="005331A6" w:rsidRPr="00F00D91" w:rsidRDefault="005331A6" w:rsidP="000F3E16">
            <w:pPr>
              <w:spacing w:after="140"/>
              <w:rPr>
                <w:rFonts w:ascii="Arial" w:hAnsi="Arial" w:cs="Arial"/>
                <w:b/>
                <w:sz w:val="20"/>
                <w:szCs w:val="20"/>
              </w:rPr>
            </w:pPr>
            <w:r w:rsidRPr="00F00D91">
              <w:rPr>
                <w:rFonts w:ascii="Arial" w:hAnsi="Arial" w:cs="Arial"/>
                <w:b/>
                <w:sz w:val="20"/>
                <w:szCs w:val="20"/>
              </w:rPr>
              <w:t>NHRA</w:t>
            </w:r>
          </w:p>
        </w:tc>
        <w:tc>
          <w:tcPr>
            <w:tcW w:w="7388" w:type="dxa"/>
          </w:tcPr>
          <w:p w14:paraId="19817777" w14:textId="68C8A7DE" w:rsidR="005331A6" w:rsidRPr="00F00D91" w:rsidRDefault="005331A6" w:rsidP="000F3E16">
            <w:pPr>
              <w:spacing w:after="140"/>
              <w:rPr>
                <w:rFonts w:ascii="Arial" w:hAnsi="Arial" w:cs="Arial"/>
                <w:sz w:val="20"/>
                <w:szCs w:val="20"/>
              </w:rPr>
            </w:pPr>
            <w:r w:rsidRPr="00F00D91">
              <w:rPr>
                <w:rFonts w:ascii="Arial" w:hAnsi="Arial" w:cs="Arial"/>
                <w:sz w:val="20"/>
                <w:szCs w:val="20"/>
              </w:rPr>
              <w:t>National Health Reform Agreement</w:t>
            </w:r>
          </w:p>
        </w:tc>
      </w:tr>
      <w:tr w:rsidR="005331A6" w:rsidRPr="00F373CC" w14:paraId="010E957C" w14:textId="77777777" w:rsidTr="00FF0E74">
        <w:tc>
          <w:tcPr>
            <w:tcW w:w="2694" w:type="dxa"/>
          </w:tcPr>
          <w:p w14:paraId="59B67F21" w14:textId="6930C980" w:rsidR="005331A6" w:rsidRPr="00F00D91" w:rsidRDefault="005331A6" w:rsidP="000F3E16">
            <w:pPr>
              <w:spacing w:after="140"/>
              <w:rPr>
                <w:rFonts w:ascii="Arial" w:hAnsi="Arial" w:cs="Arial"/>
                <w:b/>
                <w:sz w:val="20"/>
                <w:szCs w:val="20"/>
              </w:rPr>
            </w:pPr>
            <w:r w:rsidRPr="00F00D91">
              <w:rPr>
                <w:rFonts w:ascii="Arial" w:hAnsi="Arial" w:cs="Arial"/>
                <w:b/>
                <w:sz w:val="20"/>
                <w:szCs w:val="20"/>
              </w:rPr>
              <w:t>NWAU</w:t>
            </w:r>
          </w:p>
        </w:tc>
        <w:tc>
          <w:tcPr>
            <w:tcW w:w="7388" w:type="dxa"/>
          </w:tcPr>
          <w:p w14:paraId="4937E9BB" w14:textId="68097C40" w:rsidR="005331A6" w:rsidRPr="00F00D91" w:rsidRDefault="005331A6" w:rsidP="000F3E16">
            <w:pPr>
              <w:spacing w:after="140"/>
              <w:rPr>
                <w:rFonts w:ascii="Arial" w:hAnsi="Arial" w:cs="Arial"/>
                <w:sz w:val="20"/>
                <w:szCs w:val="20"/>
              </w:rPr>
            </w:pPr>
            <w:r w:rsidRPr="00F00D91">
              <w:rPr>
                <w:rFonts w:ascii="Arial" w:hAnsi="Arial" w:cs="Arial"/>
                <w:sz w:val="20"/>
                <w:szCs w:val="20"/>
              </w:rPr>
              <w:t>National weighted activity unit</w:t>
            </w:r>
          </w:p>
        </w:tc>
      </w:tr>
      <w:tr w:rsidR="005331A6" w:rsidRPr="00F373CC" w14:paraId="1D84D93B" w14:textId="77777777" w:rsidTr="00FF0E74">
        <w:tc>
          <w:tcPr>
            <w:tcW w:w="2694" w:type="dxa"/>
          </w:tcPr>
          <w:p w14:paraId="122EA958" w14:textId="761377FC" w:rsidR="005331A6" w:rsidRPr="00F00D91" w:rsidRDefault="005331A6" w:rsidP="000F3E16">
            <w:pPr>
              <w:spacing w:after="140"/>
              <w:rPr>
                <w:rFonts w:ascii="Arial" w:hAnsi="Arial" w:cs="Arial"/>
                <w:b/>
                <w:sz w:val="20"/>
                <w:szCs w:val="20"/>
              </w:rPr>
            </w:pPr>
            <w:r w:rsidRPr="00F00D91">
              <w:rPr>
                <w:rFonts w:ascii="Arial" w:hAnsi="Arial" w:cs="Arial"/>
                <w:b/>
                <w:sz w:val="20"/>
                <w:szCs w:val="20"/>
              </w:rPr>
              <w:t>SDMS</w:t>
            </w:r>
          </w:p>
        </w:tc>
        <w:tc>
          <w:tcPr>
            <w:tcW w:w="7388" w:type="dxa"/>
          </w:tcPr>
          <w:p w14:paraId="2323551C" w14:textId="2232F11C" w:rsidR="005331A6" w:rsidRPr="00F00D91" w:rsidRDefault="005331A6" w:rsidP="000F3E16">
            <w:pPr>
              <w:spacing w:after="140"/>
              <w:rPr>
                <w:rFonts w:ascii="Arial" w:hAnsi="Arial" w:cs="Arial"/>
                <w:sz w:val="20"/>
                <w:szCs w:val="20"/>
              </w:rPr>
            </w:pPr>
            <w:r w:rsidRPr="00F00D91">
              <w:rPr>
                <w:rFonts w:ascii="Arial" w:hAnsi="Arial" w:cs="Arial"/>
                <w:sz w:val="20"/>
                <w:szCs w:val="20"/>
              </w:rPr>
              <w:t>Secure Data Management System</w:t>
            </w:r>
          </w:p>
        </w:tc>
      </w:tr>
      <w:tr w:rsidR="005331A6" w:rsidRPr="00F373CC" w14:paraId="3610BF53" w14:textId="77777777" w:rsidTr="00FF0E74">
        <w:tc>
          <w:tcPr>
            <w:tcW w:w="2694" w:type="dxa"/>
          </w:tcPr>
          <w:p w14:paraId="61077780" w14:textId="702FBBEF" w:rsidR="005331A6" w:rsidRPr="00F00D91" w:rsidRDefault="005331A6" w:rsidP="000F3E16">
            <w:pPr>
              <w:spacing w:after="140"/>
              <w:rPr>
                <w:rFonts w:ascii="Arial" w:hAnsi="Arial" w:cs="Arial"/>
                <w:b/>
                <w:sz w:val="20"/>
                <w:szCs w:val="20"/>
              </w:rPr>
            </w:pPr>
            <w:r w:rsidRPr="00F00D91">
              <w:rPr>
                <w:rFonts w:ascii="Arial" w:hAnsi="Arial" w:cs="Arial"/>
                <w:b/>
                <w:sz w:val="20"/>
                <w:szCs w:val="20"/>
              </w:rPr>
              <w:t xml:space="preserve">The </w:t>
            </w:r>
            <w:r w:rsidR="00485A4B">
              <w:rPr>
                <w:rFonts w:ascii="Arial" w:hAnsi="Arial" w:cs="Arial"/>
                <w:b/>
                <w:sz w:val="20"/>
                <w:szCs w:val="20"/>
              </w:rPr>
              <w:t>a</w:t>
            </w:r>
            <w:r w:rsidRPr="00F00D91">
              <w:rPr>
                <w:rFonts w:ascii="Arial" w:hAnsi="Arial" w:cs="Arial"/>
                <w:b/>
                <w:sz w:val="20"/>
                <w:szCs w:val="20"/>
              </w:rPr>
              <w:t>ddendum</w:t>
            </w:r>
          </w:p>
        </w:tc>
        <w:tc>
          <w:tcPr>
            <w:tcW w:w="7388" w:type="dxa"/>
          </w:tcPr>
          <w:p w14:paraId="768060DC" w14:textId="577EB0A8" w:rsidR="005331A6" w:rsidRPr="00F00D91" w:rsidRDefault="005331A6" w:rsidP="000F3E16">
            <w:pPr>
              <w:spacing w:after="140"/>
              <w:rPr>
                <w:rFonts w:ascii="Arial" w:hAnsi="Arial" w:cs="Arial"/>
                <w:sz w:val="20"/>
                <w:szCs w:val="20"/>
              </w:rPr>
            </w:pPr>
            <w:r w:rsidRPr="00F00D91">
              <w:rPr>
                <w:rFonts w:ascii="Arial" w:hAnsi="Arial" w:cs="Arial"/>
                <w:sz w:val="20"/>
                <w:szCs w:val="20"/>
              </w:rPr>
              <w:t>Addendum to the National Health Reform Agreement 2020–25</w:t>
            </w:r>
          </w:p>
        </w:tc>
      </w:tr>
      <w:tr w:rsidR="00800030" w:rsidRPr="00F373CC" w14:paraId="12CC6A0C" w14:textId="77777777" w:rsidTr="00FF0E74">
        <w:tc>
          <w:tcPr>
            <w:tcW w:w="2694" w:type="dxa"/>
          </w:tcPr>
          <w:p w14:paraId="754DC30A" w14:textId="57B9A6D0" w:rsidR="00800030" w:rsidRPr="00F00D91" w:rsidRDefault="00800030" w:rsidP="000F3E16">
            <w:pPr>
              <w:spacing w:after="140"/>
              <w:rPr>
                <w:rFonts w:ascii="Arial" w:hAnsi="Arial" w:cs="Arial"/>
                <w:b/>
                <w:sz w:val="20"/>
                <w:szCs w:val="20"/>
              </w:rPr>
            </w:pPr>
            <w:r>
              <w:rPr>
                <w:rFonts w:ascii="Arial" w:hAnsi="Arial" w:cs="Arial"/>
                <w:b/>
                <w:sz w:val="20"/>
                <w:szCs w:val="20"/>
              </w:rPr>
              <w:t>The Administrator</w:t>
            </w:r>
          </w:p>
        </w:tc>
        <w:tc>
          <w:tcPr>
            <w:tcW w:w="7388" w:type="dxa"/>
          </w:tcPr>
          <w:p w14:paraId="43403F62" w14:textId="406CB76C" w:rsidR="00800030" w:rsidRPr="00F00D91" w:rsidRDefault="00800030" w:rsidP="000F3E16">
            <w:pPr>
              <w:spacing w:after="140"/>
              <w:rPr>
                <w:rFonts w:ascii="Arial" w:hAnsi="Arial" w:cs="Arial"/>
                <w:sz w:val="20"/>
                <w:szCs w:val="20"/>
              </w:rPr>
            </w:pPr>
            <w:r>
              <w:rPr>
                <w:rFonts w:ascii="Arial" w:hAnsi="Arial" w:cs="Arial"/>
                <w:sz w:val="20"/>
                <w:szCs w:val="20"/>
              </w:rPr>
              <w:t>Administrator of the National Health Funding Pool</w:t>
            </w:r>
          </w:p>
        </w:tc>
      </w:tr>
      <w:tr w:rsidR="00237EBA" w:rsidRPr="00F373CC" w14:paraId="0D2A0122" w14:textId="77777777" w:rsidTr="00FF0E74">
        <w:tc>
          <w:tcPr>
            <w:tcW w:w="2694" w:type="dxa"/>
          </w:tcPr>
          <w:p w14:paraId="5D37D6FB" w14:textId="381C4984" w:rsidR="00237EBA" w:rsidRPr="00F00D91" w:rsidRDefault="00237EBA" w:rsidP="000F3E16">
            <w:pPr>
              <w:spacing w:after="140"/>
              <w:rPr>
                <w:rFonts w:ascii="Arial" w:hAnsi="Arial" w:cs="Arial"/>
                <w:b/>
                <w:sz w:val="20"/>
                <w:szCs w:val="20"/>
              </w:rPr>
            </w:pPr>
            <w:r>
              <w:rPr>
                <w:rFonts w:ascii="Arial" w:hAnsi="Arial" w:cs="Arial"/>
                <w:b/>
                <w:sz w:val="20"/>
                <w:szCs w:val="20"/>
              </w:rPr>
              <w:t>The Aged Care Act</w:t>
            </w:r>
          </w:p>
        </w:tc>
        <w:tc>
          <w:tcPr>
            <w:tcW w:w="7388" w:type="dxa"/>
          </w:tcPr>
          <w:p w14:paraId="423F303A" w14:textId="7DE6C605" w:rsidR="00237EBA" w:rsidRPr="00237EBA" w:rsidRDefault="00237EBA" w:rsidP="000F3E16">
            <w:pPr>
              <w:spacing w:after="140"/>
              <w:rPr>
                <w:rFonts w:ascii="Arial" w:hAnsi="Arial" w:cs="Arial"/>
                <w:i/>
                <w:iCs/>
                <w:sz w:val="20"/>
                <w:szCs w:val="20"/>
              </w:rPr>
            </w:pPr>
            <w:r>
              <w:rPr>
                <w:rFonts w:ascii="Arial" w:hAnsi="Arial" w:cs="Arial"/>
                <w:i/>
                <w:iCs/>
                <w:sz w:val="20"/>
                <w:szCs w:val="20"/>
              </w:rPr>
              <w:t>Aged Care Act 1997</w:t>
            </w:r>
          </w:p>
        </w:tc>
      </w:tr>
      <w:tr w:rsidR="005331A6" w:rsidRPr="00F373CC" w14:paraId="36426E6F" w14:textId="77777777" w:rsidTr="00FF0E74">
        <w:tc>
          <w:tcPr>
            <w:tcW w:w="2694" w:type="dxa"/>
          </w:tcPr>
          <w:p w14:paraId="2F1E0A64" w14:textId="02792921" w:rsidR="005331A6" w:rsidRPr="00F00D91" w:rsidRDefault="005331A6" w:rsidP="000F3E16">
            <w:pPr>
              <w:spacing w:after="140"/>
              <w:rPr>
                <w:rFonts w:ascii="Arial" w:hAnsi="Arial" w:cs="Arial"/>
                <w:b/>
                <w:sz w:val="20"/>
                <w:szCs w:val="20"/>
              </w:rPr>
            </w:pPr>
            <w:r w:rsidRPr="00F00D91">
              <w:rPr>
                <w:rFonts w:ascii="Arial" w:hAnsi="Arial" w:cs="Arial"/>
                <w:b/>
                <w:sz w:val="20"/>
                <w:szCs w:val="20"/>
              </w:rPr>
              <w:t>The Commission</w:t>
            </w:r>
          </w:p>
        </w:tc>
        <w:tc>
          <w:tcPr>
            <w:tcW w:w="7388" w:type="dxa"/>
          </w:tcPr>
          <w:p w14:paraId="2E816D14" w14:textId="151C955C" w:rsidR="005331A6" w:rsidRPr="00F00D91" w:rsidRDefault="005331A6" w:rsidP="000F3E16">
            <w:pPr>
              <w:spacing w:after="140"/>
              <w:rPr>
                <w:rFonts w:ascii="Arial" w:hAnsi="Arial" w:cs="Arial"/>
                <w:sz w:val="20"/>
                <w:szCs w:val="20"/>
              </w:rPr>
            </w:pPr>
            <w:r w:rsidRPr="00F00D91">
              <w:rPr>
                <w:rFonts w:ascii="Arial" w:hAnsi="Arial" w:cs="Arial"/>
                <w:sz w:val="20"/>
                <w:szCs w:val="20"/>
              </w:rPr>
              <w:t>Australian Commission on Safety and Quality in Health Care</w:t>
            </w:r>
          </w:p>
        </w:tc>
      </w:tr>
      <w:tr w:rsidR="005331A6" w:rsidRPr="00F373CC" w14:paraId="5FB9423F" w14:textId="77777777" w:rsidTr="00FF0E74">
        <w:tc>
          <w:tcPr>
            <w:tcW w:w="2694" w:type="dxa"/>
          </w:tcPr>
          <w:p w14:paraId="2D55C9A2" w14:textId="5B9F6995" w:rsidR="005331A6" w:rsidRPr="00F00D91" w:rsidRDefault="005331A6" w:rsidP="000F3E16">
            <w:pPr>
              <w:spacing w:after="140"/>
              <w:rPr>
                <w:rFonts w:ascii="Arial" w:hAnsi="Arial" w:cs="Arial"/>
                <w:b/>
                <w:sz w:val="20"/>
                <w:szCs w:val="20"/>
              </w:rPr>
            </w:pPr>
            <w:r w:rsidRPr="00F00D91">
              <w:rPr>
                <w:rFonts w:ascii="Arial" w:hAnsi="Arial" w:cs="Arial"/>
                <w:b/>
                <w:sz w:val="20"/>
                <w:szCs w:val="20"/>
              </w:rPr>
              <w:t>The NHR Act</w:t>
            </w:r>
          </w:p>
        </w:tc>
        <w:tc>
          <w:tcPr>
            <w:tcW w:w="7388" w:type="dxa"/>
          </w:tcPr>
          <w:p w14:paraId="4F252996" w14:textId="26786B2D" w:rsidR="005331A6" w:rsidRPr="00F00D91" w:rsidRDefault="005331A6" w:rsidP="000F3E16">
            <w:pPr>
              <w:spacing w:after="140"/>
              <w:rPr>
                <w:rFonts w:ascii="Arial" w:hAnsi="Arial" w:cs="Arial"/>
                <w:i/>
                <w:iCs/>
                <w:sz w:val="20"/>
                <w:szCs w:val="20"/>
              </w:rPr>
            </w:pPr>
            <w:r w:rsidRPr="00F00D91">
              <w:rPr>
                <w:rFonts w:ascii="Arial" w:hAnsi="Arial" w:cs="Arial"/>
                <w:i/>
                <w:iCs/>
                <w:sz w:val="20"/>
                <w:szCs w:val="20"/>
              </w:rPr>
              <w:t>National Health Reform Act 2011</w:t>
            </w:r>
          </w:p>
        </w:tc>
      </w:tr>
      <w:tr w:rsidR="005331A6" w:rsidRPr="00F373CC" w14:paraId="6F62D1E2" w14:textId="77777777" w:rsidTr="00FF0E74">
        <w:tc>
          <w:tcPr>
            <w:tcW w:w="2694" w:type="dxa"/>
          </w:tcPr>
          <w:p w14:paraId="4A808A21" w14:textId="24057D35" w:rsidR="005331A6" w:rsidRPr="00F00D91" w:rsidRDefault="005331A6" w:rsidP="000F3E16">
            <w:pPr>
              <w:spacing w:after="140"/>
              <w:rPr>
                <w:rFonts w:ascii="Arial" w:hAnsi="Arial" w:cs="Arial"/>
                <w:b/>
                <w:sz w:val="20"/>
                <w:szCs w:val="20"/>
              </w:rPr>
            </w:pPr>
            <w:r w:rsidRPr="00F00D91">
              <w:rPr>
                <w:rFonts w:ascii="Arial" w:hAnsi="Arial" w:cs="Arial"/>
                <w:b/>
                <w:sz w:val="20"/>
                <w:szCs w:val="20"/>
              </w:rPr>
              <w:t>The PGPA Act</w:t>
            </w:r>
          </w:p>
        </w:tc>
        <w:tc>
          <w:tcPr>
            <w:tcW w:w="7388" w:type="dxa"/>
          </w:tcPr>
          <w:p w14:paraId="403FEC8E" w14:textId="0BD4DB0B" w:rsidR="005331A6" w:rsidRPr="00F00D91" w:rsidRDefault="005331A6" w:rsidP="000F3E16">
            <w:pPr>
              <w:spacing w:after="140"/>
              <w:rPr>
                <w:rFonts w:ascii="Arial" w:hAnsi="Arial" w:cs="Arial"/>
                <w:i/>
                <w:iCs/>
                <w:sz w:val="20"/>
                <w:szCs w:val="20"/>
              </w:rPr>
            </w:pPr>
            <w:r w:rsidRPr="00F00D91">
              <w:rPr>
                <w:rFonts w:ascii="Arial" w:hAnsi="Arial" w:cs="Arial"/>
                <w:i/>
                <w:iCs/>
                <w:sz w:val="20"/>
                <w:szCs w:val="20"/>
              </w:rPr>
              <w:t>Public Governance, Performance and Accountability Act 2013</w:t>
            </w:r>
          </w:p>
        </w:tc>
      </w:tr>
      <w:tr w:rsidR="008550D6" w:rsidRPr="00F373CC" w14:paraId="38B556E2" w14:textId="77777777" w:rsidTr="00FF0E74">
        <w:tc>
          <w:tcPr>
            <w:tcW w:w="2694" w:type="dxa"/>
          </w:tcPr>
          <w:p w14:paraId="4DC8FF07" w14:textId="785B3995" w:rsidR="008550D6" w:rsidRPr="00F00D91" w:rsidRDefault="008550D6" w:rsidP="000F3E16">
            <w:pPr>
              <w:spacing w:after="140"/>
              <w:rPr>
                <w:rFonts w:ascii="Arial" w:hAnsi="Arial" w:cs="Arial"/>
                <w:b/>
                <w:sz w:val="20"/>
                <w:szCs w:val="20"/>
              </w:rPr>
            </w:pPr>
            <w:r w:rsidRPr="00F00D91">
              <w:rPr>
                <w:rFonts w:ascii="Arial" w:hAnsi="Arial" w:cs="Arial"/>
                <w:b/>
                <w:sz w:val="20"/>
                <w:szCs w:val="20"/>
              </w:rPr>
              <w:t>The PGPA Rule</w:t>
            </w:r>
          </w:p>
        </w:tc>
        <w:tc>
          <w:tcPr>
            <w:tcW w:w="7388" w:type="dxa"/>
          </w:tcPr>
          <w:p w14:paraId="32EC924D" w14:textId="022F919D" w:rsidR="008550D6" w:rsidRPr="00F00D91" w:rsidRDefault="00040A82" w:rsidP="000F3E16">
            <w:pPr>
              <w:spacing w:after="140"/>
              <w:rPr>
                <w:rFonts w:ascii="Arial" w:hAnsi="Arial" w:cs="Arial"/>
                <w:i/>
                <w:iCs/>
                <w:sz w:val="20"/>
                <w:szCs w:val="20"/>
              </w:rPr>
            </w:pPr>
            <w:r w:rsidRPr="00F00D91">
              <w:rPr>
                <w:rFonts w:ascii="Arial" w:hAnsi="Arial" w:cs="Arial"/>
                <w:i/>
                <w:iCs/>
                <w:sz w:val="20"/>
                <w:szCs w:val="20"/>
              </w:rPr>
              <w:t>Public Governance, Performance and Accountability Rule 2014</w:t>
            </w:r>
          </w:p>
        </w:tc>
      </w:tr>
      <w:tr w:rsidR="005331A6" w:rsidRPr="00F373CC" w14:paraId="7F98AE6B" w14:textId="77777777" w:rsidTr="00FF0E74">
        <w:tc>
          <w:tcPr>
            <w:tcW w:w="2694" w:type="dxa"/>
          </w:tcPr>
          <w:p w14:paraId="69096D81" w14:textId="7EF7BA3F" w:rsidR="005331A6" w:rsidRPr="00F00D91" w:rsidRDefault="005331A6" w:rsidP="000F3E16">
            <w:pPr>
              <w:spacing w:after="140"/>
              <w:rPr>
                <w:rFonts w:ascii="Arial" w:hAnsi="Arial" w:cs="Arial"/>
                <w:b/>
                <w:sz w:val="20"/>
                <w:szCs w:val="20"/>
              </w:rPr>
            </w:pPr>
            <w:r w:rsidRPr="00F00D91">
              <w:rPr>
                <w:rFonts w:ascii="Arial" w:hAnsi="Arial" w:cs="Arial"/>
                <w:b/>
                <w:sz w:val="20"/>
                <w:szCs w:val="20"/>
              </w:rPr>
              <w:t>The Pricing Authority</w:t>
            </w:r>
          </w:p>
        </w:tc>
        <w:tc>
          <w:tcPr>
            <w:tcW w:w="7388" w:type="dxa"/>
          </w:tcPr>
          <w:p w14:paraId="29BAD561" w14:textId="310441DD" w:rsidR="005331A6" w:rsidRPr="00F00D91" w:rsidRDefault="005331A6" w:rsidP="000F3E16">
            <w:pPr>
              <w:spacing w:after="140"/>
              <w:rPr>
                <w:rFonts w:ascii="Arial" w:hAnsi="Arial" w:cs="Arial"/>
                <w:sz w:val="20"/>
                <w:szCs w:val="20"/>
                <w:u w:val="single"/>
              </w:rPr>
            </w:pPr>
            <w:r w:rsidRPr="00F00D91">
              <w:rPr>
                <w:rFonts w:ascii="Arial" w:hAnsi="Arial" w:cs="Arial"/>
                <w:sz w:val="20"/>
                <w:szCs w:val="20"/>
              </w:rPr>
              <w:t>Governing body of the Independent Health and Aged Care Pricing Authority</w:t>
            </w:r>
          </w:p>
        </w:tc>
      </w:tr>
    </w:tbl>
    <w:p w14:paraId="38F07479" w14:textId="5DE2FC8C" w:rsidR="00021213" w:rsidRPr="00AC04B2" w:rsidRDefault="00021213" w:rsidP="00F00D91">
      <w:pPr>
        <w:pStyle w:val="Body"/>
      </w:pPr>
      <w:bookmarkStart w:id="11" w:name="_Toc55044571"/>
    </w:p>
    <w:p w14:paraId="67FF7DEB" w14:textId="78264B5E" w:rsidR="00021213" w:rsidRPr="00AC04B2" w:rsidRDefault="00021213">
      <w:pPr>
        <w:rPr>
          <w:sz w:val="18"/>
          <w:szCs w:val="18"/>
        </w:rPr>
      </w:pPr>
      <w:r w:rsidRPr="00AC04B2">
        <w:br w:type="page"/>
      </w:r>
    </w:p>
    <w:p w14:paraId="611DF28A" w14:textId="7BB1160D" w:rsidR="0091323E" w:rsidRPr="00AC04B2" w:rsidRDefault="008D5984" w:rsidP="008D5984">
      <w:pPr>
        <w:pStyle w:val="TOCHeading"/>
      </w:pPr>
      <w:bookmarkStart w:id="12" w:name="_Toc133416931"/>
      <w:r w:rsidRPr="00AC04B2">
        <w:rPr>
          <w:color w:val="auto"/>
        </w:rPr>
        <w:lastRenderedPageBreak/>
        <w:t>1.</w:t>
      </w:r>
      <w:r w:rsidRPr="00AC04B2">
        <w:rPr>
          <w:color w:val="auto"/>
        </w:rPr>
        <w:tab/>
      </w:r>
      <w:r w:rsidR="001C2002" w:rsidRPr="00AC04B2">
        <w:rPr>
          <w:color w:val="auto"/>
        </w:rPr>
        <w:t>Introduction</w:t>
      </w:r>
      <w:bookmarkEnd w:id="11"/>
      <w:bookmarkEnd w:id="12"/>
    </w:p>
    <w:p w14:paraId="094B57C1" w14:textId="061B8DBC" w:rsidR="00F728CB" w:rsidRPr="00AC04B2" w:rsidDel="00AF719D" w:rsidRDefault="00F728CB" w:rsidP="00F00D91">
      <w:pPr>
        <w:pStyle w:val="Body"/>
      </w:pPr>
      <w:r w:rsidRPr="00AC04B2" w:rsidDel="00AF719D">
        <w:t xml:space="preserve">The Independent </w:t>
      </w:r>
      <w:r w:rsidR="002C6351">
        <w:t>Health and Aged Care</w:t>
      </w:r>
      <w:r w:rsidR="002C6351" w:rsidRPr="00AC04B2" w:rsidDel="00AF719D">
        <w:t xml:space="preserve"> </w:t>
      </w:r>
      <w:r w:rsidRPr="00AC04B2" w:rsidDel="00AF719D">
        <w:t>Pricing Authority (IH</w:t>
      </w:r>
      <w:r w:rsidR="002C6351">
        <w:t>AC</w:t>
      </w:r>
      <w:r w:rsidRPr="00AC04B2" w:rsidDel="00AF719D">
        <w:t xml:space="preserve">PA) </w:t>
      </w:r>
      <w:r w:rsidR="007B7509">
        <w:t>i</w:t>
      </w:r>
      <w:r w:rsidR="007B7509" w:rsidRPr="00AC04B2" w:rsidDel="00AF719D">
        <w:t xml:space="preserve">s </w:t>
      </w:r>
      <w:r w:rsidR="00E603DD">
        <w:t xml:space="preserve">an independent government agency </w:t>
      </w:r>
      <w:r w:rsidRPr="00AC04B2" w:rsidDel="00AF719D">
        <w:t xml:space="preserve">established </w:t>
      </w:r>
      <w:r w:rsidR="00132B10">
        <w:t>through</w:t>
      </w:r>
      <w:r w:rsidRPr="00AC04B2">
        <w:t xml:space="preserve"> the National Health Reform Agreement and </w:t>
      </w:r>
      <w:r w:rsidRPr="00AC04B2" w:rsidDel="00AF719D">
        <w:t xml:space="preserve">under the </w:t>
      </w:r>
      <w:r w:rsidRPr="00AC04B2">
        <w:rPr>
          <w:i/>
          <w:iCs/>
        </w:rPr>
        <w:t>National Health Reform Act 2011</w:t>
      </w:r>
      <w:r w:rsidRPr="00AC04B2">
        <w:t xml:space="preserve"> (the </w:t>
      </w:r>
      <w:r w:rsidRPr="00AC04B2" w:rsidDel="00AF719D">
        <w:t>NHR Act</w:t>
      </w:r>
      <w:r w:rsidRPr="00AC04B2">
        <w:t>)</w:t>
      </w:r>
      <w:r w:rsidRPr="00AC04B2" w:rsidDel="00AF719D">
        <w:t xml:space="preserve"> to improve health outcomes for all Australians.</w:t>
      </w:r>
    </w:p>
    <w:p w14:paraId="7B84A56B" w14:textId="15D8CD7D" w:rsidR="004C492C" w:rsidRPr="00AC04B2" w:rsidRDefault="006319C9" w:rsidP="00F00D91">
      <w:pPr>
        <w:pStyle w:val="Body"/>
      </w:pPr>
      <w:r w:rsidRPr="00AC04B2" w:rsidDel="00AF719D">
        <w:t xml:space="preserve">The Chief Executive Officer of </w:t>
      </w:r>
      <w:r w:rsidR="004C492C" w:rsidRPr="00AC04B2" w:rsidDel="00AF719D">
        <w:t>IH</w:t>
      </w:r>
      <w:r w:rsidR="004C6791" w:rsidRPr="00AC04B2" w:rsidDel="00AF719D">
        <w:t>AC</w:t>
      </w:r>
      <w:r w:rsidR="004C492C" w:rsidRPr="00AC04B2" w:rsidDel="00AF719D">
        <w:t>PA is the accountable authority presenting the IH</w:t>
      </w:r>
      <w:r w:rsidR="004C6791" w:rsidRPr="00AC04B2" w:rsidDel="00AF719D">
        <w:t>AC</w:t>
      </w:r>
      <w:r w:rsidR="004C492C" w:rsidRPr="00AC04B2" w:rsidDel="00AF719D">
        <w:t>PA Work Program and Corporate Plan 202</w:t>
      </w:r>
      <w:r w:rsidR="00F44842">
        <w:t>4</w:t>
      </w:r>
      <w:r w:rsidR="004C492C" w:rsidRPr="00AC04B2" w:rsidDel="00AF719D">
        <w:t>–2</w:t>
      </w:r>
      <w:r w:rsidR="00F44842">
        <w:t>5</w:t>
      </w:r>
      <w:r w:rsidR="004C492C" w:rsidRPr="00AC04B2" w:rsidDel="00AF719D">
        <w:t xml:space="preserve">, as required under section 225 of the NHR Act and </w:t>
      </w:r>
      <w:r w:rsidR="00216DE6" w:rsidRPr="00AC04B2" w:rsidDel="00AF719D">
        <w:t xml:space="preserve">section </w:t>
      </w:r>
      <w:r w:rsidR="004C492C" w:rsidRPr="00AC04B2" w:rsidDel="00AF719D">
        <w:t>35(1)</w:t>
      </w:r>
      <w:r w:rsidR="00462162">
        <w:t>(b)</w:t>
      </w:r>
      <w:r w:rsidR="004C492C" w:rsidRPr="00AC04B2" w:rsidDel="00AF719D">
        <w:t xml:space="preserve"> of the </w:t>
      </w:r>
      <w:r w:rsidR="004C492C" w:rsidRPr="00AC04B2" w:rsidDel="00AF719D">
        <w:rPr>
          <w:i/>
          <w:iCs/>
        </w:rPr>
        <w:t>Public Governance, Performance and Accountability Act 2013</w:t>
      </w:r>
      <w:r w:rsidR="004C492C" w:rsidRPr="00AC04B2" w:rsidDel="00AF719D">
        <w:t xml:space="preserve"> (the PGPA Act). The NHR Act requires annual reporting on strategic objectives and key activities developed for IH</w:t>
      </w:r>
      <w:r w:rsidR="00BE373B" w:rsidRPr="00AC04B2" w:rsidDel="00AF719D">
        <w:t>AC</w:t>
      </w:r>
      <w:r w:rsidR="004C492C" w:rsidRPr="00AC04B2" w:rsidDel="00AF719D">
        <w:t>PA’s annual Work Program while the PGPA Act specifies reporting on corporate outcomes and performance measures across 202</w:t>
      </w:r>
      <w:r w:rsidR="00010896">
        <w:t>4</w:t>
      </w:r>
      <w:r w:rsidR="004C492C" w:rsidRPr="00AC04B2" w:rsidDel="00AF719D">
        <w:t>–2</w:t>
      </w:r>
      <w:r w:rsidR="00010896">
        <w:t>5</w:t>
      </w:r>
      <w:r w:rsidR="004C492C" w:rsidRPr="00AC04B2" w:rsidDel="00AF719D">
        <w:t xml:space="preserve"> to 202</w:t>
      </w:r>
      <w:r w:rsidR="00010896">
        <w:t>6</w:t>
      </w:r>
      <w:r w:rsidR="004C492C" w:rsidRPr="00AC04B2" w:rsidDel="00AF719D">
        <w:t>–2</w:t>
      </w:r>
      <w:r w:rsidR="00010896">
        <w:t>7</w:t>
      </w:r>
      <w:r w:rsidR="004C492C" w:rsidRPr="00AC04B2">
        <w:t>.</w:t>
      </w:r>
    </w:p>
    <w:p w14:paraId="10701B91" w14:textId="0DFC48B2" w:rsidR="008F77BB" w:rsidRPr="00AC04B2" w:rsidRDefault="004C492C" w:rsidP="00F00D91">
      <w:pPr>
        <w:pStyle w:val="Body"/>
      </w:pPr>
      <w:r w:rsidRPr="00AC04B2">
        <w:t xml:space="preserve">The </w:t>
      </w:r>
      <w:r w:rsidR="00397239">
        <w:t xml:space="preserve">IHACPA </w:t>
      </w:r>
      <w:r w:rsidRPr="00AC04B2">
        <w:t>Work Program and Corporate Plan identifies IH</w:t>
      </w:r>
      <w:r w:rsidR="00BE373B" w:rsidRPr="00AC04B2">
        <w:t>A</w:t>
      </w:r>
      <w:r w:rsidR="00216DE6" w:rsidRPr="00AC04B2">
        <w:t>C</w:t>
      </w:r>
      <w:r w:rsidRPr="00AC04B2">
        <w:t>PA’s strategic objectives and key activities. The project deliverables under each strategic objective are prioritised and shaped by engagement with stakeholders through</w:t>
      </w:r>
      <w:r w:rsidR="00C663C3" w:rsidRPr="00AC04B2">
        <w:t xml:space="preserve"> the Pricing Authority </w:t>
      </w:r>
      <w:r w:rsidR="006319C9" w:rsidRPr="00AC04B2">
        <w:t>(</w:t>
      </w:r>
      <w:r w:rsidR="00B67BE0" w:rsidRPr="00AC04B2">
        <w:t>the governing body of IHACPA</w:t>
      </w:r>
      <w:r w:rsidR="006319C9" w:rsidRPr="00AC04B2">
        <w:t xml:space="preserve">), </w:t>
      </w:r>
      <w:r w:rsidRPr="00AC04B2">
        <w:t>advisory committees and working groups, and through public consultation.</w:t>
      </w:r>
    </w:p>
    <w:p w14:paraId="6E1559CC" w14:textId="730FB2CE" w:rsidR="006E7666" w:rsidRPr="00AC04B2" w:rsidRDefault="00CE28D7" w:rsidP="007F392E">
      <w:pPr>
        <w:pStyle w:val="H2"/>
      </w:pPr>
      <w:bookmarkStart w:id="13" w:name="_Toc55044572"/>
      <w:bookmarkStart w:id="14" w:name="_Toc55053978"/>
      <w:bookmarkStart w:id="15" w:name="_Toc133416932"/>
      <w:r w:rsidRPr="00AC04B2">
        <w:t>1.1</w:t>
      </w:r>
      <w:bookmarkEnd w:id="13"/>
      <w:bookmarkEnd w:id="14"/>
      <w:r w:rsidR="007F392E" w:rsidRPr="00AC04B2">
        <w:tab/>
      </w:r>
      <w:r w:rsidR="004C492C" w:rsidRPr="00AC04B2">
        <w:t>Purpose</w:t>
      </w:r>
      <w:bookmarkEnd w:id="15"/>
    </w:p>
    <w:p w14:paraId="4422C6DE" w14:textId="304C3BDE" w:rsidR="006E7666" w:rsidRPr="00AC04B2" w:rsidRDefault="00FF7D5B" w:rsidP="00F00D91">
      <w:pPr>
        <w:pStyle w:val="Body"/>
      </w:pPr>
      <w:bookmarkStart w:id="16" w:name="_Hlk118122702"/>
      <w:r w:rsidRPr="00AC04B2">
        <w:t>IH</w:t>
      </w:r>
      <w:r w:rsidR="00BE373B" w:rsidRPr="00AC04B2">
        <w:t>AC</w:t>
      </w:r>
      <w:r w:rsidRPr="00AC04B2">
        <w:t>PA’s role</w:t>
      </w:r>
      <w:r w:rsidR="00BE373B" w:rsidRPr="00AC04B2">
        <w:t xml:space="preserve"> </w:t>
      </w:r>
      <w:r w:rsidR="002112FE" w:rsidRPr="00AC04B2">
        <w:t xml:space="preserve">pertaining to pricing and funding for </w:t>
      </w:r>
      <w:r w:rsidR="00BE373B" w:rsidRPr="00AC04B2">
        <w:t>public hospital</w:t>
      </w:r>
      <w:r w:rsidR="001E5633" w:rsidRPr="00AC04B2">
        <w:t xml:space="preserve"> service</w:t>
      </w:r>
      <w:r w:rsidR="00BE373B" w:rsidRPr="00AC04B2">
        <w:t xml:space="preserve">s </w:t>
      </w:r>
      <w:r w:rsidR="002112FE" w:rsidRPr="00AC04B2">
        <w:t>include</w:t>
      </w:r>
      <w:r w:rsidR="001E5633" w:rsidRPr="00AC04B2">
        <w:t>s</w:t>
      </w:r>
      <w:r w:rsidR="006E7666" w:rsidRPr="00AC04B2">
        <w:t>:</w:t>
      </w:r>
    </w:p>
    <w:p w14:paraId="5D216B2B" w14:textId="6475A04F" w:rsidR="002112FE" w:rsidRPr="00F00D91" w:rsidRDefault="002112FE" w:rsidP="002852C9">
      <w:pPr>
        <w:pStyle w:val="BulletList"/>
      </w:pPr>
      <w:r w:rsidRPr="00E25924">
        <w:t>determining</w:t>
      </w:r>
      <w:r w:rsidRPr="00AC04B2">
        <w:t xml:space="preserve"> the </w:t>
      </w:r>
      <w:r w:rsidR="00B67BE0" w:rsidRPr="00F00D91">
        <w:t>national efficient price (</w:t>
      </w:r>
      <w:r w:rsidRPr="00F00D91">
        <w:t>NEP</w:t>
      </w:r>
      <w:r w:rsidR="00B67BE0" w:rsidRPr="00F00D91">
        <w:t>)</w:t>
      </w:r>
      <w:r w:rsidRPr="00F00D91">
        <w:t xml:space="preserve"> for health care services provided by public hospitals where the services are funded on an activity basis;</w:t>
      </w:r>
    </w:p>
    <w:p w14:paraId="661934F3" w14:textId="54DB27A3" w:rsidR="002112FE" w:rsidRPr="00F00D91" w:rsidRDefault="002112FE" w:rsidP="00E25924">
      <w:pPr>
        <w:pStyle w:val="BulletList"/>
      </w:pPr>
      <w:r w:rsidRPr="00F00D91">
        <w:t xml:space="preserve">determining the </w:t>
      </w:r>
      <w:r w:rsidR="00B67BE0" w:rsidRPr="00F00D91">
        <w:t>national efficient cost (</w:t>
      </w:r>
      <w:r w:rsidRPr="00F00D91">
        <w:t>NEC</w:t>
      </w:r>
      <w:r w:rsidR="00B67BE0" w:rsidRPr="00F00D91">
        <w:t>)</w:t>
      </w:r>
      <w:r w:rsidRPr="00F00D91">
        <w:t xml:space="preserve"> for health care services provided by public hospitals where the services are block funded;</w:t>
      </w:r>
    </w:p>
    <w:p w14:paraId="0E1CFBC0" w14:textId="4F38C0E5" w:rsidR="004E69C5" w:rsidRDefault="004E69C5" w:rsidP="00F07EB5">
      <w:pPr>
        <w:pStyle w:val="BulletList"/>
      </w:pPr>
      <w:r>
        <w:t>developing block funding criteria and determining which hospital</w:t>
      </w:r>
      <w:r w:rsidR="005C0C09">
        <w:t>s,</w:t>
      </w:r>
      <w:r>
        <w:t xml:space="preserve"> services and functions are eligible for block funding or a combination of activity based funding (ABF) and block funding;</w:t>
      </w:r>
    </w:p>
    <w:p w14:paraId="7011306E" w14:textId="581DE668" w:rsidR="002112FE" w:rsidRPr="00F00D91" w:rsidRDefault="002112FE" w:rsidP="00F07EB5">
      <w:pPr>
        <w:pStyle w:val="BulletList"/>
      </w:pPr>
      <w:r w:rsidRPr="00F00D91">
        <w:t>developing and specifying classification systems for health care and other services provided by public hospitals;</w:t>
      </w:r>
    </w:p>
    <w:p w14:paraId="5E7BEA37" w14:textId="77777777" w:rsidR="002112FE" w:rsidRPr="00F00D91" w:rsidRDefault="002112FE" w:rsidP="00E25924">
      <w:pPr>
        <w:pStyle w:val="BulletList"/>
      </w:pPr>
      <w:r w:rsidRPr="00F00D91">
        <w:t>determining adjustments to the NEP to reflect legitimate and unavoidable variations in the costs of delivering health care services;</w:t>
      </w:r>
    </w:p>
    <w:p w14:paraId="54AE1A90" w14:textId="38258B8C" w:rsidR="002112FE" w:rsidRPr="00AC04B2" w:rsidRDefault="002112FE" w:rsidP="00E25924">
      <w:pPr>
        <w:pStyle w:val="BulletList"/>
      </w:pPr>
      <w:r w:rsidRPr="00F00D91">
        <w:t xml:space="preserve">determining data requirements and data </w:t>
      </w:r>
      <w:r w:rsidR="008C1221" w:rsidRPr="00F00D91">
        <w:t xml:space="preserve">and coding </w:t>
      </w:r>
      <w:r w:rsidRPr="00F00D91">
        <w:t>standards to apply in relation to data to be provided by jurisdictions</w:t>
      </w:r>
      <w:r w:rsidRPr="00AC04B2">
        <w:t>, including:</w:t>
      </w:r>
    </w:p>
    <w:p w14:paraId="363DED0A" w14:textId="77777777" w:rsidR="002112FE" w:rsidRPr="00AC04B2" w:rsidRDefault="002112FE" w:rsidP="00E25924">
      <w:pPr>
        <w:pStyle w:val="BulletList"/>
        <w:numPr>
          <w:ilvl w:val="1"/>
          <w:numId w:val="1"/>
        </w:numPr>
      </w:pPr>
      <w:r w:rsidRPr="00AC04B2">
        <w:t>data and coding standards to support uniform provision of data; and</w:t>
      </w:r>
    </w:p>
    <w:p w14:paraId="00BB739A" w14:textId="2B097E39" w:rsidR="002112FE" w:rsidRPr="00AC04B2" w:rsidRDefault="002112FE" w:rsidP="00E25924">
      <w:pPr>
        <w:pStyle w:val="BulletList"/>
        <w:numPr>
          <w:ilvl w:val="1"/>
          <w:numId w:val="1"/>
        </w:numPr>
      </w:pPr>
      <w:r w:rsidRPr="00AC04B2">
        <w:t>requirements and standards relating to patient demographic characteristics and other information relevant to classifying, costing and paying for public hospital functions;</w:t>
      </w:r>
    </w:p>
    <w:p w14:paraId="1EFB6C26" w14:textId="475B05E1" w:rsidR="006E7666" w:rsidRPr="00AC04B2" w:rsidRDefault="002112FE" w:rsidP="00B20E4E">
      <w:pPr>
        <w:pStyle w:val="BulletList"/>
      </w:pPr>
      <w:r w:rsidRPr="00AC04B2">
        <w:t>except where otherwise agreed between the Commonwealth and a state or territory – determining the public hospital functions that are to be funded in the state or territory by the Commonwealth</w:t>
      </w:r>
      <w:r w:rsidR="008C1221" w:rsidRPr="00AC04B2">
        <w:t>.</w:t>
      </w:r>
    </w:p>
    <w:p w14:paraId="47B87BE3" w14:textId="7249AEF1" w:rsidR="00BE373B" w:rsidRPr="00AC04B2" w:rsidRDefault="00BE373B" w:rsidP="00F00D91">
      <w:pPr>
        <w:pStyle w:val="Body"/>
      </w:pPr>
      <w:r w:rsidRPr="00AC04B2">
        <w:t xml:space="preserve">IHACPA’s role </w:t>
      </w:r>
      <w:r w:rsidR="006444BE" w:rsidRPr="00AC04B2">
        <w:t xml:space="preserve">pertaining to the provision of </w:t>
      </w:r>
      <w:r w:rsidR="002A2BAE" w:rsidRPr="00AC04B2">
        <w:t xml:space="preserve">advice on aged care costing and pricing matters to the </w:t>
      </w:r>
      <w:r w:rsidR="00B20E4E">
        <w:t>Australian Government</w:t>
      </w:r>
      <w:r w:rsidR="00B20E4E" w:rsidRPr="00AC04B2">
        <w:t xml:space="preserve"> </w:t>
      </w:r>
      <w:r w:rsidR="002A2BAE" w:rsidRPr="00AC04B2">
        <w:t>Minister for Health and Aged Care</w:t>
      </w:r>
      <w:r w:rsidR="006444BE" w:rsidRPr="00AC04B2">
        <w:t xml:space="preserve"> includes</w:t>
      </w:r>
      <w:r w:rsidRPr="00AC04B2">
        <w:t>:</w:t>
      </w:r>
    </w:p>
    <w:p w14:paraId="7ECDEBAD" w14:textId="08441794" w:rsidR="002A2BAE" w:rsidRPr="00AC04B2" w:rsidRDefault="002A2BAE" w:rsidP="00E25924">
      <w:pPr>
        <w:pStyle w:val="BulletList"/>
      </w:pPr>
      <w:r w:rsidRPr="00AC04B2">
        <w:t xml:space="preserve">providing aged care pricing advice about </w:t>
      </w:r>
      <w:r w:rsidR="00F5743B">
        <w:t xml:space="preserve">changes in the cost of care and </w:t>
      </w:r>
      <w:r w:rsidRPr="00AC04B2">
        <w:t xml:space="preserve">methods for calculating amounts of subsidies to be paid for </w:t>
      </w:r>
      <w:r w:rsidR="00F5743B">
        <w:t>aged care services,</w:t>
      </w:r>
      <w:r w:rsidRPr="00AC04B2">
        <w:t xml:space="preserve"> </w:t>
      </w:r>
      <w:r w:rsidR="00F5743B">
        <w:t>for</w:t>
      </w:r>
      <w:r w:rsidRPr="00AC04B2">
        <w:t xml:space="preserve"> consider</w:t>
      </w:r>
      <w:r w:rsidR="00F5743B">
        <w:t>ation</w:t>
      </w:r>
      <w:r w:rsidRPr="00AC04B2">
        <w:t xml:space="preserve"> in </w:t>
      </w:r>
      <w:r w:rsidR="005C178A">
        <w:t>Australian</w:t>
      </w:r>
      <w:r w:rsidR="005C178A" w:rsidRPr="00AC04B2">
        <w:t xml:space="preserve"> </w:t>
      </w:r>
      <w:r w:rsidRPr="00AC04B2">
        <w:t>Government funding decisions</w:t>
      </w:r>
    </w:p>
    <w:p w14:paraId="3CD74934" w14:textId="70B07701" w:rsidR="002A2BAE" w:rsidRPr="00AC04B2" w:rsidRDefault="002A2BAE" w:rsidP="00E25924">
      <w:pPr>
        <w:pStyle w:val="BulletList"/>
      </w:pPr>
      <w:r w:rsidRPr="00AC04B2">
        <w:t>reviewing data, conducting studies and undertaking consultation for the purpose of providing aged care costing and pricing advice</w:t>
      </w:r>
    </w:p>
    <w:p w14:paraId="2A202563" w14:textId="585B846B" w:rsidR="002A2BAE" w:rsidRPr="00AC04B2" w:rsidRDefault="002A2BAE" w:rsidP="00E25924">
      <w:pPr>
        <w:pStyle w:val="BulletList"/>
      </w:pPr>
      <w:r w:rsidRPr="00AC04B2">
        <w:t xml:space="preserve">performing such functions as conferred by the </w:t>
      </w:r>
      <w:r w:rsidRPr="006E48E1">
        <w:rPr>
          <w:i/>
          <w:iCs/>
        </w:rPr>
        <w:t>Aged Care Act 1997</w:t>
      </w:r>
      <w:r w:rsidRPr="00AC04B2">
        <w:t xml:space="preserve"> </w:t>
      </w:r>
      <w:r w:rsidR="006E48E1">
        <w:t xml:space="preserve">(the Aged Care Act) </w:t>
      </w:r>
      <w:r w:rsidRPr="00AC04B2">
        <w:t xml:space="preserve">or the </w:t>
      </w:r>
      <w:r w:rsidRPr="006E48E1">
        <w:rPr>
          <w:i/>
          <w:iCs/>
        </w:rPr>
        <w:t>Aged Care (Transitional Provisions) Act</w:t>
      </w:r>
      <w:r w:rsidR="00CC1400" w:rsidRPr="006E48E1">
        <w:rPr>
          <w:rFonts w:hint="cs"/>
          <w:i/>
          <w:iCs/>
        </w:rPr>
        <w:t> </w:t>
      </w:r>
      <w:r w:rsidRPr="006E48E1">
        <w:rPr>
          <w:i/>
          <w:iCs/>
        </w:rPr>
        <w:t>1997</w:t>
      </w:r>
    </w:p>
    <w:p w14:paraId="2E47041C" w14:textId="6E1B27AA" w:rsidR="002A2BAE" w:rsidRPr="00AC04B2" w:rsidRDefault="002A2BAE" w:rsidP="00E25924">
      <w:pPr>
        <w:pStyle w:val="BulletList"/>
      </w:pPr>
      <w:r w:rsidRPr="00AC04B2">
        <w:t>performing other functions relating to aged care (if any) specified in regulations</w:t>
      </w:r>
    </w:p>
    <w:p w14:paraId="2C8409E0" w14:textId="720A60DA" w:rsidR="00BE373B" w:rsidRPr="00AC04B2" w:rsidRDefault="002A2BAE" w:rsidP="00E25924">
      <w:pPr>
        <w:pStyle w:val="BulletList"/>
      </w:pPr>
      <w:r w:rsidRPr="00AC04B2">
        <w:t>undertaking other actions incidental or conducive to the performance of the above functions</w:t>
      </w:r>
      <w:r w:rsidR="00BE373B" w:rsidRPr="00AC04B2">
        <w:t>.</w:t>
      </w:r>
    </w:p>
    <w:p w14:paraId="5D444A19" w14:textId="0945F652" w:rsidR="002A2BAE" w:rsidRPr="00AC04B2" w:rsidRDefault="002A2BAE" w:rsidP="00F00D91">
      <w:pPr>
        <w:pStyle w:val="Body"/>
      </w:pPr>
      <w:r w:rsidRPr="00AC04B2">
        <w:lastRenderedPageBreak/>
        <w:t xml:space="preserve">IHACPA </w:t>
      </w:r>
      <w:r w:rsidR="00115829">
        <w:t>also</w:t>
      </w:r>
      <w:r w:rsidR="00115829" w:rsidRPr="00AC04B2">
        <w:t xml:space="preserve"> </w:t>
      </w:r>
      <w:r w:rsidRPr="00AC04B2">
        <w:t xml:space="preserve">has the power to approve </w:t>
      </w:r>
      <w:r w:rsidR="00237EBA">
        <w:t>a</w:t>
      </w:r>
      <w:r w:rsidR="00237EBA" w:rsidRPr="00AC04B2">
        <w:t xml:space="preserve"> </w:t>
      </w:r>
      <w:r w:rsidR="00237EBA">
        <w:t xml:space="preserve">refundable accommodation deposit (RAD) amount higher than the maximum determined by the </w:t>
      </w:r>
      <w:r w:rsidR="00B20E4E">
        <w:t xml:space="preserve">Australian Government </w:t>
      </w:r>
      <w:r w:rsidR="00237EBA">
        <w:t>Minister for Health and Aged Care and the power to approve increases to</w:t>
      </w:r>
      <w:r w:rsidR="00237EBA" w:rsidRPr="00AC04B2" w:rsidDel="00237EBA">
        <w:t xml:space="preserve"> </w:t>
      </w:r>
      <w:r w:rsidRPr="00AC04B2">
        <w:t>extra service</w:t>
      </w:r>
      <w:r w:rsidR="00237EBA">
        <w:t xml:space="preserve"> fee</w:t>
      </w:r>
      <w:r w:rsidRPr="00AC04B2">
        <w:t>s</w:t>
      </w:r>
      <w:r w:rsidR="00974D49" w:rsidRPr="00AC04B2">
        <w:t>.</w:t>
      </w:r>
    </w:p>
    <w:p w14:paraId="07FF7A5E" w14:textId="4A73120A" w:rsidR="006E7666" w:rsidRPr="00AC04B2" w:rsidRDefault="00142C12" w:rsidP="007F392E">
      <w:pPr>
        <w:pStyle w:val="H2"/>
        <w:rPr>
          <w:b/>
        </w:rPr>
      </w:pPr>
      <w:bookmarkStart w:id="17" w:name="_Toc55044574"/>
      <w:bookmarkStart w:id="18" w:name="_Toc55053980"/>
      <w:bookmarkStart w:id="19" w:name="_Toc55974108"/>
      <w:bookmarkStart w:id="20" w:name="_Toc133416933"/>
      <w:bookmarkEnd w:id="16"/>
      <w:r w:rsidRPr="00AC04B2">
        <w:t>1.</w:t>
      </w:r>
      <w:r w:rsidR="004C492C" w:rsidRPr="00AC04B2">
        <w:t>2</w:t>
      </w:r>
      <w:r w:rsidR="007F392E" w:rsidRPr="00AC04B2">
        <w:tab/>
      </w:r>
      <w:r w:rsidR="006E7666" w:rsidRPr="00AC04B2">
        <w:t>Strategic objectives</w:t>
      </w:r>
      <w:bookmarkEnd w:id="17"/>
      <w:bookmarkEnd w:id="18"/>
      <w:bookmarkEnd w:id="19"/>
      <w:r w:rsidR="004C492C" w:rsidRPr="00AC04B2">
        <w:t xml:space="preserve"> and key activities</w:t>
      </w:r>
      <w:bookmarkEnd w:id="20"/>
    </w:p>
    <w:p w14:paraId="0E88AABA" w14:textId="63B10435" w:rsidR="00463567" w:rsidRPr="00AC04B2" w:rsidRDefault="00463567" w:rsidP="00F00D91">
      <w:pPr>
        <w:pStyle w:val="Body"/>
      </w:pPr>
      <w:bookmarkStart w:id="21" w:name="_Hlk118122882"/>
      <w:r w:rsidRPr="00AC04B2">
        <w:t>The Work Program and Corporate Plan 202</w:t>
      </w:r>
      <w:r w:rsidR="00115829">
        <w:t>4</w:t>
      </w:r>
      <w:r w:rsidRPr="00AC04B2">
        <w:t>–2</w:t>
      </w:r>
      <w:r w:rsidR="00130EEA">
        <w:t>5</w:t>
      </w:r>
      <w:r w:rsidRPr="00AC04B2">
        <w:t xml:space="preserve"> has </w:t>
      </w:r>
      <w:r w:rsidR="007966A7" w:rsidRPr="00AC04B2">
        <w:t xml:space="preserve">six </w:t>
      </w:r>
      <w:r w:rsidRPr="00AC04B2">
        <w:t>strategic objectives with associated key activities for delivery. IH</w:t>
      </w:r>
      <w:r w:rsidR="00BE373B" w:rsidRPr="00AC04B2">
        <w:t>AC</w:t>
      </w:r>
      <w:r w:rsidRPr="00AC04B2">
        <w:t>PA’s strategic objectives for 202</w:t>
      </w:r>
      <w:r w:rsidR="00130EEA">
        <w:t>4</w:t>
      </w:r>
      <w:r w:rsidRPr="00AC04B2">
        <w:t>–2</w:t>
      </w:r>
      <w:r w:rsidR="00130EEA">
        <w:t>5</w:t>
      </w:r>
      <w:r w:rsidRPr="00AC04B2">
        <w:t xml:space="preserve"> are outlined below:</w:t>
      </w:r>
    </w:p>
    <w:p w14:paraId="59449073" w14:textId="7568A58C" w:rsidR="006E7666" w:rsidRPr="00AC04B2" w:rsidRDefault="00233741" w:rsidP="004763FD">
      <w:pPr>
        <w:pStyle w:val="Heading3"/>
      </w:pPr>
      <w:r w:rsidRPr="00AC04B2">
        <w:t>P</w:t>
      </w:r>
      <w:r w:rsidR="006E7666" w:rsidRPr="00AC04B2">
        <w:t>erform pricing functions</w:t>
      </w:r>
    </w:p>
    <w:p w14:paraId="66D22B49" w14:textId="0257243E" w:rsidR="00A35AFC" w:rsidRPr="00AC04B2" w:rsidRDefault="00882C72" w:rsidP="00F00D91">
      <w:pPr>
        <w:pStyle w:val="Body"/>
      </w:pPr>
      <w:r w:rsidRPr="00AC04B2">
        <w:t>IH</w:t>
      </w:r>
      <w:r w:rsidR="00BE373B" w:rsidRPr="00AC04B2">
        <w:t>AC</w:t>
      </w:r>
      <w:r w:rsidRPr="00AC04B2">
        <w:t>PA</w:t>
      </w:r>
      <w:r w:rsidR="00B67BE0" w:rsidRPr="00AC04B2">
        <w:t xml:space="preserve"> has a key function in developing the NEP and NEC</w:t>
      </w:r>
      <w:r w:rsidRPr="00AC04B2">
        <w:t xml:space="preserve"> Determinations </w:t>
      </w:r>
      <w:r w:rsidR="00A35AFC" w:rsidRPr="00AC04B2">
        <w:t xml:space="preserve">for Australian public hospital services </w:t>
      </w:r>
      <w:r w:rsidRPr="00AC04B2">
        <w:t>each year. The Pricing Framework for Australian Public Hospital Services forms the policy basis for the NEP and NEC Determinations</w:t>
      </w:r>
      <w:r w:rsidR="00B67BE0" w:rsidRPr="00AC04B2">
        <w:t xml:space="preserve"> and </w:t>
      </w:r>
      <w:r w:rsidRPr="00AC04B2">
        <w:t>outlines the principles, scope and methodology to be adopted by IH</w:t>
      </w:r>
      <w:r w:rsidR="00BE373B" w:rsidRPr="00AC04B2">
        <w:t>AC</w:t>
      </w:r>
      <w:r w:rsidRPr="00AC04B2">
        <w:t>PA in the setting of the NEP and NEC Determinations for public hospital services in the next financial year.</w:t>
      </w:r>
    </w:p>
    <w:p w14:paraId="44729D86" w14:textId="2726428C" w:rsidR="00971DA2" w:rsidRDefault="00875200" w:rsidP="00971DA2">
      <w:pPr>
        <w:pStyle w:val="Body"/>
      </w:pPr>
      <w:r w:rsidRPr="00AC04B2">
        <w:t xml:space="preserve">IHACPA </w:t>
      </w:r>
      <w:r w:rsidR="004E78DA">
        <w:t xml:space="preserve">is </w:t>
      </w:r>
      <w:r w:rsidR="00130EEA">
        <w:t xml:space="preserve">also </w:t>
      </w:r>
      <w:r w:rsidR="004E78DA">
        <w:t xml:space="preserve">responsible for </w:t>
      </w:r>
      <w:r w:rsidR="00130EEA">
        <w:t>provid</w:t>
      </w:r>
      <w:r w:rsidR="00AF64E9">
        <w:t>ing</w:t>
      </w:r>
      <w:r w:rsidRPr="00AC04B2">
        <w:t xml:space="preserve"> independent advice to the </w:t>
      </w:r>
      <w:r w:rsidR="00DE0FFF">
        <w:t>Australian Government</w:t>
      </w:r>
      <w:r w:rsidR="00DE0FFF" w:rsidRPr="00AC04B2">
        <w:t xml:space="preserve"> </w:t>
      </w:r>
      <w:r w:rsidRPr="00AC04B2">
        <w:t xml:space="preserve">Minister for Health and Aged Care on </w:t>
      </w:r>
      <w:r w:rsidR="00971DA2">
        <w:t xml:space="preserve">costing and pricing for residential </w:t>
      </w:r>
      <w:r w:rsidRPr="00AC04B2">
        <w:t xml:space="preserve">aged care </w:t>
      </w:r>
      <w:r w:rsidR="00971DA2">
        <w:t>services</w:t>
      </w:r>
      <w:r w:rsidRPr="00AC04B2">
        <w:t xml:space="preserve">. The Pricing Framework for Australian Residential Aged Care Services outlines the principles, scope and methodology to be adopted by IHACPA when making recommendations to the </w:t>
      </w:r>
      <w:r w:rsidR="00DE0FFF">
        <w:t>Australian Government</w:t>
      </w:r>
      <w:r w:rsidR="00DE0FFF" w:rsidRPr="00AC04B2">
        <w:t xml:space="preserve"> </w:t>
      </w:r>
      <w:r w:rsidRPr="00AC04B2">
        <w:t xml:space="preserve">Minister for Health and Aged Care on the refinement of the </w:t>
      </w:r>
      <w:r w:rsidR="005A46D7">
        <w:t>funding model</w:t>
      </w:r>
      <w:r w:rsidR="005A46D7" w:rsidRPr="00AC04B2">
        <w:t xml:space="preserve"> </w:t>
      </w:r>
      <w:r w:rsidRPr="00AC04B2">
        <w:t>for residential aged care services</w:t>
      </w:r>
      <w:r w:rsidR="00971DA2">
        <w:t>.</w:t>
      </w:r>
    </w:p>
    <w:p w14:paraId="0F037B72" w14:textId="47994CD7" w:rsidR="00875200" w:rsidRDefault="00AF64E9" w:rsidP="00971DA2">
      <w:pPr>
        <w:pStyle w:val="Body"/>
      </w:pPr>
      <w:r w:rsidRPr="00B20E4E">
        <w:t xml:space="preserve">In addition, </w:t>
      </w:r>
      <w:r w:rsidR="00971DA2" w:rsidRPr="00B20E4E">
        <w:t>IHACPA is required to provide pricing advice on a set of unit prices for the new Support at Home program from 1 July 2025. Consultation</w:t>
      </w:r>
      <w:r w:rsidR="00167D6C" w:rsidRPr="00B20E4E">
        <w:t xml:space="preserve"> on </w:t>
      </w:r>
      <w:r w:rsidR="00DE48B0" w:rsidRPr="00B20E4E">
        <w:t>the development of</w:t>
      </w:r>
      <w:r w:rsidR="00971DA2" w:rsidRPr="00B20E4E">
        <w:t xml:space="preserve"> the Pricing Framework for Australian Support at Home Aged Care Services 2025–26 will inform the underlying principles of pricing advice for the Support at Home funding model</w:t>
      </w:r>
      <w:r w:rsidR="00875200" w:rsidRPr="00B20E4E">
        <w:t>.</w:t>
      </w:r>
      <w:r w:rsidR="00875200" w:rsidRPr="00AC04B2">
        <w:t xml:space="preserve"> </w:t>
      </w:r>
    </w:p>
    <w:p w14:paraId="21491DD0" w14:textId="1D22D933" w:rsidR="00AF64E9" w:rsidRPr="00AC04B2" w:rsidRDefault="00AF64E9" w:rsidP="00971DA2">
      <w:pPr>
        <w:pStyle w:val="Body"/>
      </w:pPr>
      <w:r>
        <w:t xml:space="preserve">As part of IHACPA’s expanded remit, IHACPA is also responsible for </w:t>
      </w:r>
      <w:r w:rsidRPr="00154FB1">
        <w:t xml:space="preserve">approving </w:t>
      </w:r>
      <w:r>
        <w:t>higher maximum</w:t>
      </w:r>
      <w:r w:rsidRPr="00154FB1">
        <w:t xml:space="preserve"> accommodation </w:t>
      </w:r>
      <w:r>
        <w:t>payment amounts</w:t>
      </w:r>
      <w:r w:rsidR="000C24C0">
        <w:t xml:space="preserve"> and</w:t>
      </w:r>
      <w:r>
        <w:t xml:space="preserve"> increases to</w:t>
      </w:r>
      <w:r w:rsidRPr="00154FB1">
        <w:t xml:space="preserve"> extra service</w:t>
      </w:r>
      <w:r>
        <w:t xml:space="preserve"> fee</w:t>
      </w:r>
      <w:r w:rsidRPr="00154FB1">
        <w:t>s</w:t>
      </w:r>
      <w:r w:rsidR="008B27D5">
        <w:t xml:space="preserve">, as part of the functions </w:t>
      </w:r>
      <w:r w:rsidR="008B27D5" w:rsidRPr="008B27D5">
        <w:t xml:space="preserve">conferred by the </w:t>
      </w:r>
      <w:r w:rsidR="008B27D5" w:rsidRPr="00FF78C7">
        <w:rPr>
          <w:i/>
          <w:iCs/>
        </w:rPr>
        <w:t>Aged Care Act 1997</w:t>
      </w:r>
      <w:r>
        <w:t>.</w:t>
      </w:r>
    </w:p>
    <w:p w14:paraId="139F95B1" w14:textId="346EFDD2" w:rsidR="006E7666" w:rsidRPr="00AC04B2" w:rsidRDefault="006E7666" w:rsidP="004763FD">
      <w:pPr>
        <w:pStyle w:val="Heading3"/>
      </w:pPr>
      <w:r w:rsidRPr="00AC04B2">
        <w:t xml:space="preserve">Refine and develop hospital </w:t>
      </w:r>
      <w:r w:rsidR="009E45C5" w:rsidRPr="00AC04B2">
        <w:t xml:space="preserve">and aged care </w:t>
      </w:r>
      <w:r w:rsidRPr="00AC04B2">
        <w:t>activity classification systems</w:t>
      </w:r>
    </w:p>
    <w:p w14:paraId="6E6B9096" w14:textId="77777777" w:rsidR="00875200" w:rsidRPr="00AC04B2" w:rsidRDefault="00B67BE0" w:rsidP="00F00D91">
      <w:pPr>
        <w:pStyle w:val="Body"/>
      </w:pPr>
      <w:r w:rsidRPr="00AC04B2">
        <w:t>Activity based funding (</w:t>
      </w:r>
      <w:r w:rsidR="00882C72" w:rsidRPr="00AC04B2">
        <w:t>ABF</w:t>
      </w:r>
      <w:r w:rsidRPr="00AC04B2">
        <w:t>)</w:t>
      </w:r>
      <w:r w:rsidR="00882C72" w:rsidRPr="00AC04B2">
        <w:t xml:space="preserve"> requires robust classification systems upon which pricing can be based. </w:t>
      </w:r>
    </w:p>
    <w:p w14:paraId="5F6E3E33" w14:textId="19821758" w:rsidR="00875200" w:rsidRPr="00AC04B2" w:rsidRDefault="00882C72" w:rsidP="00F00D91">
      <w:pPr>
        <w:pStyle w:val="Body"/>
      </w:pPr>
      <w:r w:rsidRPr="00AC04B2">
        <w:t xml:space="preserve">Classifications </w:t>
      </w:r>
      <w:r w:rsidR="00875200" w:rsidRPr="00AC04B2">
        <w:t xml:space="preserve">for the health care sector </w:t>
      </w:r>
      <w:r w:rsidRPr="00AC04B2">
        <w:t>provide a nationally consistent method of classifying all types of patients, their treatment and associated costs. IH</w:t>
      </w:r>
      <w:r w:rsidR="00BE373B" w:rsidRPr="00AC04B2">
        <w:t>AC</w:t>
      </w:r>
      <w:r w:rsidRPr="00AC04B2">
        <w:t>PA has determined national classification systems for the admitted acute, admitted subacute and non</w:t>
      </w:r>
      <w:r w:rsidR="00504F90" w:rsidRPr="00AC04B2">
        <w:noBreakHyphen/>
      </w:r>
      <w:r w:rsidRPr="00AC04B2">
        <w:t xml:space="preserve">acute, </w:t>
      </w:r>
      <w:r w:rsidR="003272CA" w:rsidRPr="00AC04B2">
        <w:t xml:space="preserve">emergency, </w:t>
      </w:r>
      <w:r w:rsidRPr="00AC04B2">
        <w:t>mental health</w:t>
      </w:r>
      <w:r w:rsidR="00B67BE0" w:rsidRPr="00AC04B2">
        <w:t xml:space="preserve"> and</w:t>
      </w:r>
      <w:r w:rsidRPr="00AC04B2">
        <w:t xml:space="preserve"> </w:t>
      </w:r>
      <w:r w:rsidR="003272CA" w:rsidRPr="00AC04B2">
        <w:t xml:space="preserve">non-admitted </w:t>
      </w:r>
      <w:r w:rsidR="00B67BE0" w:rsidRPr="00AC04B2">
        <w:t xml:space="preserve">patient service categories </w:t>
      </w:r>
      <w:r w:rsidRPr="00AC04B2">
        <w:t xml:space="preserve">and teaching and training </w:t>
      </w:r>
      <w:r w:rsidR="00B67BE0" w:rsidRPr="00AC04B2">
        <w:t>services</w:t>
      </w:r>
      <w:r w:rsidRPr="00AC04B2">
        <w:t xml:space="preserve">. </w:t>
      </w:r>
      <w:r w:rsidR="009E45C5" w:rsidRPr="00AC04B2">
        <w:t>These c</w:t>
      </w:r>
      <w:r w:rsidRPr="00AC04B2">
        <w:t>lassifications are reviewed regularly and updated periodically to ensure that they remain clinically relevant and resource homogeneous within a service category.</w:t>
      </w:r>
    </w:p>
    <w:p w14:paraId="23CF7AF0" w14:textId="01D3C5B6" w:rsidR="00CE571E" w:rsidRPr="00AC04B2" w:rsidRDefault="00875200" w:rsidP="00F00D91">
      <w:pPr>
        <w:pStyle w:val="Body"/>
      </w:pPr>
      <w:r w:rsidRPr="00CE571E">
        <w:t xml:space="preserve">Within the aged care sector, the </w:t>
      </w:r>
      <w:r w:rsidR="002D286F" w:rsidRPr="00CE571E">
        <w:t>Australian National Aged Care Classification (</w:t>
      </w:r>
      <w:r w:rsidRPr="00CE571E">
        <w:t>AN-ACC</w:t>
      </w:r>
      <w:r w:rsidR="002D286F" w:rsidRPr="00CE571E">
        <w:t>)</w:t>
      </w:r>
      <w:r w:rsidRPr="00CE571E">
        <w:t xml:space="preserve"> model provides </w:t>
      </w:r>
      <w:r w:rsidR="00CE571E" w:rsidRPr="00084465">
        <w:t>funding</w:t>
      </w:r>
      <w:r w:rsidR="00CE571E" w:rsidRPr="00CE571E">
        <w:t xml:space="preserve"> </w:t>
      </w:r>
      <w:r w:rsidRPr="00CE571E">
        <w:t xml:space="preserve">to approved aged care providers </w:t>
      </w:r>
      <w:r w:rsidR="00CE571E" w:rsidRPr="00084465">
        <w:t xml:space="preserve">reflective of service location and specialisation </w:t>
      </w:r>
      <w:r w:rsidRPr="00CE571E">
        <w:t>and each residents</w:t>
      </w:r>
      <w:r w:rsidRPr="00CE571E">
        <w:rPr>
          <w:rFonts w:hint="cs"/>
        </w:rPr>
        <w:t>’</w:t>
      </w:r>
      <w:r w:rsidRPr="00CE571E">
        <w:t xml:space="preserve"> care needs. IHACPA’s role is to </w:t>
      </w:r>
      <w:r w:rsidR="00C8745B" w:rsidRPr="00C8745B">
        <w:t xml:space="preserve">provide pricing and costing advice to the </w:t>
      </w:r>
      <w:r w:rsidR="00DE0FFF">
        <w:t xml:space="preserve">Australian </w:t>
      </w:r>
      <w:r w:rsidR="00C8745B" w:rsidRPr="00C8745B">
        <w:t>Government, including potential adjustments and refinements to</w:t>
      </w:r>
      <w:r w:rsidR="00C8745B">
        <w:t xml:space="preserve"> the</w:t>
      </w:r>
      <w:r w:rsidR="00C8745B" w:rsidRPr="00C8745B">
        <w:t xml:space="preserve"> AN-ACC</w:t>
      </w:r>
      <w:r w:rsidRPr="00CE571E">
        <w:t>.</w:t>
      </w:r>
    </w:p>
    <w:p w14:paraId="2F9A910D" w14:textId="3B2B4235" w:rsidR="006E7666" w:rsidRPr="00AC04B2" w:rsidRDefault="006E7666" w:rsidP="004763FD">
      <w:pPr>
        <w:pStyle w:val="Heading3"/>
      </w:pPr>
      <w:r w:rsidRPr="00AC04B2">
        <w:t xml:space="preserve">Refine and improve hospital </w:t>
      </w:r>
      <w:r w:rsidR="009E45C5" w:rsidRPr="00AC04B2">
        <w:t xml:space="preserve">and aged care </w:t>
      </w:r>
      <w:r w:rsidRPr="00AC04B2">
        <w:t>costing</w:t>
      </w:r>
    </w:p>
    <w:p w14:paraId="790504BE" w14:textId="3FC655AC" w:rsidR="00140602" w:rsidRPr="00AC04B2" w:rsidRDefault="00875200" w:rsidP="00F00D91">
      <w:pPr>
        <w:pStyle w:val="Body"/>
      </w:pPr>
      <w:r w:rsidRPr="00AC04B2">
        <w:t>C</w:t>
      </w:r>
      <w:r w:rsidR="00882C72" w:rsidRPr="00AC04B2">
        <w:t>osting focuses on the cost and mix of resources used to deliver care and plays a vital role in ABF. Costing</w:t>
      </w:r>
      <w:r w:rsidR="00504F90" w:rsidRPr="00AC04B2">
        <w:t> </w:t>
      </w:r>
      <w:r w:rsidR="00882C72" w:rsidRPr="00AC04B2">
        <w:t xml:space="preserve">informs the development of classification systems and provides valuable information for pricing purposes. </w:t>
      </w:r>
    </w:p>
    <w:p w14:paraId="7D5C840B" w14:textId="1DD02E68" w:rsidR="00140602" w:rsidRPr="00AC04B2" w:rsidRDefault="00140602" w:rsidP="00F00D91">
      <w:pPr>
        <w:pStyle w:val="Body"/>
      </w:pPr>
      <w:r w:rsidRPr="00AC04B2">
        <w:t xml:space="preserve">For the health care sector, </w:t>
      </w:r>
      <w:r w:rsidR="00882C72" w:rsidRPr="00AC04B2">
        <w:t>IH</w:t>
      </w:r>
      <w:r w:rsidR="00216DE6" w:rsidRPr="00AC04B2">
        <w:t>AC</w:t>
      </w:r>
      <w:r w:rsidR="00882C72" w:rsidRPr="00AC04B2">
        <w:t>PA</w:t>
      </w:r>
      <w:r w:rsidR="00504F90" w:rsidRPr="00AC04B2">
        <w:t> </w:t>
      </w:r>
      <w:r w:rsidR="00882C72" w:rsidRPr="00AC04B2">
        <w:t xml:space="preserve">coordinates the annual National Hospital Cost Data Collection, which is the primary input into the NEP. This includes the development of national costing standards, collection, validation, quality assurance, analysis and reporting, and benchmarking. The cost collection is undertaken in conjunction with </w:t>
      </w:r>
      <w:r w:rsidR="00083E7B" w:rsidRPr="00AC04B2">
        <w:t xml:space="preserve">the </w:t>
      </w:r>
      <w:r w:rsidR="00882C72" w:rsidRPr="00AC04B2">
        <w:t>state and territor</w:t>
      </w:r>
      <w:r w:rsidR="00B20E4E">
        <w:t>y governments</w:t>
      </w:r>
      <w:r w:rsidR="00882C72" w:rsidRPr="00AC04B2">
        <w:t>, and private hospitals.</w:t>
      </w:r>
    </w:p>
    <w:p w14:paraId="57BB75F7" w14:textId="430DFB00" w:rsidR="006E7666" w:rsidRPr="00AC04B2" w:rsidRDefault="00140602" w:rsidP="00F00D91">
      <w:pPr>
        <w:pStyle w:val="Body"/>
      </w:pPr>
      <w:r w:rsidRPr="00AC04B2">
        <w:t xml:space="preserve">For the aged care sector, IHACPA </w:t>
      </w:r>
      <w:r w:rsidR="00652ACF">
        <w:t>is</w:t>
      </w:r>
      <w:r w:rsidR="00652ACF" w:rsidRPr="00AC04B2">
        <w:t xml:space="preserve"> </w:t>
      </w:r>
      <w:r w:rsidR="00974D49" w:rsidRPr="00AC04B2">
        <w:t>develop</w:t>
      </w:r>
      <w:r w:rsidR="00652ACF">
        <w:t>ing</w:t>
      </w:r>
      <w:r w:rsidR="00974D49" w:rsidRPr="00AC04B2">
        <w:t xml:space="preserve"> </w:t>
      </w:r>
      <w:r w:rsidRPr="00AC04B2">
        <w:t xml:space="preserve">a costing framework and methodology, data sets and related materials and processes </w:t>
      </w:r>
      <w:r w:rsidR="00D50265">
        <w:t>that</w:t>
      </w:r>
      <w:r w:rsidRPr="00AC04B2">
        <w:t xml:space="preserve"> IHACPA will use for developing pricing advice for residential </w:t>
      </w:r>
      <w:r w:rsidR="00C8745B">
        <w:t xml:space="preserve">and in-home </w:t>
      </w:r>
      <w:r w:rsidRPr="00AC04B2">
        <w:t xml:space="preserve">aged care. IHACPA </w:t>
      </w:r>
      <w:r w:rsidR="00DB4C00">
        <w:t>is</w:t>
      </w:r>
      <w:r w:rsidR="00DB4C00" w:rsidRPr="00AC04B2">
        <w:t xml:space="preserve"> </w:t>
      </w:r>
      <w:r w:rsidRPr="00AC04B2">
        <w:t>also develop</w:t>
      </w:r>
      <w:r w:rsidR="00DB4C00">
        <w:t>ing</w:t>
      </w:r>
      <w:r w:rsidRPr="00AC04B2">
        <w:t xml:space="preserve"> </w:t>
      </w:r>
      <w:r w:rsidR="001E5633" w:rsidRPr="00AC04B2">
        <w:t xml:space="preserve">costing standards and, where required, business rules and guidelines to </w:t>
      </w:r>
      <w:r w:rsidRPr="00AC04B2">
        <w:t>guide the allocation of resident level costs.</w:t>
      </w:r>
    </w:p>
    <w:p w14:paraId="4DA96131" w14:textId="6282569A" w:rsidR="006E7666" w:rsidRPr="00AC04B2" w:rsidRDefault="00F013A9" w:rsidP="00E378B1">
      <w:pPr>
        <w:pStyle w:val="Heading3"/>
        <w:keepNext/>
      </w:pPr>
      <w:r w:rsidRPr="00AC04B2">
        <w:lastRenderedPageBreak/>
        <w:t xml:space="preserve">Determine </w:t>
      </w:r>
      <w:r w:rsidR="006E7666" w:rsidRPr="00AC04B2">
        <w:t>data requirements and collect data</w:t>
      </w:r>
    </w:p>
    <w:p w14:paraId="7602742E" w14:textId="32F58DB8" w:rsidR="006E7666" w:rsidRPr="00AC04B2" w:rsidRDefault="003E1056" w:rsidP="00F00D91">
      <w:pPr>
        <w:pStyle w:val="Body"/>
      </w:pPr>
      <w:r w:rsidRPr="00AC04B2">
        <w:t xml:space="preserve">Timely, accurate and reliable data is vital to </w:t>
      </w:r>
      <w:r w:rsidR="001E5633" w:rsidRPr="00AC04B2">
        <w:t>enable IHACPA to perform its pricing functions and refine and develop activity classification systems</w:t>
      </w:r>
      <w:r w:rsidRPr="00AC04B2">
        <w:t>. IH</w:t>
      </w:r>
      <w:r w:rsidR="00BE373B" w:rsidRPr="00AC04B2">
        <w:t>AC</w:t>
      </w:r>
      <w:r w:rsidRPr="00AC04B2">
        <w:t xml:space="preserve">PA has developed a rolling Three Year Data Plan to communicate to the </w:t>
      </w:r>
      <w:r w:rsidR="00B84499">
        <w:t>Australian Government</w:t>
      </w:r>
      <w:r w:rsidR="00DA6CEA">
        <w:t xml:space="preserve">, </w:t>
      </w:r>
      <w:r w:rsidRPr="00AC04B2">
        <w:t>state</w:t>
      </w:r>
      <w:r w:rsidR="00B20E4E">
        <w:t xml:space="preserve"> </w:t>
      </w:r>
      <w:r w:rsidRPr="00AC04B2">
        <w:t>and territor</w:t>
      </w:r>
      <w:r w:rsidR="00B20E4E">
        <w:t>y governments</w:t>
      </w:r>
      <w:r w:rsidR="00DA6CEA">
        <w:t xml:space="preserve"> </w:t>
      </w:r>
      <w:r w:rsidR="00795074">
        <w:t>and the aged care sector</w:t>
      </w:r>
      <w:r w:rsidR="00795074" w:rsidRPr="00AC04B2">
        <w:t xml:space="preserve"> </w:t>
      </w:r>
      <w:r w:rsidR="001E5633" w:rsidRPr="00AC04B2">
        <w:t xml:space="preserve">of </w:t>
      </w:r>
      <w:r w:rsidRPr="00AC04B2">
        <w:t>the data requirements, data standards and timelines that IH</w:t>
      </w:r>
      <w:r w:rsidR="00BE373B" w:rsidRPr="00AC04B2">
        <w:t>AC</w:t>
      </w:r>
      <w:r w:rsidRPr="00AC04B2">
        <w:t>PA will use to collect data over the coming three years. To ensure greater transparency, IH</w:t>
      </w:r>
      <w:r w:rsidR="00BE373B" w:rsidRPr="00AC04B2">
        <w:t>AC</w:t>
      </w:r>
      <w:r w:rsidRPr="00AC04B2">
        <w:t xml:space="preserve">PA publishes data compliance reports on a quarterly basis </w:t>
      </w:r>
      <w:r w:rsidR="00083E7B" w:rsidRPr="00AC04B2">
        <w:t xml:space="preserve">to </w:t>
      </w:r>
      <w:r w:rsidRPr="00AC04B2">
        <w:t>indicate jurisdictional compliance</w:t>
      </w:r>
      <w:r w:rsidR="00DA6CEA">
        <w:t xml:space="preserve"> </w:t>
      </w:r>
      <w:r w:rsidR="001E5633" w:rsidRPr="00AC04B2">
        <w:t xml:space="preserve">for reporting of public hospital data </w:t>
      </w:r>
      <w:r w:rsidRPr="00AC04B2">
        <w:t>with the specifications in the rolling Three Year Data Plan</w:t>
      </w:r>
      <w:r w:rsidR="006E7666" w:rsidRPr="00AC04B2">
        <w:t>.</w:t>
      </w:r>
    </w:p>
    <w:p w14:paraId="573011AE" w14:textId="4F8E9243" w:rsidR="006E7666" w:rsidRPr="00AC04B2" w:rsidRDefault="002D70AD" w:rsidP="00875200">
      <w:pPr>
        <w:pStyle w:val="Heading3"/>
        <w:keepNext/>
      </w:pPr>
      <w:r w:rsidRPr="00AC04B2">
        <w:t xml:space="preserve">Investigate and make recommendations concerning </w:t>
      </w:r>
      <w:r w:rsidR="006E7666" w:rsidRPr="00AC04B2">
        <w:t xml:space="preserve">cost-shifting and cross-border </w:t>
      </w:r>
      <w:r w:rsidRPr="00AC04B2">
        <w:t xml:space="preserve">disputes </w:t>
      </w:r>
    </w:p>
    <w:p w14:paraId="6A231B8C" w14:textId="03614D67" w:rsidR="006266A3" w:rsidRPr="00AC04B2" w:rsidRDefault="003E1056" w:rsidP="00F00D91">
      <w:pPr>
        <w:pStyle w:val="Body"/>
      </w:pPr>
      <w:r w:rsidRPr="00AC04B2">
        <w:t>IH</w:t>
      </w:r>
      <w:r w:rsidR="00BE373B" w:rsidRPr="00AC04B2">
        <w:t>AC</w:t>
      </w:r>
      <w:r w:rsidRPr="00AC04B2">
        <w:t xml:space="preserve">PA has a role to investigate and make recommendations concerning </w:t>
      </w:r>
      <w:r w:rsidR="00083E7B" w:rsidRPr="00AC04B2">
        <w:t xml:space="preserve">cost-shifting and </w:t>
      </w:r>
      <w:r w:rsidRPr="00AC04B2">
        <w:t>cross-border disputes between</w:t>
      </w:r>
      <w:r w:rsidR="00A60617" w:rsidRPr="00AC04B2">
        <w:t xml:space="preserve"> jurisdictions</w:t>
      </w:r>
      <w:r w:rsidRPr="00AC04B2">
        <w:t xml:space="preserve">, </w:t>
      </w:r>
      <w:r w:rsidR="004A4BD5">
        <w:t>when requested by a</w:t>
      </w:r>
      <w:r w:rsidR="00B20E4E">
        <w:t xml:space="preserve"> state or territory</w:t>
      </w:r>
      <w:r w:rsidR="004A4BD5">
        <w:t xml:space="preserve"> health minister, </w:t>
      </w:r>
      <w:r w:rsidR="00083E7B" w:rsidRPr="00AC04B2">
        <w:t>to ensure the timely, equitable and transparent management of these disputes</w:t>
      </w:r>
      <w:r w:rsidRPr="00AC04B2">
        <w:t>.</w:t>
      </w:r>
    </w:p>
    <w:p w14:paraId="5FE4B3CE" w14:textId="262EBC39" w:rsidR="006E7666" w:rsidRPr="00AC04B2" w:rsidRDefault="006E7666" w:rsidP="004763FD">
      <w:pPr>
        <w:pStyle w:val="Heading3"/>
      </w:pPr>
      <w:r w:rsidRPr="00AC04B2">
        <w:t>Conduct independent and transparent decision-making and engage with stakeholders</w:t>
      </w:r>
    </w:p>
    <w:p w14:paraId="13AF5276" w14:textId="114AA9CF" w:rsidR="001E5633" w:rsidRPr="00AC04B2" w:rsidRDefault="003E1056" w:rsidP="00F00D91">
      <w:pPr>
        <w:pStyle w:val="Body"/>
      </w:pPr>
      <w:r w:rsidRPr="00AC04B2">
        <w:t>IH</w:t>
      </w:r>
      <w:r w:rsidR="00C153D1" w:rsidRPr="00AC04B2">
        <w:t>AC</w:t>
      </w:r>
      <w:r w:rsidRPr="00AC04B2">
        <w:t xml:space="preserve">PA conducts its work independently from </w:t>
      </w:r>
      <w:r w:rsidR="00B20E4E">
        <w:t xml:space="preserve">the Australian Government and state and territory </w:t>
      </w:r>
      <w:r w:rsidRPr="00AC04B2">
        <w:t xml:space="preserve">governments, which allows the </w:t>
      </w:r>
      <w:r w:rsidR="003A3CF1" w:rsidRPr="00AC04B2">
        <w:t xml:space="preserve">Pricing Authority </w:t>
      </w:r>
      <w:r w:rsidRPr="00AC04B2">
        <w:t xml:space="preserve">to deliver impartial, evidence based decisions. </w:t>
      </w:r>
      <w:r w:rsidR="00C663C3" w:rsidRPr="00AC04B2">
        <w:t>IH</w:t>
      </w:r>
      <w:r w:rsidR="00C153D1" w:rsidRPr="00AC04B2">
        <w:t>AC</w:t>
      </w:r>
      <w:r w:rsidR="00C663C3" w:rsidRPr="00AC04B2">
        <w:t xml:space="preserve">PA </w:t>
      </w:r>
      <w:r w:rsidRPr="00AC04B2">
        <w:t xml:space="preserve">is transparent in its decision making </w:t>
      </w:r>
      <w:r w:rsidR="00B56DC6" w:rsidRPr="00AC04B2">
        <w:t>processes and</w:t>
      </w:r>
      <w:r w:rsidRPr="00AC04B2">
        <w:t xml:space="preserve"> consults extensively </w:t>
      </w:r>
      <w:r w:rsidR="00C663C3" w:rsidRPr="00AC04B2">
        <w:t xml:space="preserve">with the </w:t>
      </w:r>
      <w:r w:rsidR="00C573D6">
        <w:t>Australian</w:t>
      </w:r>
      <w:r w:rsidR="00C573D6" w:rsidRPr="00AC04B2">
        <w:t xml:space="preserve"> </w:t>
      </w:r>
      <w:r w:rsidR="00C663C3" w:rsidRPr="00AC04B2">
        <w:t>Government</w:t>
      </w:r>
      <w:r w:rsidR="00B37739" w:rsidRPr="00AC04B2">
        <w:t>,</w:t>
      </w:r>
      <w:r w:rsidR="00C663C3" w:rsidRPr="00AC04B2">
        <w:t xml:space="preserve"> state and territory governments</w:t>
      </w:r>
      <w:r w:rsidR="00795074">
        <w:t>, aged care sector</w:t>
      </w:r>
      <w:r w:rsidR="00C663C3" w:rsidRPr="00AC04B2">
        <w:t xml:space="preserve"> and other stakeholders </w:t>
      </w:r>
      <w:r w:rsidRPr="00AC04B2">
        <w:t>to inform the methodology that underpins IH</w:t>
      </w:r>
      <w:r w:rsidR="00C153D1" w:rsidRPr="00AC04B2">
        <w:t>AC</w:t>
      </w:r>
      <w:r w:rsidRPr="00AC04B2">
        <w:t xml:space="preserve">PA’s decisions and work program. </w:t>
      </w:r>
    </w:p>
    <w:p w14:paraId="0978C466" w14:textId="299BC051" w:rsidR="008366CF" w:rsidRPr="00AC04B2" w:rsidRDefault="003E1056" w:rsidP="00F00D91">
      <w:pPr>
        <w:pStyle w:val="Body"/>
      </w:pPr>
      <w:r w:rsidRPr="00AC04B2">
        <w:t>IH</w:t>
      </w:r>
      <w:r w:rsidR="00C153D1" w:rsidRPr="00AC04B2">
        <w:t>AC</w:t>
      </w:r>
      <w:r w:rsidRPr="00AC04B2">
        <w:t xml:space="preserve">PA has formal consultation </w:t>
      </w:r>
      <w:r w:rsidR="00C663C3" w:rsidRPr="00AC04B2">
        <w:t xml:space="preserve">processes </w:t>
      </w:r>
      <w:r w:rsidRPr="00AC04B2">
        <w:t xml:space="preserve">in place to ensure that it draws on an extensive range of expertise in undertaking its functions. </w:t>
      </w:r>
      <w:r w:rsidR="00C663C3" w:rsidRPr="00AC04B2">
        <w:t>Stakeholder i</w:t>
      </w:r>
      <w:r w:rsidRPr="00AC04B2">
        <w:t>nput from IH</w:t>
      </w:r>
      <w:r w:rsidR="00C153D1" w:rsidRPr="00AC04B2">
        <w:t>AC</w:t>
      </w:r>
      <w:r w:rsidRPr="00AC04B2">
        <w:t xml:space="preserve">PA’s </w:t>
      </w:r>
      <w:r w:rsidR="009B16B8" w:rsidRPr="00AC04B2">
        <w:t xml:space="preserve">advisory </w:t>
      </w:r>
      <w:r w:rsidRPr="00AC04B2">
        <w:t>committees and working groups ensures that IH</w:t>
      </w:r>
      <w:r w:rsidR="00C153D1" w:rsidRPr="00AC04B2">
        <w:t>AC</w:t>
      </w:r>
      <w:r w:rsidRPr="00AC04B2">
        <w:t>PA’s work is informed by expert advice, which helps to establish and uphold IH</w:t>
      </w:r>
      <w:r w:rsidR="00C153D1" w:rsidRPr="00AC04B2">
        <w:t>AC</w:t>
      </w:r>
      <w:r w:rsidRPr="00AC04B2">
        <w:t xml:space="preserve">PA’s credibility throughout the </w:t>
      </w:r>
      <w:r w:rsidR="009B16B8" w:rsidRPr="00AC04B2">
        <w:t xml:space="preserve">health </w:t>
      </w:r>
      <w:r w:rsidR="00812547" w:rsidRPr="00AC04B2">
        <w:t xml:space="preserve">and aged care </w:t>
      </w:r>
      <w:r w:rsidRPr="00AC04B2">
        <w:t>industry.</w:t>
      </w:r>
    </w:p>
    <w:bookmarkEnd w:id="21"/>
    <w:p w14:paraId="4C2FEF51" w14:textId="07CCD082" w:rsidR="008366CF" w:rsidRPr="00AC04B2" w:rsidRDefault="008366CF" w:rsidP="00F00D91">
      <w:pPr>
        <w:pStyle w:val="Body"/>
      </w:pPr>
      <w:r w:rsidRPr="00AC04B2">
        <w:br w:type="page"/>
      </w:r>
    </w:p>
    <w:p w14:paraId="104E4D9F" w14:textId="33E6CE03" w:rsidR="00BA4A46" w:rsidRPr="00AC04B2" w:rsidRDefault="00241EF6" w:rsidP="00B20E4E">
      <w:pPr>
        <w:pStyle w:val="TOCHeading"/>
        <w:tabs>
          <w:tab w:val="left" w:pos="720"/>
          <w:tab w:val="left" w:pos="1440"/>
          <w:tab w:val="left" w:pos="2160"/>
          <w:tab w:val="left" w:pos="2880"/>
          <w:tab w:val="left" w:pos="3600"/>
          <w:tab w:val="left" w:pos="4320"/>
          <w:tab w:val="left" w:pos="5040"/>
          <w:tab w:val="left" w:pos="8350"/>
        </w:tabs>
      </w:pPr>
      <w:bookmarkStart w:id="22" w:name="_Toc55044575"/>
      <w:bookmarkStart w:id="23" w:name="_Toc133416934"/>
      <w:r w:rsidRPr="00AC04B2">
        <w:rPr>
          <w:color w:val="auto"/>
        </w:rPr>
        <w:lastRenderedPageBreak/>
        <w:t>2</w:t>
      </w:r>
      <w:r w:rsidR="00836334" w:rsidRPr="00AC04B2">
        <w:rPr>
          <w:color w:val="auto"/>
        </w:rPr>
        <w:t>.</w:t>
      </w:r>
      <w:r w:rsidR="008D5984" w:rsidRPr="00AC04B2">
        <w:rPr>
          <w:color w:val="auto"/>
        </w:rPr>
        <w:tab/>
      </w:r>
      <w:r w:rsidR="00BA4A46" w:rsidRPr="00AC04B2">
        <w:rPr>
          <w:color w:val="auto"/>
        </w:rPr>
        <w:t>Key activities</w:t>
      </w:r>
      <w:bookmarkEnd w:id="22"/>
      <w:bookmarkEnd w:id="23"/>
      <w:r w:rsidR="00B20E4E">
        <w:rPr>
          <w:color w:val="auto"/>
        </w:rPr>
        <w:tab/>
      </w:r>
    </w:p>
    <w:p w14:paraId="1583A2EF" w14:textId="39F3DB9B" w:rsidR="002779CC" w:rsidRDefault="003E1056" w:rsidP="00E01ED8">
      <w:pPr>
        <w:pStyle w:val="Body"/>
        <w:ind w:right="-114"/>
      </w:pPr>
      <w:r w:rsidRPr="00AC04B2">
        <w:t xml:space="preserve">The Independent </w:t>
      </w:r>
      <w:r w:rsidR="006914EA" w:rsidRPr="00AC04B2">
        <w:t xml:space="preserve">Health and Aged Care </w:t>
      </w:r>
      <w:r w:rsidRPr="00AC04B2">
        <w:t>Pricing Authority’s (IH</w:t>
      </w:r>
      <w:r w:rsidR="006914EA" w:rsidRPr="00AC04B2">
        <w:t>AC</w:t>
      </w:r>
      <w:r w:rsidRPr="00AC04B2">
        <w:t xml:space="preserve">PA) strategic objectives and the associated key deliverables for </w:t>
      </w:r>
      <w:r w:rsidR="00083E7B" w:rsidRPr="00AC04B2">
        <w:t>202</w:t>
      </w:r>
      <w:r w:rsidR="00806E4C">
        <w:t>4</w:t>
      </w:r>
      <w:r w:rsidR="00083E7B" w:rsidRPr="00AC04B2">
        <w:t>–2</w:t>
      </w:r>
      <w:r w:rsidR="00806E4C">
        <w:t>5</w:t>
      </w:r>
      <w:r w:rsidRPr="00AC04B2">
        <w:t xml:space="preserve"> are detailed below.</w:t>
      </w:r>
      <w:r w:rsidR="002779CC" w:rsidRPr="00AC04B2">
        <w:t xml:space="preserve"> </w:t>
      </w:r>
      <w:r w:rsidR="00B83095">
        <w:t xml:space="preserve">Additional major work, not currently listed below, may arise based on </w:t>
      </w:r>
      <w:r w:rsidR="004A4BD5">
        <w:t xml:space="preserve">recommendations from </w:t>
      </w:r>
      <w:r w:rsidR="00B83095">
        <w:t xml:space="preserve">the </w:t>
      </w:r>
      <w:r w:rsidR="004A4BD5">
        <w:t>Mid-term R</w:t>
      </w:r>
      <w:r w:rsidR="00B83095">
        <w:t xml:space="preserve">eview of the </w:t>
      </w:r>
      <w:r w:rsidR="004A4BD5">
        <w:t xml:space="preserve">Addendum to the </w:t>
      </w:r>
      <w:r w:rsidR="00B83095">
        <w:t xml:space="preserve">National Health Reform Agreement </w:t>
      </w:r>
      <w:r w:rsidR="004A4BD5">
        <w:t>2020–25</w:t>
      </w:r>
      <w:r w:rsidR="00B83095">
        <w:t xml:space="preserve">. </w:t>
      </w:r>
    </w:p>
    <w:p w14:paraId="0D622CE9" w14:textId="62CC4685" w:rsidR="000671C0" w:rsidRPr="00AC04B2" w:rsidRDefault="00F135FB" w:rsidP="00E2490E">
      <w:pPr>
        <w:pStyle w:val="H2"/>
        <w:rPr>
          <w:color w:val="104F99"/>
        </w:rPr>
      </w:pPr>
      <w:bookmarkStart w:id="24" w:name="_Toc133416935"/>
      <w:r w:rsidRPr="00AC04B2">
        <w:rPr>
          <w:color w:val="104F99"/>
        </w:rPr>
        <w:t xml:space="preserve">Strategic Objective One: Perform </w:t>
      </w:r>
      <w:r w:rsidR="00E12C83" w:rsidRPr="00AC04B2">
        <w:rPr>
          <w:color w:val="104F99"/>
        </w:rPr>
        <w:t>p</w:t>
      </w:r>
      <w:r w:rsidRPr="00AC04B2">
        <w:rPr>
          <w:color w:val="104F99"/>
        </w:rPr>
        <w:t xml:space="preserve">ricing </w:t>
      </w:r>
      <w:r w:rsidR="00E12C83" w:rsidRPr="00AC04B2">
        <w:rPr>
          <w:color w:val="104F99"/>
        </w:rPr>
        <w:t>f</w:t>
      </w:r>
      <w:r w:rsidRPr="00AC04B2">
        <w:rPr>
          <w:color w:val="104F99"/>
        </w:rPr>
        <w:t>unctions</w:t>
      </w:r>
      <w:bookmarkEnd w:id="24"/>
    </w:p>
    <w:p w14:paraId="229D43D2" w14:textId="10910443" w:rsidR="00B8138A" w:rsidRPr="002F7355" w:rsidRDefault="003C75CD" w:rsidP="00A207F8">
      <w:pPr>
        <w:pStyle w:val="H4"/>
      </w:pPr>
      <w:bookmarkStart w:id="25" w:name="_Toc55053982"/>
      <w:bookmarkStart w:id="26" w:name="_Toc55237203"/>
      <w:bookmarkStart w:id="27" w:name="_Toc55237768"/>
      <w:bookmarkStart w:id="28" w:name="_Toc55238294"/>
      <w:bookmarkStart w:id="29" w:name="_Toc55974112"/>
      <w:r w:rsidRPr="002F7355">
        <w:t>Development of the Pricing Framework for Australian Public Hospital Services 202</w:t>
      </w:r>
      <w:r w:rsidR="002C5B9F">
        <w:t>5</w:t>
      </w:r>
      <w:r w:rsidRPr="002F7355">
        <w:t>–2</w:t>
      </w:r>
      <w:bookmarkEnd w:id="25"/>
      <w:bookmarkEnd w:id="26"/>
      <w:bookmarkEnd w:id="27"/>
      <w:bookmarkEnd w:id="28"/>
      <w:bookmarkEnd w:id="29"/>
      <w:r w:rsidR="002C5B9F">
        <w:t>6</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430"/>
        <w:gridCol w:w="2662"/>
      </w:tblGrid>
      <w:tr w:rsidR="009D7F61" w:rsidRPr="00A207F8" w14:paraId="16B60E73" w14:textId="77777777" w:rsidTr="00FF0E74">
        <w:tc>
          <w:tcPr>
            <w:tcW w:w="3681" w:type="pct"/>
            <w:tcBorders>
              <w:top w:val="nil"/>
              <w:bottom w:val="nil"/>
            </w:tcBorders>
            <w:shd w:val="clear" w:color="auto" w:fill="104F99"/>
            <w:vAlign w:val="center"/>
          </w:tcPr>
          <w:p w14:paraId="063F962D" w14:textId="3D01F2BD" w:rsidR="009D7F61" w:rsidRPr="00A207F8" w:rsidRDefault="00FF0E74" w:rsidP="00A207F8">
            <w:pPr>
              <w:pStyle w:val="TableHeading"/>
            </w:pPr>
            <w:r w:rsidRPr="00A207F8">
              <w:t>Deliverable</w:t>
            </w:r>
          </w:p>
        </w:tc>
        <w:tc>
          <w:tcPr>
            <w:tcW w:w="1319" w:type="pct"/>
            <w:tcBorders>
              <w:top w:val="nil"/>
              <w:bottom w:val="nil"/>
            </w:tcBorders>
            <w:shd w:val="clear" w:color="auto" w:fill="104F99"/>
            <w:vAlign w:val="center"/>
          </w:tcPr>
          <w:p w14:paraId="5070E961" w14:textId="3460A00E" w:rsidR="009D7F61" w:rsidRPr="00A207F8" w:rsidRDefault="00FF0E74" w:rsidP="00A207F8">
            <w:pPr>
              <w:pStyle w:val="TableHeading"/>
            </w:pPr>
            <w:r w:rsidRPr="00A207F8">
              <w:t>Timeframe</w:t>
            </w:r>
          </w:p>
        </w:tc>
      </w:tr>
      <w:tr w:rsidR="009D7F61" w:rsidRPr="00A207F8" w14:paraId="2EDDA53A" w14:textId="77777777" w:rsidTr="00837B80">
        <w:trPr>
          <w:trHeight w:val="510"/>
        </w:trPr>
        <w:tc>
          <w:tcPr>
            <w:tcW w:w="3681" w:type="pct"/>
            <w:tcBorders>
              <w:top w:val="nil"/>
            </w:tcBorders>
          </w:tcPr>
          <w:p w14:paraId="61550DF1" w14:textId="5F025F78" w:rsidR="009D7F61" w:rsidRPr="00A207F8" w:rsidRDefault="00A65E3B" w:rsidP="00A207F8">
            <w:pPr>
              <w:pStyle w:val="TableBodySmall"/>
            </w:pPr>
            <w:r w:rsidRPr="00A207F8">
              <w:t>Complete</w:t>
            </w:r>
            <w:r w:rsidR="009D7F61" w:rsidRPr="00A207F8">
              <w:t xml:space="preserve"> </w:t>
            </w:r>
            <w:r w:rsidR="003E1056" w:rsidRPr="00A207F8">
              <w:t xml:space="preserve">the </w:t>
            </w:r>
            <w:r w:rsidR="009D7F61" w:rsidRPr="00A207F8">
              <w:t xml:space="preserve">public </w:t>
            </w:r>
            <w:r w:rsidR="006B06F5" w:rsidRPr="00A207F8">
              <w:t xml:space="preserve">consultation </w:t>
            </w:r>
            <w:r w:rsidR="009D7F61" w:rsidRPr="00A207F8">
              <w:t>process for the Pricing Framework for Australian Public Hospital Services 202</w:t>
            </w:r>
            <w:r w:rsidR="002C5B9F">
              <w:t>5</w:t>
            </w:r>
            <w:r w:rsidR="009D7F61" w:rsidRPr="00A207F8">
              <w:t>–2</w:t>
            </w:r>
            <w:r w:rsidR="002C5B9F">
              <w:t>6</w:t>
            </w:r>
            <w:r w:rsidR="009D7F61" w:rsidRPr="00A207F8">
              <w:t>.</w:t>
            </w:r>
          </w:p>
        </w:tc>
        <w:tc>
          <w:tcPr>
            <w:tcW w:w="1319" w:type="pct"/>
            <w:tcBorders>
              <w:top w:val="nil"/>
            </w:tcBorders>
          </w:tcPr>
          <w:p w14:paraId="1704D149" w14:textId="7915658B" w:rsidR="009D7F61" w:rsidRPr="00A207F8" w:rsidRDefault="002A6E3E" w:rsidP="00A207F8">
            <w:pPr>
              <w:pStyle w:val="TableBodySmall"/>
            </w:pPr>
            <w:r w:rsidRPr="00A207F8">
              <w:t xml:space="preserve">July </w:t>
            </w:r>
            <w:r w:rsidR="009D7F61" w:rsidRPr="00A207F8">
              <w:t>20</w:t>
            </w:r>
            <w:r w:rsidR="00763105" w:rsidRPr="00A207F8">
              <w:t>2</w:t>
            </w:r>
            <w:r w:rsidR="002C5B9F">
              <w:t>4</w:t>
            </w:r>
          </w:p>
        </w:tc>
      </w:tr>
      <w:tr w:rsidR="009D7F61" w:rsidRPr="00A207F8" w14:paraId="4A71DF54" w14:textId="77777777" w:rsidTr="00837B80">
        <w:trPr>
          <w:trHeight w:val="510"/>
        </w:trPr>
        <w:tc>
          <w:tcPr>
            <w:tcW w:w="3681" w:type="pct"/>
            <w:tcBorders>
              <w:bottom w:val="single" w:sz="4" w:space="0" w:color="auto"/>
            </w:tcBorders>
          </w:tcPr>
          <w:p w14:paraId="08187565" w14:textId="31D451F8" w:rsidR="009D7F61" w:rsidRPr="00A207F8" w:rsidRDefault="00A65E3B" w:rsidP="00A207F8">
            <w:pPr>
              <w:pStyle w:val="TableBodySmall"/>
            </w:pPr>
            <w:r w:rsidRPr="00A207F8">
              <w:t xml:space="preserve">Provide </w:t>
            </w:r>
            <w:r w:rsidR="009D7F61" w:rsidRPr="00A207F8">
              <w:t xml:space="preserve">the draft Pricing Framework for Australian Public Hospital Services </w:t>
            </w:r>
            <w:r w:rsidR="003E1056" w:rsidRPr="00A207F8">
              <w:t>202</w:t>
            </w:r>
            <w:r w:rsidR="002C5B9F">
              <w:t>5</w:t>
            </w:r>
            <w:r w:rsidR="009D7F61" w:rsidRPr="00A207F8">
              <w:t>–2</w:t>
            </w:r>
            <w:r w:rsidR="002C5B9F">
              <w:t>6</w:t>
            </w:r>
            <w:r w:rsidR="009D7F61" w:rsidRPr="00A207F8">
              <w:t xml:space="preserve"> to health ministers for</w:t>
            </w:r>
            <w:r w:rsidR="00DB4CE1" w:rsidRPr="00A207F8">
              <w:t xml:space="preserve"> a</w:t>
            </w:r>
            <w:r w:rsidR="00117196" w:rsidRPr="00A207F8">
              <w:t xml:space="preserve"> 45-</w:t>
            </w:r>
            <w:r w:rsidR="009D7F61" w:rsidRPr="00A207F8">
              <w:t>day comment period.</w:t>
            </w:r>
          </w:p>
        </w:tc>
        <w:tc>
          <w:tcPr>
            <w:tcW w:w="1319" w:type="pct"/>
            <w:tcBorders>
              <w:bottom w:val="single" w:sz="4" w:space="0" w:color="auto"/>
            </w:tcBorders>
          </w:tcPr>
          <w:p w14:paraId="2D5C5692" w14:textId="39596120" w:rsidR="009D7F61" w:rsidRPr="00A207F8" w:rsidRDefault="00AC4D61" w:rsidP="00A207F8">
            <w:pPr>
              <w:pStyle w:val="TableBodySmall"/>
            </w:pPr>
            <w:r w:rsidRPr="00A207F8">
              <w:t xml:space="preserve">September </w:t>
            </w:r>
            <w:r w:rsidR="009D7F61" w:rsidRPr="00A207F8">
              <w:t>20</w:t>
            </w:r>
            <w:r w:rsidR="00763105" w:rsidRPr="00A207F8">
              <w:t>2</w:t>
            </w:r>
            <w:r w:rsidR="002C5B9F">
              <w:t>4</w:t>
            </w:r>
          </w:p>
        </w:tc>
      </w:tr>
      <w:tr w:rsidR="009D7F61" w:rsidRPr="00A207F8" w14:paraId="1DA30ADB" w14:textId="77777777" w:rsidTr="00837B80">
        <w:trPr>
          <w:trHeight w:val="510"/>
        </w:trPr>
        <w:tc>
          <w:tcPr>
            <w:tcW w:w="3681" w:type="pct"/>
            <w:tcBorders>
              <w:top w:val="single" w:sz="4" w:space="0" w:color="auto"/>
              <w:bottom w:val="single" w:sz="4" w:space="0" w:color="auto"/>
            </w:tcBorders>
          </w:tcPr>
          <w:p w14:paraId="0D916D83" w14:textId="6EB66498" w:rsidR="009D7F61" w:rsidRPr="00A207F8" w:rsidRDefault="00A65E3B" w:rsidP="00A207F8">
            <w:pPr>
              <w:pStyle w:val="TableBodySmall"/>
            </w:pPr>
            <w:r w:rsidRPr="00A207F8">
              <w:t xml:space="preserve">Publish </w:t>
            </w:r>
            <w:r w:rsidR="009D7F61" w:rsidRPr="00A207F8">
              <w:t>the final Pricing Framework for Australian Public Hospital Services 202</w:t>
            </w:r>
            <w:r w:rsidR="002C5B9F">
              <w:t>5</w:t>
            </w:r>
            <w:r w:rsidR="009D7F61" w:rsidRPr="00A207F8">
              <w:t>–2</w:t>
            </w:r>
            <w:r w:rsidR="002C5B9F">
              <w:t>6</w:t>
            </w:r>
            <w:r w:rsidR="009D7F61" w:rsidRPr="00A207F8">
              <w:t xml:space="preserve"> on </w:t>
            </w:r>
            <w:r w:rsidR="008E1D67" w:rsidRPr="00A207F8">
              <w:t xml:space="preserve">the </w:t>
            </w:r>
            <w:r w:rsidR="009D7F61" w:rsidRPr="00A207F8">
              <w:t>IH</w:t>
            </w:r>
            <w:r w:rsidR="008B69F1" w:rsidRPr="00A207F8">
              <w:t>AC</w:t>
            </w:r>
            <w:r w:rsidR="009D7F61" w:rsidRPr="00A207F8">
              <w:t>PA website.</w:t>
            </w:r>
          </w:p>
        </w:tc>
        <w:tc>
          <w:tcPr>
            <w:tcW w:w="1319" w:type="pct"/>
            <w:tcBorders>
              <w:top w:val="single" w:sz="4" w:space="0" w:color="auto"/>
              <w:bottom w:val="single" w:sz="4" w:space="0" w:color="auto"/>
            </w:tcBorders>
          </w:tcPr>
          <w:p w14:paraId="1F2305D2" w14:textId="663E0D7B" w:rsidR="009D7F61" w:rsidRPr="00A207F8" w:rsidRDefault="002A6E3E" w:rsidP="00A207F8">
            <w:pPr>
              <w:pStyle w:val="TableBodySmall"/>
            </w:pPr>
            <w:r w:rsidRPr="00A207F8">
              <w:t>December</w:t>
            </w:r>
            <w:r w:rsidR="009C578E" w:rsidRPr="00A207F8">
              <w:t xml:space="preserve"> </w:t>
            </w:r>
            <w:r w:rsidR="009D7F61" w:rsidRPr="00A207F8">
              <w:t>20</w:t>
            </w:r>
            <w:r w:rsidR="005E5417" w:rsidRPr="00A207F8">
              <w:t>2</w:t>
            </w:r>
            <w:r w:rsidR="002C5B9F">
              <w:t>4</w:t>
            </w:r>
          </w:p>
        </w:tc>
      </w:tr>
    </w:tbl>
    <w:p w14:paraId="3D4BB2D9" w14:textId="77777777" w:rsidR="00A207F8" w:rsidRDefault="00A207F8" w:rsidP="00F00D91">
      <w:pPr>
        <w:pStyle w:val="Body"/>
      </w:pPr>
    </w:p>
    <w:p w14:paraId="66F75B09" w14:textId="0C00FB71" w:rsidR="003E1056" w:rsidRPr="00A207F8" w:rsidRDefault="003E1056" w:rsidP="00F00D91">
      <w:pPr>
        <w:pStyle w:val="Body"/>
        <w:rPr>
          <w:b/>
          <w:bCs/>
        </w:rPr>
      </w:pPr>
      <w:r w:rsidRPr="00A207F8">
        <w:rPr>
          <w:b/>
          <w:bCs/>
        </w:rPr>
        <w:t>IH</w:t>
      </w:r>
      <w:r w:rsidR="008C798D" w:rsidRPr="00A207F8">
        <w:rPr>
          <w:b/>
          <w:bCs/>
        </w:rPr>
        <w:t>AC</w:t>
      </w:r>
      <w:r w:rsidRPr="00A207F8">
        <w:rPr>
          <w:b/>
          <w:bCs/>
        </w:rPr>
        <w:t>PA will develop the Pricing Framework for Australian Public Hospital Services 202</w:t>
      </w:r>
      <w:r w:rsidR="002C5B9F">
        <w:rPr>
          <w:b/>
          <w:bCs/>
        </w:rPr>
        <w:t>5</w:t>
      </w:r>
      <w:r w:rsidRPr="00A207F8">
        <w:rPr>
          <w:b/>
          <w:bCs/>
        </w:rPr>
        <w:t>–2</w:t>
      </w:r>
      <w:r w:rsidR="002C5B9F">
        <w:rPr>
          <w:b/>
          <w:bCs/>
        </w:rPr>
        <w:t>6</w:t>
      </w:r>
      <w:r w:rsidRPr="00A207F8">
        <w:rPr>
          <w:b/>
          <w:bCs/>
        </w:rPr>
        <w:t xml:space="preserve"> </w:t>
      </w:r>
      <w:r w:rsidR="009B16B8" w:rsidRPr="00A207F8">
        <w:rPr>
          <w:b/>
          <w:bCs/>
        </w:rPr>
        <w:t xml:space="preserve">to outline </w:t>
      </w:r>
      <w:r w:rsidRPr="00A207F8">
        <w:rPr>
          <w:b/>
          <w:bCs/>
        </w:rPr>
        <w:t>the principles, scope and methodology underpinning the development of the national efficient price (NEP) and national efficient cost (NEC) for public hospital services for 202</w:t>
      </w:r>
      <w:r w:rsidR="002C5B9F">
        <w:rPr>
          <w:b/>
          <w:bCs/>
        </w:rPr>
        <w:t>5</w:t>
      </w:r>
      <w:r w:rsidRPr="00A207F8">
        <w:rPr>
          <w:b/>
          <w:bCs/>
        </w:rPr>
        <w:t>–2</w:t>
      </w:r>
      <w:r w:rsidR="002C5B9F">
        <w:rPr>
          <w:b/>
          <w:bCs/>
        </w:rPr>
        <w:t>6</w:t>
      </w:r>
      <w:r w:rsidRPr="00A207F8">
        <w:rPr>
          <w:b/>
          <w:bCs/>
        </w:rPr>
        <w:t>.</w:t>
      </w:r>
    </w:p>
    <w:p w14:paraId="04C80645" w14:textId="193C7135" w:rsidR="00926801" w:rsidRPr="00AC04B2" w:rsidRDefault="003E1056" w:rsidP="00F00D91">
      <w:pPr>
        <w:pStyle w:val="Body"/>
      </w:pPr>
      <w:r w:rsidRPr="00AC04B2">
        <w:t xml:space="preserve">Development of the </w:t>
      </w:r>
      <w:r w:rsidR="00501BBB" w:rsidRPr="00AC04B2">
        <w:t xml:space="preserve">Pricing Framework for Australian </w:t>
      </w:r>
      <w:r w:rsidR="002906FA" w:rsidRPr="00AC04B2">
        <w:t xml:space="preserve">Public Hospital </w:t>
      </w:r>
      <w:r w:rsidR="00501BBB" w:rsidRPr="00AC04B2">
        <w:t>Services</w:t>
      </w:r>
      <w:r w:rsidRPr="00AC04B2">
        <w:t xml:space="preserve"> includes </w:t>
      </w:r>
      <w:r w:rsidR="00B20E4E">
        <w:t>3</w:t>
      </w:r>
      <w:r w:rsidR="00B20E4E" w:rsidRPr="00AC04B2">
        <w:t xml:space="preserve"> </w:t>
      </w:r>
      <w:r w:rsidRPr="00AC04B2">
        <w:t xml:space="preserve">major phases: a public consultation period, review of the draft </w:t>
      </w:r>
      <w:r w:rsidR="00501BBB" w:rsidRPr="00AC04B2">
        <w:t xml:space="preserve">Pricing Framework for Australian </w:t>
      </w:r>
      <w:r w:rsidR="002906FA" w:rsidRPr="00AC04B2">
        <w:t xml:space="preserve">Public Hospital </w:t>
      </w:r>
      <w:r w:rsidR="00501BBB" w:rsidRPr="00AC04B2">
        <w:t>Services</w:t>
      </w:r>
      <w:r w:rsidRPr="00AC04B2">
        <w:t xml:space="preserve"> by health ministers, and publication of the final </w:t>
      </w:r>
      <w:r w:rsidR="00501BBB" w:rsidRPr="00AC04B2">
        <w:t xml:space="preserve">Pricing Framework for Australian </w:t>
      </w:r>
      <w:r w:rsidR="002906FA" w:rsidRPr="00AC04B2">
        <w:t xml:space="preserve">Public Hospital </w:t>
      </w:r>
      <w:r w:rsidR="00501BBB" w:rsidRPr="00AC04B2">
        <w:t>Services</w:t>
      </w:r>
      <w:r w:rsidR="00B56DC6" w:rsidRPr="00AC04B2">
        <w:t>.</w:t>
      </w:r>
    </w:p>
    <w:p w14:paraId="03D08A58" w14:textId="0335B34C" w:rsidR="003379C5" w:rsidRPr="00AC04B2" w:rsidRDefault="003379C5" w:rsidP="00C573D6">
      <w:pPr>
        <w:pStyle w:val="H4"/>
      </w:pPr>
      <w:bookmarkStart w:id="30" w:name="_Toc55053983"/>
      <w:bookmarkStart w:id="31" w:name="_Toc55237204"/>
      <w:bookmarkStart w:id="32" w:name="_Toc55237769"/>
      <w:bookmarkStart w:id="33" w:name="_Toc55238295"/>
      <w:bookmarkStart w:id="34" w:name="_Toc55974113"/>
      <w:r w:rsidRPr="00AC04B2">
        <w:t xml:space="preserve">Determination of in-scope </w:t>
      </w:r>
      <w:bookmarkEnd w:id="30"/>
      <w:bookmarkEnd w:id="31"/>
      <w:bookmarkEnd w:id="32"/>
      <w:bookmarkEnd w:id="33"/>
      <w:bookmarkEnd w:id="34"/>
      <w:r w:rsidR="003E1056" w:rsidRPr="00AC04B2">
        <w:t>public hospital services eligible for Commonwealth funding under the National Health Reform Agreement</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3379C5" w:rsidRPr="00AC04B2" w14:paraId="4177B53A" w14:textId="77777777" w:rsidTr="00FF0E74">
        <w:tc>
          <w:tcPr>
            <w:tcW w:w="3726" w:type="pct"/>
            <w:tcBorders>
              <w:top w:val="nil"/>
              <w:bottom w:val="nil"/>
            </w:tcBorders>
            <w:shd w:val="clear" w:color="auto" w:fill="104F99"/>
            <w:vAlign w:val="center"/>
          </w:tcPr>
          <w:p w14:paraId="7258084A" w14:textId="7A9C8164" w:rsidR="003379C5" w:rsidRPr="00AC04B2" w:rsidRDefault="00FF0E74" w:rsidP="00A207F8">
            <w:pPr>
              <w:pStyle w:val="TableHeading"/>
            </w:pPr>
            <w:r w:rsidRPr="00AC04B2">
              <w:t>Deliverable</w:t>
            </w:r>
          </w:p>
        </w:tc>
        <w:tc>
          <w:tcPr>
            <w:tcW w:w="1274" w:type="pct"/>
            <w:tcBorders>
              <w:top w:val="nil"/>
              <w:bottom w:val="nil"/>
            </w:tcBorders>
            <w:shd w:val="clear" w:color="auto" w:fill="104F99"/>
            <w:vAlign w:val="center"/>
          </w:tcPr>
          <w:p w14:paraId="3642F32C" w14:textId="2A5F0D54" w:rsidR="003379C5" w:rsidRPr="00AC04B2" w:rsidRDefault="00FF0E74" w:rsidP="00A207F8">
            <w:pPr>
              <w:pStyle w:val="TableHeading"/>
            </w:pPr>
            <w:r w:rsidRPr="00AC04B2">
              <w:t>Timeframe</w:t>
            </w:r>
          </w:p>
        </w:tc>
      </w:tr>
      <w:tr w:rsidR="003379C5" w:rsidRPr="00AC04B2" w14:paraId="4182A5FD" w14:textId="77777777" w:rsidTr="003379C5">
        <w:trPr>
          <w:trHeight w:val="510"/>
        </w:trPr>
        <w:tc>
          <w:tcPr>
            <w:tcW w:w="3726" w:type="pct"/>
            <w:tcBorders>
              <w:top w:val="nil"/>
              <w:bottom w:val="single" w:sz="4" w:space="0" w:color="auto"/>
            </w:tcBorders>
          </w:tcPr>
          <w:p w14:paraId="28704E89" w14:textId="489A1BF8" w:rsidR="003379C5" w:rsidRPr="00AC04B2" w:rsidRDefault="003379C5" w:rsidP="00A207F8">
            <w:pPr>
              <w:pStyle w:val="TableBodySmall"/>
            </w:pPr>
            <w:r w:rsidRPr="00AC04B2">
              <w:t>Finalise decision</w:t>
            </w:r>
            <w:r w:rsidR="00FC3840" w:rsidRPr="00AC04B2">
              <w:t>s</w:t>
            </w:r>
            <w:r w:rsidRPr="00AC04B2">
              <w:t xml:space="preserve"> on the </w:t>
            </w:r>
            <w:r w:rsidRPr="00AC04B2">
              <w:rPr>
                <w:iCs/>
              </w:rPr>
              <w:t>General List of In-Scope Public Hospital Services</w:t>
            </w:r>
            <w:r w:rsidRPr="00AC04B2">
              <w:t xml:space="preserve"> for additional or altered in-scope services for 202</w:t>
            </w:r>
            <w:r w:rsidR="002C5B9F">
              <w:t>5</w:t>
            </w:r>
            <w:r w:rsidRPr="00AC04B2">
              <w:t>−2</w:t>
            </w:r>
            <w:r w:rsidR="002C5B9F">
              <w:t>6</w:t>
            </w:r>
            <w:r w:rsidRPr="00AC04B2">
              <w:t>.</w:t>
            </w:r>
          </w:p>
        </w:tc>
        <w:tc>
          <w:tcPr>
            <w:tcW w:w="1274" w:type="pct"/>
            <w:tcBorders>
              <w:top w:val="nil"/>
              <w:bottom w:val="single" w:sz="4" w:space="0" w:color="auto"/>
            </w:tcBorders>
          </w:tcPr>
          <w:p w14:paraId="778196C9" w14:textId="5B2FDDB9" w:rsidR="003379C5" w:rsidRPr="00AC04B2" w:rsidRDefault="00FC3840" w:rsidP="00A207F8">
            <w:pPr>
              <w:pStyle w:val="TableBodySmall"/>
            </w:pPr>
            <w:r w:rsidRPr="00AC04B2">
              <w:t xml:space="preserve">December </w:t>
            </w:r>
            <w:r w:rsidR="003379C5" w:rsidRPr="00AC04B2">
              <w:t>202</w:t>
            </w:r>
            <w:r w:rsidR="002C5B9F">
              <w:t>4</w:t>
            </w:r>
          </w:p>
        </w:tc>
      </w:tr>
    </w:tbl>
    <w:p w14:paraId="05A85498" w14:textId="77777777" w:rsidR="00A207F8" w:rsidRDefault="00A207F8" w:rsidP="00F00D91">
      <w:pPr>
        <w:pStyle w:val="Body"/>
      </w:pPr>
    </w:p>
    <w:p w14:paraId="042A78D7" w14:textId="4D6CD295" w:rsidR="003379C5" w:rsidRPr="00A207F8" w:rsidRDefault="00A6191F" w:rsidP="00F00D91">
      <w:pPr>
        <w:pStyle w:val="Body"/>
        <w:rPr>
          <w:b/>
          <w:bCs/>
        </w:rPr>
      </w:pPr>
      <w:r w:rsidRPr="00A207F8">
        <w:rPr>
          <w:b/>
          <w:bCs/>
        </w:rPr>
        <w:t xml:space="preserve">The </w:t>
      </w:r>
      <w:hyperlink r:id="rId28" w:history="1">
        <w:r w:rsidR="00754E2E" w:rsidRPr="00FF78C7">
          <w:rPr>
            <w:rStyle w:val="Hyperlink"/>
            <w:b/>
            <w:bCs/>
            <w:i/>
            <w:iCs/>
            <w:color w:val="008F55" w:themeColor="accent4"/>
          </w:rPr>
          <w:t>General List of In-Scope Public Hospital Services Eligibility Policy</w:t>
        </w:r>
      </w:hyperlink>
      <w:r w:rsidR="00A71082" w:rsidRPr="00A207F8">
        <w:rPr>
          <w:b/>
          <w:bCs/>
        </w:rPr>
        <w:t xml:space="preserve"> </w:t>
      </w:r>
      <w:r w:rsidRPr="00A207F8">
        <w:rPr>
          <w:b/>
          <w:bCs/>
        </w:rPr>
        <w:t>outlines the process by which jurisdictions can make</w:t>
      </w:r>
      <w:r w:rsidR="009F3454" w:rsidRPr="00A207F8">
        <w:rPr>
          <w:b/>
          <w:bCs/>
        </w:rPr>
        <w:t> </w:t>
      </w:r>
      <w:r w:rsidRPr="00A207F8">
        <w:rPr>
          <w:b/>
          <w:bCs/>
        </w:rPr>
        <w:t>submissions to IH</w:t>
      </w:r>
      <w:r w:rsidR="008C798D" w:rsidRPr="00A207F8">
        <w:rPr>
          <w:b/>
          <w:bCs/>
        </w:rPr>
        <w:t>AC</w:t>
      </w:r>
      <w:r w:rsidRPr="00A207F8">
        <w:rPr>
          <w:b/>
          <w:bCs/>
        </w:rPr>
        <w:t xml:space="preserve">PA for public hospital services to be </w:t>
      </w:r>
      <w:r w:rsidR="008A6B74" w:rsidRPr="00A207F8">
        <w:rPr>
          <w:b/>
          <w:bCs/>
        </w:rPr>
        <w:t xml:space="preserve">considered for inclusion </w:t>
      </w:r>
      <w:r w:rsidR="00081670" w:rsidRPr="00A207F8">
        <w:rPr>
          <w:b/>
          <w:bCs/>
        </w:rPr>
        <w:t>on</w:t>
      </w:r>
      <w:r w:rsidR="00397239">
        <w:rPr>
          <w:b/>
          <w:bCs/>
        </w:rPr>
        <w:t>, or removal from,</w:t>
      </w:r>
      <w:r w:rsidR="008A6B74" w:rsidRPr="00A207F8">
        <w:rPr>
          <w:b/>
          <w:bCs/>
        </w:rPr>
        <w:t xml:space="preserve"> the General List of</w:t>
      </w:r>
      <w:r w:rsidR="009F3454" w:rsidRPr="00A207F8">
        <w:rPr>
          <w:b/>
          <w:bCs/>
        </w:rPr>
        <w:t> </w:t>
      </w:r>
      <w:r w:rsidR="008A6B74" w:rsidRPr="00A207F8">
        <w:rPr>
          <w:b/>
          <w:bCs/>
        </w:rPr>
        <w:t>In</w:t>
      </w:r>
      <w:r w:rsidR="009F3454" w:rsidRPr="00A207F8">
        <w:rPr>
          <w:b/>
          <w:bCs/>
        </w:rPr>
        <w:noBreakHyphen/>
      </w:r>
      <w:r w:rsidR="008A6B74" w:rsidRPr="00A207F8">
        <w:rPr>
          <w:b/>
          <w:bCs/>
        </w:rPr>
        <w:t>Scope Public Hospital Services</w:t>
      </w:r>
      <w:r w:rsidRPr="00A207F8">
        <w:rPr>
          <w:b/>
          <w:bCs/>
        </w:rPr>
        <w:t xml:space="preserve"> to receive Commonwealth funding.</w:t>
      </w:r>
    </w:p>
    <w:p w14:paraId="7C34721B" w14:textId="30FBE69D" w:rsidR="00881D82" w:rsidRPr="00AC04B2" w:rsidRDefault="00A6191F" w:rsidP="00F00D91">
      <w:pPr>
        <w:pStyle w:val="Body"/>
      </w:pPr>
      <w:bookmarkStart w:id="35" w:name="_Toc55045613"/>
      <w:bookmarkStart w:id="36" w:name="_Toc55053984"/>
      <w:r w:rsidRPr="00AC04B2">
        <w:t>Full details of the public hospital services determined to be in</w:t>
      </w:r>
      <w:r w:rsidRPr="00AC04B2">
        <w:rPr>
          <w:rFonts w:ascii="Cambria Math" w:hAnsi="Cambria Math" w:cs="Cambria Math"/>
        </w:rPr>
        <w:t>‑</w:t>
      </w:r>
      <w:r w:rsidRPr="00AC04B2">
        <w:t>scope for Commonwealth funding are provided in the annual NEP Determination. In 202</w:t>
      </w:r>
      <w:r w:rsidR="00C25E3F">
        <w:t>4</w:t>
      </w:r>
      <w:r w:rsidRPr="00AC04B2">
        <w:t>–2</w:t>
      </w:r>
      <w:r w:rsidR="00C25E3F">
        <w:t>5</w:t>
      </w:r>
      <w:r w:rsidRPr="00AC04B2">
        <w:t>, IH</w:t>
      </w:r>
      <w:r w:rsidR="008C798D" w:rsidRPr="00AC04B2">
        <w:t>AC</w:t>
      </w:r>
      <w:r w:rsidRPr="00AC04B2">
        <w:t xml:space="preserve">PA will assess jurisdiction submissions for additional or altered in-scope services for </w:t>
      </w:r>
      <w:r w:rsidR="00081670" w:rsidRPr="00AC04B2">
        <w:t xml:space="preserve">inclusion on the General List of </w:t>
      </w:r>
      <w:r w:rsidR="00073D98" w:rsidRPr="00AC04B2">
        <w:t>In-</w:t>
      </w:r>
      <w:r w:rsidR="00081670" w:rsidRPr="00AC04B2">
        <w:t xml:space="preserve">Scope Public Hospital Services for </w:t>
      </w:r>
      <w:r w:rsidRPr="00AC04B2">
        <w:t xml:space="preserve">the </w:t>
      </w:r>
      <w:bookmarkStart w:id="37" w:name="_Hlk161220486"/>
      <w:r w:rsidRPr="00AC04B2">
        <w:t>NEP Determination 202</w:t>
      </w:r>
      <w:r w:rsidR="00C25E3F">
        <w:t>5</w:t>
      </w:r>
      <w:r w:rsidRPr="00AC04B2">
        <w:t>–2</w:t>
      </w:r>
      <w:r w:rsidR="00982220">
        <w:t>6</w:t>
      </w:r>
      <w:r w:rsidRPr="00AC04B2">
        <w:t xml:space="preserve"> (</w:t>
      </w:r>
      <w:r w:rsidR="009B6264" w:rsidRPr="00AC04B2">
        <w:t>NEP2</w:t>
      </w:r>
      <w:r w:rsidR="009B6264">
        <w:t>5</w:t>
      </w:r>
      <w:r w:rsidRPr="00AC04B2">
        <w:t>)</w:t>
      </w:r>
      <w:bookmarkEnd w:id="37"/>
      <w:r w:rsidRPr="00AC04B2">
        <w:t>.</w:t>
      </w:r>
    </w:p>
    <w:bookmarkEnd w:id="35"/>
    <w:bookmarkEnd w:id="36"/>
    <w:p w14:paraId="4C5B0768" w14:textId="06911E16" w:rsidR="00331BB7" w:rsidRPr="00AC04B2" w:rsidRDefault="00A6191F" w:rsidP="00E378B1">
      <w:pPr>
        <w:pStyle w:val="H4"/>
        <w:keepNext/>
      </w:pPr>
      <w:r w:rsidRPr="00AC04B2">
        <w:lastRenderedPageBreak/>
        <w:t xml:space="preserve">National Efficient Price and National Efficient Cost Determinations </w:t>
      </w:r>
      <w:r w:rsidR="00795074">
        <w:t>for public hospital services</w:t>
      </w:r>
      <w:r w:rsidR="00795074" w:rsidRPr="00AC04B2">
        <w:t xml:space="preserve"> </w:t>
      </w:r>
      <w:r w:rsidRPr="00AC04B2">
        <w:t>202</w:t>
      </w:r>
      <w:r w:rsidR="0065036B">
        <w:t>5</w:t>
      </w:r>
      <w:r w:rsidRPr="00AC04B2">
        <w:t>–2</w:t>
      </w:r>
      <w:r w:rsidR="0065036B">
        <w:t>6</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786AC4" w:rsidRPr="00AC04B2" w14:paraId="13D5B216" w14:textId="77777777" w:rsidTr="00B8187B">
        <w:tc>
          <w:tcPr>
            <w:tcW w:w="3726" w:type="pct"/>
            <w:tcBorders>
              <w:top w:val="nil"/>
              <w:bottom w:val="nil"/>
            </w:tcBorders>
            <w:shd w:val="clear" w:color="auto" w:fill="104F99"/>
            <w:vAlign w:val="center"/>
          </w:tcPr>
          <w:p w14:paraId="5B37F2D4" w14:textId="39EFBBBC" w:rsidR="00786AC4" w:rsidRPr="00AC04B2" w:rsidRDefault="00FF0E74" w:rsidP="00E378B1">
            <w:pPr>
              <w:pStyle w:val="TableHeading"/>
              <w:keepNext/>
            </w:pPr>
            <w:r w:rsidRPr="00AC04B2">
              <w:t>Deliverable</w:t>
            </w:r>
          </w:p>
        </w:tc>
        <w:tc>
          <w:tcPr>
            <w:tcW w:w="1274" w:type="pct"/>
            <w:tcBorders>
              <w:top w:val="nil"/>
              <w:bottom w:val="nil"/>
            </w:tcBorders>
            <w:shd w:val="clear" w:color="auto" w:fill="104F99"/>
            <w:vAlign w:val="center"/>
          </w:tcPr>
          <w:p w14:paraId="0C6B84E3" w14:textId="0DE79B07" w:rsidR="00786AC4" w:rsidRPr="00AC04B2" w:rsidRDefault="00FF0E74" w:rsidP="00E378B1">
            <w:pPr>
              <w:pStyle w:val="TableHeading"/>
              <w:keepNext/>
            </w:pPr>
            <w:r w:rsidRPr="00AC04B2">
              <w:t>Timeframe</w:t>
            </w:r>
          </w:p>
        </w:tc>
      </w:tr>
      <w:tr w:rsidR="00201BE1" w:rsidRPr="00AC04B2" w14:paraId="39C28FEF" w14:textId="77777777" w:rsidTr="00786AC4">
        <w:trPr>
          <w:trHeight w:val="510"/>
        </w:trPr>
        <w:tc>
          <w:tcPr>
            <w:tcW w:w="3726" w:type="pct"/>
            <w:tcBorders>
              <w:top w:val="nil"/>
              <w:bottom w:val="single" w:sz="4" w:space="0" w:color="auto"/>
            </w:tcBorders>
          </w:tcPr>
          <w:p w14:paraId="081DC39F" w14:textId="1765AF86" w:rsidR="00201BE1" w:rsidRPr="00AC04B2" w:rsidRDefault="00201BE1" w:rsidP="00A207F8">
            <w:pPr>
              <w:pStyle w:val="TableBodySmall"/>
            </w:pPr>
            <w:r w:rsidRPr="00AC04B2">
              <w:t xml:space="preserve">Finalise </w:t>
            </w:r>
            <w:r w:rsidR="00FC3840" w:rsidRPr="00AC04B2">
              <w:t xml:space="preserve">decisions </w:t>
            </w:r>
            <w:r w:rsidR="00434BAD" w:rsidRPr="00AC04B2">
              <w:t xml:space="preserve">on </w:t>
            </w:r>
            <w:r w:rsidR="008A6B74" w:rsidRPr="00AC04B2">
              <w:t xml:space="preserve">jurisdictional submissions for </w:t>
            </w:r>
            <w:r w:rsidRPr="00AC04B2">
              <w:t xml:space="preserve">legitimate and unavoidable cost variations to </w:t>
            </w:r>
            <w:r w:rsidR="008A6B74" w:rsidRPr="00AC04B2">
              <w:t xml:space="preserve">determine whether adjustments are required for </w:t>
            </w:r>
            <w:r w:rsidRPr="00AC04B2">
              <w:t xml:space="preserve">the </w:t>
            </w:r>
            <w:r w:rsidRPr="00AC04B2">
              <w:rPr>
                <w:iCs/>
              </w:rPr>
              <w:t xml:space="preserve">National Efficient Price </w:t>
            </w:r>
            <w:r w:rsidR="00702100" w:rsidRPr="00AC04B2">
              <w:rPr>
                <w:iCs/>
              </w:rPr>
              <w:t xml:space="preserve">Determination </w:t>
            </w:r>
            <w:r w:rsidRPr="00AC04B2">
              <w:rPr>
                <w:iCs/>
              </w:rPr>
              <w:t>202</w:t>
            </w:r>
            <w:r w:rsidR="0065036B">
              <w:rPr>
                <w:iCs/>
              </w:rPr>
              <w:t>5</w:t>
            </w:r>
            <w:r w:rsidRPr="00AC04B2">
              <w:rPr>
                <w:iCs/>
              </w:rPr>
              <w:t>−2</w:t>
            </w:r>
            <w:r w:rsidR="0065036B">
              <w:rPr>
                <w:iCs/>
              </w:rPr>
              <w:t>6</w:t>
            </w:r>
            <w:r w:rsidRPr="00AC04B2">
              <w:rPr>
                <w:iCs/>
              </w:rPr>
              <w:t>.</w:t>
            </w:r>
          </w:p>
        </w:tc>
        <w:tc>
          <w:tcPr>
            <w:tcW w:w="1274" w:type="pct"/>
            <w:tcBorders>
              <w:top w:val="nil"/>
              <w:bottom w:val="single" w:sz="4" w:space="0" w:color="auto"/>
            </w:tcBorders>
          </w:tcPr>
          <w:p w14:paraId="78E66521" w14:textId="330B6D4A" w:rsidR="00201BE1" w:rsidRPr="00AC04B2" w:rsidRDefault="00FC3840" w:rsidP="00A207F8">
            <w:pPr>
              <w:pStyle w:val="TableBodySmall"/>
            </w:pPr>
            <w:r w:rsidRPr="00AC04B2">
              <w:t>December</w:t>
            </w:r>
            <w:r w:rsidR="00201BE1" w:rsidRPr="00AC04B2">
              <w:t xml:space="preserve"> 202</w:t>
            </w:r>
            <w:r w:rsidR="0065036B">
              <w:t>4</w:t>
            </w:r>
          </w:p>
        </w:tc>
      </w:tr>
      <w:tr w:rsidR="001D3D6A" w:rsidRPr="00AC04B2" w14:paraId="60CC0360" w14:textId="77777777" w:rsidTr="007B213D">
        <w:trPr>
          <w:trHeight w:val="510"/>
        </w:trPr>
        <w:tc>
          <w:tcPr>
            <w:tcW w:w="3726" w:type="pct"/>
            <w:tcBorders>
              <w:top w:val="single" w:sz="4" w:space="0" w:color="auto"/>
              <w:bottom w:val="single" w:sz="4" w:space="0" w:color="auto"/>
            </w:tcBorders>
          </w:tcPr>
          <w:p w14:paraId="7818A1DB" w14:textId="5573C0D2" w:rsidR="001D3D6A" w:rsidRPr="00AC04B2" w:rsidRDefault="001D3D6A" w:rsidP="00A207F8">
            <w:pPr>
              <w:pStyle w:val="TableBodySmall"/>
            </w:pPr>
            <w:r w:rsidRPr="00AC04B2">
              <w:t>Provide the draft National Efficient Price and National Efficient Cost Determinations 202</w:t>
            </w:r>
            <w:r w:rsidR="0065036B">
              <w:t>5</w:t>
            </w:r>
            <w:r w:rsidRPr="00AC04B2">
              <w:t>–2</w:t>
            </w:r>
            <w:r w:rsidR="0065036B">
              <w:t>6</w:t>
            </w:r>
            <w:r w:rsidR="00A6191F" w:rsidRPr="00AC04B2">
              <w:rPr>
                <w:i/>
              </w:rPr>
              <w:t xml:space="preserve"> </w:t>
            </w:r>
            <w:r w:rsidRPr="00AC04B2">
              <w:t>to health ministers for</w:t>
            </w:r>
            <w:r w:rsidR="003F7B4C" w:rsidRPr="00AC04B2">
              <w:t xml:space="preserve"> a</w:t>
            </w:r>
            <w:r w:rsidRPr="00AC04B2">
              <w:t xml:space="preserve"> 45-day comment period.</w:t>
            </w:r>
          </w:p>
        </w:tc>
        <w:tc>
          <w:tcPr>
            <w:tcW w:w="1274" w:type="pct"/>
            <w:tcBorders>
              <w:top w:val="single" w:sz="4" w:space="0" w:color="auto"/>
              <w:bottom w:val="single" w:sz="4" w:space="0" w:color="auto"/>
            </w:tcBorders>
          </w:tcPr>
          <w:p w14:paraId="64064D2F" w14:textId="54B91473" w:rsidR="001D3D6A" w:rsidRPr="00AC04B2" w:rsidRDefault="001D3D6A" w:rsidP="00A207F8">
            <w:pPr>
              <w:pStyle w:val="TableBodySmall"/>
            </w:pPr>
            <w:r w:rsidRPr="00AC04B2">
              <w:t>December 202</w:t>
            </w:r>
            <w:r w:rsidR="0065036B">
              <w:t>4</w:t>
            </w:r>
          </w:p>
        </w:tc>
      </w:tr>
      <w:tr w:rsidR="00786AC4" w:rsidRPr="00AC04B2" w14:paraId="5072068E" w14:textId="77777777" w:rsidTr="00786AC4">
        <w:trPr>
          <w:trHeight w:val="510"/>
        </w:trPr>
        <w:tc>
          <w:tcPr>
            <w:tcW w:w="3726" w:type="pct"/>
            <w:tcBorders>
              <w:top w:val="single" w:sz="4" w:space="0" w:color="auto"/>
              <w:bottom w:val="single" w:sz="4" w:space="0" w:color="auto"/>
            </w:tcBorders>
          </w:tcPr>
          <w:p w14:paraId="0DAA6B05" w14:textId="03ABF866" w:rsidR="00786AC4" w:rsidRPr="00AC04B2" w:rsidRDefault="00786AC4" w:rsidP="00A207F8">
            <w:pPr>
              <w:pStyle w:val="TableBodySmall"/>
            </w:pPr>
            <w:r w:rsidRPr="00AC04B2">
              <w:t>Publish the National Efficient Price and National Efficient Cost Determinations</w:t>
            </w:r>
            <w:r w:rsidR="00081670" w:rsidRPr="00AC04B2">
              <w:t xml:space="preserve"> </w:t>
            </w:r>
            <w:r w:rsidRPr="00AC04B2">
              <w:t>202</w:t>
            </w:r>
            <w:r w:rsidR="0065036B">
              <w:t>5</w:t>
            </w:r>
            <w:r w:rsidRPr="00AC04B2">
              <w:t>–2</w:t>
            </w:r>
            <w:r w:rsidR="0065036B">
              <w:t>6</w:t>
            </w:r>
            <w:r w:rsidRPr="00AC04B2">
              <w:t xml:space="preserve"> on the IH</w:t>
            </w:r>
            <w:r w:rsidR="00882617" w:rsidRPr="00AC04B2">
              <w:t>AC</w:t>
            </w:r>
            <w:r w:rsidRPr="00AC04B2">
              <w:t>PA website.</w:t>
            </w:r>
          </w:p>
        </w:tc>
        <w:tc>
          <w:tcPr>
            <w:tcW w:w="1274" w:type="pct"/>
            <w:tcBorders>
              <w:top w:val="single" w:sz="4" w:space="0" w:color="auto"/>
              <w:bottom w:val="single" w:sz="4" w:space="0" w:color="auto"/>
            </w:tcBorders>
          </w:tcPr>
          <w:p w14:paraId="5DD85CEE" w14:textId="77651487" w:rsidR="00786AC4" w:rsidRPr="00AC04B2" w:rsidRDefault="00786AC4" w:rsidP="00A207F8">
            <w:pPr>
              <w:pStyle w:val="TableBodySmall"/>
            </w:pPr>
            <w:r w:rsidRPr="00AC04B2">
              <w:t>March 202</w:t>
            </w:r>
            <w:r w:rsidR="0065036B">
              <w:t>5</w:t>
            </w:r>
          </w:p>
        </w:tc>
      </w:tr>
    </w:tbl>
    <w:p w14:paraId="1E1B46ED" w14:textId="77777777" w:rsidR="00A207F8" w:rsidRDefault="00A207F8" w:rsidP="00F00D91">
      <w:pPr>
        <w:pStyle w:val="Body"/>
      </w:pPr>
    </w:p>
    <w:p w14:paraId="38DE7418" w14:textId="25C1FD33" w:rsidR="00A6191F" w:rsidRPr="00A207F8" w:rsidRDefault="002A772D" w:rsidP="00F00D91">
      <w:pPr>
        <w:pStyle w:val="Body"/>
        <w:rPr>
          <w:b/>
          <w:bCs/>
        </w:rPr>
      </w:pPr>
      <w:r w:rsidRPr="00A207F8">
        <w:rPr>
          <w:b/>
          <w:bCs/>
        </w:rPr>
        <w:t>Developing the n</w:t>
      </w:r>
      <w:r w:rsidR="00A6191F" w:rsidRPr="00A207F8">
        <w:rPr>
          <w:b/>
          <w:bCs/>
        </w:rPr>
        <w:t>ational efficient price</w:t>
      </w:r>
    </w:p>
    <w:p w14:paraId="5F48CE0C" w14:textId="37E7E51E" w:rsidR="00A6191F" w:rsidRPr="00AC04B2" w:rsidRDefault="00A6191F" w:rsidP="00F00D91">
      <w:pPr>
        <w:pStyle w:val="Body"/>
      </w:pPr>
      <w:bookmarkStart w:id="38" w:name="_Toc55045614"/>
      <w:bookmarkStart w:id="39" w:name="_Toc55053986"/>
      <w:r w:rsidRPr="00AC04B2">
        <w:t xml:space="preserve">The NEP represents the price that will form the basis for Commonwealth payments to local hospital networks for each episode of care under the activity based funding (ABF) system. In accordance with the </w:t>
      </w:r>
      <w:r w:rsidR="002359E7">
        <w:t>a</w:t>
      </w:r>
      <w:r w:rsidRPr="00AC04B2">
        <w:t>ddendum, IH</w:t>
      </w:r>
      <w:r w:rsidR="00882617" w:rsidRPr="00AC04B2">
        <w:t>AC</w:t>
      </w:r>
      <w:r w:rsidRPr="00AC04B2">
        <w:t xml:space="preserve">PA will consider the actual cost of delivering public hospital services in as wide a range of hospitals as practicable. It will also </w:t>
      </w:r>
      <w:proofErr w:type="gramStart"/>
      <w:r w:rsidRPr="00AC04B2">
        <w:t>take into account</w:t>
      </w:r>
      <w:proofErr w:type="gramEnd"/>
      <w:r w:rsidRPr="00AC04B2">
        <w:t xml:space="preserve"> any legitimate and unavoidable variations in </w:t>
      </w:r>
      <w:r w:rsidR="002A772D" w:rsidRPr="00AC04B2">
        <w:t xml:space="preserve">the costs of delivering health care services </w:t>
      </w:r>
      <w:r w:rsidRPr="00AC04B2">
        <w:t xml:space="preserve">due to hospital characteristics (for example, size, type and location) and patient </w:t>
      </w:r>
      <w:r w:rsidR="00073D98" w:rsidRPr="00AC04B2">
        <w:t xml:space="preserve">characteristics </w:t>
      </w:r>
      <w:r w:rsidRPr="00AC04B2">
        <w:t>(for example, Indigenous status, location of residence and demographic profile).</w:t>
      </w:r>
    </w:p>
    <w:bookmarkEnd w:id="38"/>
    <w:bookmarkEnd w:id="39"/>
    <w:p w14:paraId="3DC25527" w14:textId="4D52B843" w:rsidR="00331BB7" w:rsidRPr="00A207F8" w:rsidRDefault="002A772D" w:rsidP="00F00D91">
      <w:pPr>
        <w:pStyle w:val="Body"/>
        <w:rPr>
          <w:b/>
          <w:bCs/>
        </w:rPr>
      </w:pPr>
      <w:r w:rsidRPr="00A207F8">
        <w:rPr>
          <w:b/>
          <w:bCs/>
        </w:rPr>
        <w:t>Developing the n</w:t>
      </w:r>
      <w:r w:rsidR="00C83F22" w:rsidRPr="00A207F8">
        <w:rPr>
          <w:b/>
          <w:bCs/>
        </w:rPr>
        <w:t>ational efficient cost</w:t>
      </w:r>
    </w:p>
    <w:p w14:paraId="20E79F69" w14:textId="524FE6E9" w:rsidR="00B51FF6" w:rsidRPr="00AC04B2" w:rsidRDefault="00B51FF6" w:rsidP="00F00D91">
      <w:pPr>
        <w:pStyle w:val="Body"/>
      </w:pPr>
      <w:r w:rsidRPr="00AC04B2">
        <w:t xml:space="preserve">Generally, public hospitals or public hospital services will be eligible for block funding if there is either no acceptable classification system available, or activity and cost data collections are not in place in </w:t>
      </w:r>
      <w:r w:rsidR="00B20E4E">
        <w:t>states or territories</w:t>
      </w:r>
      <w:r w:rsidR="00B20E4E" w:rsidRPr="00AC04B2">
        <w:t xml:space="preserve"> </w:t>
      </w:r>
      <w:r w:rsidRPr="00AC04B2">
        <w:t>to allow for the pricing and funding of these services on an activity basis. Block</w:t>
      </w:r>
      <w:r w:rsidR="003007BE" w:rsidRPr="00AC04B2">
        <w:t>-</w:t>
      </w:r>
      <w:r w:rsidRPr="00AC04B2">
        <w:t xml:space="preserve">funded amounts are included in the NEC Determination each year. </w:t>
      </w:r>
    </w:p>
    <w:p w14:paraId="1945FDA4" w14:textId="76780A83" w:rsidR="00331BB7" w:rsidRPr="00AC04B2" w:rsidRDefault="00B51FF6" w:rsidP="00F00D91">
      <w:pPr>
        <w:pStyle w:val="Body"/>
      </w:pPr>
      <w:r w:rsidRPr="00AC04B2">
        <w:t xml:space="preserve">Clauses A49–A55 of the </w:t>
      </w:r>
      <w:r w:rsidR="00B20E4E">
        <w:t>a</w:t>
      </w:r>
      <w:r w:rsidRPr="00AC04B2">
        <w:t>ddendum require that IH</w:t>
      </w:r>
      <w:r w:rsidR="00E9399E" w:rsidRPr="00AC04B2">
        <w:t>AC</w:t>
      </w:r>
      <w:r w:rsidRPr="00AC04B2">
        <w:t>PA develop block</w:t>
      </w:r>
      <w:r w:rsidR="003007BE" w:rsidRPr="00AC04B2">
        <w:t>-</w:t>
      </w:r>
      <w:r w:rsidRPr="00AC04B2">
        <w:t>funding criteria in consultation with states and territories, and that states and territories provide advice to IH</w:t>
      </w:r>
      <w:r w:rsidR="00E9399E" w:rsidRPr="00AC04B2">
        <w:t>AC</w:t>
      </w:r>
      <w:r w:rsidRPr="00AC04B2">
        <w:t>PA on how their services meet these criteria. On the basis of this advice, IH</w:t>
      </w:r>
      <w:r w:rsidR="00E9399E" w:rsidRPr="00AC04B2">
        <w:t>AC</w:t>
      </w:r>
      <w:r w:rsidRPr="00AC04B2">
        <w:t>PA determines which hospital services and functions are eligible for block funding. The Administrator of the National Health Funding Pool (the Administrator) then calculates the Commonwealth contribution.</w:t>
      </w:r>
    </w:p>
    <w:p w14:paraId="08A5C4EC" w14:textId="027C8280" w:rsidR="00192376" w:rsidRPr="00A207F8" w:rsidRDefault="00192376" w:rsidP="00F00D91">
      <w:pPr>
        <w:pStyle w:val="Body"/>
        <w:rPr>
          <w:b/>
          <w:bCs/>
        </w:rPr>
      </w:pPr>
      <w:r w:rsidRPr="00A207F8">
        <w:rPr>
          <w:b/>
          <w:bCs/>
        </w:rPr>
        <w:t xml:space="preserve">Coronavirus </w:t>
      </w:r>
      <w:r w:rsidR="00B51FF6" w:rsidRPr="00A207F8">
        <w:rPr>
          <w:b/>
          <w:bCs/>
        </w:rPr>
        <w:t>d</w:t>
      </w:r>
      <w:r w:rsidRPr="00A207F8">
        <w:rPr>
          <w:b/>
          <w:bCs/>
        </w:rPr>
        <w:t>isease 2019</w:t>
      </w:r>
    </w:p>
    <w:p w14:paraId="6382D752" w14:textId="6CDC6F4B" w:rsidR="00B51FF6" w:rsidRPr="00AC04B2" w:rsidRDefault="00B51FF6" w:rsidP="00F00D91">
      <w:pPr>
        <w:pStyle w:val="Body"/>
      </w:pPr>
      <w:bookmarkStart w:id="40" w:name="_Toc55045615"/>
      <w:bookmarkStart w:id="41" w:name="_Toc55053987"/>
      <w:r w:rsidRPr="00AC04B2">
        <w:t xml:space="preserve">Coronavirus disease 2019 (COVID-19) resulted in significant and potentially long lasting changes to models of care and service delivery in Australian public hospitals. </w:t>
      </w:r>
      <w:r w:rsidR="006A50AE">
        <w:t xml:space="preserve">Through the development of </w:t>
      </w:r>
      <w:r w:rsidR="003750A8">
        <w:t>the NEP Determinations for 2022–23, 2023–24 and 2024–25, IHACPA has worked with jurisdictions and its advisory committees to understand the</w:t>
      </w:r>
      <w:r w:rsidR="009263F5">
        <w:t xml:space="preserve"> impact of the</w:t>
      </w:r>
      <w:r w:rsidR="003750A8" w:rsidRPr="00AB649C">
        <w:t xml:space="preserve"> COVID-19</w:t>
      </w:r>
      <w:r w:rsidR="003750A8">
        <w:t xml:space="preserve"> </w:t>
      </w:r>
      <w:r w:rsidR="009263F5">
        <w:t xml:space="preserve">pandemic response </w:t>
      </w:r>
      <w:r w:rsidR="003750A8">
        <w:t>on hospital activity and costs</w:t>
      </w:r>
      <w:r w:rsidR="009263F5">
        <w:t>. Wh</w:t>
      </w:r>
      <w:r w:rsidR="003750A8" w:rsidRPr="00BA53FE">
        <w:t xml:space="preserve">ere necessary, </w:t>
      </w:r>
      <w:r w:rsidR="009263F5">
        <w:t xml:space="preserve">IHACPA has </w:t>
      </w:r>
      <w:r w:rsidR="003750A8">
        <w:t xml:space="preserve">made </w:t>
      </w:r>
      <w:r w:rsidR="003750A8" w:rsidRPr="00AB649C">
        <w:t>pricing model refinements to account for this impact</w:t>
      </w:r>
      <w:r w:rsidRPr="00AC04B2">
        <w:t>, without distorting the long term application of the national pricing model.</w:t>
      </w:r>
    </w:p>
    <w:p w14:paraId="7F5F3688" w14:textId="73E3CE67" w:rsidR="00293419" w:rsidRPr="00AC04B2" w:rsidRDefault="00AC437A" w:rsidP="00F00D91">
      <w:pPr>
        <w:pStyle w:val="Body"/>
      </w:pPr>
      <w:r>
        <w:rPr>
          <w:rStyle w:val="cf01"/>
        </w:rPr>
        <w:t>I</w:t>
      </w:r>
      <w:r w:rsidRPr="00FF78C7">
        <w:t>n October</w:t>
      </w:r>
      <w:r w:rsidR="00A879D9">
        <w:t xml:space="preserve"> 2023</w:t>
      </w:r>
      <w:r w:rsidRPr="00FF78C7">
        <w:t>, Australia’s Chief Medical Officer declared that COVID-19 is no longer a Communicable Disease Incident of National Significance. This followed the expiration of the</w:t>
      </w:r>
      <w:r w:rsidRPr="00AB649C">
        <w:t xml:space="preserve"> </w:t>
      </w:r>
      <w:r w:rsidRPr="00FF78C7">
        <w:rPr>
          <w:i/>
          <w:iCs/>
        </w:rPr>
        <w:t>National Partnership on COVID-19 Respon</w:t>
      </w:r>
      <w:r w:rsidR="00953035" w:rsidRPr="00FF78C7">
        <w:rPr>
          <w:i/>
          <w:iCs/>
        </w:rPr>
        <w:t>s</w:t>
      </w:r>
      <w:r w:rsidRPr="00FF78C7">
        <w:rPr>
          <w:i/>
          <w:iCs/>
        </w:rPr>
        <w:t>e</w:t>
      </w:r>
      <w:r w:rsidR="00953035" w:rsidRPr="00FF78C7">
        <w:rPr>
          <w:i/>
          <w:iCs/>
        </w:rPr>
        <w:t xml:space="preserve"> </w:t>
      </w:r>
      <w:r w:rsidR="00953035" w:rsidRPr="00FF78C7">
        <w:t>in December 2022.</w:t>
      </w:r>
      <w:r w:rsidR="004C19AD">
        <w:t xml:space="preserve"> As </w:t>
      </w:r>
      <w:r w:rsidR="00C60FB5">
        <w:t>the</w:t>
      </w:r>
      <w:r w:rsidR="004103D9">
        <w:t xml:space="preserve"> impact of the COVID-19 pandemic dissipates</w:t>
      </w:r>
      <w:r w:rsidR="00C60FB5">
        <w:t xml:space="preserve"> and </w:t>
      </w:r>
      <w:r w:rsidR="0084496C">
        <w:t xml:space="preserve">public hospital services incorporate </w:t>
      </w:r>
      <w:r w:rsidR="00250865">
        <w:t xml:space="preserve">costs and models </w:t>
      </w:r>
      <w:r w:rsidR="0028220C">
        <w:t>of</w:t>
      </w:r>
      <w:r w:rsidR="00250865">
        <w:t xml:space="preserve"> care associated with the pandemic into ongoing service delivery</w:t>
      </w:r>
      <w:r w:rsidR="004103D9">
        <w:t>,</w:t>
      </w:r>
      <w:r w:rsidR="00953035" w:rsidRPr="00FF78C7">
        <w:t xml:space="preserve"> IHACPA</w:t>
      </w:r>
      <w:r w:rsidR="00250865">
        <w:t xml:space="preserve"> will </w:t>
      </w:r>
      <w:r w:rsidR="00953035" w:rsidRPr="00FF78C7">
        <w:t>critically review the need to apply refinements to the national pricing model</w:t>
      </w:r>
      <w:r w:rsidR="0028220C">
        <w:t xml:space="preserve">, on the basis of </w:t>
      </w:r>
      <w:r w:rsidR="00953035" w:rsidRPr="00FF78C7">
        <w:t>updated</w:t>
      </w:r>
      <w:r w:rsidR="0028220C">
        <w:t xml:space="preserve"> available</w:t>
      </w:r>
      <w:r w:rsidR="00953035" w:rsidRPr="00FF78C7">
        <w:t xml:space="preserve"> data </w:t>
      </w:r>
      <w:r w:rsidR="0028220C">
        <w:t xml:space="preserve">and </w:t>
      </w:r>
      <w:r w:rsidR="000053C0">
        <w:t xml:space="preserve">consultation with stakeholders and </w:t>
      </w:r>
      <w:r w:rsidR="0028220C">
        <w:t xml:space="preserve">IHACPA’s </w:t>
      </w:r>
      <w:r w:rsidR="000053C0">
        <w:t>advisory committees</w:t>
      </w:r>
      <w:r w:rsidR="00953035" w:rsidRPr="00FF78C7">
        <w:t>.</w:t>
      </w:r>
      <w:r>
        <w:t xml:space="preserve"> </w:t>
      </w:r>
      <w:bookmarkStart w:id="42" w:name="_Toc55045616"/>
      <w:bookmarkStart w:id="43" w:name="_Toc55053988"/>
      <w:bookmarkStart w:id="44" w:name="_Toc55237207"/>
      <w:bookmarkStart w:id="45" w:name="_Toc55237772"/>
      <w:bookmarkStart w:id="46" w:name="_Toc55238297"/>
      <w:bookmarkStart w:id="47" w:name="_Toc55974115"/>
      <w:bookmarkEnd w:id="40"/>
      <w:bookmarkEnd w:id="41"/>
    </w:p>
    <w:p w14:paraId="4B830FDF" w14:textId="5E267D04" w:rsidR="00201BE1" w:rsidRPr="00AC04B2" w:rsidRDefault="00201BE1" w:rsidP="00B20E4E">
      <w:pPr>
        <w:pStyle w:val="H4"/>
        <w:keepNext/>
      </w:pPr>
      <w:bookmarkStart w:id="48" w:name="_Toc55053990"/>
      <w:bookmarkStart w:id="49" w:name="_Toc55237209"/>
      <w:bookmarkStart w:id="50" w:name="_Toc55237774"/>
      <w:bookmarkStart w:id="51" w:name="_Toc55238299"/>
      <w:bookmarkStart w:id="52" w:name="_Toc55974117"/>
      <w:bookmarkStart w:id="53" w:name="_Hlk94008357"/>
      <w:bookmarkEnd w:id="42"/>
      <w:bookmarkEnd w:id="43"/>
      <w:bookmarkEnd w:id="44"/>
      <w:bookmarkEnd w:id="45"/>
      <w:bookmarkEnd w:id="46"/>
      <w:bookmarkEnd w:id="47"/>
      <w:r w:rsidRPr="00AC04B2">
        <w:lastRenderedPageBreak/>
        <w:t xml:space="preserve">Pricing and funding </w:t>
      </w:r>
      <w:r w:rsidR="002A772D" w:rsidRPr="00AC04B2">
        <w:t xml:space="preserve">for </w:t>
      </w:r>
      <w:r w:rsidRPr="00AC04B2">
        <w:t>safety and quality in the delivery of public hospital services</w:t>
      </w:r>
      <w:bookmarkEnd w:id="48"/>
      <w:bookmarkEnd w:id="49"/>
      <w:bookmarkEnd w:id="50"/>
      <w:bookmarkEnd w:id="51"/>
      <w:bookmarkEnd w:id="52"/>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201BE1" w:rsidRPr="00AC04B2" w14:paraId="69A7295A" w14:textId="77777777" w:rsidTr="00B8187B">
        <w:tc>
          <w:tcPr>
            <w:tcW w:w="3726" w:type="pct"/>
            <w:tcBorders>
              <w:top w:val="nil"/>
              <w:bottom w:val="nil"/>
            </w:tcBorders>
            <w:shd w:val="clear" w:color="auto" w:fill="104F99"/>
            <w:vAlign w:val="center"/>
          </w:tcPr>
          <w:p w14:paraId="7E04C6C2" w14:textId="0510B8CC" w:rsidR="00201BE1" w:rsidRPr="00AC04B2" w:rsidRDefault="00FF0E74" w:rsidP="00B20E4E">
            <w:pPr>
              <w:pStyle w:val="TableHeading"/>
              <w:keepNext/>
            </w:pPr>
            <w:r w:rsidRPr="00AC04B2">
              <w:t>Deliverable</w:t>
            </w:r>
          </w:p>
        </w:tc>
        <w:tc>
          <w:tcPr>
            <w:tcW w:w="1274" w:type="pct"/>
            <w:tcBorders>
              <w:top w:val="nil"/>
              <w:bottom w:val="nil"/>
            </w:tcBorders>
            <w:shd w:val="clear" w:color="auto" w:fill="104F99"/>
            <w:vAlign w:val="center"/>
          </w:tcPr>
          <w:p w14:paraId="1849FE22" w14:textId="7F3A3EDC" w:rsidR="00201BE1" w:rsidRPr="00AC04B2" w:rsidRDefault="00FF0E74" w:rsidP="00B20E4E">
            <w:pPr>
              <w:pStyle w:val="TableHeading"/>
              <w:keepNext/>
            </w:pPr>
            <w:r w:rsidRPr="00AC04B2">
              <w:t>Timeframe</w:t>
            </w:r>
          </w:p>
        </w:tc>
      </w:tr>
      <w:tr w:rsidR="00FD242A" w:rsidRPr="00A207F8" w14:paraId="15E9A072" w14:textId="77777777" w:rsidTr="00E35BCD">
        <w:trPr>
          <w:trHeight w:val="16"/>
        </w:trPr>
        <w:tc>
          <w:tcPr>
            <w:tcW w:w="3726" w:type="pct"/>
            <w:tcBorders>
              <w:top w:val="nil"/>
              <w:bottom w:val="single" w:sz="4" w:space="0" w:color="auto"/>
            </w:tcBorders>
          </w:tcPr>
          <w:p w14:paraId="0D5530F9" w14:textId="176901E5" w:rsidR="00FD242A" w:rsidRPr="00A207F8" w:rsidDel="0077642E" w:rsidRDefault="00081670" w:rsidP="00B20E4E">
            <w:pPr>
              <w:pStyle w:val="TableBodySmall"/>
              <w:keepNext/>
            </w:pPr>
            <w:r w:rsidRPr="00A207F8">
              <w:t>Incorporate safety and quality reforms into the pricing and funding of public hospital services</w:t>
            </w:r>
            <w:r w:rsidR="00FD242A" w:rsidRPr="00A207F8">
              <w:t>.</w:t>
            </w:r>
          </w:p>
        </w:tc>
        <w:tc>
          <w:tcPr>
            <w:tcW w:w="1274" w:type="pct"/>
            <w:tcBorders>
              <w:top w:val="nil"/>
              <w:bottom w:val="single" w:sz="4" w:space="0" w:color="auto"/>
            </w:tcBorders>
          </w:tcPr>
          <w:p w14:paraId="1844792E" w14:textId="1F7FA693" w:rsidR="00FD242A" w:rsidRPr="00A207F8" w:rsidDel="0077642E" w:rsidRDefault="00081670" w:rsidP="00B20E4E">
            <w:pPr>
              <w:pStyle w:val="TableBodySmall"/>
              <w:keepNext/>
            </w:pPr>
            <w:r w:rsidRPr="00A207F8">
              <w:t>Ongoing</w:t>
            </w:r>
          </w:p>
        </w:tc>
      </w:tr>
    </w:tbl>
    <w:p w14:paraId="3248EAAB" w14:textId="77777777" w:rsidR="00A207F8" w:rsidRDefault="00A207F8" w:rsidP="00B20E4E">
      <w:pPr>
        <w:pStyle w:val="Body"/>
        <w:keepNext/>
      </w:pPr>
    </w:p>
    <w:p w14:paraId="47ACEA38" w14:textId="038BAF02" w:rsidR="00937E47" w:rsidRPr="00A207F8" w:rsidRDefault="00FD242A" w:rsidP="00085970">
      <w:pPr>
        <w:pStyle w:val="Body"/>
        <w:keepNext/>
        <w:keepLines/>
        <w:rPr>
          <w:b/>
          <w:bCs/>
        </w:rPr>
      </w:pPr>
      <w:r w:rsidRPr="00A207F8">
        <w:rPr>
          <w:b/>
          <w:bCs/>
        </w:rPr>
        <w:t xml:space="preserve">The </w:t>
      </w:r>
      <w:r w:rsidR="00B20E4E">
        <w:rPr>
          <w:b/>
          <w:bCs/>
        </w:rPr>
        <w:t>a</w:t>
      </w:r>
      <w:r w:rsidRPr="00A207F8">
        <w:rPr>
          <w:b/>
          <w:bCs/>
        </w:rPr>
        <w:t>ddendum requires IH</w:t>
      </w:r>
      <w:r w:rsidR="00937E47" w:rsidRPr="00A207F8">
        <w:rPr>
          <w:b/>
          <w:bCs/>
        </w:rPr>
        <w:t>AC</w:t>
      </w:r>
      <w:r w:rsidRPr="00A207F8">
        <w:rPr>
          <w:b/>
          <w:bCs/>
        </w:rPr>
        <w:t xml:space="preserve">PA to continue </w:t>
      </w:r>
      <w:r w:rsidR="00F55E21" w:rsidRPr="00A207F8">
        <w:rPr>
          <w:b/>
          <w:bCs/>
        </w:rPr>
        <w:t xml:space="preserve">to implement safety and quality </w:t>
      </w:r>
      <w:r w:rsidRPr="00A207F8">
        <w:rPr>
          <w:b/>
          <w:bCs/>
        </w:rPr>
        <w:t xml:space="preserve">approaches for sentinel events, hospital acquired complications (HACs) and avoidable hospital readmissions. The </w:t>
      </w:r>
      <w:r w:rsidR="00B20E4E">
        <w:rPr>
          <w:b/>
          <w:bCs/>
        </w:rPr>
        <w:t>a</w:t>
      </w:r>
      <w:r w:rsidRPr="00A207F8">
        <w:rPr>
          <w:b/>
          <w:bCs/>
        </w:rPr>
        <w:t>ddendum also requires IH</w:t>
      </w:r>
      <w:r w:rsidR="00937E47" w:rsidRPr="00A207F8">
        <w:rPr>
          <w:b/>
          <w:bCs/>
        </w:rPr>
        <w:t>AC</w:t>
      </w:r>
      <w:r w:rsidRPr="00A207F8">
        <w:rPr>
          <w:b/>
          <w:bCs/>
        </w:rPr>
        <w:t xml:space="preserve">PA to provide advice regarding </w:t>
      </w:r>
      <w:r w:rsidR="00F55E21" w:rsidRPr="00A207F8">
        <w:rPr>
          <w:b/>
          <w:bCs/>
        </w:rPr>
        <w:t xml:space="preserve">the evaluation of existing reforms and the </w:t>
      </w:r>
      <w:r w:rsidRPr="00A207F8">
        <w:rPr>
          <w:b/>
          <w:bCs/>
        </w:rPr>
        <w:t>investigation of new reforms, including options for reducing avoidable and preventable hospitalisations</w:t>
      </w:r>
      <w:r w:rsidR="00990D12" w:rsidRPr="00A207F8">
        <w:rPr>
          <w:b/>
          <w:bCs/>
        </w:rPr>
        <w:t>.</w:t>
      </w:r>
    </w:p>
    <w:p w14:paraId="49FCB679" w14:textId="071F50E8" w:rsidR="00201BE1" w:rsidRPr="00A207F8" w:rsidRDefault="00201BE1" w:rsidP="00E378B1">
      <w:pPr>
        <w:pStyle w:val="Body"/>
        <w:keepNext/>
        <w:rPr>
          <w:b/>
          <w:bCs/>
        </w:rPr>
      </w:pPr>
      <w:bookmarkStart w:id="54" w:name="_Toc55045619"/>
      <w:bookmarkStart w:id="55" w:name="_Toc55053991"/>
      <w:bookmarkStart w:id="56" w:name="_Toc55237210"/>
      <w:r w:rsidRPr="00A207F8">
        <w:rPr>
          <w:b/>
          <w:bCs/>
        </w:rPr>
        <w:t>Sentinel events</w:t>
      </w:r>
      <w:bookmarkEnd w:id="54"/>
      <w:bookmarkEnd w:id="55"/>
      <w:bookmarkEnd w:id="56"/>
    </w:p>
    <w:p w14:paraId="3A65BA8D" w14:textId="0D26E539" w:rsidR="00FD242A" w:rsidRPr="00AC04B2" w:rsidRDefault="00FD242A" w:rsidP="00F00D91">
      <w:pPr>
        <w:pStyle w:val="Body"/>
      </w:pPr>
      <w:r w:rsidRPr="00AC04B2">
        <w:t xml:space="preserve">Sentinel events are </w:t>
      </w:r>
      <w:r w:rsidR="002A772D" w:rsidRPr="00AC04B2">
        <w:t>a subset of adverse patient safety event</w:t>
      </w:r>
      <w:r w:rsidR="000C2099" w:rsidRPr="00AC04B2">
        <w:t>s</w:t>
      </w:r>
      <w:r w:rsidR="002A772D" w:rsidRPr="00AC04B2">
        <w:t xml:space="preserve"> that are who</w:t>
      </w:r>
      <w:r w:rsidR="000C2099" w:rsidRPr="00AC04B2">
        <w:t>l</w:t>
      </w:r>
      <w:r w:rsidR="002A772D" w:rsidRPr="00AC04B2">
        <w:t>ly preventable a</w:t>
      </w:r>
      <w:r w:rsidR="000C2099" w:rsidRPr="00AC04B2">
        <w:t>n</w:t>
      </w:r>
      <w:r w:rsidR="002A772D" w:rsidRPr="00AC04B2">
        <w:t>d result in serious harm to</w:t>
      </w:r>
      <w:r w:rsidR="000C2099" w:rsidRPr="00AC04B2">
        <w:t>,</w:t>
      </w:r>
      <w:r w:rsidR="002A772D" w:rsidRPr="00AC04B2">
        <w:t xml:space="preserve"> or</w:t>
      </w:r>
      <w:r w:rsidR="00402472" w:rsidRPr="00AC04B2">
        <w:t> </w:t>
      </w:r>
      <w:r w:rsidR="002A772D" w:rsidRPr="00AC04B2">
        <w:t>death of</w:t>
      </w:r>
      <w:r w:rsidR="000C2099" w:rsidRPr="00AC04B2">
        <w:t>,</w:t>
      </w:r>
      <w:r w:rsidR="002A772D" w:rsidRPr="00AC04B2">
        <w:t xml:space="preserve"> a patient</w:t>
      </w:r>
      <w:r w:rsidRPr="00AC04B2">
        <w:t>, where serious harm is defined to include requiring life-saving surgical or medical intervention, shortened life expectancy, permanent or long-term physical harm or permanent or long-term loss of function.</w:t>
      </w:r>
    </w:p>
    <w:p w14:paraId="6BB2857E" w14:textId="28E54E1D" w:rsidR="00FD242A" w:rsidRPr="00AC04B2" w:rsidRDefault="00FD242A" w:rsidP="00F00D91">
      <w:pPr>
        <w:pStyle w:val="Body"/>
      </w:pPr>
      <w:r w:rsidRPr="00AC04B2">
        <w:t xml:space="preserve">The Australian Commission on Safety and Quality in Health Care (the Commission) is responsible for </w:t>
      </w:r>
      <w:r w:rsidR="00D85D6A" w:rsidRPr="00AC04B2">
        <w:t xml:space="preserve">maintaining </w:t>
      </w:r>
      <w:r w:rsidRPr="00AC04B2">
        <w:t xml:space="preserve">the Australian Sentinel Events List, which was initially endorsed by </w:t>
      </w:r>
      <w:r w:rsidR="00D85D6A" w:rsidRPr="00AC04B2">
        <w:t xml:space="preserve">Australian </w:t>
      </w:r>
      <w:r w:rsidRPr="00AC04B2">
        <w:t>health ministers in 2002.</w:t>
      </w:r>
    </w:p>
    <w:p w14:paraId="19867292" w14:textId="4E477E77" w:rsidR="00990D12" w:rsidRPr="00AC04B2" w:rsidRDefault="00FD242A" w:rsidP="00F00D91">
      <w:pPr>
        <w:pStyle w:val="Body"/>
      </w:pPr>
      <w:r w:rsidRPr="00AC04B2">
        <w:t xml:space="preserve">The Commission undertook a review of the Australian Sentinel Events List in 2017 and the updated list was endorsed by Australian health ministers in December 2018. Version 2.0 of the Australian Sentinel Events List is available on the </w:t>
      </w:r>
      <w:hyperlink r:id="rId29" w:history="1">
        <w:r w:rsidR="00990D12" w:rsidRPr="00AC04B2">
          <w:rPr>
            <w:rStyle w:val="Hyperlink"/>
            <w:color w:val="008F55" w:themeColor="accent4"/>
          </w:rPr>
          <w:t>Commission’s website</w:t>
        </w:r>
        <w:r w:rsidR="00990D12" w:rsidRPr="00AC04B2">
          <w:t>.</w:t>
        </w:r>
      </w:hyperlink>
    </w:p>
    <w:p w14:paraId="13E03F65" w14:textId="5C76B442" w:rsidR="00705A7F" w:rsidRPr="00AC04B2" w:rsidRDefault="00705A7F" w:rsidP="00F00D91">
      <w:pPr>
        <w:pStyle w:val="Body"/>
      </w:pPr>
      <w:r w:rsidRPr="00AC04B2">
        <w:t>Since July 2017, IH</w:t>
      </w:r>
      <w:r w:rsidR="0048370F" w:rsidRPr="00AC04B2">
        <w:t>AC</w:t>
      </w:r>
      <w:r w:rsidRPr="00AC04B2">
        <w:t>PA has implemented a funding approach for sentinel events whereby a zero national weighted activity unit (NWAU) is assigned to an episode of care that includes a sentinel event. This approach is applied to all hospitals, comprising services funded on an ABF or block</w:t>
      </w:r>
      <w:r w:rsidR="003007BE" w:rsidRPr="00AC04B2">
        <w:t>-</w:t>
      </w:r>
      <w:r w:rsidRPr="00AC04B2">
        <w:t>funded basis.</w:t>
      </w:r>
    </w:p>
    <w:p w14:paraId="4E1B003B" w14:textId="1C3376D9" w:rsidR="00201BE1" w:rsidRPr="00A207F8" w:rsidRDefault="00192240" w:rsidP="00F00D91">
      <w:pPr>
        <w:pStyle w:val="Body"/>
        <w:rPr>
          <w:b/>
          <w:bCs/>
        </w:rPr>
      </w:pPr>
      <w:r w:rsidRPr="00A207F8">
        <w:rPr>
          <w:b/>
          <w:bCs/>
        </w:rPr>
        <w:t>Hospital acquired complications</w:t>
      </w:r>
    </w:p>
    <w:p w14:paraId="634EE0B4" w14:textId="3A409A9F" w:rsidR="00705A7F" w:rsidRPr="00AC04B2" w:rsidRDefault="00F55E21" w:rsidP="00F00D91">
      <w:pPr>
        <w:pStyle w:val="Body"/>
      </w:pPr>
      <w:r w:rsidRPr="00AC04B2">
        <w:t xml:space="preserve">A HAC refers to a complication for which </w:t>
      </w:r>
      <w:r w:rsidR="00705A7F" w:rsidRPr="00AC04B2">
        <w:t>clinical risk mitigation strategies may reduce (but not necessarily eliminate) the risk of that complication occurring. The Commission is responsible for the ongoing curation of the HACs list to ensure it remains clinically relevant.</w:t>
      </w:r>
    </w:p>
    <w:p w14:paraId="795576DE" w14:textId="7899A9CC" w:rsidR="00990D12" w:rsidRPr="00AC04B2" w:rsidRDefault="00705A7F" w:rsidP="00F00D91">
      <w:pPr>
        <w:pStyle w:val="Body"/>
      </w:pPr>
      <w:r w:rsidRPr="00AC04B2">
        <w:t xml:space="preserve">Version 3.1 of the HACs list </w:t>
      </w:r>
      <w:r w:rsidR="00AE6D82" w:rsidRPr="00AC04B2">
        <w:t xml:space="preserve">and specifications was released </w:t>
      </w:r>
      <w:r w:rsidRPr="00AC04B2">
        <w:t>in March 2021</w:t>
      </w:r>
      <w:r w:rsidR="00AE6D82" w:rsidRPr="00AC04B2">
        <w:t xml:space="preserve"> and </w:t>
      </w:r>
      <w:r w:rsidRPr="00AC04B2">
        <w:t xml:space="preserve">is </w:t>
      </w:r>
      <w:r w:rsidR="00F55E21" w:rsidRPr="00AC04B2">
        <w:t xml:space="preserve">available </w:t>
      </w:r>
      <w:r w:rsidRPr="00AC04B2">
        <w:t xml:space="preserve">on the </w:t>
      </w:r>
      <w:hyperlink r:id="rId30" w:history="1">
        <w:r w:rsidR="00990D12" w:rsidRPr="00AC04B2">
          <w:rPr>
            <w:rStyle w:val="Hyperlink"/>
            <w:color w:val="008F55" w:themeColor="accent4"/>
          </w:rPr>
          <w:t>Commission’s website</w:t>
        </w:r>
      </w:hyperlink>
      <w:r w:rsidR="00990D12" w:rsidRPr="00AC04B2">
        <w:t>.</w:t>
      </w:r>
    </w:p>
    <w:p w14:paraId="64C9BA67" w14:textId="045A6171" w:rsidR="00705A7F" w:rsidRPr="00AC04B2" w:rsidRDefault="00705A7F" w:rsidP="00F00D91">
      <w:pPr>
        <w:pStyle w:val="Body"/>
      </w:pPr>
      <w:r w:rsidRPr="00AC04B2">
        <w:t>Since July 2018, IH</w:t>
      </w:r>
      <w:r w:rsidR="0048370F" w:rsidRPr="00AC04B2">
        <w:t>AC</w:t>
      </w:r>
      <w:r w:rsidRPr="00AC04B2">
        <w:t>PA has implemented a HACs funding approach that incorporates a risk adjustment model that assigns individual patient episodes with a HAC complexity score (low, medium or high). This complexity score is used to adjust the funding reduction for an episode containing a HAC, on the basis of the risk of that patient acquiring a HAC.</w:t>
      </w:r>
    </w:p>
    <w:p w14:paraId="0B17B707" w14:textId="77777777" w:rsidR="00201BE1" w:rsidRPr="000362C5" w:rsidRDefault="00201BE1" w:rsidP="00F00D91">
      <w:pPr>
        <w:pStyle w:val="Body"/>
        <w:rPr>
          <w:b/>
          <w:bCs/>
        </w:rPr>
      </w:pPr>
      <w:bookmarkStart w:id="57" w:name="_Toc55053993"/>
      <w:bookmarkStart w:id="58" w:name="_Toc55237212"/>
      <w:r w:rsidRPr="000362C5">
        <w:rPr>
          <w:b/>
          <w:bCs/>
        </w:rPr>
        <w:t>Avoidable hospital readmissions</w:t>
      </w:r>
      <w:bookmarkEnd w:id="57"/>
      <w:bookmarkEnd w:id="58"/>
    </w:p>
    <w:p w14:paraId="1E7480F6" w14:textId="51218A9C" w:rsidR="00B80432" w:rsidRPr="00AC04B2" w:rsidRDefault="00B80432" w:rsidP="00F00D91">
      <w:pPr>
        <w:pStyle w:val="Body"/>
      </w:pPr>
      <w:r w:rsidRPr="00AC04B2">
        <w:t xml:space="preserve">An avoidable hospital readmission occurs when a patient has been discharged from hospital (index admission) </w:t>
      </w:r>
      <w:r w:rsidR="00F55E21" w:rsidRPr="00AC04B2">
        <w:t>and has a subsequent unplanned admission that is related to the index admission and was potentially preventable</w:t>
      </w:r>
      <w:r w:rsidRPr="00AC04B2">
        <w:t>.</w:t>
      </w:r>
    </w:p>
    <w:p w14:paraId="4639F8B1" w14:textId="38737F2E" w:rsidR="00990D12" w:rsidRPr="00AC04B2" w:rsidRDefault="00B80432" w:rsidP="00F00D91">
      <w:pPr>
        <w:pStyle w:val="Body"/>
      </w:pPr>
      <w:r w:rsidRPr="00AC04B2">
        <w:t xml:space="preserve">The Commission developed a list of clinical conditions considered to be avoidable hospital readmissions, which was endorsed by health ministers in 2019. Version </w:t>
      </w:r>
      <w:r w:rsidR="0048370F" w:rsidRPr="00AC04B2">
        <w:t>2</w:t>
      </w:r>
      <w:r w:rsidRPr="00AC04B2">
        <w:t xml:space="preserve">.0 of the list of avoidable hospital readmission conditions and specifications </w:t>
      </w:r>
      <w:r w:rsidR="00F55E21" w:rsidRPr="00AC04B2">
        <w:t xml:space="preserve">was released in May 2022 and </w:t>
      </w:r>
      <w:r w:rsidRPr="00AC04B2">
        <w:t xml:space="preserve">is available on the </w:t>
      </w:r>
      <w:hyperlink r:id="rId31" w:history="1">
        <w:r w:rsidR="00990D12" w:rsidRPr="00AC04B2">
          <w:rPr>
            <w:rStyle w:val="Hyperlink"/>
            <w:color w:val="008F55" w:themeColor="accent4"/>
          </w:rPr>
          <w:t>Commission’s website</w:t>
        </w:r>
      </w:hyperlink>
      <w:r w:rsidR="00990D12" w:rsidRPr="00AC04B2">
        <w:t>.</w:t>
      </w:r>
    </w:p>
    <w:p w14:paraId="39067764" w14:textId="37BD30A8" w:rsidR="00990D12" w:rsidRPr="00AC04B2" w:rsidRDefault="00B80432" w:rsidP="00F00D91">
      <w:pPr>
        <w:pStyle w:val="Body"/>
      </w:pPr>
      <w:r w:rsidRPr="00AC04B2">
        <w:t>Since July 2021, IH</w:t>
      </w:r>
      <w:r w:rsidR="0048370F" w:rsidRPr="00AC04B2">
        <w:t>AC</w:t>
      </w:r>
      <w:r w:rsidRPr="00AC04B2">
        <w:t xml:space="preserve">PA has implemented an avoidable hospital readmissions funding approach </w:t>
      </w:r>
      <w:r w:rsidR="00D50265">
        <w:t>that</w:t>
      </w:r>
      <w:r w:rsidRPr="00AC04B2">
        <w:t xml:space="preserve"> applies a risk-adjusted NWAU adjustment to the index episode, based on the total NWAU of the associated readmission. A risk adjustment model has been derived for each readmission condition, aligning the risk of being readmitted for each episode of care, based on the most clinically relevant and statistically significant risk factors for that readmission condition.</w:t>
      </w:r>
    </w:p>
    <w:p w14:paraId="4B2A3EBC" w14:textId="77777777" w:rsidR="00D345E7" w:rsidRPr="000362C5" w:rsidRDefault="00D345E7" w:rsidP="00F00D91">
      <w:pPr>
        <w:pStyle w:val="Body"/>
        <w:rPr>
          <w:b/>
          <w:bCs/>
        </w:rPr>
      </w:pPr>
      <w:r w:rsidRPr="000362C5">
        <w:rPr>
          <w:b/>
          <w:bCs/>
        </w:rPr>
        <w:t>Safety and Quality Evaluation Framework</w:t>
      </w:r>
    </w:p>
    <w:p w14:paraId="002BC013" w14:textId="1F399DF9" w:rsidR="00D345E7" w:rsidRPr="00AC04B2" w:rsidRDefault="00D345E7" w:rsidP="00F00D91">
      <w:pPr>
        <w:pStyle w:val="Body"/>
      </w:pPr>
      <w:r w:rsidRPr="00AC04B2">
        <w:t xml:space="preserve">Clause A172 of the </w:t>
      </w:r>
      <w:r w:rsidR="0032730B">
        <w:t>a</w:t>
      </w:r>
      <w:r w:rsidRPr="00AC04B2">
        <w:t>ddendum requires IH</w:t>
      </w:r>
      <w:r w:rsidR="0048370F" w:rsidRPr="00AC04B2">
        <w:t>AC</w:t>
      </w:r>
      <w:r w:rsidRPr="00AC04B2">
        <w:t>PA to provide advice to health ministers on evaluating the implemented safety and quality reforms against a set of established principles to support consideration of new or additional reforms.</w:t>
      </w:r>
    </w:p>
    <w:p w14:paraId="45295F33" w14:textId="4AFB47B7" w:rsidR="002676C8" w:rsidRPr="00AC04B2" w:rsidRDefault="002676C8" w:rsidP="00F00D91">
      <w:pPr>
        <w:pStyle w:val="Body"/>
      </w:pPr>
      <w:r w:rsidRPr="00AC04B2">
        <w:lastRenderedPageBreak/>
        <w:t>IH</w:t>
      </w:r>
      <w:r w:rsidR="0048370F" w:rsidRPr="00AC04B2">
        <w:t>AC</w:t>
      </w:r>
      <w:r w:rsidRPr="00AC04B2">
        <w:t>PA developed an evaluation framework in consultation with the jurisdictions, the Commission, the Administrator and key</w:t>
      </w:r>
      <w:r w:rsidR="00402472" w:rsidRPr="00AC04B2">
        <w:t> </w:t>
      </w:r>
      <w:r w:rsidRPr="00AC04B2">
        <w:t>stakeholders for the evaluation of the implemented pricing and funding approaches for sentinel events, HACs and avoidable hospital readmissions.</w:t>
      </w:r>
      <w:r w:rsidR="003007BE" w:rsidRPr="00AC04B2">
        <w:t xml:space="preserve"> </w:t>
      </w:r>
      <w:r w:rsidRPr="00AC04B2">
        <w:t>IH</w:t>
      </w:r>
      <w:r w:rsidR="0048370F" w:rsidRPr="00AC04B2">
        <w:t>AC</w:t>
      </w:r>
      <w:r w:rsidRPr="00AC04B2">
        <w:t xml:space="preserve">PA, the Commission and the Administrator provided joint advice to health ministers in October 2021 on a proposed evaluation approach. </w:t>
      </w:r>
    </w:p>
    <w:p w14:paraId="7E2F7686" w14:textId="0BD529A6" w:rsidR="00D345E7" w:rsidRPr="000362C5" w:rsidRDefault="00D345E7" w:rsidP="00F00D91">
      <w:pPr>
        <w:pStyle w:val="Body"/>
        <w:rPr>
          <w:b/>
          <w:bCs/>
        </w:rPr>
      </w:pPr>
      <w:r w:rsidRPr="000362C5">
        <w:rPr>
          <w:b/>
          <w:bCs/>
        </w:rPr>
        <w:t>Further safety and quality reforms</w:t>
      </w:r>
    </w:p>
    <w:p w14:paraId="7DE2F820" w14:textId="006E1DA5" w:rsidR="00D345E7" w:rsidRPr="00AC04B2" w:rsidRDefault="00D345E7" w:rsidP="00F00D91">
      <w:pPr>
        <w:pStyle w:val="Body"/>
      </w:pPr>
      <w:r w:rsidRPr="00AC04B2">
        <w:t xml:space="preserve">Clause A173 of the </w:t>
      </w:r>
      <w:r w:rsidR="0032730B">
        <w:t>a</w:t>
      </w:r>
      <w:r w:rsidRPr="00AC04B2">
        <w:t>ddendum requires IH</w:t>
      </w:r>
      <w:r w:rsidR="00BA5BB0" w:rsidRPr="00AC04B2">
        <w:t>AC</w:t>
      </w:r>
      <w:r w:rsidRPr="00AC04B2">
        <w:t>PA, the Commission and the Administrator to provide advice to health ministers on options for the further development of safety and quality-related reforms.</w:t>
      </w:r>
    </w:p>
    <w:p w14:paraId="20BE9348" w14:textId="336D2819" w:rsidR="009F2A4A" w:rsidRPr="00AC04B2" w:rsidRDefault="00D345E7" w:rsidP="00F00D91">
      <w:pPr>
        <w:pStyle w:val="Body"/>
      </w:pPr>
      <w:r w:rsidRPr="00AC04B2">
        <w:t>As part of the joint advice provided to health ministers in October 2021, IH</w:t>
      </w:r>
      <w:r w:rsidR="00BA5BB0" w:rsidRPr="00AC04B2">
        <w:t>AC</w:t>
      </w:r>
      <w:r w:rsidRPr="00AC04B2">
        <w:t>PA and the Commission investigated options for</w:t>
      </w:r>
      <w:r w:rsidR="00402472" w:rsidRPr="00AC04B2">
        <w:t> </w:t>
      </w:r>
      <w:r w:rsidRPr="00AC04B2">
        <w:t xml:space="preserve">reducing avoidable and preventable hospitalisations, with a focus on patients with chronic and complex conditions. </w:t>
      </w:r>
      <w:r w:rsidR="00F55E21" w:rsidRPr="00AC04B2">
        <w:t xml:space="preserve">Pending ministerial feedback, </w:t>
      </w:r>
      <w:r w:rsidRPr="00AC04B2">
        <w:t>IH</w:t>
      </w:r>
      <w:r w:rsidR="00BA5BB0" w:rsidRPr="00AC04B2">
        <w:t>AC</w:t>
      </w:r>
      <w:r w:rsidRPr="00AC04B2">
        <w:t>PA</w:t>
      </w:r>
      <w:r w:rsidR="00402472" w:rsidRPr="00AC04B2">
        <w:t> </w:t>
      </w:r>
      <w:r w:rsidRPr="00AC04B2">
        <w:t xml:space="preserve">will work with jurisdictions, the Commission and broader stakeholders to explore </w:t>
      </w:r>
      <w:r w:rsidR="00F55E21" w:rsidRPr="00AC04B2">
        <w:t xml:space="preserve">further </w:t>
      </w:r>
      <w:r w:rsidRPr="00AC04B2">
        <w:t>options for reducing avoidable and preventable hospitalisations.</w:t>
      </w:r>
    </w:p>
    <w:p w14:paraId="4725AF69" w14:textId="77777777" w:rsidR="003007BE" w:rsidRPr="00AC04B2" w:rsidRDefault="003007BE" w:rsidP="00E378B1">
      <w:pPr>
        <w:pStyle w:val="H4"/>
        <w:keepNext/>
        <w:ind w:left="499" w:hanging="357"/>
      </w:pPr>
      <w:r w:rsidRPr="00AC04B2">
        <w:t>Forecast of the national efficient price for future years</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3007BE" w:rsidRPr="00AC04B2" w14:paraId="55AC8A3B" w14:textId="77777777" w:rsidTr="00122328">
        <w:tc>
          <w:tcPr>
            <w:tcW w:w="3726" w:type="pct"/>
            <w:tcBorders>
              <w:top w:val="nil"/>
              <w:bottom w:val="nil"/>
            </w:tcBorders>
            <w:shd w:val="clear" w:color="auto" w:fill="104F99"/>
            <w:vAlign w:val="center"/>
          </w:tcPr>
          <w:p w14:paraId="0BC72697" w14:textId="77777777" w:rsidR="003007BE" w:rsidRPr="00AC04B2" w:rsidRDefault="003007BE" w:rsidP="00A207F8">
            <w:pPr>
              <w:pStyle w:val="TableHeading"/>
            </w:pPr>
            <w:r w:rsidRPr="00AC04B2">
              <w:t>Deliverable</w:t>
            </w:r>
          </w:p>
        </w:tc>
        <w:tc>
          <w:tcPr>
            <w:tcW w:w="1274" w:type="pct"/>
            <w:tcBorders>
              <w:top w:val="nil"/>
              <w:bottom w:val="nil"/>
            </w:tcBorders>
            <w:shd w:val="clear" w:color="auto" w:fill="104F99"/>
            <w:vAlign w:val="center"/>
          </w:tcPr>
          <w:p w14:paraId="7220215B" w14:textId="77777777" w:rsidR="003007BE" w:rsidRPr="00AC04B2" w:rsidRDefault="003007BE" w:rsidP="00A207F8">
            <w:pPr>
              <w:pStyle w:val="TableHeading"/>
            </w:pPr>
            <w:r w:rsidRPr="00AC04B2">
              <w:t>Timeframe</w:t>
            </w:r>
          </w:p>
        </w:tc>
      </w:tr>
      <w:tr w:rsidR="003007BE" w:rsidRPr="00AC04B2" w14:paraId="3F9C0330" w14:textId="77777777" w:rsidTr="00122328">
        <w:trPr>
          <w:trHeight w:val="256"/>
        </w:trPr>
        <w:tc>
          <w:tcPr>
            <w:tcW w:w="3726" w:type="pct"/>
            <w:tcBorders>
              <w:top w:val="nil"/>
              <w:bottom w:val="single" w:sz="4" w:space="0" w:color="auto"/>
            </w:tcBorders>
          </w:tcPr>
          <w:p w14:paraId="573FE21B" w14:textId="77777777" w:rsidR="003007BE" w:rsidRPr="00AC04B2" w:rsidRDefault="003007BE" w:rsidP="00A207F8">
            <w:pPr>
              <w:pStyle w:val="TableBodySmall"/>
            </w:pPr>
            <w:r w:rsidRPr="00AC04B2">
              <w:t>Provide confidential national efficient price forecast for future years to jurisdictions.</w:t>
            </w:r>
          </w:p>
        </w:tc>
        <w:tc>
          <w:tcPr>
            <w:tcW w:w="1274" w:type="pct"/>
            <w:tcBorders>
              <w:top w:val="nil"/>
              <w:bottom w:val="single" w:sz="4" w:space="0" w:color="auto"/>
            </w:tcBorders>
          </w:tcPr>
          <w:p w14:paraId="48D21C7F" w14:textId="01B64622" w:rsidR="003007BE" w:rsidRPr="00AC04B2" w:rsidRDefault="003007BE" w:rsidP="00A207F8">
            <w:pPr>
              <w:pStyle w:val="TableBodySmall"/>
            </w:pPr>
            <w:r w:rsidRPr="00AC04B2">
              <w:t>March 202</w:t>
            </w:r>
            <w:r w:rsidR="009C1C9B">
              <w:t>5</w:t>
            </w:r>
          </w:p>
        </w:tc>
      </w:tr>
    </w:tbl>
    <w:p w14:paraId="3B5956A0" w14:textId="77777777" w:rsidR="000362C5" w:rsidRDefault="000362C5" w:rsidP="00F00D91">
      <w:pPr>
        <w:pStyle w:val="Body"/>
      </w:pPr>
    </w:p>
    <w:p w14:paraId="459787E8" w14:textId="0A9FC1CA" w:rsidR="003007BE" w:rsidRPr="000362C5" w:rsidRDefault="003007BE" w:rsidP="00F00D91">
      <w:pPr>
        <w:pStyle w:val="Body"/>
        <w:rPr>
          <w:b/>
          <w:bCs/>
        </w:rPr>
      </w:pPr>
      <w:r w:rsidRPr="000362C5">
        <w:rPr>
          <w:b/>
          <w:bCs/>
        </w:rPr>
        <w:t xml:space="preserve">Clause B24(h) of the </w:t>
      </w:r>
      <w:r w:rsidR="0032730B">
        <w:rPr>
          <w:b/>
          <w:bCs/>
        </w:rPr>
        <w:t>a</w:t>
      </w:r>
      <w:r w:rsidRPr="000362C5">
        <w:rPr>
          <w:b/>
          <w:bCs/>
        </w:rPr>
        <w:t xml:space="preserve">ddendum requires IHACPA to develop projections of the NEP for a four-year period. These are updated annually, with confidential reports on these projections provided to the </w:t>
      </w:r>
      <w:r w:rsidR="00C573D6" w:rsidRPr="00C573D6">
        <w:rPr>
          <w:b/>
          <w:bCs/>
        </w:rPr>
        <w:t>Australian Government</w:t>
      </w:r>
      <w:r w:rsidR="00B20E4E">
        <w:rPr>
          <w:b/>
          <w:bCs/>
        </w:rPr>
        <w:t xml:space="preserve"> and </w:t>
      </w:r>
      <w:r w:rsidRPr="000362C5">
        <w:rPr>
          <w:b/>
          <w:bCs/>
        </w:rPr>
        <w:t>state and territor</w:t>
      </w:r>
      <w:r w:rsidR="00B20E4E">
        <w:rPr>
          <w:b/>
          <w:bCs/>
        </w:rPr>
        <w:t>y governments</w:t>
      </w:r>
      <w:r w:rsidRPr="000362C5">
        <w:rPr>
          <w:b/>
          <w:bCs/>
        </w:rPr>
        <w:t>.</w:t>
      </w:r>
    </w:p>
    <w:bookmarkEnd w:id="53"/>
    <w:p w14:paraId="2D167FB4" w14:textId="6119513B" w:rsidR="007B61BD" w:rsidRPr="00AC04B2" w:rsidRDefault="00873119" w:rsidP="00873119">
      <w:pPr>
        <w:pStyle w:val="H4"/>
      </w:pPr>
      <w:r w:rsidRPr="00873119">
        <w:t>Supplementary Block-Funding Advice to the Administrator of the National Health Funding Pool</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7B61BD" w:rsidRPr="00AC04B2" w14:paraId="43859572" w14:textId="77777777" w:rsidTr="003464CB">
        <w:tc>
          <w:tcPr>
            <w:tcW w:w="3726" w:type="pct"/>
            <w:tcBorders>
              <w:top w:val="nil"/>
              <w:bottom w:val="nil"/>
            </w:tcBorders>
            <w:shd w:val="clear" w:color="auto" w:fill="104F99"/>
            <w:vAlign w:val="center"/>
          </w:tcPr>
          <w:p w14:paraId="532DF2A2" w14:textId="45BC0FD9" w:rsidR="007B61BD" w:rsidRPr="00AC04B2" w:rsidRDefault="00FF0E74" w:rsidP="00A207F8">
            <w:pPr>
              <w:pStyle w:val="TableHeading"/>
            </w:pPr>
            <w:r w:rsidRPr="00AC04B2">
              <w:t>Deliverable</w:t>
            </w:r>
          </w:p>
        </w:tc>
        <w:tc>
          <w:tcPr>
            <w:tcW w:w="1274" w:type="pct"/>
            <w:tcBorders>
              <w:top w:val="nil"/>
              <w:bottom w:val="nil"/>
            </w:tcBorders>
            <w:shd w:val="clear" w:color="auto" w:fill="104F99"/>
            <w:vAlign w:val="center"/>
          </w:tcPr>
          <w:p w14:paraId="24C20D51" w14:textId="7DCC769D" w:rsidR="007B61BD" w:rsidRPr="00AC04B2" w:rsidRDefault="00FF0E74" w:rsidP="00A207F8">
            <w:pPr>
              <w:pStyle w:val="TableHeading"/>
            </w:pPr>
            <w:r w:rsidRPr="00AC04B2">
              <w:t>Timeframe</w:t>
            </w:r>
          </w:p>
        </w:tc>
      </w:tr>
      <w:tr w:rsidR="00CE1C1B" w:rsidRPr="00AC04B2" w14:paraId="63A9B231" w14:textId="77777777" w:rsidTr="003464CB">
        <w:trPr>
          <w:trHeight w:val="256"/>
        </w:trPr>
        <w:tc>
          <w:tcPr>
            <w:tcW w:w="3726" w:type="pct"/>
            <w:tcBorders>
              <w:top w:val="single" w:sz="4" w:space="0" w:color="auto"/>
              <w:bottom w:val="single" w:sz="4" w:space="0" w:color="auto"/>
            </w:tcBorders>
          </w:tcPr>
          <w:p w14:paraId="76C31904" w14:textId="14591728" w:rsidR="00CE1C1B" w:rsidRPr="00AC04B2" w:rsidRDefault="00CE1C1B" w:rsidP="00A207F8">
            <w:pPr>
              <w:pStyle w:val="TableBodySmall"/>
            </w:pPr>
            <w:r w:rsidRPr="00AC04B2">
              <w:t xml:space="preserve">Publish the </w:t>
            </w:r>
            <w:r w:rsidR="00873119" w:rsidRPr="00873119">
              <w:t>Supplementary Block-Funding Advice to the Administrator of the National Health Funding Pool for 202</w:t>
            </w:r>
            <w:r w:rsidR="00873119">
              <w:t>4</w:t>
            </w:r>
            <w:r w:rsidR="00873119" w:rsidRPr="00873119">
              <w:t>–2</w:t>
            </w:r>
            <w:r w:rsidR="00873119">
              <w:t>5</w:t>
            </w:r>
            <w:r w:rsidRPr="00AC04B2">
              <w:t>.</w:t>
            </w:r>
          </w:p>
        </w:tc>
        <w:tc>
          <w:tcPr>
            <w:tcW w:w="1274" w:type="pct"/>
            <w:tcBorders>
              <w:top w:val="single" w:sz="4" w:space="0" w:color="auto"/>
              <w:bottom w:val="single" w:sz="4" w:space="0" w:color="auto"/>
            </w:tcBorders>
          </w:tcPr>
          <w:p w14:paraId="35A3B028" w14:textId="58CD79FB" w:rsidR="00CE1C1B" w:rsidRPr="00AC04B2" w:rsidRDefault="00E46F3E" w:rsidP="00A207F8">
            <w:pPr>
              <w:pStyle w:val="TableBodySmall"/>
            </w:pPr>
            <w:r>
              <w:t>June</w:t>
            </w:r>
            <w:r w:rsidRPr="00AC04B2">
              <w:t xml:space="preserve"> </w:t>
            </w:r>
            <w:r w:rsidR="00FF09DC" w:rsidRPr="00AC04B2">
              <w:t>202</w:t>
            </w:r>
            <w:r w:rsidR="009C1C9B">
              <w:t>5</w:t>
            </w:r>
          </w:p>
        </w:tc>
      </w:tr>
    </w:tbl>
    <w:p w14:paraId="2DE47D08" w14:textId="77777777" w:rsidR="000362C5" w:rsidRDefault="000362C5" w:rsidP="00F00D91">
      <w:pPr>
        <w:pStyle w:val="Body"/>
      </w:pPr>
    </w:p>
    <w:p w14:paraId="46118DA6" w14:textId="12331022" w:rsidR="00DE48B7" w:rsidRPr="000362C5" w:rsidRDefault="00CE1C1B" w:rsidP="00F00D91">
      <w:pPr>
        <w:pStyle w:val="Body"/>
        <w:rPr>
          <w:b/>
          <w:bCs/>
        </w:rPr>
      </w:pPr>
      <w:r w:rsidRPr="000362C5">
        <w:rPr>
          <w:b/>
          <w:bCs/>
        </w:rPr>
        <w:t xml:space="preserve">As the release of the NEC Determination in March each year does not align with all state and territory </w:t>
      </w:r>
      <w:r w:rsidR="00B20E4E">
        <w:rPr>
          <w:b/>
          <w:bCs/>
        </w:rPr>
        <w:t xml:space="preserve">government </w:t>
      </w:r>
      <w:r w:rsidRPr="000362C5">
        <w:rPr>
          <w:b/>
          <w:bCs/>
        </w:rPr>
        <w:t>budget cycles, IH</w:t>
      </w:r>
      <w:r w:rsidR="00BA5BB0" w:rsidRPr="000362C5">
        <w:rPr>
          <w:b/>
          <w:bCs/>
        </w:rPr>
        <w:t>AC</w:t>
      </w:r>
      <w:r w:rsidRPr="000362C5">
        <w:rPr>
          <w:b/>
          <w:bCs/>
        </w:rPr>
        <w:t xml:space="preserve">PA issues </w:t>
      </w:r>
      <w:r w:rsidR="00873119">
        <w:rPr>
          <w:b/>
          <w:bCs/>
        </w:rPr>
        <w:t>s</w:t>
      </w:r>
      <w:r w:rsidR="00873119" w:rsidRPr="00873119">
        <w:rPr>
          <w:b/>
          <w:bCs/>
        </w:rPr>
        <w:t xml:space="preserve">upplementary </w:t>
      </w:r>
      <w:r w:rsidR="00873119">
        <w:rPr>
          <w:b/>
          <w:bCs/>
        </w:rPr>
        <w:t>b</w:t>
      </w:r>
      <w:r w:rsidR="00873119" w:rsidRPr="00873119">
        <w:rPr>
          <w:b/>
          <w:bCs/>
        </w:rPr>
        <w:t>lock-</w:t>
      </w:r>
      <w:r w:rsidR="00873119">
        <w:rPr>
          <w:b/>
          <w:bCs/>
        </w:rPr>
        <w:t>f</w:t>
      </w:r>
      <w:r w:rsidR="00873119" w:rsidRPr="00873119">
        <w:rPr>
          <w:b/>
          <w:bCs/>
        </w:rPr>
        <w:t xml:space="preserve">unding </w:t>
      </w:r>
      <w:r w:rsidR="00873119">
        <w:rPr>
          <w:b/>
          <w:bCs/>
        </w:rPr>
        <w:t>a</w:t>
      </w:r>
      <w:r w:rsidR="00873119" w:rsidRPr="00873119">
        <w:rPr>
          <w:b/>
          <w:bCs/>
        </w:rPr>
        <w:t>dvice to the Administrator of the National Health Funding Pool</w:t>
      </w:r>
      <w:r w:rsidR="003007BE" w:rsidRPr="000362C5">
        <w:rPr>
          <w:b/>
          <w:bCs/>
        </w:rPr>
        <w:t>,</w:t>
      </w:r>
      <w:r w:rsidRPr="000362C5">
        <w:rPr>
          <w:b/>
          <w:bCs/>
        </w:rPr>
        <w:t xml:space="preserve"> which provides an opportunity for state and territor</w:t>
      </w:r>
      <w:r w:rsidR="00B20E4E">
        <w:rPr>
          <w:b/>
          <w:bCs/>
        </w:rPr>
        <w:t>y governments</w:t>
      </w:r>
      <w:r w:rsidRPr="000362C5">
        <w:rPr>
          <w:b/>
          <w:bCs/>
        </w:rPr>
        <w:t xml:space="preserve"> to update their block</w:t>
      </w:r>
      <w:r w:rsidR="003007BE" w:rsidRPr="000362C5">
        <w:rPr>
          <w:b/>
          <w:bCs/>
        </w:rPr>
        <w:t>-</w:t>
      </w:r>
      <w:r w:rsidRPr="000362C5">
        <w:rPr>
          <w:b/>
          <w:bCs/>
        </w:rPr>
        <w:t xml:space="preserve">funded amounts following the finalisation of </w:t>
      </w:r>
      <w:r w:rsidR="00B20E4E">
        <w:rPr>
          <w:b/>
          <w:bCs/>
        </w:rPr>
        <w:t xml:space="preserve">their </w:t>
      </w:r>
      <w:r w:rsidRPr="000362C5">
        <w:rPr>
          <w:b/>
          <w:bCs/>
        </w:rPr>
        <w:t>budgets.</w:t>
      </w:r>
    </w:p>
    <w:p w14:paraId="3718A170" w14:textId="430862EF" w:rsidR="0099362F" w:rsidRPr="00AC04B2" w:rsidRDefault="008E1DE4" w:rsidP="000362C5">
      <w:pPr>
        <w:pStyle w:val="H4"/>
      </w:pPr>
      <w:bookmarkStart w:id="59" w:name="_Toc55045624"/>
      <w:bookmarkStart w:id="60" w:name="_Toc55053996"/>
      <w:bookmarkStart w:id="61" w:name="_Toc55237215"/>
      <w:bookmarkStart w:id="62" w:name="_Toc55238302"/>
      <w:bookmarkStart w:id="63" w:name="_Toc55974120"/>
      <w:bookmarkStart w:id="64" w:name="_Hlk120702935"/>
      <w:r w:rsidRPr="00AC04B2">
        <w:t>Pricing model refinement</w:t>
      </w:r>
      <w:r w:rsidR="00E578AD" w:rsidRPr="00AC04B2">
        <w:t>s</w:t>
      </w:r>
      <w:bookmarkEnd w:id="59"/>
      <w:bookmarkEnd w:id="60"/>
      <w:bookmarkEnd w:id="61"/>
      <w:bookmarkEnd w:id="62"/>
      <w:bookmarkEnd w:id="63"/>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99362F" w:rsidRPr="00AC04B2" w14:paraId="0C6106D0" w14:textId="77777777" w:rsidTr="00073D98">
        <w:tc>
          <w:tcPr>
            <w:tcW w:w="3726" w:type="pct"/>
            <w:tcBorders>
              <w:top w:val="nil"/>
              <w:bottom w:val="nil"/>
            </w:tcBorders>
            <w:shd w:val="clear" w:color="auto" w:fill="104F99"/>
            <w:vAlign w:val="center"/>
          </w:tcPr>
          <w:p w14:paraId="46F6266B" w14:textId="2DCAF2A3" w:rsidR="0099362F" w:rsidRPr="00AC04B2" w:rsidRDefault="00FF0E74" w:rsidP="00A207F8">
            <w:pPr>
              <w:pStyle w:val="TableHeading"/>
            </w:pPr>
            <w:r w:rsidRPr="00AC04B2">
              <w:t>Deliverable</w:t>
            </w:r>
          </w:p>
        </w:tc>
        <w:tc>
          <w:tcPr>
            <w:tcW w:w="1274" w:type="pct"/>
            <w:tcBorders>
              <w:top w:val="nil"/>
              <w:bottom w:val="nil"/>
            </w:tcBorders>
            <w:shd w:val="clear" w:color="auto" w:fill="104F99"/>
            <w:vAlign w:val="center"/>
          </w:tcPr>
          <w:p w14:paraId="6C2CC3D1" w14:textId="537F81CA" w:rsidR="0099362F" w:rsidRPr="00AC04B2" w:rsidRDefault="00FF0E74" w:rsidP="00A207F8">
            <w:pPr>
              <w:pStyle w:val="TableHeading"/>
            </w:pPr>
            <w:r w:rsidRPr="00AC04B2">
              <w:t>Timeframe</w:t>
            </w:r>
          </w:p>
        </w:tc>
      </w:tr>
      <w:tr w:rsidR="00A308C7" w:rsidRPr="00AC04B2" w14:paraId="59FBA474" w14:textId="77777777" w:rsidTr="005236C3">
        <w:trPr>
          <w:trHeight w:val="256"/>
        </w:trPr>
        <w:tc>
          <w:tcPr>
            <w:tcW w:w="3726" w:type="pct"/>
            <w:tcBorders>
              <w:top w:val="nil"/>
              <w:bottom w:val="single" w:sz="4" w:space="0" w:color="auto"/>
            </w:tcBorders>
          </w:tcPr>
          <w:p w14:paraId="7A4CF28A" w14:textId="006F0DF4" w:rsidR="00A308C7" w:rsidRPr="00FB3436" w:rsidRDefault="00211A93" w:rsidP="005236C3">
            <w:pPr>
              <w:pStyle w:val="TableBodySmall"/>
            </w:pPr>
            <w:r>
              <w:t>Develop and commence a work plan for the review of all adjustments to the national pricing model</w:t>
            </w:r>
            <w:r w:rsidR="00826CDC">
              <w:t>.</w:t>
            </w:r>
          </w:p>
        </w:tc>
        <w:tc>
          <w:tcPr>
            <w:tcW w:w="1274" w:type="pct"/>
            <w:tcBorders>
              <w:top w:val="nil"/>
              <w:bottom w:val="single" w:sz="4" w:space="0" w:color="auto"/>
            </w:tcBorders>
          </w:tcPr>
          <w:p w14:paraId="75019D47" w14:textId="77777777" w:rsidR="00A308C7" w:rsidRPr="00AC04B2" w:rsidRDefault="00A308C7" w:rsidP="005236C3">
            <w:pPr>
              <w:pStyle w:val="TableBodySmall"/>
            </w:pPr>
            <w:r>
              <w:t>June 2025</w:t>
            </w:r>
          </w:p>
        </w:tc>
      </w:tr>
      <w:tr w:rsidR="001A47EC" w:rsidRPr="00AC04B2" w14:paraId="5D910B03" w14:textId="77777777" w:rsidTr="00073D98">
        <w:trPr>
          <w:trHeight w:val="256"/>
        </w:trPr>
        <w:tc>
          <w:tcPr>
            <w:tcW w:w="3726" w:type="pct"/>
            <w:tcBorders>
              <w:top w:val="nil"/>
              <w:bottom w:val="single" w:sz="4" w:space="0" w:color="auto"/>
            </w:tcBorders>
          </w:tcPr>
          <w:p w14:paraId="118987C9" w14:textId="0A2989EB" w:rsidR="001A47EC" w:rsidRPr="00205CCE" w:rsidRDefault="002355DE" w:rsidP="00A207F8">
            <w:pPr>
              <w:pStyle w:val="TableBodySmall"/>
              <w:rPr>
                <w:highlight w:val="yellow"/>
              </w:rPr>
            </w:pPr>
            <w:r>
              <w:t xml:space="preserve">Review recommendations from </w:t>
            </w:r>
            <w:r w:rsidR="001A47EC" w:rsidRPr="001A47EC">
              <w:t>the Indexation Review</w:t>
            </w:r>
            <w:r w:rsidR="00BE6552">
              <w:t>.</w:t>
            </w:r>
            <w:r w:rsidR="001A47EC" w:rsidRPr="001A47EC">
              <w:t xml:space="preserve"> </w:t>
            </w:r>
          </w:p>
        </w:tc>
        <w:tc>
          <w:tcPr>
            <w:tcW w:w="1274" w:type="pct"/>
            <w:tcBorders>
              <w:top w:val="nil"/>
              <w:bottom w:val="single" w:sz="4" w:space="0" w:color="auto"/>
            </w:tcBorders>
          </w:tcPr>
          <w:p w14:paraId="642AEB48" w14:textId="75325C92" w:rsidR="001A47EC" w:rsidRPr="001A47EC" w:rsidRDefault="002355DE" w:rsidP="00A207F8">
            <w:pPr>
              <w:pStyle w:val="TableBodySmall"/>
            </w:pPr>
            <w:r>
              <w:t>March 2025</w:t>
            </w:r>
          </w:p>
        </w:tc>
      </w:tr>
      <w:tr w:rsidR="00D24ED9" w:rsidRPr="00AC04B2" w14:paraId="6CFAF3E6" w14:textId="77777777" w:rsidTr="00073D98">
        <w:trPr>
          <w:trHeight w:val="256"/>
        </w:trPr>
        <w:tc>
          <w:tcPr>
            <w:tcW w:w="3726" w:type="pct"/>
            <w:tcBorders>
              <w:top w:val="nil"/>
              <w:bottom w:val="single" w:sz="4" w:space="0" w:color="auto"/>
            </w:tcBorders>
          </w:tcPr>
          <w:p w14:paraId="2E98D02D" w14:textId="28163078" w:rsidR="00D24ED9" w:rsidRPr="00AC04B2" w:rsidRDefault="00E829F0" w:rsidP="00A207F8">
            <w:pPr>
              <w:pStyle w:val="TableBodySmall"/>
            </w:pPr>
            <w:r>
              <w:t>Continue the</w:t>
            </w:r>
            <w:r w:rsidR="00D24ED9" w:rsidRPr="00AC04B2">
              <w:t xml:space="preserve"> review of the funding methodology for unqualified newborns.</w:t>
            </w:r>
          </w:p>
        </w:tc>
        <w:tc>
          <w:tcPr>
            <w:tcW w:w="1274" w:type="pct"/>
            <w:tcBorders>
              <w:top w:val="nil"/>
              <w:bottom w:val="single" w:sz="4" w:space="0" w:color="auto"/>
            </w:tcBorders>
          </w:tcPr>
          <w:p w14:paraId="37770B58" w14:textId="764E46EE" w:rsidR="00D24ED9" w:rsidRPr="00AC04B2" w:rsidRDefault="00D24ED9" w:rsidP="00A207F8">
            <w:pPr>
              <w:pStyle w:val="TableBodySmall"/>
            </w:pPr>
            <w:r w:rsidRPr="00AC04B2">
              <w:t xml:space="preserve">December </w:t>
            </w:r>
            <w:r w:rsidR="003B35F8" w:rsidRPr="00AC04B2">
              <w:t>202</w:t>
            </w:r>
            <w:r w:rsidR="003B35F8">
              <w:t>4</w:t>
            </w:r>
          </w:p>
        </w:tc>
      </w:tr>
      <w:tr w:rsidR="000757AD" w:rsidRPr="00AC04B2" w14:paraId="1CAA866D" w14:textId="77777777" w:rsidTr="00073D98">
        <w:trPr>
          <w:trHeight w:val="256"/>
        </w:trPr>
        <w:tc>
          <w:tcPr>
            <w:tcW w:w="3726" w:type="pct"/>
            <w:tcBorders>
              <w:top w:val="nil"/>
              <w:bottom w:val="single" w:sz="4" w:space="0" w:color="auto"/>
            </w:tcBorders>
          </w:tcPr>
          <w:p w14:paraId="3A4AF33D" w14:textId="1CB8893F" w:rsidR="000757AD" w:rsidRPr="00AC04B2" w:rsidRDefault="001A47EC" w:rsidP="00A207F8">
            <w:pPr>
              <w:pStyle w:val="TableBodySmall"/>
            </w:pPr>
            <w:r>
              <w:t>Review</w:t>
            </w:r>
            <w:r w:rsidR="00F87BD1">
              <w:t xml:space="preserve"> the</w:t>
            </w:r>
            <w:r>
              <w:t xml:space="preserve"> appropriateness of price</w:t>
            </w:r>
            <w:r w:rsidR="00F87BD1">
              <w:t xml:space="preserve"> h</w:t>
            </w:r>
            <w:r w:rsidR="0025499F" w:rsidRPr="0025499F">
              <w:t>armonisation of admitted and non</w:t>
            </w:r>
            <w:r w:rsidR="00B20E4E">
              <w:noBreakHyphen/>
            </w:r>
            <w:r w:rsidR="0025499F" w:rsidRPr="0025499F">
              <w:t>admitted chemotherapy and dialysis.</w:t>
            </w:r>
          </w:p>
        </w:tc>
        <w:tc>
          <w:tcPr>
            <w:tcW w:w="1274" w:type="pct"/>
            <w:tcBorders>
              <w:top w:val="nil"/>
              <w:bottom w:val="single" w:sz="4" w:space="0" w:color="auto"/>
            </w:tcBorders>
          </w:tcPr>
          <w:p w14:paraId="686242D3" w14:textId="4B7FBC69" w:rsidR="000757AD" w:rsidRPr="00AC04B2" w:rsidRDefault="00F87BD1" w:rsidP="00A207F8">
            <w:pPr>
              <w:pStyle w:val="TableBodySmall"/>
            </w:pPr>
            <w:r>
              <w:t>June 2025</w:t>
            </w:r>
          </w:p>
        </w:tc>
      </w:tr>
    </w:tbl>
    <w:p w14:paraId="63C88940" w14:textId="77777777" w:rsidR="000362C5" w:rsidRDefault="000362C5" w:rsidP="00F00D91">
      <w:pPr>
        <w:pStyle w:val="Body"/>
      </w:pPr>
    </w:p>
    <w:p w14:paraId="6063C505" w14:textId="77777777" w:rsidR="00853A87" w:rsidRDefault="00853A87">
      <w:pPr>
        <w:rPr>
          <w:rFonts w:ascii="Arial" w:hAnsi="Arial" w:cs="Arial"/>
          <w:b/>
          <w:bCs/>
          <w:sz w:val="20"/>
          <w:szCs w:val="20"/>
        </w:rPr>
      </w:pPr>
      <w:r>
        <w:rPr>
          <w:b/>
          <w:bCs/>
        </w:rPr>
        <w:br w:type="page"/>
      </w:r>
    </w:p>
    <w:p w14:paraId="04563511" w14:textId="742C3E6D" w:rsidR="0099362F" w:rsidRPr="000362C5" w:rsidRDefault="00E578AD" w:rsidP="00F00D91">
      <w:pPr>
        <w:pStyle w:val="Body"/>
        <w:rPr>
          <w:b/>
          <w:bCs/>
        </w:rPr>
      </w:pPr>
      <w:r w:rsidRPr="000362C5">
        <w:rPr>
          <w:b/>
          <w:bCs/>
        </w:rPr>
        <w:lastRenderedPageBreak/>
        <w:t xml:space="preserve">Under the </w:t>
      </w:r>
      <w:r w:rsidR="008579E3">
        <w:rPr>
          <w:b/>
          <w:bCs/>
        </w:rPr>
        <w:t>National Health Reform Agreement (</w:t>
      </w:r>
      <w:r w:rsidR="00542644" w:rsidRPr="000362C5">
        <w:rPr>
          <w:b/>
          <w:bCs/>
        </w:rPr>
        <w:t>NHRA</w:t>
      </w:r>
      <w:r w:rsidR="008579E3">
        <w:rPr>
          <w:b/>
          <w:bCs/>
        </w:rPr>
        <w:t>)</w:t>
      </w:r>
      <w:r w:rsidR="00542644" w:rsidRPr="000362C5">
        <w:rPr>
          <w:b/>
          <w:bCs/>
        </w:rPr>
        <w:t>, IHACPA is required to determine the NEP for services provided on an activity basis in public hospitals through empirical analysis of data on actual activity and costs in public hospitals. The NHRA also specifies that IHACPA is responsible for developing, refining and maintaining systems to calculate the NEP and determine adjustments to the NEP to account for legitimate and unavoidable variations in the costs of service delivery</w:t>
      </w:r>
      <w:r w:rsidR="00045811" w:rsidRPr="000362C5">
        <w:rPr>
          <w:b/>
          <w:bCs/>
        </w:rPr>
        <w:t>.</w:t>
      </w:r>
    </w:p>
    <w:p w14:paraId="712F8442" w14:textId="7EB8C022" w:rsidR="00542644" w:rsidRPr="00AC04B2" w:rsidRDefault="00045811" w:rsidP="00F00D91">
      <w:pPr>
        <w:pStyle w:val="Body"/>
      </w:pPr>
      <w:r w:rsidRPr="00AC04B2">
        <w:t>IH</w:t>
      </w:r>
      <w:r w:rsidR="00BA5BB0" w:rsidRPr="00AC04B2">
        <w:t>AC</w:t>
      </w:r>
      <w:r w:rsidRPr="00AC04B2">
        <w:t xml:space="preserve">PA </w:t>
      </w:r>
      <w:r w:rsidR="00542644" w:rsidRPr="00AC04B2">
        <w:t xml:space="preserve">undertakes an ongoing program of work to refine the national pricing model using an evidence-based approach on the basis of actual activity and cost data. </w:t>
      </w:r>
    </w:p>
    <w:p w14:paraId="4C24ACA5" w14:textId="26A79DB4" w:rsidR="004D2BE6" w:rsidRDefault="00DD68EF" w:rsidP="0012543D">
      <w:pPr>
        <w:pStyle w:val="Body"/>
      </w:pPr>
      <w:r>
        <w:t>Based on feedback</w:t>
      </w:r>
      <w:r w:rsidRPr="00DD68EF">
        <w:t xml:space="preserve"> </w:t>
      </w:r>
      <w:r>
        <w:t xml:space="preserve">received during the consultation process for the </w:t>
      </w:r>
      <w:r w:rsidRPr="00B20E4E">
        <w:t>Pricing Framework for Australian Public Hospitals 2024–25</w:t>
      </w:r>
      <w:r w:rsidR="00611BE9">
        <w:t xml:space="preserve"> and through IHACPA’s advisory committees</w:t>
      </w:r>
      <w:r>
        <w:rPr>
          <w:i/>
          <w:iCs/>
        </w:rPr>
        <w:t>,</w:t>
      </w:r>
      <w:r>
        <w:t xml:space="preserve"> IHACPA will develop a </w:t>
      </w:r>
      <w:r w:rsidR="00BC0233">
        <w:t xml:space="preserve">broader </w:t>
      </w:r>
      <w:r>
        <w:t>work plan to review a number of adjustments</w:t>
      </w:r>
      <w:r w:rsidR="00695C03">
        <w:t xml:space="preserve"> </w:t>
      </w:r>
      <w:r w:rsidR="006E6930">
        <w:t>and</w:t>
      </w:r>
      <w:r w:rsidR="00695C03">
        <w:t xml:space="preserve"> </w:t>
      </w:r>
      <w:r w:rsidR="00A3153F">
        <w:t>ensure they remain fit</w:t>
      </w:r>
      <w:r w:rsidR="00B20E4E">
        <w:t>-</w:t>
      </w:r>
      <w:r w:rsidR="00A3153F">
        <w:t>for</w:t>
      </w:r>
      <w:r w:rsidR="00B20E4E">
        <w:t>-</w:t>
      </w:r>
      <w:r w:rsidR="00A3153F">
        <w:t>purpose and reflect current clinical practice</w:t>
      </w:r>
      <w:r w:rsidR="004D2BE6">
        <w:t xml:space="preserve"> and service delivery models</w:t>
      </w:r>
      <w:r w:rsidR="00E70369">
        <w:t>.</w:t>
      </w:r>
      <w:r w:rsidR="00BC0233">
        <w:t xml:space="preserve"> </w:t>
      </w:r>
      <w:r w:rsidR="006654E1">
        <w:t>Th</w:t>
      </w:r>
      <w:r w:rsidR="00E70369">
        <w:t>e work</w:t>
      </w:r>
      <w:r w:rsidR="00BC0233">
        <w:t xml:space="preserve"> </w:t>
      </w:r>
      <w:r w:rsidR="00E70369">
        <w:t xml:space="preserve">plan will prioritise </w:t>
      </w:r>
      <w:r w:rsidR="00D24ED9" w:rsidRPr="00AC04B2">
        <w:t>review of the intensive care unit</w:t>
      </w:r>
      <w:r w:rsidR="006654E1">
        <w:t xml:space="preserve"> adjustment</w:t>
      </w:r>
      <w:r w:rsidR="00E70369">
        <w:t xml:space="preserve"> and </w:t>
      </w:r>
      <w:r w:rsidR="00D40E17">
        <w:t>paediatric adjustment, and their respective eligibility criteria</w:t>
      </w:r>
      <w:r w:rsidR="00E70369">
        <w:t xml:space="preserve"> for 2024–25</w:t>
      </w:r>
      <w:r w:rsidR="00B20E4E">
        <w:t>. The work plan will also</w:t>
      </w:r>
      <w:r w:rsidR="00A3153F">
        <w:t xml:space="preserve"> consider review of other adjustments identified by stakeholders for prioritisation such as the Indigenous and </w:t>
      </w:r>
      <w:r w:rsidR="00A3153F" w:rsidRPr="0012543D">
        <w:t>patient remoteness residential and treatment adjustments</w:t>
      </w:r>
      <w:r w:rsidR="00D40E17">
        <w:t xml:space="preserve">. </w:t>
      </w:r>
      <w:r w:rsidR="00A3153F">
        <w:t>T</w:t>
      </w:r>
      <w:r w:rsidR="00713AA3">
        <w:t xml:space="preserve">he </w:t>
      </w:r>
      <w:r w:rsidR="00D40E17">
        <w:t>scope and timeframes for the review</w:t>
      </w:r>
      <w:r w:rsidR="00D24ED9" w:rsidRPr="00AC04B2">
        <w:t>s</w:t>
      </w:r>
      <w:r w:rsidR="00BC34C0">
        <w:t xml:space="preserve"> will be</w:t>
      </w:r>
      <w:r w:rsidR="006E6930">
        <w:t xml:space="preserve"> outlined in the work</w:t>
      </w:r>
      <w:r w:rsidR="00BC0233">
        <w:t xml:space="preserve"> </w:t>
      </w:r>
      <w:r w:rsidR="006E6930">
        <w:t>plan</w:t>
      </w:r>
      <w:r w:rsidR="00BC34C0">
        <w:t xml:space="preserve"> and</w:t>
      </w:r>
      <w:r w:rsidR="00DA36CA">
        <w:t xml:space="preserve"> informed by stakeholder</w:t>
      </w:r>
      <w:r w:rsidR="00713AA3">
        <w:t xml:space="preserve"> consultation </w:t>
      </w:r>
      <w:r w:rsidR="00ED2586">
        <w:t>and available evidence.</w:t>
      </w:r>
      <w:r w:rsidR="008A3E09">
        <w:t xml:space="preserve"> </w:t>
      </w:r>
      <w:r w:rsidR="006E6930">
        <w:t>For 2024–25, IHACPA will also prioritise the review of</w:t>
      </w:r>
      <w:r w:rsidR="00D24ED9" w:rsidRPr="00AC04B2">
        <w:t xml:space="preserve"> the funding methodology for unqualified newborns.</w:t>
      </w:r>
      <w:r w:rsidR="00696BDC">
        <w:t xml:space="preserve"> </w:t>
      </w:r>
    </w:p>
    <w:p w14:paraId="0987E888" w14:textId="2D6D7316" w:rsidR="00E35BCD" w:rsidRDefault="00BA35C6" w:rsidP="0012543D">
      <w:pPr>
        <w:pStyle w:val="Body"/>
      </w:pPr>
      <w:r>
        <w:t>I</w:t>
      </w:r>
      <w:r w:rsidR="00B47364" w:rsidRPr="00064814">
        <w:t>n</w:t>
      </w:r>
      <w:r w:rsidR="00B47364">
        <w:t xml:space="preserve"> consultation with its advisory committees, working groups and relevant stakeholders, </w:t>
      </w:r>
      <w:r w:rsidR="00D24ED9" w:rsidRPr="00AC04B2">
        <w:t xml:space="preserve">IHACPA will consider other pricing model refinements such as </w:t>
      </w:r>
      <w:r w:rsidR="00542644" w:rsidRPr="00AC04B2">
        <w:t xml:space="preserve">opportunities to harmonise prices </w:t>
      </w:r>
      <w:r w:rsidR="0004403B" w:rsidRPr="00AC04B2">
        <w:t xml:space="preserve">for similar services </w:t>
      </w:r>
      <w:r w:rsidR="00542644" w:rsidRPr="00AC04B2">
        <w:t xml:space="preserve">across </w:t>
      </w:r>
      <w:r w:rsidR="0004403B" w:rsidRPr="00AC04B2">
        <w:t>settings</w:t>
      </w:r>
      <w:r w:rsidR="00D24ED9" w:rsidRPr="00AC04B2">
        <w:t xml:space="preserve"> for future Determinations</w:t>
      </w:r>
      <w:r w:rsidR="00542644" w:rsidRPr="00AC04B2">
        <w:t xml:space="preserve">. Pricing model refinements will be assessed </w:t>
      </w:r>
      <w:r w:rsidR="00BA5BB0" w:rsidRPr="00AC04B2">
        <w:t xml:space="preserve">on the stability of the underlying data, the suitability of </w:t>
      </w:r>
      <w:r w:rsidR="00542644" w:rsidRPr="00AC04B2">
        <w:t xml:space="preserve">application to the national pricing model </w:t>
      </w:r>
      <w:r w:rsidR="00BA5BB0" w:rsidRPr="00AC04B2">
        <w:t>and the risk of unintended consequences</w:t>
      </w:r>
      <w:r w:rsidR="00045811" w:rsidRPr="00AC04B2">
        <w:t>.</w:t>
      </w:r>
    </w:p>
    <w:p w14:paraId="577ABD7A" w14:textId="5C42A82A" w:rsidR="0012543D" w:rsidRPr="00AC04B2" w:rsidRDefault="00B83095" w:rsidP="0012543D">
      <w:pPr>
        <w:pStyle w:val="Body"/>
      </w:pPr>
      <w:r>
        <w:t xml:space="preserve">IHACPA will </w:t>
      </w:r>
      <w:r w:rsidR="008579E3">
        <w:t xml:space="preserve">continue </w:t>
      </w:r>
      <w:r w:rsidR="00B20E4E">
        <w:t xml:space="preserve">to </w:t>
      </w:r>
      <w:r w:rsidR="008579E3">
        <w:t>work</w:t>
      </w:r>
      <w:r w:rsidR="00981920">
        <w:t xml:space="preserve">, </w:t>
      </w:r>
      <w:r w:rsidR="00E378B1">
        <w:t xml:space="preserve">in collaboration and consultation with </w:t>
      </w:r>
      <w:r w:rsidR="00BA1FAA">
        <w:t>jurisdictions</w:t>
      </w:r>
      <w:r w:rsidR="00981920">
        <w:t xml:space="preserve">, </w:t>
      </w:r>
      <w:r>
        <w:t xml:space="preserve">to investigate the underlying and enduring drivers for growth in the NEP. Based on the findings of this analysis, IHACPA will provide </w:t>
      </w:r>
      <w:r w:rsidR="00B20E4E">
        <w:t xml:space="preserve">further reform </w:t>
      </w:r>
      <w:r>
        <w:t xml:space="preserve">options for consideration by </w:t>
      </w:r>
      <w:r w:rsidR="00B20E4E">
        <w:t xml:space="preserve">the </w:t>
      </w:r>
      <w:r>
        <w:t xml:space="preserve">parties </w:t>
      </w:r>
      <w:r w:rsidR="00B20E4E">
        <w:t xml:space="preserve">of </w:t>
      </w:r>
      <w:r>
        <w:t xml:space="preserve">the NHRA to help increase the efficiency of public hospital services and ensure the sustainability of public hospital funding.  </w:t>
      </w:r>
    </w:p>
    <w:p w14:paraId="41743A4E" w14:textId="0CCE8BF6" w:rsidR="00A65E3B" w:rsidRPr="00023C86" w:rsidRDefault="00A65E3B" w:rsidP="000362C5">
      <w:pPr>
        <w:pStyle w:val="H4"/>
      </w:pPr>
      <w:bookmarkStart w:id="65" w:name="_Hlk94517619"/>
      <w:bookmarkEnd w:id="64"/>
      <w:r w:rsidRPr="00AC04B2">
        <w:t xml:space="preserve">Development of </w:t>
      </w:r>
      <w:r w:rsidRPr="00FF78C7">
        <w:t>Pricing Framework</w:t>
      </w:r>
      <w:r w:rsidR="00041709">
        <w:t>s</w:t>
      </w:r>
      <w:r w:rsidRPr="00FF78C7">
        <w:t xml:space="preserve"> for Australian</w:t>
      </w:r>
      <w:r w:rsidR="00041709">
        <w:t xml:space="preserve"> </w:t>
      </w:r>
      <w:r w:rsidRPr="00FF78C7">
        <w:t>Aged Care Services</w:t>
      </w:r>
      <w:r w:rsidR="00041709">
        <w:t xml:space="preserve"> for</w:t>
      </w:r>
      <w:r w:rsidR="00326C20">
        <w:t xml:space="preserve"> </w:t>
      </w:r>
      <w:r w:rsidRPr="00FF78C7">
        <w:t>202</w:t>
      </w:r>
      <w:r w:rsidR="00BA5884" w:rsidRPr="00FF78C7">
        <w:t>5</w:t>
      </w:r>
      <w:r w:rsidRPr="00FF78C7">
        <w:t>–2</w:t>
      </w:r>
      <w:r w:rsidR="00BA5884" w:rsidRPr="00FF78C7">
        <w:t>6</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A65E3B" w:rsidRPr="00AC04B2" w14:paraId="5044F0D5" w14:textId="77777777" w:rsidTr="00122328">
        <w:trPr>
          <w:trHeight w:val="351"/>
        </w:trPr>
        <w:tc>
          <w:tcPr>
            <w:tcW w:w="3726" w:type="pct"/>
            <w:tcBorders>
              <w:top w:val="nil"/>
              <w:bottom w:val="nil"/>
            </w:tcBorders>
            <w:shd w:val="clear" w:color="auto" w:fill="104F99" w:themeFill="accent2"/>
            <w:vAlign w:val="center"/>
          </w:tcPr>
          <w:p w14:paraId="22ED9F2D" w14:textId="4907590A" w:rsidR="00A65E3B" w:rsidRPr="00AC04B2" w:rsidRDefault="00A65E3B" w:rsidP="00A207F8">
            <w:pPr>
              <w:pStyle w:val="TableHeading"/>
            </w:pPr>
            <w:r w:rsidRPr="00AC04B2">
              <w:t>Deliverable</w:t>
            </w:r>
          </w:p>
        </w:tc>
        <w:tc>
          <w:tcPr>
            <w:tcW w:w="1274" w:type="pct"/>
            <w:tcBorders>
              <w:top w:val="nil"/>
              <w:bottom w:val="nil"/>
            </w:tcBorders>
            <w:shd w:val="clear" w:color="auto" w:fill="104F99" w:themeFill="accent2"/>
            <w:vAlign w:val="center"/>
          </w:tcPr>
          <w:p w14:paraId="110036DA" w14:textId="77777777" w:rsidR="00A65E3B" w:rsidRPr="00AC04B2" w:rsidRDefault="00A65E3B" w:rsidP="00A207F8">
            <w:pPr>
              <w:pStyle w:val="TableHeading"/>
            </w:pPr>
            <w:r w:rsidRPr="00AC04B2">
              <w:t>Timeframe</w:t>
            </w:r>
          </w:p>
        </w:tc>
      </w:tr>
      <w:tr w:rsidR="00A65E3B" w:rsidRPr="00AC04B2" w14:paraId="15970B00" w14:textId="77777777" w:rsidTr="00122328">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right w:w="108" w:type="dxa"/>
          </w:tblCellMar>
        </w:tblPrEx>
        <w:trPr>
          <w:trHeight w:val="236"/>
        </w:trPr>
        <w:tc>
          <w:tcPr>
            <w:tcW w:w="3726" w:type="pct"/>
            <w:tcBorders>
              <w:top w:val="nil"/>
              <w:left w:val="nil"/>
              <w:right w:val="nil"/>
            </w:tcBorders>
          </w:tcPr>
          <w:p w14:paraId="7FD7F896" w14:textId="5565EBEA" w:rsidR="00A65E3B" w:rsidRPr="00AC04B2" w:rsidRDefault="00A65E3B" w:rsidP="00A207F8">
            <w:pPr>
              <w:pStyle w:val="TableBodySmall"/>
            </w:pPr>
            <w:r w:rsidRPr="00AC04B2">
              <w:t>Complete the public consultation process for the Pricing Framework for Australian Residential Aged Care Services 202</w:t>
            </w:r>
            <w:r w:rsidR="0011709E">
              <w:t>5</w:t>
            </w:r>
            <w:r w:rsidRPr="00AC04B2">
              <w:t>–2</w:t>
            </w:r>
            <w:r w:rsidR="0011709E">
              <w:t>6</w:t>
            </w:r>
            <w:r w:rsidRPr="00AC04B2">
              <w:t>.</w:t>
            </w:r>
          </w:p>
        </w:tc>
        <w:tc>
          <w:tcPr>
            <w:tcW w:w="1274" w:type="pct"/>
            <w:tcBorders>
              <w:top w:val="nil"/>
              <w:left w:val="nil"/>
              <w:right w:val="nil"/>
            </w:tcBorders>
          </w:tcPr>
          <w:p w14:paraId="1B689133" w14:textId="7373D8EE" w:rsidR="00A65E3B" w:rsidRPr="00AC04B2" w:rsidRDefault="00C8745B" w:rsidP="00A207F8">
            <w:pPr>
              <w:pStyle w:val="TableBodySmall"/>
            </w:pPr>
            <w:r>
              <w:t>September</w:t>
            </w:r>
            <w:r w:rsidRPr="00AC04B2">
              <w:t xml:space="preserve"> </w:t>
            </w:r>
            <w:r w:rsidR="00A65E3B" w:rsidRPr="00AC04B2">
              <w:t>202</w:t>
            </w:r>
            <w:r w:rsidR="00943362">
              <w:t>4</w:t>
            </w:r>
          </w:p>
        </w:tc>
      </w:tr>
      <w:tr w:rsidR="00A65E3B" w:rsidRPr="00AC04B2" w14:paraId="71B52CD7" w14:textId="77777777" w:rsidTr="00122328">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right w:w="108" w:type="dxa"/>
          </w:tblCellMar>
        </w:tblPrEx>
        <w:trPr>
          <w:trHeight w:val="236"/>
        </w:trPr>
        <w:tc>
          <w:tcPr>
            <w:tcW w:w="3726" w:type="pct"/>
            <w:tcBorders>
              <w:left w:val="nil"/>
              <w:right w:val="nil"/>
            </w:tcBorders>
          </w:tcPr>
          <w:p w14:paraId="5E8DBEB0" w14:textId="083DEEC6" w:rsidR="00A65E3B" w:rsidRPr="00AC04B2" w:rsidRDefault="00A65E3B" w:rsidP="00A207F8">
            <w:pPr>
              <w:pStyle w:val="TableBodySmall"/>
            </w:pPr>
            <w:r w:rsidRPr="00AC04B2">
              <w:t>Provide the draft Pricing Framework for Australian Residential Aged Care Services 202</w:t>
            </w:r>
            <w:r w:rsidR="00EB04DF">
              <w:t>5</w:t>
            </w:r>
            <w:r w:rsidRPr="00AC04B2">
              <w:t>–2</w:t>
            </w:r>
            <w:r w:rsidR="00EB04DF">
              <w:t>6</w:t>
            </w:r>
            <w:r w:rsidRPr="00AC04B2">
              <w:t xml:space="preserve"> to </w:t>
            </w:r>
            <w:r w:rsidR="00C86483">
              <w:t xml:space="preserve">the </w:t>
            </w:r>
            <w:r w:rsidR="00C573D6" w:rsidRPr="00C573D6">
              <w:t xml:space="preserve">Australian Government </w:t>
            </w:r>
            <w:r w:rsidRPr="00AC04B2">
              <w:t>Minister</w:t>
            </w:r>
            <w:r w:rsidR="00B20E4E">
              <w:t xml:space="preserve"> </w:t>
            </w:r>
            <w:r w:rsidR="00B20E4E" w:rsidRPr="00080884">
              <w:t>for Health and Aged Care</w:t>
            </w:r>
            <w:r w:rsidRPr="00AC04B2">
              <w:t>.</w:t>
            </w:r>
            <w:r w:rsidR="00B20E4E">
              <w:t xml:space="preserve"> </w:t>
            </w:r>
          </w:p>
        </w:tc>
        <w:tc>
          <w:tcPr>
            <w:tcW w:w="1274" w:type="pct"/>
            <w:tcBorders>
              <w:left w:val="nil"/>
              <w:right w:val="nil"/>
            </w:tcBorders>
          </w:tcPr>
          <w:p w14:paraId="7ED94EE9" w14:textId="1FA48B9B" w:rsidR="00A65E3B" w:rsidRPr="00AC04B2" w:rsidRDefault="00C8745B" w:rsidP="00A207F8">
            <w:pPr>
              <w:pStyle w:val="TableBodySmall"/>
            </w:pPr>
            <w:r>
              <w:t>March</w:t>
            </w:r>
            <w:r w:rsidRPr="00AC04B2">
              <w:t xml:space="preserve"> </w:t>
            </w:r>
            <w:r w:rsidR="00A65E3B" w:rsidRPr="00AC04B2">
              <w:t>202</w:t>
            </w:r>
            <w:r>
              <w:t>5</w:t>
            </w:r>
          </w:p>
        </w:tc>
      </w:tr>
      <w:tr w:rsidR="00A65E3B" w:rsidRPr="00AC04B2" w14:paraId="57A74192" w14:textId="77777777" w:rsidTr="00084465">
        <w:trPr>
          <w:trHeight w:val="236"/>
        </w:trPr>
        <w:tc>
          <w:tcPr>
            <w:tcW w:w="3726" w:type="pct"/>
            <w:tcBorders>
              <w:left w:val="nil"/>
              <w:bottom w:val="single" w:sz="4" w:space="0" w:color="auto"/>
              <w:right w:val="nil"/>
            </w:tcBorders>
          </w:tcPr>
          <w:p w14:paraId="4E861909" w14:textId="799FB9D2" w:rsidR="00A65E3B" w:rsidRPr="00AC04B2" w:rsidRDefault="00A65E3B" w:rsidP="00A207F8">
            <w:pPr>
              <w:pStyle w:val="TableBodySmall"/>
            </w:pPr>
            <w:r w:rsidRPr="00AC04B2">
              <w:t>Publish the final Pricing Framework for Australian Residential Aged Care Services 202</w:t>
            </w:r>
            <w:r w:rsidR="00EB04DF">
              <w:t>5</w:t>
            </w:r>
            <w:r w:rsidRPr="00AC04B2">
              <w:t>–2</w:t>
            </w:r>
            <w:r w:rsidR="00EB04DF">
              <w:t>6</w:t>
            </w:r>
            <w:r w:rsidRPr="00AC04B2">
              <w:t xml:space="preserve"> on the IHACPA website.</w:t>
            </w:r>
          </w:p>
        </w:tc>
        <w:tc>
          <w:tcPr>
            <w:tcW w:w="1274" w:type="pct"/>
            <w:tcBorders>
              <w:left w:val="nil"/>
              <w:bottom w:val="single" w:sz="4" w:space="0" w:color="auto"/>
              <w:right w:val="nil"/>
            </w:tcBorders>
          </w:tcPr>
          <w:p w14:paraId="097B3B86" w14:textId="5EDE7302" w:rsidR="00A65E3B" w:rsidRPr="00AC04B2" w:rsidRDefault="00C8745B" w:rsidP="00A207F8">
            <w:pPr>
              <w:pStyle w:val="TableBodySmall"/>
            </w:pPr>
            <w:r>
              <w:t xml:space="preserve">August </w:t>
            </w:r>
            <w:r w:rsidR="00A65E3B" w:rsidRPr="00AC04B2">
              <w:t>202</w:t>
            </w:r>
            <w:r w:rsidR="00BA5884">
              <w:t>5</w:t>
            </w:r>
          </w:p>
        </w:tc>
      </w:tr>
    </w:tbl>
    <w:p w14:paraId="71F75E6E" w14:textId="77777777" w:rsidR="000362C5" w:rsidRDefault="000362C5" w:rsidP="000362C5">
      <w:pPr>
        <w:pStyle w:val="Body"/>
      </w:pPr>
    </w:p>
    <w:p w14:paraId="7ACEC5A0" w14:textId="79DE7794" w:rsidR="00D24ED9" w:rsidRPr="00FF78C7" w:rsidRDefault="00D24ED9" w:rsidP="000362C5">
      <w:pPr>
        <w:pStyle w:val="Body"/>
        <w:rPr>
          <w:b/>
          <w:bCs/>
        </w:rPr>
      </w:pPr>
      <w:r w:rsidRPr="00FF78C7">
        <w:rPr>
          <w:b/>
          <w:bCs/>
        </w:rPr>
        <w:t>Pricing Framework for Australian Residential Aged Care Services 202</w:t>
      </w:r>
      <w:r w:rsidR="00090470" w:rsidRPr="00FF78C7">
        <w:rPr>
          <w:b/>
          <w:bCs/>
        </w:rPr>
        <w:t>5</w:t>
      </w:r>
      <w:r w:rsidRPr="00FF78C7">
        <w:rPr>
          <w:b/>
          <w:bCs/>
        </w:rPr>
        <w:t>–2</w:t>
      </w:r>
      <w:r w:rsidR="00090470" w:rsidRPr="00FF78C7">
        <w:rPr>
          <w:b/>
          <w:bCs/>
        </w:rPr>
        <w:t>6</w:t>
      </w:r>
    </w:p>
    <w:p w14:paraId="468B593A" w14:textId="754E87FF" w:rsidR="00A65E3B" w:rsidRPr="00AC04B2" w:rsidRDefault="00A65E3B" w:rsidP="00F00D91">
      <w:pPr>
        <w:pStyle w:val="Body"/>
      </w:pPr>
      <w:r w:rsidRPr="00AC04B2">
        <w:t>IHACPA will develop the Pricing Framework for Australian Residential Aged Care Services 202</w:t>
      </w:r>
      <w:r w:rsidR="00D568E4">
        <w:t>5</w:t>
      </w:r>
      <w:r w:rsidRPr="00AC04B2">
        <w:rPr>
          <w:rFonts w:hint="cs"/>
        </w:rPr>
        <w:t>–</w:t>
      </w:r>
      <w:r w:rsidRPr="00AC04B2">
        <w:t>2</w:t>
      </w:r>
      <w:r w:rsidR="00D568E4">
        <w:t>6</w:t>
      </w:r>
      <w:r w:rsidRPr="00AC04B2">
        <w:t xml:space="preserve"> outlining the principles, scope and methodology to be adopted by IHACPA in providing </w:t>
      </w:r>
      <w:r w:rsidR="00C1380E">
        <w:t xml:space="preserve">pricing </w:t>
      </w:r>
      <w:r w:rsidRPr="00AC04B2">
        <w:t xml:space="preserve">advice </w:t>
      </w:r>
      <w:r w:rsidR="00C1380E">
        <w:t>for</w:t>
      </w:r>
      <w:r w:rsidRPr="00AC04B2">
        <w:t xml:space="preserve"> residential aged care</w:t>
      </w:r>
      <w:r w:rsidR="00C1380E">
        <w:t xml:space="preserve"> and</w:t>
      </w:r>
      <w:r w:rsidR="000F798D">
        <w:t xml:space="preserve"> </w:t>
      </w:r>
      <w:r w:rsidRPr="00AC04B2">
        <w:t>residential respite</w:t>
      </w:r>
      <w:r w:rsidR="009B67A8">
        <w:t xml:space="preserve"> care</w:t>
      </w:r>
      <w:r w:rsidRPr="00AC04B2">
        <w:t xml:space="preserve"> </w:t>
      </w:r>
      <w:r w:rsidR="00C1380E">
        <w:t xml:space="preserve">to inform </w:t>
      </w:r>
      <w:r w:rsidR="0035467D">
        <w:t>Australian Government</w:t>
      </w:r>
      <w:r w:rsidR="0035467D" w:rsidRPr="00AC04B2">
        <w:t xml:space="preserve"> </w:t>
      </w:r>
      <w:r w:rsidR="00C1380E">
        <w:t>decisions on residential aged care</w:t>
      </w:r>
      <w:r w:rsidRPr="00AC04B2">
        <w:t>.</w:t>
      </w:r>
    </w:p>
    <w:p w14:paraId="6AEAE214" w14:textId="3C20FE93" w:rsidR="00A65E3B" w:rsidRDefault="00A65E3B" w:rsidP="00F00D91">
      <w:pPr>
        <w:pStyle w:val="Body"/>
      </w:pPr>
      <w:r w:rsidRPr="00AC04B2">
        <w:t xml:space="preserve">Development of the Pricing Framework for Australian Residential Aged Care Services includes </w:t>
      </w:r>
      <w:r w:rsidR="00B20E4E">
        <w:t>3</w:t>
      </w:r>
      <w:r w:rsidR="00B20E4E" w:rsidRPr="00AC04B2">
        <w:t xml:space="preserve"> </w:t>
      </w:r>
      <w:r w:rsidRPr="00AC04B2">
        <w:t xml:space="preserve">major phases: a public consultation period, review of the draft Pricing Framework for Australian Residential Aged Care Services by </w:t>
      </w:r>
      <w:r w:rsidR="002D1C6F" w:rsidRPr="00AC04B2">
        <w:t>the</w:t>
      </w:r>
      <w:r w:rsidRPr="00AC04B2">
        <w:t xml:space="preserve"> </w:t>
      </w:r>
      <w:r w:rsidR="0035467D">
        <w:t>Australian Government</w:t>
      </w:r>
      <w:r w:rsidR="0035467D" w:rsidRPr="00AC04B2">
        <w:t xml:space="preserve"> </w:t>
      </w:r>
      <w:r w:rsidRPr="0058664F">
        <w:t>Minister</w:t>
      </w:r>
      <w:r w:rsidR="00B20E4E" w:rsidRPr="0058664F">
        <w:t xml:space="preserve"> for Health and Aged Care</w:t>
      </w:r>
      <w:r w:rsidRPr="0058664F">
        <w:t>,</w:t>
      </w:r>
      <w:r w:rsidRPr="00AC04B2">
        <w:t xml:space="preserve"> and publication of the final Pricing Framework for Australian Residential Aged Care Services.</w:t>
      </w:r>
    </w:p>
    <w:p w14:paraId="5B7698B9" w14:textId="77777777" w:rsidR="00B5386E" w:rsidRPr="00FF78C7" w:rsidRDefault="00B5386E" w:rsidP="00F00D91">
      <w:pPr>
        <w:pStyle w:val="Body"/>
        <w:rPr>
          <w:b/>
          <w:bCs/>
        </w:rPr>
      </w:pPr>
      <w:r w:rsidRPr="00FF78C7">
        <w:rPr>
          <w:b/>
          <w:bCs/>
        </w:rPr>
        <w:t>Pricing Framework for Australian Support at Home Aged Care Services 2025–26</w:t>
      </w:r>
    </w:p>
    <w:p w14:paraId="290F83B0" w14:textId="7A9FD97D" w:rsidR="009F2D65" w:rsidRDefault="00B5386E" w:rsidP="00F00D91">
      <w:pPr>
        <w:pStyle w:val="Body"/>
      </w:pPr>
      <w:r w:rsidRPr="00AC04B2">
        <w:t xml:space="preserve">The Support at Home Program </w:t>
      </w:r>
      <w:r>
        <w:t>is a new program that will consolidate the existing in-home aged care programs</w:t>
      </w:r>
      <w:r w:rsidR="009F2D65">
        <w:t>. The</w:t>
      </w:r>
      <w:r>
        <w:t xml:space="preserve"> Home Care Packages (HCP)</w:t>
      </w:r>
      <w:r w:rsidR="00C8745B">
        <w:t xml:space="preserve"> and the</w:t>
      </w:r>
      <w:r>
        <w:t xml:space="preserve"> Short-Term Restorative Care (STRC) </w:t>
      </w:r>
      <w:r w:rsidR="009F2D65">
        <w:t xml:space="preserve">programs are to be included from 1 July 2025, while the Commonwealth </w:t>
      </w:r>
      <w:r w:rsidR="009F2D65" w:rsidRPr="009F2D65">
        <w:t>Home Support Programme (CHSP) is to be included no earlier than July 2027</w:t>
      </w:r>
      <w:r>
        <w:t xml:space="preserve">. </w:t>
      </w:r>
      <w:r w:rsidR="00C8745B" w:rsidRPr="00080884">
        <w:t xml:space="preserve">Until July 2027 the </w:t>
      </w:r>
      <w:r w:rsidR="00C8745B">
        <w:t>CHSP</w:t>
      </w:r>
      <w:r w:rsidR="00C8745B" w:rsidRPr="00080884">
        <w:t xml:space="preserve"> will continue to operate as a grant funded program</w:t>
      </w:r>
      <w:r w:rsidR="00C8745B">
        <w:t>.</w:t>
      </w:r>
    </w:p>
    <w:p w14:paraId="1C8B0223" w14:textId="60654B88" w:rsidR="00B5386E" w:rsidRDefault="00B5386E" w:rsidP="00F00D91">
      <w:pPr>
        <w:pStyle w:val="Body"/>
      </w:pPr>
      <w:r>
        <w:t>The new program aims to simplify the current system into one funding model and provide older Australians with timely access to safe and high-quality services to allow them to live at home longer.</w:t>
      </w:r>
    </w:p>
    <w:p w14:paraId="32924FAD" w14:textId="4E44A858" w:rsidR="00C8745B" w:rsidRDefault="00C8745B" w:rsidP="00F00D91">
      <w:pPr>
        <w:pStyle w:val="Body"/>
      </w:pPr>
      <w:r>
        <w:lastRenderedPageBreak/>
        <w:t xml:space="preserve">The timeframes for </w:t>
      </w:r>
      <w:r w:rsidRPr="00080884">
        <w:t xml:space="preserve">IHACPA’s initial public consultation and development of pricing advice </w:t>
      </w:r>
      <w:r>
        <w:t xml:space="preserve">are yet to be confirmed and </w:t>
      </w:r>
      <w:r w:rsidRPr="00080884">
        <w:t xml:space="preserve">will be informed by the requirements set out by the </w:t>
      </w:r>
      <w:r w:rsidR="0035467D">
        <w:t>Australian Government</w:t>
      </w:r>
      <w:r w:rsidR="0035467D" w:rsidRPr="00AC04B2">
        <w:t xml:space="preserve"> </w:t>
      </w:r>
      <w:r w:rsidRPr="00080884">
        <w:t>Minister for Health and Aged Care</w:t>
      </w:r>
      <w:r>
        <w:t xml:space="preserve">. </w:t>
      </w:r>
    </w:p>
    <w:p w14:paraId="4FF01B91" w14:textId="10BE75DF" w:rsidR="00A65E3B" w:rsidRPr="00AC04B2" w:rsidRDefault="00817F0F" w:rsidP="000362C5">
      <w:pPr>
        <w:pStyle w:val="H4"/>
      </w:pPr>
      <w:r w:rsidRPr="00AC04B2">
        <w:t>Aged Care Pricing Advice 202</w:t>
      </w:r>
      <w:r w:rsidR="00112860">
        <w:t>5</w:t>
      </w:r>
      <w:r w:rsidRPr="00AC04B2">
        <w:rPr>
          <w:rFonts w:hint="cs"/>
        </w:rPr>
        <w:t>–</w:t>
      </w:r>
      <w:r w:rsidRPr="00AC04B2">
        <w:t>2</w:t>
      </w:r>
      <w:r w:rsidR="00112860">
        <w:t>6</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A65E3B" w:rsidRPr="00AC04B2" w14:paraId="624AAA83" w14:textId="77777777" w:rsidTr="00122328">
        <w:tc>
          <w:tcPr>
            <w:tcW w:w="3726" w:type="pct"/>
            <w:tcBorders>
              <w:top w:val="nil"/>
              <w:bottom w:val="nil"/>
            </w:tcBorders>
            <w:shd w:val="clear" w:color="auto" w:fill="104F99"/>
            <w:vAlign w:val="center"/>
          </w:tcPr>
          <w:p w14:paraId="495E5EB8" w14:textId="77777777" w:rsidR="00A65E3B" w:rsidRPr="00AC04B2" w:rsidRDefault="00A65E3B" w:rsidP="00A207F8">
            <w:pPr>
              <w:pStyle w:val="TableHeading"/>
            </w:pPr>
            <w:r w:rsidRPr="00AC04B2">
              <w:t>Deliverable</w:t>
            </w:r>
          </w:p>
        </w:tc>
        <w:tc>
          <w:tcPr>
            <w:tcW w:w="1274" w:type="pct"/>
            <w:tcBorders>
              <w:top w:val="nil"/>
              <w:bottom w:val="nil"/>
            </w:tcBorders>
            <w:shd w:val="clear" w:color="auto" w:fill="104F99"/>
            <w:vAlign w:val="center"/>
          </w:tcPr>
          <w:p w14:paraId="446498E7" w14:textId="77777777" w:rsidR="00A65E3B" w:rsidRPr="00AC04B2" w:rsidRDefault="00A65E3B" w:rsidP="00A207F8">
            <w:pPr>
              <w:pStyle w:val="TableHeading"/>
            </w:pPr>
            <w:r w:rsidRPr="00AC04B2">
              <w:t>Timeframe</w:t>
            </w:r>
          </w:p>
        </w:tc>
      </w:tr>
      <w:tr w:rsidR="00A65E3B" w:rsidRPr="00AC04B2" w14:paraId="28FA4C33" w14:textId="77777777" w:rsidTr="00122328">
        <w:tc>
          <w:tcPr>
            <w:tcW w:w="3726" w:type="pct"/>
            <w:tcBorders>
              <w:top w:val="nil"/>
              <w:bottom w:val="single" w:sz="4" w:space="0" w:color="auto"/>
            </w:tcBorders>
            <w:shd w:val="clear" w:color="auto" w:fill="auto"/>
          </w:tcPr>
          <w:p w14:paraId="657C4033" w14:textId="3AFB0A8A" w:rsidR="00A65E3B" w:rsidRPr="00AC04B2" w:rsidRDefault="00A65E3B" w:rsidP="00A207F8">
            <w:pPr>
              <w:pStyle w:val="TableBodySmall"/>
              <w:rPr>
                <w:b/>
              </w:rPr>
            </w:pPr>
            <w:r w:rsidRPr="00AC04B2">
              <w:t xml:space="preserve">Provide pricing advice to inform </w:t>
            </w:r>
            <w:r w:rsidR="0035467D">
              <w:t>Australian</w:t>
            </w:r>
            <w:r w:rsidR="0035467D" w:rsidRPr="00AC04B2">
              <w:t xml:space="preserve"> </w:t>
            </w:r>
            <w:r w:rsidRPr="00AC04B2">
              <w:t>Government decisions on residential aged care and respite care funding for 202</w:t>
            </w:r>
            <w:r w:rsidR="00090470">
              <w:t>5</w:t>
            </w:r>
            <w:r w:rsidRPr="00AC04B2">
              <w:t>–2</w:t>
            </w:r>
            <w:r w:rsidR="00090470">
              <w:t>6</w:t>
            </w:r>
            <w:r w:rsidRPr="00AC04B2">
              <w:t>.</w:t>
            </w:r>
          </w:p>
        </w:tc>
        <w:tc>
          <w:tcPr>
            <w:tcW w:w="1274" w:type="pct"/>
            <w:tcBorders>
              <w:top w:val="nil"/>
              <w:bottom w:val="single" w:sz="4" w:space="0" w:color="auto"/>
            </w:tcBorders>
            <w:shd w:val="clear" w:color="auto" w:fill="auto"/>
          </w:tcPr>
          <w:p w14:paraId="6AB7D1D8" w14:textId="5AD07A00" w:rsidR="00A65E3B" w:rsidRPr="00AC04B2" w:rsidRDefault="00112860" w:rsidP="00A207F8">
            <w:pPr>
              <w:pStyle w:val="TableBodySmall"/>
              <w:rPr>
                <w:b/>
              </w:rPr>
            </w:pPr>
            <w:r>
              <w:t>April</w:t>
            </w:r>
            <w:r w:rsidRPr="00AC04B2">
              <w:t xml:space="preserve"> </w:t>
            </w:r>
            <w:r w:rsidR="00A65E3B" w:rsidRPr="00AC04B2">
              <w:t>202</w:t>
            </w:r>
            <w:r>
              <w:t>5</w:t>
            </w:r>
          </w:p>
        </w:tc>
      </w:tr>
    </w:tbl>
    <w:p w14:paraId="64E3281D" w14:textId="77777777" w:rsidR="000362C5" w:rsidRDefault="000362C5" w:rsidP="000362C5">
      <w:pPr>
        <w:pStyle w:val="Body"/>
      </w:pPr>
    </w:p>
    <w:p w14:paraId="63042DB3" w14:textId="6BF35BC9" w:rsidR="00A65E3B" w:rsidRPr="000362C5" w:rsidRDefault="00A65E3B" w:rsidP="00B20E4E">
      <w:pPr>
        <w:pStyle w:val="Body"/>
        <w:keepNext/>
        <w:rPr>
          <w:b/>
          <w:bCs/>
        </w:rPr>
      </w:pPr>
      <w:r w:rsidRPr="000362C5">
        <w:rPr>
          <w:b/>
          <w:bCs/>
        </w:rPr>
        <w:t xml:space="preserve">Residential </w:t>
      </w:r>
      <w:r w:rsidR="00D24ED9" w:rsidRPr="000362C5">
        <w:rPr>
          <w:b/>
          <w:bCs/>
        </w:rPr>
        <w:t>aged care and respite care</w:t>
      </w:r>
    </w:p>
    <w:p w14:paraId="47AD6D20" w14:textId="5689E873" w:rsidR="00A65E3B" w:rsidRPr="00B20E4E" w:rsidRDefault="00E81AED" w:rsidP="000362C5">
      <w:pPr>
        <w:pStyle w:val="Body"/>
      </w:pPr>
      <w:r w:rsidRPr="00AC04B2">
        <w:t>T</w:t>
      </w:r>
      <w:r w:rsidR="00A65E3B" w:rsidRPr="00AC04B2">
        <w:t xml:space="preserve">he Australian National Aged Care Classification (AN-ACC) funding model replaced the Aged Care Funding Instrument from 1 October 2022. The AN-ACC model provides </w:t>
      </w:r>
      <w:r w:rsidR="009F2D65">
        <w:t>funding</w:t>
      </w:r>
      <w:r w:rsidR="009F2D65" w:rsidRPr="00AC04B2">
        <w:t xml:space="preserve"> </w:t>
      </w:r>
      <w:r w:rsidR="00A65E3B" w:rsidRPr="00AC04B2">
        <w:t xml:space="preserve">to approved aged care providers </w:t>
      </w:r>
      <w:r w:rsidR="009F2D65">
        <w:t xml:space="preserve">reflective of service location and specialisation </w:t>
      </w:r>
      <w:r w:rsidR="00A65E3B" w:rsidRPr="00AC04B2">
        <w:t>and each residents’ care needs</w:t>
      </w:r>
      <w:r w:rsidR="009F2D65">
        <w:t>,</w:t>
      </w:r>
      <w:r w:rsidR="00A65E3B" w:rsidRPr="00AC04B2">
        <w:t xml:space="preserve"> through the application of national weighted activity units to the AN</w:t>
      </w:r>
      <w:r w:rsidR="00C1380E">
        <w:noBreakHyphen/>
      </w:r>
      <w:r w:rsidR="00A65E3B" w:rsidRPr="00AC04B2">
        <w:t>ACC price.</w:t>
      </w:r>
      <w:r w:rsidRPr="00AC04B2">
        <w:t xml:space="preserve"> </w:t>
      </w:r>
      <w:r w:rsidR="00A65E3B" w:rsidRPr="00B20E4E">
        <w:t xml:space="preserve">IHACPA </w:t>
      </w:r>
      <w:r w:rsidR="00C9525A" w:rsidRPr="00B20E4E">
        <w:t xml:space="preserve">has </w:t>
      </w:r>
      <w:r w:rsidR="00A65E3B" w:rsidRPr="00B20E4E">
        <w:t>inform</w:t>
      </w:r>
      <w:r w:rsidR="00C9525A" w:rsidRPr="00B20E4E">
        <w:t>ed</w:t>
      </w:r>
      <w:r w:rsidR="00A65E3B" w:rsidRPr="00B20E4E">
        <w:t xml:space="preserve"> </w:t>
      </w:r>
      <w:r w:rsidR="0035467D" w:rsidRPr="00B20E4E">
        <w:t xml:space="preserve">Australian </w:t>
      </w:r>
      <w:r w:rsidR="00A65E3B" w:rsidRPr="00B20E4E">
        <w:t>Government decisions on residential aged care</w:t>
      </w:r>
      <w:r w:rsidR="00C1380E" w:rsidRPr="00B20E4E">
        <w:t xml:space="preserve"> and residential respite care funding</w:t>
      </w:r>
      <w:r w:rsidR="00A65E3B" w:rsidRPr="00B20E4E">
        <w:t xml:space="preserve"> </w:t>
      </w:r>
      <w:r w:rsidR="00C9525A" w:rsidRPr="00B20E4E">
        <w:t xml:space="preserve">since </w:t>
      </w:r>
      <w:r w:rsidR="00A65E3B" w:rsidRPr="00B20E4E">
        <w:t>1 July 2023.</w:t>
      </w:r>
    </w:p>
    <w:p w14:paraId="0A31C06F" w14:textId="77777777" w:rsidR="00A65E3B" w:rsidRPr="0090593F" w:rsidRDefault="00A65E3B" w:rsidP="003C70E0">
      <w:pPr>
        <w:pStyle w:val="Body"/>
        <w:keepNext/>
        <w:rPr>
          <w:b/>
          <w:bCs/>
        </w:rPr>
      </w:pPr>
      <w:r w:rsidRPr="0090593F">
        <w:rPr>
          <w:b/>
          <w:bCs/>
        </w:rPr>
        <w:t>Support at Home Program</w:t>
      </w:r>
    </w:p>
    <w:p w14:paraId="7D70A11B" w14:textId="58F66A7C" w:rsidR="00890C15" w:rsidRPr="00AC04B2" w:rsidRDefault="00890C15" w:rsidP="003C70E0">
      <w:pPr>
        <w:pStyle w:val="Body"/>
        <w:keepNext/>
        <w:rPr>
          <w:b/>
          <w:bCs/>
        </w:rPr>
      </w:pPr>
      <w:r w:rsidRPr="0090593F">
        <w:t>Under measures announced in the Federal Budget October 2022–23,</w:t>
      </w:r>
      <w:r w:rsidRPr="0090593F">
        <w:rPr>
          <w:i/>
          <w:iCs/>
        </w:rPr>
        <w:t xml:space="preserve"> </w:t>
      </w:r>
      <w:r w:rsidRPr="0090593F">
        <w:t xml:space="preserve">IHACPA will provide pricing advice to inform </w:t>
      </w:r>
      <w:r w:rsidR="0035467D" w:rsidRPr="0090593F">
        <w:t xml:space="preserve">Australian </w:t>
      </w:r>
      <w:r w:rsidRPr="0090593F">
        <w:t>Government policy and funding decisions on the Support at Home Program. As announced in the Federal Budget May 2023</w:t>
      </w:r>
      <w:r w:rsidRPr="0090593F">
        <w:rPr>
          <w:bCs/>
        </w:rPr>
        <w:t>–24,</w:t>
      </w:r>
      <w:r w:rsidRPr="0090593F">
        <w:t xml:space="preserve"> the Support at Home Program </w:t>
      </w:r>
      <w:r w:rsidR="00C8745B" w:rsidRPr="0090593F">
        <w:t xml:space="preserve">will </w:t>
      </w:r>
      <w:r w:rsidRPr="0090593F">
        <w:t>be implemented from 1</w:t>
      </w:r>
      <w:r w:rsidRPr="0090593F">
        <w:rPr>
          <w:rFonts w:hint="cs"/>
        </w:rPr>
        <w:t> </w:t>
      </w:r>
      <w:r w:rsidRPr="0090593F">
        <w:t>July</w:t>
      </w:r>
      <w:r w:rsidRPr="0090593F">
        <w:rPr>
          <w:rFonts w:hint="cs"/>
        </w:rPr>
        <w:t> </w:t>
      </w:r>
      <w:r w:rsidRPr="0090593F">
        <w:t>2025.</w:t>
      </w:r>
    </w:p>
    <w:p w14:paraId="1228BF48" w14:textId="4FC01EDB" w:rsidR="00237EBA" w:rsidRPr="007D0351" w:rsidRDefault="00481D9E" w:rsidP="007D0351">
      <w:pPr>
        <w:pStyle w:val="H4"/>
      </w:pPr>
      <w:r w:rsidRPr="007D0351">
        <w:t xml:space="preserve">Aged care accommodation pricing functions under the </w:t>
      </w:r>
      <w:r w:rsidRPr="00FF78C7">
        <w:rPr>
          <w:i/>
          <w:iCs/>
        </w:rPr>
        <w:t>Aged Care Act 1997</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237EBA" w:rsidRPr="00AC04B2" w14:paraId="640FD2DA" w14:textId="77777777" w:rsidTr="00A10AF2">
        <w:tc>
          <w:tcPr>
            <w:tcW w:w="3726" w:type="pct"/>
            <w:tcBorders>
              <w:top w:val="nil"/>
              <w:bottom w:val="nil"/>
            </w:tcBorders>
            <w:shd w:val="clear" w:color="auto" w:fill="104F99"/>
            <w:vAlign w:val="center"/>
          </w:tcPr>
          <w:p w14:paraId="403EE594" w14:textId="77777777" w:rsidR="00237EBA" w:rsidRPr="00AC04B2" w:rsidRDefault="00237EBA" w:rsidP="00A10AF2">
            <w:pPr>
              <w:pStyle w:val="TableHeading"/>
            </w:pPr>
            <w:r w:rsidRPr="00AC04B2">
              <w:t>Deliverable</w:t>
            </w:r>
          </w:p>
        </w:tc>
        <w:tc>
          <w:tcPr>
            <w:tcW w:w="1274" w:type="pct"/>
            <w:tcBorders>
              <w:top w:val="nil"/>
              <w:bottom w:val="nil"/>
            </w:tcBorders>
            <w:shd w:val="clear" w:color="auto" w:fill="104F99"/>
            <w:vAlign w:val="center"/>
          </w:tcPr>
          <w:p w14:paraId="47FA2FFD" w14:textId="77777777" w:rsidR="00237EBA" w:rsidRPr="00AC04B2" w:rsidRDefault="00237EBA" w:rsidP="00A10AF2">
            <w:pPr>
              <w:pStyle w:val="TableHeading"/>
            </w:pPr>
            <w:r w:rsidRPr="00AC04B2">
              <w:t>Timeframe</w:t>
            </w:r>
          </w:p>
        </w:tc>
      </w:tr>
      <w:tr w:rsidR="00237EBA" w:rsidRPr="00AC04B2" w14:paraId="7F0222CE" w14:textId="77777777" w:rsidTr="00A10AF2">
        <w:tc>
          <w:tcPr>
            <w:tcW w:w="3726" w:type="pct"/>
            <w:tcBorders>
              <w:top w:val="nil"/>
              <w:bottom w:val="single" w:sz="4" w:space="0" w:color="auto"/>
            </w:tcBorders>
            <w:shd w:val="clear" w:color="auto" w:fill="auto"/>
          </w:tcPr>
          <w:p w14:paraId="4E18DC25" w14:textId="5AE4D3BB" w:rsidR="00237EBA" w:rsidRPr="00AC04B2" w:rsidRDefault="00237EBA" w:rsidP="00A10AF2">
            <w:pPr>
              <w:pStyle w:val="TableBodySmall"/>
              <w:rPr>
                <w:b/>
              </w:rPr>
            </w:pPr>
            <w:r>
              <w:t xml:space="preserve">Assess applications for increases to </w:t>
            </w:r>
            <w:r w:rsidR="00BB511B">
              <w:t>e</w:t>
            </w:r>
            <w:r>
              <w:t xml:space="preserve">xtra </w:t>
            </w:r>
            <w:r w:rsidR="00BB511B">
              <w:t>s</w:t>
            </w:r>
            <w:r>
              <w:t xml:space="preserve">ervice </w:t>
            </w:r>
            <w:r w:rsidR="00BB511B">
              <w:t>f</w:t>
            </w:r>
            <w:r>
              <w:t xml:space="preserve">ees under section 35-1(2) of the </w:t>
            </w:r>
            <w:r w:rsidRPr="00A10AF2">
              <w:rPr>
                <w:i/>
                <w:iCs/>
              </w:rPr>
              <w:t>Aged Care A</w:t>
            </w:r>
            <w:r>
              <w:rPr>
                <w:i/>
                <w:iCs/>
              </w:rPr>
              <w:t>c</w:t>
            </w:r>
            <w:r w:rsidRPr="00A10AF2">
              <w:rPr>
                <w:i/>
                <w:iCs/>
              </w:rPr>
              <w:t>t 1997</w:t>
            </w:r>
          </w:p>
        </w:tc>
        <w:tc>
          <w:tcPr>
            <w:tcW w:w="1274" w:type="pct"/>
            <w:tcBorders>
              <w:top w:val="nil"/>
              <w:bottom w:val="single" w:sz="4" w:space="0" w:color="auto"/>
            </w:tcBorders>
            <w:shd w:val="clear" w:color="auto" w:fill="auto"/>
          </w:tcPr>
          <w:p w14:paraId="2AC26750" w14:textId="0C92F4BB" w:rsidR="00237EBA" w:rsidRPr="00AC04B2" w:rsidRDefault="00237EBA" w:rsidP="00A10AF2">
            <w:pPr>
              <w:pStyle w:val="TableBodySmall"/>
              <w:rPr>
                <w:b/>
              </w:rPr>
            </w:pPr>
            <w:r>
              <w:t>Ongoing</w:t>
            </w:r>
          </w:p>
        </w:tc>
      </w:tr>
      <w:tr w:rsidR="00237EBA" w:rsidRPr="00AC04B2" w14:paraId="6166D8D5" w14:textId="77777777" w:rsidTr="00A10AF2">
        <w:trPr>
          <w:trHeight w:val="256"/>
        </w:trPr>
        <w:tc>
          <w:tcPr>
            <w:tcW w:w="3726" w:type="pct"/>
            <w:tcBorders>
              <w:top w:val="single" w:sz="4" w:space="0" w:color="auto"/>
              <w:bottom w:val="single" w:sz="4" w:space="0" w:color="auto"/>
            </w:tcBorders>
          </w:tcPr>
          <w:p w14:paraId="0FFE2243" w14:textId="2CAAEB38" w:rsidR="00237EBA" w:rsidRPr="00AC04B2" w:rsidRDefault="002F5D3E" w:rsidP="00A10AF2">
            <w:pPr>
              <w:pStyle w:val="TableBodySmall"/>
            </w:pPr>
            <w:r>
              <w:t xml:space="preserve">Assess applications for </w:t>
            </w:r>
            <w:r w:rsidR="00481D9E">
              <w:t>r</w:t>
            </w:r>
            <w:r w:rsidR="00481D9E" w:rsidRPr="00481D9E">
              <w:t xml:space="preserve">efundable </w:t>
            </w:r>
            <w:r w:rsidR="00481D9E">
              <w:t>a</w:t>
            </w:r>
            <w:r w:rsidR="00481D9E" w:rsidRPr="00481D9E">
              <w:t xml:space="preserve">ccommodation </w:t>
            </w:r>
            <w:r w:rsidR="00481D9E">
              <w:t>d</w:t>
            </w:r>
            <w:r w:rsidR="00481D9E" w:rsidRPr="00481D9E">
              <w:t xml:space="preserve">eposit amounts above the </w:t>
            </w:r>
            <w:r w:rsidR="00B20E4E">
              <w:t>Australian Government</w:t>
            </w:r>
            <w:r w:rsidR="00B20E4E" w:rsidRPr="00AC04B2">
              <w:t xml:space="preserve"> </w:t>
            </w:r>
            <w:r w:rsidR="00B20E4E" w:rsidRPr="00080884">
              <w:t>Minister for Health and Aged Care</w:t>
            </w:r>
            <w:r w:rsidR="00B20E4E">
              <w:t xml:space="preserve">’s </w:t>
            </w:r>
            <w:r w:rsidR="00481D9E" w:rsidRPr="00481D9E">
              <w:t xml:space="preserve">maximum under section 52G-4(5) of the </w:t>
            </w:r>
            <w:r w:rsidR="00481D9E" w:rsidRPr="00481D9E">
              <w:rPr>
                <w:i/>
                <w:iCs/>
              </w:rPr>
              <w:t>Aged Care Act 1997</w:t>
            </w:r>
            <w:r w:rsidR="00237EBA" w:rsidRPr="00AC04B2">
              <w:t>.</w:t>
            </w:r>
          </w:p>
        </w:tc>
        <w:tc>
          <w:tcPr>
            <w:tcW w:w="1274" w:type="pct"/>
            <w:tcBorders>
              <w:top w:val="single" w:sz="4" w:space="0" w:color="auto"/>
              <w:bottom w:val="single" w:sz="4" w:space="0" w:color="auto"/>
            </w:tcBorders>
          </w:tcPr>
          <w:p w14:paraId="23752DB2" w14:textId="482222B7" w:rsidR="00237EBA" w:rsidRPr="00AC04B2" w:rsidRDefault="002344DD" w:rsidP="00A10AF2">
            <w:pPr>
              <w:pStyle w:val="TableBodySmall"/>
            </w:pPr>
            <w:r>
              <w:t>Ongoing</w:t>
            </w:r>
          </w:p>
        </w:tc>
      </w:tr>
    </w:tbl>
    <w:p w14:paraId="4199550C" w14:textId="77777777" w:rsidR="00237EBA" w:rsidRDefault="00237EBA" w:rsidP="00237EBA">
      <w:pPr>
        <w:pStyle w:val="Body"/>
      </w:pPr>
    </w:p>
    <w:p w14:paraId="326075E4" w14:textId="2540C373" w:rsidR="00237EBA" w:rsidRPr="000362C5" w:rsidRDefault="00481D9E" w:rsidP="00237EBA">
      <w:pPr>
        <w:pStyle w:val="Body"/>
        <w:rPr>
          <w:b/>
          <w:bCs/>
        </w:rPr>
      </w:pPr>
      <w:r>
        <w:rPr>
          <w:b/>
          <w:bCs/>
        </w:rPr>
        <w:t>Aged care accommodation</w:t>
      </w:r>
    </w:p>
    <w:p w14:paraId="7BA149FC" w14:textId="77777777" w:rsidR="00BB511B" w:rsidRPr="003C70E0" w:rsidRDefault="00BB511B" w:rsidP="00BB511B">
      <w:pPr>
        <w:pStyle w:val="Body"/>
      </w:pPr>
      <w:r w:rsidRPr="003C70E0">
        <w:t>IHACPA also has responsibility for the functions previously undertaken by the Aged Care Pricing Commissioner. These include:</w:t>
      </w:r>
    </w:p>
    <w:p w14:paraId="5FACAFE6" w14:textId="78A90224" w:rsidR="00BB511B" w:rsidRPr="007B2569" w:rsidRDefault="00BB511B" w:rsidP="007B2569">
      <w:pPr>
        <w:pStyle w:val="Body"/>
        <w:numPr>
          <w:ilvl w:val="0"/>
          <w:numId w:val="13"/>
        </w:numPr>
      </w:pPr>
      <w:r w:rsidRPr="007B2569">
        <w:t xml:space="preserve">the approval </w:t>
      </w:r>
      <w:r w:rsidR="00481D9E" w:rsidRPr="007B2569">
        <w:t xml:space="preserve">or rejection </w:t>
      </w:r>
      <w:r w:rsidRPr="007B2569">
        <w:t xml:space="preserve">of </w:t>
      </w:r>
      <w:r w:rsidR="00481D9E" w:rsidRPr="007B2569">
        <w:t>increases to</w:t>
      </w:r>
      <w:r w:rsidR="003C70E0" w:rsidRPr="007B2569">
        <w:t xml:space="preserve"> </w:t>
      </w:r>
      <w:r w:rsidRPr="007B2569">
        <w:t>extra service fees;</w:t>
      </w:r>
      <w:r w:rsidR="00481D9E" w:rsidRPr="007B2569">
        <w:t xml:space="preserve"> and</w:t>
      </w:r>
    </w:p>
    <w:p w14:paraId="39977F13" w14:textId="615C0752" w:rsidR="00237EBA" w:rsidRPr="007B2569" w:rsidRDefault="00BB511B" w:rsidP="007B2569">
      <w:pPr>
        <w:pStyle w:val="Body"/>
        <w:numPr>
          <w:ilvl w:val="0"/>
          <w:numId w:val="13"/>
        </w:numPr>
      </w:pPr>
      <w:r w:rsidRPr="007B2569">
        <w:t xml:space="preserve">the approval </w:t>
      </w:r>
      <w:r w:rsidR="00481D9E" w:rsidRPr="007B2569">
        <w:t xml:space="preserve">or refusal </w:t>
      </w:r>
      <w:r w:rsidRPr="007B2569">
        <w:t xml:space="preserve">of proposed </w:t>
      </w:r>
      <w:r w:rsidR="00481D9E" w:rsidRPr="007B2569">
        <w:t>r</w:t>
      </w:r>
      <w:r w:rsidR="00481D9E" w:rsidRPr="003C70E0">
        <w:t>efundable accommodation deposit amounts</w:t>
      </w:r>
      <w:r w:rsidR="00481D9E" w:rsidRPr="003C70E0" w:rsidDel="00481D9E">
        <w:t xml:space="preserve"> </w:t>
      </w:r>
      <w:r w:rsidRPr="003C70E0">
        <w:t xml:space="preserve">that are higher than the maximum amount determined by the </w:t>
      </w:r>
      <w:r w:rsidR="0035467D">
        <w:t>Australian Government</w:t>
      </w:r>
      <w:r w:rsidR="0035467D" w:rsidRPr="00AC04B2">
        <w:t xml:space="preserve"> </w:t>
      </w:r>
      <w:r w:rsidRPr="003C70E0">
        <w:t>Minister for Health and Age</w:t>
      </w:r>
      <w:r w:rsidRPr="007B2569">
        <w:t>d Care.</w:t>
      </w:r>
    </w:p>
    <w:p w14:paraId="2582773D" w14:textId="280245F5" w:rsidR="00045811" w:rsidRPr="00AC04B2" w:rsidRDefault="00045811" w:rsidP="000362C5">
      <w:pPr>
        <w:pStyle w:val="H4"/>
      </w:pPr>
      <w:r w:rsidRPr="00AC04B2">
        <w:t xml:space="preserve">Prostheses List </w:t>
      </w:r>
      <w:r w:rsidR="00152AF1" w:rsidRPr="00AC04B2">
        <w:t>r</w:t>
      </w:r>
      <w:r w:rsidRPr="00AC04B2">
        <w:t>eform</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045811" w:rsidRPr="00AC04B2" w14:paraId="7B82D4FA" w14:textId="77777777" w:rsidTr="00A07037">
        <w:tc>
          <w:tcPr>
            <w:tcW w:w="3726" w:type="pct"/>
            <w:tcBorders>
              <w:top w:val="nil"/>
              <w:bottom w:val="nil"/>
            </w:tcBorders>
            <w:shd w:val="clear" w:color="auto" w:fill="104F99"/>
            <w:vAlign w:val="center"/>
          </w:tcPr>
          <w:p w14:paraId="1925133D" w14:textId="5E38EDCA" w:rsidR="00045811" w:rsidRPr="00AC04B2" w:rsidRDefault="00FF0E74" w:rsidP="00A207F8">
            <w:pPr>
              <w:pStyle w:val="TableHeading"/>
            </w:pPr>
            <w:r w:rsidRPr="00AC04B2">
              <w:t>Deliverable</w:t>
            </w:r>
          </w:p>
        </w:tc>
        <w:tc>
          <w:tcPr>
            <w:tcW w:w="1274" w:type="pct"/>
            <w:tcBorders>
              <w:top w:val="nil"/>
              <w:bottom w:val="nil"/>
            </w:tcBorders>
            <w:shd w:val="clear" w:color="auto" w:fill="104F99"/>
            <w:vAlign w:val="center"/>
          </w:tcPr>
          <w:p w14:paraId="3E5FC7DA" w14:textId="71F7ECA6" w:rsidR="00045811" w:rsidRPr="00AC04B2" w:rsidRDefault="00FF0E74" w:rsidP="00A207F8">
            <w:pPr>
              <w:pStyle w:val="TableHeading"/>
            </w:pPr>
            <w:r w:rsidRPr="00AC04B2">
              <w:t>Timeframe</w:t>
            </w:r>
          </w:p>
        </w:tc>
      </w:tr>
      <w:tr w:rsidR="00045811" w:rsidRPr="00AC04B2" w14:paraId="425EF493" w14:textId="77777777" w:rsidTr="00A07037">
        <w:trPr>
          <w:trHeight w:val="256"/>
        </w:trPr>
        <w:tc>
          <w:tcPr>
            <w:tcW w:w="3726" w:type="pct"/>
            <w:tcBorders>
              <w:top w:val="nil"/>
              <w:bottom w:val="single" w:sz="4" w:space="0" w:color="auto"/>
            </w:tcBorders>
          </w:tcPr>
          <w:p w14:paraId="00B1BC55" w14:textId="4D5A597A" w:rsidR="00045811" w:rsidRPr="00AC04B2" w:rsidRDefault="00BA5BB0" w:rsidP="00A207F8">
            <w:pPr>
              <w:pStyle w:val="TableBodySmall"/>
            </w:pPr>
            <w:bookmarkStart w:id="66" w:name="_Hlk126658035"/>
            <w:r w:rsidRPr="00AC04B2">
              <w:t xml:space="preserve">Provide </w:t>
            </w:r>
            <w:r w:rsidR="00DD1F1A" w:rsidRPr="00AC04B2">
              <w:t>advice</w:t>
            </w:r>
            <w:r w:rsidR="00AD42EC">
              <w:t>,</w:t>
            </w:r>
            <w:r w:rsidR="00DD1F1A" w:rsidRPr="00AC04B2">
              <w:t xml:space="preserve"> as requested</w:t>
            </w:r>
            <w:r w:rsidR="00AD42EC">
              <w:t>,</w:t>
            </w:r>
            <w:r w:rsidR="00DD1F1A" w:rsidRPr="00AC04B2">
              <w:t xml:space="preserve"> to the </w:t>
            </w:r>
            <w:r w:rsidR="0035467D" w:rsidRPr="0035467D">
              <w:t xml:space="preserve">Australian Government </w:t>
            </w:r>
            <w:r w:rsidR="00DD1F1A" w:rsidRPr="00AC04B2">
              <w:t>Department of Health and Aged Care to support</w:t>
            </w:r>
            <w:r w:rsidRPr="00AC04B2">
              <w:t xml:space="preserve"> the Prostheses List</w:t>
            </w:r>
            <w:r w:rsidR="00DD1F1A" w:rsidRPr="00AC04B2">
              <w:t xml:space="preserve"> reforms</w:t>
            </w:r>
            <w:r w:rsidR="00045811" w:rsidRPr="00AC04B2">
              <w:t>.</w:t>
            </w:r>
          </w:p>
        </w:tc>
        <w:tc>
          <w:tcPr>
            <w:tcW w:w="1274" w:type="pct"/>
            <w:tcBorders>
              <w:top w:val="nil"/>
              <w:bottom w:val="single" w:sz="4" w:space="0" w:color="auto"/>
            </w:tcBorders>
          </w:tcPr>
          <w:p w14:paraId="3D92C366" w14:textId="5D1EF03A" w:rsidR="00045811" w:rsidRPr="00AC04B2" w:rsidRDefault="00DD1F1A" w:rsidP="00A207F8">
            <w:pPr>
              <w:pStyle w:val="TableBodySmall"/>
            </w:pPr>
            <w:r w:rsidRPr="00AC04B2">
              <w:t>Ongoing</w:t>
            </w:r>
          </w:p>
        </w:tc>
      </w:tr>
      <w:bookmarkEnd w:id="66"/>
    </w:tbl>
    <w:p w14:paraId="205639D3" w14:textId="77777777" w:rsidR="000362C5" w:rsidRDefault="000362C5" w:rsidP="00F00D91">
      <w:pPr>
        <w:pStyle w:val="Body"/>
      </w:pPr>
    </w:p>
    <w:p w14:paraId="1FB8692A" w14:textId="49496937" w:rsidR="00045811" w:rsidRPr="000362C5" w:rsidRDefault="00E02255" w:rsidP="00F00D91">
      <w:pPr>
        <w:pStyle w:val="Body"/>
        <w:rPr>
          <w:b/>
          <w:bCs/>
        </w:rPr>
      </w:pPr>
      <w:r w:rsidRPr="000362C5">
        <w:rPr>
          <w:b/>
          <w:bCs/>
        </w:rPr>
        <w:t>The Prostheses List is a schedule of medical devices and benefits that defines the minimum amount private health insurers are required to pay hospitals that utilise these devices in the provision of care to privately insured individuals. The P</w:t>
      </w:r>
      <w:r w:rsidR="007C5822" w:rsidRPr="000362C5">
        <w:rPr>
          <w:b/>
          <w:bCs/>
        </w:rPr>
        <w:t xml:space="preserve">rostheses </w:t>
      </w:r>
      <w:r w:rsidRPr="000362C5">
        <w:rPr>
          <w:b/>
          <w:bCs/>
        </w:rPr>
        <w:t>L</w:t>
      </w:r>
      <w:r w:rsidR="007C5822" w:rsidRPr="000362C5">
        <w:rPr>
          <w:b/>
          <w:bCs/>
        </w:rPr>
        <w:t>ist</w:t>
      </w:r>
      <w:r w:rsidRPr="000362C5">
        <w:rPr>
          <w:b/>
          <w:bCs/>
        </w:rPr>
        <w:t xml:space="preserve"> forms part of the Private Health Insurance (Prostheses) Rules, which is a legislative instrument made under the </w:t>
      </w:r>
      <w:r w:rsidRPr="000362C5">
        <w:rPr>
          <w:b/>
          <w:bCs/>
          <w:i/>
          <w:iCs/>
        </w:rPr>
        <w:t>Private Health Insurance Act 2007</w:t>
      </w:r>
      <w:r w:rsidR="00FB26FE" w:rsidRPr="000362C5">
        <w:rPr>
          <w:b/>
          <w:bCs/>
          <w:i/>
          <w:iCs/>
        </w:rPr>
        <w:t xml:space="preserve">. </w:t>
      </w:r>
    </w:p>
    <w:p w14:paraId="7F7F0C23" w14:textId="1E278C71" w:rsidR="00DD1F1A" w:rsidRPr="00AC04B2" w:rsidRDefault="00DD1F1A" w:rsidP="000362C5">
      <w:pPr>
        <w:pStyle w:val="Body"/>
      </w:pPr>
      <w:r w:rsidRPr="00AC04B2">
        <w:lastRenderedPageBreak/>
        <w:t>In 2021, the Australian Government Department of Health and Aged Care commenced four years of reform activity to improve the P</w:t>
      </w:r>
      <w:r w:rsidR="007C5822" w:rsidRPr="00AC04B2">
        <w:t xml:space="preserve">rostheses </w:t>
      </w:r>
      <w:r w:rsidRPr="00AC04B2">
        <w:t>L</w:t>
      </w:r>
      <w:r w:rsidR="007C5822" w:rsidRPr="00AC04B2">
        <w:t>ist</w:t>
      </w:r>
      <w:r w:rsidRPr="00AC04B2">
        <w:t xml:space="preserve"> and its arrangements. These reforms include changes aimed at improving the alignment of the </w:t>
      </w:r>
      <w:r w:rsidR="007C5822" w:rsidRPr="00AC04B2">
        <w:t>Prostheses List</w:t>
      </w:r>
      <w:r w:rsidRPr="00AC04B2">
        <w:t xml:space="preserve"> scheduled benefits with prices paid in the public hospital system, streamlining the administration of the list, and better defining the purpose and scope of the </w:t>
      </w:r>
      <w:r w:rsidR="007C5822" w:rsidRPr="00AC04B2">
        <w:t>Prostheses List</w:t>
      </w:r>
      <w:r w:rsidRPr="00AC04B2">
        <w:t>. Revisions to the purpose and scope of the P</w:t>
      </w:r>
      <w:r w:rsidR="00C01265" w:rsidRPr="00AC04B2">
        <w:t xml:space="preserve">rostheses </w:t>
      </w:r>
      <w:r w:rsidRPr="00AC04B2">
        <w:t>L</w:t>
      </w:r>
      <w:r w:rsidR="00C01265" w:rsidRPr="00AC04B2">
        <w:t>ist</w:t>
      </w:r>
      <w:r w:rsidRPr="00AC04B2">
        <w:t xml:space="preserve"> aim to provide greater clarity and certainty about which items are eligible for inclusion on the </w:t>
      </w:r>
      <w:r w:rsidR="007C5822" w:rsidRPr="00AC04B2">
        <w:t>Prostheses List</w:t>
      </w:r>
      <w:r w:rsidRPr="00AC04B2">
        <w:t>.</w:t>
      </w:r>
    </w:p>
    <w:p w14:paraId="4DDFC114" w14:textId="59E73FEE" w:rsidR="00F46F07" w:rsidRPr="00AC04B2" w:rsidRDefault="00DD1F1A" w:rsidP="000362C5">
      <w:pPr>
        <w:pStyle w:val="Body"/>
      </w:pPr>
      <w:r w:rsidRPr="00AC04B2">
        <w:t xml:space="preserve">To support the implementation of the </w:t>
      </w:r>
      <w:r w:rsidR="007C5822" w:rsidRPr="00AC04B2">
        <w:t>Prostheses List</w:t>
      </w:r>
      <w:r w:rsidRPr="00AC04B2">
        <w:t xml:space="preserve"> reforms, IHACPA established a </w:t>
      </w:r>
      <w:hyperlink r:id="rId32" w:history="1">
        <w:r w:rsidRPr="00AC04B2">
          <w:t>public benchmark price for prostheses in Australian public hospitals</w:t>
        </w:r>
      </w:hyperlink>
      <w:r w:rsidRPr="00AC04B2">
        <w:t xml:space="preserve">. This public benchmark price informed benefit reductions </w:t>
      </w:r>
      <w:r w:rsidR="005A01AC">
        <w:t>that</w:t>
      </w:r>
      <w:r w:rsidR="000505AA">
        <w:t xml:space="preserve"> have been </w:t>
      </w:r>
      <w:r w:rsidRPr="00AC04B2">
        <w:t xml:space="preserve">implemented in the </w:t>
      </w:r>
      <w:r w:rsidR="007C5822" w:rsidRPr="00AC04B2">
        <w:t>Prostheses List</w:t>
      </w:r>
      <w:r w:rsidR="00675B12" w:rsidRPr="00AC04B2">
        <w:t>.</w:t>
      </w:r>
    </w:p>
    <w:p w14:paraId="28D4D824" w14:textId="379272DE" w:rsidR="00A07037" w:rsidRPr="00F14C55" w:rsidRDefault="003748C1" w:rsidP="000362C5">
      <w:pPr>
        <w:pStyle w:val="Body"/>
      </w:pPr>
      <w:r>
        <w:t>In December 2022, t</w:t>
      </w:r>
      <w:r w:rsidR="00A07037" w:rsidRPr="00F14C55">
        <w:t xml:space="preserve">o further support the Prostheses List reforms, </w:t>
      </w:r>
      <w:r w:rsidR="00676CCC" w:rsidRPr="00F14C55">
        <w:t>IHACPA provide</w:t>
      </w:r>
      <w:r>
        <w:t>d</w:t>
      </w:r>
      <w:r w:rsidR="00676CCC" w:rsidRPr="00F14C55">
        <w:t xml:space="preserve"> advice </w:t>
      </w:r>
      <w:r>
        <w:t xml:space="preserve">to the </w:t>
      </w:r>
      <w:r w:rsidR="00B20E4E" w:rsidRPr="00AC04B2">
        <w:t xml:space="preserve">Australian Government Department of Health and Aged Care </w:t>
      </w:r>
      <w:r w:rsidR="00676CCC" w:rsidRPr="00F14C55">
        <w:t xml:space="preserve">on bundling arrangements for General Use Items on the Prostheses List. </w:t>
      </w:r>
      <w:r w:rsidR="0056054A">
        <w:t xml:space="preserve">This advice </w:t>
      </w:r>
      <w:r w:rsidR="00676CCC" w:rsidRPr="00F14C55">
        <w:t>support</w:t>
      </w:r>
      <w:r w:rsidR="00051DAB">
        <w:t>ed</w:t>
      </w:r>
      <w:r w:rsidR="00676CCC" w:rsidRPr="00F14C55">
        <w:t xml:space="preserve"> the private health sector </w:t>
      </w:r>
      <w:r w:rsidR="003D4E8F">
        <w:t>to</w:t>
      </w:r>
      <w:r w:rsidR="003D4E8F" w:rsidRPr="00F14C55">
        <w:t xml:space="preserve"> </w:t>
      </w:r>
      <w:r w:rsidR="00676CCC" w:rsidRPr="00F14C55">
        <w:t xml:space="preserve">establish alternative arrangements for the payment of benefits for </w:t>
      </w:r>
      <w:r w:rsidR="003D4E8F" w:rsidRPr="00F14C55">
        <w:t>th</w:t>
      </w:r>
      <w:r w:rsidR="003D4E8F">
        <w:t>o</w:t>
      </w:r>
      <w:r w:rsidR="003D4E8F" w:rsidRPr="00F14C55">
        <w:t xml:space="preserve">se </w:t>
      </w:r>
      <w:r w:rsidR="00676CCC" w:rsidRPr="00F14C55">
        <w:t xml:space="preserve">items </w:t>
      </w:r>
      <w:r w:rsidR="003D4E8F">
        <w:t>following their removal</w:t>
      </w:r>
      <w:r w:rsidR="00676CCC" w:rsidRPr="00F14C55">
        <w:t xml:space="preserve"> from the Prostheses List on 1</w:t>
      </w:r>
      <w:r w:rsidR="00B27FF7" w:rsidRPr="00F14C55">
        <w:rPr>
          <w:rFonts w:hint="cs"/>
        </w:rPr>
        <w:t> </w:t>
      </w:r>
      <w:r w:rsidR="00676CCC" w:rsidRPr="00F14C55">
        <w:t>July</w:t>
      </w:r>
      <w:r w:rsidR="00B27FF7" w:rsidRPr="00F14C55">
        <w:rPr>
          <w:rFonts w:hint="cs"/>
        </w:rPr>
        <w:t> </w:t>
      </w:r>
      <w:r w:rsidR="00676CCC" w:rsidRPr="00F14C55">
        <w:t>2023.</w:t>
      </w:r>
    </w:p>
    <w:p w14:paraId="55B22FD1" w14:textId="48DE3B13" w:rsidR="00045811" w:rsidRPr="00AC04B2" w:rsidRDefault="007C5822" w:rsidP="000362C5">
      <w:pPr>
        <w:pStyle w:val="Body"/>
      </w:pPr>
      <w:r w:rsidRPr="00AC04B2">
        <w:t xml:space="preserve">IHACPA will continue to work with the </w:t>
      </w:r>
      <w:r w:rsidR="00B20E4E" w:rsidRPr="00AC04B2">
        <w:t xml:space="preserve">Australian Government Department of Health and Aged Care </w:t>
      </w:r>
      <w:r w:rsidRPr="00AC04B2">
        <w:t xml:space="preserve">and key stakeholders </w:t>
      </w:r>
      <w:r w:rsidR="00004F33" w:rsidRPr="00AC04B2">
        <w:t xml:space="preserve">to </w:t>
      </w:r>
      <w:r w:rsidRPr="00AC04B2">
        <w:t>support the Prostheses List reforms in 202</w:t>
      </w:r>
      <w:r w:rsidR="00AD5177">
        <w:t>4</w:t>
      </w:r>
      <w:r w:rsidRPr="00AC04B2">
        <w:t>–2</w:t>
      </w:r>
      <w:r w:rsidR="00AD5177">
        <w:t>5</w:t>
      </w:r>
      <w:r w:rsidRPr="00AC04B2">
        <w:t>.</w:t>
      </w:r>
      <w:bookmarkEnd w:id="65"/>
      <w:r w:rsidR="00045811" w:rsidRPr="00AC04B2">
        <w:br w:type="page"/>
      </w:r>
    </w:p>
    <w:p w14:paraId="0998A263" w14:textId="2EC2E48A" w:rsidR="008843C3" w:rsidRPr="00AC04B2" w:rsidRDefault="008843C3" w:rsidP="00E2490E">
      <w:pPr>
        <w:pStyle w:val="H2"/>
        <w:tabs>
          <w:tab w:val="left" w:pos="7938"/>
        </w:tabs>
        <w:rPr>
          <w:color w:val="0080C4"/>
        </w:rPr>
      </w:pPr>
      <w:bookmarkStart w:id="67" w:name="_Toc133416936"/>
      <w:r w:rsidRPr="00AC04B2">
        <w:rPr>
          <w:color w:val="0080C4"/>
        </w:rPr>
        <w:lastRenderedPageBreak/>
        <w:t xml:space="preserve">Strategic Objective Two: Refine and develop hospital </w:t>
      </w:r>
      <w:r w:rsidR="00CE3B00" w:rsidRPr="00AC04B2">
        <w:rPr>
          <w:color w:val="0080C4"/>
        </w:rPr>
        <w:t xml:space="preserve">and aged care </w:t>
      </w:r>
      <w:r w:rsidRPr="00AC04B2">
        <w:rPr>
          <w:color w:val="0080C4"/>
        </w:rPr>
        <w:t>activity classification systems</w:t>
      </w:r>
      <w:bookmarkEnd w:id="67"/>
    </w:p>
    <w:p w14:paraId="65A1264A" w14:textId="4DD5C407" w:rsidR="001D66D0" w:rsidRPr="007D0351" w:rsidRDefault="00755436" w:rsidP="007B2569">
      <w:pPr>
        <w:pStyle w:val="H4-List"/>
        <w:numPr>
          <w:ilvl w:val="0"/>
          <w:numId w:val="14"/>
        </w:numPr>
        <w:rPr>
          <w:rFonts w:ascii="Arial" w:hAnsi="Arial"/>
        </w:rPr>
      </w:pPr>
      <w:r w:rsidRPr="007D0351">
        <w:rPr>
          <w:rFonts w:ascii="Arial" w:hAnsi="Arial"/>
        </w:rPr>
        <w:t>Admitted acute care</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C27B65" w:rsidRPr="00AC04B2" w14:paraId="19FC96C2" w14:textId="77777777" w:rsidTr="00B8187B">
        <w:tc>
          <w:tcPr>
            <w:tcW w:w="3726" w:type="pct"/>
            <w:tcBorders>
              <w:top w:val="nil"/>
              <w:bottom w:val="nil"/>
            </w:tcBorders>
            <w:shd w:val="clear" w:color="auto" w:fill="0080C4"/>
            <w:vAlign w:val="center"/>
          </w:tcPr>
          <w:p w14:paraId="6B9B6899" w14:textId="4A98AD30" w:rsidR="00C27B65" w:rsidRPr="00AC04B2" w:rsidRDefault="00FF0E74" w:rsidP="00A207F8">
            <w:pPr>
              <w:pStyle w:val="TableHeading"/>
            </w:pPr>
            <w:r w:rsidRPr="00AC04B2">
              <w:t>Deliverable</w:t>
            </w:r>
          </w:p>
        </w:tc>
        <w:tc>
          <w:tcPr>
            <w:tcW w:w="1274" w:type="pct"/>
            <w:tcBorders>
              <w:top w:val="nil"/>
              <w:bottom w:val="nil"/>
            </w:tcBorders>
            <w:shd w:val="clear" w:color="auto" w:fill="0080C4"/>
            <w:vAlign w:val="center"/>
          </w:tcPr>
          <w:p w14:paraId="4408A05B" w14:textId="662FB65F" w:rsidR="00C27B65" w:rsidRPr="00AC04B2" w:rsidRDefault="00FF0E74" w:rsidP="00A207F8">
            <w:pPr>
              <w:pStyle w:val="TableHeading"/>
            </w:pPr>
            <w:r w:rsidRPr="00AC04B2">
              <w:t>Timeframe</w:t>
            </w:r>
          </w:p>
        </w:tc>
      </w:tr>
      <w:tr w:rsidR="00755436" w:rsidRPr="00AC04B2" w14:paraId="3DD04B77" w14:textId="77777777" w:rsidTr="00C27B65">
        <w:trPr>
          <w:trHeight w:val="290"/>
        </w:trPr>
        <w:tc>
          <w:tcPr>
            <w:tcW w:w="3726" w:type="pct"/>
            <w:tcBorders>
              <w:top w:val="nil"/>
              <w:bottom w:val="single" w:sz="4" w:space="0" w:color="auto"/>
            </w:tcBorders>
          </w:tcPr>
          <w:p w14:paraId="0A303FD6" w14:textId="0B8AB62D" w:rsidR="00755436" w:rsidRPr="00AC04B2" w:rsidRDefault="00EF7B7E" w:rsidP="00A207F8">
            <w:pPr>
              <w:pStyle w:val="TableBodySmall"/>
            </w:pPr>
            <w:r>
              <w:t>Implement</w:t>
            </w:r>
            <w:r w:rsidR="004F3A33" w:rsidRPr="00AC04B2">
              <w:t xml:space="preserve"> </w:t>
            </w:r>
            <w:r w:rsidR="00755436" w:rsidRPr="00AC04B2">
              <w:t xml:space="preserve">the International Statistical Classification of Diseases and Related Health Problems, Tenth Revision, Australian Modification, Australian Classification of Health Interventions and Australian Coding Standards </w:t>
            </w:r>
            <w:r w:rsidR="004F3A33" w:rsidRPr="00AC04B2">
              <w:t xml:space="preserve">Thirteenth </w:t>
            </w:r>
            <w:r w:rsidR="00755436" w:rsidRPr="00AC04B2">
              <w:t>Edition.</w:t>
            </w:r>
          </w:p>
        </w:tc>
        <w:tc>
          <w:tcPr>
            <w:tcW w:w="1274" w:type="pct"/>
            <w:tcBorders>
              <w:top w:val="nil"/>
              <w:bottom w:val="single" w:sz="4" w:space="0" w:color="auto"/>
            </w:tcBorders>
          </w:tcPr>
          <w:p w14:paraId="780DA06C" w14:textId="637BA04E" w:rsidR="00755436" w:rsidRPr="00AC04B2" w:rsidRDefault="00EF7B7E" w:rsidP="00A207F8">
            <w:pPr>
              <w:pStyle w:val="TableBodySmall"/>
            </w:pPr>
            <w:r>
              <w:t>July 2025</w:t>
            </w:r>
          </w:p>
        </w:tc>
      </w:tr>
      <w:tr w:rsidR="00755436" w:rsidRPr="00AC04B2" w14:paraId="305E81F9" w14:textId="77777777" w:rsidTr="00C27B65">
        <w:trPr>
          <w:trHeight w:val="290"/>
        </w:trPr>
        <w:tc>
          <w:tcPr>
            <w:tcW w:w="3726" w:type="pct"/>
            <w:tcBorders>
              <w:top w:val="single" w:sz="4" w:space="0" w:color="auto"/>
              <w:bottom w:val="single" w:sz="4" w:space="0" w:color="auto"/>
            </w:tcBorders>
          </w:tcPr>
          <w:p w14:paraId="7AEBF45C" w14:textId="6D2BB423" w:rsidR="00755436" w:rsidRPr="00AC04B2" w:rsidRDefault="00BA7D34" w:rsidP="00A207F8">
            <w:pPr>
              <w:pStyle w:val="TableBodySmall"/>
            </w:pPr>
            <w:r>
              <w:t xml:space="preserve">Release </w:t>
            </w:r>
            <w:r w:rsidR="00755436" w:rsidRPr="00AC04B2">
              <w:t xml:space="preserve">the </w:t>
            </w:r>
            <w:bookmarkStart w:id="68" w:name="_Hlk119601911"/>
            <w:r w:rsidR="00755436" w:rsidRPr="00AC04B2">
              <w:t>Australian Refined Diagnosis Related Groups Version</w:t>
            </w:r>
            <w:bookmarkEnd w:id="68"/>
            <w:r w:rsidR="009D65B8" w:rsidRPr="00AC04B2">
              <w:t> </w:t>
            </w:r>
            <w:r w:rsidR="00755436" w:rsidRPr="00AC04B2">
              <w:t>1</w:t>
            </w:r>
            <w:r w:rsidR="004F3A33" w:rsidRPr="00AC04B2">
              <w:t>2</w:t>
            </w:r>
            <w:r w:rsidR="00755436" w:rsidRPr="00AC04B2">
              <w:t>.0.</w:t>
            </w:r>
          </w:p>
        </w:tc>
        <w:tc>
          <w:tcPr>
            <w:tcW w:w="1274" w:type="pct"/>
            <w:tcBorders>
              <w:top w:val="single" w:sz="4" w:space="0" w:color="auto"/>
              <w:bottom w:val="single" w:sz="4" w:space="0" w:color="auto"/>
            </w:tcBorders>
          </w:tcPr>
          <w:p w14:paraId="490A6F59" w14:textId="40AA8EC3" w:rsidR="00755436" w:rsidRPr="00AC04B2" w:rsidRDefault="00EF7B7E" w:rsidP="00A207F8">
            <w:pPr>
              <w:pStyle w:val="TableBodySmall"/>
            </w:pPr>
            <w:r>
              <w:t>July 2025</w:t>
            </w:r>
          </w:p>
        </w:tc>
      </w:tr>
    </w:tbl>
    <w:p w14:paraId="0C6040FE" w14:textId="77777777" w:rsidR="000362C5" w:rsidRDefault="000362C5" w:rsidP="00F00D91">
      <w:pPr>
        <w:pStyle w:val="Body"/>
      </w:pPr>
    </w:p>
    <w:p w14:paraId="772162AF" w14:textId="108D21E5" w:rsidR="00FC2C52" w:rsidRPr="000362C5" w:rsidRDefault="00755436" w:rsidP="000362C5">
      <w:pPr>
        <w:pStyle w:val="Body"/>
        <w:rPr>
          <w:b/>
          <w:bCs/>
        </w:rPr>
      </w:pPr>
      <w:r w:rsidRPr="000362C5">
        <w:rPr>
          <w:b/>
          <w:bCs/>
        </w:rPr>
        <w:t xml:space="preserve">The classification system used for admitted </w:t>
      </w:r>
      <w:r w:rsidR="00DA1515" w:rsidRPr="000362C5">
        <w:rPr>
          <w:b/>
          <w:bCs/>
        </w:rPr>
        <w:t xml:space="preserve">acute </w:t>
      </w:r>
      <w:r w:rsidRPr="000362C5">
        <w:rPr>
          <w:b/>
          <w:bCs/>
        </w:rPr>
        <w:t xml:space="preserve">care is the </w:t>
      </w:r>
      <w:r w:rsidR="00DA1515" w:rsidRPr="000362C5">
        <w:rPr>
          <w:b/>
          <w:bCs/>
        </w:rPr>
        <w:t xml:space="preserve">Australian Refined Diagnosis Related Groups (AR-DRG) </w:t>
      </w:r>
      <w:r w:rsidR="000C78FD" w:rsidRPr="000362C5">
        <w:rPr>
          <w:b/>
          <w:bCs/>
        </w:rPr>
        <w:t>c</w:t>
      </w:r>
      <w:r w:rsidR="00DA1515" w:rsidRPr="000362C5">
        <w:rPr>
          <w:b/>
          <w:bCs/>
        </w:rPr>
        <w:t xml:space="preserve">lassification, which is underpinned by the </w:t>
      </w:r>
      <w:r w:rsidRPr="000362C5">
        <w:rPr>
          <w:b/>
          <w:bCs/>
        </w:rPr>
        <w:t xml:space="preserve">International Statistical Classification of Diseases and Related Health Problems, Tenth Revision, Australian Modification (ICD-10-AM), </w:t>
      </w:r>
      <w:r w:rsidR="00DA1515" w:rsidRPr="000362C5">
        <w:rPr>
          <w:b/>
          <w:bCs/>
        </w:rPr>
        <w:t xml:space="preserve">the </w:t>
      </w:r>
      <w:r w:rsidRPr="000362C5">
        <w:rPr>
          <w:b/>
          <w:bCs/>
        </w:rPr>
        <w:t xml:space="preserve">Australian Classification of Health Interventions (ACHI) and </w:t>
      </w:r>
      <w:r w:rsidR="00DA1515" w:rsidRPr="000362C5">
        <w:rPr>
          <w:b/>
          <w:bCs/>
        </w:rPr>
        <w:t xml:space="preserve">the </w:t>
      </w:r>
      <w:r w:rsidRPr="000362C5">
        <w:rPr>
          <w:b/>
          <w:bCs/>
        </w:rPr>
        <w:t>Australian Coding Standards (ACS)</w:t>
      </w:r>
      <w:r w:rsidR="00DA1515" w:rsidRPr="000362C5">
        <w:rPr>
          <w:b/>
          <w:bCs/>
        </w:rPr>
        <w:t>,</w:t>
      </w:r>
      <w:r w:rsidRPr="000362C5">
        <w:rPr>
          <w:b/>
          <w:bCs/>
        </w:rPr>
        <w:t xml:space="preserve"> collectively </w:t>
      </w:r>
      <w:r w:rsidR="00DA1515" w:rsidRPr="000362C5">
        <w:rPr>
          <w:b/>
          <w:bCs/>
        </w:rPr>
        <w:t>known</w:t>
      </w:r>
      <w:r w:rsidRPr="000362C5">
        <w:rPr>
          <w:b/>
          <w:bCs/>
        </w:rPr>
        <w:t xml:space="preserve"> as ICD-10-AM/ACHI/ACS. </w:t>
      </w:r>
      <w:r w:rsidR="00EE745F">
        <w:rPr>
          <w:b/>
          <w:bCs/>
        </w:rPr>
        <w:t xml:space="preserve">These classifications are refined over a </w:t>
      </w:r>
      <w:r w:rsidR="00B20E4E">
        <w:rPr>
          <w:b/>
          <w:bCs/>
        </w:rPr>
        <w:t xml:space="preserve">3 </w:t>
      </w:r>
      <w:r w:rsidR="00EE745F">
        <w:rPr>
          <w:b/>
          <w:bCs/>
        </w:rPr>
        <w:t>year development cycle.</w:t>
      </w:r>
    </w:p>
    <w:p w14:paraId="507B6A62" w14:textId="42E04ADB" w:rsidR="00A5329D" w:rsidRDefault="00EE745F" w:rsidP="00A5329D">
      <w:pPr>
        <w:pStyle w:val="Body"/>
      </w:pPr>
      <w:r w:rsidRPr="00721273">
        <w:t>IHACPA commenced development of ICD-10-AM/ACHI/ACS Thirteenth Edition and AR-DRG Version 12</w:t>
      </w:r>
      <w:r w:rsidR="00261C56">
        <w:t>.0</w:t>
      </w:r>
      <w:r w:rsidRPr="00721273">
        <w:t xml:space="preserve"> </w:t>
      </w:r>
      <w:r w:rsidRPr="00721273">
        <w:br/>
        <w:t>(AR-DRG V12.0) in 2022–23</w:t>
      </w:r>
      <w:r w:rsidR="00A5329D">
        <w:t xml:space="preserve">. </w:t>
      </w:r>
    </w:p>
    <w:p w14:paraId="29AD06CC" w14:textId="260CEDD7" w:rsidR="00A5329D" w:rsidRDefault="00A5329D" w:rsidP="00A5329D">
      <w:pPr>
        <w:pStyle w:val="Body"/>
      </w:pPr>
      <w:r>
        <w:t>ICD</w:t>
      </w:r>
      <w:r w:rsidR="00765313">
        <w:t>-</w:t>
      </w:r>
      <w:r>
        <w:t>10</w:t>
      </w:r>
      <w:r w:rsidR="00765313">
        <w:t>-</w:t>
      </w:r>
      <w:r>
        <w:t xml:space="preserve">AM/ACHI/ACS Thirteenth Edition </w:t>
      </w:r>
      <w:r w:rsidR="008F4ACB">
        <w:t>incorporates</w:t>
      </w:r>
      <w:r>
        <w:t xml:space="preserve"> </w:t>
      </w:r>
      <w:r w:rsidR="008F4ACB">
        <w:t>the</w:t>
      </w:r>
      <w:r>
        <w:t xml:space="preserve"> develop</w:t>
      </w:r>
      <w:r w:rsidR="008F4ACB">
        <w:t>ment of</w:t>
      </w:r>
      <w:r>
        <w:t xml:space="preserve"> a cluster identifier (metadata that indicates the relationship between codes)</w:t>
      </w:r>
      <w:r w:rsidR="00E07435" w:rsidRPr="00E07435">
        <w:t xml:space="preserve"> </w:t>
      </w:r>
      <w:r w:rsidR="00E07435" w:rsidRPr="008B2906">
        <w:t>for use in admitted episodes of care</w:t>
      </w:r>
      <w:r>
        <w:t xml:space="preserve">, a major review </w:t>
      </w:r>
      <w:r w:rsidR="00E07435" w:rsidRPr="00C650D3">
        <w:t>of the ACS to streamline and reduce ambiguity in the existing guidelines by applying a standardised format</w:t>
      </w:r>
      <w:r>
        <w:t xml:space="preserve">, review of procedural complications, </w:t>
      </w:r>
      <w:r w:rsidR="00E07435" w:rsidRPr="00C650D3">
        <w:t xml:space="preserve">addition of codes for new or missing concepts, including </w:t>
      </w:r>
      <w:r w:rsidR="0022023A">
        <w:t xml:space="preserve">new </w:t>
      </w:r>
      <w:r w:rsidR="00E07435" w:rsidRPr="00C650D3">
        <w:t>codes for use of vaping device and voluntary assisted dying</w:t>
      </w:r>
      <w:r w:rsidR="00E07435">
        <w:t xml:space="preserve">, </w:t>
      </w:r>
      <w:r>
        <w:t xml:space="preserve">further </w:t>
      </w:r>
      <w:r w:rsidR="00E07435">
        <w:t xml:space="preserve">refinements to </w:t>
      </w:r>
      <w:r>
        <w:t>the classification of social factors</w:t>
      </w:r>
      <w:r w:rsidR="00E07435">
        <w:t xml:space="preserve"> and </w:t>
      </w:r>
      <w:r w:rsidR="00E07435" w:rsidRPr="002A0FC2">
        <w:t xml:space="preserve">revised classification </w:t>
      </w:r>
      <w:r w:rsidR="00E07435">
        <w:t>for</w:t>
      </w:r>
      <w:r w:rsidR="00E07435" w:rsidRPr="002A0FC2">
        <w:t xml:space="preserve"> organ donation, procurement and transplantation</w:t>
      </w:r>
      <w:r w:rsidR="008B1A9F">
        <w:t>.</w:t>
      </w:r>
    </w:p>
    <w:p w14:paraId="3841D906" w14:textId="6ECA8CDC" w:rsidR="00E07435" w:rsidRDefault="00A5329D" w:rsidP="00A5329D">
      <w:pPr>
        <w:pStyle w:val="Body"/>
      </w:pPr>
      <w:r>
        <w:t>For AR-DRG V12.0</w:t>
      </w:r>
      <w:r w:rsidR="00E07435">
        <w:t>, work is progressing</w:t>
      </w:r>
      <w:r>
        <w:t xml:space="preserve"> </w:t>
      </w:r>
      <w:r w:rsidR="00E07435">
        <w:t xml:space="preserve">to </w:t>
      </w:r>
      <w:r w:rsidR="00E07435" w:rsidRPr="00E07435">
        <w:t>review interventions that inform grouping to the intervention partition (known as general interventions) through development of guiding principles for consistent application</w:t>
      </w:r>
      <w:r w:rsidR="005824CD">
        <w:t xml:space="preserve"> and </w:t>
      </w:r>
      <w:r w:rsidR="00AC1C48">
        <w:t xml:space="preserve">a major review of the </w:t>
      </w:r>
      <w:r w:rsidR="005824CD">
        <w:t>DRGs</w:t>
      </w:r>
      <w:r w:rsidR="00214667">
        <w:t xml:space="preserve"> for</w:t>
      </w:r>
      <w:r w:rsidR="002233B0">
        <w:t xml:space="preserve"> Major Diagnos</w:t>
      </w:r>
      <w:r w:rsidR="00984783">
        <w:t>ti</w:t>
      </w:r>
      <w:r w:rsidR="002233B0">
        <w:t>c Category 14</w:t>
      </w:r>
      <w:r w:rsidR="00214667">
        <w:t xml:space="preserve"> </w:t>
      </w:r>
      <w:r w:rsidR="00E07435" w:rsidRPr="00FF78C7">
        <w:rPr>
          <w:i/>
          <w:iCs/>
        </w:rPr>
        <w:t>Pregnancy, Childbirth a</w:t>
      </w:r>
      <w:r w:rsidR="00214667" w:rsidRPr="00FF78C7">
        <w:rPr>
          <w:i/>
          <w:iCs/>
        </w:rPr>
        <w:t>n</w:t>
      </w:r>
      <w:r w:rsidR="00E07435" w:rsidRPr="00FF78C7">
        <w:rPr>
          <w:i/>
          <w:iCs/>
        </w:rPr>
        <w:t>d the Puerperium</w:t>
      </w:r>
      <w:r w:rsidR="00E07435" w:rsidRPr="00E07435">
        <w:t xml:space="preserve"> to better support clinical coherence and cost homogeneity</w:t>
      </w:r>
      <w:r w:rsidR="00E31DE9">
        <w:t xml:space="preserve"> </w:t>
      </w:r>
      <w:r w:rsidR="00E75F00">
        <w:t>and introduction of an Adjacent DRG for posthumous organ procurement</w:t>
      </w:r>
      <w:r w:rsidR="00E07435" w:rsidRPr="00E07435">
        <w:t>.</w:t>
      </w:r>
    </w:p>
    <w:p w14:paraId="49D60BD9" w14:textId="38760E9C" w:rsidR="00575AAD" w:rsidRPr="00AC04B2" w:rsidRDefault="00575AAD" w:rsidP="00A5329D">
      <w:pPr>
        <w:pStyle w:val="Body"/>
      </w:pPr>
      <w:r>
        <w:t xml:space="preserve">IHACPA </w:t>
      </w:r>
      <w:r w:rsidR="008B1A9F">
        <w:t xml:space="preserve">anticipates </w:t>
      </w:r>
      <w:r w:rsidR="00404EAA">
        <w:t>that ICD</w:t>
      </w:r>
      <w:r w:rsidR="00765313">
        <w:t>-</w:t>
      </w:r>
      <w:r w:rsidR="00404EAA">
        <w:t>10</w:t>
      </w:r>
      <w:r w:rsidR="00765313">
        <w:t>-</w:t>
      </w:r>
      <w:r w:rsidR="00404EAA">
        <w:t>AM/ACHI/ACS Thirteenth Edition will be implement</w:t>
      </w:r>
      <w:r w:rsidR="00615CD2">
        <w:t>ed and used for pricing from</w:t>
      </w:r>
      <w:r w:rsidR="00404EAA">
        <w:t xml:space="preserve"> 1</w:t>
      </w:r>
      <w:r w:rsidR="00765313">
        <w:t> </w:t>
      </w:r>
      <w:r w:rsidR="00404EAA">
        <w:t>July 2025</w:t>
      </w:r>
      <w:r w:rsidR="00615CD2">
        <w:t xml:space="preserve">. AR-DRG </w:t>
      </w:r>
      <w:r w:rsidR="00BD1FBD">
        <w:t xml:space="preserve">Version 12.0 is </w:t>
      </w:r>
      <w:r w:rsidR="00E07435">
        <w:t>planned for release</w:t>
      </w:r>
      <w:r w:rsidR="00BD1FBD">
        <w:t xml:space="preserve"> </w:t>
      </w:r>
      <w:r w:rsidR="00BA1FAA">
        <w:t>on</w:t>
      </w:r>
      <w:r w:rsidR="00BD1FBD">
        <w:t xml:space="preserve"> 1 July 2025 and </w:t>
      </w:r>
      <w:r w:rsidR="00E31DE9">
        <w:t xml:space="preserve">is </w:t>
      </w:r>
      <w:r w:rsidR="00976580">
        <w:t>expected</w:t>
      </w:r>
      <w:r w:rsidR="00E31DE9">
        <w:t xml:space="preserve"> to be </w:t>
      </w:r>
      <w:r w:rsidR="00BD1FBD">
        <w:t>used for pricing from 1 July 2026.</w:t>
      </w:r>
      <w:r w:rsidR="00404EAA">
        <w:t xml:space="preserve"> </w:t>
      </w:r>
    </w:p>
    <w:p w14:paraId="2933872F" w14:textId="2F48DEFE" w:rsidR="00C27B65" w:rsidRPr="00AC04B2" w:rsidRDefault="004B77DE" w:rsidP="000362C5">
      <w:pPr>
        <w:pStyle w:val="H4"/>
      </w:pPr>
      <w:bookmarkStart w:id="69" w:name="_Toc55045628"/>
      <w:bookmarkStart w:id="70" w:name="_Toc55053999"/>
      <w:bookmarkStart w:id="71" w:name="_Toc55237219"/>
      <w:bookmarkStart w:id="72" w:name="_Toc55238306"/>
      <w:bookmarkStart w:id="73" w:name="_Toc55974124"/>
      <w:r w:rsidRPr="00AC04B2">
        <w:t>S</w:t>
      </w:r>
      <w:r w:rsidR="00A73127" w:rsidRPr="00AC04B2">
        <w:t xml:space="preserve">ubacute and </w:t>
      </w:r>
      <w:r w:rsidRPr="00AC04B2">
        <w:t>n</w:t>
      </w:r>
      <w:r w:rsidR="00A73127" w:rsidRPr="00AC04B2">
        <w:t>on-</w:t>
      </w:r>
      <w:r w:rsidRPr="00AC04B2">
        <w:t>a</w:t>
      </w:r>
      <w:r w:rsidR="00A73127" w:rsidRPr="00AC04B2">
        <w:t xml:space="preserve">cute </w:t>
      </w:r>
      <w:bookmarkEnd w:id="69"/>
      <w:bookmarkEnd w:id="70"/>
      <w:bookmarkEnd w:id="71"/>
      <w:bookmarkEnd w:id="72"/>
      <w:bookmarkEnd w:id="73"/>
      <w:r w:rsidRPr="00AC04B2">
        <w:t>care</w:t>
      </w:r>
      <w:r w:rsidR="00A73127" w:rsidRPr="00AC04B2">
        <w:t xml:space="preserve"> </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C27B65" w:rsidRPr="00AC04B2" w14:paraId="3C9C3DE9" w14:textId="77777777" w:rsidTr="00BC1EE4">
        <w:tc>
          <w:tcPr>
            <w:tcW w:w="3726" w:type="pct"/>
            <w:tcBorders>
              <w:top w:val="nil"/>
              <w:bottom w:val="nil"/>
            </w:tcBorders>
            <w:shd w:val="clear" w:color="auto" w:fill="0080C4"/>
            <w:vAlign w:val="center"/>
          </w:tcPr>
          <w:p w14:paraId="38D5EA38" w14:textId="39D8148D" w:rsidR="00C27B65" w:rsidRPr="00AC04B2" w:rsidRDefault="00FF0E74" w:rsidP="00A207F8">
            <w:pPr>
              <w:pStyle w:val="TableHeading"/>
            </w:pPr>
            <w:r w:rsidRPr="00AC04B2">
              <w:t>Deliverable</w:t>
            </w:r>
          </w:p>
        </w:tc>
        <w:tc>
          <w:tcPr>
            <w:tcW w:w="1274" w:type="pct"/>
            <w:tcBorders>
              <w:top w:val="nil"/>
              <w:bottom w:val="nil"/>
            </w:tcBorders>
            <w:shd w:val="clear" w:color="auto" w:fill="0080C4"/>
            <w:vAlign w:val="center"/>
          </w:tcPr>
          <w:p w14:paraId="01873F83" w14:textId="5BF5FE70" w:rsidR="00C27B65" w:rsidRPr="00AC04B2" w:rsidRDefault="00FF0E74" w:rsidP="00A207F8">
            <w:pPr>
              <w:pStyle w:val="TableHeading"/>
            </w:pPr>
            <w:r w:rsidRPr="00AC04B2">
              <w:t>Timeframe</w:t>
            </w:r>
          </w:p>
        </w:tc>
      </w:tr>
      <w:tr w:rsidR="00154590" w:rsidRPr="00AC04B2" w14:paraId="177EF30F" w14:textId="77777777" w:rsidTr="00BC1EE4">
        <w:trPr>
          <w:trHeight w:val="290"/>
        </w:trPr>
        <w:tc>
          <w:tcPr>
            <w:tcW w:w="3726" w:type="pct"/>
            <w:tcBorders>
              <w:top w:val="single" w:sz="4" w:space="0" w:color="auto"/>
              <w:bottom w:val="single" w:sz="4" w:space="0" w:color="auto"/>
            </w:tcBorders>
          </w:tcPr>
          <w:p w14:paraId="3FD927BB" w14:textId="6B349046" w:rsidR="00154590" w:rsidRPr="00AC04B2" w:rsidRDefault="00154590" w:rsidP="00A207F8">
            <w:pPr>
              <w:pStyle w:val="TableBodySmall"/>
            </w:pPr>
            <w:r>
              <w:t>Refine the Australian National Subacute and Non-</w:t>
            </w:r>
            <w:r w:rsidR="000D3D65">
              <w:t xml:space="preserve">Acute </w:t>
            </w:r>
            <w:r>
              <w:t>Patient Classification</w:t>
            </w:r>
          </w:p>
        </w:tc>
        <w:tc>
          <w:tcPr>
            <w:tcW w:w="1274" w:type="pct"/>
            <w:tcBorders>
              <w:top w:val="single" w:sz="4" w:space="0" w:color="auto"/>
              <w:bottom w:val="single" w:sz="4" w:space="0" w:color="auto"/>
            </w:tcBorders>
          </w:tcPr>
          <w:p w14:paraId="08D6120B" w14:textId="440A74CF" w:rsidR="00154590" w:rsidRPr="00AC04B2" w:rsidRDefault="00154590" w:rsidP="00A207F8">
            <w:pPr>
              <w:pStyle w:val="TableBodySmall"/>
            </w:pPr>
            <w:r>
              <w:t>Ongoing</w:t>
            </w:r>
          </w:p>
        </w:tc>
      </w:tr>
    </w:tbl>
    <w:p w14:paraId="65AF100C" w14:textId="77777777" w:rsidR="000362C5" w:rsidRDefault="000362C5" w:rsidP="00F00D91">
      <w:pPr>
        <w:pStyle w:val="Body"/>
      </w:pPr>
    </w:p>
    <w:p w14:paraId="277AAA78" w14:textId="407BA011" w:rsidR="00C27B65" w:rsidRPr="000362C5" w:rsidRDefault="004B77DE" w:rsidP="00F00D91">
      <w:pPr>
        <w:pStyle w:val="Body"/>
        <w:rPr>
          <w:b/>
          <w:bCs/>
        </w:rPr>
      </w:pPr>
      <w:r w:rsidRPr="000362C5">
        <w:rPr>
          <w:b/>
          <w:bCs/>
        </w:rPr>
        <w:t>The Australian National Subacute and Non</w:t>
      </w:r>
      <w:r w:rsidRPr="000362C5">
        <w:rPr>
          <w:rFonts w:ascii="Cambria Math" w:hAnsi="Cambria Math" w:cs="Cambria Math"/>
          <w:b/>
          <w:bCs/>
        </w:rPr>
        <w:t>‑</w:t>
      </w:r>
      <w:r w:rsidRPr="000362C5">
        <w:rPr>
          <w:b/>
          <w:bCs/>
        </w:rPr>
        <w:t xml:space="preserve">Acute Patient </w:t>
      </w:r>
      <w:r w:rsidR="002B1DA0" w:rsidRPr="000362C5">
        <w:rPr>
          <w:b/>
          <w:bCs/>
        </w:rPr>
        <w:t xml:space="preserve">Classification </w:t>
      </w:r>
      <w:r w:rsidRPr="000362C5">
        <w:rPr>
          <w:b/>
          <w:bCs/>
        </w:rPr>
        <w:t xml:space="preserve">(AN-SNAP) Version 5.0 was </w:t>
      </w:r>
      <w:r w:rsidR="00D32B60" w:rsidRPr="000362C5">
        <w:rPr>
          <w:b/>
          <w:bCs/>
        </w:rPr>
        <w:t>released in December</w:t>
      </w:r>
      <w:r w:rsidR="00E2490E" w:rsidRPr="000362C5">
        <w:rPr>
          <w:b/>
          <w:bCs/>
        </w:rPr>
        <w:t> </w:t>
      </w:r>
      <w:r w:rsidR="00D32B60" w:rsidRPr="000362C5">
        <w:rPr>
          <w:b/>
          <w:bCs/>
        </w:rPr>
        <w:t>2021</w:t>
      </w:r>
      <w:r w:rsidR="001D2733">
        <w:rPr>
          <w:b/>
          <w:bCs/>
        </w:rPr>
        <w:t xml:space="preserve">, and has been used to </w:t>
      </w:r>
      <w:r w:rsidR="00BC4BDE">
        <w:rPr>
          <w:b/>
          <w:bCs/>
        </w:rPr>
        <w:t xml:space="preserve">price subacute and non-acute services for the </w:t>
      </w:r>
      <w:r w:rsidR="00D70641">
        <w:rPr>
          <w:b/>
          <w:bCs/>
        </w:rPr>
        <w:t xml:space="preserve">National Efficient Price </w:t>
      </w:r>
      <w:r w:rsidR="00BC4BDE">
        <w:rPr>
          <w:b/>
          <w:bCs/>
        </w:rPr>
        <w:t>D</w:t>
      </w:r>
      <w:r w:rsidR="002E6ABB">
        <w:rPr>
          <w:b/>
          <w:bCs/>
        </w:rPr>
        <w:t>etermination 2024–25 (NEP24)</w:t>
      </w:r>
      <w:r w:rsidR="00E01ED8">
        <w:rPr>
          <w:b/>
          <w:bCs/>
        </w:rPr>
        <w:t>.</w:t>
      </w:r>
      <w:r w:rsidR="00976580">
        <w:rPr>
          <w:b/>
          <w:bCs/>
        </w:rPr>
        <w:t xml:space="preserve"> </w:t>
      </w:r>
    </w:p>
    <w:p w14:paraId="13F112BA" w14:textId="374739DD" w:rsidR="004B77DE" w:rsidRPr="00AC04B2" w:rsidRDefault="004B77DE" w:rsidP="00F00D91">
      <w:pPr>
        <w:pStyle w:val="Body"/>
      </w:pPr>
      <w:r w:rsidRPr="00AC04B2">
        <w:t xml:space="preserve">AN-SNAP Version 5.0 </w:t>
      </w:r>
      <w:r w:rsidR="00D32B60" w:rsidRPr="00AC04B2">
        <w:t xml:space="preserve">was </w:t>
      </w:r>
      <w:r w:rsidR="00C17284" w:rsidRPr="00AC04B2">
        <w:t>developed</w:t>
      </w:r>
      <w:r w:rsidR="00D32B60" w:rsidRPr="00AC04B2">
        <w:t xml:space="preserve"> </w:t>
      </w:r>
      <w:r w:rsidRPr="00AC04B2">
        <w:t xml:space="preserve">through detailed statistical analysis and consultation with jurisdictions, clinical experts and other subacute </w:t>
      </w:r>
      <w:r w:rsidR="00056039">
        <w:t xml:space="preserve">and non-acute </w:t>
      </w:r>
      <w:r w:rsidRPr="00AC04B2">
        <w:t xml:space="preserve">care stakeholders. </w:t>
      </w:r>
      <w:r w:rsidR="00DF2AC5" w:rsidRPr="00AC04B2">
        <w:t>AN-</w:t>
      </w:r>
      <w:r w:rsidRPr="00AC04B2">
        <w:t>SNAP Version 5.0 represents a modest refinement of AN-SNAP and introduces a new variable to recognise frailty as a cost driver for geriatric evaluation and management and non-acute episodes of care.</w:t>
      </w:r>
    </w:p>
    <w:p w14:paraId="6F929245" w14:textId="61B874A1" w:rsidR="00DB07F4" w:rsidRDefault="00DB07F4" w:rsidP="00F00D91">
      <w:pPr>
        <w:pStyle w:val="Body"/>
      </w:pPr>
      <w:r w:rsidRPr="00DB07F4">
        <w:lastRenderedPageBreak/>
        <w:t>IHACPA recognises frailty as a key driver of higher complexity and costs across all care streams</w:t>
      </w:r>
      <w:r>
        <w:t>, and</w:t>
      </w:r>
      <w:r w:rsidRPr="00DB07F4">
        <w:t xml:space="preserve"> will work with </w:t>
      </w:r>
      <w:r w:rsidR="00B20E4E">
        <w:t>stakeholders</w:t>
      </w:r>
      <w:r w:rsidR="00B20E4E" w:rsidRPr="00DB07F4">
        <w:t xml:space="preserve"> </w:t>
      </w:r>
      <w:r w:rsidRPr="00DB07F4">
        <w:t xml:space="preserve">to investigate opportunities to capture frailty as a measure of patient complexity through classifications development programs including a review of the literature. </w:t>
      </w:r>
    </w:p>
    <w:p w14:paraId="2E27DA57" w14:textId="62C7FE36" w:rsidR="00154590" w:rsidRPr="00AC04B2" w:rsidRDefault="00154590" w:rsidP="00F00D91">
      <w:pPr>
        <w:pStyle w:val="Body"/>
      </w:pPr>
      <w:r w:rsidRPr="00154590">
        <w:t xml:space="preserve">IHACPA </w:t>
      </w:r>
      <w:r w:rsidR="00056039">
        <w:t>continues</w:t>
      </w:r>
      <w:r w:rsidR="00056039" w:rsidRPr="00154590">
        <w:t xml:space="preserve"> </w:t>
      </w:r>
      <w:r w:rsidRPr="00154590">
        <w:t xml:space="preserve">to investigate the Rockwood Clinical Frailty Scale and </w:t>
      </w:r>
      <w:r w:rsidR="00056039">
        <w:t>the Functional Independence Measure for Children (</w:t>
      </w:r>
      <w:r w:rsidRPr="00154590">
        <w:t>WeeFIM</w:t>
      </w:r>
      <w:r w:rsidRPr="00154590">
        <w:rPr>
          <w:rFonts w:hint="cs"/>
        </w:rPr>
        <w:t>™</w:t>
      </w:r>
      <w:r w:rsidR="00056039">
        <w:t>)</w:t>
      </w:r>
      <w:r w:rsidRPr="00154590">
        <w:t xml:space="preserve"> as drivers of cost for classification purposes, prior to consideration of inclusion in the </w:t>
      </w:r>
      <w:r w:rsidR="00800030">
        <w:t xml:space="preserve">national best endeavours data </w:t>
      </w:r>
      <w:r w:rsidR="00BA1FAA">
        <w:t xml:space="preserve">set </w:t>
      </w:r>
      <w:r w:rsidR="00BA1FAA" w:rsidRPr="00154590">
        <w:t>for</w:t>
      </w:r>
      <w:r w:rsidRPr="00154590">
        <w:t xml:space="preserve"> future years and will progress this work through the Subacute Care Working Group</w:t>
      </w:r>
      <w:r>
        <w:t>.</w:t>
      </w:r>
    </w:p>
    <w:p w14:paraId="303592B2" w14:textId="1351BA33" w:rsidR="00731864" w:rsidRPr="00AC04B2" w:rsidRDefault="00731864" w:rsidP="000362C5">
      <w:pPr>
        <w:pStyle w:val="H4"/>
        <w:ind w:left="357" w:hanging="357"/>
      </w:pPr>
      <w:r w:rsidRPr="00AC04B2">
        <w:t xml:space="preserve">Emergency </w:t>
      </w:r>
      <w:r w:rsidR="000D3D65">
        <w:t>c</w:t>
      </w:r>
      <w:r w:rsidR="000D3D65" w:rsidRPr="00AC04B2">
        <w:t>are </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731864" w:rsidRPr="00AC04B2" w14:paraId="5EDB7E0E" w14:textId="77777777" w:rsidTr="00BC1EE4">
        <w:tc>
          <w:tcPr>
            <w:tcW w:w="3726" w:type="pct"/>
            <w:tcBorders>
              <w:top w:val="nil"/>
              <w:bottom w:val="nil"/>
            </w:tcBorders>
            <w:shd w:val="clear" w:color="auto" w:fill="0080C4"/>
            <w:vAlign w:val="center"/>
          </w:tcPr>
          <w:p w14:paraId="12497E13" w14:textId="77777777" w:rsidR="00731864" w:rsidRPr="00AC04B2" w:rsidRDefault="00731864" w:rsidP="00A207F8">
            <w:pPr>
              <w:pStyle w:val="TableHeading"/>
            </w:pPr>
            <w:r w:rsidRPr="00AC04B2">
              <w:t>Deliverable</w:t>
            </w:r>
          </w:p>
        </w:tc>
        <w:tc>
          <w:tcPr>
            <w:tcW w:w="1274" w:type="pct"/>
            <w:tcBorders>
              <w:top w:val="nil"/>
              <w:bottom w:val="nil"/>
            </w:tcBorders>
            <w:shd w:val="clear" w:color="auto" w:fill="0080C4"/>
            <w:vAlign w:val="center"/>
          </w:tcPr>
          <w:p w14:paraId="2876565A" w14:textId="77777777" w:rsidR="00731864" w:rsidRPr="00AC04B2" w:rsidRDefault="00731864" w:rsidP="00A207F8">
            <w:pPr>
              <w:pStyle w:val="TableHeading"/>
            </w:pPr>
            <w:r w:rsidRPr="00AC04B2">
              <w:t>Timeframe</w:t>
            </w:r>
          </w:p>
        </w:tc>
      </w:tr>
      <w:tr w:rsidR="00AE225C" w:rsidRPr="00AC04B2" w14:paraId="482B6BE8" w14:textId="77777777" w:rsidTr="00BC1EE4">
        <w:trPr>
          <w:trHeight w:val="290"/>
        </w:trPr>
        <w:tc>
          <w:tcPr>
            <w:tcW w:w="3726" w:type="pct"/>
            <w:tcBorders>
              <w:top w:val="nil"/>
              <w:bottom w:val="single" w:sz="4" w:space="0" w:color="auto"/>
            </w:tcBorders>
          </w:tcPr>
          <w:p w14:paraId="0832B2A9" w14:textId="2B0F5564" w:rsidR="00AE225C" w:rsidRPr="00AC04B2" w:rsidRDefault="00EB1CCF" w:rsidP="00A207F8">
            <w:pPr>
              <w:pStyle w:val="TableBodySmall"/>
            </w:pPr>
            <w:r>
              <w:t xml:space="preserve">Release </w:t>
            </w:r>
            <w:r w:rsidR="00F50302">
              <w:t>the Australian Emergency Care Classification Version 1.1</w:t>
            </w:r>
          </w:p>
        </w:tc>
        <w:tc>
          <w:tcPr>
            <w:tcW w:w="1274" w:type="pct"/>
            <w:tcBorders>
              <w:top w:val="nil"/>
              <w:bottom w:val="single" w:sz="4" w:space="0" w:color="auto"/>
            </w:tcBorders>
          </w:tcPr>
          <w:p w14:paraId="1BFCB153" w14:textId="611B351D" w:rsidR="00AE225C" w:rsidRPr="00AC04B2" w:rsidRDefault="00017D6C" w:rsidP="00A207F8">
            <w:pPr>
              <w:pStyle w:val="TableBodySmall"/>
            </w:pPr>
            <w:r>
              <w:t>September 2024</w:t>
            </w:r>
          </w:p>
        </w:tc>
      </w:tr>
      <w:tr w:rsidR="00CC6980" w:rsidRPr="00AC04B2" w14:paraId="36B77E2F" w14:textId="77777777" w:rsidTr="00BC1EE4">
        <w:trPr>
          <w:trHeight w:val="290"/>
        </w:trPr>
        <w:tc>
          <w:tcPr>
            <w:tcW w:w="3726" w:type="pct"/>
            <w:tcBorders>
              <w:top w:val="nil"/>
              <w:bottom w:val="single" w:sz="4" w:space="0" w:color="auto"/>
            </w:tcBorders>
          </w:tcPr>
          <w:p w14:paraId="2BCC51BC" w14:textId="6AAFF0C6" w:rsidR="00CC6980" w:rsidRPr="00AC04B2" w:rsidRDefault="00017D6C" w:rsidP="00A207F8">
            <w:pPr>
              <w:pStyle w:val="TableBodySmall"/>
            </w:pPr>
            <w:r>
              <w:t xml:space="preserve">Implement </w:t>
            </w:r>
            <w:r w:rsidR="00692465" w:rsidRPr="00692465">
              <w:t>the Emergency Care ICD-10-AM Principal Diagnosis (EPD Short List) Thirteenth Edition</w:t>
            </w:r>
          </w:p>
        </w:tc>
        <w:tc>
          <w:tcPr>
            <w:tcW w:w="1274" w:type="pct"/>
            <w:tcBorders>
              <w:top w:val="nil"/>
              <w:bottom w:val="single" w:sz="4" w:space="0" w:color="auto"/>
            </w:tcBorders>
          </w:tcPr>
          <w:p w14:paraId="58685CA8" w14:textId="7AB4C114" w:rsidR="00CC6980" w:rsidRPr="00AC04B2" w:rsidRDefault="00017D6C" w:rsidP="00A207F8">
            <w:pPr>
              <w:pStyle w:val="TableBodySmall"/>
            </w:pPr>
            <w:r>
              <w:t>July</w:t>
            </w:r>
            <w:r w:rsidR="00B3262F">
              <w:t xml:space="preserve"> 202</w:t>
            </w:r>
            <w:r w:rsidR="00B07B68">
              <w:t>5</w:t>
            </w:r>
          </w:p>
        </w:tc>
      </w:tr>
      <w:tr w:rsidR="00667891" w:rsidRPr="00AC04B2" w14:paraId="2E18AC62" w14:textId="77777777" w:rsidTr="00BC1EE4">
        <w:trPr>
          <w:trHeight w:val="290"/>
        </w:trPr>
        <w:tc>
          <w:tcPr>
            <w:tcW w:w="3726" w:type="pct"/>
            <w:tcBorders>
              <w:top w:val="single" w:sz="4" w:space="0" w:color="auto"/>
              <w:bottom w:val="single" w:sz="4" w:space="0" w:color="auto"/>
            </w:tcBorders>
          </w:tcPr>
          <w:p w14:paraId="66395C30" w14:textId="59DE84EC" w:rsidR="00667891" w:rsidRDefault="0091516C" w:rsidP="00A207F8">
            <w:pPr>
              <w:pStyle w:val="TableBodySmall"/>
            </w:pPr>
            <w:r>
              <w:t>Refine the</w:t>
            </w:r>
            <w:r w:rsidR="00667891">
              <w:t xml:space="preserve"> </w:t>
            </w:r>
            <w:r>
              <w:t>d</w:t>
            </w:r>
            <w:r w:rsidR="00667891">
              <w:t xml:space="preserve">ata </w:t>
            </w:r>
            <w:r>
              <w:t>r</w:t>
            </w:r>
            <w:r w:rsidR="00667891">
              <w:t xml:space="preserve">equest </w:t>
            </w:r>
            <w:r>
              <w:t>s</w:t>
            </w:r>
            <w:r w:rsidR="00667891">
              <w:t>pecification</w:t>
            </w:r>
            <w:r>
              <w:t>s</w:t>
            </w:r>
            <w:r w:rsidR="00667891">
              <w:t xml:space="preserve"> for emergency virtual care</w:t>
            </w:r>
          </w:p>
        </w:tc>
        <w:tc>
          <w:tcPr>
            <w:tcW w:w="1274" w:type="pct"/>
            <w:tcBorders>
              <w:top w:val="single" w:sz="4" w:space="0" w:color="auto"/>
              <w:bottom w:val="single" w:sz="4" w:space="0" w:color="auto"/>
            </w:tcBorders>
          </w:tcPr>
          <w:p w14:paraId="41928C2F" w14:textId="489E475F" w:rsidR="00667891" w:rsidRDefault="0091516C" w:rsidP="00A207F8">
            <w:pPr>
              <w:pStyle w:val="TableBodySmall"/>
            </w:pPr>
            <w:r>
              <w:t>Ongoing</w:t>
            </w:r>
          </w:p>
        </w:tc>
      </w:tr>
    </w:tbl>
    <w:p w14:paraId="3893FADB" w14:textId="77777777" w:rsidR="000362C5" w:rsidRDefault="000362C5" w:rsidP="00F00D91">
      <w:pPr>
        <w:pStyle w:val="Body"/>
      </w:pPr>
    </w:p>
    <w:p w14:paraId="5600ABE7" w14:textId="2390757D" w:rsidR="00731864" w:rsidRPr="000362C5" w:rsidRDefault="00731864" w:rsidP="00F00D91">
      <w:pPr>
        <w:pStyle w:val="Body"/>
        <w:rPr>
          <w:b/>
          <w:bCs/>
        </w:rPr>
      </w:pPr>
      <w:r w:rsidRPr="000362C5">
        <w:rPr>
          <w:b/>
          <w:bCs/>
        </w:rPr>
        <w:t xml:space="preserve">In late 2018, IHACPA finalised the Australian Emergency Care Classification (AECC) Version 1.0. The AECC </w:t>
      </w:r>
      <w:r w:rsidR="00772BC5">
        <w:rPr>
          <w:b/>
          <w:bCs/>
        </w:rPr>
        <w:t xml:space="preserve">Version 1.0 </w:t>
      </w:r>
      <w:r w:rsidRPr="000362C5">
        <w:rPr>
          <w:b/>
          <w:bCs/>
        </w:rPr>
        <w:t>was approved by the Pricing Authority in July 2019 and used to price emergency department activities from 1 July 2021.</w:t>
      </w:r>
    </w:p>
    <w:p w14:paraId="52A3C7D7" w14:textId="6C41FC57" w:rsidR="0047695B" w:rsidRDefault="006646F0" w:rsidP="0047695B">
      <w:pPr>
        <w:pStyle w:val="Body"/>
      </w:pPr>
      <w:r w:rsidRPr="002B1D62">
        <w:t>IHACPA identified the need to update the AECC</w:t>
      </w:r>
      <w:r>
        <w:t xml:space="preserve"> d</w:t>
      </w:r>
      <w:r w:rsidRPr="002B1D62">
        <w:t>ue to annual improvements in data volume, quality, and coverage.</w:t>
      </w:r>
      <w:r>
        <w:t xml:space="preserve"> In consultation with jurisdictions and specialist stakeholders, IHACPA developed the AECC Version 1.1 through detailed statistical analysis of national public hospital activity and cost data</w:t>
      </w:r>
      <w:r w:rsidR="0047695B">
        <w:t xml:space="preserve">. The AECC Version 1.1 included a </w:t>
      </w:r>
      <w:r w:rsidR="00BA1FAA">
        <w:t>recalibration</w:t>
      </w:r>
      <w:r w:rsidR="0047695B">
        <w:t xml:space="preserve"> of the complexity model inclusive of updating the numerical values used to assign an AECC end class complexity level (i.e. high, moderate or low complexity) to emergency care episodes. IHACPA intends to release the AECC Version 1.1 in September 2024.</w:t>
      </w:r>
    </w:p>
    <w:p w14:paraId="7036760B" w14:textId="668DEC3F" w:rsidR="0047695B" w:rsidRPr="00AC04B2" w:rsidRDefault="0047695B" w:rsidP="0047695B">
      <w:pPr>
        <w:pStyle w:val="Body"/>
      </w:pPr>
      <w:r>
        <w:t xml:space="preserve">The </w:t>
      </w:r>
      <w:r w:rsidR="00B20E4E" w:rsidRPr="00692465">
        <w:t xml:space="preserve">Emergency Care ICD-10-AM Principal Diagnosis (EPD Short List) </w:t>
      </w:r>
      <w:r>
        <w:t xml:space="preserve">Thirteenth Edition work program includes refinement areas such as review of aggregated ICD-10-AM mapping to EPD Short List, possible addition of new codes due to ICD-10-AM Thirteenth Edition expansion and to accommodate emergency care presentations commonly seen in remote and rural settings. IHAPCA is planning to implement the EPD Short List Thirteenth Edition </w:t>
      </w:r>
      <w:r w:rsidR="00BA1FAA">
        <w:t>on</w:t>
      </w:r>
      <w:r>
        <w:t xml:space="preserve"> 1 July 2025 to coincide with the implementation of ICD-10-AM Thirteenth Edition.</w:t>
      </w:r>
    </w:p>
    <w:p w14:paraId="23EAFEB7" w14:textId="75239BC2" w:rsidR="00731864" w:rsidRDefault="00731864" w:rsidP="00F00D91">
      <w:pPr>
        <w:pStyle w:val="Body"/>
      </w:pPr>
      <w:r w:rsidRPr="00AC04B2">
        <w:t xml:space="preserve">IHACPA will continue to support states and territories to improve data collection and reporting of existing variables along with future refinement of the classification. This includes progressing work to </w:t>
      </w:r>
      <w:r w:rsidR="00514438">
        <w:t>review diagnosis mapping to Emergency Care Diagnosis Groups, better accounting for paediatric complexity</w:t>
      </w:r>
      <w:r w:rsidR="00514438" w:rsidRPr="00AC04B2">
        <w:t xml:space="preserve"> </w:t>
      </w:r>
      <w:r w:rsidR="00514438">
        <w:t xml:space="preserve">and the collection of intervention data </w:t>
      </w:r>
      <w:r w:rsidRPr="00AC04B2">
        <w:t xml:space="preserve">in the Non-admitted patient emergency department care </w:t>
      </w:r>
      <w:r w:rsidR="00C01265" w:rsidRPr="00AC04B2">
        <w:t>n</w:t>
      </w:r>
      <w:r w:rsidRPr="00AC04B2">
        <w:t xml:space="preserve">ational </w:t>
      </w:r>
      <w:r w:rsidR="00C01265" w:rsidRPr="00AC04B2">
        <w:t>m</w:t>
      </w:r>
      <w:r w:rsidRPr="00AC04B2">
        <w:t xml:space="preserve">inimum </w:t>
      </w:r>
      <w:r w:rsidR="00C01265" w:rsidRPr="00AC04B2">
        <w:t>d</w:t>
      </w:r>
      <w:r w:rsidRPr="00AC04B2">
        <w:t xml:space="preserve">ata </w:t>
      </w:r>
      <w:r w:rsidR="00C01265" w:rsidRPr="00AC04B2">
        <w:t>s</w:t>
      </w:r>
      <w:r w:rsidRPr="00AC04B2">
        <w:t xml:space="preserve">et. </w:t>
      </w:r>
    </w:p>
    <w:p w14:paraId="07E30136" w14:textId="23FE8731" w:rsidR="00514438" w:rsidRDefault="00667891" w:rsidP="00514438">
      <w:pPr>
        <w:pStyle w:val="Body"/>
      </w:pPr>
      <w:r>
        <w:t xml:space="preserve">IHACPA has undertaken individual consultations with a number of </w:t>
      </w:r>
      <w:r w:rsidR="00B20E4E">
        <w:t xml:space="preserve">stakeholders </w:t>
      </w:r>
      <w:r>
        <w:t>to determine the models of virtual care currently being delivered in emergency depart</w:t>
      </w:r>
      <w:r w:rsidR="00410D2D">
        <w:t xml:space="preserve">ments. </w:t>
      </w:r>
      <w:r>
        <w:t>In 202</w:t>
      </w:r>
      <w:r w:rsidR="00487E9A">
        <w:t>4</w:t>
      </w:r>
      <w:r>
        <w:rPr>
          <w:rFonts w:hint="cs"/>
        </w:rPr>
        <w:t>–</w:t>
      </w:r>
      <w:r>
        <w:t>2</w:t>
      </w:r>
      <w:r w:rsidR="00487E9A">
        <w:t>5</w:t>
      </w:r>
      <w:r>
        <w:t xml:space="preserve"> IHACPA will </w:t>
      </w:r>
      <w:r w:rsidR="00487E9A">
        <w:t xml:space="preserve">continue to </w:t>
      </w:r>
      <w:r w:rsidR="00514438">
        <w:t xml:space="preserve">analyse the data collected through the emergency virtual care data submission project </w:t>
      </w:r>
      <w:r w:rsidR="00BA1FAA">
        <w:t>and refine</w:t>
      </w:r>
      <w:r w:rsidR="00514438">
        <w:t xml:space="preserve"> the data request specifications for emergency virtual care. </w:t>
      </w:r>
    </w:p>
    <w:p w14:paraId="64363AFA" w14:textId="0D2D64B6" w:rsidR="00C27B65" w:rsidRPr="00AC04B2" w:rsidRDefault="005924FC" w:rsidP="000362C5">
      <w:pPr>
        <w:pStyle w:val="H4"/>
      </w:pPr>
      <w:bookmarkStart w:id="74" w:name="_Hlk120704707"/>
      <w:bookmarkStart w:id="75" w:name="_Hlk120703095"/>
      <w:r w:rsidRPr="00AC04B2">
        <w:t>Non-admitted care</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080"/>
        <w:gridCol w:w="3002"/>
      </w:tblGrid>
      <w:tr w:rsidR="00E35BCD" w:rsidRPr="00AC04B2" w14:paraId="6EF57012" w14:textId="77777777" w:rsidTr="00FF78C7">
        <w:tc>
          <w:tcPr>
            <w:tcW w:w="3511" w:type="pct"/>
            <w:tcBorders>
              <w:top w:val="nil"/>
              <w:bottom w:val="nil"/>
            </w:tcBorders>
            <w:shd w:val="clear" w:color="auto" w:fill="0080C4"/>
            <w:vAlign w:val="center"/>
          </w:tcPr>
          <w:p w14:paraId="0F817372" w14:textId="3D28357C" w:rsidR="00C27B65" w:rsidRPr="00AC04B2" w:rsidRDefault="00FF0E74" w:rsidP="00A207F8">
            <w:pPr>
              <w:pStyle w:val="TableHeading"/>
            </w:pPr>
            <w:r w:rsidRPr="00AC04B2">
              <w:t>Deliverable</w:t>
            </w:r>
          </w:p>
        </w:tc>
        <w:tc>
          <w:tcPr>
            <w:tcW w:w="1489" w:type="pct"/>
            <w:tcBorders>
              <w:top w:val="nil"/>
              <w:bottom w:val="nil"/>
            </w:tcBorders>
            <w:shd w:val="clear" w:color="auto" w:fill="0080C4"/>
            <w:vAlign w:val="center"/>
          </w:tcPr>
          <w:p w14:paraId="7436A218" w14:textId="205E6ED4" w:rsidR="00C27B65" w:rsidRPr="00AC04B2" w:rsidRDefault="00FF0E74" w:rsidP="00A207F8">
            <w:pPr>
              <w:pStyle w:val="TableHeading"/>
            </w:pPr>
            <w:r w:rsidRPr="00AC04B2">
              <w:t>Timeframe</w:t>
            </w:r>
          </w:p>
        </w:tc>
      </w:tr>
      <w:tr w:rsidR="000451D8" w:rsidRPr="00AC04B2" w14:paraId="3B7F7266" w14:textId="77777777" w:rsidTr="00FF78C7">
        <w:trPr>
          <w:trHeight w:val="290"/>
        </w:trPr>
        <w:tc>
          <w:tcPr>
            <w:tcW w:w="3511" w:type="pct"/>
            <w:tcBorders>
              <w:top w:val="nil"/>
              <w:bottom w:val="single" w:sz="4" w:space="0" w:color="auto"/>
            </w:tcBorders>
          </w:tcPr>
          <w:p w14:paraId="31EB9E96" w14:textId="16FE4A98" w:rsidR="000451D8" w:rsidRPr="00AC04B2" w:rsidRDefault="000451D8" w:rsidP="00A207F8">
            <w:pPr>
              <w:pStyle w:val="TableBodySmall"/>
            </w:pPr>
            <w:r w:rsidRPr="00AC04B2">
              <w:t xml:space="preserve">Continue to </w:t>
            </w:r>
            <w:r w:rsidR="00DE75DD">
              <w:t>refine</w:t>
            </w:r>
            <w:r w:rsidR="00DE75DD" w:rsidRPr="00AC04B2">
              <w:t xml:space="preserve"> </w:t>
            </w:r>
            <w:r w:rsidRPr="00AC04B2">
              <w:t>the Tier 2 Non</w:t>
            </w:r>
            <w:r w:rsidRPr="00AC04B2">
              <w:rPr>
                <w:rFonts w:ascii="Cambria Math" w:hAnsi="Cambria Math" w:cs="Cambria Math"/>
              </w:rPr>
              <w:t>‑</w:t>
            </w:r>
            <w:r w:rsidRPr="00AC04B2">
              <w:t>Admitted Services Classification.</w:t>
            </w:r>
          </w:p>
        </w:tc>
        <w:tc>
          <w:tcPr>
            <w:tcW w:w="1489" w:type="pct"/>
            <w:tcBorders>
              <w:top w:val="nil"/>
              <w:bottom w:val="single" w:sz="4" w:space="0" w:color="auto"/>
            </w:tcBorders>
          </w:tcPr>
          <w:p w14:paraId="372FAFFE" w14:textId="77777777" w:rsidR="000451D8" w:rsidRPr="00AC04B2" w:rsidRDefault="000451D8" w:rsidP="00A207F8">
            <w:pPr>
              <w:pStyle w:val="TableBodySmall"/>
            </w:pPr>
            <w:r w:rsidRPr="00AC04B2">
              <w:t>Ongoing</w:t>
            </w:r>
          </w:p>
        </w:tc>
      </w:tr>
      <w:tr w:rsidR="005924FC" w:rsidRPr="00AC04B2" w14:paraId="7C3A3C43" w14:textId="77777777" w:rsidTr="00FF78C7">
        <w:trPr>
          <w:trHeight w:val="290"/>
        </w:trPr>
        <w:tc>
          <w:tcPr>
            <w:tcW w:w="3511" w:type="pct"/>
            <w:tcBorders>
              <w:top w:val="nil"/>
              <w:bottom w:val="single" w:sz="4" w:space="0" w:color="auto"/>
            </w:tcBorders>
          </w:tcPr>
          <w:p w14:paraId="58D95E65" w14:textId="30A563B8" w:rsidR="005924FC" w:rsidRPr="00AC04B2" w:rsidRDefault="00E2490E" w:rsidP="00A207F8">
            <w:pPr>
              <w:pStyle w:val="TableBodySmall"/>
            </w:pPr>
            <w:r w:rsidRPr="00AC04B2">
              <w:t xml:space="preserve">Undertake </w:t>
            </w:r>
            <w:r w:rsidR="005E53FF" w:rsidRPr="00AC04B2">
              <w:t>a multi</w:t>
            </w:r>
            <w:r w:rsidR="00260BF8" w:rsidRPr="00AC04B2">
              <w:t>-</w:t>
            </w:r>
            <w:r w:rsidR="005E53FF" w:rsidRPr="00AC04B2">
              <w:t>stage project to support the</w:t>
            </w:r>
            <w:r w:rsidR="002C4F67" w:rsidRPr="00AC04B2">
              <w:t xml:space="preserve"> development of</w:t>
            </w:r>
            <w:r w:rsidR="005924FC" w:rsidRPr="00AC04B2">
              <w:t xml:space="preserve"> </w:t>
            </w:r>
            <w:r w:rsidR="00731864" w:rsidRPr="00AC04B2">
              <w:t xml:space="preserve">a new </w:t>
            </w:r>
            <w:r w:rsidR="005E53FF" w:rsidRPr="00AC04B2">
              <w:t xml:space="preserve">patient level </w:t>
            </w:r>
            <w:r w:rsidR="00731864" w:rsidRPr="00AC04B2">
              <w:t>non-admitted care classification</w:t>
            </w:r>
            <w:r w:rsidR="005924FC" w:rsidRPr="00AC04B2">
              <w:t>.</w:t>
            </w:r>
          </w:p>
        </w:tc>
        <w:tc>
          <w:tcPr>
            <w:tcW w:w="1489" w:type="pct"/>
            <w:tcBorders>
              <w:top w:val="nil"/>
              <w:bottom w:val="single" w:sz="4" w:space="0" w:color="auto"/>
            </w:tcBorders>
          </w:tcPr>
          <w:p w14:paraId="26072C46" w14:textId="3480763F" w:rsidR="005924FC" w:rsidRPr="00AC04B2" w:rsidRDefault="001104F6" w:rsidP="00A207F8">
            <w:pPr>
              <w:pStyle w:val="TableBodySmall"/>
            </w:pPr>
            <w:r>
              <w:t>June 2025</w:t>
            </w:r>
          </w:p>
        </w:tc>
      </w:tr>
    </w:tbl>
    <w:p w14:paraId="3BCF91BF" w14:textId="77777777" w:rsidR="000362C5" w:rsidRDefault="000362C5" w:rsidP="00F00D91">
      <w:pPr>
        <w:pStyle w:val="Body"/>
      </w:pPr>
    </w:p>
    <w:p w14:paraId="794E7A9A" w14:textId="70005C58" w:rsidR="00D07538" w:rsidRPr="000362C5" w:rsidRDefault="00D07538" w:rsidP="00F00D91">
      <w:pPr>
        <w:pStyle w:val="Body"/>
        <w:rPr>
          <w:b/>
          <w:bCs/>
        </w:rPr>
      </w:pPr>
      <w:r w:rsidRPr="000362C5">
        <w:rPr>
          <w:b/>
          <w:bCs/>
        </w:rPr>
        <w:t>The Tier 2 Non</w:t>
      </w:r>
      <w:r w:rsidRPr="000362C5">
        <w:rPr>
          <w:rFonts w:ascii="Cambria Math" w:hAnsi="Cambria Math" w:cs="Cambria Math"/>
          <w:b/>
          <w:bCs/>
        </w:rPr>
        <w:t>‑</w:t>
      </w:r>
      <w:r w:rsidRPr="000362C5">
        <w:rPr>
          <w:b/>
          <w:bCs/>
        </w:rPr>
        <w:t>Admitted Services Classification categorises non</w:t>
      </w:r>
      <w:r w:rsidRPr="000362C5">
        <w:rPr>
          <w:rFonts w:ascii="Cambria Math" w:hAnsi="Cambria Math" w:cs="Cambria Math"/>
          <w:b/>
          <w:bCs/>
        </w:rPr>
        <w:t>‑</w:t>
      </w:r>
      <w:r w:rsidRPr="000362C5">
        <w:rPr>
          <w:b/>
          <w:bCs/>
        </w:rPr>
        <w:t xml:space="preserve">admitted services into classes </w:t>
      </w:r>
      <w:r w:rsidR="00D50265">
        <w:rPr>
          <w:b/>
          <w:bCs/>
        </w:rPr>
        <w:t>that</w:t>
      </w:r>
      <w:r w:rsidRPr="000362C5">
        <w:rPr>
          <w:b/>
          <w:bCs/>
        </w:rPr>
        <w:t xml:space="preserve"> are generally based on the nature of the service provided and the type of clinician providing the service.</w:t>
      </w:r>
    </w:p>
    <w:p w14:paraId="1EA85E4D" w14:textId="77777777" w:rsidR="00D450CF" w:rsidRDefault="00D450CF">
      <w:pPr>
        <w:rPr>
          <w:rFonts w:ascii="Arial" w:hAnsi="Arial" w:cs="Arial"/>
          <w:b/>
          <w:bCs/>
          <w:sz w:val="20"/>
          <w:szCs w:val="20"/>
        </w:rPr>
      </w:pPr>
      <w:r>
        <w:rPr>
          <w:b/>
          <w:bCs/>
        </w:rPr>
        <w:br w:type="page"/>
      </w:r>
    </w:p>
    <w:p w14:paraId="2A23E2B1" w14:textId="70FFC152" w:rsidR="00C27B65" w:rsidRPr="000362C5" w:rsidRDefault="00731864" w:rsidP="00F00D91">
      <w:pPr>
        <w:pStyle w:val="Body"/>
        <w:rPr>
          <w:b/>
          <w:bCs/>
        </w:rPr>
      </w:pPr>
      <w:r w:rsidRPr="000362C5">
        <w:rPr>
          <w:b/>
          <w:bCs/>
        </w:rPr>
        <w:lastRenderedPageBreak/>
        <w:t>A new non-admitted care classification</w:t>
      </w:r>
      <w:r w:rsidR="005924FC" w:rsidRPr="000362C5">
        <w:rPr>
          <w:b/>
          <w:bCs/>
        </w:rPr>
        <w:t xml:space="preserve"> will better describe patient characteristics and complexity of care </w:t>
      </w:r>
      <w:r w:rsidR="00B56DC6" w:rsidRPr="000362C5">
        <w:rPr>
          <w:b/>
          <w:bCs/>
        </w:rPr>
        <w:t>to</w:t>
      </w:r>
      <w:r w:rsidR="005924FC" w:rsidRPr="000362C5">
        <w:rPr>
          <w:b/>
          <w:bCs/>
        </w:rPr>
        <w:t xml:space="preserve"> </w:t>
      </w:r>
      <w:proofErr w:type="gramStart"/>
      <w:r w:rsidR="005924FC" w:rsidRPr="000362C5">
        <w:rPr>
          <w:b/>
          <w:bCs/>
        </w:rPr>
        <w:t>more accurately reflect the costs of non-admitted services</w:t>
      </w:r>
      <w:proofErr w:type="gramEnd"/>
      <w:r w:rsidR="005924FC" w:rsidRPr="000362C5">
        <w:rPr>
          <w:b/>
          <w:bCs/>
        </w:rPr>
        <w:t>. The new classification will account for changes in how care is delivered</w:t>
      </w:r>
      <w:r w:rsidR="000451D8" w:rsidRPr="000362C5">
        <w:rPr>
          <w:b/>
          <w:bCs/>
        </w:rPr>
        <w:t xml:space="preserve"> and</w:t>
      </w:r>
      <w:r w:rsidRPr="000362C5">
        <w:rPr>
          <w:b/>
          <w:bCs/>
        </w:rPr>
        <w:t>,</w:t>
      </w:r>
      <w:r w:rsidR="005924FC" w:rsidRPr="000362C5">
        <w:rPr>
          <w:b/>
          <w:bCs/>
        </w:rPr>
        <w:t xml:space="preserve"> as electronic medical records </w:t>
      </w:r>
      <w:r w:rsidR="000451D8" w:rsidRPr="000362C5">
        <w:rPr>
          <w:b/>
          <w:bCs/>
        </w:rPr>
        <w:t xml:space="preserve">evolve, will enable </w:t>
      </w:r>
      <w:r w:rsidR="005924FC" w:rsidRPr="000362C5">
        <w:rPr>
          <w:b/>
          <w:bCs/>
        </w:rPr>
        <w:t xml:space="preserve">more detailed data capture </w:t>
      </w:r>
      <w:r w:rsidR="000451D8" w:rsidRPr="000362C5">
        <w:rPr>
          <w:b/>
          <w:bCs/>
        </w:rPr>
        <w:t xml:space="preserve">to support </w:t>
      </w:r>
      <w:r w:rsidR="005924FC" w:rsidRPr="000362C5">
        <w:rPr>
          <w:b/>
          <w:bCs/>
        </w:rPr>
        <w:t xml:space="preserve">testing of new funding models </w:t>
      </w:r>
      <w:r w:rsidR="000451D8" w:rsidRPr="000362C5">
        <w:rPr>
          <w:b/>
          <w:bCs/>
        </w:rPr>
        <w:t>across</w:t>
      </w:r>
      <w:r w:rsidR="005924FC" w:rsidRPr="000362C5">
        <w:rPr>
          <w:b/>
          <w:bCs/>
        </w:rPr>
        <w:t xml:space="preserve"> multiple settings</w:t>
      </w:r>
      <w:r w:rsidR="00C27B65" w:rsidRPr="000362C5">
        <w:rPr>
          <w:b/>
          <w:bCs/>
        </w:rPr>
        <w:t>.</w:t>
      </w:r>
    </w:p>
    <w:p w14:paraId="3B859ACB" w14:textId="4907B70E" w:rsidR="00162A68" w:rsidRDefault="00C01265" w:rsidP="00162A68">
      <w:pPr>
        <w:pStyle w:val="Body"/>
      </w:pPr>
      <w:r w:rsidRPr="00AC04B2">
        <w:t>In 2023</w:t>
      </w:r>
      <w:r w:rsidR="000D3D65">
        <w:t>, the work to develop a new non-admitted care classification recommenced through the Australian Non-Admitted Patient Classification Project</w:t>
      </w:r>
      <w:r w:rsidR="00162A68">
        <w:t xml:space="preserve"> (ANAPP). </w:t>
      </w:r>
      <w:r w:rsidR="0096345D">
        <w:t xml:space="preserve">The ANAPP aims to determine a method to extract and utilise data items from state and territory </w:t>
      </w:r>
      <w:r w:rsidR="00B20E4E">
        <w:t xml:space="preserve">electronic medical record </w:t>
      </w:r>
      <w:r w:rsidR="0096345D">
        <w:t xml:space="preserve">systems, other relevant information systems and applicable cost data to develop a comprehensive activity and cost data set. Rigorous statistical analysis will then be conducted to develop a new non-admitted care services </w:t>
      </w:r>
      <w:r w:rsidR="00BA1FAA">
        <w:t>classification. The</w:t>
      </w:r>
      <w:r w:rsidR="00162A68">
        <w:t xml:space="preserve"> ANAPP is comprised of </w:t>
      </w:r>
      <w:r w:rsidR="00B20E4E">
        <w:t xml:space="preserve">4 </w:t>
      </w:r>
      <w:r w:rsidR="00162A68">
        <w:t>stages</w:t>
      </w:r>
      <w:r w:rsidR="00F45BB8">
        <w:t xml:space="preserve"> with a stage gate following each stage. Progression to future stages is dependent on IHACPA’s review of outputs, findings, and recommendations from each stage</w:t>
      </w:r>
      <w:r w:rsidR="00162A68">
        <w:t>:</w:t>
      </w:r>
    </w:p>
    <w:p w14:paraId="0F902BE6" w14:textId="0D3F5328" w:rsidR="00162A68" w:rsidRDefault="00162A68" w:rsidP="00162A68">
      <w:pPr>
        <w:pStyle w:val="Body"/>
        <w:numPr>
          <w:ilvl w:val="0"/>
          <w:numId w:val="16"/>
        </w:numPr>
      </w:pPr>
      <w:r>
        <w:t xml:space="preserve">Stage </w:t>
      </w:r>
      <w:r w:rsidR="00B20E4E">
        <w:t>1</w:t>
      </w:r>
      <w:r>
        <w:t>: Investigation and consultation</w:t>
      </w:r>
    </w:p>
    <w:p w14:paraId="28F0DB57" w14:textId="648B0D71" w:rsidR="00162A68" w:rsidRDefault="00162A68" w:rsidP="00162A68">
      <w:pPr>
        <w:pStyle w:val="Body"/>
        <w:numPr>
          <w:ilvl w:val="0"/>
          <w:numId w:val="16"/>
        </w:numPr>
      </w:pPr>
      <w:r>
        <w:t xml:space="preserve">Stage </w:t>
      </w:r>
      <w:r w:rsidR="00B20E4E">
        <w:t>2</w:t>
      </w:r>
      <w:r>
        <w:t>: Proof-of-concept</w:t>
      </w:r>
    </w:p>
    <w:p w14:paraId="3B1B68B4" w14:textId="57C55438" w:rsidR="00162A68" w:rsidRDefault="00162A68" w:rsidP="00162A68">
      <w:pPr>
        <w:pStyle w:val="Body"/>
        <w:numPr>
          <w:ilvl w:val="0"/>
          <w:numId w:val="16"/>
        </w:numPr>
      </w:pPr>
      <w:r>
        <w:t xml:space="preserve">Stage </w:t>
      </w:r>
      <w:r w:rsidR="00B20E4E">
        <w:t>3</w:t>
      </w:r>
      <w:r>
        <w:t>: Data collection and final data sets</w:t>
      </w:r>
    </w:p>
    <w:p w14:paraId="258CA1E6" w14:textId="2FA1CE12" w:rsidR="00162A68" w:rsidRDefault="00162A68" w:rsidP="00162A68">
      <w:pPr>
        <w:pStyle w:val="Body"/>
        <w:numPr>
          <w:ilvl w:val="0"/>
          <w:numId w:val="16"/>
        </w:numPr>
      </w:pPr>
      <w:r>
        <w:t xml:space="preserve">Stage </w:t>
      </w:r>
      <w:r w:rsidR="00B20E4E">
        <w:t>4</w:t>
      </w:r>
      <w:r>
        <w:t xml:space="preserve">: Analysis and classification development. </w:t>
      </w:r>
    </w:p>
    <w:p w14:paraId="5A659E83" w14:textId="7FE41E3A" w:rsidR="000D3D65" w:rsidRPr="00AC04B2" w:rsidRDefault="000D3D65" w:rsidP="00F00D91">
      <w:pPr>
        <w:pStyle w:val="Body"/>
      </w:pPr>
      <w:r>
        <w:t xml:space="preserve">While work is undertaken to develop a new non-admitted care classification, IHACPA will continue to </w:t>
      </w:r>
      <w:r w:rsidR="00534E1C">
        <w:t xml:space="preserve">refine </w:t>
      </w:r>
      <w:r>
        <w:t>the Tier 2 Non-Admitted Services Classification</w:t>
      </w:r>
      <w:r w:rsidR="0012543D">
        <w:t xml:space="preserve"> (Tier 2)</w:t>
      </w:r>
      <w:r>
        <w:t xml:space="preserve"> in consultation with jurisdictions</w:t>
      </w:r>
      <w:r w:rsidRPr="00AC04B2">
        <w:t>.</w:t>
      </w:r>
      <w:r w:rsidR="0012543D">
        <w:t xml:space="preserve"> Tier 2 Version 9.0 was used to price non-admitted care for NEP24</w:t>
      </w:r>
      <w:r w:rsidR="00326C20">
        <w:t>.</w:t>
      </w:r>
      <w:r w:rsidR="00976580">
        <w:t xml:space="preserve"> </w:t>
      </w:r>
    </w:p>
    <w:p w14:paraId="5EB27518" w14:textId="77777777" w:rsidR="00731864" w:rsidRPr="00AC04B2" w:rsidRDefault="00731864" w:rsidP="000362C5">
      <w:pPr>
        <w:pStyle w:val="H4"/>
      </w:pPr>
      <w:bookmarkStart w:id="76" w:name="_Toc55045627"/>
      <w:bookmarkStart w:id="77" w:name="_Toc55053998"/>
      <w:bookmarkStart w:id="78" w:name="_Toc55237218"/>
      <w:bookmarkStart w:id="79" w:name="_Toc55238305"/>
      <w:bookmarkStart w:id="80" w:name="_Toc55974123"/>
      <w:bookmarkEnd w:id="74"/>
      <w:r w:rsidRPr="00AC04B2">
        <w:t>Mental health care</w:t>
      </w:r>
      <w:bookmarkEnd w:id="76"/>
      <w:bookmarkEnd w:id="77"/>
      <w:bookmarkEnd w:id="78"/>
      <w:bookmarkEnd w:id="79"/>
      <w:bookmarkEnd w:id="80"/>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731864" w:rsidRPr="00AC04B2" w14:paraId="2F26AB6A" w14:textId="77777777" w:rsidTr="00B93086">
        <w:tc>
          <w:tcPr>
            <w:tcW w:w="3726" w:type="pct"/>
            <w:tcBorders>
              <w:top w:val="nil"/>
              <w:bottom w:val="nil"/>
            </w:tcBorders>
            <w:shd w:val="clear" w:color="auto" w:fill="0080C4"/>
            <w:vAlign w:val="center"/>
          </w:tcPr>
          <w:p w14:paraId="7F4312F3" w14:textId="5446DA0E" w:rsidR="00731864" w:rsidRPr="00AC04B2" w:rsidRDefault="00731864" w:rsidP="00A207F8">
            <w:pPr>
              <w:pStyle w:val="TableHeading"/>
            </w:pPr>
            <w:r w:rsidRPr="00AC04B2">
              <w:t>Deliverable</w:t>
            </w:r>
          </w:p>
        </w:tc>
        <w:tc>
          <w:tcPr>
            <w:tcW w:w="1274" w:type="pct"/>
            <w:tcBorders>
              <w:top w:val="nil"/>
              <w:bottom w:val="nil"/>
            </w:tcBorders>
            <w:shd w:val="clear" w:color="auto" w:fill="0080C4"/>
            <w:vAlign w:val="center"/>
          </w:tcPr>
          <w:p w14:paraId="4B3AF06F" w14:textId="77777777" w:rsidR="00731864" w:rsidRPr="00AC04B2" w:rsidRDefault="00731864" w:rsidP="00A207F8">
            <w:pPr>
              <w:pStyle w:val="TableHeading"/>
            </w:pPr>
            <w:r w:rsidRPr="00AC04B2">
              <w:t>Timeframe</w:t>
            </w:r>
          </w:p>
        </w:tc>
      </w:tr>
      <w:tr w:rsidR="00D90E30" w:rsidRPr="00AC04B2" w:rsidDel="00DF7ABB" w14:paraId="43908D8F" w14:textId="77777777" w:rsidTr="00FB0094">
        <w:trPr>
          <w:trHeight w:val="290"/>
        </w:trPr>
        <w:tc>
          <w:tcPr>
            <w:tcW w:w="3726" w:type="pct"/>
            <w:tcBorders>
              <w:top w:val="single" w:sz="4" w:space="0" w:color="auto"/>
              <w:bottom w:val="single" w:sz="4" w:space="0" w:color="auto"/>
            </w:tcBorders>
          </w:tcPr>
          <w:p w14:paraId="31B51EC0" w14:textId="0C613740" w:rsidR="00D90E30" w:rsidRPr="00AC04B2" w:rsidDel="00DF7ABB" w:rsidRDefault="007C7B4A" w:rsidP="00F8396F">
            <w:pPr>
              <w:pStyle w:val="TableBodySmall"/>
            </w:pPr>
            <w:r>
              <w:t>Commence development of</w:t>
            </w:r>
            <w:r w:rsidR="00D90E30">
              <w:t xml:space="preserve"> the Australian Mental Health Care Classification Version 2.0</w:t>
            </w:r>
          </w:p>
        </w:tc>
        <w:tc>
          <w:tcPr>
            <w:tcW w:w="1274" w:type="pct"/>
            <w:tcBorders>
              <w:top w:val="single" w:sz="4" w:space="0" w:color="auto"/>
              <w:bottom w:val="single" w:sz="4" w:space="0" w:color="auto"/>
            </w:tcBorders>
          </w:tcPr>
          <w:p w14:paraId="0C696D3E" w14:textId="44728404" w:rsidR="00D90E30" w:rsidDel="00DF7ABB" w:rsidRDefault="00D90E30" w:rsidP="00F8396F">
            <w:pPr>
              <w:pStyle w:val="TableBodySmall"/>
            </w:pPr>
            <w:r>
              <w:t>July 2024</w:t>
            </w:r>
          </w:p>
        </w:tc>
      </w:tr>
    </w:tbl>
    <w:p w14:paraId="325F3024" w14:textId="77777777" w:rsidR="000362C5" w:rsidRDefault="000362C5" w:rsidP="00F00D91">
      <w:pPr>
        <w:pStyle w:val="Body"/>
      </w:pPr>
    </w:p>
    <w:p w14:paraId="6A462DA8" w14:textId="73B99A3E" w:rsidR="00731864" w:rsidRPr="000362C5" w:rsidRDefault="00731864" w:rsidP="00F00D91">
      <w:pPr>
        <w:pStyle w:val="Body"/>
        <w:rPr>
          <w:b/>
          <w:bCs/>
        </w:rPr>
      </w:pPr>
      <w:r w:rsidRPr="000362C5">
        <w:rPr>
          <w:b/>
          <w:bCs/>
        </w:rPr>
        <w:t>The Australian Mental Health Care Classification (AMHCC) Version 1.0 was approved by the Pricing Authority in February 2016 and has been used to price admitted mental health care since 1 July 2022.</w:t>
      </w:r>
    </w:p>
    <w:p w14:paraId="7565AEF3" w14:textId="6AFF7DF5" w:rsidR="001173BE" w:rsidRDefault="00731864" w:rsidP="00F00D91">
      <w:pPr>
        <w:pStyle w:val="Body"/>
      </w:pPr>
      <w:r w:rsidRPr="00AC04B2">
        <w:t>In 2023–24 IHACPA work</w:t>
      </w:r>
      <w:r w:rsidR="00A77C50">
        <w:t>ed</w:t>
      </w:r>
      <w:r w:rsidRPr="00AC04B2">
        <w:t xml:space="preserve"> with jurisdictions and key stakeholders to </w:t>
      </w:r>
      <w:r w:rsidR="001171AE" w:rsidRPr="00AC04B2">
        <w:t xml:space="preserve">transition community mental health care </w:t>
      </w:r>
      <w:r w:rsidR="00F20FEB">
        <w:t xml:space="preserve">from block funding </w:t>
      </w:r>
      <w:r w:rsidR="001171AE" w:rsidRPr="00AC04B2">
        <w:t xml:space="preserve">to </w:t>
      </w:r>
      <w:r w:rsidR="00766AA5" w:rsidRPr="00AC04B2">
        <w:t>ABF</w:t>
      </w:r>
      <w:r w:rsidR="00F20FEB">
        <w:t>.</w:t>
      </w:r>
      <w:r w:rsidR="00766AA5" w:rsidRPr="00AC04B2">
        <w:t xml:space="preserve"> </w:t>
      </w:r>
      <w:r w:rsidR="00600007">
        <w:t>On</w:t>
      </w:r>
      <w:r w:rsidR="00A6510D" w:rsidRPr="00A6510D">
        <w:t xml:space="preserve"> the basis of jurisdictional feedback and to further enable jurisdictional readiness for the transition, the Pricing Authority approved a fourth and final year of shadow pricing for community mental health care for 2024–25. </w:t>
      </w:r>
      <w:r w:rsidR="00EA1EC3">
        <w:t>Funding</w:t>
      </w:r>
      <w:r w:rsidR="00A77C50" w:rsidRPr="00AC04B2">
        <w:t xml:space="preserve"> community mental health care</w:t>
      </w:r>
      <w:r w:rsidR="00ED5884">
        <w:t xml:space="preserve"> through ABF</w:t>
      </w:r>
      <w:r w:rsidR="00A77C50" w:rsidRPr="00AC04B2">
        <w:t xml:space="preserve"> enable</w:t>
      </w:r>
      <w:r w:rsidR="00A77C50">
        <w:t>s</w:t>
      </w:r>
      <w:r w:rsidR="00A77C50" w:rsidRPr="00AC04B2">
        <w:t xml:space="preserve"> </w:t>
      </w:r>
      <w:r w:rsidR="003B0E9A">
        <w:t xml:space="preserve">better alignment of funding to the complexity, type and amount of care provided to consumers. This transition will also facilitate </w:t>
      </w:r>
      <w:r w:rsidR="00A77C50" w:rsidRPr="00AC04B2">
        <w:t>better identif</w:t>
      </w:r>
      <w:r w:rsidR="003B0E9A">
        <w:t>ication of</w:t>
      </w:r>
      <w:r w:rsidR="00A77C50" w:rsidRPr="00AC04B2">
        <w:t xml:space="preserve"> the costs of providing these services </w:t>
      </w:r>
      <w:r w:rsidR="003B0E9A">
        <w:t xml:space="preserve">over time </w:t>
      </w:r>
      <w:r w:rsidR="00A77C50" w:rsidRPr="00AC04B2">
        <w:t xml:space="preserve">and drive </w:t>
      </w:r>
      <w:r w:rsidR="003B0E9A">
        <w:t xml:space="preserve">ongoing </w:t>
      </w:r>
      <w:r w:rsidR="00A77C50" w:rsidRPr="00AC04B2">
        <w:t>improvements in data collection and pricing.</w:t>
      </w:r>
    </w:p>
    <w:p w14:paraId="2834A0A1" w14:textId="77777777" w:rsidR="00B20E4E" w:rsidRDefault="0024160A" w:rsidP="00A937DE">
      <w:pPr>
        <w:pStyle w:val="Body"/>
        <w:rPr>
          <w:rFonts w:eastAsia="Arial"/>
        </w:rPr>
      </w:pPr>
      <w:bookmarkStart w:id="81" w:name="_Hlk151042638"/>
      <w:r>
        <w:t xml:space="preserve">Due to improvements in national mental health data, </w:t>
      </w:r>
      <w:r w:rsidRPr="00BD78D3">
        <w:rPr>
          <w:rFonts w:eastAsia="Arial"/>
        </w:rPr>
        <w:t xml:space="preserve">IHACPA </w:t>
      </w:r>
      <w:r w:rsidR="005362F1">
        <w:rPr>
          <w:rFonts w:eastAsia="Arial"/>
        </w:rPr>
        <w:t>identified a need to update</w:t>
      </w:r>
      <w:r w:rsidR="005362F1" w:rsidRPr="002B1D62">
        <w:t xml:space="preserve"> the </w:t>
      </w:r>
      <w:r w:rsidR="005362F1">
        <w:t>AMHCC</w:t>
      </w:r>
      <w:r w:rsidR="003E1F57">
        <w:t xml:space="preserve">. </w:t>
      </w:r>
      <w:r w:rsidR="009E341C">
        <w:t xml:space="preserve">IHACPA </w:t>
      </w:r>
      <w:r w:rsidR="009E341C" w:rsidRPr="00BD78D3">
        <w:rPr>
          <w:rFonts w:eastAsia="Arial"/>
        </w:rPr>
        <w:t xml:space="preserve">developed the AMHCC Version 1.1 through detailed statistical analysis of public hospital activity and cost data, as well as consultation with jurisdictions, clinical experts and other mental health care stakeholders. </w:t>
      </w:r>
    </w:p>
    <w:p w14:paraId="23B346FA" w14:textId="004FE004" w:rsidR="00A937DE" w:rsidRDefault="00A937DE" w:rsidP="00A937DE">
      <w:pPr>
        <w:pStyle w:val="Body"/>
      </w:pPr>
      <w:r w:rsidRPr="00BB01A2">
        <w:t>The AMHCC V</w:t>
      </w:r>
      <w:r w:rsidR="00984783">
        <w:t xml:space="preserve">ersion </w:t>
      </w:r>
      <w:r w:rsidRPr="00BB01A2">
        <w:t xml:space="preserve">1.1 </w:t>
      </w:r>
      <w:r w:rsidR="00910F6D">
        <w:t>includes</w:t>
      </w:r>
      <w:r w:rsidRPr="00BB01A2">
        <w:t xml:space="preserve"> </w:t>
      </w:r>
      <w:r w:rsidR="00323474">
        <w:t xml:space="preserve">updates to the complexity model </w:t>
      </w:r>
      <w:r w:rsidR="00910F6D">
        <w:t>that</w:t>
      </w:r>
      <w:r w:rsidRPr="00BB01A2">
        <w:t xml:space="preserve"> better capture national mental health activity and cost data trends using the latest </w:t>
      </w:r>
      <w:r w:rsidR="00B20E4E">
        <w:t>3</w:t>
      </w:r>
      <w:r w:rsidR="00B20E4E" w:rsidRPr="00BB01A2">
        <w:t xml:space="preserve"> </w:t>
      </w:r>
      <w:r w:rsidRPr="00BB01A2">
        <w:t xml:space="preserve">years of mental health care data. It also incorporates changes to align with </w:t>
      </w:r>
      <w:r w:rsidRPr="0003214B">
        <w:t>Mental Health National Outcomes and Casemix Collection</w:t>
      </w:r>
      <w:r>
        <w:t xml:space="preserve"> </w:t>
      </w:r>
      <w:r w:rsidRPr="00BB01A2">
        <w:t xml:space="preserve">protocols, allowing phases with up to </w:t>
      </w:r>
      <w:r w:rsidR="00B20E4E">
        <w:t>2</w:t>
      </w:r>
      <w:r w:rsidR="00B20E4E" w:rsidRPr="00BB01A2">
        <w:t xml:space="preserve"> </w:t>
      </w:r>
      <w:r w:rsidRPr="00BB01A2">
        <w:t xml:space="preserve">missing </w:t>
      </w:r>
      <w:r>
        <w:t>Health of the Nation Outcome Scales (HoNOS)</w:t>
      </w:r>
      <w:r w:rsidRPr="00BB01A2">
        <w:t xml:space="preserve"> items to receive a valid complexity score and a High or Moderate HoNOS complexity grouping. </w:t>
      </w:r>
    </w:p>
    <w:p w14:paraId="04AC7F05" w14:textId="3804719C" w:rsidR="00114CFE" w:rsidRDefault="004B742A" w:rsidP="00114CFE">
      <w:pPr>
        <w:pStyle w:val="Body"/>
      </w:pPr>
      <w:r>
        <w:t xml:space="preserve">IHACPA </w:t>
      </w:r>
      <w:r w:rsidR="00A039D0">
        <w:t>release</w:t>
      </w:r>
      <w:r w:rsidR="00326C20">
        <w:t>d</w:t>
      </w:r>
      <w:r>
        <w:t xml:space="preserve"> AMHCC Version 1.1</w:t>
      </w:r>
      <w:r w:rsidR="00A039D0">
        <w:t xml:space="preserve"> including support</w:t>
      </w:r>
      <w:r w:rsidR="00951E35">
        <w:t>ing</w:t>
      </w:r>
      <w:r w:rsidR="00A039D0">
        <w:t xml:space="preserve"> material in December 2023.</w:t>
      </w:r>
    </w:p>
    <w:p w14:paraId="35F909CE" w14:textId="3ED0273E" w:rsidR="003C54AD" w:rsidRDefault="00B64C79" w:rsidP="00D90E30">
      <w:pPr>
        <w:pStyle w:val="Body"/>
      </w:pPr>
      <w:r>
        <w:t xml:space="preserve">In 2024–25, IHACPA will </w:t>
      </w:r>
      <w:r w:rsidR="00445D8B">
        <w:t>commence deve</w:t>
      </w:r>
      <w:r w:rsidR="00EA2217">
        <w:t>l</w:t>
      </w:r>
      <w:r w:rsidR="00445D8B">
        <w:t xml:space="preserve">opment of AMHCC Version 2.0 and will </w:t>
      </w:r>
      <w:r w:rsidR="002D633C">
        <w:t>consider</w:t>
      </w:r>
      <w:r w:rsidR="00EA2217">
        <w:t xml:space="preserve"> areas for refinement, such as</w:t>
      </w:r>
      <w:r w:rsidR="00DE4F4C">
        <w:t xml:space="preserve"> </w:t>
      </w:r>
      <w:r w:rsidR="00AC33CE">
        <w:t xml:space="preserve">reviewing age restrictions in </w:t>
      </w:r>
      <w:r w:rsidR="00C94CDB">
        <w:t xml:space="preserve">HoNOS </w:t>
      </w:r>
      <w:r w:rsidR="00AC33CE">
        <w:t>selection</w:t>
      </w:r>
      <w:r w:rsidR="00114CFE">
        <w:t xml:space="preserve">, reviewing the application of Mental Health Legal Status and </w:t>
      </w:r>
      <w:r w:rsidR="00FE0BE1">
        <w:t>consideration of</w:t>
      </w:r>
      <w:r w:rsidR="00114CFE">
        <w:t xml:space="preserve"> e</w:t>
      </w:r>
      <w:r w:rsidR="00114CFE" w:rsidRPr="00392D2B">
        <w:t>lectroconvulsive therapy</w:t>
      </w:r>
      <w:r w:rsidR="00114CFE">
        <w:t xml:space="preserve"> in consultation with jurisdictions</w:t>
      </w:r>
      <w:r w:rsidR="00B2430D">
        <w:t xml:space="preserve"> and other stakeholders</w:t>
      </w:r>
      <w:r w:rsidR="005E53FF" w:rsidRPr="00AC04B2">
        <w:t>.</w:t>
      </w:r>
      <w:bookmarkStart w:id="82" w:name="_Toc55045632"/>
      <w:bookmarkStart w:id="83" w:name="_Toc55054003"/>
      <w:bookmarkStart w:id="84" w:name="_Toc55237223"/>
      <w:bookmarkStart w:id="85" w:name="_Toc55238310"/>
      <w:bookmarkStart w:id="86" w:name="_Toc55974128"/>
      <w:bookmarkEnd w:id="75"/>
    </w:p>
    <w:bookmarkEnd w:id="81"/>
    <w:p w14:paraId="4864DA3F" w14:textId="77777777" w:rsidR="00853A87" w:rsidRDefault="00853A87">
      <w:pPr>
        <w:rPr>
          <w:rFonts w:ascii="Arial" w:hAnsi="Arial" w:cs="Arial"/>
          <w:b/>
          <w:color w:val="15272F" w:themeColor="text1"/>
          <w:szCs w:val="18"/>
        </w:rPr>
      </w:pPr>
      <w:r>
        <w:br w:type="page"/>
      </w:r>
    </w:p>
    <w:p w14:paraId="31B06D7F" w14:textId="3029A327" w:rsidR="00C27B65" w:rsidRPr="00AC04B2" w:rsidRDefault="00C27B65" w:rsidP="000362C5">
      <w:pPr>
        <w:pStyle w:val="H4"/>
      </w:pPr>
      <w:r w:rsidRPr="00AC04B2">
        <w:lastRenderedPageBreak/>
        <w:t>Teaching</w:t>
      </w:r>
      <w:r w:rsidR="004970B6" w:rsidRPr="00AC04B2">
        <w:t>, t</w:t>
      </w:r>
      <w:r w:rsidRPr="00AC04B2">
        <w:t xml:space="preserve">raining </w:t>
      </w:r>
      <w:bookmarkEnd w:id="82"/>
      <w:bookmarkEnd w:id="83"/>
      <w:bookmarkEnd w:id="84"/>
      <w:bookmarkEnd w:id="85"/>
      <w:bookmarkEnd w:id="86"/>
      <w:r w:rsidR="004970B6" w:rsidRPr="00AC04B2">
        <w:t>and research</w:t>
      </w:r>
      <w:r w:rsidRPr="00AC04B2">
        <w:t> </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3A0345" w:rsidRPr="00AC04B2" w14:paraId="0F67B1E7" w14:textId="77777777" w:rsidTr="00B8187B">
        <w:tc>
          <w:tcPr>
            <w:tcW w:w="3726" w:type="pct"/>
            <w:tcBorders>
              <w:top w:val="nil"/>
              <w:bottom w:val="nil"/>
            </w:tcBorders>
            <w:shd w:val="clear" w:color="auto" w:fill="0080C4"/>
            <w:vAlign w:val="center"/>
          </w:tcPr>
          <w:p w14:paraId="586561CC" w14:textId="4E846FE2" w:rsidR="003A0345" w:rsidRPr="00AC04B2" w:rsidRDefault="00FF0E74" w:rsidP="00A207F8">
            <w:pPr>
              <w:pStyle w:val="TableHeading"/>
            </w:pPr>
            <w:r w:rsidRPr="00AC04B2">
              <w:t>Deliverable</w:t>
            </w:r>
          </w:p>
        </w:tc>
        <w:tc>
          <w:tcPr>
            <w:tcW w:w="1274" w:type="pct"/>
            <w:tcBorders>
              <w:top w:val="nil"/>
              <w:bottom w:val="nil"/>
            </w:tcBorders>
            <w:shd w:val="clear" w:color="auto" w:fill="0080C4"/>
            <w:vAlign w:val="center"/>
          </w:tcPr>
          <w:p w14:paraId="4465C5F2" w14:textId="2838C61A" w:rsidR="003A0345" w:rsidRPr="00AC04B2" w:rsidRDefault="00FF0E74" w:rsidP="00A207F8">
            <w:pPr>
              <w:pStyle w:val="TableHeading"/>
            </w:pPr>
            <w:r w:rsidRPr="00AC04B2">
              <w:t>Timeframe</w:t>
            </w:r>
          </w:p>
        </w:tc>
      </w:tr>
      <w:tr w:rsidR="004970B6" w:rsidRPr="00AC04B2" w14:paraId="435295E3" w14:textId="77777777" w:rsidTr="00241711">
        <w:trPr>
          <w:trHeight w:val="290"/>
        </w:trPr>
        <w:tc>
          <w:tcPr>
            <w:tcW w:w="3726" w:type="pct"/>
            <w:tcBorders>
              <w:top w:val="nil"/>
              <w:bottom w:val="single" w:sz="4" w:space="0" w:color="auto"/>
            </w:tcBorders>
          </w:tcPr>
          <w:p w14:paraId="1820AE5B" w14:textId="643333EB" w:rsidR="004970B6" w:rsidRPr="00AC04B2" w:rsidRDefault="004970B6" w:rsidP="00A207F8">
            <w:pPr>
              <w:pStyle w:val="TableBodySmall"/>
            </w:pPr>
            <w:r w:rsidRPr="00AC04B2">
              <w:t>Continue to work with jurisdictions to implement the Australian Teaching and Training Classification.</w:t>
            </w:r>
          </w:p>
        </w:tc>
        <w:tc>
          <w:tcPr>
            <w:tcW w:w="1274" w:type="pct"/>
            <w:tcBorders>
              <w:top w:val="nil"/>
              <w:bottom w:val="single" w:sz="4" w:space="0" w:color="auto"/>
            </w:tcBorders>
          </w:tcPr>
          <w:p w14:paraId="38CD9ED1" w14:textId="256C4FF6" w:rsidR="004970B6" w:rsidRPr="00AC04B2" w:rsidRDefault="004970B6" w:rsidP="00A207F8">
            <w:pPr>
              <w:pStyle w:val="TableBodySmall"/>
            </w:pPr>
            <w:r w:rsidRPr="00AC04B2">
              <w:t>Ongoing</w:t>
            </w:r>
          </w:p>
        </w:tc>
      </w:tr>
    </w:tbl>
    <w:p w14:paraId="3FE13F5E" w14:textId="77777777" w:rsidR="000362C5" w:rsidRDefault="000362C5" w:rsidP="00F00D91">
      <w:pPr>
        <w:pStyle w:val="Body"/>
      </w:pPr>
    </w:p>
    <w:p w14:paraId="4273E128" w14:textId="6592E6A0" w:rsidR="001D1734" w:rsidRPr="000362C5" w:rsidRDefault="004970B6" w:rsidP="00F00D91">
      <w:pPr>
        <w:pStyle w:val="Body"/>
        <w:rPr>
          <w:b/>
          <w:bCs/>
        </w:rPr>
      </w:pPr>
      <w:r w:rsidRPr="000362C5">
        <w:rPr>
          <w:b/>
          <w:bCs/>
        </w:rPr>
        <w:t xml:space="preserve">The </w:t>
      </w:r>
      <w:r w:rsidR="00B20E4E">
        <w:rPr>
          <w:b/>
          <w:bCs/>
        </w:rPr>
        <w:t>a</w:t>
      </w:r>
      <w:r w:rsidRPr="000362C5">
        <w:rPr>
          <w:b/>
          <w:bCs/>
        </w:rPr>
        <w:t>ddendum requires IH</w:t>
      </w:r>
      <w:r w:rsidR="001A529D" w:rsidRPr="000362C5">
        <w:rPr>
          <w:b/>
          <w:bCs/>
        </w:rPr>
        <w:t>AC</w:t>
      </w:r>
      <w:r w:rsidRPr="000362C5">
        <w:rPr>
          <w:b/>
          <w:bCs/>
        </w:rPr>
        <w:t xml:space="preserve">PA to provide advice on the feasibility of transitioning funding for teaching, training and research </w:t>
      </w:r>
      <w:r w:rsidR="00EB3444" w:rsidRPr="000362C5">
        <w:rPr>
          <w:b/>
          <w:bCs/>
        </w:rPr>
        <w:t xml:space="preserve">from block funding </w:t>
      </w:r>
      <w:r w:rsidRPr="000362C5">
        <w:rPr>
          <w:b/>
          <w:bCs/>
        </w:rPr>
        <w:t>to ABF. The Australian Teaching and Training Classification (ATTC) Version 1.0 was released</w:t>
      </w:r>
      <w:r w:rsidR="001B09DD" w:rsidRPr="000362C5">
        <w:rPr>
          <w:b/>
          <w:bCs/>
        </w:rPr>
        <w:t xml:space="preserve"> in </w:t>
      </w:r>
      <w:r w:rsidRPr="000362C5">
        <w:rPr>
          <w:b/>
          <w:bCs/>
        </w:rPr>
        <w:t>July 2018.</w:t>
      </w:r>
    </w:p>
    <w:p w14:paraId="2F3BF2DD" w14:textId="58E38877" w:rsidR="004970B6" w:rsidRPr="00AC04B2" w:rsidRDefault="004970B6" w:rsidP="00F00D91">
      <w:pPr>
        <w:pStyle w:val="Body"/>
      </w:pPr>
      <w:r w:rsidRPr="00AC04B2">
        <w:t>IH</w:t>
      </w:r>
      <w:r w:rsidR="001A529D" w:rsidRPr="00AC04B2">
        <w:t>AC</w:t>
      </w:r>
      <w:r w:rsidRPr="00AC04B2">
        <w:t xml:space="preserve">PA has developed the ATTC as a national classification for teaching and training activities </w:t>
      </w:r>
      <w:r w:rsidR="00D50265">
        <w:t>that</w:t>
      </w:r>
      <w:r w:rsidRPr="00AC04B2">
        <w:t xml:space="preserve"> occur in public hospitals. The ATTC aims to provide a nationally consistent approach to how teaching and training activities are classified, counted and costed.</w:t>
      </w:r>
    </w:p>
    <w:p w14:paraId="29E0C8E0" w14:textId="418C9E6A" w:rsidR="004970B6" w:rsidRPr="00AC04B2" w:rsidRDefault="004970B6" w:rsidP="00F00D91">
      <w:pPr>
        <w:pStyle w:val="Body"/>
      </w:pPr>
      <w:r w:rsidRPr="00AC04B2">
        <w:t xml:space="preserve">The ATTC will improve reporting of hospital-based teaching and training </w:t>
      </w:r>
      <w:r w:rsidR="00557DCF" w:rsidRPr="00AC04B2">
        <w:t xml:space="preserve">activities </w:t>
      </w:r>
      <w:r w:rsidRPr="00AC04B2">
        <w:t xml:space="preserve">and in the future improve the transparency of funding. </w:t>
      </w:r>
      <w:r w:rsidR="00B20E4E">
        <w:t>State and territory governments</w:t>
      </w:r>
      <w:r w:rsidR="00B20E4E" w:rsidRPr="00AC04B2">
        <w:t xml:space="preserve"> </w:t>
      </w:r>
      <w:r w:rsidRPr="00AC04B2">
        <w:t>broadly support ATTC but note there are challenges related to its implementation, such as the availability of activity and cost data.</w:t>
      </w:r>
    </w:p>
    <w:p w14:paraId="2F8702E2" w14:textId="4801012F" w:rsidR="004970B6" w:rsidRPr="00AC04B2" w:rsidRDefault="004970B6" w:rsidP="00F00D91">
      <w:pPr>
        <w:pStyle w:val="Body"/>
      </w:pPr>
      <w:r w:rsidRPr="00AC04B2">
        <w:t>In 202</w:t>
      </w:r>
      <w:r w:rsidR="006977FE">
        <w:t>4</w:t>
      </w:r>
      <w:r w:rsidRPr="00AC04B2">
        <w:t>–2</w:t>
      </w:r>
      <w:r w:rsidR="006977FE">
        <w:t>5</w:t>
      </w:r>
      <w:r w:rsidRPr="00AC04B2">
        <w:t>, IH</w:t>
      </w:r>
      <w:r w:rsidR="001A529D" w:rsidRPr="00AC04B2">
        <w:t>AC</w:t>
      </w:r>
      <w:r w:rsidRPr="00AC04B2">
        <w:t xml:space="preserve">PA will </w:t>
      </w:r>
      <w:r w:rsidR="006977FE">
        <w:t xml:space="preserve">continue to </w:t>
      </w:r>
      <w:r w:rsidRPr="00AC04B2">
        <w:t xml:space="preserve">work with </w:t>
      </w:r>
      <w:r w:rsidR="001B09DD" w:rsidRPr="00AC04B2">
        <w:t>jurisdictions</w:t>
      </w:r>
      <w:r w:rsidRPr="00AC04B2">
        <w:t xml:space="preserve"> to increase awareness of the ATTC and improve the reporting of activity and cost data to support implementation. </w:t>
      </w:r>
    </w:p>
    <w:p w14:paraId="21DF6F5F" w14:textId="79625D46" w:rsidR="00976ACF" w:rsidRPr="00AC04B2" w:rsidRDefault="004970B6" w:rsidP="00F00D91">
      <w:pPr>
        <w:pStyle w:val="Body"/>
      </w:pPr>
      <w:r w:rsidRPr="00AC04B2">
        <w:t xml:space="preserve">Research is not incorporated into the ATTC and </w:t>
      </w:r>
      <w:r w:rsidR="005A6897">
        <w:t xml:space="preserve">IHACPA is not proposing any </w:t>
      </w:r>
      <w:r w:rsidRPr="00AC04B2">
        <w:t xml:space="preserve">further work </w:t>
      </w:r>
      <w:r w:rsidR="005A6897">
        <w:t xml:space="preserve">to develop </w:t>
      </w:r>
      <w:r w:rsidRPr="00AC04B2">
        <w:t>a research classification.</w:t>
      </w:r>
    </w:p>
    <w:p w14:paraId="4B07126F" w14:textId="17D625C1" w:rsidR="003A0345" w:rsidRPr="00AC04B2" w:rsidRDefault="004970B6" w:rsidP="00E641EF">
      <w:pPr>
        <w:pStyle w:val="H4"/>
        <w:keepNext/>
      </w:pPr>
      <w:bookmarkStart w:id="87" w:name="_Hlk161394076"/>
      <w:r w:rsidRPr="00AC04B2">
        <w:t xml:space="preserve">Sales of the </w:t>
      </w:r>
      <w:r w:rsidR="00557DCF" w:rsidRPr="00AC04B2">
        <w:t>admitted acute care</w:t>
      </w:r>
      <w:r w:rsidRPr="00AC04B2">
        <w:t xml:space="preserve"> classification system</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EF34BA" w:rsidRPr="00AC04B2" w14:paraId="2187D341" w14:textId="77777777" w:rsidTr="00B8187B">
        <w:tc>
          <w:tcPr>
            <w:tcW w:w="3726" w:type="pct"/>
            <w:tcBorders>
              <w:top w:val="nil"/>
              <w:bottom w:val="nil"/>
            </w:tcBorders>
            <w:shd w:val="clear" w:color="auto" w:fill="0080C4"/>
            <w:vAlign w:val="center"/>
          </w:tcPr>
          <w:p w14:paraId="695AFFB8" w14:textId="56E25276" w:rsidR="00EF34BA" w:rsidRPr="00AC04B2" w:rsidRDefault="00FF0E74" w:rsidP="00E641EF">
            <w:pPr>
              <w:pStyle w:val="TableHeading"/>
              <w:keepNext/>
            </w:pPr>
            <w:r w:rsidRPr="00AC04B2">
              <w:t>Deliverable</w:t>
            </w:r>
          </w:p>
        </w:tc>
        <w:tc>
          <w:tcPr>
            <w:tcW w:w="1274" w:type="pct"/>
            <w:tcBorders>
              <w:top w:val="nil"/>
              <w:bottom w:val="nil"/>
            </w:tcBorders>
            <w:shd w:val="clear" w:color="auto" w:fill="0080C4"/>
            <w:vAlign w:val="center"/>
          </w:tcPr>
          <w:p w14:paraId="6311160D" w14:textId="7C189F7D" w:rsidR="00EF34BA" w:rsidRPr="00AC04B2" w:rsidRDefault="00FF0E74" w:rsidP="00E641EF">
            <w:pPr>
              <w:pStyle w:val="TableHeading"/>
              <w:keepNext/>
            </w:pPr>
            <w:r w:rsidRPr="00AC04B2">
              <w:t>Timeframe</w:t>
            </w:r>
          </w:p>
        </w:tc>
      </w:tr>
      <w:tr w:rsidR="00EF34BA" w:rsidRPr="00AC04B2" w14:paraId="47590802" w14:textId="77777777" w:rsidTr="007C7B4A">
        <w:trPr>
          <w:trHeight w:val="290"/>
        </w:trPr>
        <w:tc>
          <w:tcPr>
            <w:tcW w:w="3726" w:type="pct"/>
            <w:tcBorders>
              <w:top w:val="nil"/>
              <w:bottom w:val="single" w:sz="4" w:space="0" w:color="auto"/>
            </w:tcBorders>
          </w:tcPr>
          <w:p w14:paraId="72C038FB" w14:textId="5407905F" w:rsidR="00EF34BA" w:rsidRPr="00AC04B2" w:rsidRDefault="00E2490E" w:rsidP="00E641EF">
            <w:pPr>
              <w:pStyle w:val="TableBodySmall"/>
              <w:keepNext/>
            </w:pPr>
            <w:r w:rsidRPr="00AC04B2">
              <w:t xml:space="preserve">Manage </w:t>
            </w:r>
            <w:r w:rsidR="004970B6" w:rsidRPr="00AC04B2">
              <w:t xml:space="preserve">the international sales of the </w:t>
            </w:r>
            <w:r w:rsidR="00BA1FAA">
              <w:t>International</w:t>
            </w:r>
            <w:r w:rsidR="00290DA0">
              <w:t xml:space="preserve"> </w:t>
            </w:r>
            <w:r w:rsidR="00BA1FAA">
              <w:t>Statistical</w:t>
            </w:r>
            <w:r w:rsidR="00290DA0">
              <w:t xml:space="preserve"> Classification of Diseases and Related Health Problems, Tenth Revision, Australian Modification, Australian Classification of Health Interventions, Australian </w:t>
            </w:r>
            <w:r w:rsidR="00BA1FAA">
              <w:t>Coding</w:t>
            </w:r>
            <w:r w:rsidR="00290DA0">
              <w:t xml:space="preserve"> Standards (ICD-10-AM/ACHI/ACS) and the Australian Refined Diagnosis Related Groups (AR-DRG) Classification Systems</w:t>
            </w:r>
            <w:r w:rsidR="004970B6" w:rsidRPr="00AC04B2">
              <w:t>.</w:t>
            </w:r>
          </w:p>
        </w:tc>
        <w:tc>
          <w:tcPr>
            <w:tcW w:w="1274" w:type="pct"/>
            <w:tcBorders>
              <w:top w:val="nil"/>
              <w:bottom w:val="single" w:sz="4" w:space="0" w:color="auto"/>
            </w:tcBorders>
          </w:tcPr>
          <w:p w14:paraId="5356E341" w14:textId="77777777" w:rsidR="00EF34BA" w:rsidRPr="00AC04B2" w:rsidRDefault="00EF34BA" w:rsidP="00E641EF">
            <w:pPr>
              <w:pStyle w:val="TableBodySmall"/>
              <w:keepNext/>
            </w:pPr>
            <w:r w:rsidRPr="00AC04B2">
              <w:t>Ongoing</w:t>
            </w:r>
          </w:p>
        </w:tc>
      </w:tr>
      <w:tr w:rsidR="007C7B4A" w:rsidRPr="00AC04B2" w14:paraId="11D77C01" w14:textId="77777777" w:rsidTr="007C7B4A">
        <w:trPr>
          <w:trHeight w:val="290"/>
        </w:trPr>
        <w:tc>
          <w:tcPr>
            <w:tcW w:w="3726" w:type="pct"/>
            <w:tcBorders>
              <w:top w:val="single" w:sz="4" w:space="0" w:color="auto"/>
              <w:bottom w:val="single" w:sz="4" w:space="0" w:color="auto"/>
            </w:tcBorders>
          </w:tcPr>
          <w:p w14:paraId="5D7C9CAF" w14:textId="58CB0DD2" w:rsidR="007C7B4A" w:rsidRPr="00AC04B2" w:rsidRDefault="007C7B4A" w:rsidP="00E641EF">
            <w:pPr>
              <w:pStyle w:val="TableBodySmall"/>
              <w:keepNext/>
            </w:pPr>
            <w:r w:rsidRPr="007C7B4A">
              <w:t xml:space="preserve">Certify </w:t>
            </w:r>
            <w:r w:rsidR="00290DA0">
              <w:t>AR-DRG groupers of licensed software vendors</w:t>
            </w:r>
            <w:r w:rsidRPr="007C7B4A">
              <w:t>.</w:t>
            </w:r>
          </w:p>
        </w:tc>
        <w:tc>
          <w:tcPr>
            <w:tcW w:w="1274" w:type="pct"/>
            <w:tcBorders>
              <w:top w:val="single" w:sz="4" w:space="0" w:color="auto"/>
              <w:bottom w:val="single" w:sz="4" w:space="0" w:color="auto"/>
            </w:tcBorders>
          </w:tcPr>
          <w:p w14:paraId="1093D177" w14:textId="2082A578" w:rsidR="007C7B4A" w:rsidRPr="00AC04B2" w:rsidRDefault="007C7B4A" w:rsidP="00E641EF">
            <w:pPr>
              <w:pStyle w:val="TableBodySmall"/>
              <w:keepNext/>
            </w:pPr>
            <w:r>
              <w:t>Ongoing</w:t>
            </w:r>
          </w:p>
        </w:tc>
      </w:tr>
    </w:tbl>
    <w:p w14:paraId="44E1DAD9" w14:textId="77777777" w:rsidR="00DF5B90" w:rsidRDefault="00DF5B90" w:rsidP="00F00D91">
      <w:pPr>
        <w:pStyle w:val="Body"/>
      </w:pPr>
    </w:p>
    <w:p w14:paraId="1B50F75C" w14:textId="4DA12F8E" w:rsidR="003A0345" w:rsidRPr="00AC04B2" w:rsidRDefault="004970B6" w:rsidP="00F00D91">
      <w:pPr>
        <w:pStyle w:val="Body"/>
      </w:pPr>
      <w:r w:rsidRPr="00AC04B2">
        <w:t>IH</w:t>
      </w:r>
      <w:r w:rsidR="001A529D" w:rsidRPr="00AC04B2">
        <w:t>AC</w:t>
      </w:r>
      <w:r w:rsidRPr="00AC04B2">
        <w:t>PA assumed responsibility for managing the development</w:t>
      </w:r>
      <w:r w:rsidR="005A29C3">
        <w:t xml:space="preserve">, </w:t>
      </w:r>
      <w:r w:rsidRPr="00AC04B2">
        <w:t>international sales of the ICD-10-AM/ACHI/ACS and AR</w:t>
      </w:r>
      <w:r w:rsidR="00731864" w:rsidRPr="00AC04B2">
        <w:noBreakHyphen/>
      </w:r>
      <w:r w:rsidRPr="00AC04B2">
        <w:t xml:space="preserve">DRG classification system as the custodian of the </w:t>
      </w:r>
      <w:r w:rsidR="0035467D">
        <w:t>Australian Government</w:t>
      </w:r>
      <w:r w:rsidR="0035467D" w:rsidRPr="00AC04B2">
        <w:t xml:space="preserve">’s </w:t>
      </w:r>
      <w:r w:rsidRPr="00AC04B2">
        <w:t>Intellectual Property in ICD-10-AM/ACHI/ACS and AR-DRGs in 2012–13.</w:t>
      </w:r>
    </w:p>
    <w:p w14:paraId="2D709B86" w14:textId="387530F0" w:rsidR="00BE4EDA" w:rsidRPr="00AC04B2" w:rsidRDefault="004970B6" w:rsidP="00F00D91">
      <w:pPr>
        <w:pStyle w:val="Body"/>
      </w:pPr>
      <w:r w:rsidRPr="00AC04B2">
        <w:t>In 202</w:t>
      </w:r>
      <w:r w:rsidR="00765500">
        <w:t>4</w:t>
      </w:r>
      <w:r w:rsidRPr="00AC04B2">
        <w:t>–2</w:t>
      </w:r>
      <w:r w:rsidR="00765500">
        <w:t>5</w:t>
      </w:r>
      <w:r w:rsidRPr="00AC04B2">
        <w:t>, IH</w:t>
      </w:r>
      <w:r w:rsidR="00216DE6" w:rsidRPr="00AC04B2">
        <w:t>AC</w:t>
      </w:r>
      <w:r w:rsidRPr="00AC04B2">
        <w:t xml:space="preserve">PA will </w:t>
      </w:r>
      <w:r w:rsidR="0041157C" w:rsidRPr="00AC04B2">
        <w:t xml:space="preserve">update its agreement documents to ensure currency and </w:t>
      </w:r>
      <w:r w:rsidRPr="00AC04B2">
        <w:t xml:space="preserve">continue to manage the international sales of </w:t>
      </w:r>
      <w:r w:rsidR="00557DCF" w:rsidRPr="00AC04B2">
        <w:t xml:space="preserve">the </w:t>
      </w:r>
      <w:r w:rsidRPr="00AC04B2">
        <w:t>ICD-10-AM/ACHI/ACS and AR-DRG classification system.</w:t>
      </w:r>
    </w:p>
    <w:p w14:paraId="188F244B" w14:textId="7CF2D15D" w:rsidR="00E45BFA" w:rsidRPr="00AC04B2" w:rsidRDefault="009D21DD" w:rsidP="000362C5">
      <w:pPr>
        <w:pStyle w:val="H4"/>
      </w:pPr>
      <w:bookmarkStart w:id="88" w:name="_Toc55045634"/>
      <w:bookmarkStart w:id="89" w:name="_Toc55054005"/>
      <w:bookmarkStart w:id="90" w:name="_Toc55237225"/>
      <w:bookmarkStart w:id="91" w:name="_Toc55238312"/>
      <w:bookmarkStart w:id="92" w:name="_Toc55974130"/>
      <w:bookmarkEnd w:id="87"/>
      <w:r w:rsidRPr="00AC04B2">
        <w:t>Assessment of new health technologies</w:t>
      </w:r>
      <w:bookmarkEnd w:id="88"/>
      <w:bookmarkEnd w:id="89"/>
      <w:bookmarkEnd w:id="90"/>
      <w:bookmarkEnd w:id="91"/>
      <w:bookmarkEnd w:id="92"/>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E45BFA" w:rsidRPr="00AC04B2" w14:paraId="2354926F" w14:textId="77777777" w:rsidTr="00B8187B">
        <w:tc>
          <w:tcPr>
            <w:tcW w:w="3726" w:type="pct"/>
            <w:tcBorders>
              <w:top w:val="nil"/>
              <w:bottom w:val="nil"/>
            </w:tcBorders>
            <w:shd w:val="clear" w:color="auto" w:fill="0080C4"/>
            <w:vAlign w:val="center"/>
          </w:tcPr>
          <w:p w14:paraId="46701189" w14:textId="301943B2" w:rsidR="00E45BFA" w:rsidRPr="00AC04B2" w:rsidRDefault="00FF0E74" w:rsidP="00A207F8">
            <w:pPr>
              <w:pStyle w:val="TableHeading"/>
            </w:pPr>
            <w:r w:rsidRPr="00AC04B2">
              <w:t>Deliverable</w:t>
            </w:r>
          </w:p>
        </w:tc>
        <w:tc>
          <w:tcPr>
            <w:tcW w:w="1274" w:type="pct"/>
            <w:tcBorders>
              <w:top w:val="nil"/>
              <w:bottom w:val="nil"/>
            </w:tcBorders>
            <w:shd w:val="clear" w:color="auto" w:fill="0080C4"/>
            <w:vAlign w:val="center"/>
          </w:tcPr>
          <w:p w14:paraId="545D88C3" w14:textId="42545041" w:rsidR="00E45BFA" w:rsidRPr="00AC04B2" w:rsidRDefault="00FF0E74" w:rsidP="00A207F8">
            <w:pPr>
              <w:pStyle w:val="TableHeading"/>
            </w:pPr>
            <w:r w:rsidRPr="00AC04B2">
              <w:t>Timeframe</w:t>
            </w:r>
          </w:p>
        </w:tc>
      </w:tr>
      <w:tr w:rsidR="004970B6" w:rsidRPr="00AC04B2" w14:paraId="2FB21BE0" w14:textId="77777777" w:rsidTr="00976ACF">
        <w:trPr>
          <w:trHeight w:val="290"/>
        </w:trPr>
        <w:tc>
          <w:tcPr>
            <w:tcW w:w="3726" w:type="pct"/>
            <w:tcBorders>
              <w:top w:val="nil"/>
              <w:bottom w:val="single" w:sz="4" w:space="0" w:color="auto"/>
            </w:tcBorders>
            <w:shd w:val="clear" w:color="auto" w:fill="auto"/>
          </w:tcPr>
          <w:p w14:paraId="3F0CC6E7" w14:textId="33E943DA" w:rsidR="004970B6" w:rsidRPr="00AC04B2" w:rsidRDefault="009D21DD" w:rsidP="00A207F8">
            <w:pPr>
              <w:pStyle w:val="TableBodySmall"/>
            </w:pPr>
            <w:r w:rsidRPr="00AC04B2">
              <w:t xml:space="preserve">Assess submissions </w:t>
            </w:r>
            <w:r w:rsidR="00F2357B" w:rsidRPr="00AC04B2">
              <w:t>for</w:t>
            </w:r>
            <w:r w:rsidRPr="00AC04B2">
              <w:t xml:space="preserve"> new health technologies </w:t>
            </w:r>
            <w:r w:rsidR="00F2357B" w:rsidRPr="00AC04B2">
              <w:t xml:space="preserve">in order </w:t>
            </w:r>
            <w:r w:rsidRPr="00AC04B2">
              <w:t>to ensure they are adequately accounted for in the pricing of public hospital services</w:t>
            </w:r>
            <w:r w:rsidR="004970B6" w:rsidRPr="00AC04B2">
              <w:t>.</w:t>
            </w:r>
          </w:p>
        </w:tc>
        <w:tc>
          <w:tcPr>
            <w:tcW w:w="1274" w:type="pct"/>
            <w:tcBorders>
              <w:top w:val="nil"/>
              <w:bottom w:val="single" w:sz="4" w:space="0" w:color="auto"/>
            </w:tcBorders>
            <w:shd w:val="clear" w:color="auto" w:fill="auto"/>
          </w:tcPr>
          <w:p w14:paraId="683761DC" w14:textId="16DCE39B" w:rsidR="004970B6" w:rsidRPr="00AC04B2" w:rsidRDefault="00731864" w:rsidP="00A207F8">
            <w:pPr>
              <w:pStyle w:val="TableBodySmall"/>
            </w:pPr>
            <w:r w:rsidRPr="00AC04B2">
              <w:t>Ongoing</w:t>
            </w:r>
          </w:p>
        </w:tc>
      </w:tr>
    </w:tbl>
    <w:p w14:paraId="2189CE81" w14:textId="77777777" w:rsidR="000362C5" w:rsidRDefault="000362C5" w:rsidP="00F00D91">
      <w:pPr>
        <w:pStyle w:val="Body"/>
      </w:pPr>
    </w:p>
    <w:p w14:paraId="3FE8B106" w14:textId="2523C258" w:rsidR="004970B6" w:rsidRPr="00AC04B2" w:rsidRDefault="009D21DD" w:rsidP="00F00D91">
      <w:pPr>
        <w:pStyle w:val="Body"/>
      </w:pPr>
      <w:r w:rsidRPr="00AC04B2">
        <w:t xml:space="preserve">Under the </w:t>
      </w:r>
      <w:hyperlink r:id="rId33" w:history="1">
        <w:r w:rsidRPr="00085970">
          <w:rPr>
            <w:rStyle w:val="Hyperlink"/>
            <w:i/>
            <w:iCs/>
            <w:color w:val="008F55" w:themeColor="accent4"/>
          </w:rPr>
          <w:t>New Health Technology Policy</w:t>
        </w:r>
      </w:hyperlink>
      <w:r w:rsidRPr="00AC04B2">
        <w:t>, IHACPA accept</w:t>
      </w:r>
      <w:r w:rsidR="002F0437">
        <w:t>s</w:t>
      </w:r>
      <w:r w:rsidRPr="00AC04B2">
        <w:t xml:space="preserve"> submissions from </w:t>
      </w:r>
      <w:r w:rsidR="00B20E4E">
        <w:t>state and territory governments</w:t>
      </w:r>
      <w:r w:rsidRPr="00AC04B2">
        <w:t xml:space="preserve">, advisory bodies and other stakeholders on an ongoing basis to facilitate the timely identification of new health technology and reduce duplication of processes. The </w:t>
      </w:r>
      <w:r w:rsidRPr="00AC04B2">
        <w:rPr>
          <w:bCs/>
          <w:i/>
          <w:iCs/>
        </w:rPr>
        <w:t>New Health Technology Policy</w:t>
      </w:r>
      <w:r w:rsidRPr="00AC04B2">
        <w:rPr>
          <w:bCs/>
        </w:rPr>
        <w:t xml:space="preserve"> also includes </w:t>
      </w:r>
      <w:r w:rsidR="00F2357B" w:rsidRPr="00AC04B2">
        <w:rPr>
          <w:bCs/>
        </w:rPr>
        <w:t xml:space="preserve">the </w:t>
      </w:r>
      <w:r w:rsidRPr="00AC04B2">
        <w:t xml:space="preserve">process for the activation of placeholder codes, which have been established as part of the update to ACHI Twelfth Edition, </w:t>
      </w:r>
      <w:r w:rsidR="00F2357B" w:rsidRPr="00AC04B2">
        <w:t>to</w:t>
      </w:r>
      <w:r w:rsidRPr="00AC04B2">
        <w:t xml:space="preserve"> enable the temporary codification of new health technology while awaiting classification development</w:t>
      </w:r>
      <w:r w:rsidR="004970B6" w:rsidRPr="00AC04B2">
        <w:t>.</w:t>
      </w:r>
    </w:p>
    <w:p w14:paraId="154AC682" w14:textId="77777777" w:rsidR="00D450CF" w:rsidRDefault="00D450CF">
      <w:pPr>
        <w:rPr>
          <w:rFonts w:ascii="Arial" w:hAnsi="Arial" w:cs="Arial"/>
          <w:sz w:val="20"/>
          <w:szCs w:val="20"/>
        </w:rPr>
      </w:pPr>
      <w:r>
        <w:br w:type="page"/>
      </w:r>
    </w:p>
    <w:p w14:paraId="5CDC1BDA" w14:textId="29C7BCB3" w:rsidR="004970B6" w:rsidRPr="00AC04B2" w:rsidRDefault="004970B6" w:rsidP="00F00D91">
      <w:pPr>
        <w:pStyle w:val="Body"/>
      </w:pPr>
      <w:r w:rsidRPr="00AC04B2">
        <w:lastRenderedPageBreak/>
        <w:t xml:space="preserve">Clauses C11 and C12 of the </w:t>
      </w:r>
      <w:r w:rsidR="00B20E4E">
        <w:t>a</w:t>
      </w:r>
      <w:r w:rsidRPr="00AC04B2">
        <w:t xml:space="preserve">ddendum contain specific arrangements for </w:t>
      </w:r>
      <w:r w:rsidR="00DD4937" w:rsidRPr="00AC04B2">
        <w:t xml:space="preserve">the </w:t>
      </w:r>
      <w:r w:rsidRPr="00AC04B2">
        <w:t>Medical Services Advisory Committee (MSAC) to review new high cost, highly specialised therapies recommended for delivery in public hospitals. IH</w:t>
      </w:r>
      <w:r w:rsidR="00216DE6" w:rsidRPr="00AC04B2">
        <w:t>AC</w:t>
      </w:r>
      <w:r w:rsidRPr="00AC04B2">
        <w:t xml:space="preserve">PA will support the inclusion of these technologies </w:t>
      </w:r>
      <w:r w:rsidR="009D3B6E" w:rsidRPr="00AC04B2">
        <w:t xml:space="preserve">in the </w:t>
      </w:r>
      <w:r w:rsidR="009D21DD" w:rsidRPr="00AC04B2">
        <w:t>NEC</w:t>
      </w:r>
      <w:r w:rsidR="009D3B6E" w:rsidRPr="00AC04B2">
        <w:t xml:space="preserve"> </w:t>
      </w:r>
      <w:r w:rsidRPr="00AC04B2">
        <w:t xml:space="preserve">based on the advice from MSAC and the </w:t>
      </w:r>
      <w:r w:rsidR="00B84499">
        <w:t>Australian Government</w:t>
      </w:r>
      <w:r w:rsidR="00B84499" w:rsidRPr="00AC04B2" w:rsidDel="00B84499">
        <w:t xml:space="preserve"> </w:t>
      </w:r>
      <w:r w:rsidR="00A07037" w:rsidRPr="00AC04B2">
        <w:t>Department of Health and Aged Care</w:t>
      </w:r>
      <w:r w:rsidRPr="00AC04B2">
        <w:t xml:space="preserve">. </w:t>
      </w:r>
      <w:r w:rsidR="009D21DD" w:rsidRPr="00AC04B2">
        <w:t xml:space="preserve">The </w:t>
      </w:r>
      <w:r w:rsidR="009D21DD" w:rsidRPr="00AC04B2">
        <w:rPr>
          <w:i/>
          <w:iCs/>
        </w:rPr>
        <w:t>New Health Technology Policy</w:t>
      </w:r>
      <w:r w:rsidR="009D21DD" w:rsidRPr="00AC04B2">
        <w:t xml:space="preserve"> outlines the eligibility criteria, scope and reporting requirements for high cost, highly specialised therapies</w:t>
      </w:r>
      <w:r w:rsidRPr="00AC04B2">
        <w:t>.</w:t>
      </w:r>
    </w:p>
    <w:p w14:paraId="01818174" w14:textId="6E9ED918" w:rsidR="00431C95" w:rsidRPr="00AC04B2" w:rsidRDefault="004970B6" w:rsidP="00F00D91">
      <w:pPr>
        <w:pStyle w:val="Body"/>
      </w:pPr>
      <w:r w:rsidRPr="00AC04B2">
        <w:t xml:space="preserve">In </w:t>
      </w:r>
      <w:r w:rsidR="009D21DD" w:rsidRPr="00AC04B2">
        <w:t>202</w:t>
      </w:r>
      <w:r w:rsidR="000E0872">
        <w:t>4</w:t>
      </w:r>
      <w:r w:rsidR="009D21DD" w:rsidRPr="00AC04B2">
        <w:t>–2</w:t>
      </w:r>
      <w:r w:rsidR="000E0872">
        <w:t>5</w:t>
      </w:r>
      <w:r w:rsidRPr="00AC04B2">
        <w:t>, IH</w:t>
      </w:r>
      <w:r w:rsidR="00216DE6" w:rsidRPr="00AC04B2">
        <w:t>AC</w:t>
      </w:r>
      <w:r w:rsidRPr="00AC04B2">
        <w:t>PA will continue to monitor and review the impact of new health technologies on the existing classifications based on reports from</w:t>
      </w:r>
      <w:r w:rsidR="00C76634" w:rsidRPr="00AC04B2">
        <w:t xml:space="preserve"> </w:t>
      </w:r>
      <w:r w:rsidR="00B20E4E">
        <w:t>state and territory governments</w:t>
      </w:r>
      <w:r w:rsidR="00C76634" w:rsidRPr="00AC04B2">
        <w:t>, advisory bodies and other stakeholders and, where required, refer new health technologies for classification development</w:t>
      </w:r>
      <w:r w:rsidRPr="00AC04B2">
        <w:t>.</w:t>
      </w:r>
    </w:p>
    <w:p w14:paraId="584E13F2" w14:textId="77777777" w:rsidR="005A593B" w:rsidRPr="00AC04B2" w:rsidRDefault="005A593B" w:rsidP="000362C5">
      <w:pPr>
        <w:pStyle w:val="H4"/>
      </w:pPr>
      <w:r w:rsidRPr="00AC04B2">
        <w:t>Residential aged care</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5A593B" w:rsidRPr="00AC04B2" w14:paraId="656C4318" w14:textId="77777777" w:rsidTr="00122328">
        <w:tc>
          <w:tcPr>
            <w:tcW w:w="3726" w:type="pct"/>
            <w:tcBorders>
              <w:top w:val="nil"/>
              <w:bottom w:val="nil"/>
            </w:tcBorders>
            <w:shd w:val="clear" w:color="auto" w:fill="0080C4"/>
            <w:vAlign w:val="center"/>
          </w:tcPr>
          <w:p w14:paraId="466000DB" w14:textId="77777777" w:rsidR="005A593B" w:rsidRPr="00AC04B2" w:rsidRDefault="005A593B" w:rsidP="00A207F8">
            <w:pPr>
              <w:pStyle w:val="TableHeading"/>
            </w:pPr>
            <w:r w:rsidRPr="00AC04B2">
              <w:t>Deliverable</w:t>
            </w:r>
          </w:p>
        </w:tc>
        <w:tc>
          <w:tcPr>
            <w:tcW w:w="1274" w:type="pct"/>
            <w:tcBorders>
              <w:top w:val="nil"/>
              <w:bottom w:val="nil"/>
            </w:tcBorders>
            <w:shd w:val="clear" w:color="auto" w:fill="0080C4"/>
            <w:vAlign w:val="center"/>
          </w:tcPr>
          <w:p w14:paraId="6C0DB882" w14:textId="77777777" w:rsidR="005A593B" w:rsidRPr="00AC04B2" w:rsidRDefault="005A593B" w:rsidP="00A207F8">
            <w:pPr>
              <w:pStyle w:val="TableHeading"/>
            </w:pPr>
            <w:r w:rsidRPr="00AC04B2">
              <w:t>Timeframe</w:t>
            </w:r>
          </w:p>
        </w:tc>
      </w:tr>
      <w:tr w:rsidR="005A593B" w:rsidRPr="00AC04B2" w14:paraId="7D6CEA6F" w14:textId="77777777" w:rsidTr="00122328">
        <w:trPr>
          <w:trHeight w:val="290"/>
        </w:trPr>
        <w:tc>
          <w:tcPr>
            <w:tcW w:w="3726" w:type="pct"/>
            <w:tcBorders>
              <w:top w:val="nil"/>
              <w:bottom w:val="single" w:sz="4" w:space="0" w:color="auto"/>
            </w:tcBorders>
          </w:tcPr>
          <w:p w14:paraId="0556D0E8" w14:textId="1E6B8778" w:rsidR="005A593B" w:rsidRPr="00AC04B2" w:rsidRDefault="000333B4" w:rsidP="00A207F8">
            <w:pPr>
              <w:pStyle w:val="TableBodySmall"/>
            </w:pPr>
            <w:r>
              <w:t xml:space="preserve">Recommend refinements to </w:t>
            </w:r>
            <w:r w:rsidR="005A593B" w:rsidRPr="00AC04B2">
              <w:t>the Australian National Aged Care Classification.</w:t>
            </w:r>
          </w:p>
        </w:tc>
        <w:tc>
          <w:tcPr>
            <w:tcW w:w="1274" w:type="pct"/>
            <w:tcBorders>
              <w:top w:val="nil"/>
              <w:bottom w:val="single" w:sz="4" w:space="0" w:color="auto"/>
            </w:tcBorders>
          </w:tcPr>
          <w:p w14:paraId="6E98F7F2" w14:textId="77777777" w:rsidR="005A593B" w:rsidRPr="00AC04B2" w:rsidRDefault="005A593B" w:rsidP="00A207F8">
            <w:pPr>
              <w:pStyle w:val="TableBodySmall"/>
            </w:pPr>
            <w:r w:rsidRPr="00AC04B2">
              <w:t>Ongoing</w:t>
            </w:r>
          </w:p>
        </w:tc>
      </w:tr>
    </w:tbl>
    <w:p w14:paraId="566A9757" w14:textId="77777777" w:rsidR="005A593B" w:rsidRPr="00AC04B2" w:rsidRDefault="005A593B" w:rsidP="00F00D91">
      <w:pPr>
        <w:pStyle w:val="Body"/>
      </w:pPr>
    </w:p>
    <w:p w14:paraId="523CB78D" w14:textId="0F59A5EC" w:rsidR="005A593B" w:rsidRPr="000362C5" w:rsidRDefault="005A593B" w:rsidP="00F00D91">
      <w:pPr>
        <w:pStyle w:val="Body"/>
        <w:rPr>
          <w:b/>
          <w:bCs/>
        </w:rPr>
      </w:pPr>
      <w:r w:rsidRPr="000362C5">
        <w:rPr>
          <w:b/>
          <w:bCs/>
        </w:rPr>
        <w:t xml:space="preserve">The Australian National Aged Care Classification (AN-ACC) funding model replaced the Aged Care Funding Instrument from 1 October 2022. The AN-ACC model provides </w:t>
      </w:r>
      <w:r w:rsidR="00CE571E">
        <w:rPr>
          <w:b/>
          <w:bCs/>
        </w:rPr>
        <w:t>funding</w:t>
      </w:r>
      <w:r w:rsidR="00CE571E" w:rsidRPr="000362C5">
        <w:rPr>
          <w:b/>
          <w:bCs/>
        </w:rPr>
        <w:t xml:space="preserve"> </w:t>
      </w:r>
      <w:r w:rsidRPr="000362C5">
        <w:rPr>
          <w:b/>
          <w:bCs/>
        </w:rPr>
        <w:t xml:space="preserve">to approved aged care providers </w:t>
      </w:r>
      <w:r w:rsidR="00CE571E" w:rsidRPr="00CE571E">
        <w:rPr>
          <w:b/>
          <w:bCs/>
        </w:rPr>
        <w:t xml:space="preserve">reflective of service location and specialisation </w:t>
      </w:r>
      <w:r w:rsidRPr="000362C5">
        <w:rPr>
          <w:b/>
          <w:bCs/>
        </w:rPr>
        <w:t>and each residents</w:t>
      </w:r>
      <w:r w:rsidRPr="000362C5">
        <w:rPr>
          <w:rFonts w:hint="cs"/>
          <w:b/>
          <w:bCs/>
        </w:rPr>
        <w:t>’</w:t>
      </w:r>
      <w:r w:rsidRPr="000362C5">
        <w:rPr>
          <w:b/>
          <w:bCs/>
        </w:rPr>
        <w:t xml:space="preserve"> care needs through the application of national weighted activity units to the AN</w:t>
      </w:r>
      <w:r w:rsidRPr="000362C5">
        <w:rPr>
          <w:b/>
          <w:bCs/>
        </w:rPr>
        <w:noBreakHyphen/>
        <w:t>ACC price.</w:t>
      </w:r>
    </w:p>
    <w:p w14:paraId="1EEFBB20" w14:textId="3E35D871" w:rsidR="003A0514" w:rsidRPr="00AC04B2" w:rsidRDefault="00817F0F" w:rsidP="000D0126">
      <w:pPr>
        <w:pStyle w:val="H2"/>
        <w:tabs>
          <w:tab w:val="left" w:pos="7938"/>
        </w:tabs>
        <w:rPr>
          <w:color w:val="15272F" w:themeColor="text1"/>
        </w:rPr>
      </w:pPr>
      <w:r w:rsidRPr="00084465">
        <w:rPr>
          <w:rFonts w:ascii="Arial" w:hAnsi="Arial"/>
          <w:color w:val="auto"/>
          <w:sz w:val="20"/>
          <w:szCs w:val="20"/>
        </w:rPr>
        <w:t>As cost and resident data is collected</w:t>
      </w:r>
      <w:r w:rsidR="00B75464" w:rsidRPr="00084465">
        <w:rPr>
          <w:rFonts w:ascii="Arial" w:hAnsi="Arial"/>
          <w:color w:val="auto"/>
          <w:sz w:val="20"/>
          <w:szCs w:val="20"/>
        </w:rPr>
        <w:t xml:space="preserve"> and improved</w:t>
      </w:r>
      <w:r w:rsidRPr="00084465">
        <w:rPr>
          <w:rFonts w:ascii="Arial" w:hAnsi="Arial"/>
          <w:color w:val="auto"/>
          <w:sz w:val="20"/>
          <w:szCs w:val="20"/>
        </w:rPr>
        <w:t>,</w:t>
      </w:r>
      <w:r w:rsidR="00B75464" w:rsidRPr="00084465">
        <w:rPr>
          <w:rFonts w:ascii="Arial" w:hAnsi="Arial"/>
          <w:color w:val="auto"/>
          <w:sz w:val="20"/>
          <w:szCs w:val="20"/>
        </w:rPr>
        <w:t xml:space="preserve"> </w:t>
      </w:r>
      <w:r w:rsidR="005A593B" w:rsidRPr="00084465">
        <w:rPr>
          <w:rFonts w:ascii="Arial" w:hAnsi="Arial"/>
          <w:color w:val="auto"/>
          <w:sz w:val="20"/>
          <w:szCs w:val="20"/>
        </w:rPr>
        <w:t xml:space="preserve">IHACPA will review and </w:t>
      </w:r>
      <w:r w:rsidR="00960386" w:rsidRPr="00084465">
        <w:rPr>
          <w:rFonts w:ascii="Arial" w:hAnsi="Arial"/>
          <w:color w:val="auto"/>
          <w:sz w:val="20"/>
          <w:szCs w:val="20"/>
        </w:rPr>
        <w:t xml:space="preserve">recommend </w:t>
      </w:r>
      <w:r w:rsidR="005A593B" w:rsidRPr="00084465">
        <w:rPr>
          <w:rFonts w:ascii="Arial" w:hAnsi="Arial"/>
          <w:color w:val="auto"/>
          <w:sz w:val="20"/>
          <w:szCs w:val="20"/>
        </w:rPr>
        <w:t>refine</w:t>
      </w:r>
      <w:r w:rsidR="00960386" w:rsidRPr="00084465">
        <w:rPr>
          <w:rFonts w:ascii="Arial" w:hAnsi="Arial"/>
          <w:color w:val="auto"/>
          <w:sz w:val="20"/>
          <w:szCs w:val="20"/>
        </w:rPr>
        <w:t>ments to</w:t>
      </w:r>
      <w:r w:rsidR="005A593B" w:rsidRPr="00084465">
        <w:rPr>
          <w:rFonts w:ascii="Arial" w:hAnsi="Arial"/>
          <w:color w:val="auto"/>
          <w:sz w:val="20"/>
          <w:szCs w:val="20"/>
        </w:rPr>
        <w:t xml:space="preserve"> the </w:t>
      </w:r>
      <w:r w:rsidR="00931213" w:rsidRPr="00084465">
        <w:rPr>
          <w:rFonts w:ascii="Arial" w:hAnsi="Arial"/>
          <w:color w:val="auto"/>
          <w:sz w:val="20"/>
          <w:szCs w:val="20"/>
        </w:rPr>
        <w:br/>
      </w:r>
      <w:r w:rsidR="005A593B" w:rsidRPr="00084465">
        <w:rPr>
          <w:rFonts w:ascii="Arial" w:hAnsi="Arial"/>
          <w:color w:val="auto"/>
          <w:sz w:val="20"/>
          <w:szCs w:val="20"/>
        </w:rPr>
        <w:t>AN-ACC, in consultation with its advisory committees and working groups.</w:t>
      </w:r>
      <w:r w:rsidR="00CB7918" w:rsidRPr="00084465">
        <w:rPr>
          <w:rFonts w:ascii="Arial" w:hAnsi="Arial"/>
          <w:color w:val="auto"/>
          <w:sz w:val="20"/>
          <w:szCs w:val="20"/>
        </w:rPr>
        <w:br w:type="page"/>
      </w:r>
      <w:bookmarkStart w:id="93" w:name="_Toc133416937"/>
      <w:r w:rsidR="003A0514" w:rsidRPr="00AC04B2">
        <w:rPr>
          <w:color w:val="15272F" w:themeColor="text1"/>
        </w:rPr>
        <w:lastRenderedPageBreak/>
        <w:t>Strategic Objective Three:</w:t>
      </w:r>
      <w:r w:rsidR="008843C3" w:rsidRPr="00AC04B2">
        <w:rPr>
          <w:color w:val="15272F" w:themeColor="text1"/>
        </w:rPr>
        <w:t xml:space="preserve"> </w:t>
      </w:r>
      <w:r w:rsidR="003A0514" w:rsidRPr="00AC04B2">
        <w:rPr>
          <w:color w:val="15272F" w:themeColor="text1"/>
        </w:rPr>
        <w:t>Refine and improve hospital</w:t>
      </w:r>
      <w:r w:rsidR="00D909BA" w:rsidRPr="00AC04B2">
        <w:rPr>
          <w:color w:val="15272F" w:themeColor="text1"/>
        </w:rPr>
        <w:t> </w:t>
      </w:r>
      <w:r w:rsidR="005A593B" w:rsidRPr="00AC04B2">
        <w:rPr>
          <w:color w:val="15272F" w:themeColor="text1"/>
        </w:rPr>
        <w:t xml:space="preserve">and aged care </w:t>
      </w:r>
      <w:r w:rsidR="003A0514" w:rsidRPr="00AC04B2">
        <w:rPr>
          <w:color w:val="15272F" w:themeColor="text1"/>
        </w:rPr>
        <w:t>costing</w:t>
      </w:r>
      <w:bookmarkEnd w:id="93"/>
    </w:p>
    <w:p w14:paraId="2692CC1F" w14:textId="02431EB0" w:rsidR="00431C95" w:rsidRPr="000362C5" w:rsidRDefault="000362C5" w:rsidP="007B2569">
      <w:pPr>
        <w:pStyle w:val="H4"/>
        <w:numPr>
          <w:ilvl w:val="0"/>
          <w:numId w:val="9"/>
        </w:numPr>
      </w:pPr>
      <w:bookmarkStart w:id="94" w:name="_Toc55974132"/>
      <w:bookmarkStart w:id="95" w:name="_Toc55054008"/>
      <w:bookmarkStart w:id="96" w:name="_Toc55045636"/>
      <w:bookmarkStart w:id="97" w:name="_Toc55237227"/>
      <w:bookmarkStart w:id="98" w:name="_Toc55238314"/>
      <w:r>
        <w:t xml:space="preserve"> </w:t>
      </w:r>
      <w:r w:rsidR="00431C95" w:rsidRPr="000362C5">
        <w:t>Australian Hospital Patient Costing Standards</w:t>
      </w:r>
      <w:bookmarkEnd w:id="94"/>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431C95" w:rsidRPr="00AC04B2" w14:paraId="58C8636F" w14:textId="77777777" w:rsidTr="00871F16">
        <w:tc>
          <w:tcPr>
            <w:tcW w:w="3726" w:type="pct"/>
            <w:tcBorders>
              <w:top w:val="nil"/>
              <w:bottom w:val="nil"/>
            </w:tcBorders>
            <w:shd w:val="clear" w:color="auto" w:fill="15272F" w:themeFill="text1"/>
            <w:vAlign w:val="center"/>
          </w:tcPr>
          <w:p w14:paraId="68AD89DD" w14:textId="746F7FCC" w:rsidR="00431C95" w:rsidRPr="00AC04B2" w:rsidRDefault="00FF0E74" w:rsidP="00A207F8">
            <w:pPr>
              <w:pStyle w:val="TableHeading"/>
            </w:pPr>
            <w:r w:rsidRPr="00AC04B2">
              <w:t>Deliverable</w:t>
            </w:r>
          </w:p>
        </w:tc>
        <w:tc>
          <w:tcPr>
            <w:tcW w:w="1274" w:type="pct"/>
            <w:tcBorders>
              <w:top w:val="nil"/>
              <w:bottom w:val="nil"/>
            </w:tcBorders>
            <w:shd w:val="clear" w:color="auto" w:fill="15272F" w:themeFill="text1"/>
            <w:vAlign w:val="center"/>
          </w:tcPr>
          <w:p w14:paraId="648EE3DC" w14:textId="7036E09A" w:rsidR="00431C95" w:rsidRPr="00AC04B2" w:rsidRDefault="00FF0E74" w:rsidP="00A207F8">
            <w:pPr>
              <w:pStyle w:val="TableHeading"/>
            </w:pPr>
            <w:r w:rsidRPr="00AC04B2">
              <w:t>Timeframe</w:t>
            </w:r>
          </w:p>
        </w:tc>
      </w:tr>
      <w:tr w:rsidR="00EA336C" w:rsidRPr="00AC04B2" w14:paraId="3DC78798" w14:textId="77777777" w:rsidTr="00F91148">
        <w:trPr>
          <w:trHeight w:val="236"/>
        </w:trPr>
        <w:tc>
          <w:tcPr>
            <w:tcW w:w="3726" w:type="pct"/>
            <w:tcBorders>
              <w:top w:val="nil"/>
              <w:bottom w:val="single" w:sz="4" w:space="0" w:color="auto"/>
            </w:tcBorders>
            <w:shd w:val="clear" w:color="auto" w:fill="auto"/>
          </w:tcPr>
          <w:p w14:paraId="1A9B8479" w14:textId="1562051A" w:rsidR="00EA336C" w:rsidRPr="00AC04B2" w:rsidRDefault="00C17284" w:rsidP="00A207F8">
            <w:pPr>
              <w:pStyle w:val="TableBodySmall"/>
            </w:pPr>
            <w:r w:rsidRPr="00AC04B2">
              <w:t xml:space="preserve">Promote ongoing improvement and consistency in cost data submissions through refinement of </w:t>
            </w:r>
            <w:r w:rsidR="00EA336C" w:rsidRPr="00AC04B2">
              <w:t>the Australian Hospital Patient Costing Standards</w:t>
            </w:r>
            <w:r w:rsidR="001135D5">
              <w:t>, Business Rules and Costing Guidelines.</w:t>
            </w:r>
          </w:p>
        </w:tc>
        <w:tc>
          <w:tcPr>
            <w:tcW w:w="1274" w:type="pct"/>
            <w:tcBorders>
              <w:top w:val="nil"/>
              <w:bottom w:val="single" w:sz="4" w:space="0" w:color="auto"/>
            </w:tcBorders>
            <w:shd w:val="clear" w:color="auto" w:fill="auto"/>
          </w:tcPr>
          <w:p w14:paraId="5B35E60E" w14:textId="57B3CE4B" w:rsidR="00EA336C" w:rsidRPr="00AC04B2" w:rsidRDefault="00C17284" w:rsidP="00A207F8">
            <w:pPr>
              <w:pStyle w:val="TableBodySmall"/>
            </w:pPr>
            <w:r w:rsidRPr="00AC04B2">
              <w:t>Ongoing</w:t>
            </w:r>
          </w:p>
        </w:tc>
      </w:tr>
    </w:tbl>
    <w:p w14:paraId="2ACE2A88" w14:textId="77777777" w:rsidR="000362C5" w:rsidRDefault="000362C5" w:rsidP="00F00D91">
      <w:pPr>
        <w:pStyle w:val="Body"/>
      </w:pPr>
      <w:bookmarkStart w:id="99" w:name="_Hlk94013493"/>
    </w:p>
    <w:p w14:paraId="49F59039" w14:textId="2680807E" w:rsidR="00431C95" w:rsidRPr="000362C5" w:rsidRDefault="00EA336C" w:rsidP="00F00D91">
      <w:pPr>
        <w:pStyle w:val="Body"/>
        <w:rPr>
          <w:b/>
          <w:bCs/>
        </w:rPr>
      </w:pPr>
      <w:r w:rsidRPr="000362C5">
        <w:rPr>
          <w:b/>
          <w:bCs/>
        </w:rPr>
        <w:t>The Australian Hospital Patient Costing Standards (AHPCS) are published for those conducting national costing activities, to promote consistency in data submission</w:t>
      </w:r>
      <w:r w:rsidR="006B3AF4" w:rsidRPr="000362C5">
        <w:rPr>
          <w:b/>
          <w:bCs/>
        </w:rPr>
        <w:t>s</w:t>
      </w:r>
      <w:r w:rsidRPr="000362C5">
        <w:rPr>
          <w:b/>
          <w:bCs/>
        </w:rPr>
        <w:t>. The AHPCS provide the framework for regulators, funders, providers and researchers for the cost data collection.</w:t>
      </w:r>
      <w:r w:rsidR="00431C95" w:rsidRPr="000362C5">
        <w:rPr>
          <w:b/>
          <w:bCs/>
        </w:rPr>
        <w:t xml:space="preserve"> </w:t>
      </w:r>
    </w:p>
    <w:p w14:paraId="700E4CDD" w14:textId="42B9CB73" w:rsidR="00E615DB" w:rsidRPr="00AC04B2" w:rsidRDefault="00D07538" w:rsidP="00D32D99">
      <w:pPr>
        <w:pStyle w:val="Body"/>
      </w:pPr>
      <w:bookmarkStart w:id="100" w:name="_Hlk94014958"/>
      <w:r w:rsidRPr="00AC04B2">
        <w:t>The Independent Health and Aged Care Pricing Authority (</w:t>
      </w:r>
      <w:r w:rsidR="007B0270" w:rsidRPr="00AC04B2">
        <w:t>IH</w:t>
      </w:r>
      <w:r w:rsidR="00082CA2" w:rsidRPr="00AC04B2">
        <w:t>AC</w:t>
      </w:r>
      <w:r w:rsidR="007B0270" w:rsidRPr="00AC04B2">
        <w:t>PA</w:t>
      </w:r>
      <w:r w:rsidRPr="00AC04B2">
        <w:t>)</w:t>
      </w:r>
      <w:r w:rsidR="007B0270" w:rsidRPr="00AC04B2">
        <w:t xml:space="preserve"> </w:t>
      </w:r>
      <w:r w:rsidR="00B93336">
        <w:t>released</w:t>
      </w:r>
      <w:r w:rsidR="007B0270" w:rsidRPr="00AC04B2">
        <w:t xml:space="preserve"> the </w:t>
      </w:r>
      <w:r w:rsidR="00E615DB" w:rsidRPr="00AC04B2">
        <w:t xml:space="preserve">AHPCS Version 4.2 </w:t>
      </w:r>
      <w:r w:rsidR="002C17C2">
        <w:t>in September</w:t>
      </w:r>
      <w:r w:rsidR="004B742A">
        <w:t> </w:t>
      </w:r>
      <w:r w:rsidR="002C17C2">
        <w:t xml:space="preserve">2023 </w:t>
      </w:r>
      <w:r w:rsidR="002C17C2" w:rsidRPr="00AC04B2">
        <w:t>for implementation for the 2022</w:t>
      </w:r>
      <w:r w:rsidR="002C17C2" w:rsidRPr="00AC04B2">
        <w:rPr>
          <w:rFonts w:hint="cs"/>
        </w:rPr>
        <w:t>–</w:t>
      </w:r>
      <w:r w:rsidR="002C17C2" w:rsidRPr="00AC04B2">
        <w:t>23 National Hospital Cost Data Collection (NHCDC) submissions.</w:t>
      </w:r>
      <w:r w:rsidR="007A74E8">
        <w:t xml:space="preserve"> </w:t>
      </w:r>
      <w:r w:rsidR="001135D5">
        <w:t>In 2024–25, IHACPA will</w:t>
      </w:r>
      <w:r w:rsidR="00B236DE">
        <w:t xml:space="preserve"> continue to update the AHPCS and</w:t>
      </w:r>
      <w:r w:rsidR="00B236DE" w:rsidRPr="00B236DE">
        <w:t xml:space="preserve"> </w:t>
      </w:r>
      <w:r w:rsidR="00B236DE">
        <w:t>through consultation with jurisdictions will identify and prioritise target areas for review.</w:t>
      </w:r>
      <w:r w:rsidR="001135D5">
        <w:t xml:space="preserve"> </w:t>
      </w:r>
      <w:r w:rsidR="00B236DE">
        <w:t>This may include</w:t>
      </w:r>
      <w:r w:rsidR="001135D5">
        <w:t xml:space="preserve"> the cost bucket matrix, and </w:t>
      </w:r>
      <w:r w:rsidR="00B236DE">
        <w:t xml:space="preserve">costing </w:t>
      </w:r>
      <w:r w:rsidR="001135D5">
        <w:t>guidelines relevant to mental health care and non-admitted patient activity</w:t>
      </w:r>
      <w:r w:rsidR="00B236DE">
        <w:t xml:space="preserve">. </w:t>
      </w:r>
      <w:r w:rsidR="001135D5">
        <w:t xml:space="preserve"> </w:t>
      </w:r>
    </w:p>
    <w:bookmarkEnd w:id="95"/>
    <w:bookmarkEnd w:id="96"/>
    <w:bookmarkEnd w:id="97"/>
    <w:bookmarkEnd w:id="98"/>
    <w:bookmarkEnd w:id="99"/>
    <w:bookmarkEnd w:id="100"/>
    <w:p w14:paraId="2EE1E8F5" w14:textId="3D282BDD" w:rsidR="00C05A7A" w:rsidRPr="00AC04B2" w:rsidRDefault="00717CAA" w:rsidP="007B2569">
      <w:pPr>
        <w:pStyle w:val="H4"/>
        <w:numPr>
          <w:ilvl w:val="0"/>
          <w:numId w:val="9"/>
        </w:numPr>
      </w:pPr>
      <w:r w:rsidRPr="00AC04B2">
        <w:t>National Hospital Cost Data Collection for public and private hospitals</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C05A7A" w:rsidRPr="00AC04B2" w14:paraId="28C5991B" w14:textId="77777777" w:rsidTr="00871F16">
        <w:tc>
          <w:tcPr>
            <w:tcW w:w="3726" w:type="pct"/>
            <w:tcBorders>
              <w:top w:val="nil"/>
              <w:bottom w:val="nil"/>
            </w:tcBorders>
            <w:shd w:val="clear" w:color="auto" w:fill="15272F" w:themeFill="text1"/>
            <w:vAlign w:val="center"/>
          </w:tcPr>
          <w:p w14:paraId="2BB2D2ED" w14:textId="0E10A868" w:rsidR="00C05A7A" w:rsidRPr="00AC04B2" w:rsidRDefault="00FF0E74" w:rsidP="00A207F8">
            <w:pPr>
              <w:pStyle w:val="TableHeading"/>
            </w:pPr>
            <w:r w:rsidRPr="00AC04B2">
              <w:t>Deliverable</w:t>
            </w:r>
          </w:p>
        </w:tc>
        <w:tc>
          <w:tcPr>
            <w:tcW w:w="1274" w:type="pct"/>
            <w:tcBorders>
              <w:top w:val="nil"/>
              <w:bottom w:val="nil"/>
            </w:tcBorders>
            <w:shd w:val="clear" w:color="auto" w:fill="15272F" w:themeFill="text1"/>
            <w:vAlign w:val="center"/>
          </w:tcPr>
          <w:p w14:paraId="0652925C" w14:textId="60A494DD" w:rsidR="00C05A7A" w:rsidRPr="00AC04B2" w:rsidRDefault="00FF0E74" w:rsidP="00A207F8">
            <w:pPr>
              <w:pStyle w:val="TableHeading"/>
            </w:pPr>
            <w:r w:rsidRPr="00AC04B2">
              <w:t>Timeframe</w:t>
            </w:r>
          </w:p>
        </w:tc>
      </w:tr>
      <w:tr w:rsidR="00717CAA" w:rsidRPr="00AC04B2" w14:paraId="0C6EAF5E" w14:textId="77777777" w:rsidTr="005154CD">
        <w:trPr>
          <w:trHeight w:val="236"/>
        </w:trPr>
        <w:tc>
          <w:tcPr>
            <w:tcW w:w="3726" w:type="pct"/>
            <w:tcBorders>
              <w:top w:val="nil"/>
              <w:bottom w:val="single" w:sz="4" w:space="0" w:color="auto"/>
            </w:tcBorders>
          </w:tcPr>
          <w:p w14:paraId="3F8F77CD" w14:textId="1BD81642" w:rsidR="00717CAA" w:rsidRPr="00AC04B2" w:rsidRDefault="00717CAA" w:rsidP="00A207F8">
            <w:pPr>
              <w:pStyle w:val="TableBodySmall"/>
            </w:pPr>
            <w:r w:rsidRPr="00AC04B2">
              <w:t xml:space="preserve">Release the </w:t>
            </w:r>
            <w:r w:rsidR="007120E9" w:rsidRPr="00AC04B2">
              <w:t>202</w:t>
            </w:r>
            <w:r w:rsidR="00F56330">
              <w:t>2</w:t>
            </w:r>
            <w:r w:rsidR="007120E9" w:rsidRPr="00AC04B2">
              <w:rPr>
                <w:rFonts w:hint="cs"/>
              </w:rPr>
              <w:t>–</w:t>
            </w:r>
            <w:r w:rsidR="007120E9" w:rsidRPr="00AC04B2">
              <w:t>2</w:t>
            </w:r>
            <w:r w:rsidR="00F56330">
              <w:t>3</w:t>
            </w:r>
            <w:r w:rsidR="007120E9" w:rsidRPr="00AC04B2">
              <w:t xml:space="preserve"> </w:t>
            </w:r>
            <w:r w:rsidRPr="00AC04B2">
              <w:t>National Hospital Cost Data Collection public sector report.</w:t>
            </w:r>
          </w:p>
        </w:tc>
        <w:tc>
          <w:tcPr>
            <w:tcW w:w="1274" w:type="pct"/>
            <w:tcBorders>
              <w:top w:val="nil"/>
              <w:bottom w:val="single" w:sz="4" w:space="0" w:color="auto"/>
            </w:tcBorders>
          </w:tcPr>
          <w:p w14:paraId="7DF3C8E3" w14:textId="2BA496E5" w:rsidR="00717CAA" w:rsidRPr="00AC04B2" w:rsidRDefault="001135D5" w:rsidP="00A207F8">
            <w:pPr>
              <w:pStyle w:val="TableBodySmall"/>
            </w:pPr>
            <w:r>
              <w:t>January</w:t>
            </w:r>
            <w:r w:rsidRPr="00AC04B2">
              <w:t xml:space="preserve"> </w:t>
            </w:r>
            <w:r w:rsidR="00F56330" w:rsidRPr="00AC04B2">
              <w:t>202</w:t>
            </w:r>
            <w:r w:rsidR="00F56330">
              <w:t>5</w:t>
            </w:r>
          </w:p>
        </w:tc>
      </w:tr>
      <w:tr w:rsidR="00717CAA" w:rsidRPr="00AC04B2" w14:paraId="452EE421" w14:textId="77777777" w:rsidTr="005154CD">
        <w:trPr>
          <w:trHeight w:val="236"/>
        </w:trPr>
        <w:tc>
          <w:tcPr>
            <w:tcW w:w="3726" w:type="pct"/>
            <w:tcBorders>
              <w:top w:val="single" w:sz="4" w:space="0" w:color="auto"/>
              <w:bottom w:val="single" w:sz="4" w:space="0" w:color="auto"/>
            </w:tcBorders>
          </w:tcPr>
          <w:p w14:paraId="0D4A6937" w14:textId="2A37645A" w:rsidR="00717CAA" w:rsidRPr="00AC04B2" w:rsidRDefault="00717CAA" w:rsidP="00A207F8">
            <w:pPr>
              <w:pStyle w:val="TableBodySmall"/>
            </w:pPr>
            <w:r w:rsidRPr="00AC04B2">
              <w:t xml:space="preserve">Release the </w:t>
            </w:r>
            <w:r w:rsidR="007120E9" w:rsidRPr="00AC04B2">
              <w:t>202</w:t>
            </w:r>
            <w:r w:rsidR="00F56330">
              <w:t>2</w:t>
            </w:r>
            <w:r w:rsidR="007120E9" w:rsidRPr="00AC04B2">
              <w:rPr>
                <w:rFonts w:hint="cs"/>
              </w:rPr>
              <w:t>–</w:t>
            </w:r>
            <w:r w:rsidR="007120E9" w:rsidRPr="00AC04B2">
              <w:t>2</w:t>
            </w:r>
            <w:r w:rsidR="00F56330">
              <w:t>3</w:t>
            </w:r>
            <w:r w:rsidR="007120E9" w:rsidRPr="00AC04B2">
              <w:t xml:space="preserve"> </w:t>
            </w:r>
            <w:r w:rsidRPr="00AC04B2">
              <w:t>National Hospital Cost Data Collection private sector report.</w:t>
            </w:r>
          </w:p>
        </w:tc>
        <w:tc>
          <w:tcPr>
            <w:tcW w:w="1274" w:type="pct"/>
            <w:tcBorders>
              <w:top w:val="single" w:sz="4" w:space="0" w:color="auto"/>
              <w:bottom w:val="single" w:sz="4" w:space="0" w:color="auto"/>
            </w:tcBorders>
          </w:tcPr>
          <w:p w14:paraId="7AB32211" w14:textId="4E9F60D9" w:rsidR="00717CAA" w:rsidRPr="00AC04B2" w:rsidRDefault="001135D5" w:rsidP="00A207F8">
            <w:pPr>
              <w:pStyle w:val="TableBodySmall"/>
            </w:pPr>
            <w:r>
              <w:t>January</w:t>
            </w:r>
            <w:r w:rsidRPr="00AC04B2">
              <w:t xml:space="preserve"> </w:t>
            </w:r>
            <w:r w:rsidR="00F56330" w:rsidRPr="00AC04B2">
              <w:t>202</w:t>
            </w:r>
            <w:r w:rsidR="00F56330">
              <w:t>5</w:t>
            </w:r>
          </w:p>
        </w:tc>
      </w:tr>
      <w:tr w:rsidR="00421E5D" w:rsidRPr="00AC04B2" w14:paraId="43C8FCA7" w14:textId="77777777" w:rsidTr="005154CD">
        <w:trPr>
          <w:trHeight w:val="236"/>
        </w:trPr>
        <w:tc>
          <w:tcPr>
            <w:tcW w:w="3726" w:type="pct"/>
            <w:tcBorders>
              <w:top w:val="single" w:sz="4" w:space="0" w:color="auto"/>
              <w:bottom w:val="single" w:sz="4" w:space="0" w:color="auto"/>
            </w:tcBorders>
          </w:tcPr>
          <w:p w14:paraId="67BBC7EF" w14:textId="3A8FAA0E" w:rsidR="00421E5D" w:rsidRPr="00AC04B2" w:rsidRDefault="00421E5D" w:rsidP="00A207F8">
            <w:pPr>
              <w:pStyle w:val="TableBodySmall"/>
            </w:pPr>
            <w:r>
              <w:t>Collect the 202</w:t>
            </w:r>
            <w:r w:rsidR="00F56330">
              <w:t>3</w:t>
            </w:r>
            <w:r>
              <w:rPr>
                <w:rFonts w:hint="cs"/>
              </w:rPr>
              <w:t>–</w:t>
            </w:r>
            <w:r>
              <w:t>2</w:t>
            </w:r>
            <w:r w:rsidR="00F56330">
              <w:t>4</w:t>
            </w:r>
            <w:r>
              <w:t xml:space="preserve"> National Hospital Cost Data Collection for public and private hospitals</w:t>
            </w:r>
            <w:r w:rsidR="007F5410">
              <w:t>.</w:t>
            </w:r>
          </w:p>
        </w:tc>
        <w:tc>
          <w:tcPr>
            <w:tcW w:w="1274" w:type="pct"/>
            <w:tcBorders>
              <w:top w:val="single" w:sz="4" w:space="0" w:color="auto"/>
              <w:bottom w:val="single" w:sz="4" w:space="0" w:color="auto"/>
            </w:tcBorders>
          </w:tcPr>
          <w:p w14:paraId="29F1FECE" w14:textId="347BAFFB" w:rsidR="00421E5D" w:rsidRPr="00AC04B2" w:rsidRDefault="00421E5D" w:rsidP="00A207F8">
            <w:pPr>
              <w:pStyle w:val="TableBodySmall"/>
            </w:pPr>
            <w:r>
              <w:t xml:space="preserve">June </w:t>
            </w:r>
            <w:r w:rsidR="00F56330">
              <w:t>2025</w:t>
            </w:r>
          </w:p>
        </w:tc>
      </w:tr>
    </w:tbl>
    <w:p w14:paraId="32BB5E8B" w14:textId="77777777" w:rsidR="000362C5" w:rsidRDefault="000362C5" w:rsidP="00F00D91">
      <w:pPr>
        <w:pStyle w:val="Body"/>
      </w:pPr>
    </w:p>
    <w:p w14:paraId="22DE8330" w14:textId="0F34472D" w:rsidR="00C05A7A" w:rsidRPr="000362C5" w:rsidRDefault="002B304B" w:rsidP="00F00D91">
      <w:pPr>
        <w:pStyle w:val="Body"/>
        <w:rPr>
          <w:b/>
          <w:bCs/>
        </w:rPr>
      </w:pPr>
      <w:r w:rsidRPr="000362C5">
        <w:rPr>
          <w:b/>
          <w:bCs/>
        </w:rPr>
        <w:t>In 202</w:t>
      </w:r>
      <w:r w:rsidR="002465D1">
        <w:rPr>
          <w:b/>
          <w:bCs/>
        </w:rPr>
        <w:t>4</w:t>
      </w:r>
      <w:r w:rsidRPr="000362C5">
        <w:rPr>
          <w:b/>
          <w:bCs/>
        </w:rPr>
        <w:t>–2</w:t>
      </w:r>
      <w:r w:rsidR="002465D1">
        <w:rPr>
          <w:b/>
          <w:bCs/>
        </w:rPr>
        <w:t>5</w:t>
      </w:r>
      <w:r w:rsidRPr="000362C5">
        <w:rPr>
          <w:b/>
          <w:bCs/>
        </w:rPr>
        <w:t>, IH</w:t>
      </w:r>
      <w:r w:rsidR="00F717DD" w:rsidRPr="000362C5">
        <w:rPr>
          <w:b/>
          <w:bCs/>
        </w:rPr>
        <w:t>AC</w:t>
      </w:r>
      <w:r w:rsidRPr="000362C5">
        <w:rPr>
          <w:b/>
          <w:bCs/>
        </w:rPr>
        <w:t>PA will continue to collect and analyse the NHCDC and will continue to develop a stronger compliance framework in conjunction with the NHCDC Advisory Committee</w:t>
      </w:r>
      <w:r w:rsidR="00C05A7A" w:rsidRPr="000362C5">
        <w:rPr>
          <w:b/>
          <w:bCs/>
        </w:rPr>
        <w:t xml:space="preserve">. </w:t>
      </w:r>
    </w:p>
    <w:p w14:paraId="43482743" w14:textId="32BD2CCF" w:rsidR="00597F92" w:rsidRPr="00AC04B2" w:rsidRDefault="00597F92" w:rsidP="00F00D91">
      <w:pPr>
        <w:pStyle w:val="Body"/>
      </w:pPr>
      <w:r w:rsidRPr="00AC04B2">
        <w:t>The 202</w:t>
      </w:r>
      <w:r w:rsidR="002465D1">
        <w:t>2</w:t>
      </w:r>
      <w:r w:rsidRPr="00AC04B2">
        <w:rPr>
          <w:rFonts w:hint="cs"/>
        </w:rPr>
        <w:t>–</w:t>
      </w:r>
      <w:r w:rsidRPr="00AC04B2">
        <w:t>2</w:t>
      </w:r>
      <w:r w:rsidR="002465D1">
        <w:t>3</w:t>
      </w:r>
      <w:r w:rsidRPr="00AC04B2">
        <w:t xml:space="preserve"> NHCDC public sector report will present the </w:t>
      </w:r>
      <w:r w:rsidR="006C2D87" w:rsidRPr="00AC04B2">
        <w:t xml:space="preserve">public </w:t>
      </w:r>
      <w:r w:rsidRPr="00AC04B2">
        <w:t xml:space="preserve">hospital costs submitted by </w:t>
      </w:r>
      <w:r w:rsidR="00061EE4">
        <w:t>state and territory governments</w:t>
      </w:r>
      <w:r w:rsidR="00061EE4" w:rsidRPr="00AC04B2">
        <w:t xml:space="preserve"> </w:t>
      </w:r>
      <w:r w:rsidRPr="00AC04B2">
        <w:t>for the admitted acute, subacute and non-acute, emergency department, mental health and non-admitted activity streams.</w:t>
      </w:r>
    </w:p>
    <w:p w14:paraId="105B30DE" w14:textId="6EAFB932" w:rsidR="0011600D" w:rsidRPr="00AC04B2" w:rsidRDefault="00597F92" w:rsidP="00F00D91">
      <w:pPr>
        <w:pStyle w:val="Body"/>
      </w:pPr>
      <w:r w:rsidRPr="00AC04B2">
        <w:t>The 202</w:t>
      </w:r>
      <w:r w:rsidR="002465D1">
        <w:t>2</w:t>
      </w:r>
      <w:r w:rsidRPr="00AC04B2">
        <w:rPr>
          <w:rFonts w:hint="cs"/>
        </w:rPr>
        <w:t>–</w:t>
      </w:r>
      <w:r w:rsidRPr="00AC04B2">
        <w:t>2</w:t>
      </w:r>
      <w:r w:rsidR="002465D1">
        <w:t>3</w:t>
      </w:r>
      <w:r w:rsidRPr="00AC04B2">
        <w:t xml:space="preserve"> NHCDC private sector report </w:t>
      </w:r>
      <w:r w:rsidR="006C2D87" w:rsidRPr="00AC04B2">
        <w:t>will present the results from a voluntary collection of private hospital cost and activity information for the admitted acute stream</w:t>
      </w:r>
      <w:r w:rsidR="00C05A7A" w:rsidRPr="00AC04B2">
        <w:t>.</w:t>
      </w:r>
      <w:r w:rsidR="0011600D">
        <w:t xml:space="preserve">  </w:t>
      </w:r>
    </w:p>
    <w:p w14:paraId="4B627E06" w14:textId="666092EC" w:rsidR="00C05A7A" w:rsidRPr="00AC04B2" w:rsidRDefault="00C05A7A" w:rsidP="00DF5B90">
      <w:pPr>
        <w:pStyle w:val="H4"/>
        <w:keepNext/>
        <w:numPr>
          <w:ilvl w:val="0"/>
          <w:numId w:val="9"/>
        </w:numPr>
        <w:ind w:left="499" w:hanging="357"/>
      </w:pPr>
      <w:bookmarkStart w:id="101" w:name="_Toc55054010"/>
      <w:bookmarkStart w:id="102" w:name="_Toc55237229"/>
      <w:bookmarkStart w:id="103" w:name="_Toc55238316"/>
      <w:bookmarkStart w:id="104" w:name="_Toc55974134"/>
      <w:r w:rsidRPr="00AC04B2">
        <w:t>N</w:t>
      </w:r>
      <w:bookmarkEnd w:id="101"/>
      <w:bookmarkEnd w:id="102"/>
      <w:bookmarkEnd w:id="103"/>
      <w:bookmarkEnd w:id="104"/>
      <w:r w:rsidR="002B304B" w:rsidRPr="00AC04B2">
        <w:t xml:space="preserve">ational Hospital Cost Data Collection </w:t>
      </w:r>
      <w:r w:rsidR="001135D5">
        <w:t>quality</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C05A7A" w:rsidRPr="00AC04B2" w14:paraId="689F7ED2" w14:textId="30FD4F97" w:rsidTr="00871F16">
        <w:tc>
          <w:tcPr>
            <w:tcW w:w="3726" w:type="pct"/>
            <w:tcBorders>
              <w:top w:val="nil"/>
              <w:bottom w:val="nil"/>
            </w:tcBorders>
            <w:shd w:val="clear" w:color="auto" w:fill="15272F" w:themeFill="text1"/>
            <w:vAlign w:val="center"/>
          </w:tcPr>
          <w:p w14:paraId="1C8978FC" w14:textId="5C5B7A81" w:rsidR="00C05A7A" w:rsidRPr="00AC04B2" w:rsidRDefault="00FF0E74" w:rsidP="00A207F8">
            <w:pPr>
              <w:pStyle w:val="TableHeading"/>
            </w:pPr>
            <w:r w:rsidRPr="00AC04B2">
              <w:t>Deliverable</w:t>
            </w:r>
          </w:p>
        </w:tc>
        <w:tc>
          <w:tcPr>
            <w:tcW w:w="1274" w:type="pct"/>
            <w:tcBorders>
              <w:top w:val="nil"/>
              <w:bottom w:val="nil"/>
            </w:tcBorders>
            <w:shd w:val="clear" w:color="auto" w:fill="15272F" w:themeFill="text1"/>
            <w:vAlign w:val="center"/>
          </w:tcPr>
          <w:p w14:paraId="60F315FD" w14:textId="52B626DA" w:rsidR="00C05A7A" w:rsidRPr="00AC04B2" w:rsidRDefault="00FF0E74" w:rsidP="00A207F8">
            <w:pPr>
              <w:pStyle w:val="TableHeading"/>
            </w:pPr>
            <w:r w:rsidRPr="00AC04B2">
              <w:t>Timeframe</w:t>
            </w:r>
          </w:p>
        </w:tc>
      </w:tr>
      <w:tr w:rsidR="002B304B" w:rsidRPr="00AC04B2" w14:paraId="6DFD39E9" w14:textId="55048250" w:rsidTr="00F91148">
        <w:trPr>
          <w:trHeight w:val="236"/>
        </w:trPr>
        <w:tc>
          <w:tcPr>
            <w:tcW w:w="3726" w:type="pct"/>
            <w:tcBorders>
              <w:top w:val="nil"/>
              <w:bottom w:val="single" w:sz="4" w:space="0" w:color="auto"/>
            </w:tcBorders>
          </w:tcPr>
          <w:p w14:paraId="49D13E6B" w14:textId="6925586B" w:rsidR="002B304B" w:rsidRPr="00AC04B2" w:rsidRDefault="0017153E" w:rsidP="00A207F8">
            <w:pPr>
              <w:pStyle w:val="TableBodySmall"/>
            </w:pPr>
            <w:r>
              <w:t xml:space="preserve">Release an assessment of the 2022–23 </w:t>
            </w:r>
            <w:r w:rsidR="000333B4">
              <w:t>N</w:t>
            </w:r>
            <w:r w:rsidR="00A56CFC">
              <w:t xml:space="preserve">ational </w:t>
            </w:r>
            <w:r w:rsidR="000333B4">
              <w:t>H</w:t>
            </w:r>
            <w:r w:rsidR="00A56CFC">
              <w:t xml:space="preserve">ospital </w:t>
            </w:r>
            <w:r w:rsidR="000333B4">
              <w:t>C</w:t>
            </w:r>
            <w:r w:rsidR="00A56CFC">
              <w:t xml:space="preserve">ost </w:t>
            </w:r>
            <w:r w:rsidR="000333B4">
              <w:t>D</w:t>
            </w:r>
            <w:r w:rsidR="00A56CFC">
              <w:t xml:space="preserve">ata </w:t>
            </w:r>
            <w:r w:rsidR="000333B4">
              <w:t>C</w:t>
            </w:r>
            <w:r w:rsidR="00A56CFC">
              <w:t>ollection</w:t>
            </w:r>
            <w:r w:rsidR="00DF5B90">
              <w:t>.</w:t>
            </w:r>
          </w:p>
        </w:tc>
        <w:tc>
          <w:tcPr>
            <w:tcW w:w="1274" w:type="pct"/>
            <w:tcBorders>
              <w:top w:val="nil"/>
              <w:bottom w:val="single" w:sz="4" w:space="0" w:color="auto"/>
            </w:tcBorders>
          </w:tcPr>
          <w:p w14:paraId="7B545992" w14:textId="08C98F48" w:rsidR="002B304B" w:rsidRPr="00AC04B2" w:rsidRDefault="0017153E" w:rsidP="00A207F8">
            <w:pPr>
              <w:pStyle w:val="TableBodySmall"/>
            </w:pPr>
            <w:r>
              <w:t>January</w:t>
            </w:r>
            <w:r w:rsidRPr="00AC04B2">
              <w:t xml:space="preserve"> </w:t>
            </w:r>
            <w:r w:rsidR="00772628" w:rsidRPr="00AC04B2">
              <w:t>202</w:t>
            </w:r>
            <w:r w:rsidR="00D84EF0">
              <w:t>5</w:t>
            </w:r>
          </w:p>
        </w:tc>
      </w:tr>
      <w:tr w:rsidR="0017153E" w:rsidRPr="00AC04B2" w14:paraId="2640E35C" w14:textId="77777777" w:rsidTr="00F91148">
        <w:trPr>
          <w:trHeight w:val="236"/>
        </w:trPr>
        <w:tc>
          <w:tcPr>
            <w:tcW w:w="3726" w:type="pct"/>
            <w:tcBorders>
              <w:top w:val="single" w:sz="4" w:space="0" w:color="auto"/>
              <w:bottom w:val="single" w:sz="4" w:space="0" w:color="auto"/>
            </w:tcBorders>
          </w:tcPr>
          <w:p w14:paraId="154037E7" w14:textId="69D37AB3" w:rsidR="0017153E" w:rsidRDefault="0017153E" w:rsidP="00A207F8">
            <w:pPr>
              <w:pStyle w:val="TableBodySmall"/>
            </w:pPr>
            <w:r>
              <w:t>Develop a data quality framework to support National Hospital Cost Data Collection submissions.</w:t>
            </w:r>
          </w:p>
        </w:tc>
        <w:tc>
          <w:tcPr>
            <w:tcW w:w="1274" w:type="pct"/>
            <w:tcBorders>
              <w:top w:val="single" w:sz="4" w:space="0" w:color="auto"/>
              <w:bottom w:val="single" w:sz="4" w:space="0" w:color="auto"/>
            </w:tcBorders>
          </w:tcPr>
          <w:p w14:paraId="5BAD6678" w14:textId="4E454264" w:rsidR="0017153E" w:rsidRPr="00AC04B2" w:rsidRDefault="0017153E" w:rsidP="00A207F8">
            <w:pPr>
              <w:pStyle w:val="TableBodySmall"/>
            </w:pPr>
            <w:r>
              <w:t>June 2025</w:t>
            </w:r>
          </w:p>
        </w:tc>
      </w:tr>
    </w:tbl>
    <w:p w14:paraId="41EA957E" w14:textId="77777777" w:rsidR="00A56CFC" w:rsidRDefault="00A56CFC" w:rsidP="00F00D91">
      <w:pPr>
        <w:pStyle w:val="IntroBody"/>
      </w:pPr>
    </w:p>
    <w:p w14:paraId="2435A0C9" w14:textId="4C13D4B8" w:rsidR="0017153E" w:rsidRDefault="0017153E" w:rsidP="00F00D91">
      <w:pPr>
        <w:pStyle w:val="IntroBody"/>
      </w:pPr>
      <w:r>
        <w:t xml:space="preserve">IHACPA will work with jurisdictions to design and implement </w:t>
      </w:r>
      <w:r w:rsidR="00E90C4C">
        <w:t xml:space="preserve">an </w:t>
      </w:r>
      <w:r>
        <w:t xml:space="preserve">appropriate methodology for </w:t>
      </w:r>
      <w:r w:rsidR="004E6272">
        <w:t xml:space="preserve">the National Hospital Cost Data Collection </w:t>
      </w:r>
      <w:r>
        <w:t xml:space="preserve">process in future years. </w:t>
      </w:r>
    </w:p>
    <w:p w14:paraId="6C6C2E45" w14:textId="7499177E" w:rsidR="00C05A7A" w:rsidRPr="00F91148" w:rsidRDefault="00A56CFC" w:rsidP="00F00D91">
      <w:pPr>
        <w:pStyle w:val="IntroBody"/>
        <w:rPr>
          <w:b w:val="0"/>
          <w:bCs/>
        </w:rPr>
      </w:pPr>
      <w:r w:rsidRPr="00F91148">
        <w:rPr>
          <w:b w:val="0"/>
          <w:bCs/>
        </w:rPr>
        <w:lastRenderedPageBreak/>
        <w:t xml:space="preserve">In previous years, </w:t>
      </w:r>
      <w:r w:rsidR="002B304B" w:rsidRPr="00F91148">
        <w:rPr>
          <w:b w:val="0"/>
          <w:bCs/>
        </w:rPr>
        <w:t>the Independent Financial Review</w:t>
      </w:r>
      <w:r w:rsidRPr="00F91148">
        <w:rPr>
          <w:b w:val="0"/>
          <w:bCs/>
        </w:rPr>
        <w:t xml:space="preserve"> has been an annual component of the NHCDC cycle</w:t>
      </w:r>
      <w:r w:rsidR="002B304B" w:rsidRPr="00F91148">
        <w:rPr>
          <w:b w:val="0"/>
          <w:bCs/>
        </w:rPr>
        <w:t>. IH</w:t>
      </w:r>
      <w:r w:rsidR="00F717DD" w:rsidRPr="00F91148">
        <w:rPr>
          <w:b w:val="0"/>
          <w:bCs/>
        </w:rPr>
        <w:t>AC</w:t>
      </w:r>
      <w:r w:rsidR="002B304B" w:rsidRPr="00F91148">
        <w:rPr>
          <w:b w:val="0"/>
          <w:bCs/>
        </w:rPr>
        <w:t xml:space="preserve">PA </w:t>
      </w:r>
      <w:r w:rsidRPr="00F91148">
        <w:rPr>
          <w:b w:val="0"/>
          <w:bCs/>
        </w:rPr>
        <w:t xml:space="preserve">commissioned </w:t>
      </w:r>
      <w:r w:rsidR="002B304B" w:rsidRPr="00F91148">
        <w:rPr>
          <w:b w:val="0"/>
          <w:bCs/>
        </w:rPr>
        <w:t xml:space="preserve">an independent body to review </w:t>
      </w:r>
      <w:r w:rsidR="00F20C68" w:rsidRPr="00F91148">
        <w:rPr>
          <w:b w:val="0"/>
          <w:bCs/>
        </w:rPr>
        <w:t xml:space="preserve">the </w:t>
      </w:r>
      <w:r w:rsidR="002B304B" w:rsidRPr="00F91148">
        <w:rPr>
          <w:b w:val="0"/>
          <w:bCs/>
        </w:rPr>
        <w:t xml:space="preserve">public sector data provided by </w:t>
      </w:r>
      <w:r w:rsidR="00EF1D4C">
        <w:rPr>
          <w:b w:val="0"/>
          <w:bCs/>
        </w:rPr>
        <w:t>state and territory governments</w:t>
      </w:r>
      <w:r w:rsidR="002B304B" w:rsidRPr="00F91148">
        <w:rPr>
          <w:b w:val="0"/>
          <w:bCs/>
        </w:rPr>
        <w:t>, with a specific focus on hospitals’ financial reconciliations and consistent application of the AHPCS</w:t>
      </w:r>
      <w:r w:rsidR="00C05A7A" w:rsidRPr="00F91148">
        <w:rPr>
          <w:b w:val="0"/>
          <w:bCs/>
        </w:rPr>
        <w:t>.</w:t>
      </w:r>
    </w:p>
    <w:p w14:paraId="6ECA87C5" w14:textId="3A9EF1C3" w:rsidR="00A56CFC" w:rsidRDefault="0017153E" w:rsidP="00F00D91">
      <w:pPr>
        <w:pStyle w:val="Body"/>
      </w:pPr>
      <w:r>
        <w:t xml:space="preserve">After receiving the 2021–22 NHCDC data, IHACPA held bilateral meetings with each </w:t>
      </w:r>
      <w:r w:rsidR="00EF1D4C">
        <w:t xml:space="preserve">state and territory government </w:t>
      </w:r>
      <w:r>
        <w:t xml:space="preserve">to understand the compliance of </w:t>
      </w:r>
      <w:r w:rsidR="00BA1FAA">
        <w:t>the</w:t>
      </w:r>
      <w:r>
        <w:t xml:space="preserve"> 2021–22 NHCDC submissions with the AHPCS. </w:t>
      </w:r>
    </w:p>
    <w:p w14:paraId="1FA592C4" w14:textId="34DE44EF" w:rsidR="00C17DDE" w:rsidRPr="00AC04B2" w:rsidRDefault="00C17DDE" w:rsidP="007B2569">
      <w:pPr>
        <w:pStyle w:val="H4"/>
        <w:numPr>
          <w:ilvl w:val="0"/>
          <w:numId w:val="9"/>
        </w:numPr>
      </w:pPr>
      <w:bookmarkStart w:id="105" w:name="_Toc55045639"/>
      <w:bookmarkStart w:id="106" w:name="_Toc55054011"/>
      <w:bookmarkStart w:id="107" w:name="_Toc55237230"/>
      <w:bookmarkStart w:id="108" w:name="_Toc55238317"/>
      <w:bookmarkStart w:id="109" w:name="_Toc55974135"/>
      <w:bookmarkStart w:id="110" w:name="_Hlk120703524"/>
      <w:r w:rsidRPr="00AC04B2">
        <w:t>Costing private patients in public hospitals</w:t>
      </w:r>
      <w:bookmarkEnd w:id="105"/>
      <w:bookmarkEnd w:id="106"/>
      <w:bookmarkEnd w:id="107"/>
      <w:bookmarkEnd w:id="108"/>
      <w:bookmarkEnd w:id="109"/>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C17DDE" w:rsidRPr="00AC04B2" w14:paraId="4FBA9C67" w14:textId="77777777" w:rsidTr="00871F16">
        <w:tc>
          <w:tcPr>
            <w:tcW w:w="3726" w:type="pct"/>
            <w:tcBorders>
              <w:top w:val="nil"/>
              <w:bottom w:val="nil"/>
            </w:tcBorders>
            <w:shd w:val="clear" w:color="auto" w:fill="15272F" w:themeFill="text1"/>
            <w:vAlign w:val="center"/>
          </w:tcPr>
          <w:p w14:paraId="2DFC2705" w14:textId="532D3160" w:rsidR="00C17DDE" w:rsidRPr="00AC04B2" w:rsidRDefault="00FF0E74" w:rsidP="00A207F8">
            <w:pPr>
              <w:pStyle w:val="TableHeading"/>
            </w:pPr>
            <w:r w:rsidRPr="00AC04B2">
              <w:t>Deliverable</w:t>
            </w:r>
          </w:p>
        </w:tc>
        <w:tc>
          <w:tcPr>
            <w:tcW w:w="1274" w:type="pct"/>
            <w:tcBorders>
              <w:top w:val="nil"/>
              <w:bottom w:val="nil"/>
            </w:tcBorders>
            <w:shd w:val="clear" w:color="auto" w:fill="15272F" w:themeFill="text1"/>
            <w:vAlign w:val="center"/>
          </w:tcPr>
          <w:p w14:paraId="3D71BF09" w14:textId="381F345A" w:rsidR="00C17DDE" w:rsidRPr="00AC04B2" w:rsidRDefault="00FF0E74" w:rsidP="00A207F8">
            <w:pPr>
              <w:pStyle w:val="TableHeading"/>
            </w:pPr>
            <w:r w:rsidRPr="00AC04B2">
              <w:t>Timeframe</w:t>
            </w:r>
          </w:p>
        </w:tc>
      </w:tr>
      <w:tr w:rsidR="00186344" w:rsidRPr="00AC04B2" w14:paraId="48365B2E" w14:textId="77777777" w:rsidTr="0005174D">
        <w:trPr>
          <w:trHeight w:val="236"/>
        </w:trPr>
        <w:tc>
          <w:tcPr>
            <w:tcW w:w="3726" w:type="pct"/>
            <w:tcBorders>
              <w:top w:val="nil"/>
              <w:bottom w:val="single" w:sz="4" w:space="0" w:color="auto"/>
            </w:tcBorders>
          </w:tcPr>
          <w:p w14:paraId="450EF6FB" w14:textId="3A0A9429" w:rsidR="00186344" w:rsidRPr="00AC04B2" w:rsidRDefault="000E56C0" w:rsidP="00A207F8">
            <w:pPr>
              <w:pStyle w:val="TableBodySmall"/>
            </w:pPr>
            <w:r>
              <w:t xml:space="preserve">Investigate </w:t>
            </w:r>
            <w:r w:rsidR="005928B8">
              <w:t>phasing out the</w:t>
            </w:r>
            <w:r w:rsidR="00186344" w:rsidRPr="00AC04B2">
              <w:t xml:space="preserve"> private patient correction </w:t>
            </w:r>
            <w:r w:rsidR="00BA1FAA" w:rsidRPr="00AC04B2">
              <w:t>factor.</w:t>
            </w:r>
          </w:p>
        </w:tc>
        <w:tc>
          <w:tcPr>
            <w:tcW w:w="1274" w:type="pct"/>
            <w:tcBorders>
              <w:top w:val="nil"/>
              <w:bottom w:val="single" w:sz="4" w:space="0" w:color="auto"/>
            </w:tcBorders>
          </w:tcPr>
          <w:p w14:paraId="6A25D3AC" w14:textId="48A14F28" w:rsidR="00186344" w:rsidRPr="00AC04B2" w:rsidRDefault="000103F7" w:rsidP="00A207F8">
            <w:pPr>
              <w:pStyle w:val="TableBodySmall"/>
            </w:pPr>
            <w:r>
              <w:t xml:space="preserve">June </w:t>
            </w:r>
            <w:r w:rsidR="006D3D97" w:rsidRPr="00AC04B2">
              <w:t>202</w:t>
            </w:r>
            <w:r w:rsidR="006D3D97">
              <w:t>5</w:t>
            </w:r>
          </w:p>
        </w:tc>
      </w:tr>
    </w:tbl>
    <w:p w14:paraId="211FAD08" w14:textId="77777777" w:rsidR="00BD0ECF" w:rsidRDefault="00BD0ECF" w:rsidP="00F00D91">
      <w:pPr>
        <w:pStyle w:val="IntroBody"/>
      </w:pPr>
    </w:p>
    <w:p w14:paraId="17EB7112" w14:textId="3D3AAB45" w:rsidR="00C17DDE" w:rsidRPr="00AC04B2" w:rsidRDefault="00186344" w:rsidP="00F00D91">
      <w:pPr>
        <w:pStyle w:val="IntroBody"/>
      </w:pPr>
      <w:r w:rsidRPr="00AC04B2">
        <w:t xml:space="preserve">The collection of private patient medical expenses has </w:t>
      </w:r>
      <w:r w:rsidR="003F5304" w:rsidRPr="00AC04B2">
        <w:t xml:space="preserve">previously </w:t>
      </w:r>
      <w:r w:rsidRPr="00AC04B2">
        <w:t xml:space="preserve">been problematic in the NHCDC. For example, there is a common practice in some </w:t>
      </w:r>
      <w:r w:rsidR="00371871">
        <w:t>state</w:t>
      </w:r>
      <w:r w:rsidR="00945CE5">
        <w:t>s and territories</w:t>
      </w:r>
      <w:r w:rsidR="00371871" w:rsidRPr="00AC04B2">
        <w:t xml:space="preserve"> </w:t>
      </w:r>
      <w:r w:rsidRPr="00AC04B2">
        <w:t>of using Special Purpose Funds to collect associated revenue (</w:t>
      </w:r>
      <w:r w:rsidR="002D3478" w:rsidRPr="00AC04B2">
        <w:t>such as</w:t>
      </w:r>
      <w:r w:rsidRPr="00AC04B2">
        <w:t xml:space="preserve"> </w:t>
      </w:r>
      <w:r w:rsidR="00F2357B" w:rsidRPr="00AC04B2">
        <w:t xml:space="preserve">the </w:t>
      </w:r>
      <w:r w:rsidRPr="00AC04B2">
        <w:t>Medicare Benefits Schedule) and reimburse medical practitioners</w:t>
      </w:r>
      <w:r w:rsidR="00C17DDE" w:rsidRPr="00AC04B2">
        <w:t>.</w:t>
      </w:r>
    </w:p>
    <w:p w14:paraId="1BF9EF76" w14:textId="02C0864E" w:rsidR="009E36BB" w:rsidRDefault="00186344" w:rsidP="00227504">
      <w:pPr>
        <w:pStyle w:val="Body"/>
      </w:pPr>
      <w:r w:rsidRPr="00AC04B2">
        <w:t xml:space="preserve">The private patient correction factor was introduced as an interim solution for the issue of missing private patient costs in the NHCDC. Submissions in response to previous consultation papers on the Pricing Framework </w:t>
      </w:r>
      <w:r w:rsidR="00CE46EB" w:rsidRPr="00AC04B2">
        <w:t>for Australian Public Hospital Services</w:t>
      </w:r>
      <w:r w:rsidR="003B7AE2" w:rsidRPr="00AC04B2">
        <w:t xml:space="preserve"> </w:t>
      </w:r>
      <w:r w:rsidRPr="00AC04B2">
        <w:t xml:space="preserve">have supported phasing out the </w:t>
      </w:r>
      <w:r w:rsidR="00AB6641" w:rsidRPr="00AC04B2">
        <w:t xml:space="preserve">private patient </w:t>
      </w:r>
      <w:r w:rsidRPr="00AC04B2">
        <w:t>correction factor when feasible</w:t>
      </w:r>
      <w:r w:rsidR="00AB6641" w:rsidRPr="00AC04B2">
        <w:t xml:space="preserve"> and the correction factor was removed for the Northern Territory for the National Efficient Price Determination 2021–22. </w:t>
      </w:r>
    </w:p>
    <w:p w14:paraId="428318DD" w14:textId="1699C270" w:rsidR="00227504" w:rsidRPr="00AC04B2" w:rsidRDefault="008E165D" w:rsidP="00227504">
      <w:pPr>
        <w:pStyle w:val="Body"/>
      </w:pPr>
      <w:r>
        <w:t xml:space="preserve">In 2024–25, </w:t>
      </w:r>
      <w:r w:rsidRPr="008E165D">
        <w:t>IHACPA will continue to evaluate the private patient correction factor and remove it where appropriate</w:t>
      </w:r>
      <w:r>
        <w:t>.</w:t>
      </w:r>
    </w:p>
    <w:p w14:paraId="32C19338" w14:textId="4E6BA8E4" w:rsidR="005A593B" w:rsidRPr="00AC04B2" w:rsidRDefault="005A593B" w:rsidP="007B2569">
      <w:pPr>
        <w:pStyle w:val="H4"/>
        <w:numPr>
          <w:ilvl w:val="0"/>
          <w:numId w:val="9"/>
        </w:numPr>
      </w:pPr>
      <w:r w:rsidRPr="00AC04B2">
        <w:t xml:space="preserve">Australian Aged Care </w:t>
      </w:r>
      <w:r w:rsidR="00C06DD9" w:rsidRPr="00AC04B2">
        <w:t>Cost Data Collection</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5A593B" w:rsidRPr="00AC04B2" w14:paraId="0A0DC0EF" w14:textId="77777777" w:rsidTr="00122328">
        <w:tc>
          <w:tcPr>
            <w:tcW w:w="3726" w:type="pct"/>
            <w:tcBorders>
              <w:top w:val="nil"/>
              <w:bottom w:val="single" w:sz="4" w:space="0" w:color="auto"/>
            </w:tcBorders>
            <w:shd w:val="clear" w:color="auto" w:fill="15272F" w:themeFill="text1"/>
            <w:vAlign w:val="center"/>
          </w:tcPr>
          <w:p w14:paraId="47399D8A" w14:textId="77777777" w:rsidR="005A593B" w:rsidRPr="00AC04B2" w:rsidRDefault="005A593B" w:rsidP="00A207F8">
            <w:pPr>
              <w:pStyle w:val="TableHeading"/>
            </w:pPr>
            <w:r w:rsidRPr="00AC04B2">
              <w:t>Deliverable</w:t>
            </w:r>
          </w:p>
        </w:tc>
        <w:tc>
          <w:tcPr>
            <w:tcW w:w="1274" w:type="pct"/>
            <w:tcBorders>
              <w:top w:val="nil"/>
              <w:bottom w:val="single" w:sz="4" w:space="0" w:color="auto"/>
            </w:tcBorders>
            <w:shd w:val="clear" w:color="auto" w:fill="15272F" w:themeFill="text1"/>
            <w:vAlign w:val="center"/>
          </w:tcPr>
          <w:p w14:paraId="085D9AF1" w14:textId="77777777" w:rsidR="005A593B" w:rsidRPr="00AC04B2" w:rsidRDefault="005A593B" w:rsidP="00A207F8">
            <w:pPr>
              <w:pStyle w:val="TableHeading"/>
            </w:pPr>
            <w:r w:rsidRPr="00AC04B2">
              <w:t>Timeframe</w:t>
            </w:r>
          </w:p>
        </w:tc>
      </w:tr>
      <w:tr w:rsidR="009F4BB4" w:rsidRPr="00AC04B2" w:rsidDel="0001490F" w14:paraId="0C0235A7" w14:textId="77777777" w:rsidTr="00122328">
        <w:tblPrEx>
          <w:tblBorders>
            <w:top w:val="single" w:sz="4" w:space="0" w:color="auto"/>
            <w:left w:val="single" w:sz="4" w:space="0" w:color="auto"/>
            <w:bottom w:val="single" w:sz="4" w:space="0" w:color="auto"/>
            <w:right w:val="single" w:sz="4" w:space="0" w:color="auto"/>
            <w:insideV w:val="single" w:sz="4" w:space="0" w:color="auto"/>
          </w:tblBorders>
          <w:tblCellMar>
            <w:right w:w="108" w:type="dxa"/>
          </w:tblCellMar>
        </w:tblPrEx>
        <w:trPr>
          <w:trHeight w:val="236"/>
        </w:trPr>
        <w:tc>
          <w:tcPr>
            <w:tcW w:w="3726" w:type="pct"/>
            <w:tcBorders>
              <w:left w:val="nil"/>
              <w:right w:val="nil"/>
            </w:tcBorders>
          </w:tcPr>
          <w:p w14:paraId="6946051B" w14:textId="57007E2D" w:rsidR="009F4BB4" w:rsidRPr="00AC04B2" w:rsidDel="0001490F" w:rsidRDefault="009F4BB4" w:rsidP="00A207F8">
            <w:pPr>
              <w:pStyle w:val="TableBodySmall"/>
            </w:pPr>
            <w:r>
              <w:t>Collect Residential Aged Care Cost</w:t>
            </w:r>
            <w:r w:rsidR="00F52DAC">
              <w:t xml:space="preserve"> Collection</w:t>
            </w:r>
            <w:r>
              <w:t xml:space="preserve"> 2024 data</w:t>
            </w:r>
            <w:r w:rsidR="00AA3F83">
              <w:t>.</w:t>
            </w:r>
          </w:p>
        </w:tc>
        <w:tc>
          <w:tcPr>
            <w:tcW w:w="1274" w:type="pct"/>
            <w:tcBorders>
              <w:left w:val="nil"/>
              <w:right w:val="nil"/>
            </w:tcBorders>
          </w:tcPr>
          <w:p w14:paraId="3E3ED871" w14:textId="2D012EDD" w:rsidR="009F4BB4" w:rsidRPr="00AC04B2" w:rsidDel="0001490F" w:rsidRDefault="00B236DE" w:rsidP="00A207F8">
            <w:pPr>
              <w:pStyle w:val="TableBodySmall"/>
            </w:pPr>
            <w:r>
              <w:t>December 2024</w:t>
            </w:r>
          </w:p>
        </w:tc>
      </w:tr>
      <w:tr w:rsidR="009F4BB4" w:rsidRPr="00AC04B2" w:rsidDel="0001490F" w14:paraId="60A43D59" w14:textId="77777777" w:rsidTr="00122328">
        <w:tblPrEx>
          <w:tblBorders>
            <w:top w:val="single" w:sz="4" w:space="0" w:color="auto"/>
            <w:left w:val="single" w:sz="4" w:space="0" w:color="auto"/>
            <w:bottom w:val="single" w:sz="4" w:space="0" w:color="auto"/>
            <w:right w:val="single" w:sz="4" w:space="0" w:color="auto"/>
            <w:insideV w:val="single" w:sz="4" w:space="0" w:color="auto"/>
          </w:tblBorders>
          <w:tblCellMar>
            <w:right w:w="108" w:type="dxa"/>
          </w:tblCellMar>
        </w:tblPrEx>
        <w:trPr>
          <w:trHeight w:val="236"/>
        </w:trPr>
        <w:tc>
          <w:tcPr>
            <w:tcW w:w="3726" w:type="pct"/>
            <w:tcBorders>
              <w:left w:val="nil"/>
              <w:right w:val="nil"/>
            </w:tcBorders>
          </w:tcPr>
          <w:p w14:paraId="52EA6BE0" w14:textId="79596C7D" w:rsidR="009F4BB4" w:rsidRPr="00AC04B2" w:rsidDel="0001490F" w:rsidRDefault="009F4BB4" w:rsidP="00A207F8">
            <w:pPr>
              <w:pStyle w:val="TableBodySmall"/>
            </w:pPr>
            <w:r>
              <w:t xml:space="preserve">Undertake </w:t>
            </w:r>
            <w:r w:rsidR="001512C1">
              <w:t>the R</w:t>
            </w:r>
            <w:r>
              <w:t xml:space="preserve">esidential </w:t>
            </w:r>
            <w:r w:rsidR="001512C1">
              <w:t>A</w:t>
            </w:r>
            <w:r>
              <w:t xml:space="preserve">ged </w:t>
            </w:r>
            <w:r w:rsidR="001512C1">
              <w:t>C</w:t>
            </w:r>
            <w:r>
              <w:t>are</w:t>
            </w:r>
            <w:r w:rsidR="001512C1">
              <w:t xml:space="preserve"> Specialised Services</w:t>
            </w:r>
            <w:r>
              <w:t xml:space="preserve"> </w:t>
            </w:r>
            <w:r w:rsidR="001512C1">
              <w:t>C</w:t>
            </w:r>
            <w:r>
              <w:t xml:space="preserve">osting </w:t>
            </w:r>
            <w:r w:rsidR="001512C1">
              <w:t>S</w:t>
            </w:r>
            <w:r>
              <w:t>tudy</w:t>
            </w:r>
          </w:p>
        </w:tc>
        <w:tc>
          <w:tcPr>
            <w:tcW w:w="1274" w:type="pct"/>
            <w:tcBorders>
              <w:left w:val="nil"/>
              <w:right w:val="nil"/>
            </w:tcBorders>
          </w:tcPr>
          <w:p w14:paraId="063955FB" w14:textId="431435B4" w:rsidR="009F4BB4" w:rsidRPr="00AC04B2" w:rsidDel="0001490F" w:rsidRDefault="00B236DE" w:rsidP="00A207F8">
            <w:pPr>
              <w:pStyle w:val="TableBodySmall"/>
            </w:pPr>
            <w:r>
              <w:t>December 2024</w:t>
            </w:r>
          </w:p>
        </w:tc>
      </w:tr>
      <w:tr w:rsidR="009F4BB4" w:rsidRPr="00AC04B2" w:rsidDel="0001490F" w14:paraId="1E530CD5" w14:textId="77777777" w:rsidTr="00122328">
        <w:tblPrEx>
          <w:tblBorders>
            <w:top w:val="single" w:sz="4" w:space="0" w:color="auto"/>
            <w:left w:val="single" w:sz="4" w:space="0" w:color="auto"/>
            <w:bottom w:val="single" w:sz="4" w:space="0" w:color="auto"/>
            <w:right w:val="single" w:sz="4" w:space="0" w:color="auto"/>
            <w:insideV w:val="single" w:sz="4" w:space="0" w:color="auto"/>
          </w:tblBorders>
          <w:tblCellMar>
            <w:right w:w="108" w:type="dxa"/>
          </w:tblCellMar>
        </w:tblPrEx>
        <w:trPr>
          <w:trHeight w:val="236"/>
        </w:trPr>
        <w:tc>
          <w:tcPr>
            <w:tcW w:w="3726" w:type="pct"/>
            <w:tcBorders>
              <w:left w:val="nil"/>
              <w:right w:val="nil"/>
            </w:tcBorders>
          </w:tcPr>
          <w:p w14:paraId="2E4D4A76" w14:textId="3DFEE5DC" w:rsidR="009F4BB4" w:rsidRDefault="00031CE6" w:rsidP="00A207F8">
            <w:pPr>
              <w:pStyle w:val="TableBodySmall"/>
            </w:pPr>
            <w:r>
              <w:t>Release</w:t>
            </w:r>
            <w:r w:rsidR="00AA3F83">
              <w:t xml:space="preserve"> the Residential Aged Care Cost</w:t>
            </w:r>
            <w:r w:rsidR="00160556">
              <w:t xml:space="preserve"> Collection</w:t>
            </w:r>
            <w:r w:rsidR="00AA3F83">
              <w:t xml:space="preserve"> 2024 Report.</w:t>
            </w:r>
          </w:p>
        </w:tc>
        <w:tc>
          <w:tcPr>
            <w:tcW w:w="1274" w:type="pct"/>
            <w:tcBorders>
              <w:left w:val="nil"/>
              <w:right w:val="nil"/>
            </w:tcBorders>
          </w:tcPr>
          <w:p w14:paraId="662E6E87" w14:textId="4A0A4F0D" w:rsidR="009F4BB4" w:rsidRDefault="00AA3F83" w:rsidP="00A207F8">
            <w:pPr>
              <w:pStyle w:val="TableBodySmall"/>
            </w:pPr>
            <w:r>
              <w:t>February 2025</w:t>
            </w:r>
          </w:p>
        </w:tc>
      </w:tr>
      <w:tr w:rsidR="00AA3F83" w:rsidRPr="00AC04B2" w14:paraId="60C06AC5" w14:textId="77777777" w:rsidTr="00122328">
        <w:tblPrEx>
          <w:tblBorders>
            <w:top w:val="single" w:sz="4" w:space="0" w:color="auto"/>
            <w:left w:val="single" w:sz="4" w:space="0" w:color="auto"/>
            <w:bottom w:val="single" w:sz="4" w:space="0" w:color="auto"/>
            <w:right w:val="single" w:sz="4" w:space="0" w:color="auto"/>
            <w:insideV w:val="single" w:sz="4" w:space="0" w:color="auto"/>
          </w:tblBorders>
          <w:tblCellMar>
            <w:right w:w="108" w:type="dxa"/>
          </w:tblCellMar>
        </w:tblPrEx>
        <w:trPr>
          <w:trHeight w:val="236"/>
        </w:trPr>
        <w:tc>
          <w:tcPr>
            <w:tcW w:w="3726" w:type="pct"/>
            <w:tcBorders>
              <w:left w:val="nil"/>
              <w:right w:val="nil"/>
            </w:tcBorders>
          </w:tcPr>
          <w:p w14:paraId="2213663D" w14:textId="3A5A3122" w:rsidR="00AA3F83" w:rsidRPr="00AC04B2" w:rsidDel="00EA782A" w:rsidRDefault="008F06F9" w:rsidP="00A207F8">
            <w:pPr>
              <w:pStyle w:val="TableBodySmall"/>
            </w:pPr>
            <w:r>
              <w:t>Release</w:t>
            </w:r>
            <w:r w:rsidR="00AA3F83">
              <w:t xml:space="preserve"> the Residential Aged Care</w:t>
            </w:r>
            <w:r w:rsidR="001512C1">
              <w:t xml:space="preserve"> Specialised Services</w:t>
            </w:r>
            <w:r w:rsidR="00AA3F83">
              <w:t xml:space="preserve"> Costing Study Report.</w:t>
            </w:r>
          </w:p>
        </w:tc>
        <w:tc>
          <w:tcPr>
            <w:tcW w:w="1274" w:type="pct"/>
            <w:tcBorders>
              <w:left w:val="nil"/>
              <w:right w:val="nil"/>
            </w:tcBorders>
          </w:tcPr>
          <w:p w14:paraId="5D45FB24" w14:textId="0B4A2DA8" w:rsidR="00AA3F83" w:rsidRPr="00AC04B2" w:rsidRDefault="00B236DE" w:rsidP="00A207F8">
            <w:pPr>
              <w:pStyle w:val="TableBodySmall"/>
            </w:pPr>
            <w:r>
              <w:t xml:space="preserve">February </w:t>
            </w:r>
            <w:r w:rsidR="00AA3F83">
              <w:t>2025</w:t>
            </w:r>
          </w:p>
        </w:tc>
      </w:tr>
      <w:tr w:rsidR="00AA3F83" w:rsidRPr="00AC04B2" w14:paraId="1F9CBFD7" w14:textId="77777777" w:rsidTr="00122328">
        <w:tblPrEx>
          <w:tblBorders>
            <w:top w:val="single" w:sz="4" w:space="0" w:color="auto"/>
            <w:left w:val="single" w:sz="4" w:space="0" w:color="auto"/>
            <w:bottom w:val="single" w:sz="4" w:space="0" w:color="auto"/>
            <w:right w:val="single" w:sz="4" w:space="0" w:color="auto"/>
            <w:insideV w:val="single" w:sz="4" w:space="0" w:color="auto"/>
          </w:tblBorders>
          <w:tblCellMar>
            <w:right w:w="108" w:type="dxa"/>
          </w:tblCellMar>
        </w:tblPrEx>
        <w:trPr>
          <w:trHeight w:val="236"/>
        </w:trPr>
        <w:tc>
          <w:tcPr>
            <w:tcW w:w="3726" w:type="pct"/>
            <w:tcBorders>
              <w:left w:val="nil"/>
              <w:right w:val="nil"/>
            </w:tcBorders>
          </w:tcPr>
          <w:p w14:paraId="2CDD406E" w14:textId="4FC2DFBF" w:rsidR="00AA3F83" w:rsidRDefault="00AA3F83" w:rsidP="00A207F8">
            <w:pPr>
              <w:pStyle w:val="TableBodySmall"/>
            </w:pPr>
            <w:r>
              <w:t>Collect Support at Home Aged Care Costing Study data.</w:t>
            </w:r>
          </w:p>
        </w:tc>
        <w:tc>
          <w:tcPr>
            <w:tcW w:w="1274" w:type="pct"/>
            <w:tcBorders>
              <w:left w:val="nil"/>
              <w:right w:val="nil"/>
            </w:tcBorders>
          </w:tcPr>
          <w:p w14:paraId="3EFD89D0" w14:textId="2AEE3167" w:rsidR="00AA3F83" w:rsidRDefault="00B236DE" w:rsidP="00A207F8">
            <w:pPr>
              <w:pStyle w:val="TableBodySmall"/>
            </w:pPr>
            <w:r>
              <w:t>December 2024</w:t>
            </w:r>
          </w:p>
        </w:tc>
      </w:tr>
      <w:tr w:rsidR="00AA3F83" w:rsidRPr="00AC04B2" w14:paraId="603B2F6A" w14:textId="77777777" w:rsidTr="00122328">
        <w:tblPrEx>
          <w:tblBorders>
            <w:top w:val="single" w:sz="4" w:space="0" w:color="auto"/>
            <w:left w:val="single" w:sz="4" w:space="0" w:color="auto"/>
            <w:bottom w:val="single" w:sz="4" w:space="0" w:color="auto"/>
            <w:right w:val="single" w:sz="4" w:space="0" w:color="auto"/>
            <w:insideV w:val="single" w:sz="4" w:space="0" w:color="auto"/>
          </w:tblBorders>
          <w:tblCellMar>
            <w:right w:w="108" w:type="dxa"/>
          </w:tblCellMar>
        </w:tblPrEx>
        <w:trPr>
          <w:trHeight w:val="236"/>
        </w:trPr>
        <w:tc>
          <w:tcPr>
            <w:tcW w:w="3726" w:type="pct"/>
            <w:tcBorders>
              <w:left w:val="nil"/>
              <w:right w:val="nil"/>
            </w:tcBorders>
          </w:tcPr>
          <w:p w14:paraId="26E6C254" w14:textId="311BBF7E" w:rsidR="00AA3F83" w:rsidRDefault="008F06F9" w:rsidP="00A207F8">
            <w:pPr>
              <w:pStyle w:val="TableBodySmall"/>
            </w:pPr>
            <w:r>
              <w:t>Release</w:t>
            </w:r>
            <w:r w:rsidR="00AA3F83">
              <w:t xml:space="preserve"> the Support at Home Aged Care Cost Data 2024 Report.</w:t>
            </w:r>
          </w:p>
        </w:tc>
        <w:tc>
          <w:tcPr>
            <w:tcW w:w="1274" w:type="pct"/>
            <w:tcBorders>
              <w:left w:val="nil"/>
              <w:right w:val="nil"/>
            </w:tcBorders>
          </w:tcPr>
          <w:p w14:paraId="7DB9E961" w14:textId="660451F5" w:rsidR="00AA3F83" w:rsidRDefault="00AA3F83" w:rsidP="00A207F8">
            <w:pPr>
              <w:pStyle w:val="TableBodySmall"/>
            </w:pPr>
            <w:r>
              <w:t>February 2025</w:t>
            </w:r>
          </w:p>
        </w:tc>
      </w:tr>
      <w:tr w:rsidR="005A593B" w:rsidRPr="00AC04B2" w14:paraId="7F3BBD0E" w14:textId="77777777" w:rsidTr="00122328">
        <w:tblPrEx>
          <w:tblBorders>
            <w:top w:val="single" w:sz="4" w:space="0" w:color="auto"/>
            <w:left w:val="single" w:sz="4" w:space="0" w:color="auto"/>
            <w:bottom w:val="single" w:sz="4" w:space="0" w:color="auto"/>
            <w:right w:val="single" w:sz="4" w:space="0" w:color="auto"/>
            <w:insideV w:val="single" w:sz="4" w:space="0" w:color="auto"/>
          </w:tblBorders>
          <w:tblCellMar>
            <w:right w:w="108" w:type="dxa"/>
          </w:tblCellMar>
        </w:tblPrEx>
        <w:trPr>
          <w:trHeight w:val="236"/>
        </w:trPr>
        <w:tc>
          <w:tcPr>
            <w:tcW w:w="3726" w:type="pct"/>
            <w:tcBorders>
              <w:left w:val="nil"/>
              <w:right w:val="nil"/>
            </w:tcBorders>
          </w:tcPr>
          <w:p w14:paraId="4CAF38D6" w14:textId="108E0BF5" w:rsidR="005A593B" w:rsidRPr="00AC04B2" w:rsidRDefault="00EA782A" w:rsidP="00A207F8">
            <w:pPr>
              <w:pStyle w:val="TableBodySmall"/>
            </w:pPr>
            <w:r>
              <w:t>Continue the development of</w:t>
            </w:r>
            <w:r w:rsidR="005A593B" w:rsidRPr="00AC04B2">
              <w:t xml:space="preserve"> the Australian Aged Care Costing Standards.</w:t>
            </w:r>
          </w:p>
        </w:tc>
        <w:tc>
          <w:tcPr>
            <w:tcW w:w="1274" w:type="pct"/>
            <w:tcBorders>
              <w:left w:val="nil"/>
              <w:right w:val="nil"/>
            </w:tcBorders>
          </w:tcPr>
          <w:p w14:paraId="7924436E" w14:textId="346D7EE9" w:rsidR="005A593B" w:rsidRPr="00AC04B2" w:rsidRDefault="005A593B" w:rsidP="00A207F8">
            <w:pPr>
              <w:pStyle w:val="TableBodySmall"/>
            </w:pPr>
            <w:r w:rsidRPr="00AC04B2">
              <w:t xml:space="preserve">June </w:t>
            </w:r>
            <w:r w:rsidR="0001490F" w:rsidRPr="00AC04B2">
              <w:t>202</w:t>
            </w:r>
            <w:r w:rsidR="0001490F">
              <w:t>5</w:t>
            </w:r>
          </w:p>
        </w:tc>
      </w:tr>
    </w:tbl>
    <w:p w14:paraId="25E47AFD" w14:textId="77777777" w:rsidR="00BD0ECF" w:rsidRDefault="00BD0ECF" w:rsidP="00BD0ECF">
      <w:pPr>
        <w:pStyle w:val="Body"/>
      </w:pPr>
    </w:p>
    <w:p w14:paraId="5D3311F2" w14:textId="6219064C" w:rsidR="005A593B" w:rsidRPr="00BD0ECF" w:rsidRDefault="005A593B" w:rsidP="00BD0ECF">
      <w:pPr>
        <w:pStyle w:val="Body"/>
        <w:rPr>
          <w:b/>
          <w:bCs/>
        </w:rPr>
      </w:pPr>
      <w:r w:rsidRPr="00BD0ECF">
        <w:rPr>
          <w:b/>
          <w:bCs/>
        </w:rPr>
        <w:t>Residential Aged Care Cost</w:t>
      </w:r>
      <w:r w:rsidR="00160556">
        <w:rPr>
          <w:b/>
          <w:bCs/>
        </w:rPr>
        <w:t xml:space="preserve"> Collection</w:t>
      </w:r>
    </w:p>
    <w:p w14:paraId="44FD7F2B" w14:textId="720E8FD9" w:rsidR="000F798D" w:rsidRDefault="005A593B" w:rsidP="000F798D">
      <w:pPr>
        <w:pStyle w:val="Body"/>
      </w:pPr>
      <w:r w:rsidRPr="00AC04B2">
        <w:t>To inform the development and refinement of the AN-ACC</w:t>
      </w:r>
      <w:r w:rsidR="005D251C" w:rsidRPr="00AC04B2">
        <w:t xml:space="preserve"> funding model</w:t>
      </w:r>
      <w:r w:rsidRPr="00AC04B2">
        <w:t>, IHACPA</w:t>
      </w:r>
      <w:r w:rsidR="00CC435C">
        <w:t xml:space="preserve"> will conduct an</w:t>
      </w:r>
      <w:r w:rsidR="009777AE">
        <w:t>nual cost collection</w:t>
      </w:r>
      <w:r w:rsidRPr="00AC04B2">
        <w:t xml:space="preserve"> in the residential aged care setting. The purpose of the </w:t>
      </w:r>
      <w:r w:rsidR="009777AE">
        <w:t>collection is</w:t>
      </w:r>
      <w:r w:rsidRPr="00AC04B2">
        <w:t xml:space="preserve"> to collect a representative sample of cost data reflecting the care activities </w:t>
      </w:r>
      <w:r w:rsidR="005D251C" w:rsidRPr="00AC04B2">
        <w:t>that</w:t>
      </w:r>
      <w:r w:rsidRPr="00AC04B2">
        <w:t xml:space="preserve"> residents of aged care facilities receive, across a variety of residential aged care facilities. The results and findings from the cost</w:t>
      </w:r>
      <w:r w:rsidR="005B29C4">
        <w:t xml:space="preserve"> collection</w:t>
      </w:r>
      <w:r w:rsidRPr="00AC04B2">
        <w:t xml:space="preserve"> will inform the development of a costing framework</w:t>
      </w:r>
      <w:r w:rsidR="005B29C4">
        <w:t>,</w:t>
      </w:r>
      <w:r w:rsidRPr="00AC04B2">
        <w:t xml:space="preserve"> </w:t>
      </w:r>
      <w:r w:rsidR="005D251C" w:rsidRPr="00AC04B2">
        <w:t xml:space="preserve">costing </w:t>
      </w:r>
      <w:r w:rsidRPr="00AC04B2">
        <w:t>methodology, data sets and related materials and processes</w:t>
      </w:r>
      <w:r w:rsidR="005D251C" w:rsidRPr="00AC04B2">
        <w:t>,</w:t>
      </w:r>
      <w:r w:rsidRPr="00AC04B2">
        <w:t xml:space="preserve"> which </w:t>
      </w:r>
      <w:r w:rsidR="005D251C" w:rsidRPr="00AC04B2">
        <w:t xml:space="preserve">will support </w:t>
      </w:r>
      <w:r w:rsidRPr="00AC04B2">
        <w:t>IHACPA</w:t>
      </w:r>
      <w:r w:rsidR="005D251C" w:rsidRPr="00AC04B2">
        <w:t xml:space="preserve">’s </w:t>
      </w:r>
      <w:r w:rsidRPr="00AC04B2">
        <w:t>pricing advice on residential aged care.</w:t>
      </w:r>
      <w:r w:rsidR="000F798D" w:rsidRPr="000F798D">
        <w:t xml:space="preserve"> </w:t>
      </w:r>
    </w:p>
    <w:p w14:paraId="0B445FF6" w14:textId="3A5AFCFF" w:rsidR="005A593B" w:rsidRDefault="000F798D" w:rsidP="000F798D">
      <w:pPr>
        <w:pStyle w:val="Body"/>
      </w:pPr>
      <w:r>
        <w:t>IHACPA will engage with relevant stakeholders to determine priorities for consideration, such as residential respite, in future costing studies to inform the refinement of the AN-ACC funding model.</w:t>
      </w:r>
    </w:p>
    <w:p w14:paraId="57FB2046" w14:textId="77777777" w:rsidR="00394ADC" w:rsidRDefault="00394ADC">
      <w:pPr>
        <w:rPr>
          <w:rFonts w:ascii="Arial" w:hAnsi="Arial" w:cs="Arial"/>
          <w:b/>
          <w:bCs/>
          <w:sz w:val="20"/>
          <w:szCs w:val="20"/>
        </w:rPr>
      </w:pPr>
      <w:r>
        <w:rPr>
          <w:b/>
          <w:bCs/>
        </w:rPr>
        <w:br w:type="page"/>
      </w:r>
    </w:p>
    <w:p w14:paraId="2D4A7420" w14:textId="1CD2A470" w:rsidR="000156A9" w:rsidRDefault="000156A9" w:rsidP="000156A9">
      <w:pPr>
        <w:pStyle w:val="Body"/>
        <w:keepNext/>
        <w:rPr>
          <w:b/>
          <w:bCs/>
        </w:rPr>
      </w:pPr>
      <w:r>
        <w:rPr>
          <w:b/>
          <w:bCs/>
        </w:rPr>
        <w:lastRenderedPageBreak/>
        <w:t>Residential Aged Care Specialised Services Costing Study</w:t>
      </w:r>
    </w:p>
    <w:p w14:paraId="55974F04" w14:textId="327B1821" w:rsidR="000156A9" w:rsidRPr="00AC04B2" w:rsidRDefault="000156A9" w:rsidP="00FF78C7">
      <w:pPr>
        <w:pStyle w:val="Body"/>
        <w:keepNext/>
        <w:rPr>
          <w:lang w:eastAsia="en-AU"/>
        </w:rPr>
      </w:pPr>
      <w:r>
        <w:t>To inform the refinement of the AN-ACC funding model, IHACPA intends to commence additional costing studies to refine cost drivers such as specialised clinical services and individual resident demographics. These key areas will be identified and prioritised through both responses to</w:t>
      </w:r>
      <w:r w:rsidR="008C18A7">
        <w:t xml:space="preserve"> the</w:t>
      </w:r>
      <w:r>
        <w:t xml:space="preserve"> consultation</w:t>
      </w:r>
      <w:r w:rsidR="008C18A7">
        <w:t>,</w:t>
      </w:r>
      <w:r>
        <w:t xml:space="preserve"> as well as from outcomes from the larger</w:t>
      </w:r>
      <w:r w:rsidR="008C18A7">
        <w:t>,</w:t>
      </w:r>
      <w:r>
        <w:t xml:space="preserve"> general Residential Aged Care Cost</w:t>
      </w:r>
      <w:r w:rsidR="00160556">
        <w:t xml:space="preserve"> C</w:t>
      </w:r>
      <w:r>
        <w:t xml:space="preserve">ollection. </w:t>
      </w:r>
    </w:p>
    <w:p w14:paraId="55B612D0" w14:textId="2BBB2F26" w:rsidR="00AA3F83" w:rsidRDefault="00AA3F83" w:rsidP="00A54765">
      <w:pPr>
        <w:pStyle w:val="Body"/>
        <w:keepNext/>
        <w:rPr>
          <w:b/>
          <w:bCs/>
        </w:rPr>
      </w:pPr>
      <w:r>
        <w:rPr>
          <w:b/>
          <w:bCs/>
        </w:rPr>
        <w:t>Support at Home Costing Study</w:t>
      </w:r>
    </w:p>
    <w:p w14:paraId="470C89D0" w14:textId="2EED1A34" w:rsidR="00AA3F83" w:rsidRPr="00F91148" w:rsidRDefault="00AA3F83" w:rsidP="00A54765">
      <w:pPr>
        <w:pStyle w:val="Body"/>
        <w:keepNext/>
      </w:pPr>
      <w:r>
        <w:t xml:space="preserve">To inform the development of pricing </w:t>
      </w:r>
      <w:r w:rsidR="00897679">
        <w:t xml:space="preserve">advice </w:t>
      </w:r>
      <w:r>
        <w:t xml:space="preserve">for the service list for the new Support at Home Program, IHACPA has commenced a Support at Home costing study. The purpose of the study is to collect a representative sample of cost and activity data from providers, </w:t>
      </w:r>
      <w:r w:rsidR="00441461">
        <w:t>that</w:t>
      </w:r>
      <w:r>
        <w:t xml:space="preserve"> is reflective of the anticipated </w:t>
      </w:r>
      <w:r w:rsidR="00082923">
        <w:t>Support at Home</w:t>
      </w:r>
      <w:r w:rsidR="00082923" w:rsidDel="00082923">
        <w:t xml:space="preserve"> </w:t>
      </w:r>
      <w:r>
        <w:t xml:space="preserve">service list that will form the price schedule of the new </w:t>
      </w:r>
      <w:r w:rsidR="009226A2">
        <w:t xml:space="preserve">Support at Home </w:t>
      </w:r>
      <w:r>
        <w:t xml:space="preserve">Program. The results and findings from this costing study will feed into the development of a costing framework, costing methodology and data sets, all of which will support IHACPA in developing pricing advice on the </w:t>
      </w:r>
      <w:r w:rsidR="00082923">
        <w:t>Support at Home</w:t>
      </w:r>
      <w:r w:rsidR="00082923" w:rsidDel="00082923">
        <w:t xml:space="preserve"> </w:t>
      </w:r>
      <w:r>
        <w:t xml:space="preserve">Program and provide a foundation to underpin future costing studies. </w:t>
      </w:r>
    </w:p>
    <w:p w14:paraId="59221B2F" w14:textId="1E08E140" w:rsidR="005A593B" w:rsidRPr="00BD0ECF" w:rsidRDefault="005A593B" w:rsidP="00A54765">
      <w:pPr>
        <w:pStyle w:val="Body"/>
        <w:keepNext/>
        <w:rPr>
          <w:b/>
          <w:bCs/>
        </w:rPr>
      </w:pPr>
      <w:r w:rsidRPr="00BD0ECF">
        <w:rPr>
          <w:b/>
          <w:bCs/>
        </w:rPr>
        <w:t xml:space="preserve">Development of </w:t>
      </w:r>
      <w:r w:rsidR="00757BAD" w:rsidRPr="00BD0ECF">
        <w:rPr>
          <w:b/>
          <w:bCs/>
        </w:rPr>
        <w:t xml:space="preserve">the </w:t>
      </w:r>
      <w:r w:rsidRPr="00BD0ECF">
        <w:rPr>
          <w:b/>
          <w:bCs/>
        </w:rPr>
        <w:t>Australian Aged Care Costing Standards</w:t>
      </w:r>
    </w:p>
    <w:p w14:paraId="719712B0" w14:textId="0BC2DE5C" w:rsidR="005A593B" w:rsidRPr="00AC04B2" w:rsidRDefault="005A593B" w:rsidP="00BD0ECF">
      <w:pPr>
        <w:pStyle w:val="Body"/>
      </w:pPr>
      <w:r w:rsidRPr="00AC04B2">
        <w:t>In 202</w:t>
      </w:r>
      <w:r w:rsidR="00EA782A">
        <w:t>4</w:t>
      </w:r>
      <w:r w:rsidRPr="00AC04B2">
        <w:t>–2</w:t>
      </w:r>
      <w:r w:rsidR="00EA782A">
        <w:t>5</w:t>
      </w:r>
      <w:r w:rsidRPr="00AC04B2">
        <w:t xml:space="preserve">, IHACPA will </w:t>
      </w:r>
      <w:r w:rsidR="00EA782A">
        <w:t xml:space="preserve">continue to </w:t>
      </w:r>
      <w:r w:rsidRPr="00AC04B2">
        <w:t>develop costing standards and, where required, business rules and guidelines to guide the allocation of resident level costs. The Australian Aged Care Costing Standards will be incorporated into the residential aged care costing study and inform the development of the residential aged care pricing advice for 202</w:t>
      </w:r>
      <w:r w:rsidR="0083440C">
        <w:t>5</w:t>
      </w:r>
      <w:r w:rsidRPr="00AC04B2">
        <w:t>–2</w:t>
      </w:r>
      <w:r w:rsidR="0083440C">
        <w:t>6</w:t>
      </w:r>
      <w:r w:rsidRPr="00AC04B2">
        <w:t xml:space="preserve"> and 202</w:t>
      </w:r>
      <w:r w:rsidR="0083440C">
        <w:t>6</w:t>
      </w:r>
      <w:r w:rsidRPr="00AC04B2">
        <w:t>–2</w:t>
      </w:r>
      <w:r w:rsidR="0083440C">
        <w:t>7</w:t>
      </w:r>
      <w:r w:rsidRPr="00AC04B2">
        <w:t xml:space="preserve">. </w:t>
      </w:r>
    </w:p>
    <w:bookmarkEnd w:id="110"/>
    <w:p w14:paraId="50DC428B" w14:textId="4D57BAF5" w:rsidR="001E6121" w:rsidRPr="00146523" w:rsidRDefault="00B5782A" w:rsidP="00636C28">
      <w:pPr>
        <w:pStyle w:val="H4"/>
        <w:keepNext/>
        <w:numPr>
          <w:ilvl w:val="0"/>
          <w:numId w:val="9"/>
        </w:numPr>
        <w:ind w:left="499" w:hanging="357"/>
      </w:pPr>
      <w:r w:rsidRPr="00146523">
        <w:t>C</w:t>
      </w:r>
      <w:r w:rsidR="001E6121" w:rsidRPr="00146523">
        <w:t>osting studies</w:t>
      </w:r>
      <w:r w:rsidR="00021213" w:rsidRPr="00146523">
        <w:t xml:space="preserve"> for public hospital services</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1E6121" w:rsidRPr="00811007" w14:paraId="46ACF780" w14:textId="77777777" w:rsidTr="003464CB">
        <w:tc>
          <w:tcPr>
            <w:tcW w:w="3726" w:type="pct"/>
            <w:tcBorders>
              <w:top w:val="nil"/>
              <w:bottom w:val="nil"/>
            </w:tcBorders>
            <w:shd w:val="clear" w:color="auto" w:fill="15272F" w:themeFill="text1"/>
            <w:vAlign w:val="center"/>
          </w:tcPr>
          <w:p w14:paraId="2CF1BAC5" w14:textId="3A5D765C" w:rsidR="001E6121" w:rsidRPr="00146523" w:rsidRDefault="00FF0E74" w:rsidP="00A207F8">
            <w:pPr>
              <w:pStyle w:val="TableHeading"/>
            </w:pPr>
            <w:r w:rsidRPr="00146523">
              <w:t>Deliverable</w:t>
            </w:r>
          </w:p>
        </w:tc>
        <w:tc>
          <w:tcPr>
            <w:tcW w:w="1274" w:type="pct"/>
            <w:tcBorders>
              <w:top w:val="nil"/>
              <w:bottom w:val="nil"/>
            </w:tcBorders>
            <w:shd w:val="clear" w:color="auto" w:fill="15272F" w:themeFill="text1"/>
            <w:vAlign w:val="center"/>
          </w:tcPr>
          <w:p w14:paraId="5096DD19" w14:textId="4419E8A9" w:rsidR="001E6121" w:rsidRPr="00146523" w:rsidRDefault="00FF0E74" w:rsidP="00A207F8">
            <w:pPr>
              <w:pStyle w:val="TableHeading"/>
            </w:pPr>
            <w:r w:rsidRPr="00146523">
              <w:t>Timeframe</w:t>
            </w:r>
          </w:p>
        </w:tc>
      </w:tr>
      <w:tr w:rsidR="001E6121" w:rsidRPr="00811007" w14:paraId="436C3FAE" w14:textId="77777777" w:rsidTr="003464CB">
        <w:trPr>
          <w:trHeight w:val="236"/>
        </w:trPr>
        <w:tc>
          <w:tcPr>
            <w:tcW w:w="3726" w:type="pct"/>
            <w:tcBorders>
              <w:top w:val="nil"/>
              <w:bottom w:val="single" w:sz="4" w:space="0" w:color="auto"/>
            </w:tcBorders>
          </w:tcPr>
          <w:p w14:paraId="749FC728" w14:textId="2002283B" w:rsidR="001E6121" w:rsidRPr="00146523" w:rsidRDefault="004460F2" w:rsidP="00A207F8">
            <w:pPr>
              <w:pStyle w:val="TableBodySmall"/>
            </w:pPr>
            <w:bookmarkStart w:id="111" w:name="_Hlk150785377"/>
            <w:r w:rsidRPr="00146523">
              <w:t>Continue the i</w:t>
            </w:r>
            <w:r w:rsidR="00EC6667" w:rsidRPr="00146523">
              <w:t>nvestigation of o</w:t>
            </w:r>
            <w:r w:rsidR="001E6121" w:rsidRPr="00146523">
              <w:t>rgan donation, retrieval and transplantation</w:t>
            </w:r>
            <w:r w:rsidR="00EC6667" w:rsidRPr="00146523">
              <w:t xml:space="preserve"> costs</w:t>
            </w:r>
            <w:r w:rsidR="001E6121" w:rsidRPr="00146523">
              <w:t>.</w:t>
            </w:r>
            <w:bookmarkEnd w:id="111"/>
          </w:p>
        </w:tc>
        <w:tc>
          <w:tcPr>
            <w:tcW w:w="1274" w:type="pct"/>
            <w:tcBorders>
              <w:top w:val="nil"/>
              <w:bottom w:val="single" w:sz="4" w:space="0" w:color="auto"/>
            </w:tcBorders>
          </w:tcPr>
          <w:p w14:paraId="30A84BAF" w14:textId="6C9997E1" w:rsidR="001E6121" w:rsidRPr="00146523" w:rsidRDefault="007F77FD" w:rsidP="00A207F8">
            <w:pPr>
              <w:pStyle w:val="TableBodySmall"/>
            </w:pPr>
            <w:r>
              <w:t>On</w:t>
            </w:r>
            <w:r w:rsidR="00DE6C0F">
              <w:t>going</w:t>
            </w:r>
          </w:p>
        </w:tc>
      </w:tr>
    </w:tbl>
    <w:p w14:paraId="77404DE9" w14:textId="77777777" w:rsidR="00BD0ECF" w:rsidRPr="00146523" w:rsidRDefault="00BD0ECF" w:rsidP="00F00D91">
      <w:pPr>
        <w:pStyle w:val="Body"/>
      </w:pPr>
    </w:p>
    <w:p w14:paraId="1D0C1B70" w14:textId="3A1FF680" w:rsidR="001E6121" w:rsidRPr="00146523" w:rsidRDefault="001E6121" w:rsidP="00F00D91">
      <w:pPr>
        <w:pStyle w:val="Body"/>
        <w:rPr>
          <w:b/>
          <w:bCs/>
        </w:rPr>
      </w:pPr>
      <w:r w:rsidRPr="00146523">
        <w:rPr>
          <w:b/>
          <w:bCs/>
        </w:rPr>
        <w:t>To support the NHCDC, IH</w:t>
      </w:r>
      <w:r w:rsidR="004460F2" w:rsidRPr="00146523">
        <w:rPr>
          <w:b/>
          <w:bCs/>
        </w:rPr>
        <w:t>AC</w:t>
      </w:r>
      <w:r w:rsidRPr="00146523">
        <w:rPr>
          <w:b/>
          <w:bCs/>
        </w:rPr>
        <w:t xml:space="preserve">PA undertakes a wide range of separate costing studies. Costing studies are undertaken in areas of the NHCDC that are still in their infancy or </w:t>
      </w:r>
      <w:r w:rsidR="003B7AE2" w:rsidRPr="00146523">
        <w:rPr>
          <w:b/>
          <w:bCs/>
        </w:rPr>
        <w:t xml:space="preserve">where </w:t>
      </w:r>
      <w:r w:rsidRPr="00146523">
        <w:rPr>
          <w:b/>
          <w:bCs/>
        </w:rPr>
        <w:t>there is considerable stakeholder feedback to investigate costing in a certain area within the health system.</w:t>
      </w:r>
    </w:p>
    <w:p w14:paraId="4228D398" w14:textId="3D5FB722" w:rsidR="001E6121" w:rsidRPr="00146523" w:rsidRDefault="001E6121" w:rsidP="00F00D91">
      <w:pPr>
        <w:pStyle w:val="Body"/>
      </w:pPr>
      <w:r w:rsidRPr="00146523">
        <w:t>IH</w:t>
      </w:r>
      <w:r w:rsidR="004460F2" w:rsidRPr="00146523">
        <w:t>AC</w:t>
      </w:r>
      <w:r w:rsidRPr="00146523">
        <w:t xml:space="preserve">PA and </w:t>
      </w:r>
      <w:r w:rsidR="00EB6187">
        <w:t>state and territory</w:t>
      </w:r>
      <w:r w:rsidR="00EB6187" w:rsidRPr="00146523">
        <w:t xml:space="preserve"> </w:t>
      </w:r>
      <w:r w:rsidRPr="00146523">
        <w:t xml:space="preserve">stakeholders have recognised the need to appropriately cost organ donation, retrieval and transplantation since 2014, </w:t>
      </w:r>
      <w:r w:rsidR="003B7AE2" w:rsidRPr="00146523">
        <w:t xml:space="preserve">and introduced </w:t>
      </w:r>
      <w:r w:rsidRPr="00146523">
        <w:t xml:space="preserve">a number of support strategies. </w:t>
      </w:r>
    </w:p>
    <w:p w14:paraId="6902E3ED" w14:textId="7DCC06E0" w:rsidR="001E6121" w:rsidRDefault="004460F2" w:rsidP="00F00D91">
      <w:pPr>
        <w:pStyle w:val="Body"/>
      </w:pPr>
      <w:r w:rsidRPr="00146523">
        <w:t xml:space="preserve">In 2023–24, </w:t>
      </w:r>
      <w:r w:rsidR="00242CAE" w:rsidRPr="00146523">
        <w:t>IH</w:t>
      </w:r>
      <w:r w:rsidRPr="00146523">
        <w:t>AC</w:t>
      </w:r>
      <w:r w:rsidR="00242CAE" w:rsidRPr="00146523">
        <w:t xml:space="preserve">PA </w:t>
      </w:r>
      <w:r w:rsidR="00AF3FCF">
        <w:t>worked</w:t>
      </w:r>
      <w:r w:rsidR="00242CAE" w:rsidRPr="00146523">
        <w:t xml:space="preserve"> with jurisdictions to </w:t>
      </w:r>
      <w:r w:rsidR="00AF3FCF">
        <w:t>develop a project plan</w:t>
      </w:r>
      <w:r w:rsidR="007375CC" w:rsidRPr="007375CC">
        <w:t xml:space="preserve"> for progressing the work to better account for organ donation, retrieval and transplantation activity and costs</w:t>
      </w:r>
      <w:r w:rsidR="007375CC">
        <w:t>.</w:t>
      </w:r>
      <w:r w:rsidR="00CF54BE" w:rsidRPr="00146523">
        <w:t xml:space="preserve"> </w:t>
      </w:r>
    </w:p>
    <w:p w14:paraId="6B241189" w14:textId="31E8A447" w:rsidR="00DE6C0F" w:rsidRPr="00AC04B2" w:rsidRDefault="00DE6C0F" w:rsidP="00F00D91">
      <w:pPr>
        <w:pStyle w:val="Body"/>
      </w:pPr>
      <w:r>
        <w:t>In 2024–25</w:t>
      </w:r>
      <w:r w:rsidR="00E407FA">
        <w:t xml:space="preserve">, IHACPA will </w:t>
      </w:r>
      <w:r w:rsidR="00295ED9">
        <w:t>continue work to develop</w:t>
      </w:r>
      <w:r w:rsidR="00C35A78" w:rsidRPr="00C35A78">
        <w:t xml:space="preserve"> a schema to facilitate gap analysis and provide an overview of the entire organ procurement journey from initial potential donor screening through to post-transplantation care</w:t>
      </w:r>
      <w:r w:rsidR="00C35A78">
        <w:t xml:space="preserve">. </w:t>
      </w:r>
    </w:p>
    <w:p w14:paraId="7B36B3C6" w14:textId="1CA109D5" w:rsidR="00914210" w:rsidRPr="00AC04B2" w:rsidRDefault="00914210" w:rsidP="001E6121">
      <w:r w:rsidRPr="00AC04B2">
        <w:br w:type="page"/>
      </w:r>
    </w:p>
    <w:p w14:paraId="0B485FC9" w14:textId="1BE9C855" w:rsidR="008843C3" w:rsidRPr="00AC04B2" w:rsidRDefault="008843C3" w:rsidP="000D0126">
      <w:pPr>
        <w:pStyle w:val="H2"/>
        <w:tabs>
          <w:tab w:val="left" w:pos="7938"/>
        </w:tabs>
        <w:rPr>
          <w:color w:val="3BA392"/>
        </w:rPr>
      </w:pPr>
      <w:bookmarkStart w:id="112" w:name="_Toc133416938"/>
      <w:r w:rsidRPr="00AC04B2">
        <w:rPr>
          <w:color w:val="3BA392"/>
        </w:rPr>
        <w:lastRenderedPageBreak/>
        <w:t xml:space="preserve">Strategic Objective Four: Determine data requirements and </w:t>
      </w:r>
      <w:r w:rsidR="00E12C83" w:rsidRPr="00AC04B2">
        <w:rPr>
          <w:color w:val="3BA392"/>
        </w:rPr>
        <w:t>collect data</w:t>
      </w:r>
      <w:bookmarkEnd w:id="112"/>
      <w:r w:rsidR="00E12C83" w:rsidRPr="00AC04B2">
        <w:rPr>
          <w:color w:val="3BA392"/>
        </w:rPr>
        <w:t xml:space="preserve"> </w:t>
      </w:r>
    </w:p>
    <w:p w14:paraId="6086D8A0" w14:textId="74083DA6" w:rsidR="00094D64" w:rsidRPr="00AC04B2" w:rsidRDefault="00094D64" w:rsidP="007B2569">
      <w:pPr>
        <w:pStyle w:val="H4"/>
        <w:numPr>
          <w:ilvl w:val="0"/>
          <w:numId w:val="10"/>
        </w:numPr>
      </w:pPr>
      <w:bookmarkStart w:id="113" w:name="_Toc55045641"/>
      <w:bookmarkStart w:id="114" w:name="_Toc55054012"/>
      <w:bookmarkStart w:id="115" w:name="_Toc55237232"/>
      <w:bookmarkStart w:id="116" w:name="_Toc55238319"/>
      <w:bookmarkStart w:id="117" w:name="_Toc55974137"/>
      <w:r w:rsidRPr="00AC04B2">
        <w:t>Revision of the Three Year Data Pla</w:t>
      </w:r>
      <w:bookmarkEnd w:id="113"/>
      <w:bookmarkEnd w:id="114"/>
      <w:r w:rsidR="009A3B26" w:rsidRPr="00AC04B2">
        <w:t>n</w:t>
      </w:r>
      <w:bookmarkEnd w:id="115"/>
      <w:bookmarkEnd w:id="116"/>
      <w:bookmarkEnd w:id="117"/>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094D64" w:rsidRPr="00AC04B2" w14:paraId="1D8F1F68" w14:textId="77777777" w:rsidTr="00B8187B">
        <w:tc>
          <w:tcPr>
            <w:tcW w:w="3726" w:type="pct"/>
            <w:tcBorders>
              <w:top w:val="nil"/>
              <w:bottom w:val="nil"/>
            </w:tcBorders>
            <w:shd w:val="clear" w:color="auto" w:fill="54C1AF"/>
            <w:vAlign w:val="center"/>
          </w:tcPr>
          <w:p w14:paraId="30315269" w14:textId="2ABF15F5" w:rsidR="00094D64" w:rsidRPr="00AC04B2" w:rsidRDefault="00FF0E74" w:rsidP="00A207F8">
            <w:pPr>
              <w:pStyle w:val="TableHeading"/>
            </w:pPr>
            <w:r w:rsidRPr="00AC04B2">
              <w:t>Deliverable</w:t>
            </w:r>
          </w:p>
        </w:tc>
        <w:tc>
          <w:tcPr>
            <w:tcW w:w="1274" w:type="pct"/>
            <w:tcBorders>
              <w:top w:val="nil"/>
              <w:bottom w:val="nil"/>
            </w:tcBorders>
            <w:shd w:val="clear" w:color="auto" w:fill="54C1AF"/>
            <w:vAlign w:val="center"/>
          </w:tcPr>
          <w:p w14:paraId="6F334947" w14:textId="257E787D" w:rsidR="00094D64" w:rsidRPr="00AC04B2" w:rsidRDefault="00FF0E74" w:rsidP="00A207F8">
            <w:pPr>
              <w:pStyle w:val="TableHeading"/>
            </w:pPr>
            <w:r w:rsidRPr="00AC04B2">
              <w:t>Timeframe</w:t>
            </w:r>
          </w:p>
        </w:tc>
      </w:tr>
      <w:tr w:rsidR="000F2BE5" w:rsidRPr="00AC04B2" w14:paraId="484B9084" w14:textId="77777777" w:rsidTr="00B61BC7">
        <w:trPr>
          <w:trHeight w:val="236"/>
        </w:trPr>
        <w:tc>
          <w:tcPr>
            <w:tcW w:w="3726" w:type="pct"/>
            <w:tcBorders>
              <w:top w:val="nil"/>
              <w:bottom w:val="single" w:sz="4" w:space="0" w:color="auto"/>
            </w:tcBorders>
          </w:tcPr>
          <w:p w14:paraId="16B4A0F1" w14:textId="0EC44289" w:rsidR="000F2BE5" w:rsidRPr="00AC04B2" w:rsidRDefault="000F2BE5" w:rsidP="00A207F8">
            <w:pPr>
              <w:pStyle w:val="TableBodySmall"/>
            </w:pPr>
            <w:r w:rsidRPr="00AC04B2">
              <w:t>Publish the Three Year Data Plan 202</w:t>
            </w:r>
            <w:r w:rsidR="00811007">
              <w:t>5</w:t>
            </w:r>
            <w:r w:rsidRPr="00AC04B2">
              <w:t>–2</w:t>
            </w:r>
            <w:r w:rsidR="00811007">
              <w:t>6</w:t>
            </w:r>
            <w:r w:rsidRPr="00AC04B2">
              <w:t xml:space="preserve"> to 202</w:t>
            </w:r>
            <w:r w:rsidR="00811007">
              <w:t>6</w:t>
            </w:r>
            <w:r w:rsidRPr="00AC04B2">
              <w:t>–2</w:t>
            </w:r>
            <w:r w:rsidR="00811007">
              <w:t>7</w:t>
            </w:r>
            <w:r w:rsidRPr="00AC04B2">
              <w:t>.</w:t>
            </w:r>
          </w:p>
        </w:tc>
        <w:tc>
          <w:tcPr>
            <w:tcW w:w="1274" w:type="pct"/>
            <w:tcBorders>
              <w:top w:val="nil"/>
              <w:bottom w:val="single" w:sz="4" w:space="0" w:color="auto"/>
            </w:tcBorders>
          </w:tcPr>
          <w:p w14:paraId="2A8EEDF5" w14:textId="1A3948F4" w:rsidR="000F2BE5" w:rsidRPr="00AC04B2" w:rsidRDefault="000F2BE5" w:rsidP="00A207F8">
            <w:pPr>
              <w:pStyle w:val="TableBodySmall"/>
            </w:pPr>
            <w:r w:rsidRPr="00AC04B2">
              <w:t>June 202</w:t>
            </w:r>
            <w:r w:rsidR="00811007">
              <w:t>5</w:t>
            </w:r>
          </w:p>
        </w:tc>
      </w:tr>
    </w:tbl>
    <w:p w14:paraId="233D29F5" w14:textId="77777777" w:rsidR="00BD0ECF" w:rsidRDefault="00BD0ECF" w:rsidP="00F00D91">
      <w:pPr>
        <w:pStyle w:val="IntroBody"/>
      </w:pPr>
    </w:p>
    <w:p w14:paraId="4CD1906C" w14:textId="0CF80DFC" w:rsidR="00094D64" w:rsidRPr="00AC04B2" w:rsidRDefault="00D07538" w:rsidP="00F00D91">
      <w:pPr>
        <w:pStyle w:val="IntroBody"/>
      </w:pPr>
      <w:r w:rsidRPr="00AC04B2">
        <w:t>The Independent Health and Aged Care Pricing Authority’s (</w:t>
      </w:r>
      <w:r w:rsidR="000F2BE5" w:rsidRPr="00AC04B2">
        <w:t>IH</w:t>
      </w:r>
      <w:r w:rsidR="00EF73BA" w:rsidRPr="00AC04B2">
        <w:t>AC</w:t>
      </w:r>
      <w:r w:rsidR="000F2BE5" w:rsidRPr="00AC04B2">
        <w:t>PA</w:t>
      </w:r>
      <w:r w:rsidRPr="00AC04B2">
        <w:t>)</w:t>
      </w:r>
      <w:r w:rsidR="000F2BE5" w:rsidRPr="00AC04B2">
        <w:t xml:space="preserve"> Three Year Data Plan communicates the data requirements, data standards and timelines that IH</w:t>
      </w:r>
      <w:r w:rsidR="00EF73BA" w:rsidRPr="00AC04B2">
        <w:t>AC</w:t>
      </w:r>
      <w:r w:rsidR="000F2BE5" w:rsidRPr="00AC04B2">
        <w:t xml:space="preserve">PA will use to collect data </w:t>
      </w:r>
      <w:r w:rsidR="009D6D40" w:rsidRPr="00AC04B2">
        <w:t>from</w:t>
      </w:r>
      <w:r w:rsidR="002D3478" w:rsidRPr="00AC04B2">
        <w:t xml:space="preserve"> </w:t>
      </w:r>
      <w:r w:rsidR="009D6D40" w:rsidRPr="00AC04B2">
        <w:t xml:space="preserve">jurisdictions </w:t>
      </w:r>
      <w:r w:rsidR="000F2BE5" w:rsidRPr="00AC04B2">
        <w:t>over the coming three years</w:t>
      </w:r>
      <w:r w:rsidR="00094D64" w:rsidRPr="00AC04B2">
        <w:t>.</w:t>
      </w:r>
    </w:p>
    <w:p w14:paraId="5BA2591A" w14:textId="70A0783B" w:rsidR="000F2BE5" w:rsidRPr="00AC04B2" w:rsidRDefault="000F2BE5" w:rsidP="00F00D91">
      <w:pPr>
        <w:pStyle w:val="Body"/>
      </w:pPr>
      <w:r w:rsidRPr="00AC04B2">
        <w:t>IH</w:t>
      </w:r>
      <w:r w:rsidR="00EF73BA" w:rsidRPr="00AC04B2">
        <w:t>AC</w:t>
      </w:r>
      <w:r w:rsidRPr="00AC04B2">
        <w:t xml:space="preserve">PA supports the concept of ‘single provision, multiple use’ of information to maximise data provision efficiency and continues to align its rolling Three Year Data Plan with the National Health Funding Body’s data plan to support this aim. </w:t>
      </w:r>
    </w:p>
    <w:p w14:paraId="3E138552" w14:textId="06B8D406" w:rsidR="00094D64" w:rsidRPr="00AC04B2" w:rsidRDefault="000F2BE5" w:rsidP="00F00D91">
      <w:pPr>
        <w:pStyle w:val="Body"/>
      </w:pPr>
      <w:r w:rsidRPr="00AC04B2">
        <w:t>In 202</w:t>
      </w:r>
      <w:r w:rsidR="00BD33A3">
        <w:t>4</w:t>
      </w:r>
      <w:r w:rsidRPr="00AC04B2">
        <w:t>–2</w:t>
      </w:r>
      <w:r w:rsidR="00BD33A3">
        <w:t>5</w:t>
      </w:r>
      <w:r w:rsidRPr="00AC04B2">
        <w:t>, IH</w:t>
      </w:r>
      <w:r w:rsidR="00EF73BA" w:rsidRPr="00AC04B2">
        <w:t>AC</w:t>
      </w:r>
      <w:r w:rsidRPr="00AC04B2">
        <w:t>PA will update the Three Year Data Plan</w:t>
      </w:r>
      <w:r w:rsidR="00B9315D" w:rsidRPr="00AC04B2">
        <w:t>, including data collection requirements for both public hospital and aged care services,</w:t>
      </w:r>
      <w:r w:rsidRPr="00AC04B2">
        <w:t xml:space="preserve"> and provide it to the Health Chief Executives Forum and the Health Ministers’ Meeting for consideration</w:t>
      </w:r>
      <w:r w:rsidR="00094D64" w:rsidRPr="00AC04B2">
        <w:t>.</w:t>
      </w:r>
    </w:p>
    <w:p w14:paraId="48BF5C47" w14:textId="0FDCD25A" w:rsidR="00094D64" w:rsidRPr="00AC04B2" w:rsidRDefault="001C1116" w:rsidP="007B2569">
      <w:pPr>
        <w:pStyle w:val="H4"/>
        <w:numPr>
          <w:ilvl w:val="0"/>
          <w:numId w:val="10"/>
        </w:numPr>
      </w:pPr>
      <w:bookmarkStart w:id="118" w:name="_Toc55045642"/>
      <w:bookmarkStart w:id="119" w:name="_Toc55054013"/>
      <w:bookmarkStart w:id="120" w:name="_Toc55237233"/>
      <w:bookmarkStart w:id="121" w:name="_Toc55238320"/>
      <w:bookmarkStart w:id="122" w:name="_Toc55974138"/>
      <w:r w:rsidRPr="00AC04B2">
        <w:t>Data specification development and revision</w:t>
      </w:r>
      <w:bookmarkEnd w:id="118"/>
      <w:bookmarkEnd w:id="119"/>
      <w:bookmarkEnd w:id="120"/>
      <w:bookmarkEnd w:id="121"/>
      <w:bookmarkEnd w:id="122"/>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1C1116" w:rsidRPr="00AC04B2" w14:paraId="1513EF3B" w14:textId="77777777" w:rsidTr="00D874DF">
        <w:tc>
          <w:tcPr>
            <w:tcW w:w="3726" w:type="pct"/>
            <w:tcBorders>
              <w:top w:val="nil"/>
              <w:bottom w:val="nil"/>
            </w:tcBorders>
            <w:shd w:val="clear" w:color="auto" w:fill="54C1AF"/>
            <w:vAlign w:val="center"/>
          </w:tcPr>
          <w:p w14:paraId="7043DCAB" w14:textId="7789FBDB" w:rsidR="001C1116" w:rsidRPr="00AC04B2" w:rsidRDefault="00FF0E74" w:rsidP="00A207F8">
            <w:pPr>
              <w:pStyle w:val="TableHeading"/>
            </w:pPr>
            <w:r w:rsidRPr="00AC04B2">
              <w:t>Deliverable</w:t>
            </w:r>
          </w:p>
        </w:tc>
        <w:tc>
          <w:tcPr>
            <w:tcW w:w="1274" w:type="pct"/>
            <w:tcBorders>
              <w:top w:val="nil"/>
              <w:bottom w:val="nil"/>
            </w:tcBorders>
            <w:shd w:val="clear" w:color="auto" w:fill="54C1AF"/>
            <w:vAlign w:val="center"/>
          </w:tcPr>
          <w:p w14:paraId="76758248" w14:textId="472682D4" w:rsidR="001C1116" w:rsidRPr="00AC04B2" w:rsidRDefault="00FF0E74" w:rsidP="00A207F8">
            <w:pPr>
              <w:pStyle w:val="TableHeading"/>
            </w:pPr>
            <w:r w:rsidRPr="00AC04B2">
              <w:t>Timeframe</w:t>
            </w:r>
          </w:p>
        </w:tc>
      </w:tr>
      <w:tr w:rsidR="00676B70" w:rsidRPr="00AC04B2" w14:paraId="1703421C" w14:textId="77777777" w:rsidTr="00D874DF">
        <w:trPr>
          <w:trHeight w:val="236"/>
        </w:trPr>
        <w:tc>
          <w:tcPr>
            <w:tcW w:w="3726" w:type="pct"/>
            <w:tcBorders>
              <w:top w:val="nil"/>
              <w:bottom w:val="single" w:sz="4" w:space="0" w:color="auto"/>
            </w:tcBorders>
          </w:tcPr>
          <w:p w14:paraId="38CD73A4" w14:textId="687C8425" w:rsidR="00676B70" w:rsidRPr="00AC04B2" w:rsidRDefault="00676B70" w:rsidP="00A207F8">
            <w:pPr>
              <w:pStyle w:val="TableBodySmall"/>
            </w:pPr>
            <w:r w:rsidRPr="00AC04B2">
              <w:t xml:space="preserve">Complete the annual review of activity based funding </w:t>
            </w:r>
            <w:r w:rsidR="00FB0094">
              <w:t>n</w:t>
            </w:r>
            <w:r w:rsidRPr="00AC04B2">
              <w:t xml:space="preserve">ational </w:t>
            </w:r>
            <w:r w:rsidR="00FB0094">
              <w:t>b</w:t>
            </w:r>
            <w:r w:rsidRPr="00AC04B2">
              <w:t xml:space="preserve">est </w:t>
            </w:r>
            <w:r w:rsidR="00FB0094">
              <w:t>e</w:t>
            </w:r>
            <w:r w:rsidRPr="00AC04B2">
              <w:t xml:space="preserve">ndeavours </w:t>
            </w:r>
            <w:r w:rsidR="00FB0094">
              <w:t>d</w:t>
            </w:r>
            <w:r w:rsidRPr="00AC04B2">
              <w:t xml:space="preserve">ata </w:t>
            </w:r>
            <w:r w:rsidR="00FB0094">
              <w:t>s</w:t>
            </w:r>
            <w:r w:rsidRPr="00AC04B2">
              <w:t xml:space="preserve">ets and </w:t>
            </w:r>
            <w:r w:rsidR="00FB0094">
              <w:t>n</w:t>
            </w:r>
            <w:r w:rsidRPr="00AC04B2">
              <w:t xml:space="preserve">ational </w:t>
            </w:r>
            <w:r w:rsidR="00FB0094">
              <w:t>m</w:t>
            </w:r>
            <w:r w:rsidRPr="00AC04B2">
              <w:t xml:space="preserve">inimum </w:t>
            </w:r>
            <w:r w:rsidR="00FB0094">
              <w:t>d</w:t>
            </w:r>
            <w:r w:rsidRPr="00AC04B2">
              <w:t xml:space="preserve">ata </w:t>
            </w:r>
            <w:r w:rsidR="00FB0094">
              <w:t>s</w:t>
            </w:r>
            <w:r w:rsidRPr="00AC04B2">
              <w:t>ets.</w:t>
            </w:r>
          </w:p>
        </w:tc>
        <w:tc>
          <w:tcPr>
            <w:tcW w:w="1274" w:type="pct"/>
            <w:tcBorders>
              <w:top w:val="nil"/>
              <w:bottom w:val="single" w:sz="4" w:space="0" w:color="auto"/>
            </w:tcBorders>
          </w:tcPr>
          <w:p w14:paraId="3CDA1FD0" w14:textId="7BAAA359" w:rsidR="00676B70" w:rsidRPr="00AC04B2" w:rsidRDefault="00676B70" w:rsidP="00A207F8">
            <w:pPr>
              <w:pStyle w:val="TableBodySmall"/>
            </w:pPr>
            <w:r w:rsidRPr="00AC04B2">
              <w:t>December 202</w:t>
            </w:r>
            <w:r w:rsidR="00BD33A3">
              <w:t>4</w:t>
            </w:r>
          </w:p>
        </w:tc>
      </w:tr>
      <w:tr w:rsidR="006C6C14" w:rsidRPr="00AC04B2" w14:paraId="68D0C10B" w14:textId="77777777" w:rsidTr="00D874DF">
        <w:trPr>
          <w:trHeight w:val="236"/>
        </w:trPr>
        <w:tc>
          <w:tcPr>
            <w:tcW w:w="3726" w:type="pct"/>
            <w:tcBorders>
              <w:top w:val="single" w:sz="4" w:space="0" w:color="auto"/>
              <w:bottom w:val="single" w:sz="4" w:space="0" w:color="auto"/>
            </w:tcBorders>
          </w:tcPr>
          <w:p w14:paraId="290CE36E" w14:textId="7B658CED" w:rsidR="006C6C14" w:rsidRPr="00AC04B2" w:rsidRDefault="004C03D2" w:rsidP="00A207F8">
            <w:pPr>
              <w:pStyle w:val="TableBodySmall"/>
            </w:pPr>
            <w:r>
              <w:t xml:space="preserve">Investigate development </w:t>
            </w:r>
            <w:r w:rsidR="00FF6DE5" w:rsidRPr="00FF6DE5">
              <w:t>of a Data Request Specification for collection of organ procurement activity data</w:t>
            </w:r>
          </w:p>
        </w:tc>
        <w:tc>
          <w:tcPr>
            <w:tcW w:w="1274" w:type="pct"/>
            <w:tcBorders>
              <w:top w:val="single" w:sz="4" w:space="0" w:color="auto"/>
              <w:bottom w:val="single" w:sz="4" w:space="0" w:color="auto"/>
            </w:tcBorders>
          </w:tcPr>
          <w:p w14:paraId="6E7DBD36" w14:textId="01DC56DD" w:rsidR="006C6C14" w:rsidRPr="00AC04B2" w:rsidRDefault="006C6C14" w:rsidP="00A207F8">
            <w:pPr>
              <w:pStyle w:val="TableBodySmall"/>
            </w:pPr>
            <w:r>
              <w:t>June 202</w:t>
            </w:r>
            <w:r w:rsidR="00D26379">
              <w:t>5</w:t>
            </w:r>
          </w:p>
        </w:tc>
      </w:tr>
    </w:tbl>
    <w:p w14:paraId="1D5ECC66" w14:textId="77777777" w:rsidR="00BD0ECF" w:rsidRDefault="00BD0ECF" w:rsidP="00F00D91">
      <w:pPr>
        <w:pStyle w:val="Body"/>
      </w:pPr>
    </w:p>
    <w:p w14:paraId="2C9AB1EE" w14:textId="5B7233B9" w:rsidR="001C1116" w:rsidRPr="00BD0ECF" w:rsidRDefault="00676B70" w:rsidP="00F00D91">
      <w:pPr>
        <w:pStyle w:val="Body"/>
        <w:rPr>
          <w:b/>
          <w:bCs/>
        </w:rPr>
      </w:pPr>
      <w:r w:rsidRPr="00BD0ECF">
        <w:rPr>
          <w:b/>
          <w:bCs/>
        </w:rPr>
        <w:t>IH</w:t>
      </w:r>
      <w:r w:rsidR="00DB27C3" w:rsidRPr="00BD0ECF">
        <w:rPr>
          <w:b/>
          <w:bCs/>
        </w:rPr>
        <w:t>AC</w:t>
      </w:r>
      <w:r w:rsidRPr="00BD0ECF">
        <w:rPr>
          <w:b/>
          <w:bCs/>
        </w:rPr>
        <w:t xml:space="preserve">PA completes an annual review of the ABF </w:t>
      </w:r>
      <w:r w:rsidR="00FB0094">
        <w:rPr>
          <w:b/>
          <w:bCs/>
        </w:rPr>
        <w:t>n</w:t>
      </w:r>
      <w:r w:rsidRPr="00BD0ECF">
        <w:rPr>
          <w:b/>
          <w:bCs/>
        </w:rPr>
        <w:t xml:space="preserve">ational </w:t>
      </w:r>
      <w:r w:rsidR="00FB0094">
        <w:rPr>
          <w:b/>
          <w:bCs/>
        </w:rPr>
        <w:t>b</w:t>
      </w:r>
      <w:r w:rsidRPr="00BD0ECF">
        <w:rPr>
          <w:b/>
          <w:bCs/>
        </w:rPr>
        <w:t xml:space="preserve">est </w:t>
      </w:r>
      <w:r w:rsidR="00FB0094">
        <w:rPr>
          <w:b/>
          <w:bCs/>
        </w:rPr>
        <w:t>e</w:t>
      </w:r>
      <w:r w:rsidRPr="00BD0ECF">
        <w:rPr>
          <w:b/>
          <w:bCs/>
        </w:rPr>
        <w:t xml:space="preserve">ndeavours </w:t>
      </w:r>
      <w:r w:rsidR="00FB0094">
        <w:rPr>
          <w:b/>
          <w:bCs/>
        </w:rPr>
        <w:t>d</w:t>
      </w:r>
      <w:r w:rsidRPr="00BD0ECF">
        <w:rPr>
          <w:b/>
          <w:bCs/>
        </w:rPr>
        <w:t xml:space="preserve">ata </w:t>
      </w:r>
      <w:r w:rsidR="00FB0094">
        <w:rPr>
          <w:b/>
          <w:bCs/>
        </w:rPr>
        <w:t>s</w:t>
      </w:r>
      <w:r w:rsidRPr="00BD0ECF">
        <w:rPr>
          <w:b/>
          <w:bCs/>
        </w:rPr>
        <w:t>ets</w:t>
      </w:r>
      <w:r w:rsidR="00FB0094">
        <w:rPr>
          <w:b/>
          <w:bCs/>
        </w:rPr>
        <w:t xml:space="preserve"> </w:t>
      </w:r>
      <w:r w:rsidRPr="00BD0ECF">
        <w:rPr>
          <w:b/>
          <w:bCs/>
        </w:rPr>
        <w:t xml:space="preserve">and </w:t>
      </w:r>
      <w:r w:rsidR="00FB0094">
        <w:rPr>
          <w:b/>
          <w:bCs/>
        </w:rPr>
        <w:t>n</w:t>
      </w:r>
      <w:r w:rsidRPr="00BD0ECF">
        <w:rPr>
          <w:b/>
          <w:bCs/>
        </w:rPr>
        <w:t xml:space="preserve">ational </w:t>
      </w:r>
      <w:r w:rsidR="00FB0094">
        <w:rPr>
          <w:b/>
          <w:bCs/>
        </w:rPr>
        <w:t>m</w:t>
      </w:r>
      <w:r w:rsidRPr="00BD0ECF">
        <w:rPr>
          <w:b/>
          <w:bCs/>
        </w:rPr>
        <w:t xml:space="preserve">inimum </w:t>
      </w:r>
      <w:r w:rsidR="00FB0094">
        <w:rPr>
          <w:b/>
          <w:bCs/>
        </w:rPr>
        <w:t>d</w:t>
      </w:r>
      <w:r w:rsidRPr="00BD0ECF">
        <w:rPr>
          <w:b/>
          <w:bCs/>
        </w:rPr>
        <w:t xml:space="preserve">ata </w:t>
      </w:r>
      <w:r w:rsidR="00BA1FAA">
        <w:rPr>
          <w:b/>
          <w:bCs/>
        </w:rPr>
        <w:t>s</w:t>
      </w:r>
      <w:r w:rsidR="00BA1FAA" w:rsidRPr="00BD0ECF">
        <w:rPr>
          <w:b/>
          <w:bCs/>
        </w:rPr>
        <w:t>ets</w:t>
      </w:r>
      <w:r w:rsidR="00BA1FAA">
        <w:rPr>
          <w:b/>
          <w:bCs/>
        </w:rPr>
        <w:t xml:space="preserve"> </w:t>
      </w:r>
      <w:r w:rsidR="00BA1FAA" w:rsidRPr="00BD0ECF">
        <w:rPr>
          <w:b/>
          <w:bCs/>
        </w:rPr>
        <w:t>to</w:t>
      </w:r>
      <w:r w:rsidRPr="00BD0ECF">
        <w:rPr>
          <w:b/>
          <w:bCs/>
        </w:rPr>
        <w:t xml:space="preserve"> incorporate data elements required for ABF with existing data collections</w:t>
      </w:r>
      <w:r w:rsidR="001C1116" w:rsidRPr="00BD0ECF">
        <w:rPr>
          <w:b/>
          <w:bCs/>
        </w:rPr>
        <w:t>.</w:t>
      </w:r>
    </w:p>
    <w:p w14:paraId="74E135BE" w14:textId="5C4B89A6" w:rsidR="0040624F" w:rsidRDefault="006C6C14" w:rsidP="00F00D91">
      <w:pPr>
        <w:pStyle w:val="Body"/>
      </w:pPr>
      <w:r>
        <w:t xml:space="preserve">In </w:t>
      </w:r>
      <w:r w:rsidR="00A12AB7">
        <w:t xml:space="preserve">2024–25, IHACPA will </w:t>
      </w:r>
      <w:r w:rsidR="00B326B5">
        <w:t xml:space="preserve">work with </w:t>
      </w:r>
      <w:r w:rsidR="00034B75">
        <w:t xml:space="preserve">state and territory governments </w:t>
      </w:r>
      <w:r w:rsidR="00B326B5">
        <w:t xml:space="preserve">to investigate the </w:t>
      </w:r>
      <w:r w:rsidR="003C376C">
        <w:t xml:space="preserve">feasibility of developing a </w:t>
      </w:r>
      <w:r w:rsidR="000A7765" w:rsidRPr="000A7765">
        <w:t xml:space="preserve">of a separate </w:t>
      </w:r>
      <w:r w:rsidR="000A7765">
        <w:t xml:space="preserve">Data </w:t>
      </w:r>
      <w:r w:rsidR="009B1234">
        <w:t>R</w:t>
      </w:r>
      <w:r w:rsidR="000A7765">
        <w:t>equest Specification</w:t>
      </w:r>
      <w:r w:rsidR="000A7765" w:rsidRPr="000A7765">
        <w:t xml:space="preserve"> for collection of supplementary organ procurement activity data</w:t>
      </w:r>
      <w:r w:rsidR="009B1234">
        <w:t xml:space="preserve"> in 2025–26</w:t>
      </w:r>
      <w:r w:rsidR="00295ED9">
        <w:t>, based on the results of gap analysis</w:t>
      </w:r>
      <w:r w:rsidR="00EA5ECA">
        <w:t xml:space="preserve">. </w:t>
      </w:r>
    </w:p>
    <w:p w14:paraId="45A8CCA8" w14:textId="5B62B5B1" w:rsidR="001C1116" w:rsidRDefault="00676B70" w:rsidP="00F00D91">
      <w:pPr>
        <w:pStyle w:val="Body"/>
      </w:pPr>
      <w:r w:rsidRPr="00AC04B2">
        <w:t>IH</w:t>
      </w:r>
      <w:r w:rsidR="00DB27C3" w:rsidRPr="00AC04B2">
        <w:t>AC</w:t>
      </w:r>
      <w:r w:rsidRPr="00AC04B2">
        <w:t xml:space="preserve">PA will </w:t>
      </w:r>
      <w:r w:rsidR="006C6C14">
        <w:t xml:space="preserve">also </w:t>
      </w:r>
      <w:r w:rsidRPr="00AC04B2">
        <w:t xml:space="preserve">continue to work closely with the </w:t>
      </w:r>
      <w:r w:rsidR="009C4400" w:rsidRPr="00AC04B2">
        <w:t xml:space="preserve">national </w:t>
      </w:r>
      <w:r w:rsidR="005876D8" w:rsidRPr="00AC04B2">
        <w:t xml:space="preserve">health </w:t>
      </w:r>
      <w:r w:rsidRPr="00AC04B2">
        <w:t>data committees to incorporate new elements as required for classification development, and to consolidate existing data collections</w:t>
      </w:r>
      <w:r w:rsidR="001C1116" w:rsidRPr="00AC04B2">
        <w:t>.</w:t>
      </w:r>
    </w:p>
    <w:p w14:paraId="6AF47E84" w14:textId="6C73E73B" w:rsidR="0004403B" w:rsidRPr="00AC04B2" w:rsidRDefault="0004403B" w:rsidP="007B2569">
      <w:pPr>
        <w:pStyle w:val="H4"/>
        <w:numPr>
          <w:ilvl w:val="0"/>
          <w:numId w:val="10"/>
        </w:numPr>
      </w:pPr>
      <w:bookmarkStart w:id="123" w:name="_Toc55045644"/>
      <w:bookmarkStart w:id="124" w:name="_Toc55054015"/>
      <w:bookmarkStart w:id="125" w:name="_Toc55237235"/>
      <w:bookmarkStart w:id="126" w:name="_Toc55238322"/>
      <w:bookmarkStart w:id="127" w:name="_Toc55974140"/>
      <w:r w:rsidRPr="00AC04B2">
        <w:t>Cluster coding</w:t>
      </w:r>
      <w:r w:rsidR="00FC491C" w:rsidRPr="00AC04B2">
        <w:t xml:space="preserve"> for admitted patient care data</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04403B" w:rsidRPr="00AC04B2" w14:paraId="43F565EF" w14:textId="77777777" w:rsidTr="00E3024D">
        <w:tc>
          <w:tcPr>
            <w:tcW w:w="3726" w:type="pct"/>
            <w:tcBorders>
              <w:top w:val="nil"/>
              <w:bottom w:val="nil"/>
            </w:tcBorders>
            <w:shd w:val="clear" w:color="auto" w:fill="54C1AF"/>
            <w:vAlign w:val="center"/>
          </w:tcPr>
          <w:p w14:paraId="40A68E4E" w14:textId="77777777" w:rsidR="0004403B" w:rsidRPr="00AC04B2" w:rsidRDefault="0004403B" w:rsidP="00A207F8">
            <w:pPr>
              <w:pStyle w:val="TableHeading"/>
            </w:pPr>
            <w:r w:rsidRPr="00AC04B2">
              <w:t>Deliverable</w:t>
            </w:r>
          </w:p>
        </w:tc>
        <w:tc>
          <w:tcPr>
            <w:tcW w:w="1274" w:type="pct"/>
            <w:tcBorders>
              <w:top w:val="nil"/>
              <w:bottom w:val="nil"/>
            </w:tcBorders>
            <w:shd w:val="clear" w:color="auto" w:fill="54C1AF"/>
            <w:vAlign w:val="center"/>
          </w:tcPr>
          <w:p w14:paraId="50AE2605" w14:textId="77777777" w:rsidR="0004403B" w:rsidRPr="00AC04B2" w:rsidRDefault="0004403B" w:rsidP="00A207F8">
            <w:pPr>
              <w:pStyle w:val="TableHeading"/>
            </w:pPr>
            <w:r w:rsidRPr="00AC04B2">
              <w:t>Timeframe</w:t>
            </w:r>
          </w:p>
        </w:tc>
      </w:tr>
      <w:tr w:rsidR="0004403B" w:rsidRPr="00AC04B2" w14:paraId="66904D37" w14:textId="77777777" w:rsidTr="00E3024D">
        <w:trPr>
          <w:trHeight w:val="236"/>
        </w:trPr>
        <w:tc>
          <w:tcPr>
            <w:tcW w:w="3726" w:type="pct"/>
            <w:tcBorders>
              <w:top w:val="nil"/>
              <w:bottom w:val="single" w:sz="4" w:space="0" w:color="auto"/>
            </w:tcBorders>
          </w:tcPr>
          <w:p w14:paraId="38544CAE" w14:textId="6284504C" w:rsidR="0004403B" w:rsidRPr="00AC04B2" w:rsidRDefault="00705D7E" w:rsidP="00A207F8">
            <w:pPr>
              <w:pStyle w:val="TableBodySmall"/>
            </w:pPr>
            <w:r>
              <w:t>Implement</w:t>
            </w:r>
            <w:r w:rsidR="0004403B" w:rsidRPr="00AC04B2">
              <w:t xml:space="preserve"> cluster coding into </w:t>
            </w:r>
            <w:r w:rsidR="00FC491C" w:rsidRPr="00AC04B2">
              <w:t>admitted patient care</w:t>
            </w:r>
            <w:r w:rsidR="0004403B" w:rsidRPr="00AC04B2">
              <w:t xml:space="preserve"> data sets.</w:t>
            </w:r>
          </w:p>
        </w:tc>
        <w:tc>
          <w:tcPr>
            <w:tcW w:w="1274" w:type="pct"/>
            <w:tcBorders>
              <w:top w:val="nil"/>
              <w:bottom w:val="single" w:sz="4" w:space="0" w:color="auto"/>
            </w:tcBorders>
          </w:tcPr>
          <w:p w14:paraId="150E744C" w14:textId="47EC83EB" w:rsidR="0004403B" w:rsidRPr="00AC04B2" w:rsidRDefault="00C431B4" w:rsidP="00A207F8">
            <w:pPr>
              <w:pStyle w:val="TableBodySmall"/>
            </w:pPr>
            <w:r>
              <w:t>July 2025</w:t>
            </w:r>
          </w:p>
        </w:tc>
      </w:tr>
    </w:tbl>
    <w:p w14:paraId="572F5EC3" w14:textId="77777777" w:rsidR="00BD0ECF" w:rsidRDefault="00BD0ECF" w:rsidP="00F00D91">
      <w:pPr>
        <w:pStyle w:val="Body"/>
      </w:pPr>
    </w:p>
    <w:p w14:paraId="1AAC48B1" w14:textId="3BF593AE" w:rsidR="0004403B" w:rsidRPr="00BD0ECF" w:rsidRDefault="0004403B" w:rsidP="00F00D91">
      <w:pPr>
        <w:pStyle w:val="Body"/>
        <w:rPr>
          <w:b/>
          <w:bCs/>
        </w:rPr>
      </w:pPr>
      <w:r w:rsidRPr="00BD0ECF">
        <w:rPr>
          <w:b/>
          <w:bCs/>
        </w:rPr>
        <w:t>Cluster coding is a method that links related classification codes together</w:t>
      </w:r>
      <w:r w:rsidR="00727FDD" w:rsidRPr="00BD0ECF">
        <w:rPr>
          <w:b/>
          <w:bCs/>
        </w:rPr>
        <w:t>. Over 80 per cent of the episodes reported in admitted patient care per year use multiple classification codes to classify hospital activity. Understanding the relationships between these codes, documented in the patient</w:t>
      </w:r>
      <w:r w:rsidR="00727FDD" w:rsidRPr="00BD0ECF">
        <w:rPr>
          <w:rFonts w:hint="cs"/>
          <w:b/>
          <w:bCs/>
        </w:rPr>
        <w:t>’</w:t>
      </w:r>
      <w:r w:rsidR="00727FDD" w:rsidRPr="00BD0ECF">
        <w:rPr>
          <w:b/>
          <w:bCs/>
        </w:rPr>
        <w:t>s health care record, allows health services, policy makers and researchers to understand this activity more clearly and make evidence-based decisions</w:t>
      </w:r>
      <w:r w:rsidRPr="00BD0ECF">
        <w:rPr>
          <w:b/>
          <w:bCs/>
        </w:rPr>
        <w:t xml:space="preserve">. </w:t>
      </w:r>
    </w:p>
    <w:p w14:paraId="33647CFC" w14:textId="77777777" w:rsidR="00853A87" w:rsidRDefault="00853A87">
      <w:pPr>
        <w:rPr>
          <w:rFonts w:ascii="Arial" w:hAnsi="Arial" w:cs="Arial"/>
          <w:sz w:val="20"/>
          <w:szCs w:val="20"/>
        </w:rPr>
      </w:pPr>
      <w:r>
        <w:br w:type="page"/>
      </w:r>
    </w:p>
    <w:p w14:paraId="25A5FCF5" w14:textId="60157CE0" w:rsidR="0004403B" w:rsidRDefault="001D7950" w:rsidP="00F00D91">
      <w:pPr>
        <w:pStyle w:val="Body"/>
      </w:pPr>
      <w:r w:rsidRPr="00431F06">
        <w:lastRenderedPageBreak/>
        <w:t>Cluster coding is a mechanism of linking related</w:t>
      </w:r>
      <w:r>
        <w:t xml:space="preserve"> diagnosis codes using the</w:t>
      </w:r>
      <w:r w:rsidRPr="00431F06">
        <w:t xml:space="preserve"> </w:t>
      </w:r>
      <w:r>
        <w:t>International Statistical Classification of Diseases and Related Health Problems, Tenth Revision, Australian Modification</w:t>
      </w:r>
      <w:r w:rsidR="009226A2">
        <w:t xml:space="preserve"> (ICD-10-AM)</w:t>
      </w:r>
      <w:r>
        <w:t xml:space="preserve">, </w:t>
      </w:r>
      <w:r w:rsidRPr="00431F06">
        <w:t>through use of a diagnosis cluster identifier (DCID) that will enhance the value of coded data.</w:t>
      </w:r>
      <w:r>
        <w:t xml:space="preserve"> Clustering increases the understanding of activity data and provides more powerful information for end users by; identifying relationships between codes, enhancing </w:t>
      </w:r>
      <w:r w:rsidR="00BA1FAA">
        <w:t>safety</w:t>
      </w:r>
      <w:r>
        <w:t xml:space="preserve"> and quality reporting and reporting of chronic conditions, reducing assumptions when interpreting data, supporting future funding models and preparing for a potential future implementation of ICD-11, where clustering is a feature</w:t>
      </w:r>
      <w:r w:rsidR="00910F6D">
        <w:t>.</w:t>
      </w:r>
    </w:p>
    <w:p w14:paraId="24894BAA" w14:textId="69F132CB" w:rsidR="00705D7E" w:rsidRPr="00AC04B2" w:rsidRDefault="00705D7E" w:rsidP="00F00D91">
      <w:pPr>
        <w:pStyle w:val="Body"/>
      </w:pPr>
      <w:r>
        <w:t>In 2024–25, IHACPA will</w:t>
      </w:r>
      <w:r w:rsidR="001D7950">
        <w:t xml:space="preserve"> continue to</w:t>
      </w:r>
      <w:r>
        <w:t xml:space="preserve"> work with </w:t>
      </w:r>
      <w:r w:rsidR="00011512">
        <w:t xml:space="preserve">state and territory governments </w:t>
      </w:r>
      <w:r w:rsidR="00692854">
        <w:t>and key stak</w:t>
      </w:r>
      <w:r w:rsidR="0031402C">
        <w:t>e</w:t>
      </w:r>
      <w:r w:rsidR="00692854">
        <w:t xml:space="preserve">holders to </w:t>
      </w:r>
      <w:r w:rsidR="001D7950">
        <w:t>implement the DCID</w:t>
      </w:r>
      <w:r w:rsidR="007A2FEA">
        <w:t xml:space="preserve"> into the </w:t>
      </w:r>
      <w:r w:rsidR="0034120C">
        <w:t xml:space="preserve">Admitted </w:t>
      </w:r>
      <w:r w:rsidR="00604DE5">
        <w:t>p</w:t>
      </w:r>
      <w:r w:rsidR="0034120C">
        <w:t xml:space="preserve">atient </w:t>
      </w:r>
      <w:r w:rsidR="00604DE5">
        <w:t>c</w:t>
      </w:r>
      <w:r w:rsidR="0034120C">
        <w:t xml:space="preserve">are National </w:t>
      </w:r>
      <w:r w:rsidR="00B675AA">
        <w:t xml:space="preserve">Minimum Data Set </w:t>
      </w:r>
      <w:r w:rsidR="001D7950">
        <w:t xml:space="preserve">for </w:t>
      </w:r>
      <w:r w:rsidR="00FA3157">
        <w:t>2025–26.</w:t>
      </w:r>
    </w:p>
    <w:p w14:paraId="4F8C0A91" w14:textId="25A26366" w:rsidR="00D672CA" w:rsidRPr="00AC04B2" w:rsidRDefault="001D18BA" w:rsidP="007B2569">
      <w:pPr>
        <w:pStyle w:val="H4"/>
        <w:numPr>
          <w:ilvl w:val="0"/>
          <w:numId w:val="10"/>
        </w:numPr>
      </w:pPr>
      <w:r w:rsidRPr="00AC04B2">
        <w:t>Improvements to data submission, loading and validation processes</w:t>
      </w:r>
      <w:bookmarkEnd w:id="123"/>
      <w:bookmarkEnd w:id="124"/>
      <w:bookmarkEnd w:id="125"/>
      <w:bookmarkEnd w:id="126"/>
      <w:bookmarkEnd w:id="127"/>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1D18BA" w:rsidRPr="00AC04B2" w14:paraId="2B1BA5DA" w14:textId="77777777" w:rsidTr="00B8187B">
        <w:tc>
          <w:tcPr>
            <w:tcW w:w="3726" w:type="pct"/>
            <w:tcBorders>
              <w:top w:val="nil"/>
              <w:bottom w:val="nil"/>
            </w:tcBorders>
            <w:shd w:val="clear" w:color="auto" w:fill="54C1AF"/>
            <w:vAlign w:val="center"/>
          </w:tcPr>
          <w:p w14:paraId="0813908B" w14:textId="1021DF40" w:rsidR="001D18BA" w:rsidRPr="00AC04B2" w:rsidRDefault="00FF0E74" w:rsidP="00A207F8">
            <w:pPr>
              <w:pStyle w:val="TableHeading"/>
            </w:pPr>
            <w:r w:rsidRPr="00AC04B2">
              <w:t>Deliverable</w:t>
            </w:r>
          </w:p>
        </w:tc>
        <w:tc>
          <w:tcPr>
            <w:tcW w:w="1274" w:type="pct"/>
            <w:tcBorders>
              <w:top w:val="nil"/>
              <w:bottom w:val="nil"/>
            </w:tcBorders>
            <w:shd w:val="clear" w:color="auto" w:fill="54C1AF"/>
            <w:vAlign w:val="center"/>
          </w:tcPr>
          <w:p w14:paraId="719CE575" w14:textId="4F953D70" w:rsidR="001D18BA" w:rsidRPr="00AC04B2" w:rsidRDefault="00FF0E74" w:rsidP="00A207F8">
            <w:pPr>
              <w:pStyle w:val="TableHeading"/>
            </w:pPr>
            <w:r w:rsidRPr="00AC04B2">
              <w:t>Timeframe</w:t>
            </w:r>
          </w:p>
        </w:tc>
      </w:tr>
      <w:tr w:rsidR="001D18BA" w:rsidRPr="00AC04B2" w14:paraId="558A122F" w14:textId="77777777" w:rsidTr="00F91148">
        <w:trPr>
          <w:trHeight w:val="236"/>
        </w:trPr>
        <w:tc>
          <w:tcPr>
            <w:tcW w:w="3726" w:type="pct"/>
            <w:tcBorders>
              <w:top w:val="nil"/>
              <w:bottom w:val="single" w:sz="4" w:space="0" w:color="auto"/>
            </w:tcBorders>
          </w:tcPr>
          <w:p w14:paraId="5EB668D8" w14:textId="2AAD4F78" w:rsidR="001D18BA" w:rsidRPr="00AC04B2" w:rsidRDefault="001D18BA" w:rsidP="00A207F8">
            <w:pPr>
              <w:pStyle w:val="TableBodySmall"/>
            </w:pPr>
            <w:r w:rsidRPr="00AC04B2">
              <w:t xml:space="preserve">Further develop the </w:t>
            </w:r>
            <w:r w:rsidR="00347107" w:rsidRPr="00AC04B2">
              <w:t xml:space="preserve">Secure Data Management System </w:t>
            </w:r>
            <w:r w:rsidRPr="00AC04B2">
              <w:t>functionality.</w:t>
            </w:r>
          </w:p>
        </w:tc>
        <w:tc>
          <w:tcPr>
            <w:tcW w:w="1274" w:type="pct"/>
            <w:tcBorders>
              <w:top w:val="nil"/>
              <w:bottom w:val="single" w:sz="4" w:space="0" w:color="auto"/>
            </w:tcBorders>
          </w:tcPr>
          <w:p w14:paraId="16E11FB5" w14:textId="2B70730A" w:rsidR="001D18BA" w:rsidRPr="00AC04B2" w:rsidRDefault="00073E25" w:rsidP="00A207F8">
            <w:pPr>
              <w:pStyle w:val="TableBodySmall"/>
            </w:pPr>
            <w:r w:rsidRPr="00AC04B2">
              <w:t>Ongoing</w:t>
            </w:r>
          </w:p>
        </w:tc>
      </w:tr>
      <w:tr w:rsidR="00AA3F83" w:rsidRPr="00AC04B2" w14:paraId="0AF967AF" w14:textId="77777777" w:rsidTr="00F91148">
        <w:trPr>
          <w:trHeight w:val="236"/>
        </w:trPr>
        <w:tc>
          <w:tcPr>
            <w:tcW w:w="3726" w:type="pct"/>
            <w:tcBorders>
              <w:top w:val="single" w:sz="4" w:space="0" w:color="auto"/>
              <w:bottom w:val="single" w:sz="4" w:space="0" w:color="auto"/>
            </w:tcBorders>
          </w:tcPr>
          <w:p w14:paraId="70546CF9" w14:textId="4BA95E3B" w:rsidR="00AA3F83" w:rsidRPr="00AC04B2" w:rsidRDefault="00AA3F83" w:rsidP="00A207F8">
            <w:pPr>
              <w:pStyle w:val="TableBodySmall"/>
            </w:pPr>
            <w:r>
              <w:t xml:space="preserve">Maintain </w:t>
            </w:r>
            <w:r w:rsidR="00F91148">
              <w:t>the security of the Secure Data Management System.</w:t>
            </w:r>
          </w:p>
        </w:tc>
        <w:tc>
          <w:tcPr>
            <w:tcW w:w="1274" w:type="pct"/>
            <w:tcBorders>
              <w:top w:val="single" w:sz="4" w:space="0" w:color="auto"/>
              <w:bottom w:val="single" w:sz="4" w:space="0" w:color="auto"/>
            </w:tcBorders>
          </w:tcPr>
          <w:p w14:paraId="71E57654" w14:textId="7571902B" w:rsidR="00AA3F83" w:rsidRPr="00AC04B2" w:rsidRDefault="00F91148" w:rsidP="00A207F8">
            <w:pPr>
              <w:pStyle w:val="TableBodySmall"/>
            </w:pPr>
            <w:r>
              <w:t>Ongoing</w:t>
            </w:r>
          </w:p>
        </w:tc>
      </w:tr>
    </w:tbl>
    <w:p w14:paraId="6B15239A" w14:textId="77777777" w:rsidR="00BD0ECF" w:rsidRDefault="00BD0ECF" w:rsidP="00F00D91">
      <w:pPr>
        <w:pStyle w:val="Body"/>
      </w:pPr>
    </w:p>
    <w:p w14:paraId="10C3349E" w14:textId="621B8381" w:rsidR="009D6D40" w:rsidRPr="00BD0ECF" w:rsidRDefault="00347107" w:rsidP="00F00D91">
      <w:pPr>
        <w:pStyle w:val="Body"/>
        <w:rPr>
          <w:b/>
          <w:bCs/>
        </w:rPr>
      </w:pPr>
      <w:r w:rsidRPr="00BD0ECF">
        <w:rPr>
          <w:b/>
          <w:bCs/>
        </w:rPr>
        <w:t>In 2017, IH</w:t>
      </w:r>
      <w:r w:rsidR="00216DE6" w:rsidRPr="00BD0ECF">
        <w:rPr>
          <w:b/>
          <w:bCs/>
        </w:rPr>
        <w:t>AC</w:t>
      </w:r>
      <w:r w:rsidRPr="00BD0ECF">
        <w:rPr>
          <w:b/>
          <w:bCs/>
        </w:rPr>
        <w:t xml:space="preserve">PA implemented </w:t>
      </w:r>
      <w:r w:rsidR="00B31A06">
        <w:rPr>
          <w:b/>
          <w:bCs/>
        </w:rPr>
        <w:t>the</w:t>
      </w:r>
      <w:r w:rsidRPr="00BD0ECF">
        <w:rPr>
          <w:b/>
          <w:bCs/>
        </w:rPr>
        <w:t xml:space="preserve"> </w:t>
      </w:r>
      <w:r w:rsidR="009D6D40" w:rsidRPr="00BD0ECF">
        <w:rPr>
          <w:b/>
          <w:bCs/>
        </w:rPr>
        <w:t>Secure Data Management System (SDMS)</w:t>
      </w:r>
      <w:r w:rsidR="00863E5B" w:rsidRPr="00BD0ECF">
        <w:rPr>
          <w:b/>
          <w:bCs/>
        </w:rPr>
        <w:t>,</w:t>
      </w:r>
      <w:r w:rsidR="009D6D40" w:rsidRPr="00BD0ECF">
        <w:rPr>
          <w:b/>
          <w:bCs/>
        </w:rPr>
        <w:t xml:space="preserve"> </w:t>
      </w:r>
      <w:r w:rsidRPr="00BD0ECF">
        <w:rPr>
          <w:b/>
          <w:bCs/>
        </w:rPr>
        <w:t>which comprise</w:t>
      </w:r>
      <w:r w:rsidR="00CD35C8">
        <w:rPr>
          <w:b/>
          <w:bCs/>
        </w:rPr>
        <w:t>d</w:t>
      </w:r>
      <w:r w:rsidRPr="00BD0ECF">
        <w:rPr>
          <w:b/>
          <w:bCs/>
        </w:rPr>
        <w:t xml:space="preserve"> a data submission portal, data validation process, data storage and data analytics platform. This system has introduced greater flexibility of file upload specifications, faster validation and reporting, and enhanced capabilities for jurisdictions to track and manage their submission process</w:t>
      </w:r>
      <w:r w:rsidR="001D18BA" w:rsidRPr="00BD0ECF">
        <w:rPr>
          <w:b/>
          <w:bCs/>
        </w:rPr>
        <w:t xml:space="preserve">. </w:t>
      </w:r>
    </w:p>
    <w:p w14:paraId="47C5D7CE" w14:textId="03609346" w:rsidR="0099362F" w:rsidRPr="00AC04B2" w:rsidRDefault="001E7226" w:rsidP="00F00D91">
      <w:pPr>
        <w:pStyle w:val="Body"/>
      </w:pPr>
      <w:r>
        <w:t>C</w:t>
      </w:r>
      <w:r w:rsidRPr="001E7226">
        <w:t xml:space="preserve">ommencing July 2022, IHACPA undertook a program of work to update the core components of the SDMS. In July 2023, IHACPA launched </w:t>
      </w:r>
      <w:r w:rsidR="00F91148">
        <w:t>a</w:t>
      </w:r>
      <w:r w:rsidRPr="001E7226">
        <w:t xml:space="preserve"> new File Transfer Portal, Citrix desktop, and Data Portal. Further enhancements are expected to improve the robustness and speed of data submission, loading and validation on the SDMS.</w:t>
      </w:r>
      <w:r w:rsidR="00F91148">
        <w:t xml:space="preserve"> IHACPA also has an ongoing cyber security management program to ensure that the SDMS is maintained in line with relevant security </w:t>
      </w:r>
      <w:r w:rsidR="00BA1FAA">
        <w:t>standards.</w:t>
      </w:r>
      <w:r w:rsidR="00BA1FAA" w:rsidRPr="00AC04B2">
        <w:t xml:space="preserve"> IHACPA</w:t>
      </w:r>
      <w:r w:rsidR="00347107" w:rsidRPr="00AC04B2">
        <w:t xml:space="preserve"> will continue working with key stakeholders to enhance the data submission portals in </w:t>
      </w:r>
      <w:r w:rsidR="009D6D40" w:rsidRPr="00AC04B2">
        <w:t xml:space="preserve">the </w:t>
      </w:r>
      <w:r w:rsidR="00347107" w:rsidRPr="00AC04B2">
        <w:t>SDMS</w:t>
      </w:r>
      <w:r w:rsidR="007C308C" w:rsidRPr="00AC04B2">
        <w:t>.</w:t>
      </w:r>
    </w:p>
    <w:p w14:paraId="0BF4C418" w14:textId="3BA9DDE5" w:rsidR="00BE53E2" w:rsidRPr="00AC04B2" w:rsidRDefault="00BE53E2" w:rsidP="007B2569">
      <w:pPr>
        <w:pStyle w:val="H4"/>
        <w:keepNext/>
        <w:numPr>
          <w:ilvl w:val="0"/>
          <w:numId w:val="10"/>
        </w:numPr>
      </w:pPr>
      <w:bookmarkStart w:id="128" w:name="_Toc55045645"/>
      <w:bookmarkStart w:id="129" w:name="_Toc55054016"/>
      <w:bookmarkStart w:id="130" w:name="_Toc55237236"/>
      <w:bookmarkStart w:id="131" w:name="_Toc55238323"/>
      <w:bookmarkStart w:id="132" w:name="_Toc55974141"/>
      <w:r w:rsidRPr="00AC04B2">
        <w:t xml:space="preserve">Collection of </w:t>
      </w:r>
      <w:r w:rsidR="00347107" w:rsidRPr="00AC04B2">
        <w:t>activity based funding</w:t>
      </w:r>
      <w:r w:rsidRPr="00AC04B2">
        <w:t xml:space="preserve"> activity data for public hospitals</w:t>
      </w:r>
      <w:bookmarkEnd w:id="128"/>
      <w:bookmarkEnd w:id="129"/>
      <w:bookmarkEnd w:id="130"/>
      <w:bookmarkEnd w:id="131"/>
      <w:bookmarkEnd w:id="132"/>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C05A7A" w:rsidRPr="00AC04B2" w14:paraId="3CEA5BCE" w14:textId="77777777" w:rsidTr="00B8187B">
        <w:tc>
          <w:tcPr>
            <w:tcW w:w="3726" w:type="pct"/>
            <w:tcBorders>
              <w:top w:val="nil"/>
              <w:bottom w:val="nil"/>
            </w:tcBorders>
            <w:shd w:val="clear" w:color="auto" w:fill="54C1AF"/>
            <w:vAlign w:val="center"/>
          </w:tcPr>
          <w:p w14:paraId="4813806B" w14:textId="34BB3C9A" w:rsidR="00C05A7A" w:rsidRPr="00AC04B2" w:rsidRDefault="00FF0E74" w:rsidP="007B2569">
            <w:pPr>
              <w:pStyle w:val="TableHeading"/>
              <w:keepNext/>
            </w:pPr>
            <w:r w:rsidRPr="00AC04B2">
              <w:t>Deliverable</w:t>
            </w:r>
          </w:p>
        </w:tc>
        <w:tc>
          <w:tcPr>
            <w:tcW w:w="1274" w:type="pct"/>
            <w:tcBorders>
              <w:top w:val="nil"/>
              <w:bottom w:val="nil"/>
            </w:tcBorders>
            <w:shd w:val="clear" w:color="auto" w:fill="54C1AF"/>
            <w:vAlign w:val="center"/>
          </w:tcPr>
          <w:p w14:paraId="2F326F73" w14:textId="3FE7DE37" w:rsidR="00C05A7A" w:rsidRPr="00AC04B2" w:rsidRDefault="00FF0E74" w:rsidP="007B2569">
            <w:pPr>
              <w:pStyle w:val="TableHeading"/>
              <w:keepNext/>
            </w:pPr>
            <w:r w:rsidRPr="00AC04B2">
              <w:t>Timeframe</w:t>
            </w:r>
          </w:p>
        </w:tc>
      </w:tr>
      <w:tr w:rsidR="00347107" w:rsidRPr="00AC04B2" w14:paraId="16BD2404" w14:textId="77777777" w:rsidTr="00FF3C2C">
        <w:trPr>
          <w:trHeight w:val="236"/>
        </w:trPr>
        <w:tc>
          <w:tcPr>
            <w:tcW w:w="3726" w:type="pct"/>
            <w:tcBorders>
              <w:top w:val="nil"/>
              <w:bottom w:val="single" w:sz="4" w:space="0" w:color="auto"/>
            </w:tcBorders>
          </w:tcPr>
          <w:p w14:paraId="05D0BD30" w14:textId="737A1AFB" w:rsidR="00347107" w:rsidRPr="00AC04B2" w:rsidRDefault="00347107" w:rsidP="007B2569">
            <w:pPr>
              <w:pStyle w:val="TableBodySmall"/>
              <w:keepNext/>
            </w:pPr>
            <w:r w:rsidRPr="00AC04B2">
              <w:t>Collect jurisdictional submissions for March quarter 202</w:t>
            </w:r>
            <w:r w:rsidR="00DD6DDD">
              <w:t>4</w:t>
            </w:r>
            <w:r w:rsidRPr="00AC04B2">
              <w:t xml:space="preserve"> activity based funding activity data.</w:t>
            </w:r>
          </w:p>
        </w:tc>
        <w:tc>
          <w:tcPr>
            <w:tcW w:w="1274" w:type="pct"/>
            <w:tcBorders>
              <w:top w:val="nil"/>
              <w:bottom w:val="single" w:sz="4" w:space="0" w:color="auto"/>
            </w:tcBorders>
          </w:tcPr>
          <w:p w14:paraId="33F69BA0" w14:textId="2E69FF0E" w:rsidR="00347107" w:rsidRPr="00AC04B2" w:rsidRDefault="00347107" w:rsidP="007B2569">
            <w:pPr>
              <w:pStyle w:val="TableBodySmall"/>
              <w:keepNext/>
            </w:pPr>
            <w:r w:rsidRPr="00AC04B2">
              <w:t>June 202</w:t>
            </w:r>
            <w:r w:rsidR="00DD6DDD">
              <w:t>4</w:t>
            </w:r>
          </w:p>
        </w:tc>
      </w:tr>
      <w:tr w:rsidR="00347107" w:rsidRPr="00AC04B2" w14:paraId="1EF14557" w14:textId="77777777" w:rsidTr="00FF3C2C">
        <w:trPr>
          <w:trHeight w:val="236"/>
        </w:trPr>
        <w:tc>
          <w:tcPr>
            <w:tcW w:w="3726" w:type="pct"/>
            <w:tcBorders>
              <w:top w:val="single" w:sz="4" w:space="0" w:color="auto"/>
              <w:bottom w:val="single" w:sz="4" w:space="0" w:color="auto"/>
            </w:tcBorders>
          </w:tcPr>
          <w:p w14:paraId="711B6D97" w14:textId="336A76E8" w:rsidR="00347107" w:rsidRPr="00AC04B2" w:rsidRDefault="00347107" w:rsidP="00A207F8">
            <w:pPr>
              <w:pStyle w:val="TableBodySmall"/>
            </w:pPr>
            <w:r w:rsidRPr="00AC04B2">
              <w:t>Collect jurisdictional submissions for June quarter 202</w:t>
            </w:r>
            <w:r w:rsidR="00DD6DDD">
              <w:t>4</w:t>
            </w:r>
            <w:r w:rsidRPr="00AC04B2">
              <w:t xml:space="preserve"> activity based funding activity data.</w:t>
            </w:r>
          </w:p>
        </w:tc>
        <w:tc>
          <w:tcPr>
            <w:tcW w:w="1274" w:type="pct"/>
            <w:tcBorders>
              <w:top w:val="single" w:sz="4" w:space="0" w:color="auto"/>
              <w:bottom w:val="single" w:sz="4" w:space="0" w:color="auto"/>
            </w:tcBorders>
          </w:tcPr>
          <w:p w14:paraId="44482647" w14:textId="16606C50" w:rsidR="00347107" w:rsidRPr="00AC04B2" w:rsidRDefault="00347107" w:rsidP="00A207F8">
            <w:pPr>
              <w:pStyle w:val="TableBodySmall"/>
            </w:pPr>
            <w:r w:rsidRPr="00AC04B2">
              <w:t>September 202</w:t>
            </w:r>
            <w:r w:rsidR="00DD6DDD">
              <w:t>4</w:t>
            </w:r>
          </w:p>
        </w:tc>
      </w:tr>
      <w:tr w:rsidR="00347107" w:rsidRPr="00AC04B2" w14:paraId="4D75F4BB" w14:textId="77777777" w:rsidTr="00FF3C2C">
        <w:trPr>
          <w:trHeight w:val="236"/>
        </w:trPr>
        <w:tc>
          <w:tcPr>
            <w:tcW w:w="3726" w:type="pct"/>
            <w:tcBorders>
              <w:top w:val="nil"/>
              <w:bottom w:val="single" w:sz="4" w:space="0" w:color="auto"/>
            </w:tcBorders>
          </w:tcPr>
          <w:p w14:paraId="28FDE263" w14:textId="0C27FE3A" w:rsidR="00347107" w:rsidRPr="00AC04B2" w:rsidRDefault="00347107" w:rsidP="00A207F8">
            <w:pPr>
              <w:pStyle w:val="TableBodySmall"/>
            </w:pPr>
            <w:r w:rsidRPr="00AC04B2">
              <w:t>Collect jurisdictional submissions for September quarter 202</w:t>
            </w:r>
            <w:r w:rsidR="00DD6DDD">
              <w:t>4</w:t>
            </w:r>
            <w:r w:rsidRPr="00AC04B2">
              <w:t xml:space="preserve"> activity based funding activity data.</w:t>
            </w:r>
          </w:p>
        </w:tc>
        <w:tc>
          <w:tcPr>
            <w:tcW w:w="1274" w:type="pct"/>
            <w:tcBorders>
              <w:top w:val="nil"/>
              <w:bottom w:val="single" w:sz="4" w:space="0" w:color="auto"/>
            </w:tcBorders>
          </w:tcPr>
          <w:p w14:paraId="2EE2CA41" w14:textId="75509D48" w:rsidR="00347107" w:rsidRPr="00AC04B2" w:rsidRDefault="00347107" w:rsidP="00A207F8">
            <w:pPr>
              <w:pStyle w:val="TableBodySmall"/>
            </w:pPr>
            <w:r w:rsidRPr="00AC04B2">
              <w:t>December 202</w:t>
            </w:r>
            <w:r w:rsidR="00DD6DDD">
              <w:t>4</w:t>
            </w:r>
          </w:p>
        </w:tc>
      </w:tr>
      <w:tr w:rsidR="00347107" w:rsidRPr="00AC04B2" w14:paraId="3F31FE18" w14:textId="77777777" w:rsidTr="00FF3C2C">
        <w:trPr>
          <w:trHeight w:val="236"/>
        </w:trPr>
        <w:tc>
          <w:tcPr>
            <w:tcW w:w="3726" w:type="pct"/>
            <w:tcBorders>
              <w:top w:val="single" w:sz="4" w:space="0" w:color="auto"/>
              <w:bottom w:val="single" w:sz="4" w:space="0" w:color="auto"/>
            </w:tcBorders>
          </w:tcPr>
          <w:p w14:paraId="413A90F6" w14:textId="30AEC56C" w:rsidR="00347107" w:rsidRPr="00AC04B2" w:rsidRDefault="00347107" w:rsidP="00A207F8">
            <w:pPr>
              <w:pStyle w:val="TableBodySmall"/>
            </w:pPr>
            <w:r w:rsidRPr="00AC04B2">
              <w:t>Collect jurisdictional submissions for December quarter 202</w:t>
            </w:r>
            <w:r w:rsidR="00DD6DDD">
              <w:t>4</w:t>
            </w:r>
            <w:r w:rsidRPr="00AC04B2">
              <w:t xml:space="preserve"> activity based funding activity data.</w:t>
            </w:r>
          </w:p>
        </w:tc>
        <w:tc>
          <w:tcPr>
            <w:tcW w:w="1274" w:type="pct"/>
            <w:tcBorders>
              <w:top w:val="single" w:sz="4" w:space="0" w:color="auto"/>
              <w:bottom w:val="single" w:sz="4" w:space="0" w:color="auto"/>
            </w:tcBorders>
          </w:tcPr>
          <w:p w14:paraId="7ED7FDD6" w14:textId="3BD89A39" w:rsidR="00347107" w:rsidRPr="00AC04B2" w:rsidRDefault="00347107" w:rsidP="00A207F8">
            <w:pPr>
              <w:pStyle w:val="TableBodySmall"/>
            </w:pPr>
            <w:r w:rsidRPr="00AC04B2">
              <w:t>March 202</w:t>
            </w:r>
            <w:r w:rsidR="00DD6DDD">
              <w:t>5</w:t>
            </w:r>
          </w:p>
        </w:tc>
      </w:tr>
    </w:tbl>
    <w:p w14:paraId="2D57277A" w14:textId="77777777" w:rsidR="00BD0ECF" w:rsidRDefault="00BD0ECF" w:rsidP="00F00D91">
      <w:pPr>
        <w:pStyle w:val="Body"/>
      </w:pPr>
    </w:p>
    <w:p w14:paraId="66757E28" w14:textId="6C5F6092" w:rsidR="00BE53E2" w:rsidRPr="00BD0ECF" w:rsidRDefault="00347107" w:rsidP="00F00D91">
      <w:pPr>
        <w:pStyle w:val="Body"/>
        <w:rPr>
          <w:b/>
          <w:bCs/>
        </w:rPr>
      </w:pPr>
      <w:r w:rsidRPr="00BD0ECF">
        <w:rPr>
          <w:b/>
          <w:bCs/>
        </w:rPr>
        <w:t>During 202</w:t>
      </w:r>
      <w:r w:rsidR="00766E01">
        <w:rPr>
          <w:b/>
          <w:bCs/>
        </w:rPr>
        <w:t>4</w:t>
      </w:r>
      <w:r w:rsidRPr="00BD0ECF">
        <w:rPr>
          <w:rFonts w:hint="eastAsia"/>
          <w:b/>
          <w:bCs/>
        </w:rPr>
        <w:t>–</w:t>
      </w:r>
      <w:r w:rsidRPr="00BD0ECF">
        <w:rPr>
          <w:b/>
          <w:bCs/>
        </w:rPr>
        <w:t>2</w:t>
      </w:r>
      <w:r w:rsidR="00766E01">
        <w:rPr>
          <w:b/>
          <w:bCs/>
        </w:rPr>
        <w:t>5</w:t>
      </w:r>
      <w:r w:rsidRPr="00BD0ECF">
        <w:rPr>
          <w:b/>
          <w:bCs/>
        </w:rPr>
        <w:t xml:space="preserve">, </w:t>
      </w:r>
      <w:r w:rsidR="00863E5B" w:rsidRPr="00BD0ECF">
        <w:rPr>
          <w:b/>
          <w:bCs/>
        </w:rPr>
        <w:t xml:space="preserve">for public hospital services, </w:t>
      </w:r>
      <w:r w:rsidRPr="00BD0ECF">
        <w:rPr>
          <w:b/>
          <w:bCs/>
        </w:rPr>
        <w:t>IH</w:t>
      </w:r>
      <w:r w:rsidR="00F60AD3" w:rsidRPr="00BD0ECF">
        <w:rPr>
          <w:b/>
          <w:bCs/>
        </w:rPr>
        <w:t>AC</w:t>
      </w:r>
      <w:r w:rsidRPr="00BD0ECF">
        <w:rPr>
          <w:b/>
          <w:bCs/>
        </w:rPr>
        <w:t>PA will continue its collection of ABF activity data on a quarterly basis and sentinel events data on a biannual basis</w:t>
      </w:r>
      <w:r w:rsidR="00EB1C8C" w:rsidRPr="00BD0ECF">
        <w:rPr>
          <w:b/>
          <w:bCs/>
        </w:rPr>
        <w:t>.</w:t>
      </w:r>
      <w:r w:rsidRPr="00BD0ECF">
        <w:rPr>
          <w:b/>
          <w:bCs/>
        </w:rPr>
        <w:t xml:space="preserve"> </w:t>
      </w:r>
      <w:r w:rsidR="00EB1C8C" w:rsidRPr="00BD0ECF">
        <w:rPr>
          <w:b/>
          <w:bCs/>
        </w:rPr>
        <w:t>T</w:t>
      </w:r>
      <w:r w:rsidRPr="00BD0ECF">
        <w:rPr>
          <w:b/>
          <w:bCs/>
        </w:rPr>
        <w:t xml:space="preserve">eaching, training and research and hospital cost data provided through the NHCDC </w:t>
      </w:r>
      <w:r w:rsidR="00EB1C8C" w:rsidRPr="00BD0ECF">
        <w:rPr>
          <w:b/>
          <w:bCs/>
        </w:rPr>
        <w:t xml:space="preserve">will continue to </w:t>
      </w:r>
      <w:r w:rsidR="00B56DC6" w:rsidRPr="00BD0ECF">
        <w:rPr>
          <w:b/>
          <w:bCs/>
        </w:rPr>
        <w:t>be reported</w:t>
      </w:r>
      <w:r w:rsidRPr="00BD0ECF">
        <w:rPr>
          <w:b/>
          <w:bCs/>
        </w:rPr>
        <w:t xml:space="preserve"> on an annual basis</w:t>
      </w:r>
      <w:r w:rsidR="00BE53E2" w:rsidRPr="00BD0ECF">
        <w:rPr>
          <w:b/>
          <w:bCs/>
        </w:rPr>
        <w:t xml:space="preserve">. </w:t>
      </w:r>
    </w:p>
    <w:p w14:paraId="4475C4BC" w14:textId="085F74E4" w:rsidR="00AA563E" w:rsidRPr="00AC04B2" w:rsidRDefault="00347107" w:rsidP="00F00D91">
      <w:pPr>
        <w:pStyle w:val="Body"/>
      </w:pPr>
      <w:r w:rsidRPr="00AC04B2">
        <w:t>Based on quarterly data collections, IH</w:t>
      </w:r>
      <w:r w:rsidR="00F60AD3" w:rsidRPr="00AC04B2">
        <w:t>AC</w:t>
      </w:r>
      <w:r w:rsidRPr="00AC04B2">
        <w:t xml:space="preserve">PA will undertake activity analysis </w:t>
      </w:r>
      <w:r w:rsidR="00D50265">
        <w:t>that</w:t>
      </w:r>
      <w:r w:rsidRPr="00AC04B2">
        <w:t xml:space="preserve"> will be used to monitor the impact of the </w:t>
      </w:r>
      <w:r w:rsidR="00931FB2">
        <w:t>NEP</w:t>
      </w:r>
      <w:r w:rsidR="00D71575" w:rsidRPr="00AC04B2">
        <w:t xml:space="preserve"> </w:t>
      </w:r>
      <w:r w:rsidRPr="00AC04B2">
        <w:t>pricing model on the hospital system</w:t>
      </w:r>
      <w:r w:rsidR="00BE53E2" w:rsidRPr="00AC04B2">
        <w:t>.</w:t>
      </w:r>
    </w:p>
    <w:p w14:paraId="1F859C2B" w14:textId="77777777" w:rsidR="00394ADC" w:rsidRDefault="00394ADC">
      <w:pPr>
        <w:rPr>
          <w:rFonts w:ascii="Arial" w:hAnsi="Arial" w:cs="Arial"/>
          <w:b/>
          <w:color w:val="15272F" w:themeColor="text1"/>
          <w:szCs w:val="18"/>
        </w:rPr>
      </w:pPr>
      <w:bookmarkStart w:id="133" w:name="_Toc55045646"/>
      <w:bookmarkStart w:id="134" w:name="_Toc55054017"/>
      <w:bookmarkStart w:id="135" w:name="_Toc55237237"/>
      <w:bookmarkStart w:id="136" w:name="_Toc55238324"/>
      <w:bookmarkStart w:id="137" w:name="_Toc55974142"/>
      <w:r>
        <w:br w:type="page"/>
      </w:r>
    </w:p>
    <w:p w14:paraId="7CCED07B" w14:textId="6520345C" w:rsidR="00BE53E2" w:rsidRPr="00AC04B2" w:rsidRDefault="00BE53E2" w:rsidP="007B2569">
      <w:pPr>
        <w:pStyle w:val="H4"/>
        <w:numPr>
          <w:ilvl w:val="0"/>
          <w:numId w:val="10"/>
        </w:numPr>
      </w:pPr>
      <w:r w:rsidRPr="00AC04B2">
        <w:lastRenderedPageBreak/>
        <w:t>Data compliance</w:t>
      </w:r>
      <w:bookmarkEnd w:id="133"/>
      <w:bookmarkEnd w:id="134"/>
      <w:bookmarkEnd w:id="135"/>
      <w:bookmarkEnd w:id="136"/>
      <w:bookmarkEnd w:id="137"/>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FF3C2C" w:rsidRPr="00AC04B2" w14:paraId="1CEE70D1" w14:textId="77777777" w:rsidTr="00B8187B">
        <w:tc>
          <w:tcPr>
            <w:tcW w:w="3726" w:type="pct"/>
            <w:tcBorders>
              <w:top w:val="nil"/>
              <w:bottom w:val="nil"/>
            </w:tcBorders>
            <w:shd w:val="clear" w:color="auto" w:fill="54C1AF"/>
            <w:vAlign w:val="center"/>
          </w:tcPr>
          <w:p w14:paraId="2520F359" w14:textId="406318CD" w:rsidR="00FF3C2C" w:rsidRPr="00AC04B2" w:rsidRDefault="00FF0E74" w:rsidP="00A207F8">
            <w:pPr>
              <w:pStyle w:val="TableHeading"/>
            </w:pPr>
            <w:r w:rsidRPr="00AC04B2">
              <w:t>Deliverable</w:t>
            </w:r>
          </w:p>
        </w:tc>
        <w:tc>
          <w:tcPr>
            <w:tcW w:w="1274" w:type="pct"/>
            <w:tcBorders>
              <w:top w:val="nil"/>
              <w:bottom w:val="nil"/>
            </w:tcBorders>
            <w:shd w:val="clear" w:color="auto" w:fill="54C1AF"/>
            <w:vAlign w:val="center"/>
          </w:tcPr>
          <w:p w14:paraId="7C247020" w14:textId="74E20460" w:rsidR="00FF3C2C" w:rsidRPr="00AC04B2" w:rsidRDefault="00FF0E74" w:rsidP="00A207F8">
            <w:pPr>
              <w:pStyle w:val="TableHeading"/>
            </w:pPr>
            <w:r w:rsidRPr="00AC04B2">
              <w:t>Timeframe</w:t>
            </w:r>
          </w:p>
        </w:tc>
      </w:tr>
      <w:tr w:rsidR="00BB7B4A" w:rsidRPr="00AC04B2" w14:paraId="527D38F0" w14:textId="77777777" w:rsidTr="005154CD">
        <w:trPr>
          <w:trHeight w:val="236"/>
        </w:trPr>
        <w:tc>
          <w:tcPr>
            <w:tcW w:w="3726" w:type="pct"/>
            <w:tcBorders>
              <w:top w:val="nil"/>
              <w:bottom w:val="single" w:sz="4" w:space="0" w:color="auto"/>
            </w:tcBorders>
          </w:tcPr>
          <w:p w14:paraId="026AB8B4" w14:textId="2208B674" w:rsidR="00BB7B4A" w:rsidRPr="00AC04B2" w:rsidRDefault="00BB7B4A" w:rsidP="00A207F8">
            <w:pPr>
              <w:pStyle w:val="TableBodySmall"/>
            </w:pPr>
            <w:r w:rsidRPr="00AC04B2">
              <w:t>Publish data compliance report for March quarter 202</w:t>
            </w:r>
            <w:r w:rsidR="00185B5C">
              <w:t>4</w:t>
            </w:r>
            <w:r w:rsidRPr="00AC04B2">
              <w:t>.</w:t>
            </w:r>
          </w:p>
        </w:tc>
        <w:tc>
          <w:tcPr>
            <w:tcW w:w="1274" w:type="pct"/>
            <w:tcBorders>
              <w:top w:val="nil"/>
              <w:bottom w:val="single" w:sz="4" w:space="0" w:color="auto"/>
            </w:tcBorders>
          </w:tcPr>
          <w:p w14:paraId="533C7C66" w14:textId="434C4BE5" w:rsidR="00BB7B4A" w:rsidRPr="00AC04B2" w:rsidRDefault="00BB7B4A" w:rsidP="00A207F8">
            <w:pPr>
              <w:pStyle w:val="TableBodySmall"/>
            </w:pPr>
            <w:r w:rsidRPr="00AC04B2">
              <w:t>September 202</w:t>
            </w:r>
            <w:r w:rsidR="00185B5C">
              <w:t>4</w:t>
            </w:r>
          </w:p>
        </w:tc>
      </w:tr>
      <w:tr w:rsidR="00BB7B4A" w:rsidRPr="00AC04B2" w14:paraId="1A6405AE" w14:textId="77777777" w:rsidTr="005154CD">
        <w:trPr>
          <w:trHeight w:val="236"/>
        </w:trPr>
        <w:tc>
          <w:tcPr>
            <w:tcW w:w="3726" w:type="pct"/>
            <w:tcBorders>
              <w:top w:val="single" w:sz="4" w:space="0" w:color="auto"/>
              <w:bottom w:val="single" w:sz="4" w:space="0" w:color="auto"/>
            </w:tcBorders>
          </w:tcPr>
          <w:p w14:paraId="28FE1E8A" w14:textId="61085C2B" w:rsidR="00BB7B4A" w:rsidRPr="00AC04B2" w:rsidRDefault="00BB7B4A" w:rsidP="00A207F8">
            <w:pPr>
              <w:pStyle w:val="TableBodySmall"/>
            </w:pPr>
            <w:r w:rsidRPr="00AC04B2">
              <w:t>Publish data compliance report for June quarter 202</w:t>
            </w:r>
            <w:r w:rsidR="00185B5C">
              <w:t>4</w:t>
            </w:r>
            <w:r w:rsidRPr="00AC04B2">
              <w:t>.</w:t>
            </w:r>
          </w:p>
        </w:tc>
        <w:tc>
          <w:tcPr>
            <w:tcW w:w="1274" w:type="pct"/>
            <w:tcBorders>
              <w:top w:val="single" w:sz="4" w:space="0" w:color="auto"/>
              <w:bottom w:val="single" w:sz="4" w:space="0" w:color="auto"/>
            </w:tcBorders>
          </w:tcPr>
          <w:p w14:paraId="37E65552" w14:textId="18C4BE82" w:rsidR="00BB7B4A" w:rsidRPr="00AC04B2" w:rsidRDefault="00BB7B4A" w:rsidP="00A207F8">
            <w:pPr>
              <w:pStyle w:val="TableBodySmall"/>
            </w:pPr>
            <w:r w:rsidRPr="00AC04B2">
              <w:t>December 202</w:t>
            </w:r>
            <w:r w:rsidR="00185B5C">
              <w:t>4</w:t>
            </w:r>
          </w:p>
        </w:tc>
      </w:tr>
      <w:tr w:rsidR="00BB7B4A" w:rsidRPr="00AC04B2" w14:paraId="089E7D96" w14:textId="77777777" w:rsidTr="005154CD">
        <w:trPr>
          <w:trHeight w:val="236"/>
        </w:trPr>
        <w:tc>
          <w:tcPr>
            <w:tcW w:w="3726" w:type="pct"/>
            <w:tcBorders>
              <w:top w:val="nil"/>
              <w:bottom w:val="single" w:sz="4" w:space="0" w:color="auto"/>
            </w:tcBorders>
          </w:tcPr>
          <w:p w14:paraId="0A3AA45A" w14:textId="4ECD2F62" w:rsidR="00BB7B4A" w:rsidRPr="00AC04B2" w:rsidRDefault="00BB7B4A" w:rsidP="00A207F8">
            <w:pPr>
              <w:pStyle w:val="TableBodySmall"/>
            </w:pPr>
            <w:r w:rsidRPr="00AC04B2">
              <w:t>Publish data compliance report for September quarter 202</w:t>
            </w:r>
            <w:r w:rsidR="00185B5C">
              <w:t>4</w:t>
            </w:r>
            <w:r w:rsidRPr="00AC04B2">
              <w:t>.</w:t>
            </w:r>
          </w:p>
        </w:tc>
        <w:tc>
          <w:tcPr>
            <w:tcW w:w="1274" w:type="pct"/>
            <w:tcBorders>
              <w:top w:val="nil"/>
              <w:bottom w:val="single" w:sz="4" w:space="0" w:color="auto"/>
            </w:tcBorders>
          </w:tcPr>
          <w:p w14:paraId="06BFD6C2" w14:textId="309F983F" w:rsidR="00BB7B4A" w:rsidRPr="00AC04B2" w:rsidRDefault="00BB7B4A" w:rsidP="00A207F8">
            <w:pPr>
              <w:pStyle w:val="TableBodySmall"/>
            </w:pPr>
            <w:r w:rsidRPr="00AC04B2">
              <w:t>March 202</w:t>
            </w:r>
            <w:r w:rsidR="00185B5C">
              <w:t>5</w:t>
            </w:r>
          </w:p>
        </w:tc>
      </w:tr>
      <w:tr w:rsidR="00BB7B4A" w:rsidRPr="00AC04B2" w14:paraId="7221CE21" w14:textId="77777777" w:rsidTr="005154CD">
        <w:trPr>
          <w:trHeight w:val="236"/>
        </w:trPr>
        <w:tc>
          <w:tcPr>
            <w:tcW w:w="3726" w:type="pct"/>
            <w:tcBorders>
              <w:top w:val="single" w:sz="4" w:space="0" w:color="auto"/>
              <w:bottom w:val="single" w:sz="4" w:space="0" w:color="auto"/>
            </w:tcBorders>
          </w:tcPr>
          <w:p w14:paraId="4344A44E" w14:textId="75A073F6" w:rsidR="00BB7B4A" w:rsidRPr="00AC04B2" w:rsidRDefault="00BB7B4A" w:rsidP="00A207F8">
            <w:pPr>
              <w:pStyle w:val="TableBodySmall"/>
            </w:pPr>
            <w:r w:rsidRPr="00AC04B2">
              <w:t>Publish data compliance report for December quarter 202</w:t>
            </w:r>
            <w:r w:rsidR="00185B5C">
              <w:t>4</w:t>
            </w:r>
            <w:r w:rsidRPr="00AC04B2">
              <w:t>.</w:t>
            </w:r>
          </w:p>
        </w:tc>
        <w:tc>
          <w:tcPr>
            <w:tcW w:w="1274" w:type="pct"/>
            <w:tcBorders>
              <w:top w:val="single" w:sz="4" w:space="0" w:color="auto"/>
              <w:bottom w:val="single" w:sz="4" w:space="0" w:color="auto"/>
            </w:tcBorders>
          </w:tcPr>
          <w:p w14:paraId="3B6022BF" w14:textId="278DA4B9" w:rsidR="00BB7B4A" w:rsidRPr="00AC04B2" w:rsidRDefault="00BB7B4A" w:rsidP="00A207F8">
            <w:pPr>
              <w:pStyle w:val="TableBodySmall"/>
            </w:pPr>
            <w:r w:rsidRPr="00AC04B2">
              <w:t>June 202</w:t>
            </w:r>
            <w:r w:rsidR="00185B5C">
              <w:t>5</w:t>
            </w:r>
          </w:p>
        </w:tc>
      </w:tr>
    </w:tbl>
    <w:p w14:paraId="145ADE36" w14:textId="77777777" w:rsidR="00BD0ECF" w:rsidRDefault="00BD0ECF" w:rsidP="00F00D91">
      <w:pPr>
        <w:pStyle w:val="Body"/>
      </w:pPr>
    </w:p>
    <w:p w14:paraId="5AE716FF" w14:textId="5F377190" w:rsidR="00BE53E2" w:rsidRPr="00BD0ECF" w:rsidRDefault="00BB7B4A" w:rsidP="00F00D91">
      <w:pPr>
        <w:pStyle w:val="Body"/>
        <w:rPr>
          <w:b/>
          <w:bCs/>
        </w:rPr>
      </w:pPr>
      <w:r w:rsidRPr="00BD0ECF">
        <w:rPr>
          <w:b/>
          <w:bCs/>
        </w:rPr>
        <w:t>IH</w:t>
      </w:r>
      <w:r w:rsidR="00F60AD3" w:rsidRPr="00BD0ECF">
        <w:rPr>
          <w:b/>
          <w:bCs/>
        </w:rPr>
        <w:t>AC</w:t>
      </w:r>
      <w:r w:rsidRPr="00BD0ECF">
        <w:rPr>
          <w:b/>
          <w:bCs/>
        </w:rPr>
        <w:t xml:space="preserve">PA publishes details of jurisdictional compliance with data requirements as required by clause B81 of the </w:t>
      </w:r>
      <w:r w:rsidR="008E2BA4">
        <w:rPr>
          <w:b/>
          <w:bCs/>
        </w:rPr>
        <w:t>a</w:t>
      </w:r>
      <w:r w:rsidRPr="00BD0ECF">
        <w:rPr>
          <w:b/>
          <w:bCs/>
        </w:rPr>
        <w:t>ddendum. Both ABF hospital activity and cost data collections are assessed in accordance with IH</w:t>
      </w:r>
      <w:r w:rsidR="00F60AD3" w:rsidRPr="00BD0ECF">
        <w:rPr>
          <w:b/>
          <w:bCs/>
        </w:rPr>
        <w:t>AC</w:t>
      </w:r>
      <w:r w:rsidRPr="00BD0ECF">
        <w:rPr>
          <w:b/>
          <w:bCs/>
        </w:rPr>
        <w:t xml:space="preserve">PA’s </w:t>
      </w:r>
      <w:r w:rsidRPr="00A81D23">
        <w:rPr>
          <w:b/>
          <w:bCs/>
          <w:i/>
          <w:iCs/>
        </w:rPr>
        <w:t>Data Compliance Policy</w:t>
      </w:r>
      <w:r w:rsidRPr="00BD0ECF">
        <w:rPr>
          <w:b/>
          <w:bCs/>
        </w:rPr>
        <w:t xml:space="preserve">. All data compliance reports are publicly available on </w:t>
      </w:r>
      <w:r w:rsidR="009D6D40" w:rsidRPr="00BD0ECF">
        <w:rPr>
          <w:b/>
          <w:bCs/>
        </w:rPr>
        <w:t>the IH</w:t>
      </w:r>
      <w:r w:rsidR="00216DE6" w:rsidRPr="00BD0ECF">
        <w:rPr>
          <w:b/>
          <w:bCs/>
        </w:rPr>
        <w:t>AC</w:t>
      </w:r>
      <w:r w:rsidR="009D6D40" w:rsidRPr="00BD0ECF">
        <w:rPr>
          <w:b/>
          <w:bCs/>
        </w:rPr>
        <w:t xml:space="preserve">PA </w:t>
      </w:r>
      <w:r w:rsidRPr="00BD0ECF">
        <w:rPr>
          <w:b/>
          <w:bCs/>
        </w:rPr>
        <w:t>website</w:t>
      </w:r>
      <w:r w:rsidR="00BE53E2" w:rsidRPr="00BD0ECF">
        <w:rPr>
          <w:b/>
          <w:bCs/>
        </w:rPr>
        <w:t>.</w:t>
      </w:r>
    </w:p>
    <w:p w14:paraId="6E6A1DAF" w14:textId="26180DE0" w:rsidR="005A58D4" w:rsidRPr="00AC04B2" w:rsidRDefault="00BB7B4A" w:rsidP="00F00D91">
      <w:pPr>
        <w:pStyle w:val="Body"/>
      </w:pPr>
      <w:r w:rsidRPr="00AC04B2">
        <w:t xml:space="preserve">As outlined in the </w:t>
      </w:r>
      <w:r w:rsidR="008E2BA4">
        <w:t>a</w:t>
      </w:r>
      <w:r w:rsidRPr="00AC04B2">
        <w:t>ddendum, from 1 July 2017, jurisdictions will be required to provide IH</w:t>
      </w:r>
      <w:r w:rsidR="00F60AD3" w:rsidRPr="00AC04B2">
        <w:t>AC</w:t>
      </w:r>
      <w:r w:rsidRPr="00AC04B2">
        <w:t xml:space="preserve">PA </w:t>
      </w:r>
      <w:r w:rsidR="00F60AD3" w:rsidRPr="00AC04B2">
        <w:t xml:space="preserve">and the Administrator of the National Health Funding Pool (the Administrator) </w:t>
      </w:r>
      <w:r w:rsidRPr="00AC04B2">
        <w:t>with a ‘Statement of Assurance’ on the completeness and accuracy of approved data submissions. This is outlined in more detail in the Three Year Data Plan</w:t>
      </w:r>
      <w:r w:rsidR="00BE53E2" w:rsidRPr="00AC04B2">
        <w:t>.</w:t>
      </w:r>
    </w:p>
    <w:p w14:paraId="3F9F047A" w14:textId="68067BEC" w:rsidR="00BB7B4A" w:rsidRPr="00AC04B2" w:rsidRDefault="00BB7B4A" w:rsidP="007B2569">
      <w:pPr>
        <w:pStyle w:val="H4"/>
        <w:numPr>
          <w:ilvl w:val="0"/>
          <w:numId w:val="10"/>
        </w:numPr>
      </w:pPr>
      <w:r w:rsidRPr="00AC04B2">
        <w:t>Promoting access to public hospital data</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BB7B4A" w:rsidRPr="00AC04B2" w14:paraId="480936EC" w14:textId="77777777" w:rsidTr="008E2BA4">
        <w:tc>
          <w:tcPr>
            <w:tcW w:w="3726" w:type="pct"/>
            <w:tcBorders>
              <w:top w:val="nil"/>
              <w:bottom w:val="nil"/>
            </w:tcBorders>
            <w:shd w:val="clear" w:color="auto" w:fill="54C1AF"/>
            <w:vAlign w:val="center"/>
          </w:tcPr>
          <w:p w14:paraId="527B9017" w14:textId="1F2739BE" w:rsidR="00BB7B4A" w:rsidRPr="00AC04B2" w:rsidRDefault="00FF0E74" w:rsidP="00A207F8">
            <w:pPr>
              <w:pStyle w:val="TableHeading"/>
            </w:pPr>
            <w:r w:rsidRPr="00AC04B2">
              <w:t>Deliverable</w:t>
            </w:r>
          </w:p>
        </w:tc>
        <w:tc>
          <w:tcPr>
            <w:tcW w:w="1274" w:type="pct"/>
            <w:tcBorders>
              <w:top w:val="nil"/>
              <w:bottom w:val="nil"/>
            </w:tcBorders>
            <w:shd w:val="clear" w:color="auto" w:fill="54C1AF"/>
            <w:vAlign w:val="center"/>
          </w:tcPr>
          <w:p w14:paraId="69539F0A" w14:textId="090D4B33" w:rsidR="00BB7B4A" w:rsidRPr="00AC04B2" w:rsidRDefault="00FF0E74" w:rsidP="00A207F8">
            <w:pPr>
              <w:pStyle w:val="TableHeading"/>
            </w:pPr>
            <w:r w:rsidRPr="00AC04B2">
              <w:t>Timeframe</w:t>
            </w:r>
          </w:p>
        </w:tc>
      </w:tr>
      <w:tr w:rsidR="00BB7B4A" w:rsidRPr="00AC04B2" w14:paraId="0C8EE98B" w14:textId="77777777" w:rsidTr="00333DAD">
        <w:trPr>
          <w:trHeight w:val="236"/>
        </w:trPr>
        <w:tc>
          <w:tcPr>
            <w:tcW w:w="3726" w:type="pct"/>
            <w:tcBorders>
              <w:top w:val="nil"/>
              <w:bottom w:val="single" w:sz="4" w:space="0" w:color="auto"/>
            </w:tcBorders>
          </w:tcPr>
          <w:p w14:paraId="248CD1FB" w14:textId="27572CFD" w:rsidR="00BB7B4A" w:rsidRPr="00AC04B2" w:rsidRDefault="00BB7B4A" w:rsidP="00A207F8">
            <w:pPr>
              <w:pStyle w:val="TableBodySmall"/>
            </w:pPr>
            <w:r w:rsidRPr="00AC04B2">
              <w:t xml:space="preserve">Continue to </w:t>
            </w:r>
            <w:r w:rsidR="00F60AD3" w:rsidRPr="00AC04B2">
              <w:t xml:space="preserve">promote </w:t>
            </w:r>
            <w:r w:rsidR="00AB6641" w:rsidRPr="00AC04B2">
              <w:t xml:space="preserve">access </w:t>
            </w:r>
            <w:r w:rsidR="0038283F" w:rsidRPr="00AC04B2">
              <w:t xml:space="preserve">to data </w:t>
            </w:r>
            <w:r w:rsidR="00AB6641" w:rsidRPr="00AC04B2">
              <w:t xml:space="preserve">through </w:t>
            </w:r>
            <w:r w:rsidRPr="00AC04B2">
              <w:t>the National Benchmarking Portal.</w:t>
            </w:r>
          </w:p>
        </w:tc>
        <w:tc>
          <w:tcPr>
            <w:tcW w:w="1274" w:type="pct"/>
            <w:tcBorders>
              <w:top w:val="nil"/>
              <w:bottom w:val="single" w:sz="4" w:space="0" w:color="auto"/>
            </w:tcBorders>
          </w:tcPr>
          <w:p w14:paraId="49604048" w14:textId="5665BB8D" w:rsidR="00BB7B4A" w:rsidRPr="00AC04B2" w:rsidRDefault="00AB6641" w:rsidP="00A207F8">
            <w:pPr>
              <w:pStyle w:val="TableBodySmall"/>
            </w:pPr>
            <w:r w:rsidRPr="00AC04B2">
              <w:t>Ongoing</w:t>
            </w:r>
          </w:p>
        </w:tc>
      </w:tr>
    </w:tbl>
    <w:p w14:paraId="344AEC44" w14:textId="77777777" w:rsidR="00BD0ECF" w:rsidRDefault="00BD0ECF" w:rsidP="00F00D91">
      <w:pPr>
        <w:pStyle w:val="Body"/>
      </w:pPr>
    </w:p>
    <w:p w14:paraId="799A3DFA" w14:textId="0F11ADF3" w:rsidR="00BB7B4A" w:rsidRPr="00BD0ECF" w:rsidRDefault="00BB7B4A" w:rsidP="00F00D91">
      <w:pPr>
        <w:pStyle w:val="Body"/>
        <w:rPr>
          <w:b/>
          <w:bCs/>
        </w:rPr>
      </w:pPr>
      <w:r w:rsidRPr="00BD0ECF">
        <w:rPr>
          <w:b/>
          <w:bCs/>
        </w:rPr>
        <w:t>The National Benchmarking Portal (NBP) is a secure web</w:t>
      </w:r>
      <w:r w:rsidRPr="00BD0ECF">
        <w:rPr>
          <w:rFonts w:ascii="Cambria Math" w:hAnsi="Cambria Math" w:cs="Cambria Math"/>
          <w:b/>
          <w:bCs/>
        </w:rPr>
        <w:t>‑</w:t>
      </w:r>
      <w:r w:rsidRPr="00BD0ECF">
        <w:rPr>
          <w:b/>
          <w:bCs/>
        </w:rPr>
        <w:t xml:space="preserve">based application that allows users to compare cost and activity from hospitals around the country. It </w:t>
      </w:r>
      <w:r w:rsidR="009D6D40" w:rsidRPr="00BD0ECF">
        <w:rPr>
          <w:b/>
          <w:bCs/>
        </w:rPr>
        <w:t xml:space="preserve">provides </w:t>
      </w:r>
      <w:r w:rsidRPr="00BD0ECF">
        <w:rPr>
          <w:b/>
          <w:bCs/>
        </w:rPr>
        <w:t xml:space="preserve">users the ability to compare differences in activity, cost and efficiency at similar hospitals using </w:t>
      </w:r>
      <w:r w:rsidR="009D6D40" w:rsidRPr="00BD0ECF">
        <w:rPr>
          <w:b/>
          <w:bCs/>
        </w:rPr>
        <w:t>national weighted activity units</w:t>
      </w:r>
      <w:r w:rsidR="006C2D87" w:rsidRPr="00BD0ECF">
        <w:rPr>
          <w:b/>
          <w:bCs/>
        </w:rPr>
        <w:t xml:space="preserve"> (NWAU)</w:t>
      </w:r>
      <w:r w:rsidRPr="00BD0ECF">
        <w:rPr>
          <w:b/>
          <w:bCs/>
        </w:rPr>
        <w:t>.</w:t>
      </w:r>
    </w:p>
    <w:p w14:paraId="2D48A4E5" w14:textId="418E0A51" w:rsidR="00BB7B4A" w:rsidRPr="00AC04B2" w:rsidRDefault="00BB7B4A" w:rsidP="007B2569">
      <w:pPr>
        <w:pStyle w:val="Body"/>
        <w:keepLines/>
      </w:pPr>
      <w:r w:rsidRPr="00AC04B2">
        <w:t>IH</w:t>
      </w:r>
      <w:r w:rsidR="0066473A" w:rsidRPr="00AC04B2">
        <w:t>AC</w:t>
      </w:r>
      <w:r w:rsidRPr="00AC04B2">
        <w:t xml:space="preserve">PA </w:t>
      </w:r>
      <w:r w:rsidR="0066473A" w:rsidRPr="00AC04B2">
        <w:t>provided</w:t>
      </w:r>
      <w:r w:rsidRPr="00AC04B2">
        <w:t xml:space="preserve"> public access to the NBP from July 2022.</w:t>
      </w:r>
      <w:r w:rsidR="006C2D87" w:rsidRPr="00AC04B2">
        <w:t xml:space="preserve"> The NBP includes insights into the data collected</w:t>
      </w:r>
      <w:r w:rsidR="000103F7">
        <w:t xml:space="preserve"> between</w:t>
      </w:r>
      <w:r w:rsidR="006C2D87" w:rsidRPr="00AC04B2">
        <w:t xml:space="preserve"> 2017–18 and </w:t>
      </w:r>
      <w:r w:rsidR="001D3A2E" w:rsidRPr="00AC04B2">
        <w:t>20</w:t>
      </w:r>
      <w:r w:rsidR="001D3A2E">
        <w:t>20</w:t>
      </w:r>
      <w:r w:rsidR="006C2D87" w:rsidRPr="00AC04B2">
        <w:t>–2</w:t>
      </w:r>
      <w:r w:rsidR="001D3A2E">
        <w:t>1</w:t>
      </w:r>
      <w:r w:rsidR="006C2D87" w:rsidRPr="00AC04B2">
        <w:t xml:space="preserve">. Information such as total NWAU, cost per NWAU and total costed records are available to facilitate analysis at the </w:t>
      </w:r>
      <w:r w:rsidR="008E2BA4">
        <w:t>state and territory</w:t>
      </w:r>
      <w:r w:rsidR="006C2D87" w:rsidRPr="00AC04B2">
        <w:t>, local hospital network and hospital level across the patient service categories.</w:t>
      </w:r>
    </w:p>
    <w:p w14:paraId="520700C9" w14:textId="03C8702D" w:rsidR="00727FDD" w:rsidRPr="00AC04B2" w:rsidRDefault="0066473A" w:rsidP="00F00D91">
      <w:pPr>
        <w:pStyle w:val="Body"/>
      </w:pPr>
      <w:r w:rsidRPr="00AC04B2">
        <w:t>In 2023–24</w:t>
      </w:r>
      <w:r w:rsidR="00727FDD" w:rsidRPr="00AC04B2">
        <w:t xml:space="preserve">, IHACPA </w:t>
      </w:r>
      <w:r w:rsidR="00FA2428">
        <w:t>introduced</w:t>
      </w:r>
      <w:r w:rsidR="00727FDD" w:rsidRPr="00AC04B2">
        <w:t xml:space="preserve"> two new dashboards </w:t>
      </w:r>
      <w:r w:rsidR="008E2BA4">
        <w:t xml:space="preserve">to the NBP </w:t>
      </w:r>
      <w:r w:rsidR="00727FDD" w:rsidRPr="00AC04B2">
        <w:t xml:space="preserve">relating to hospital acquired complications and avoidable hospital readmissions. </w:t>
      </w:r>
      <w:r w:rsidR="00524D50">
        <w:t>In 20</w:t>
      </w:r>
      <w:r w:rsidR="00C1085C">
        <w:t xml:space="preserve">24–25, </w:t>
      </w:r>
      <w:r w:rsidR="00727FDD" w:rsidRPr="00AC04B2">
        <w:t>IHACPA will update the existing dashboards to include data for 202</w:t>
      </w:r>
      <w:r w:rsidR="00C1085C">
        <w:t>1</w:t>
      </w:r>
      <w:r w:rsidR="00727FDD" w:rsidRPr="00AC04B2">
        <w:t>–2</w:t>
      </w:r>
      <w:r w:rsidR="00C1085C">
        <w:t>2</w:t>
      </w:r>
      <w:r w:rsidR="00727FDD" w:rsidRPr="00AC04B2">
        <w:t>.</w:t>
      </w:r>
    </w:p>
    <w:p w14:paraId="4701DE0B" w14:textId="6D041E30" w:rsidR="0066473A" w:rsidRPr="00AC04B2" w:rsidRDefault="0066473A" w:rsidP="00F00D91">
      <w:pPr>
        <w:pStyle w:val="Body"/>
      </w:pPr>
      <w:r w:rsidRPr="00AC04B2">
        <w:t>IHACPA will continue working with jurisdictions and key stakeholders to enhance the functionality of, and data sets available through, the NBP.</w:t>
      </w:r>
    </w:p>
    <w:p w14:paraId="51DA12BC" w14:textId="77777777" w:rsidR="005A58D4" w:rsidRPr="00AC04B2" w:rsidRDefault="005A58D4" w:rsidP="00F00D91">
      <w:pPr>
        <w:pStyle w:val="Body"/>
        <w:rPr>
          <w:color w:val="294C5C" w:themeColor="text1" w:themeTint="D9"/>
        </w:rPr>
      </w:pPr>
      <w:r w:rsidRPr="00AC04B2">
        <w:br w:type="page"/>
      </w:r>
    </w:p>
    <w:p w14:paraId="0C2F445D" w14:textId="120116CE" w:rsidR="008843C3" w:rsidRPr="00AC04B2" w:rsidRDefault="008843C3" w:rsidP="000D0126">
      <w:pPr>
        <w:pStyle w:val="H2"/>
        <w:tabs>
          <w:tab w:val="left" w:pos="7938"/>
        </w:tabs>
        <w:rPr>
          <w:color w:val="104F99"/>
        </w:rPr>
      </w:pPr>
      <w:bookmarkStart w:id="138" w:name="_Toc133416939"/>
      <w:bookmarkStart w:id="139" w:name="_Toc55045649"/>
      <w:r w:rsidRPr="00AC04B2">
        <w:rPr>
          <w:color w:val="008F55" w:themeColor="accent4"/>
        </w:rPr>
        <w:lastRenderedPageBreak/>
        <w:t>Strat</w:t>
      </w:r>
      <w:r w:rsidR="0030557D" w:rsidRPr="00AC04B2">
        <w:rPr>
          <w:color w:val="008F55" w:themeColor="accent4"/>
        </w:rPr>
        <w:t>e</w:t>
      </w:r>
      <w:r w:rsidRPr="00AC04B2">
        <w:rPr>
          <w:color w:val="008F55" w:themeColor="accent4"/>
        </w:rPr>
        <w:t>gic Objective</w:t>
      </w:r>
      <w:r w:rsidR="00422625" w:rsidRPr="00AC04B2">
        <w:rPr>
          <w:color w:val="008F55" w:themeColor="accent4"/>
        </w:rPr>
        <w:t xml:space="preserve"> Five: </w:t>
      </w:r>
      <w:r w:rsidR="00757BAD" w:rsidRPr="00AC04B2">
        <w:rPr>
          <w:color w:val="008F55" w:themeColor="accent4"/>
        </w:rPr>
        <w:t>Investigate and make recommendations concerning</w:t>
      </w:r>
      <w:r w:rsidR="00422625" w:rsidRPr="00AC04B2">
        <w:rPr>
          <w:color w:val="008F55" w:themeColor="accent4"/>
        </w:rPr>
        <w:t xml:space="preserve"> cost</w:t>
      </w:r>
      <w:r w:rsidR="00422625" w:rsidRPr="00AC04B2">
        <w:rPr>
          <w:color w:val="008F55" w:themeColor="accent4"/>
        </w:rPr>
        <w:noBreakHyphen/>
      </w:r>
      <w:r w:rsidRPr="00AC04B2">
        <w:rPr>
          <w:color w:val="008F55" w:themeColor="accent4"/>
        </w:rPr>
        <w:t xml:space="preserve">shifting and cross-border </w:t>
      </w:r>
      <w:r w:rsidR="00757BAD" w:rsidRPr="00AC04B2">
        <w:rPr>
          <w:color w:val="008F55" w:themeColor="accent4"/>
        </w:rPr>
        <w:t>disputes</w:t>
      </w:r>
      <w:bookmarkEnd w:id="138"/>
    </w:p>
    <w:p w14:paraId="6E9FD8E2" w14:textId="7473262F" w:rsidR="003C1752" w:rsidRPr="00AC04B2" w:rsidRDefault="003D7C1F" w:rsidP="007B2569">
      <w:pPr>
        <w:pStyle w:val="H4"/>
        <w:numPr>
          <w:ilvl w:val="0"/>
          <w:numId w:val="11"/>
        </w:numPr>
      </w:pPr>
      <w:r>
        <w:t>Investigate</w:t>
      </w:r>
      <w:r w:rsidR="00672AF2">
        <w:t xml:space="preserve"> and make </w:t>
      </w:r>
      <w:r w:rsidR="00570B0C">
        <w:t xml:space="preserve">an assessment or </w:t>
      </w:r>
      <w:r w:rsidR="00672AF2">
        <w:t>recommendation on cost-shifting and cross-border disputes</w:t>
      </w:r>
      <w:r w:rsidR="008E7E4C" w:rsidRPr="00AC04B2">
        <w:t xml:space="preserve"> </w:t>
      </w:r>
      <w:bookmarkEnd w:id="139"/>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032"/>
        <w:gridCol w:w="3060"/>
      </w:tblGrid>
      <w:tr w:rsidR="003C1752" w:rsidRPr="00AC04B2" w14:paraId="7ECB5951" w14:textId="77777777" w:rsidTr="00AE2A88">
        <w:trPr>
          <w:trHeight w:val="310"/>
        </w:trPr>
        <w:tc>
          <w:tcPr>
            <w:tcW w:w="3484" w:type="pct"/>
            <w:tcBorders>
              <w:top w:val="nil"/>
              <w:bottom w:val="nil"/>
            </w:tcBorders>
            <w:shd w:val="clear" w:color="auto" w:fill="008F55" w:themeFill="accent4"/>
            <w:vAlign w:val="center"/>
          </w:tcPr>
          <w:p w14:paraId="0550557C" w14:textId="57A32F49" w:rsidR="003C1752" w:rsidRPr="00AC04B2" w:rsidRDefault="00FF0E74" w:rsidP="00A207F8">
            <w:pPr>
              <w:pStyle w:val="TableHeading"/>
            </w:pPr>
            <w:r w:rsidRPr="00AC04B2">
              <w:t>Deliverable</w:t>
            </w:r>
          </w:p>
        </w:tc>
        <w:tc>
          <w:tcPr>
            <w:tcW w:w="1516" w:type="pct"/>
            <w:tcBorders>
              <w:top w:val="nil"/>
              <w:bottom w:val="nil"/>
            </w:tcBorders>
            <w:shd w:val="clear" w:color="auto" w:fill="008F55" w:themeFill="accent4"/>
            <w:vAlign w:val="center"/>
          </w:tcPr>
          <w:p w14:paraId="75EC216D" w14:textId="53D30C80" w:rsidR="003C1752" w:rsidRPr="00AC04B2" w:rsidRDefault="00FF0E74" w:rsidP="00A207F8">
            <w:pPr>
              <w:pStyle w:val="TableHeading"/>
            </w:pPr>
            <w:r w:rsidRPr="00AC04B2">
              <w:t>Timeframe</w:t>
            </w:r>
          </w:p>
        </w:tc>
      </w:tr>
      <w:tr w:rsidR="00C22AE5" w:rsidRPr="00AC04B2" w14:paraId="6ED4E534" w14:textId="77777777" w:rsidTr="00AE2A88">
        <w:trPr>
          <w:trHeight w:val="218"/>
        </w:trPr>
        <w:tc>
          <w:tcPr>
            <w:tcW w:w="3484" w:type="pct"/>
            <w:tcBorders>
              <w:top w:val="single" w:sz="4" w:space="0" w:color="auto"/>
              <w:bottom w:val="single" w:sz="4" w:space="0" w:color="auto"/>
            </w:tcBorders>
          </w:tcPr>
          <w:p w14:paraId="7710CF7A" w14:textId="1E45C285" w:rsidR="00C22AE5" w:rsidRPr="00AC04B2" w:rsidRDefault="00AE2A88" w:rsidP="00A207F8">
            <w:pPr>
              <w:pStyle w:val="TableBodySmall"/>
            </w:pPr>
            <w:r>
              <w:t xml:space="preserve">Investigate </w:t>
            </w:r>
            <w:r w:rsidR="00672AF2">
              <w:t xml:space="preserve">and make recommendations on </w:t>
            </w:r>
            <w:r>
              <w:t>cross-border</w:t>
            </w:r>
            <w:r w:rsidR="003D7C1F">
              <w:t xml:space="preserve"> dis</w:t>
            </w:r>
            <w:r w:rsidR="00672AF2">
              <w:t>putes</w:t>
            </w:r>
            <w:r w:rsidR="007F5410">
              <w:t>.</w:t>
            </w:r>
          </w:p>
        </w:tc>
        <w:tc>
          <w:tcPr>
            <w:tcW w:w="1516" w:type="pct"/>
            <w:tcBorders>
              <w:top w:val="single" w:sz="4" w:space="0" w:color="auto"/>
              <w:bottom w:val="single" w:sz="4" w:space="0" w:color="auto"/>
            </w:tcBorders>
          </w:tcPr>
          <w:p w14:paraId="5AF47261" w14:textId="0F4D217B" w:rsidR="00C22AE5" w:rsidRPr="00AC04B2" w:rsidRDefault="00672AF2" w:rsidP="00A207F8">
            <w:pPr>
              <w:pStyle w:val="TableBodySmall"/>
            </w:pPr>
            <w:r>
              <w:t>Ongoing</w:t>
            </w:r>
          </w:p>
        </w:tc>
      </w:tr>
      <w:tr w:rsidR="00095D82" w:rsidRPr="00AC04B2" w14:paraId="7052B022" w14:textId="77777777" w:rsidTr="00AE2A88">
        <w:trPr>
          <w:trHeight w:val="218"/>
        </w:trPr>
        <w:tc>
          <w:tcPr>
            <w:tcW w:w="3484" w:type="pct"/>
            <w:tcBorders>
              <w:top w:val="single" w:sz="4" w:space="0" w:color="auto"/>
              <w:bottom w:val="single" w:sz="4" w:space="0" w:color="auto"/>
            </w:tcBorders>
          </w:tcPr>
          <w:p w14:paraId="6618EDFE" w14:textId="762C7A93" w:rsidR="00095D82" w:rsidRDefault="00570B0C" w:rsidP="00A207F8">
            <w:pPr>
              <w:pStyle w:val="TableBodySmall"/>
            </w:pPr>
            <w:r>
              <w:t>Investigate and make an a</w:t>
            </w:r>
            <w:r w:rsidR="00AE5451">
              <w:t>ssess</w:t>
            </w:r>
            <w:r>
              <w:t>ment on</w:t>
            </w:r>
            <w:r w:rsidR="00AE5451">
              <w:t xml:space="preserve"> cost-shifting disputes</w:t>
            </w:r>
            <w:r w:rsidR="007F5410">
              <w:t>.</w:t>
            </w:r>
          </w:p>
        </w:tc>
        <w:tc>
          <w:tcPr>
            <w:tcW w:w="1516" w:type="pct"/>
            <w:tcBorders>
              <w:top w:val="single" w:sz="4" w:space="0" w:color="auto"/>
              <w:bottom w:val="single" w:sz="4" w:space="0" w:color="auto"/>
            </w:tcBorders>
          </w:tcPr>
          <w:p w14:paraId="656F0D00" w14:textId="31ACA8CD" w:rsidR="00095D82" w:rsidRDefault="00AE5451" w:rsidP="00A207F8">
            <w:pPr>
              <w:pStyle w:val="TableBodySmall"/>
            </w:pPr>
            <w:r>
              <w:t>Ongoing</w:t>
            </w:r>
          </w:p>
        </w:tc>
      </w:tr>
    </w:tbl>
    <w:p w14:paraId="284E977F" w14:textId="77777777" w:rsidR="00BD0ECF" w:rsidRDefault="00BD0ECF" w:rsidP="00F00D91">
      <w:pPr>
        <w:pStyle w:val="Body"/>
      </w:pPr>
    </w:p>
    <w:p w14:paraId="100AE4AB" w14:textId="25E3881A" w:rsidR="003C1752" w:rsidRPr="00BD0ECF" w:rsidRDefault="00BC6B79" w:rsidP="00F00D91">
      <w:pPr>
        <w:pStyle w:val="Body"/>
        <w:rPr>
          <w:b/>
          <w:bCs/>
        </w:rPr>
      </w:pPr>
      <w:r w:rsidRPr="00BD0ECF">
        <w:rPr>
          <w:b/>
          <w:bCs/>
        </w:rPr>
        <w:t xml:space="preserve">As outlined in Part 4.3 of the </w:t>
      </w:r>
      <w:r w:rsidRPr="00570B0C">
        <w:rPr>
          <w:b/>
          <w:bCs/>
          <w:i/>
          <w:iCs/>
        </w:rPr>
        <w:t>National Health Reform Act</w:t>
      </w:r>
      <w:r w:rsidR="0065280C" w:rsidRPr="00570B0C">
        <w:rPr>
          <w:b/>
          <w:bCs/>
          <w:i/>
          <w:iCs/>
        </w:rPr>
        <w:t xml:space="preserve"> 2011</w:t>
      </w:r>
      <w:r w:rsidRPr="00BD0ECF">
        <w:rPr>
          <w:b/>
          <w:bCs/>
        </w:rPr>
        <w:t xml:space="preserve">, </w:t>
      </w:r>
      <w:r w:rsidR="00D07538" w:rsidRPr="00BD0ECF">
        <w:rPr>
          <w:b/>
          <w:bCs/>
        </w:rPr>
        <w:t>the Independent Health and Aged Care Pricing Authority (</w:t>
      </w:r>
      <w:r w:rsidRPr="00BD0ECF">
        <w:rPr>
          <w:b/>
          <w:bCs/>
        </w:rPr>
        <w:t>IH</w:t>
      </w:r>
      <w:r w:rsidR="000B2BCC" w:rsidRPr="00BD0ECF">
        <w:rPr>
          <w:b/>
          <w:bCs/>
        </w:rPr>
        <w:t>AC</w:t>
      </w:r>
      <w:r w:rsidRPr="00BD0ECF">
        <w:rPr>
          <w:b/>
          <w:bCs/>
        </w:rPr>
        <w:t>PA</w:t>
      </w:r>
      <w:r w:rsidR="00D07538" w:rsidRPr="00BD0ECF">
        <w:rPr>
          <w:b/>
          <w:bCs/>
        </w:rPr>
        <w:t>)</w:t>
      </w:r>
      <w:r w:rsidRPr="00BD0ECF">
        <w:rPr>
          <w:b/>
          <w:bCs/>
        </w:rPr>
        <w:t xml:space="preserve"> has a role to investigate and make recommendations </w:t>
      </w:r>
      <w:r w:rsidR="00570B0C">
        <w:rPr>
          <w:b/>
          <w:bCs/>
        </w:rPr>
        <w:t>to resolve</w:t>
      </w:r>
      <w:r w:rsidR="00570B0C" w:rsidRPr="00BD0ECF">
        <w:rPr>
          <w:b/>
          <w:bCs/>
        </w:rPr>
        <w:t xml:space="preserve"> </w:t>
      </w:r>
      <w:r w:rsidRPr="00BD0ECF">
        <w:rPr>
          <w:b/>
          <w:bCs/>
        </w:rPr>
        <w:t>cross</w:t>
      </w:r>
      <w:r w:rsidRPr="00BD0ECF">
        <w:rPr>
          <w:rFonts w:ascii="Cambria Math" w:hAnsi="Cambria Math" w:cs="Cambria Math"/>
          <w:b/>
          <w:bCs/>
        </w:rPr>
        <w:t>‑</w:t>
      </w:r>
      <w:r w:rsidRPr="00BD0ECF">
        <w:rPr>
          <w:b/>
          <w:bCs/>
        </w:rPr>
        <w:t xml:space="preserve">border disputes and to make assessments </w:t>
      </w:r>
      <w:r w:rsidR="00570B0C">
        <w:rPr>
          <w:b/>
          <w:bCs/>
        </w:rPr>
        <w:t>to resolve</w:t>
      </w:r>
      <w:r w:rsidR="00570B0C" w:rsidRPr="00BD0ECF">
        <w:rPr>
          <w:b/>
          <w:bCs/>
        </w:rPr>
        <w:t xml:space="preserve"> </w:t>
      </w:r>
      <w:r w:rsidRPr="00BD0ECF">
        <w:rPr>
          <w:b/>
          <w:bCs/>
        </w:rPr>
        <w:t>cost-shifting disputes</w:t>
      </w:r>
      <w:r w:rsidR="00570B0C">
        <w:rPr>
          <w:b/>
          <w:bCs/>
        </w:rPr>
        <w:t xml:space="preserve">, when requested to do so by a </w:t>
      </w:r>
      <w:r w:rsidR="00C7271A">
        <w:rPr>
          <w:b/>
          <w:bCs/>
        </w:rPr>
        <w:t xml:space="preserve">state or territory </w:t>
      </w:r>
      <w:r w:rsidR="00570B0C">
        <w:rPr>
          <w:b/>
          <w:bCs/>
        </w:rPr>
        <w:t>health minister</w:t>
      </w:r>
      <w:r w:rsidR="003C1752" w:rsidRPr="00BD0ECF">
        <w:rPr>
          <w:b/>
          <w:bCs/>
        </w:rPr>
        <w:t>.</w:t>
      </w:r>
    </w:p>
    <w:p w14:paraId="69ADF232" w14:textId="09468405" w:rsidR="00BC6B79" w:rsidRPr="00AC04B2" w:rsidRDefault="003C1752" w:rsidP="00F00D91">
      <w:pPr>
        <w:pStyle w:val="Body"/>
      </w:pPr>
      <w:r w:rsidRPr="00AC04B2">
        <w:t>IH</w:t>
      </w:r>
      <w:r w:rsidR="000B2BCC" w:rsidRPr="00AC04B2">
        <w:t>AC</w:t>
      </w:r>
      <w:r w:rsidRPr="00AC04B2">
        <w:t xml:space="preserve">PA developed the </w:t>
      </w:r>
      <w:hyperlink r:id="rId34" w:history="1">
        <w:r w:rsidR="0041438C" w:rsidRPr="00570B0C">
          <w:rPr>
            <w:rStyle w:val="LinkChar"/>
            <w:rFonts w:ascii="Arial" w:hAnsi="Arial"/>
            <w:i/>
            <w:iCs/>
            <w:sz w:val="20"/>
            <w:szCs w:val="20"/>
          </w:rPr>
          <w:t>Cost-Shifting and Cross-Border Dispute Resolution Policy</w:t>
        </w:r>
      </w:hyperlink>
      <w:r w:rsidR="00BE7F18" w:rsidRPr="00BD0ECF">
        <w:t xml:space="preserve"> </w:t>
      </w:r>
      <w:r w:rsidR="008E7E4C" w:rsidRPr="00BD0ECF">
        <w:t>to</w:t>
      </w:r>
      <w:r w:rsidR="008E7E4C" w:rsidRPr="00AC04B2">
        <w:t xml:space="preserve"> </w:t>
      </w:r>
      <w:r w:rsidR="00BC6B79" w:rsidRPr="00AC04B2">
        <w:t>guide timely, equitable and transparent processes to investigate both cross</w:t>
      </w:r>
      <w:r w:rsidR="00BC6B79" w:rsidRPr="00AC04B2">
        <w:rPr>
          <w:rFonts w:ascii="Cambria Math" w:hAnsi="Cambria Math" w:cs="Cambria Math"/>
        </w:rPr>
        <w:t>‑</w:t>
      </w:r>
      <w:r w:rsidR="00BC6B79" w:rsidRPr="00AC04B2">
        <w:t>border and cost-shifting disputes.</w:t>
      </w:r>
    </w:p>
    <w:p w14:paraId="46AFF4F1" w14:textId="4A728F0C" w:rsidR="00C923D5" w:rsidRPr="00AC04B2" w:rsidRDefault="00BC6B79" w:rsidP="00F00D91">
      <w:pPr>
        <w:pStyle w:val="Body"/>
      </w:pPr>
      <w:r w:rsidRPr="00883C3A">
        <w:t xml:space="preserve">The </w:t>
      </w:r>
      <w:r w:rsidR="00570B0C" w:rsidRPr="00570B0C">
        <w:rPr>
          <w:i/>
          <w:iCs/>
        </w:rPr>
        <w:t>Cost-Shifting and Cross-Border Dispute Resolution Policy</w:t>
      </w:r>
      <w:r w:rsidRPr="00883C3A">
        <w:t xml:space="preserve"> is reviewed </w:t>
      </w:r>
      <w:r w:rsidR="0089742B">
        <w:t>regularly</w:t>
      </w:r>
      <w:r w:rsidR="00AD1F05">
        <w:t xml:space="preserve"> </w:t>
      </w:r>
      <w:r w:rsidRPr="00883C3A">
        <w:t>in consultation with all jurisdictions to ensure it remains current to sufficiently support IH</w:t>
      </w:r>
      <w:r w:rsidR="000B2BCC" w:rsidRPr="00883C3A">
        <w:t>AC</w:t>
      </w:r>
      <w:r w:rsidRPr="00883C3A">
        <w:t>PA’s cross-border and cost</w:t>
      </w:r>
      <w:r w:rsidRPr="00883C3A">
        <w:rPr>
          <w:rFonts w:ascii="Cambria Math" w:hAnsi="Cambria Math" w:cs="Cambria Math"/>
        </w:rPr>
        <w:t>‑</w:t>
      </w:r>
      <w:r w:rsidRPr="00883C3A">
        <w:t xml:space="preserve">shifting dispute resolution role. </w:t>
      </w:r>
    </w:p>
    <w:p w14:paraId="07DA0A20" w14:textId="77777777" w:rsidR="0067003B" w:rsidRPr="00AC04B2" w:rsidRDefault="0067003B"/>
    <w:p w14:paraId="241BA5A2" w14:textId="77777777" w:rsidR="0067003B" w:rsidRPr="00AC04B2" w:rsidRDefault="0067003B">
      <w:r w:rsidRPr="00AC04B2">
        <w:br w:type="page"/>
      </w:r>
    </w:p>
    <w:p w14:paraId="29877927" w14:textId="4ED48585" w:rsidR="005A58D4" w:rsidRPr="00AC04B2" w:rsidRDefault="005A58D4" w:rsidP="000D0126">
      <w:pPr>
        <w:pStyle w:val="H2"/>
        <w:tabs>
          <w:tab w:val="left" w:pos="7938"/>
        </w:tabs>
        <w:rPr>
          <w:color w:val="104F99"/>
        </w:rPr>
      </w:pPr>
      <w:bookmarkStart w:id="140" w:name="_Toc133416940"/>
      <w:r w:rsidRPr="00AC04B2">
        <w:rPr>
          <w:color w:val="104F99"/>
        </w:rPr>
        <w:lastRenderedPageBreak/>
        <w:t xml:space="preserve">Strategic Objective </w:t>
      </w:r>
      <w:r w:rsidR="00643AA4" w:rsidRPr="00AC04B2">
        <w:rPr>
          <w:color w:val="104F99"/>
        </w:rPr>
        <w:t>Six</w:t>
      </w:r>
      <w:r w:rsidRPr="00AC04B2">
        <w:rPr>
          <w:color w:val="104F99"/>
        </w:rPr>
        <w:t>: Conduct independent and transparent decision-making and engage with stakeholders</w:t>
      </w:r>
      <w:bookmarkEnd w:id="140"/>
    </w:p>
    <w:p w14:paraId="0D46D91D" w14:textId="2A3858FC" w:rsidR="004C50B6" w:rsidRPr="00AC04B2" w:rsidRDefault="003C1752" w:rsidP="007B2569">
      <w:pPr>
        <w:pStyle w:val="H4"/>
        <w:numPr>
          <w:ilvl w:val="0"/>
          <w:numId w:val="12"/>
        </w:numPr>
      </w:pPr>
      <w:bookmarkStart w:id="141" w:name="_Toc55045651"/>
      <w:bookmarkStart w:id="142" w:name="_Toc55054019"/>
      <w:bookmarkStart w:id="143" w:name="_Toc55237241"/>
      <w:bookmarkStart w:id="144" w:name="_Toc55238255"/>
      <w:bookmarkStart w:id="145" w:name="_Toc55238328"/>
      <w:bookmarkStart w:id="146" w:name="_Toc55974146"/>
      <w:r w:rsidRPr="00AC04B2">
        <w:t xml:space="preserve">Monitor and evaluate the </w:t>
      </w:r>
      <w:r w:rsidR="006819A8" w:rsidRPr="00AC04B2">
        <w:t xml:space="preserve">implementation </w:t>
      </w:r>
      <w:r w:rsidRPr="00AC04B2">
        <w:t xml:space="preserve">of </w:t>
      </w:r>
      <w:bookmarkEnd w:id="141"/>
      <w:bookmarkEnd w:id="142"/>
      <w:bookmarkEnd w:id="143"/>
      <w:bookmarkEnd w:id="144"/>
      <w:bookmarkEnd w:id="145"/>
      <w:bookmarkEnd w:id="146"/>
      <w:r w:rsidR="00BF153F" w:rsidRPr="00AC04B2">
        <w:t>activity based funding</w:t>
      </w:r>
      <w:r w:rsidR="006819A8" w:rsidRPr="00AC04B2">
        <w:t xml:space="preserve"> for public hospital services</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4C50B6" w:rsidRPr="00AC04B2" w14:paraId="65A0537F" w14:textId="77777777" w:rsidTr="004A276E">
        <w:tc>
          <w:tcPr>
            <w:tcW w:w="3726" w:type="pct"/>
            <w:tcBorders>
              <w:top w:val="nil"/>
              <w:bottom w:val="nil"/>
            </w:tcBorders>
            <w:shd w:val="clear" w:color="auto" w:fill="104F99" w:themeFill="accent2"/>
            <w:vAlign w:val="center"/>
          </w:tcPr>
          <w:p w14:paraId="7203D339" w14:textId="4098775D" w:rsidR="004C50B6" w:rsidRPr="00AC04B2" w:rsidRDefault="00FF0E74" w:rsidP="00A207F8">
            <w:pPr>
              <w:pStyle w:val="TableHeading"/>
            </w:pPr>
            <w:r w:rsidRPr="00AC04B2">
              <w:t>Deliverable</w:t>
            </w:r>
          </w:p>
        </w:tc>
        <w:tc>
          <w:tcPr>
            <w:tcW w:w="1274" w:type="pct"/>
            <w:tcBorders>
              <w:top w:val="nil"/>
              <w:bottom w:val="nil"/>
            </w:tcBorders>
            <w:shd w:val="clear" w:color="auto" w:fill="104F99" w:themeFill="accent2"/>
            <w:vAlign w:val="center"/>
          </w:tcPr>
          <w:p w14:paraId="17CB198F" w14:textId="7D26CCBA" w:rsidR="004C50B6" w:rsidRPr="00AC04B2" w:rsidRDefault="00FF0E74" w:rsidP="00A207F8">
            <w:pPr>
              <w:pStyle w:val="TableHeading"/>
            </w:pPr>
            <w:r w:rsidRPr="00AC04B2">
              <w:t>Timeframe</w:t>
            </w:r>
          </w:p>
        </w:tc>
      </w:tr>
      <w:tr w:rsidR="004C50B6" w:rsidRPr="00AC04B2" w14:paraId="74540266" w14:textId="77777777" w:rsidTr="004A276E">
        <w:trPr>
          <w:trHeight w:val="236"/>
        </w:trPr>
        <w:tc>
          <w:tcPr>
            <w:tcW w:w="3726" w:type="pct"/>
            <w:tcBorders>
              <w:top w:val="nil"/>
              <w:bottom w:val="single" w:sz="4" w:space="0" w:color="auto"/>
            </w:tcBorders>
          </w:tcPr>
          <w:p w14:paraId="52B01317" w14:textId="2676D5F6" w:rsidR="004C50B6" w:rsidRPr="00AC04B2" w:rsidRDefault="009D0D19" w:rsidP="00A207F8">
            <w:pPr>
              <w:pStyle w:val="TableBodySmall"/>
            </w:pPr>
            <w:r w:rsidRPr="00AC04B2">
              <w:t>Provide quarterly activity based funding activity data reports to the Pricing Authority and Jurisdictional Advisory Committee</w:t>
            </w:r>
            <w:r w:rsidR="004C50B6" w:rsidRPr="00AC04B2">
              <w:t>.</w:t>
            </w:r>
          </w:p>
        </w:tc>
        <w:tc>
          <w:tcPr>
            <w:tcW w:w="1274" w:type="pct"/>
            <w:tcBorders>
              <w:top w:val="nil"/>
              <w:bottom w:val="single" w:sz="4" w:space="0" w:color="auto"/>
            </w:tcBorders>
          </w:tcPr>
          <w:p w14:paraId="47D93F08" w14:textId="68529909" w:rsidR="004C50B6" w:rsidRPr="00AC04B2" w:rsidRDefault="00F2222D" w:rsidP="00A207F8">
            <w:pPr>
              <w:pStyle w:val="TableBodySmall"/>
            </w:pPr>
            <w:r w:rsidRPr="00AC04B2">
              <w:t>Ongoing</w:t>
            </w:r>
          </w:p>
        </w:tc>
      </w:tr>
    </w:tbl>
    <w:p w14:paraId="6ADF7B15" w14:textId="77777777" w:rsidR="00BD0ECF" w:rsidRDefault="00BD0ECF" w:rsidP="00F00D91">
      <w:pPr>
        <w:pStyle w:val="Body"/>
      </w:pPr>
    </w:p>
    <w:p w14:paraId="46491009" w14:textId="313CB4CA" w:rsidR="009D0D19" w:rsidRPr="00BD0ECF" w:rsidRDefault="009D0D19" w:rsidP="00F00D91">
      <w:pPr>
        <w:pStyle w:val="Body"/>
        <w:rPr>
          <w:b/>
          <w:bCs/>
        </w:rPr>
      </w:pPr>
      <w:r w:rsidRPr="00BD0ECF">
        <w:rPr>
          <w:b/>
          <w:bCs/>
        </w:rPr>
        <w:t>In 202</w:t>
      </w:r>
      <w:r w:rsidR="00D52076">
        <w:rPr>
          <w:b/>
          <w:bCs/>
        </w:rPr>
        <w:t>4</w:t>
      </w:r>
      <w:r w:rsidRPr="00BD0ECF">
        <w:rPr>
          <w:b/>
          <w:bCs/>
        </w:rPr>
        <w:t>–2</w:t>
      </w:r>
      <w:r w:rsidR="00D52076">
        <w:rPr>
          <w:b/>
          <w:bCs/>
        </w:rPr>
        <w:t>5</w:t>
      </w:r>
      <w:r w:rsidRPr="00BD0ECF">
        <w:rPr>
          <w:b/>
          <w:bCs/>
        </w:rPr>
        <w:t xml:space="preserve">, </w:t>
      </w:r>
      <w:r w:rsidR="0004403B" w:rsidRPr="00BD0ECF">
        <w:rPr>
          <w:b/>
          <w:bCs/>
        </w:rPr>
        <w:t>the Independent Health and Aged Care Pricing Authority (</w:t>
      </w:r>
      <w:r w:rsidRPr="00BD0ECF">
        <w:rPr>
          <w:b/>
          <w:bCs/>
        </w:rPr>
        <w:t>IH</w:t>
      </w:r>
      <w:r w:rsidR="000B2BCC" w:rsidRPr="00BD0ECF">
        <w:rPr>
          <w:b/>
          <w:bCs/>
        </w:rPr>
        <w:t>AC</w:t>
      </w:r>
      <w:r w:rsidRPr="00BD0ECF">
        <w:rPr>
          <w:b/>
          <w:bCs/>
        </w:rPr>
        <w:t>PA</w:t>
      </w:r>
      <w:r w:rsidR="00D07538" w:rsidRPr="00BD0ECF">
        <w:rPr>
          <w:b/>
          <w:bCs/>
        </w:rPr>
        <w:t>)</w:t>
      </w:r>
      <w:r w:rsidRPr="00BD0ECF">
        <w:rPr>
          <w:b/>
          <w:bCs/>
        </w:rPr>
        <w:t xml:space="preserve"> will continue to monitor changes in the mix, distribution and </w:t>
      </w:r>
      <w:r w:rsidR="007F5410">
        <w:rPr>
          <w:b/>
          <w:bCs/>
        </w:rPr>
        <w:t>volume</w:t>
      </w:r>
      <w:r w:rsidR="007F5410" w:rsidRPr="00BD0ECF">
        <w:rPr>
          <w:b/>
          <w:bCs/>
        </w:rPr>
        <w:t xml:space="preserve"> </w:t>
      </w:r>
      <w:r w:rsidRPr="00BD0ECF">
        <w:rPr>
          <w:b/>
          <w:bCs/>
        </w:rPr>
        <w:t xml:space="preserve">of public hospital services each quarter, and conduct an annual analysis of the impacts of </w:t>
      </w:r>
      <w:r w:rsidR="00BF153F" w:rsidRPr="00BD0ECF">
        <w:rPr>
          <w:b/>
          <w:bCs/>
        </w:rPr>
        <w:t>activity based funding (</w:t>
      </w:r>
      <w:r w:rsidRPr="00BD0ECF">
        <w:rPr>
          <w:b/>
          <w:bCs/>
        </w:rPr>
        <w:t>ABF</w:t>
      </w:r>
      <w:r w:rsidR="00BF153F" w:rsidRPr="00BD0ECF">
        <w:rPr>
          <w:b/>
          <w:bCs/>
        </w:rPr>
        <w:t>)</w:t>
      </w:r>
      <w:r w:rsidRPr="00BD0ECF">
        <w:rPr>
          <w:b/>
          <w:bCs/>
        </w:rPr>
        <w:t xml:space="preserve"> implementation on the delivery of public hospital services through the ABF Monitoring Framework.</w:t>
      </w:r>
    </w:p>
    <w:p w14:paraId="72C804B0" w14:textId="5BA1A257" w:rsidR="003C1752" w:rsidRPr="00AC04B2" w:rsidRDefault="009D0D19" w:rsidP="00F00D91">
      <w:pPr>
        <w:pStyle w:val="Body"/>
      </w:pPr>
      <w:r w:rsidRPr="00AC04B2">
        <w:t xml:space="preserve">Consistent with clause </w:t>
      </w:r>
      <w:r w:rsidR="00BC498C" w:rsidRPr="00AC04B2">
        <w:t>A</w:t>
      </w:r>
      <w:r w:rsidR="00BC498C">
        <w:t>31</w:t>
      </w:r>
      <w:r w:rsidR="00BC498C" w:rsidRPr="00AC04B2">
        <w:t xml:space="preserve"> </w:t>
      </w:r>
      <w:r w:rsidRPr="00AC04B2">
        <w:t xml:space="preserve">of </w:t>
      </w:r>
      <w:r w:rsidR="00A522DD" w:rsidRPr="00AC04B2">
        <w:t xml:space="preserve">the </w:t>
      </w:r>
      <w:bookmarkStart w:id="147" w:name="_Hlk132977228"/>
      <w:r w:rsidR="00A522DD" w:rsidRPr="00AC04B2">
        <w:t>Addendum to the National Health Reform Agreement 2020–25</w:t>
      </w:r>
      <w:bookmarkEnd w:id="147"/>
      <w:r w:rsidRPr="00AC04B2">
        <w:t>, should IH</w:t>
      </w:r>
      <w:r w:rsidR="000B2BCC" w:rsidRPr="00AC04B2">
        <w:t>AC</w:t>
      </w:r>
      <w:r w:rsidRPr="00AC04B2">
        <w:t xml:space="preserve">PA identify anomalies in service volumes or other data </w:t>
      </w:r>
      <w:r w:rsidR="00D50265">
        <w:t>that</w:t>
      </w:r>
      <w:r w:rsidRPr="00AC04B2">
        <w:t xml:space="preserve"> suggest that services have been transferred from the community to public hospitals for the dominant purpose of making that service eligible for Commonwealth funding, IH</w:t>
      </w:r>
      <w:r w:rsidR="000B2BCC" w:rsidRPr="00AC04B2">
        <w:t>AC</w:t>
      </w:r>
      <w:r w:rsidRPr="00AC04B2">
        <w:t xml:space="preserve">PA will in the first instance consult with the </w:t>
      </w:r>
      <w:r w:rsidR="00F149AA">
        <w:t>state or territory</w:t>
      </w:r>
      <w:r w:rsidR="00F149AA" w:rsidRPr="00AC04B2">
        <w:t xml:space="preserve"> </w:t>
      </w:r>
      <w:r w:rsidRPr="00AC04B2">
        <w:t>in question to ascertain what underlying factors may be driving movements in service volumes</w:t>
      </w:r>
      <w:r w:rsidR="003C1752" w:rsidRPr="00AC04B2">
        <w:t>.</w:t>
      </w:r>
    </w:p>
    <w:p w14:paraId="7E68C766" w14:textId="19A28E5A" w:rsidR="003C1752" w:rsidRPr="00AC04B2" w:rsidRDefault="003C1752" w:rsidP="007B2569">
      <w:pPr>
        <w:pStyle w:val="H4"/>
        <w:numPr>
          <w:ilvl w:val="0"/>
          <w:numId w:val="12"/>
        </w:numPr>
      </w:pPr>
      <w:bookmarkStart w:id="148" w:name="_Toc55045652"/>
      <w:bookmarkStart w:id="149" w:name="_Toc55054020"/>
      <w:bookmarkStart w:id="150" w:name="_Toc55237242"/>
      <w:bookmarkStart w:id="151" w:name="_Toc55238256"/>
      <w:bookmarkStart w:id="152" w:name="_Toc55238329"/>
      <w:bookmarkStart w:id="153" w:name="_Toc55974147"/>
      <w:r w:rsidRPr="00AC04B2">
        <w:t xml:space="preserve">Evidence-based </w:t>
      </w:r>
      <w:r w:rsidR="009D0D19" w:rsidRPr="00AC04B2">
        <w:t>activity based funding</w:t>
      </w:r>
      <w:r w:rsidRPr="00AC04B2">
        <w:t xml:space="preserve"> related research</w:t>
      </w:r>
      <w:bookmarkEnd w:id="148"/>
      <w:bookmarkEnd w:id="149"/>
      <w:bookmarkEnd w:id="150"/>
      <w:bookmarkEnd w:id="151"/>
      <w:bookmarkEnd w:id="152"/>
      <w:bookmarkEnd w:id="153"/>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3C1752" w:rsidRPr="00AC04B2" w14:paraId="51993AC1" w14:textId="77777777" w:rsidTr="00B8187B">
        <w:tc>
          <w:tcPr>
            <w:tcW w:w="3726" w:type="pct"/>
            <w:tcBorders>
              <w:top w:val="nil"/>
              <w:bottom w:val="nil"/>
            </w:tcBorders>
            <w:shd w:val="clear" w:color="auto" w:fill="104F99" w:themeFill="accent2"/>
            <w:vAlign w:val="center"/>
          </w:tcPr>
          <w:p w14:paraId="14B69C5A" w14:textId="1DFAFA5A" w:rsidR="003C1752" w:rsidRPr="00AC04B2" w:rsidRDefault="00FF0E74" w:rsidP="00A207F8">
            <w:pPr>
              <w:pStyle w:val="TableHeading"/>
            </w:pPr>
            <w:r w:rsidRPr="00AC04B2">
              <w:t>Deliverable</w:t>
            </w:r>
          </w:p>
        </w:tc>
        <w:tc>
          <w:tcPr>
            <w:tcW w:w="1274" w:type="pct"/>
            <w:tcBorders>
              <w:top w:val="nil"/>
              <w:bottom w:val="nil"/>
            </w:tcBorders>
            <w:shd w:val="clear" w:color="auto" w:fill="104F99" w:themeFill="accent2"/>
            <w:vAlign w:val="center"/>
          </w:tcPr>
          <w:p w14:paraId="3C98EBC2" w14:textId="4BDA757C" w:rsidR="003C1752" w:rsidRPr="00AC04B2" w:rsidRDefault="00FF0E74" w:rsidP="00A207F8">
            <w:pPr>
              <w:pStyle w:val="TableHeading"/>
            </w:pPr>
            <w:r w:rsidRPr="00AC04B2">
              <w:t>Timeframe</w:t>
            </w:r>
          </w:p>
        </w:tc>
      </w:tr>
      <w:tr w:rsidR="009D0D19" w:rsidRPr="00AC04B2" w14:paraId="37E4BF5F" w14:textId="77777777" w:rsidTr="00926801">
        <w:trPr>
          <w:trHeight w:val="236"/>
        </w:trPr>
        <w:tc>
          <w:tcPr>
            <w:tcW w:w="3726" w:type="pct"/>
            <w:tcBorders>
              <w:top w:val="nil"/>
              <w:bottom w:val="single" w:sz="4" w:space="0" w:color="auto"/>
            </w:tcBorders>
          </w:tcPr>
          <w:p w14:paraId="7E6FF0AD" w14:textId="430C7E7C" w:rsidR="009D0D19" w:rsidRPr="00AC04B2" w:rsidRDefault="009D0D19" w:rsidP="00A207F8">
            <w:pPr>
              <w:pStyle w:val="TableBodySmall"/>
            </w:pPr>
            <w:r w:rsidRPr="00AC04B2">
              <w:t>Publish evidence-based activity based funding related research and analysis.</w:t>
            </w:r>
          </w:p>
        </w:tc>
        <w:tc>
          <w:tcPr>
            <w:tcW w:w="1274" w:type="pct"/>
            <w:tcBorders>
              <w:top w:val="nil"/>
              <w:bottom w:val="single" w:sz="4" w:space="0" w:color="auto"/>
            </w:tcBorders>
          </w:tcPr>
          <w:p w14:paraId="277112A3" w14:textId="7D8F537B" w:rsidR="009D0D19" w:rsidRPr="00AC04B2" w:rsidRDefault="009D0D19" w:rsidP="00A207F8">
            <w:pPr>
              <w:pStyle w:val="TableBodySmall"/>
            </w:pPr>
            <w:r w:rsidRPr="00AC04B2">
              <w:t>Ongoing</w:t>
            </w:r>
          </w:p>
        </w:tc>
      </w:tr>
      <w:tr w:rsidR="009D0D19" w:rsidRPr="00AC04B2" w14:paraId="5366B63F" w14:textId="77777777" w:rsidTr="00926801">
        <w:trPr>
          <w:trHeight w:val="236"/>
        </w:trPr>
        <w:tc>
          <w:tcPr>
            <w:tcW w:w="3726" w:type="pct"/>
            <w:tcBorders>
              <w:top w:val="single" w:sz="4" w:space="0" w:color="auto"/>
              <w:bottom w:val="single" w:sz="4" w:space="0" w:color="auto"/>
            </w:tcBorders>
          </w:tcPr>
          <w:p w14:paraId="6826284B" w14:textId="5D406BF5" w:rsidR="009D0D19" w:rsidRPr="00AC04B2" w:rsidRDefault="00D0184A" w:rsidP="00A207F8">
            <w:pPr>
              <w:pStyle w:val="TableBodySmall"/>
            </w:pPr>
            <w:r>
              <w:t xml:space="preserve">Provide advice </w:t>
            </w:r>
            <w:r w:rsidR="00A338F1">
              <w:t>to states and territories on proposals for the</w:t>
            </w:r>
            <w:r w:rsidR="009D0D19" w:rsidRPr="00AC04B2">
              <w:t xml:space="preserve"> </w:t>
            </w:r>
            <w:r w:rsidR="00E90B03" w:rsidRPr="00AC04B2">
              <w:t xml:space="preserve">trial of </w:t>
            </w:r>
            <w:r w:rsidR="009D0D19" w:rsidRPr="00AC04B2">
              <w:t xml:space="preserve">innovative </w:t>
            </w:r>
            <w:r w:rsidR="00E90B03" w:rsidRPr="00AC04B2">
              <w:t xml:space="preserve">funding </w:t>
            </w:r>
            <w:r w:rsidR="009D0D19" w:rsidRPr="00AC04B2">
              <w:t>models</w:t>
            </w:r>
            <w:r w:rsidR="00264775">
              <w:t xml:space="preserve"> and models</w:t>
            </w:r>
            <w:r w:rsidR="000F798D">
              <w:t xml:space="preserve"> of care</w:t>
            </w:r>
            <w:r w:rsidR="009D0D19" w:rsidRPr="00AC04B2">
              <w:t>.</w:t>
            </w:r>
          </w:p>
        </w:tc>
        <w:tc>
          <w:tcPr>
            <w:tcW w:w="1274" w:type="pct"/>
            <w:tcBorders>
              <w:top w:val="single" w:sz="4" w:space="0" w:color="auto"/>
              <w:bottom w:val="single" w:sz="4" w:space="0" w:color="auto"/>
            </w:tcBorders>
          </w:tcPr>
          <w:p w14:paraId="1AE4B7AA" w14:textId="00BBE0B3" w:rsidR="009D0D19" w:rsidRPr="00AC04B2" w:rsidRDefault="006F4E9B" w:rsidP="00A207F8">
            <w:pPr>
              <w:pStyle w:val="TableBodySmall"/>
            </w:pPr>
            <w:r w:rsidRPr="00AC04B2">
              <w:t>Ongoing</w:t>
            </w:r>
          </w:p>
        </w:tc>
      </w:tr>
      <w:tr w:rsidR="00AF64E9" w:rsidRPr="00AC04B2" w14:paraId="0848E008" w14:textId="77777777" w:rsidTr="00926801">
        <w:trPr>
          <w:trHeight w:val="236"/>
        </w:trPr>
        <w:tc>
          <w:tcPr>
            <w:tcW w:w="3726" w:type="pct"/>
            <w:tcBorders>
              <w:top w:val="single" w:sz="4" w:space="0" w:color="auto"/>
              <w:bottom w:val="single" w:sz="4" w:space="0" w:color="auto"/>
            </w:tcBorders>
          </w:tcPr>
          <w:p w14:paraId="2AD10718" w14:textId="28CBF1E5" w:rsidR="00AF64E9" w:rsidRPr="00AC04B2" w:rsidDel="00D0184A" w:rsidRDefault="00AF64E9" w:rsidP="00A207F8">
            <w:pPr>
              <w:pStyle w:val="TableBodySmall"/>
            </w:pPr>
            <w:r>
              <w:t xml:space="preserve">Undertake a horizon scan </w:t>
            </w:r>
            <w:r w:rsidRPr="00974EC5">
              <w:t xml:space="preserve">of </w:t>
            </w:r>
            <w:r w:rsidR="00D567C1">
              <w:t xml:space="preserve">Australian and international </w:t>
            </w:r>
            <w:r w:rsidRPr="00974EC5">
              <w:t xml:space="preserve">virtual </w:t>
            </w:r>
            <w:r>
              <w:t xml:space="preserve">models of </w:t>
            </w:r>
            <w:r w:rsidRPr="00974EC5">
              <w:t xml:space="preserve">service delivery </w:t>
            </w:r>
            <w:r>
              <w:t>and care</w:t>
            </w:r>
            <w:r w:rsidR="00D567C1">
              <w:t xml:space="preserve">, and </w:t>
            </w:r>
            <w:r w:rsidR="00EE4C12">
              <w:t xml:space="preserve">associated </w:t>
            </w:r>
            <w:r w:rsidR="00D567C1">
              <w:t>funding arrangements</w:t>
            </w:r>
            <w:r w:rsidR="00B85411">
              <w:t>.</w:t>
            </w:r>
          </w:p>
        </w:tc>
        <w:tc>
          <w:tcPr>
            <w:tcW w:w="1274" w:type="pct"/>
            <w:tcBorders>
              <w:top w:val="single" w:sz="4" w:space="0" w:color="auto"/>
              <w:bottom w:val="single" w:sz="4" w:space="0" w:color="auto"/>
            </w:tcBorders>
          </w:tcPr>
          <w:p w14:paraId="3009EFFF" w14:textId="0B7A6E9C" w:rsidR="00AF64E9" w:rsidRPr="00AC04B2" w:rsidRDefault="00910F6D" w:rsidP="00A207F8">
            <w:pPr>
              <w:pStyle w:val="TableBodySmall"/>
            </w:pPr>
            <w:r>
              <w:t>September</w:t>
            </w:r>
            <w:r w:rsidR="00AF64E9">
              <w:t xml:space="preserve"> 2024</w:t>
            </w:r>
          </w:p>
        </w:tc>
      </w:tr>
    </w:tbl>
    <w:p w14:paraId="1410CDDB" w14:textId="77777777" w:rsidR="00BD0ECF" w:rsidRDefault="00BD0ECF" w:rsidP="00F00D91">
      <w:pPr>
        <w:pStyle w:val="Body"/>
      </w:pPr>
    </w:p>
    <w:p w14:paraId="71DA1938" w14:textId="4377965C" w:rsidR="009D0D19" w:rsidRPr="00BD0ECF" w:rsidRDefault="009D0D19" w:rsidP="00F00D91">
      <w:pPr>
        <w:pStyle w:val="Body"/>
        <w:rPr>
          <w:b/>
          <w:bCs/>
        </w:rPr>
      </w:pPr>
      <w:r w:rsidRPr="00BD0ECF">
        <w:rPr>
          <w:b/>
          <w:bCs/>
        </w:rPr>
        <w:t xml:space="preserve">In accordance with clause B31 of the </w:t>
      </w:r>
      <w:r w:rsidR="0032730B">
        <w:rPr>
          <w:b/>
          <w:bCs/>
        </w:rPr>
        <w:t>a</w:t>
      </w:r>
      <w:r w:rsidRPr="00BD0ECF">
        <w:rPr>
          <w:b/>
          <w:bCs/>
        </w:rPr>
        <w:t>ddendum, IH</w:t>
      </w:r>
      <w:r w:rsidR="000B2BCC" w:rsidRPr="00BD0ECF">
        <w:rPr>
          <w:b/>
          <w:bCs/>
        </w:rPr>
        <w:t>AC</w:t>
      </w:r>
      <w:r w:rsidRPr="00BD0ECF">
        <w:rPr>
          <w:b/>
          <w:bCs/>
        </w:rPr>
        <w:t xml:space="preserve">PA may undertake research. Evidence-based research plays a significant role in the ongoing advancement of ABF in Australia. This is particularly the case in improving the understanding of the relationship between public hospital activity and costs in all care settings. </w:t>
      </w:r>
    </w:p>
    <w:p w14:paraId="57066C48" w14:textId="5DD021DC" w:rsidR="009D0D19" w:rsidRPr="00AC04B2" w:rsidRDefault="009D0D19" w:rsidP="00F00D91">
      <w:pPr>
        <w:pStyle w:val="Body"/>
      </w:pPr>
      <w:r w:rsidRPr="00AC04B2">
        <w:t>As required, IH</w:t>
      </w:r>
      <w:r w:rsidR="000B2BCC" w:rsidRPr="00AC04B2">
        <w:t>AC</w:t>
      </w:r>
      <w:r w:rsidRPr="00AC04B2">
        <w:t>PA will conduct ABF related research that furthers the understanding and implementation of ABF, particularly in relation to classifications, coding standards and pricing methodologies. As a result, IH</w:t>
      </w:r>
      <w:r w:rsidR="000B2BCC" w:rsidRPr="00AC04B2">
        <w:t>AC</w:t>
      </w:r>
      <w:r w:rsidRPr="00AC04B2">
        <w:t>PA will be better position</w:t>
      </w:r>
      <w:r w:rsidR="00E90B03" w:rsidRPr="00AC04B2">
        <w:t>ed</w:t>
      </w:r>
      <w:r w:rsidRPr="00AC04B2">
        <w:t xml:space="preserve"> to determine a</w:t>
      </w:r>
      <w:r w:rsidR="00D71575" w:rsidRPr="00AC04B2">
        <w:t xml:space="preserve"> </w:t>
      </w:r>
      <w:r w:rsidR="00931FB2">
        <w:t>NEP</w:t>
      </w:r>
      <w:r w:rsidRPr="00AC04B2">
        <w:t xml:space="preserve"> that accurately reflects the costs experienced by Australian public hospitals.</w:t>
      </w:r>
    </w:p>
    <w:p w14:paraId="2C74F893" w14:textId="77777777" w:rsidR="009D0D19" w:rsidRPr="00BD0ECF" w:rsidRDefault="009D0D19" w:rsidP="007B2569">
      <w:pPr>
        <w:pStyle w:val="Body"/>
        <w:keepNext/>
        <w:rPr>
          <w:b/>
          <w:bCs/>
        </w:rPr>
      </w:pPr>
      <w:r w:rsidRPr="00BD0ECF">
        <w:rPr>
          <w:b/>
          <w:bCs/>
        </w:rPr>
        <w:t>Publication of ABF related research</w:t>
      </w:r>
    </w:p>
    <w:p w14:paraId="1E70E0E4" w14:textId="469494E9" w:rsidR="009D0D19" w:rsidRPr="00AC04B2" w:rsidRDefault="009D0D19" w:rsidP="00F00D91">
      <w:pPr>
        <w:pStyle w:val="Body"/>
      </w:pPr>
      <w:r w:rsidRPr="00AC04B2">
        <w:t>IH</w:t>
      </w:r>
      <w:r w:rsidR="000B2BCC" w:rsidRPr="00AC04B2">
        <w:t>AC</w:t>
      </w:r>
      <w:r w:rsidRPr="00AC04B2">
        <w:t>PA considers that broadening access to its data and publication of analysis using the data would benefit work to develop and evaluate health policy and programs by researchers, clinical groups and peak bodies and would serve the interests of transparency.</w:t>
      </w:r>
    </w:p>
    <w:p w14:paraId="50689616" w14:textId="1B21A75A" w:rsidR="009D0D19" w:rsidRPr="00AC04B2" w:rsidRDefault="009D0D19" w:rsidP="00F00D91">
      <w:pPr>
        <w:pStyle w:val="Body"/>
      </w:pPr>
      <w:r w:rsidRPr="00AC04B2">
        <w:t>IH</w:t>
      </w:r>
      <w:r w:rsidR="000B2BCC" w:rsidRPr="00AC04B2">
        <w:t>AC</w:t>
      </w:r>
      <w:r w:rsidRPr="00AC04B2">
        <w:t>PA will continue to work with stakeholders to improve access to hospital data, including developing appropriate safeguards and identifying opportunities that all parties are agreeable to in the release of data and/or publications to third parties.</w:t>
      </w:r>
    </w:p>
    <w:p w14:paraId="1B3ACEC8" w14:textId="77777777" w:rsidR="00FE4F52" w:rsidRDefault="00FE4F52">
      <w:pPr>
        <w:rPr>
          <w:rFonts w:ascii="Arial" w:hAnsi="Arial" w:cs="Arial"/>
          <w:b/>
          <w:bCs/>
          <w:sz w:val="20"/>
          <w:szCs w:val="20"/>
        </w:rPr>
      </w:pPr>
      <w:r>
        <w:rPr>
          <w:b/>
          <w:bCs/>
        </w:rPr>
        <w:br w:type="page"/>
      </w:r>
    </w:p>
    <w:p w14:paraId="5752B7E9" w14:textId="39DAD56F" w:rsidR="009D0D19" w:rsidRPr="00BD0ECF" w:rsidRDefault="00E90B03" w:rsidP="00F00D91">
      <w:pPr>
        <w:pStyle w:val="Body"/>
        <w:rPr>
          <w:b/>
          <w:bCs/>
        </w:rPr>
      </w:pPr>
      <w:r w:rsidRPr="00BD0ECF">
        <w:rPr>
          <w:b/>
          <w:bCs/>
        </w:rPr>
        <w:lastRenderedPageBreak/>
        <w:t xml:space="preserve">Innovative </w:t>
      </w:r>
      <w:r w:rsidR="009D0D19" w:rsidRPr="00BD0ECF">
        <w:rPr>
          <w:b/>
          <w:bCs/>
        </w:rPr>
        <w:t>funding models</w:t>
      </w:r>
      <w:r w:rsidR="000F798D">
        <w:rPr>
          <w:b/>
          <w:bCs/>
        </w:rPr>
        <w:t xml:space="preserve"> </w:t>
      </w:r>
      <w:r w:rsidR="00264775">
        <w:rPr>
          <w:b/>
          <w:bCs/>
        </w:rPr>
        <w:t xml:space="preserve">and models </w:t>
      </w:r>
      <w:r w:rsidR="000F798D">
        <w:rPr>
          <w:b/>
          <w:bCs/>
        </w:rPr>
        <w:t>of care</w:t>
      </w:r>
    </w:p>
    <w:p w14:paraId="1B665165" w14:textId="698A6653" w:rsidR="009D0D19" w:rsidRPr="00AC04B2" w:rsidRDefault="009D0D19" w:rsidP="00F00D91">
      <w:pPr>
        <w:pStyle w:val="Body"/>
      </w:pPr>
      <w:r w:rsidRPr="00AC04B2">
        <w:t xml:space="preserve">The </w:t>
      </w:r>
      <w:r w:rsidR="00CC5CAD">
        <w:t>a</w:t>
      </w:r>
      <w:r w:rsidRPr="00AC04B2">
        <w:t>ddendum and the Pricing Guidelines include provisions for IH</w:t>
      </w:r>
      <w:r w:rsidR="000B2BCC" w:rsidRPr="00AC04B2">
        <w:t>AC</w:t>
      </w:r>
      <w:r w:rsidRPr="00AC04B2">
        <w:t>PA to consider the impact on its work of evidence</w:t>
      </w:r>
      <w:r w:rsidRPr="00AC04B2">
        <w:rPr>
          <w:rFonts w:ascii="Cambria Math" w:hAnsi="Cambria Math" w:cs="Cambria Math"/>
        </w:rPr>
        <w:t>‑</w:t>
      </w:r>
      <w:r w:rsidRPr="00AC04B2">
        <w:t>based, effective new technologies and innovations in models of health care. IH</w:t>
      </w:r>
      <w:r w:rsidR="000B2BCC" w:rsidRPr="00AC04B2">
        <w:t>AC</w:t>
      </w:r>
      <w:r w:rsidRPr="00AC04B2">
        <w:t>PA maintains a watching brief on emerging trends in health care to ensure that the current ABF framework can accommodate new and alternate approaches to public hospital funding and service delivery.</w:t>
      </w:r>
    </w:p>
    <w:p w14:paraId="3F4D4ACF" w14:textId="1BDEEA5C" w:rsidR="009D0D19" w:rsidRPr="00AC04B2" w:rsidRDefault="009D0D19" w:rsidP="00F00D91">
      <w:pPr>
        <w:pStyle w:val="Body"/>
      </w:pPr>
      <w:r w:rsidRPr="00AC04B2">
        <w:t xml:space="preserve">While ABF has increased the transparency of hospital services and costs, it has the potential to incentivise more activity or to admit patients instead of focusing on hospital avoidance and patient outcomes. Consequently, there is </w:t>
      </w:r>
      <w:r w:rsidR="00E90B03" w:rsidRPr="00AC04B2">
        <w:t xml:space="preserve">an increased need to </w:t>
      </w:r>
      <w:r w:rsidRPr="00AC04B2">
        <w:t xml:space="preserve">focus on delivering value-based health care </w:t>
      </w:r>
      <w:r w:rsidR="00E90B03" w:rsidRPr="00AC04B2">
        <w:t xml:space="preserve">aimed at improving </w:t>
      </w:r>
      <w:r w:rsidRPr="00AC04B2">
        <w:t>patient outcomes and experience</w:t>
      </w:r>
      <w:r w:rsidR="00E90B03" w:rsidRPr="00AC04B2">
        <w:t>s</w:t>
      </w:r>
      <w:r w:rsidRPr="00AC04B2">
        <w:t xml:space="preserve">. </w:t>
      </w:r>
    </w:p>
    <w:p w14:paraId="133BCD1B" w14:textId="787A35BF" w:rsidR="000B2BCC" w:rsidRPr="00AC04B2" w:rsidRDefault="009D0D19" w:rsidP="00F00D91">
      <w:pPr>
        <w:pStyle w:val="Body"/>
      </w:pPr>
      <w:r w:rsidRPr="00AC04B2">
        <w:t xml:space="preserve">Schedule C of the </w:t>
      </w:r>
      <w:r w:rsidR="00347E50">
        <w:t>a</w:t>
      </w:r>
      <w:r w:rsidRPr="00AC04B2">
        <w:t xml:space="preserve">ddendum </w:t>
      </w:r>
      <w:r w:rsidR="00E90B03" w:rsidRPr="00AC04B2">
        <w:t xml:space="preserve">contains </w:t>
      </w:r>
      <w:r w:rsidRPr="00AC04B2">
        <w:t xml:space="preserve">key references to paying for value and outcomes through supporting innovative models of care and </w:t>
      </w:r>
      <w:r w:rsidR="003272CA" w:rsidRPr="00AC04B2">
        <w:t>trialling</w:t>
      </w:r>
      <w:r w:rsidRPr="00AC04B2">
        <w:t xml:space="preserve"> new funding arrangements.</w:t>
      </w:r>
    </w:p>
    <w:p w14:paraId="1311DE4C" w14:textId="4C287235" w:rsidR="004C0463" w:rsidRDefault="000B2BCC" w:rsidP="00F00D91">
      <w:pPr>
        <w:pStyle w:val="Body"/>
      </w:pPr>
      <w:r w:rsidRPr="00AC04B2">
        <w:t xml:space="preserve">In </w:t>
      </w:r>
      <w:r w:rsidR="00E578AD" w:rsidRPr="00AC04B2">
        <w:t>202</w:t>
      </w:r>
      <w:r w:rsidR="00465E61">
        <w:t>4</w:t>
      </w:r>
      <w:r w:rsidR="00E578AD" w:rsidRPr="00AC04B2">
        <w:t>–2</w:t>
      </w:r>
      <w:r w:rsidR="00465E61">
        <w:t>5</w:t>
      </w:r>
      <w:r w:rsidR="00E578AD" w:rsidRPr="00AC04B2">
        <w:t xml:space="preserve">, </w:t>
      </w:r>
      <w:r w:rsidR="009D0D19" w:rsidRPr="00AC04B2">
        <w:t>IH</w:t>
      </w:r>
      <w:r w:rsidRPr="00AC04B2">
        <w:t>AC</w:t>
      </w:r>
      <w:r w:rsidR="009D0D19" w:rsidRPr="00AC04B2">
        <w:t xml:space="preserve">PA will </w:t>
      </w:r>
      <w:r w:rsidR="006819A8" w:rsidRPr="00AC04B2">
        <w:t xml:space="preserve">continue to </w:t>
      </w:r>
      <w:r w:rsidR="009D0D19" w:rsidRPr="00AC04B2">
        <w:t xml:space="preserve">work closely with jurisdictions and clinical experts to facilitate the implementation pathway for trialling state and territory nominated innovative </w:t>
      </w:r>
      <w:r w:rsidR="00E90B03" w:rsidRPr="00AC04B2">
        <w:t>funding models</w:t>
      </w:r>
      <w:r w:rsidR="004C0463" w:rsidRPr="00AC04B2">
        <w:t>.</w:t>
      </w:r>
    </w:p>
    <w:p w14:paraId="2CD454AB" w14:textId="1EBEEC5B" w:rsidR="00AF64E9" w:rsidRPr="00AF64E9" w:rsidRDefault="00AF64E9" w:rsidP="00F00D91">
      <w:pPr>
        <w:pStyle w:val="Body"/>
        <w:rPr>
          <w:b/>
          <w:bCs/>
        </w:rPr>
      </w:pPr>
      <w:r w:rsidRPr="00AF64E9">
        <w:rPr>
          <w:b/>
          <w:bCs/>
        </w:rPr>
        <w:t>Virtual models of care</w:t>
      </w:r>
    </w:p>
    <w:p w14:paraId="21B477E0" w14:textId="6E5E76F6" w:rsidR="00AF64E9" w:rsidRPr="00AC04B2" w:rsidRDefault="00AF64E9" w:rsidP="00F00D91">
      <w:pPr>
        <w:pStyle w:val="Body"/>
      </w:pPr>
      <w:r w:rsidRPr="00974EC5">
        <w:t xml:space="preserve">IHACPA is undertaking a program of work to gain a better understanding of virtual care activity, costs, modes of service delivery and models of care in Australia, including variations across jurisdictions and international virtual care funding arrangements in similar health systems. The project will include a horizon scan to facilitate the development of a national strategy for improved integration of virtual care into the </w:t>
      </w:r>
      <w:r>
        <w:t xml:space="preserve">Australian public hospital system, including in the </w:t>
      </w:r>
      <w:r w:rsidRPr="00974EC5">
        <w:t>pricing and funding for public hospital services.</w:t>
      </w:r>
      <w:r>
        <w:t xml:space="preserve"> As such, this project is likely to identify areas for further work, including potential refinements to data collections, costing, classification and pricing, that are not yet reflected in this document. </w:t>
      </w:r>
    </w:p>
    <w:p w14:paraId="10CF712E" w14:textId="6CD7C6B5" w:rsidR="003C1752" w:rsidRPr="00AC04B2" w:rsidRDefault="003C1752" w:rsidP="007B2569">
      <w:pPr>
        <w:pStyle w:val="H4"/>
        <w:numPr>
          <w:ilvl w:val="0"/>
          <w:numId w:val="12"/>
        </w:numPr>
      </w:pPr>
      <w:bookmarkStart w:id="154" w:name="_Toc55045655"/>
      <w:bookmarkStart w:id="155" w:name="_Toc55054023"/>
      <w:bookmarkStart w:id="156" w:name="_Toc55237245"/>
      <w:bookmarkStart w:id="157" w:name="_Toc55238330"/>
      <w:bookmarkStart w:id="158" w:name="_Toc55974148"/>
      <w:bookmarkStart w:id="159" w:name="_Hlk94517840"/>
      <w:r w:rsidRPr="00AC04B2">
        <w:t xml:space="preserve">Support </w:t>
      </w:r>
      <w:r w:rsidR="001E5CB1" w:rsidRPr="00AC04B2">
        <w:t>activity based funding</w:t>
      </w:r>
      <w:r w:rsidRPr="00AC04B2">
        <w:t xml:space="preserve"> education at a national level</w:t>
      </w:r>
      <w:bookmarkEnd w:id="154"/>
      <w:bookmarkEnd w:id="155"/>
      <w:bookmarkEnd w:id="156"/>
      <w:bookmarkEnd w:id="157"/>
      <w:bookmarkEnd w:id="158"/>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3C1752" w:rsidRPr="00AC04B2" w14:paraId="19F5E880" w14:textId="77777777" w:rsidTr="00B8187B">
        <w:tc>
          <w:tcPr>
            <w:tcW w:w="3726" w:type="pct"/>
            <w:tcBorders>
              <w:top w:val="nil"/>
              <w:bottom w:val="nil"/>
            </w:tcBorders>
            <w:shd w:val="clear" w:color="auto" w:fill="104F99" w:themeFill="accent2"/>
            <w:vAlign w:val="center"/>
          </w:tcPr>
          <w:p w14:paraId="0135BE97" w14:textId="0C8D2617" w:rsidR="003C1752" w:rsidRPr="00AC04B2" w:rsidRDefault="00FF0E74" w:rsidP="00A207F8">
            <w:pPr>
              <w:pStyle w:val="TableHeading"/>
            </w:pPr>
            <w:r w:rsidRPr="00AC04B2">
              <w:t>Deliverable</w:t>
            </w:r>
          </w:p>
        </w:tc>
        <w:tc>
          <w:tcPr>
            <w:tcW w:w="1274" w:type="pct"/>
            <w:tcBorders>
              <w:top w:val="nil"/>
              <w:bottom w:val="nil"/>
            </w:tcBorders>
            <w:shd w:val="clear" w:color="auto" w:fill="104F99" w:themeFill="accent2"/>
            <w:vAlign w:val="center"/>
          </w:tcPr>
          <w:p w14:paraId="05DD6846" w14:textId="705E6349" w:rsidR="003C1752" w:rsidRPr="00AC04B2" w:rsidRDefault="00FF0E74" w:rsidP="00A207F8">
            <w:pPr>
              <w:pStyle w:val="TableHeading"/>
            </w:pPr>
            <w:r w:rsidRPr="00AC04B2">
              <w:t>Timeframe</w:t>
            </w:r>
          </w:p>
        </w:tc>
      </w:tr>
      <w:tr w:rsidR="001E5CB1" w:rsidRPr="00AC04B2" w14:paraId="4FB40151" w14:textId="77777777" w:rsidTr="00425666">
        <w:trPr>
          <w:trHeight w:val="236"/>
        </w:trPr>
        <w:tc>
          <w:tcPr>
            <w:tcW w:w="3726" w:type="pct"/>
            <w:tcBorders>
              <w:top w:val="nil"/>
              <w:bottom w:val="single" w:sz="4" w:space="0" w:color="auto"/>
            </w:tcBorders>
          </w:tcPr>
          <w:p w14:paraId="09E535C7" w14:textId="036CE41D" w:rsidR="001E5CB1" w:rsidRPr="00AC04B2" w:rsidRDefault="00E2490E" w:rsidP="00A207F8">
            <w:pPr>
              <w:pStyle w:val="TableBodySmall"/>
              <w:rPr>
                <w:color w:val="272728"/>
              </w:rPr>
            </w:pPr>
            <w:r w:rsidRPr="00AC04B2">
              <w:t xml:space="preserve">Implement </w:t>
            </w:r>
            <w:r w:rsidR="001E5CB1" w:rsidRPr="00AC04B2">
              <w:t>strategies, tools and working papers to ensure that IH</w:t>
            </w:r>
            <w:r w:rsidR="00216DE6" w:rsidRPr="00AC04B2">
              <w:t>AC</w:t>
            </w:r>
            <w:r w:rsidR="001E5CB1" w:rsidRPr="00AC04B2">
              <w:t xml:space="preserve">PA is providing information that will support its </w:t>
            </w:r>
            <w:r w:rsidR="00006CA6">
              <w:t>advisory committees, work</w:t>
            </w:r>
            <w:r w:rsidR="00E11FF3">
              <w:t>ing groups and jurisdictions</w:t>
            </w:r>
            <w:r w:rsidR="001E5CB1" w:rsidRPr="00AC04B2">
              <w:t>.</w:t>
            </w:r>
          </w:p>
        </w:tc>
        <w:tc>
          <w:tcPr>
            <w:tcW w:w="1274" w:type="pct"/>
            <w:tcBorders>
              <w:top w:val="nil"/>
              <w:bottom w:val="single" w:sz="4" w:space="0" w:color="auto"/>
            </w:tcBorders>
          </w:tcPr>
          <w:p w14:paraId="394CBB23" w14:textId="2F35EFAF" w:rsidR="001E5CB1" w:rsidRPr="00AC04B2" w:rsidRDefault="001E5CB1" w:rsidP="00A207F8">
            <w:pPr>
              <w:pStyle w:val="TableBodySmall"/>
            </w:pPr>
            <w:r w:rsidRPr="00AC04B2">
              <w:t>Ongoing</w:t>
            </w:r>
          </w:p>
        </w:tc>
      </w:tr>
      <w:tr w:rsidR="001E5CB1" w:rsidRPr="00AC04B2" w14:paraId="55A2D6F7" w14:textId="77777777" w:rsidTr="00425666">
        <w:trPr>
          <w:trHeight w:val="236"/>
        </w:trPr>
        <w:tc>
          <w:tcPr>
            <w:tcW w:w="3726" w:type="pct"/>
            <w:tcBorders>
              <w:top w:val="single" w:sz="4" w:space="0" w:color="auto"/>
              <w:bottom w:val="single" w:sz="4" w:space="0" w:color="auto"/>
            </w:tcBorders>
          </w:tcPr>
          <w:p w14:paraId="47A3570B" w14:textId="1A72A4F9" w:rsidR="001E5CB1" w:rsidRPr="00AC04B2" w:rsidRDefault="00E2490E" w:rsidP="00A207F8">
            <w:pPr>
              <w:pStyle w:val="TableBodySmall"/>
            </w:pPr>
            <w:r w:rsidRPr="00AC04B2">
              <w:t xml:space="preserve">Deliver the </w:t>
            </w:r>
            <w:r w:rsidR="003D50E2" w:rsidRPr="00AC04B2">
              <w:t xml:space="preserve">IHACPA </w:t>
            </w:r>
            <w:r w:rsidR="00204D08">
              <w:t>Summit</w:t>
            </w:r>
            <w:r w:rsidR="001E5CB1" w:rsidRPr="00AC04B2">
              <w:t xml:space="preserve"> </w:t>
            </w:r>
            <w:r w:rsidR="00772628" w:rsidRPr="00AC04B2">
              <w:t>202</w:t>
            </w:r>
            <w:r w:rsidR="00204D08">
              <w:t>4</w:t>
            </w:r>
            <w:r w:rsidR="001E5CB1" w:rsidRPr="00AC04B2">
              <w:t>.</w:t>
            </w:r>
          </w:p>
        </w:tc>
        <w:tc>
          <w:tcPr>
            <w:tcW w:w="1274" w:type="pct"/>
            <w:tcBorders>
              <w:top w:val="single" w:sz="4" w:space="0" w:color="auto"/>
              <w:bottom w:val="single" w:sz="4" w:space="0" w:color="auto"/>
            </w:tcBorders>
          </w:tcPr>
          <w:p w14:paraId="604F19EF" w14:textId="307388FE" w:rsidR="001E5CB1" w:rsidRPr="00AC04B2" w:rsidRDefault="00204D08" w:rsidP="00A207F8">
            <w:pPr>
              <w:pStyle w:val="TableBodySmall"/>
            </w:pPr>
            <w:r>
              <w:t>July 2024</w:t>
            </w:r>
          </w:p>
        </w:tc>
      </w:tr>
      <w:tr w:rsidR="001E5CB1" w:rsidRPr="00AC04B2" w14:paraId="4435C2A2" w14:textId="77777777" w:rsidTr="00425666">
        <w:trPr>
          <w:trHeight w:val="236"/>
        </w:trPr>
        <w:tc>
          <w:tcPr>
            <w:tcW w:w="3726" w:type="pct"/>
            <w:tcBorders>
              <w:top w:val="single" w:sz="4" w:space="0" w:color="auto"/>
              <w:bottom w:val="single" w:sz="4" w:space="0" w:color="auto"/>
            </w:tcBorders>
          </w:tcPr>
          <w:p w14:paraId="33DF22A0" w14:textId="61EE6F00" w:rsidR="001E5CB1" w:rsidRPr="00AC04B2" w:rsidRDefault="0067514C" w:rsidP="00A207F8">
            <w:pPr>
              <w:pStyle w:val="TableBodySmall"/>
            </w:pPr>
            <w:r w:rsidRPr="00AC04B2">
              <w:t>Develop and promote e</w:t>
            </w:r>
            <w:r w:rsidR="001E5CB1" w:rsidRPr="00AC04B2">
              <w:t xml:space="preserve">ducational </w:t>
            </w:r>
            <w:r w:rsidR="00AC16BD" w:rsidRPr="00AC04B2">
              <w:t>materials</w:t>
            </w:r>
            <w:r w:rsidRPr="00AC04B2">
              <w:t xml:space="preserve"> and resources</w:t>
            </w:r>
            <w:r w:rsidR="004A2115">
              <w:t xml:space="preserve"> </w:t>
            </w:r>
            <w:r w:rsidR="004A2115" w:rsidRPr="004A2115">
              <w:t>to educate, inform and engage stakeholders about IHACPA</w:t>
            </w:r>
            <w:r w:rsidR="004A2115" w:rsidRPr="004A2115">
              <w:rPr>
                <w:rFonts w:hint="cs"/>
              </w:rPr>
              <w:t>’</w:t>
            </w:r>
            <w:r w:rsidR="004A2115" w:rsidRPr="004A2115">
              <w:t>s work program and</w:t>
            </w:r>
            <w:r w:rsidR="00204D08">
              <w:t xml:space="preserve"> the health care system</w:t>
            </w:r>
            <w:r w:rsidR="001E5CB1" w:rsidRPr="00AC04B2">
              <w:t>.</w:t>
            </w:r>
          </w:p>
        </w:tc>
        <w:tc>
          <w:tcPr>
            <w:tcW w:w="1274" w:type="pct"/>
            <w:tcBorders>
              <w:top w:val="single" w:sz="4" w:space="0" w:color="auto"/>
              <w:bottom w:val="single" w:sz="4" w:space="0" w:color="auto"/>
            </w:tcBorders>
          </w:tcPr>
          <w:p w14:paraId="124034C9" w14:textId="07CC297C" w:rsidR="001E5CB1" w:rsidRPr="00AC04B2" w:rsidRDefault="009070AE" w:rsidP="00A207F8">
            <w:pPr>
              <w:pStyle w:val="TableBodySmall"/>
            </w:pPr>
            <w:r w:rsidRPr="00AC04B2">
              <w:t>Ongoing</w:t>
            </w:r>
          </w:p>
        </w:tc>
      </w:tr>
    </w:tbl>
    <w:p w14:paraId="13AB0DA4" w14:textId="77777777" w:rsidR="00BD0ECF" w:rsidRDefault="00BD0ECF" w:rsidP="00F00D91">
      <w:pPr>
        <w:pStyle w:val="Body"/>
      </w:pPr>
    </w:p>
    <w:p w14:paraId="3D0F3BA6" w14:textId="472C905D" w:rsidR="001E5CB1" w:rsidRPr="00BD0ECF" w:rsidRDefault="001E5CB1" w:rsidP="00F00D91">
      <w:pPr>
        <w:pStyle w:val="Body"/>
        <w:rPr>
          <w:b/>
          <w:bCs/>
        </w:rPr>
      </w:pPr>
      <w:r w:rsidRPr="00BD0ECF">
        <w:rPr>
          <w:b/>
          <w:bCs/>
        </w:rPr>
        <w:t>IH</w:t>
      </w:r>
      <w:r w:rsidR="009C07B1" w:rsidRPr="00BD0ECF">
        <w:rPr>
          <w:b/>
          <w:bCs/>
        </w:rPr>
        <w:t>AC</w:t>
      </w:r>
      <w:r w:rsidRPr="00BD0ECF">
        <w:rPr>
          <w:b/>
          <w:bCs/>
        </w:rPr>
        <w:t>PA recognises that the responsibility for ABF education rests with states and territories as the managers of the public hospital system.</w:t>
      </w:r>
    </w:p>
    <w:p w14:paraId="0C7019A3" w14:textId="55D21D97" w:rsidR="001E5CB1" w:rsidRPr="00AC04B2" w:rsidRDefault="001E5CB1" w:rsidP="00F00D91">
      <w:pPr>
        <w:pStyle w:val="Body"/>
      </w:pPr>
      <w:r w:rsidRPr="00AC04B2">
        <w:t>In 202</w:t>
      </w:r>
      <w:r w:rsidR="00E11FF3">
        <w:t>4</w:t>
      </w:r>
      <w:r w:rsidRPr="00AC04B2">
        <w:t>–2</w:t>
      </w:r>
      <w:r w:rsidR="00E11FF3">
        <w:t>5</w:t>
      </w:r>
      <w:r w:rsidRPr="00AC04B2">
        <w:t>, IH</w:t>
      </w:r>
      <w:r w:rsidR="009C07B1" w:rsidRPr="00AC04B2">
        <w:t>AC</w:t>
      </w:r>
      <w:r w:rsidRPr="00AC04B2">
        <w:t xml:space="preserve">PA will continue to implement strategies to ensure that it is providing information that will support its stakeholders and guide ABF education activities, through the provision of education tools and resources. </w:t>
      </w:r>
    </w:p>
    <w:p w14:paraId="43943CE2" w14:textId="34FECD4C" w:rsidR="001E5CB1" w:rsidRPr="00A81D23" w:rsidRDefault="008D7F7F" w:rsidP="00F00D91">
      <w:pPr>
        <w:pStyle w:val="Body"/>
      </w:pPr>
      <w:r w:rsidRPr="00A81D23">
        <w:t xml:space="preserve">Since 2012, </w:t>
      </w:r>
      <w:r w:rsidR="001E5CB1" w:rsidRPr="00A81D23">
        <w:t>IH</w:t>
      </w:r>
      <w:r w:rsidR="009C07B1" w:rsidRPr="00A81D23">
        <w:t>AC</w:t>
      </w:r>
      <w:r w:rsidR="001E5CB1" w:rsidRPr="00A81D23">
        <w:t xml:space="preserve">PA </w:t>
      </w:r>
      <w:r w:rsidRPr="00A81D23">
        <w:t>has held</w:t>
      </w:r>
      <w:r w:rsidR="001E5CB1" w:rsidRPr="00A81D23">
        <w:t xml:space="preserve"> an annual conference aimed at </w:t>
      </w:r>
      <w:r w:rsidR="00E578AD" w:rsidRPr="00A81D23">
        <w:t xml:space="preserve">delivering </w:t>
      </w:r>
      <w:r w:rsidR="001E5CB1" w:rsidRPr="00A81D23">
        <w:t xml:space="preserve">high-quality education </w:t>
      </w:r>
      <w:r w:rsidR="008E1DE4" w:rsidRPr="00A81D23">
        <w:t xml:space="preserve">on IHACPA’s program of work </w:t>
      </w:r>
      <w:r w:rsidR="001E5CB1" w:rsidRPr="00A81D23">
        <w:t>and the underlying classification, costing and data collection systems. The conference</w:t>
      </w:r>
      <w:r w:rsidR="00F71AA0" w:rsidRPr="00A81D23">
        <w:t>s</w:t>
      </w:r>
      <w:r w:rsidR="001E5CB1" w:rsidRPr="00A81D23">
        <w:t xml:space="preserve"> include</w:t>
      </w:r>
      <w:r w:rsidR="00F71AA0" w:rsidRPr="00A81D23">
        <w:t>d</w:t>
      </w:r>
      <w:r w:rsidR="001E5CB1" w:rsidRPr="00A81D23">
        <w:t xml:space="preserve"> major plenary sessions, concurrent smaller presentations, workshops</w:t>
      </w:r>
      <w:r w:rsidR="006819A8" w:rsidRPr="00A81D23">
        <w:t xml:space="preserve"> and </w:t>
      </w:r>
      <w:r w:rsidR="001E5CB1" w:rsidRPr="00A81D23">
        <w:t>training and networking activities</w:t>
      </w:r>
      <w:r w:rsidR="008E1DE4" w:rsidRPr="00A81D23">
        <w:t xml:space="preserve"> and provide</w:t>
      </w:r>
      <w:r w:rsidR="00F71AA0" w:rsidRPr="00A81D23">
        <w:t>d</w:t>
      </w:r>
      <w:r w:rsidR="008E1DE4" w:rsidRPr="00A81D23">
        <w:t xml:space="preserve"> delegates with the </w:t>
      </w:r>
      <w:r w:rsidR="001E5CB1" w:rsidRPr="00A81D23">
        <w:t xml:space="preserve">opportunity to hear from international peers. </w:t>
      </w:r>
    </w:p>
    <w:p w14:paraId="2F4D175A" w14:textId="594ACAC6" w:rsidR="001E5CB1" w:rsidRPr="00AC04B2" w:rsidRDefault="0048351B" w:rsidP="0048351B">
      <w:pPr>
        <w:pStyle w:val="Body"/>
      </w:pPr>
      <w:r>
        <w:t>In 2024</w:t>
      </w:r>
      <w:r w:rsidR="0007042D">
        <w:t>,</w:t>
      </w:r>
      <w:r>
        <w:t xml:space="preserve"> IHACPA will host an executive leadership summit in lieu of a conference, enabl</w:t>
      </w:r>
      <w:r w:rsidR="00963FEB">
        <w:t>ing</w:t>
      </w:r>
      <w:r>
        <w:t xml:space="preserve"> IHACPA to continue </w:t>
      </w:r>
      <w:r w:rsidR="00963FEB">
        <w:t>its</w:t>
      </w:r>
      <w:r>
        <w:t xml:space="preserve"> engagement.</w:t>
      </w:r>
    </w:p>
    <w:p w14:paraId="3B85A386" w14:textId="5928FD3D" w:rsidR="001E5CB1" w:rsidRPr="00A81D23" w:rsidRDefault="00AC16BD" w:rsidP="00F00D91">
      <w:pPr>
        <w:pStyle w:val="Body"/>
      </w:pPr>
      <w:r w:rsidRPr="00A81D23">
        <w:t>As part of its educational offering</w:t>
      </w:r>
      <w:r w:rsidR="00ED469B" w:rsidRPr="00A81D23">
        <w:t>s</w:t>
      </w:r>
      <w:r w:rsidRPr="00A81D23">
        <w:t xml:space="preserve"> for local and international health professionals, </w:t>
      </w:r>
      <w:r w:rsidR="001E5CB1" w:rsidRPr="00A81D23">
        <w:t>IH</w:t>
      </w:r>
      <w:r w:rsidR="009C07B1" w:rsidRPr="00A81D23">
        <w:t>AC</w:t>
      </w:r>
      <w:r w:rsidR="001E5CB1" w:rsidRPr="00A81D23">
        <w:t xml:space="preserve">PA has released a </w:t>
      </w:r>
      <w:r w:rsidRPr="00A81D23">
        <w:t xml:space="preserve">number of educational materials and resources, including an </w:t>
      </w:r>
      <w:r w:rsidR="001E5CB1" w:rsidRPr="00A81D23">
        <w:t>educational webinar series</w:t>
      </w:r>
      <w:r w:rsidRPr="00A81D23">
        <w:t>, fact sheets and education modules for the classification streams</w:t>
      </w:r>
      <w:r w:rsidR="001E5CB1" w:rsidRPr="00A81D23">
        <w:t>.</w:t>
      </w:r>
    </w:p>
    <w:p w14:paraId="10DF1EA1" w14:textId="4F8D2E6A" w:rsidR="001E5CB1" w:rsidRPr="00AC04B2" w:rsidRDefault="00AC16BD" w:rsidP="007B2569">
      <w:pPr>
        <w:pStyle w:val="Body"/>
        <w:keepLines/>
      </w:pPr>
      <w:r w:rsidRPr="00AC04B2">
        <w:lastRenderedPageBreak/>
        <w:t xml:space="preserve">Since 2021, IHACPA has </w:t>
      </w:r>
      <w:r w:rsidR="00ED469B" w:rsidRPr="00AC04B2">
        <w:t>released</w:t>
      </w:r>
      <w:r w:rsidRPr="00AC04B2">
        <w:t xml:space="preserve"> </w:t>
      </w:r>
      <w:r w:rsidR="00ED469B" w:rsidRPr="00AC04B2">
        <w:t>regular</w:t>
      </w:r>
      <w:r w:rsidRPr="00AC04B2">
        <w:t xml:space="preserve"> </w:t>
      </w:r>
      <w:r w:rsidR="00ED469B" w:rsidRPr="00AC04B2">
        <w:t xml:space="preserve">webinars </w:t>
      </w:r>
      <w:r w:rsidR="001E5CB1" w:rsidRPr="00AC04B2">
        <w:t xml:space="preserve">designed to educate interested local and international health professionals. Each session </w:t>
      </w:r>
      <w:r w:rsidR="00ED469B" w:rsidRPr="00AC04B2">
        <w:t xml:space="preserve">has been </w:t>
      </w:r>
      <w:r w:rsidR="001E5CB1" w:rsidRPr="00AC04B2">
        <w:t>delivered through an interactive portal and addresses key learning outcomes, highlighting the fundamental building blocks relating to ABF and where stakeholders’ roles fit within the lifecycle of the various IH</w:t>
      </w:r>
      <w:r w:rsidR="009C07B1" w:rsidRPr="00AC04B2">
        <w:t>AC</w:t>
      </w:r>
      <w:r w:rsidR="001E5CB1" w:rsidRPr="00AC04B2">
        <w:t xml:space="preserve">PA projects. </w:t>
      </w:r>
    </w:p>
    <w:p w14:paraId="5AA6BCE3" w14:textId="3DB90FA8" w:rsidR="001E5CB1" w:rsidRPr="00AC04B2" w:rsidRDefault="00ED469B" w:rsidP="00F00D91">
      <w:pPr>
        <w:pStyle w:val="Body"/>
      </w:pPr>
      <w:r w:rsidRPr="00AC04B2">
        <w:t xml:space="preserve">IHACPA also releases fact sheets to support health professionals and the general public in learning more about IHACPA’s role in the </w:t>
      </w:r>
      <w:r w:rsidR="001E5CB1" w:rsidRPr="00AC04B2">
        <w:t xml:space="preserve">pricing and funding of public hospital services </w:t>
      </w:r>
      <w:r w:rsidRPr="00AC04B2">
        <w:t>and its expanded functions in aged care costing and pricing</w:t>
      </w:r>
      <w:r w:rsidR="001E5CB1" w:rsidRPr="00AC04B2">
        <w:t>.</w:t>
      </w:r>
    </w:p>
    <w:p w14:paraId="03820570" w14:textId="39C2269F" w:rsidR="00ED469B" w:rsidRPr="00AC04B2" w:rsidRDefault="00ED469B" w:rsidP="00F00D91">
      <w:pPr>
        <w:pStyle w:val="Body"/>
      </w:pPr>
      <w:r w:rsidRPr="00AC04B2">
        <w:t xml:space="preserve">IHACPA’s educational offerings are </w:t>
      </w:r>
      <w:r w:rsidR="00915152" w:rsidRPr="00AC04B2">
        <w:t>enhanced</w:t>
      </w:r>
      <w:r w:rsidRPr="00AC04B2">
        <w:t xml:space="preserve"> by the educational resources on the </w:t>
      </w:r>
      <w:hyperlink r:id="rId35" w:history="1">
        <w:r w:rsidRPr="00A81D23">
          <w:rPr>
            <w:rStyle w:val="Hyperlink"/>
            <w:color w:val="008F55" w:themeColor="accent4"/>
          </w:rPr>
          <w:t>IHACPA Learn platform</w:t>
        </w:r>
      </w:hyperlink>
      <w:r w:rsidRPr="00AC04B2">
        <w:t xml:space="preserve"> to support the implementation of the International Statistical Classification of Diseases and Related Health Problems, Tenth Revision, Australian Modification, Australian Classification of Health Interventions and Australian Coding Standards </w:t>
      </w:r>
      <w:r w:rsidR="001D7950">
        <w:t xml:space="preserve">(ICD-10-AM/ACHI/ACS) </w:t>
      </w:r>
      <w:r w:rsidRPr="00AC04B2">
        <w:t>Twelfth Edition and the Australian Refined Diagnosis Related Groups</w:t>
      </w:r>
      <w:r w:rsidR="001D7950">
        <w:t xml:space="preserve"> (AR-DRG)</w:t>
      </w:r>
      <w:r w:rsidRPr="00AC04B2">
        <w:t xml:space="preserve"> Version 11.0. In 2022, IHACPA also released </w:t>
      </w:r>
      <w:hyperlink r:id="rId36" w:history="1">
        <w:r w:rsidRPr="00A81D23">
          <w:rPr>
            <w:rStyle w:val="Hyperlink"/>
            <w:color w:val="008F55" w:themeColor="accent4"/>
          </w:rPr>
          <w:t>education materials</w:t>
        </w:r>
      </w:hyperlink>
      <w:r w:rsidRPr="00A81D23">
        <w:rPr>
          <w:color w:val="008F55" w:themeColor="accent4"/>
        </w:rPr>
        <w:t xml:space="preserve"> </w:t>
      </w:r>
      <w:r w:rsidRPr="00AC04B2">
        <w:t>for the Australian Mental Health Care Classification Version 1.0.</w:t>
      </w:r>
    </w:p>
    <w:p w14:paraId="31A44287" w14:textId="50056795" w:rsidR="00E578AD" w:rsidRPr="00AC04B2" w:rsidRDefault="00000000" w:rsidP="00F00D91">
      <w:pPr>
        <w:pStyle w:val="Body"/>
      </w:pPr>
      <w:hyperlink r:id="rId37" w:history="1"/>
      <w:r w:rsidR="00E578AD" w:rsidRPr="00AC04B2">
        <w:t>In 202</w:t>
      </w:r>
      <w:r w:rsidR="00F83475">
        <w:t>4</w:t>
      </w:r>
      <w:r w:rsidR="00E578AD" w:rsidRPr="00AC04B2">
        <w:t>–2</w:t>
      </w:r>
      <w:r w:rsidR="00F83475">
        <w:t>5</w:t>
      </w:r>
      <w:r w:rsidR="00E578AD" w:rsidRPr="00AC04B2">
        <w:t>, IHACPA</w:t>
      </w:r>
      <w:r w:rsidR="001D7950" w:rsidRPr="001D7950">
        <w:t xml:space="preserve"> </w:t>
      </w:r>
      <w:r w:rsidR="001D7950">
        <w:t>will develop and deploy education modules</w:t>
      </w:r>
      <w:r w:rsidR="00A51B96">
        <w:t xml:space="preserve"> on IHACPA Learn</w:t>
      </w:r>
      <w:r w:rsidR="001D7950">
        <w:t xml:space="preserve"> for ICD-10-AM/ACHI/ACS Thirteenth Edition </w:t>
      </w:r>
      <w:r w:rsidR="001367D7">
        <w:t xml:space="preserve">and </w:t>
      </w:r>
      <w:r w:rsidR="001D7950">
        <w:t>AR-DRG Version 12.0</w:t>
      </w:r>
      <w:r w:rsidR="001367D7">
        <w:t>.</w:t>
      </w:r>
      <w:r w:rsidR="007155B3">
        <w:t xml:space="preserve"> IHACPA </w:t>
      </w:r>
      <w:r w:rsidR="00ED469B" w:rsidRPr="00AC04B2">
        <w:t xml:space="preserve">will continue to develop and promote </w:t>
      </w:r>
      <w:r w:rsidR="00963FEB">
        <w:t xml:space="preserve">other </w:t>
      </w:r>
      <w:r w:rsidR="00ED469B" w:rsidRPr="00AC04B2">
        <w:t>educational materials and resources</w:t>
      </w:r>
      <w:r w:rsidR="006547DF" w:rsidRPr="00AC04B2">
        <w:t xml:space="preserve"> </w:t>
      </w:r>
      <w:r w:rsidR="00E578AD" w:rsidRPr="00AC04B2">
        <w:t>for health and aged care stakeholders.</w:t>
      </w:r>
      <w:r w:rsidR="003B50D5" w:rsidRPr="00AC04B2">
        <w:t xml:space="preserve"> </w:t>
      </w:r>
    </w:p>
    <w:bookmarkEnd w:id="159"/>
    <w:p w14:paraId="0A4BE9AF" w14:textId="77777777" w:rsidR="003B2A6F" w:rsidRPr="00AC04B2" w:rsidRDefault="003B2A6F" w:rsidP="000F3E16">
      <w:pPr>
        <w:pStyle w:val="H2"/>
        <w:tabs>
          <w:tab w:val="left" w:pos="7938"/>
        </w:tabs>
        <w:ind w:right="2012"/>
        <w:rPr>
          <w:sz w:val="18"/>
          <w:szCs w:val="18"/>
        </w:rPr>
      </w:pPr>
      <w:r w:rsidRPr="00AC04B2">
        <w:br w:type="page"/>
      </w:r>
    </w:p>
    <w:p w14:paraId="519C84C2" w14:textId="6C09115F" w:rsidR="001F3404" w:rsidRPr="00AC04B2" w:rsidRDefault="001A060A" w:rsidP="008D5984">
      <w:pPr>
        <w:pStyle w:val="TOCHeading"/>
      </w:pPr>
      <w:bookmarkStart w:id="160" w:name="_Toc55044583"/>
      <w:bookmarkStart w:id="161" w:name="_Toc133416941"/>
      <w:r w:rsidRPr="00AC04B2">
        <w:rPr>
          <w:color w:val="auto"/>
        </w:rPr>
        <w:lastRenderedPageBreak/>
        <w:t>3</w:t>
      </w:r>
      <w:r w:rsidR="008D5984" w:rsidRPr="00AC04B2">
        <w:rPr>
          <w:color w:val="auto"/>
        </w:rPr>
        <w:t>.</w:t>
      </w:r>
      <w:r w:rsidR="008D5984" w:rsidRPr="00AC04B2">
        <w:rPr>
          <w:color w:val="auto"/>
        </w:rPr>
        <w:tab/>
      </w:r>
      <w:r w:rsidR="001F3404" w:rsidRPr="00AC04B2">
        <w:rPr>
          <w:color w:val="auto"/>
        </w:rPr>
        <w:t>Operating context</w:t>
      </w:r>
      <w:bookmarkEnd w:id="160"/>
      <w:bookmarkEnd w:id="161"/>
    </w:p>
    <w:p w14:paraId="022F882A" w14:textId="2D11C699" w:rsidR="001F3404" w:rsidRPr="00AC04B2" w:rsidRDefault="00AA1EDE" w:rsidP="00F00D91">
      <w:pPr>
        <w:pStyle w:val="Body"/>
      </w:pPr>
      <w:r w:rsidRPr="00AC04B2">
        <w:t xml:space="preserve">The Independent </w:t>
      </w:r>
      <w:r w:rsidR="00876358" w:rsidRPr="00AC04B2">
        <w:t xml:space="preserve">Health and Aged Care </w:t>
      </w:r>
      <w:r w:rsidRPr="00AC04B2">
        <w:t>Pricing Authority’s (IH</w:t>
      </w:r>
      <w:r w:rsidR="00876358" w:rsidRPr="00AC04B2">
        <w:t>AC</w:t>
      </w:r>
      <w:r w:rsidRPr="00AC04B2">
        <w:t xml:space="preserve">PA) </w:t>
      </w:r>
      <w:r w:rsidR="005F5C0C" w:rsidRPr="00AC04B2">
        <w:t xml:space="preserve">operating context, including </w:t>
      </w:r>
      <w:r w:rsidRPr="00AC04B2">
        <w:t>environment, capability, cooperation and collaboration, enterprise risk</w:t>
      </w:r>
      <w:r w:rsidR="008550D6" w:rsidRPr="00AC04B2">
        <w:t xml:space="preserve"> and performance measures</w:t>
      </w:r>
      <w:r w:rsidR="005F5C0C" w:rsidRPr="00AC04B2">
        <w:t xml:space="preserve"> are outlined below</w:t>
      </w:r>
      <w:r w:rsidR="00DB71A2" w:rsidRPr="00AC04B2">
        <w:t>.</w:t>
      </w:r>
    </w:p>
    <w:p w14:paraId="0A3DA34F" w14:textId="42F1888C" w:rsidR="001F3404" w:rsidRPr="00AC04B2" w:rsidRDefault="001A060A" w:rsidP="007F392E">
      <w:pPr>
        <w:pStyle w:val="H2"/>
      </w:pPr>
      <w:bookmarkStart w:id="162" w:name="_Toc55054029"/>
      <w:bookmarkStart w:id="163" w:name="_Toc133416942"/>
      <w:r w:rsidRPr="00AC04B2">
        <w:t>3</w:t>
      </w:r>
      <w:r w:rsidR="007F392E" w:rsidRPr="00AC04B2">
        <w:t>.</w:t>
      </w:r>
      <w:r w:rsidR="008550D6" w:rsidRPr="00AC04B2">
        <w:t>1</w:t>
      </w:r>
      <w:r w:rsidR="007F392E" w:rsidRPr="00AC04B2">
        <w:tab/>
      </w:r>
      <w:r w:rsidR="001F3404" w:rsidRPr="00AC04B2">
        <w:t>Environment</w:t>
      </w:r>
      <w:bookmarkEnd w:id="162"/>
      <w:bookmarkEnd w:id="163"/>
    </w:p>
    <w:p w14:paraId="4BB77AB0" w14:textId="18996BC9" w:rsidR="00AA1EDE" w:rsidRPr="00AC04B2" w:rsidRDefault="00AA1EDE" w:rsidP="00F00D91">
      <w:pPr>
        <w:pStyle w:val="Body"/>
      </w:pPr>
      <w:r w:rsidRPr="00AC04B2">
        <w:t>IH</w:t>
      </w:r>
      <w:r w:rsidR="00876358" w:rsidRPr="00AC04B2">
        <w:t>AC</w:t>
      </w:r>
      <w:r w:rsidRPr="00AC04B2">
        <w:t xml:space="preserve">PA operations are influenced by advances in technology that enable digitisation, automation and visualisation. International and Australian developments in standards, best practice and research continuously inform policy and practice. </w:t>
      </w:r>
    </w:p>
    <w:p w14:paraId="0D3E2C7E" w14:textId="1797CCB5" w:rsidR="001F3404" w:rsidRPr="00AC04B2" w:rsidRDefault="001A060A" w:rsidP="007F392E">
      <w:pPr>
        <w:pStyle w:val="H2"/>
      </w:pPr>
      <w:bookmarkStart w:id="164" w:name="_Toc55054030"/>
      <w:bookmarkStart w:id="165" w:name="_Toc133416943"/>
      <w:r w:rsidRPr="00AC04B2">
        <w:t>3</w:t>
      </w:r>
      <w:r w:rsidR="007F392E" w:rsidRPr="00AC04B2">
        <w:t>.</w:t>
      </w:r>
      <w:r w:rsidR="008550D6" w:rsidRPr="00AC04B2">
        <w:t>2</w:t>
      </w:r>
      <w:r w:rsidR="007F392E" w:rsidRPr="00AC04B2">
        <w:tab/>
      </w:r>
      <w:r w:rsidR="001F3404" w:rsidRPr="00AC04B2">
        <w:t>Capability</w:t>
      </w:r>
      <w:bookmarkEnd w:id="164"/>
      <w:bookmarkEnd w:id="165"/>
    </w:p>
    <w:p w14:paraId="253D91C7" w14:textId="585B3D37" w:rsidR="001F3404" w:rsidRPr="00BD0ECF" w:rsidRDefault="001F3404" w:rsidP="00F00D91">
      <w:pPr>
        <w:pStyle w:val="Body"/>
        <w:rPr>
          <w:b/>
          <w:bCs/>
        </w:rPr>
      </w:pPr>
      <w:r w:rsidRPr="00BD0ECF">
        <w:rPr>
          <w:b/>
          <w:bCs/>
        </w:rPr>
        <w:t xml:space="preserve">Human </w:t>
      </w:r>
      <w:r w:rsidR="00C10E6A" w:rsidRPr="00BD0ECF">
        <w:rPr>
          <w:b/>
          <w:bCs/>
        </w:rPr>
        <w:t>r</w:t>
      </w:r>
      <w:r w:rsidRPr="00BD0ECF">
        <w:rPr>
          <w:b/>
          <w:bCs/>
        </w:rPr>
        <w:t xml:space="preserve">esources </w:t>
      </w:r>
    </w:p>
    <w:p w14:paraId="74074333" w14:textId="7A63A8C6" w:rsidR="008F13D5" w:rsidRPr="00AC04B2" w:rsidRDefault="008F13D5" w:rsidP="00F00D91">
      <w:pPr>
        <w:pStyle w:val="Body"/>
      </w:pPr>
      <w:r w:rsidRPr="00AC04B2">
        <w:t>IH</w:t>
      </w:r>
      <w:r w:rsidR="005A2080" w:rsidRPr="00AC04B2">
        <w:t>AC</w:t>
      </w:r>
      <w:r w:rsidRPr="00AC04B2">
        <w:t xml:space="preserve">PA continues to place great value in creating a more productive and inclusive workplace and is committed to the recruitment and retention of a diverse workforce. </w:t>
      </w:r>
      <w:r w:rsidR="00184B7D">
        <w:t>IHACPA</w:t>
      </w:r>
      <w:r w:rsidRPr="00AC04B2">
        <w:t xml:space="preserve"> supports a flexible work environment and will continue to support all staff to optimise balance between their work performance and outside factors.</w:t>
      </w:r>
    </w:p>
    <w:p w14:paraId="55A9E1A7" w14:textId="35EDFECC" w:rsidR="008F13D5" w:rsidRPr="00AC04B2" w:rsidRDefault="008F13D5" w:rsidP="00F00D91">
      <w:pPr>
        <w:pStyle w:val="Body"/>
      </w:pPr>
      <w:r w:rsidRPr="00AC04B2">
        <w:t>The volume of highly technical work conducted by IH</w:t>
      </w:r>
      <w:r w:rsidR="005A2080" w:rsidRPr="00AC04B2">
        <w:t>AC</w:t>
      </w:r>
      <w:r w:rsidRPr="00AC04B2">
        <w:t>PA requires significant specialist workforce capability. IH</w:t>
      </w:r>
      <w:r w:rsidR="005A2080" w:rsidRPr="00AC04B2">
        <w:t>AC</w:t>
      </w:r>
      <w:r w:rsidRPr="00AC04B2">
        <w:t>PA’s workforce planning strategies will continue to emphasise both core public sector skills and the enhancement of the expert skills IH</w:t>
      </w:r>
      <w:r w:rsidR="005A2080" w:rsidRPr="00AC04B2">
        <w:t>AC</w:t>
      </w:r>
      <w:r w:rsidRPr="00AC04B2">
        <w:t>PA requires to meet its pricing and funding objectives.</w:t>
      </w:r>
    </w:p>
    <w:p w14:paraId="7142B3AF" w14:textId="79E26CF4" w:rsidR="008F13D5" w:rsidRPr="00AC04B2" w:rsidRDefault="008F13D5" w:rsidP="00F00D91">
      <w:pPr>
        <w:pStyle w:val="Body"/>
      </w:pPr>
      <w:r w:rsidRPr="00AC04B2">
        <w:t>IH</w:t>
      </w:r>
      <w:r w:rsidR="005A2080" w:rsidRPr="00AC04B2">
        <w:t>AC</w:t>
      </w:r>
      <w:r w:rsidRPr="00AC04B2">
        <w:t>PA will also continue to strengthen its management and leadership teams by enhancing performance feedback and providing targeted learning and development programs.</w:t>
      </w:r>
    </w:p>
    <w:p w14:paraId="31CA65E7" w14:textId="366315F1" w:rsidR="001F3404" w:rsidRPr="00AC04B2" w:rsidRDefault="008F13D5" w:rsidP="00F00D91">
      <w:pPr>
        <w:pStyle w:val="Body"/>
      </w:pPr>
      <w:r w:rsidRPr="00AC04B2">
        <w:t>The key focus areas for 202</w:t>
      </w:r>
      <w:r w:rsidR="002C05D1">
        <w:t>4</w:t>
      </w:r>
      <w:r w:rsidRPr="00AC04B2">
        <w:t>–2</w:t>
      </w:r>
      <w:r w:rsidR="002C05D1">
        <w:t>5</w:t>
      </w:r>
      <w:r w:rsidRPr="00AC04B2">
        <w:t xml:space="preserve"> include continuing to:</w:t>
      </w:r>
    </w:p>
    <w:p w14:paraId="3CB41DAB" w14:textId="43499B1B" w:rsidR="001F3404" w:rsidRPr="00AC04B2" w:rsidRDefault="008F13D5" w:rsidP="00E25924">
      <w:pPr>
        <w:pStyle w:val="BulletList"/>
      </w:pPr>
      <w:r w:rsidRPr="00AC04B2">
        <w:t>develop capability through attendance at internal and external training opportunities</w:t>
      </w:r>
    </w:p>
    <w:p w14:paraId="2E8E159C" w14:textId="77777777" w:rsidR="008F13D5" w:rsidRPr="00AC04B2" w:rsidRDefault="008F13D5" w:rsidP="00E25924">
      <w:pPr>
        <w:pStyle w:val="BulletList"/>
      </w:pPr>
      <w:r w:rsidRPr="00AC04B2">
        <w:t xml:space="preserve">monitor staff turnover rates and </w:t>
      </w:r>
      <w:proofErr w:type="gramStart"/>
      <w:r w:rsidRPr="00AC04B2">
        <w:t>give genuine consideration to</w:t>
      </w:r>
      <w:proofErr w:type="gramEnd"/>
      <w:r w:rsidRPr="00AC04B2">
        <w:t xml:space="preserve"> feedback provided through the annual Australian Public Service ‘State of the Service’ report</w:t>
      </w:r>
    </w:p>
    <w:p w14:paraId="73688F60" w14:textId="1BDFDD63" w:rsidR="001F3404" w:rsidRPr="00AC04B2" w:rsidRDefault="008F13D5" w:rsidP="00E25924">
      <w:pPr>
        <w:pStyle w:val="BulletList"/>
      </w:pPr>
      <w:r w:rsidRPr="00AC04B2">
        <w:t>support flexible working arrangements and agile work practices</w:t>
      </w:r>
      <w:r w:rsidR="00AF2A8D" w:rsidRPr="00AC04B2">
        <w:t>.</w:t>
      </w:r>
    </w:p>
    <w:p w14:paraId="00132079" w14:textId="77777777" w:rsidR="001F3404" w:rsidRPr="00BD0ECF" w:rsidRDefault="001F3404" w:rsidP="00F00D91">
      <w:pPr>
        <w:pStyle w:val="Body"/>
        <w:rPr>
          <w:b/>
          <w:bCs/>
        </w:rPr>
      </w:pPr>
      <w:r w:rsidRPr="00BD0ECF">
        <w:rPr>
          <w:b/>
          <w:bCs/>
        </w:rPr>
        <w:t>Infrastructure</w:t>
      </w:r>
    </w:p>
    <w:p w14:paraId="7474121B" w14:textId="41CE54B0" w:rsidR="008F13D5" w:rsidRPr="00AC04B2" w:rsidRDefault="00080EB1" w:rsidP="00F00D91">
      <w:pPr>
        <w:pStyle w:val="Body"/>
        <w:rPr>
          <w:lang w:eastAsia="en-AU"/>
        </w:rPr>
      </w:pPr>
      <w:r w:rsidRPr="00AC04B2">
        <w:rPr>
          <w:lang w:eastAsia="en-AU"/>
        </w:rPr>
        <w:t>In 202</w:t>
      </w:r>
      <w:r w:rsidR="002C05D1">
        <w:rPr>
          <w:lang w:eastAsia="en-AU"/>
        </w:rPr>
        <w:t>4</w:t>
      </w:r>
      <w:r w:rsidR="003C5DAF" w:rsidRPr="00AC04B2">
        <w:t>–</w:t>
      </w:r>
      <w:r w:rsidRPr="00AC04B2">
        <w:rPr>
          <w:lang w:eastAsia="en-AU"/>
        </w:rPr>
        <w:t>2</w:t>
      </w:r>
      <w:r w:rsidR="002C05D1">
        <w:rPr>
          <w:lang w:eastAsia="en-AU"/>
        </w:rPr>
        <w:t>5</w:t>
      </w:r>
      <w:r w:rsidRPr="00AC04B2">
        <w:rPr>
          <w:lang w:eastAsia="en-AU"/>
        </w:rPr>
        <w:t xml:space="preserve">, </w:t>
      </w:r>
      <w:r w:rsidR="008F13D5" w:rsidRPr="00AC04B2">
        <w:rPr>
          <w:lang w:eastAsia="en-AU"/>
        </w:rPr>
        <w:t>IH</w:t>
      </w:r>
      <w:r w:rsidR="005A2080" w:rsidRPr="00AC04B2">
        <w:rPr>
          <w:lang w:eastAsia="en-AU"/>
        </w:rPr>
        <w:t>AC</w:t>
      </w:r>
      <w:r w:rsidR="008F13D5" w:rsidRPr="00AC04B2">
        <w:rPr>
          <w:lang w:eastAsia="en-AU"/>
        </w:rPr>
        <w:t>PA will continue to enhance infrastructure to support the national activity based funding system by:</w:t>
      </w:r>
    </w:p>
    <w:p w14:paraId="23E794F7" w14:textId="08183DE0" w:rsidR="008F13D5" w:rsidRPr="00AC04B2" w:rsidRDefault="008F13D5" w:rsidP="00E25924">
      <w:pPr>
        <w:pStyle w:val="BulletList"/>
      </w:pPr>
      <w:r w:rsidRPr="00AC04B2">
        <w:t xml:space="preserve">developing and refining new and existing </w:t>
      </w:r>
      <w:r w:rsidR="005A2080" w:rsidRPr="00AC04B2">
        <w:t xml:space="preserve">public </w:t>
      </w:r>
      <w:r w:rsidRPr="00AC04B2">
        <w:t xml:space="preserve">hospital </w:t>
      </w:r>
      <w:r w:rsidR="005A2080" w:rsidRPr="00AC04B2">
        <w:t xml:space="preserve">and residential aged care </w:t>
      </w:r>
      <w:r w:rsidRPr="00AC04B2">
        <w:t>activity classifications through specialist input from clinicians and other stakeholders</w:t>
      </w:r>
    </w:p>
    <w:p w14:paraId="064A84A7" w14:textId="77777777" w:rsidR="008F13D5" w:rsidRPr="00AC04B2" w:rsidRDefault="008F13D5" w:rsidP="00E25924">
      <w:pPr>
        <w:pStyle w:val="BulletList"/>
      </w:pPr>
      <w:r w:rsidRPr="00AC04B2">
        <w:t>establishing and maintaining national costing standards</w:t>
      </w:r>
    </w:p>
    <w:p w14:paraId="73CFA1A1" w14:textId="68E87578" w:rsidR="008F13D5" w:rsidRPr="00AC04B2" w:rsidRDefault="008F13D5" w:rsidP="00E25924">
      <w:pPr>
        <w:pStyle w:val="BulletList"/>
      </w:pPr>
      <w:r w:rsidRPr="00AC04B2">
        <w:t>developing and maintaining standards for activity data collections, including the annual publication of the Three Year Data Plan</w:t>
      </w:r>
    </w:p>
    <w:p w14:paraId="7F7888B5" w14:textId="744F0311" w:rsidR="008F13D5" w:rsidRPr="00AC04B2" w:rsidRDefault="008F13D5" w:rsidP="00E25924">
      <w:pPr>
        <w:pStyle w:val="BulletList"/>
        <w:rPr>
          <w:rFonts w:eastAsia="Times New Roman"/>
          <w:lang w:eastAsia="en-AU"/>
        </w:rPr>
      </w:pPr>
      <w:r w:rsidRPr="00AC04B2">
        <w:t>publishing a quarterly report outlining jurisdictional compliance with the data requirements and data standards as set out in the Three Year Data Plan</w:t>
      </w:r>
      <w:r w:rsidRPr="00AC04B2">
        <w:rPr>
          <w:rFonts w:eastAsia="Times New Roman"/>
          <w:lang w:eastAsia="en-AU"/>
        </w:rPr>
        <w:t>.</w:t>
      </w:r>
    </w:p>
    <w:p w14:paraId="4E218542" w14:textId="4CD0469E" w:rsidR="008F13D5" w:rsidRPr="00AC04B2" w:rsidRDefault="008F13D5" w:rsidP="00883C3A">
      <w:pPr>
        <w:pStyle w:val="Body"/>
        <w:rPr>
          <w:b/>
          <w:bCs/>
        </w:rPr>
      </w:pPr>
      <w:r w:rsidRPr="00AC04B2">
        <w:rPr>
          <w:b/>
          <w:bCs/>
        </w:rPr>
        <w:t xml:space="preserve">Information and communication technology </w:t>
      </w:r>
    </w:p>
    <w:p w14:paraId="77021867" w14:textId="42F495E1" w:rsidR="008F13D5" w:rsidRPr="00AC04B2" w:rsidRDefault="008F13D5" w:rsidP="00F00D91">
      <w:pPr>
        <w:pStyle w:val="Body"/>
        <w:rPr>
          <w:lang w:eastAsia="en-AU"/>
        </w:rPr>
      </w:pPr>
      <w:r w:rsidRPr="00AC04B2">
        <w:rPr>
          <w:lang w:eastAsia="en-AU"/>
        </w:rPr>
        <w:t xml:space="preserve">Information and communication technology </w:t>
      </w:r>
      <w:r w:rsidR="00BE7F18" w:rsidRPr="00AC04B2">
        <w:rPr>
          <w:lang w:eastAsia="en-AU"/>
        </w:rPr>
        <w:t>are</w:t>
      </w:r>
      <w:r w:rsidRPr="00AC04B2">
        <w:rPr>
          <w:lang w:eastAsia="en-AU"/>
        </w:rPr>
        <w:t xml:space="preserve"> essential to IH</w:t>
      </w:r>
      <w:r w:rsidR="005A2080" w:rsidRPr="00AC04B2">
        <w:rPr>
          <w:lang w:eastAsia="en-AU"/>
        </w:rPr>
        <w:t>AC</w:t>
      </w:r>
      <w:r w:rsidRPr="00AC04B2">
        <w:rPr>
          <w:lang w:eastAsia="en-AU"/>
        </w:rPr>
        <w:t xml:space="preserve">PA’s core business and performance. It enables data analysis, digitisation, automation, </w:t>
      </w:r>
      <w:r w:rsidR="00B56DC6" w:rsidRPr="00AC04B2">
        <w:rPr>
          <w:lang w:eastAsia="en-AU"/>
        </w:rPr>
        <w:t>visualisation</w:t>
      </w:r>
      <w:r w:rsidRPr="00AC04B2">
        <w:rPr>
          <w:lang w:eastAsia="en-AU"/>
        </w:rPr>
        <w:t xml:space="preserve">, engagement and a highly mobile and flexible workforce. Robust measures are in place to </w:t>
      </w:r>
      <w:r w:rsidR="00B95555" w:rsidRPr="00AC04B2">
        <w:rPr>
          <w:lang w:eastAsia="en-AU"/>
        </w:rPr>
        <w:t xml:space="preserve">continuously maintain, </w:t>
      </w:r>
      <w:r w:rsidRPr="00AC04B2">
        <w:rPr>
          <w:lang w:eastAsia="en-AU"/>
        </w:rPr>
        <w:t xml:space="preserve">test and upgrade data security. </w:t>
      </w:r>
    </w:p>
    <w:p w14:paraId="54B9229E" w14:textId="245124A9" w:rsidR="001F3404" w:rsidRPr="00AC04B2" w:rsidRDefault="008F13D5" w:rsidP="00F00D91">
      <w:pPr>
        <w:pStyle w:val="Body"/>
        <w:rPr>
          <w:lang w:eastAsia="en-AU"/>
        </w:rPr>
      </w:pPr>
      <w:r w:rsidRPr="00AC04B2">
        <w:rPr>
          <w:lang w:eastAsia="en-AU"/>
        </w:rPr>
        <w:t>IH</w:t>
      </w:r>
      <w:r w:rsidR="005A2080" w:rsidRPr="00AC04B2">
        <w:rPr>
          <w:lang w:eastAsia="en-AU"/>
        </w:rPr>
        <w:t>AC</w:t>
      </w:r>
      <w:r w:rsidRPr="00AC04B2">
        <w:rPr>
          <w:lang w:eastAsia="en-AU"/>
        </w:rPr>
        <w:t>PA will continue to utilise secure cloud capabilities to deliver its Secure Data Management System (SDMS) and other secure information-based systems. The SDMS allows jurisdictions to securely submit data to IH</w:t>
      </w:r>
      <w:r w:rsidR="005A2080" w:rsidRPr="00AC04B2">
        <w:rPr>
          <w:lang w:eastAsia="en-AU"/>
        </w:rPr>
        <w:t>AC</w:t>
      </w:r>
      <w:r w:rsidRPr="00AC04B2">
        <w:rPr>
          <w:lang w:eastAsia="en-AU"/>
        </w:rPr>
        <w:t>PA, and for IH</w:t>
      </w:r>
      <w:r w:rsidR="005A2080" w:rsidRPr="00AC04B2">
        <w:rPr>
          <w:lang w:eastAsia="en-AU"/>
        </w:rPr>
        <w:t>AC</w:t>
      </w:r>
      <w:r w:rsidRPr="00AC04B2">
        <w:rPr>
          <w:lang w:eastAsia="en-AU"/>
        </w:rPr>
        <w:t>PA to securely retain this information while intensive analysis is undertaken</w:t>
      </w:r>
      <w:r w:rsidR="00B95555" w:rsidRPr="00AC04B2">
        <w:rPr>
          <w:lang w:eastAsia="en-AU"/>
        </w:rPr>
        <w:t xml:space="preserve"> and eliminates the risk of </w:t>
      </w:r>
      <w:r w:rsidR="00AC78D4" w:rsidRPr="00AC04B2">
        <w:rPr>
          <w:lang w:eastAsia="en-AU"/>
        </w:rPr>
        <w:t>unauthorised</w:t>
      </w:r>
      <w:r w:rsidR="00B95555" w:rsidRPr="00AC04B2">
        <w:rPr>
          <w:lang w:eastAsia="en-AU"/>
        </w:rPr>
        <w:t xml:space="preserve"> data transfer on portable devices</w:t>
      </w:r>
      <w:r w:rsidRPr="00AC04B2">
        <w:rPr>
          <w:lang w:eastAsia="en-AU"/>
        </w:rPr>
        <w:t xml:space="preserve">. </w:t>
      </w:r>
    </w:p>
    <w:p w14:paraId="1CC3C917" w14:textId="6FF6ED76" w:rsidR="003F64E0" w:rsidRPr="00AC04B2" w:rsidRDefault="001A060A" w:rsidP="007F392E">
      <w:pPr>
        <w:pStyle w:val="H2"/>
      </w:pPr>
      <w:bookmarkStart w:id="166" w:name="_Toc55054031"/>
      <w:bookmarkStart w:id="167" w:name="_Toc133416944"/>
      <w:r w:rsidRPr="00AC04B2">
        <w:lastRenderedPageBreak/>
        <w:t>3</w:t>
      </w:r>
      <w:r w:rsidR="007F392E" w:rsidRPr="00AC04B2">
        <w:t>.</w:t>
      </w:r>
      <w:r w:rsidR="008550D6" w:rsidRPr="00AC04B2">
        <w:t>3</w:t>
      </w:r>
      <w:r w:rsidR="007F392E" w:rsidRPr="00AC04B2">
        <w:tab/>
      </w:r>
      <w:r w:rsidR="00F048EB" w:rsidRPr="00AC04B2">
        <w:t>Cooperation and c</w:t>
      </w:r>
      <w:r w:rsidR="003F64E0" w:rsidRPr="00AC04B2">
        <w:t>ollaboration</w:t>
      </w:r>
      <w:bookmarkEnd w:id="166"/>
      <w:bookmarkEnd w:id="167"/>
    </w:p>
    <w:p w14:paraId="1E063D91" w14:textId="4FE506EF" w:rsidR="003F64E0" w:rsidRPr="00AC04B2" w:rsidRDefault="00F93048" w:rsidP="00F00D91">
      <w:pPr>
        <w:pStyle w:val="Body"/>
      </w:pPr>
      <w:r w:rsidRPr="00AC04B2">
        <w:t>IH</w:t>
      </w:r>
      <w:r w:rsidR="005A2080" w:rsidRPr="00AC04B2">
        <w:t>AC</w:t>
      </w:r>
      <w:r w:rsidRPr="00AC04B2">
        <w:t>PA works with stakeholders from government agencies, research and educational facilities, the community and industry. This is achieved through consultative and advisory committees and working groups with expertise in specialised fields enabling a knowledge pipeline for technical advances and best practice innovation. IH</w:t>
      </w:r>
      <w:r w:rsidR="005A2080" w:rsidRPr="00AC04B2">
        <w:t>AC</w:t>
      </w:r>
      <w:r w:rsidRPr="00AC04B2">
        <w:t>PA</w:t>
      </w:r>
      <w:r w:rsidR="00080EB1" w:rsidRPr="00AC04B2">
        <w:t>’s advisory</w:t>
      </w:r>
      <w:r w:rsidRPr="00AC04B2">
        <w:t xml:space="preserve"> committee and working group</w:t>
      </w:r>
      <w:r w:rsidR="00080EB1" w:rsidRPr="00AC04B2">
        <w:t xml:space="preserve"> </w:t>
      </w:r>
      <w:r w:rsidRPr="00AC04B2">
        <w:t>s</w:t>
      </w:r>
      <w:r w:rsidR="00080EB1" w:rsidRPr="00AC04B2">
        <w:t>tructure is</w:t>
      </w:r>
      <w:r w:rsidRPr="00AC04B2">
        <w:t xml:space="preserve"> illustrated in </w:t>
      </w:r>
      <w:r w:rsidRPr="00AC04B2">
        <w:rPr>
          <w:b/>
          <w:bCs/>
        </w:rPr>
        <w:t>Table 1</w:t>
      </w:r>
      <w:r w:rsidR="00573730" w:rsidRPr="00AC04B2">
        <w:t>.</w:t>
      </w:r>
    </w:p>
    <w:p w14:paraId="272B6040" w14:textId="1D0DEB65" w:rsidR="00224BD0" w:rsidRPr="00271131" w:rsidRDefault="00C16C0B" w:rsidP="00A207F8">
      <w:pPr>
        <w:pStyle w:val="TableHeading"/>
        <w:rPr>
          <w:color w:val="auto"/>
        </w:rPr>
      </w:pPr>
      <w:r w:rsidRPr="00271131">
        <w:rPr>
          <w:color w:val="auto"/>
        </w:rPr>
        <w:t xml:space="preserve">Table </w:t>
      </w:r>
      <w:r w:rsidR="007822C8" w:rsidRPr="00271131">
        <w:rPr>
          <w:color w:val="auto"/>
        </w:rPr>
        <w:t>1</w:t>
      </w:r>
      <w:r w:rsidRPr="00271131">
        <w:rPr>
          <w:color w:val="auto"/>
        </w:rPr>
        <w:t>. List of IH</w:t>
      </w:r>
      <w:r w:rsidR="005A2080" w:rsidRPr="00271131">
        <w:rPr>
          <w:color w:val="auto"/>
        </w:rPr>
        <w:t>AC</w:t>
      </w:r>
      <w:r w:rsidRPr="00271131">
        <w:rPr>
          <w:color w:val="auto"/>
        </w:rPr>
        <w:t>PA committees and working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803"/>
      </w:tblGrid>
      <w:tr w:rsidR="003A31DA" w:rsidRPr="00AC04B2" w14:paraId="6410772B" w14:textId="77777777" w:rsidTr="003A31DA">
        <w:tc>
          <w:tcPr>
            <w:tcW w:w="10082" w:type="dxa"/>
            <w:gridSpan w:val="2"/>
            <w:shd w:val="clear" w:color="auto" w:fill="223F4C" w:themeFill="accent1" w:themeFillTint="E6"/>
          </w:tcPr>
          <w:p w14:paraId="2613E3A2" w14:textId="38EF6FD6" w:rsidR="003A31DA" w:rsidRPr="00AC04B2" w:rsidRDefault="00224DC4" w:rsidP="00A207F8">
            <w:pPr>
              <w:pStyle w:val="TableHeading"/>
              <w:rPr>
                <w:bCs/>
              </w:rPr>
            </w:pPr>
            <w:r>
              <w:t xml:space="preserve">Governing </w:t>
            </w:r>
            <w:r w:rsidR="00ED2EEC">
              <w:t>body</w:t>
            </w:r>
          </w:p>
        </w:tc>
      </w:tr>
      <w:tr w:rsidR="00427560" w:rsidRPr="00427560" w14:paraId="1DE4C5B1" w14:textId="77777777" w:rsidTr="003A31DA">
        <w:tc>
          <w:tcPr>
            <w:tcW w:w="279" w:type="dxa"/>
            <w:shd w:val="clear" w:color="auto" w:fill="auto"/>
          </w:tcPr>
          <w:p w14:paraId="71E2E785" w14:textId="77777777" w:rsidR="003A31DA" w:rsidRPr="00427560" w:rsidRDefault="003A31DA" w:rsidP="00A207F8">
            <w:pPr>
              <w:pStyle w:val="TableHeading"/>
              <w:rPr>
                <w:b w:val="0"/>
                <w:bCs/>
                <w:color w:val="auto"/>
              </w:rPr>
            </w:pPr>
          </w:p>
        </w:tc>
        <w:tc>
          <w:tcPr>
            <w:tcW w:w="9803" w:type="dxa"/>
          </w:tcPr>
          <w:p w14:paraId="28D8BD59" w14:textId="3FB90503" w:rsidR="003A31DA" w:rsidRPr="00427560" w:rsidRDefault="003A31DA" w:rsidP="00A207F8">
            <w:pPr>
              <w:pStyle w:val="TableHeading"/>
              <w:rPr>
                <w:b w:val="0"/>
                <w:bCs/>
                <w:color w:val="auto"/>
              </w:rPr>
            </w:pPr>
            <w:r w:rsidRPr="00427560">
              <w:rPr>
                <w:b w:val="0"/>
                <w:bCs/>
                <w:color w:val="auto"/>
              </w:rPr>
              <w:t>Pricing Authority</w:t>
            </w:r>
          </w:p>
        </w:tc>
      </w:tr>
      <w:tr w:rsidR="003A31DA" w:rsidRPr="00AC04B2" w14:paraId="238482A9" w14:textId="77777777" w:rsidTr="003A31DA">
        <w:tc>
          <w:tcPr>
            <w:tcW w:w="10082" w:type="dxa"/>
            <w:gridSpan w:val="2"/>
            <w:shd w:val="clear" w:color="auto" w:fill="223F4C" w:themeFill="accent1" w:themeFillTint="E6"/>
          </w:tcPr>
          <w:p w14:paraId="79F0BCB6" w14:textId="020D0DCD" w:rsidR="003A31DA" w:rsidRPr="00AC04B2" w:rsidRDefault="003A31DA" w:rsidP="00A207F8">
            <w:pPr>
              <w:pStyle w:val="TableHeading"/>
              <w:rPr>
                <w:bCs/>
              </w:rPr>
            </w:pPr>
            <w:r w:rsidRPr="00AC04B2">
              <w:t>Committees</w:t>
            </w:r>
          </w:p>
        </w:tc>
      </w:tr>
      <w:tr w:rsidR="004538B6" w:rsidRPr="00AC04B2" w14:paraId="6A57F995" w14:textId="77777777" w:rsidTr="003A31DA">
        <w:tc>
          <w:tcPr>
            <w:tcW w:w="279" w:type="dxa"/>
            <w:shd w:val="clear" w:color="auto" w:fill="auto"/>
          </w:tcPr>
          <w:p w14:paraId="1C8AC3D3" w14:textId="77777777" w:rsidR="004538B6" w:rsidRPr="00AC04B2" w:rsidRDefault="004538B6" w:rsidP="00A207F8">
            <w:pPr>
              <w:pStyle w:val="TableHeading"/>
            </w:pPr>
          </w:p>
        </w:tc>
        <w:tc>
          <w:tcPr>
            <w:tcW w:w="9803" w:type="dxa"/>
          </w:tcPr>
          <w:p w14:paraId="12874468" w14:textId="2ECAB5AD" w:rsidR="004538B6" w:rsidRPr="00AC04B2" w:rsidRDefault="004538B6" w:rsidP="00A207F8">
            <w:pPr>
              <w:pStyle w:val="TableBodySmall"/>
              <w:rPr>
                <w:lang w:eastAsia="en-AU"/>
              </w:rPr>
            </w:pPr>
            <w:r w:rsidRPr="00AC04B2">
              <w:rPr>
                <w:lang w:eastAsia="en-AU"/>
              </w:rPr>
              <w:t xml:space="preserve">Aged Care </w:t>
            </w:r>
            <w:r w:rsidR="000D66CF" w:rsidRPr="00AC04B2">
              <w:rPr>
                <w:lang w:eastAsia="en-AU"/>
              </w:rPr>
              <w:t>Advisory</w:t>
            </w:r>
            <w:r w:rsidRPr="00AC04B2">
              <w:rPr>
                <w:lang w:eastAsia="en-AU"/>
              </w:rPr>
              <w:t xml:space="preserve"> Committee</w:t>
            </w:r>
          </w:p>
        </w:tc>
      </w:tr>
      <w:tr w:rsidR="003A31DA" w:rsidRPr="00AC04B2" w14:paraId="7C85820E" w14:textId="77777777" w:rsidTr="003A31DA">
        <w:tc>
          <w:tcPr>
            <w:tcW w:w="279" w:type="dxa"/>
            <w:shd w:val="clear" w:color="auto" w:fill="auto"/>
          </w:tcPr>
          <w:p w14:paraId="66B8AB19" w14:textId="6FD7403F" w:rsidR="003A31DA" w:rsidRPr="00AC04B2" w:rsidRDefault="003A31DA" w:rsidP="00A207F8">
            <w:pPr>
              <w:pStyle w:val="TableHeading"/>
            </w:pPr>
          </w:p>
        </w:tc>
        <w:tc>
          <w:tcPr>
            <w:tcW w:w="9803" w:type="dxa"/>
          </w:tcPr>
          <w:p w14:paraId="5588CF4C" w14:textId="72E20748" w:rsidR="003A31DA" w:rsidRPr="00AC04B2" w:rsidRDefault="003A31DA" w:rsidP="00A207F8">
            <w:pPr>
              <w:pStyle w:val="TableBodySmall"/>
              <w:rPr>
                <w:lang w:eastAsia="en-AU"/>
              </w:rPr>
            </w:pPr>
            <w:r w:rsidRPr="00AC04B2">
              <w:rPr>
                <w:lang w:eastAsia="en-AU"/>
              </w:rPr>
              <w:t xml:space="preserve">Clinical Advisory Committee </w:t>
            </w:r>
          </w:p>
        </w:tc>
      </w:tr>
      <w:tr w:rsidR="003A31DA" w:rsidRPr="00AC04B2" w14:paraId="64B98CE5" w14:textId="77777777" w:rsidTr="003A31DA">
        <w:tc>
          <w:tcPr>
            <w:tcW w:w="279" w:type="dxa"/>
            <w:shd w:val="clear" w:color="auto" w:fill="auto"/>
          </w:tcPr>
          <w:p w14:paraId="42186645" w14:textId="77777777" w:rsidR="003A31DA" w:rsidRPr="00AC04B2" w:rsidRDefault="003A31DA" w:rsidP="00A207F8">
            <w:pPr>
              <w:pStyle w:val="TableHeading"/>
            </w:pPr>
          </w:p>
        </w:tc>
        <w:tc>
          <w:tcPr>
            <w:tcW w:w="9803" w:type="dxa"/>
          </w:tcPr>
          <w:p w14:paraId="3D183517" w14:textId="0B33994B" w:rsidR="003A31DA" w:rsidRPr="00AC04B2" w:rsidRDefault="003A31DA" w:rsidP="00A207F8">
            <w:pPr>
              <w:pStyle w:val="TableBodySmall"/>
              <w:rPr>
                <w:lang w:eastAsia="en-AU"/>
              </w:rPr>
            </w:pPr>
            <w:r w:rsidRPr="00AC04B2">
              <w:rPr>
                <w:lang w:eastAsia="en-AU"/>
              </w:rPr>
              <w:t>Jurisdictional Advisory Committee</w:t>
            </w:r>
          </w:p>
        </w:tc>
      </w:tr>
      <w:tr w:rsidR="003A31DA" w:rsidRPr="00AC04B2" w14:paraId="4FD21456" w14:textId="77777777" w:rsidTr="003A31DA">
        <w:tc>
          <w:tcPr>
            <w:tcW w:w="279" w:type="dxa"/>
            <w:shd w:val="clear" w:color="auto" w:fill="auto"/>
          </w:tcPr>
          <w:p w14:paraId="7486B0BC" w14:textId="77777777" w:rsidR="003A31DA" w:rsidRPr="00AC04B2" w:rsidRDefault="003A31DA" w:rsidP="00A207F8">
            <w:pPr>
              <w:pStyle w:val="TableHeading"/>
            </w:pPr>
          </w:p>
        </w:tc>
        <w:tc>
          <w:tcPr>
            <w:tcW w:w="9803" w:type="dxa"/>
          </w:tcPr>
          <w:p w14:paraId="6E370545" w14:textId="680715F3" w:rsidR="003A31DA" w:rsidRPr="00AC04B2" w:rsidRDefault="003A31DA" w:rsidP="00A207F8">
            <w:pPr>
              <w:pStyle w:val="TableBodySmall"/>
              <w:rPr>
                <w:lang w:eastAsia="en-AU"/>
              </w:rPr>
            </w:pPr>
            <w:r w:rsidRPr="00AC04B2">
              <w:rPr>
                <w:lang w:eastAsia="en-AU"/>
              </w:rPr>
              <w:t>National Hospital Cost Data Collection Advisory Committee</w:t>
            </w:r>
          </w:p>
        </w:tc>
      </w:tr>
      <w:tr w:rsidR="003A31DA" w:rsidRPr="00AC04B2" w14:paraId="3308DBE2" w14:textId="77777777" w:rsidTr="003A31DA">
        <w:tc>
          <w:tcPr>
            <w:tcW w:w="279" w:type="dxa"/>
            <w:shd w:val="clear" w:color="auto" w:fill="auto"/>
          </w:tcPr>
          <w:p w14:paraId="0A357547" w14:textId="77777777" w:rsidR="003A31DA" w:rsidRPr="00AC04B2" w:rsidRDefault="003A31DA" w:rsidP="00A207F8">
            <w:pPr>
              <w:pStyle w:val="TableHeading"/>
            </w:pPr>
          </w:p>
        </w:tc>
        <w:tc>
          <w:tcPr>
            <w:tcW w:w="9803" w:type="dxa"/>
          </w:tcPr>
          <w:p w14:paraId="3FE0EDA0" w14:textId="558C95C1" w:rsidR="003A31DA" w:rsidRPr="00AC04B2" w:rsidRDefault="003A31DA" w:rsidP="00A207F8">
            <w:pPr>
              <w:pStyle w:val="TableBodySmall"/>
              <w:rPr>
                <w:lang w:eastAsia="en-AU"/>
              </w:rPr>
            </w:pPr>
            <w:r w:rsidRPr="00AC04B2">
              <w:rPr>
                <w:lang w:eastAsia="en-AU"/>
              </w:rPr>
              <w:t>Stakeholder Advisory Committee</w:t>
            </w:r>
          </w:p>
        </w:tc>
      </w:tr>
      <w:tr w:rsidR="003A31DA" w:rsidRPr="00AC04B2" w14:paraId="1864A10C" w14:textId="77777777" w:rsidTr="003A31DA">
        <w:tc>
          <w:tcPr>
            <w:tcW w:w="279" w:type="dxa"/>
            <w:shd w:val="clear" w:color="auto" w:fill="auto"/>
          </w:tcPr>
          <w:p w14:paraId="688E738E" w14:textId="77777777" w:rsidR="003A31DA" w:rsidRPr="00AC04B2" w:rsidRDefault="003A31DA" w:rsidP="00A207F8">
            <w:pPr>
              <w:pStyle w:val="TableHeading"/>
            </w:pPr>
          </w:p>
        </w:tc>
        <w:tc>
          <w:tcPr>
            <w:tcW w:w="9803" w:type="dxa"/>
          </w:tcPr>
          <w:p w14:paraId="3BF3F0AB" w14:textId="0D5A0035" w:rsidR="003A31DA" w:rsidRPr="00AC04B2" w:rsidRDefault="003A31DA" w:rsidP="00A207F8">
            <w:pPr>
              <w:pStyle w:val="TableBodySmall"/>
              <w:rPr>
                <w:lang w:eastAsia="en-AU"/>
              </w:rPr>
            </w:pPr>
            <w:r w:rsidRPr="00AC04B2">
              <w:rPr>
                <w:lang w:eastAsia="en-AU"/>
              </w:rPr>
              <w:t>Technical Advisory Committee</w:t>
            </w:r>
          </w:p>
        </w:tc>
      </w:tr>
      <w:tr w:rsidR="003A31DA" w:rsidRPr="00AC04B2" w14:paraId="5B80A832" w14:textId="77777777" w:rsidTr="003A31DA">
        <w:tc>
          <w:tcPr>
            <w:tcW w:w="10082" w:type="dxa"/>
            <w:gridSpan w:val="2"/>
            <w:shd w:val="clear" w:color="auto" w:fill="223F4C" w:themeFill="accent1" w:themeFillTint="E6"/>
          </w:tcPr>
          <w:p w14:paraId="1A4B72D2" w14:textId="7B377DCD" w:rsidR="003A31DA" w:rsidRPr="008F4789" w:rsidRDefault="003A31DA" w:rsidP="00A207F8">
            <w:pPr>
              <w:pStyle w:val="TableBodySmall"/>
              <w:rPr>
                <w:b/>
                <w:bCs/>
                <w:lang w:eastAsia="en-AU"/>
              </w:rPr>
            </w:pPr>
            <w:r w:rsidRPr="008F4789">
              <w:rPr>
                <w:b/>
                <w:bCs/>
              </w:rPr>
              <w:t>Working groups</w:t>
            </w:r>
          </w:p>
        </w:tc>
      </w:tr>
      <w:tr w:rsidR="003A31DA" w:rsidRPr="00AC04B2" w14:paraId="1E7BC55F" w14:textId="77777777" w:rsidTr="003A31DA">
        <w:tc>
          <w:tcPr>
            <w:tcW w:w="279" w:type="dxa"/>
            <w:shd w:val="clear" w:color="auto" w:fill="auto"/>
          </w:tcPr>
          <w:p w14:paraId="28DB3F0F" w14:textId="7558AE0E" w:rsidR="003A31DA" w:rsidRPr="00AC04B2" w:rsidRDefault="003A31DA" w:rsidP="00A207F8">
            <w:pPr>
              <w:pStyle w:val="TableHeading"/>
            </w:pPr>
          </w:p>
        </w:tc>
        <w:tc>
          <w:tcPr>
            <w:tcW w:w="9803" w:type="dxa"/>
          </w:tcPr>
          <w:p w14:paraId="7E0EF28B" w14:textId="79BA66B0" w:rsidR="003A31DA" w:rsidRPr="00AC04B2" w:rsidRDefault="003A31DA" w:rsidP="00A207F8">
            <w:pPr>
              <w:pStyle w:val="TableBodySmall"/>
              <w:rPr>
                <w:lang w:eastAsia="en-AU"/>
              </w:rPr>
            </w:pPr>
            <w:r w:rsidRPr="00AC04B2">
              <w:rPr>
                <w:lang w:eastAsia="en-AU"/>
              </w:rPr>
              <w:t>Classifications Clinical Advisory Group</w:t>
            </w:r>
          </w:p>
        </w:tc>
      </w:tr>
      <w:tr w:rsidR="003A31DA" w:rsidRPr="00AC04B2" w14:paraId="5470A338" w14:textId="77777777" w:rsidTr="003A31DA">
        <w:tc>
          <w:tcPr>
            <w:tcW w:w="279" w:type="dxa"/>
            <w:shd w:val="clear" w:color="auto" w:fill="auto"/>
          </w:tcPr>
          <w:p w14:paraId="4B88503C" w14:textId="77777777" w:rsidR="003A31DA" w:rsidRPr="00AC04B2" w:rsidRDefault="003A31DA" w:rsidP="00A207F8">
            <w:pPr>
              <w:pStyle w:val="TableHeading"/>
            </w:pPr>
          </w:p>
        </w:tc>
        <w:tc>
          <w:tcPr>
            <w:tcW w:w="9803" w:type="dxa"/>
          </w:tcPr>
          <w:p w14:paraId="477AFE0A" w14:textId="44089E97" w:rsidR="003A31DA" w:rsidRPr="00AC04B2" w:rsidRDefault="003A31DA" w:rsidP="00A207F8">
            <w:pPr>
              <w:pStyle w:val="TableBodySmall"/>
              <w:rPr>
                <w:lang w:eastAsia="en-AU"/>
              </w:rPr>
            </w:pPr>
            <w:r w:rsidRPr="00AC04B2">
              <w:rPr>
                <w:lang w:eastAsia="en-AU"/>
              </w:rPr>
              <w:t>Diagnosis Related Groups Technical Group</w:t>
            </w:r>
          </w:p>
        </w:tc>
      </w:tr>
      <w:tr w:rsidR="003A31DA" w:rsidRPr="00AC04B2" w14:paraId="5DCA39CA" w14:textId="77777777" w:rsidTr="003A31DA">
        <w:tc>
          <w:tcPr>
            <w:tcW w:w="279" w:type="dxa"/>
            <w:shd w:val="clear" w:color="auto" w:fill="auto"/>
          </w:tcPr>
          <w:p w14:paraId="60D7F686" w14:textId="77777777" w:rsidR="003A31DA" w:rsidRPr="00AC04B2" w:rsidRDefault="003A31DA" w:rsidP="00A207F8">
            <w:pPr>
              <w:pStyle w:val="TableHeading"/>
            </w:pPr>
          </w:p>
        </w:tc>
        <w:tc>
          <w:tcPr>
            <w:tcW w:w="9803" w:type="dxa"/>
          </w:tcPr>
          <w:p w14:paraId="58194DCB" w14:textId="3ADE1C6B" w:rsidR="003A31DA" w:rsidRPr="00AC04B2" w:rsidRDefault="003A31DA" w:rsidP="00A207F8">
            <w:pPr>
              <w:pStyle w:val="TableBodySmall"/>
              <w:rPr>
                <w:lang w:eastAsia="en-AU"/>
              </w:rPr>
            </w:pPr>
            <w:r w:rsidRPr="00AC04B2">
              <w:rPr>
                <w:lang w:eastAsia="en-AU"/>
              </w:rPr>
              <w:t>Emergency Care Advisory Working Group</w:t>
            </w:r>
          </w:p>
        </w:tc>
      </w:tr>
      <w:tr w:rsidR="003A31DA" w:rsidRPr="00AC04B2" w14:paraId="0726DA8E" w14:textId="77777777" w:rsidTr="003A31DA">
        <w:tc>
          <w:tcPr>
            <w:tcW w:w="279" w:type="dxa"/>
            <w:shd w:val="clear" w:color="auto" w:fill="auto"/>
          </w:tcPr>
          <w:p w14:paraId="77DD0107" w14:textId="77777777" w:rsidR="003A31DA" w:rsidRPr="00AC04B2" w:rsidRDefault="003A31DA" w:rsidP="00A207F8">
            <w:pPr>
              <w:pStyle w:val="TableHeading"/>
            </w:pPr>
          </w:p>
        </w:tc>
        <w:tc>
          <w:tcPr>
            <w:tcW w:w="9803" w:type="dxa"/>
          </w:tcPr>
          <w:p w14:paraId="747D54B0" w14:textId="00C85172" w:rsidR="003A31DA" w:rsidRPr="00AC04B2" w:rsidRDefault="003A31DA" w:rsidP="00A207F8">
            <w:pPr>
              <w:pStyle w:val="TableBodySmall"/>
              <w:rPr>
                <w:lang w:eastAsia="en-AU"/>
              </w:rPr>
            </w:pPr>
            <w:r w:rsidRPr="00AC04B2">
              <w:rPr>
                <w:lang w:eastAsia="en-AU"/>
              </w:rPr>
              <w:t>International Classification of Diseases Technical Group</w:t>
            </w:r>
          </w:p>
        </w:tc>
      </w:tr>
      <w:tr w:rsidR="003A31DA" w:rsidRPr="00AC04B2" w14:paraId="15A43171" w14:textId="77777777" w:rsidTr="003A31DA">
        <w:tc>
          <w:tcPr>
            <w:tcW w:w="279" w:type="dxa"/>
            <w:shd w:val="clear" w:color="auto" w:fill="auto"/>
          </w:tcPr>
          <w:p w14:paraId="5507506B" w14:textId="77777777" w:rsidR="003A31DA" w:rsidRPr="00AC04B2" w:rsidRDefault="003A31DA" w:rsidP="00A207F8">
            <w:pPr>
              <w:pStyle w:val="TableHeading"/>
            </w:pPr>
          </w:p>
        </w:tc>
        <w:tc>
          <w:tcPr>
            <w:tcW w:w="9803" w:type="dxa"/>
          </w:tcPr>
          <w:p w14:paraId="14A4E9A6" w14:textId="458E43EA" w:rsidR="003A31DA" w:rsidRPr="00AC04B2" w:rsidRDefault="003A31DA" w:rsidP="00A207F8">
            <w:pPr>
              <w:pStyle w:val="TableBodySmall"/>
              <w:rPr>
                <w:lang w:eastAsia="en-AU"/>
              </w:rPr>
            </w:pPr>
            <w:r w:rsidRPr="00AC04B2">
              <w:rPr>
                <w:lang w:eastAsia="en-AU"/>
              </w:rPr>
              <w:t>Mental Health Working Group</w:t>
            </w:r>
          </w:p>
        </w:tc>
      </w:tr>
      <w:tr w:rsidR="00DA6230" w:rsidRPr="00AC04B2" w14:paraId="6079DCAC" w14:textId="77777777" w:rsidTr="003A31DA">
        <w:tc>
          <w:tcPr>
            <w:tcW w:w="279" w:type="dxa"/>
            <w:shd w:val="clear" w:color="auto" w:fill="auto"/>
          </w:tcPr>
          <w:p w14:paraId="78BFC612" w14:textId="77777777" w:rsidR="00DA6230" w:rsidRPr="00AC04B2" w:rsidRDefault="00DA6230" w:rsidP="00A207F8">
            <w:pPr>
              <w:pStyle w:val="TableHeading"/>
            </w:pPr>
          </w:p>
        </w:tc>
        <w:tc>
          <w:tcPr>
            <w:tcW w:w="9803" w:type="dxa"/>
          </w:tcPr>
          <w:p w14:paraId="701E9653" w14:textId="5AA18D96" w:rsidR="00DA6230" w:rsidRPr="00AC04B2" w:rsidRDefault="00DA6230" w:rsidP="00A207F8">
            <w:pPr>
              <w:pStyle w:val="TableBodySmall"/>
              <w:rPr>
                <w:lang w:eastAsia="en-AU"/>
              </w:rPr>
            </w:pPr>
            <w:r w:rsidRPr="00AC04B2">
              <w:rPr>
                <w:lang w:eastAsia="en-AU"/>
              </w:rPr>
              <w:t>National Hospital Cost Data Collection Private Sector Working Group</w:t>
            </w:r>
          </w:p>
        </w:tc>
      </w:tr>
      <w:tr w:rsidR="003A31DA" w:rsidRPr="00AC04B2" w14:paraId="35660C50" w14:textId="77777777" w:rsidTr="003A31DA">
        <w:tc>
          <w:tcPr>
            <w:tcW w:w="279" w:type="dxa"/>
            <w:shd w:val="clear" w:color="auto" w:fill="auto"/>
          </w:tcPr>
          <w:p w14:paraId="4D76410B" w14:textId="77777777" w:rsidR="003A31DA" w:rsidRPr="00AC04B2" w:rsidRDefault="003A31DA" w:rsidP="00A207F8">
            <w:pPr>
              <w:pStyle w:val="TableHeading"/>
            </w:pPr>
          </w:p>
        </w:tc>
        <w:tc>
          <w:tcPr>
            <w:tcW w:w="9803" w:type="dxa"/>
          </w:tcPr>
          <w:p w14:paraId="4CAA1EA2" w14:textId="0D3AC2BF" w:rsidR="003A31DA" w:rsidRPr="00AC04B2" w:rsidRDefault="003A31DA" w:rsidP="00A207F8">
            <w:pPr>
              <w:pStyle w:val="TableBodySmall"/>
              <w:rPr>
                <w:lang w:eastAsia="en-AU"/>
              </w:rPr>
            </w:pPr>
            <w:r w:rsidRPr="00AC04B2">
              <w:rPr>
                <w:lang w:eastAsia="en-AU"/>
              </w:rPr>
              <w:t>Non-admitted Care Advisory Working Group</w:t>
            </w:r>
          </w:p>
        </w:tc>
      </w:tr>
      <w:tr w:rsidR="003A31DA" w:rsidRPr="00AC04B2" w14:paraId="4E92BD27" w14:textId="77777777" w:rsidTr="003A31DA">
        <w:tc>
          <w:tcPr>
            <w:tcW w:w="279" w:type="dxa"/>
            <w:shd w:val="clear" w:color="auto" w:fill="auto"/>
          </w:tcPr>
          <w:p w14:paraId="25F0924A" w14:textId="77777777" w:rsidR="003A31DA" w:rsidRPr="00AC04B2" w:rsidRDefault="003A31DA" w:rsidP="00A207F8">
            <w:pPr>
              <w:pStyle w:val="TableHeading"/>
            </w:pPr>
          </w:p>
        </w:tc>
        <w:tc>
          <w:tcPr>
            <w:tcW w:w="9803" w:type="dxa"/>
          </w:tcPr>
          <w:p w14:paraId="1928D57C" w14:textId="34881AFA" w:rsidR="003A31DA" w:rsidRPr="00AC04B2" w:rsidRDefault="003A31DA" w:rsidP="00A207F8">
            <w:pPr>
              <w:pStyle w:val="TableBodySmall"/>
              <w:rPr>
                <w:lang w:eastAsia="en-AU"/>
              </w:rPr>
            </w:pPr>
            <w:r w:rsidRPr="00AC04B2">
              <w:rPr>
                <w:lang w:eastAsia="en-AU"/>
              </w:rPr>
              <w:t>Small Rural Hospitals Working Group</w:t>
            </w:r>
          </w:p>
        </w:tc>
      </w:tr>
      <w:tr w:rsidR="003A31DA" w:rsidRPr="00AC04B2" w14:paraId="44C3508E" w14:textId="77777777" w:rsidTr="00310268">
        <w:tc>
          <w:tcPr>
            <w:tcW w:w="279" w:type="dxa"/>
            <w:shd w:val="clear" w:color="auto" w:fill="auto"/>
          </w:tcPr>
          <w:p w14:paraId="5394C72C" w14:textId="77777777" w:rsidR="003A31DA" w:rsidRPr="00AC04B2" w:rsidRDefault="003A31DA" w:rsidP="00A207F8">
            <w:pPr>
              <w:pStyle w:val="TableHeading"/>
            </w:pPr>
          </w:p>
        </w:tc>
        <w:tc>
          <w:tcPr>
            <w:tcW w:w="9803" w:type="dxa"/>
          </w:tcPr>
          <w:p w14:paraId="0DA9C3A5" w14:textId="0367E89C" w:rsidR="003A31DA" w:rsidRPr="00AC04B2" w:rsidRDefault="003A31DA" w:rsidP="00A207F8">
            <w:pPr>
              <w:pStyle w:val="TableBodySmall"/>
              <w:rPr>
                <w:lang w:eastAsia="en-AU"/>
              </w:rPr>
            </w:pPr>
            <w:r w:rsidRPr="00AC04B2">
              <w:rPr>
                <w:lang w:eastAsia="en-AU"/>
              </w:rPr>
              <w:t>Subacute Care Working Group</w:t>
            </w:r>
          </w:p>
        </w:tc>
      </w:tr>
      <w:tr w:rsidR="003A31DA" w:rsidRPr="00AC04B2" w14:paraId="7AA6F352" w14:textId="77777777" w:rsidTr="00310268">
        <w:tc>
          <w:tcPr>
            <w:tcW w:w="279" w:type="dxa"/>
            <w:tcBorders>
              <w:bottom w:val="single" w:sz="4" w:space="0" w:color="auto"/>
            </w:tcBorders>
            <w:shd w:val="clear" w:color="auto" w:fill="auto"/>
          </w:tcPr>
          <w:p w14:paraId="331FBD88" w14:textId="77777777" w:rsidR="003A31DA" w:rsidRPr="00AC04B2" w:rsidRDefault="003A31DA" w:rsidP="00A207F8">
            <w:pPr>
              <w:pStyle w:val="TableHeading"/>
            </w:pPr>
          </w:p>
        </w:tc>
        <w:tc>
          <w:tcPr>
            <w:tcW w:w="9803" w:type="dxa"/>
            <w:tcBorders>
              <w:bottom w:val="single" w:sz="4" w:space="0" w:color="auto"/>
            </w:tcBorders>
          </w:tcPr>
          <w:p w14:paraId="63B6E61E" w14:textId="50F26223" w:rsidR="003A31DA" w:rsidRPr="00AC04B2" w:rsidRDefault="003A31DA" w:rsidP="00A207F8">
            <w:pPr>
              <w:pStyle w:val="TableBodySmall"/>
              <w:rPr>
                <w:lang w:eastAsia="en-AU"/>
              </w:rPr>
            </w:pPr>
            <w:r w:rsidRPr="00AC04B2">
              <w:rPr>
                <w:lang w:eastAsia="en-AU"/>
              </w:rPr>
              <w:t>Teaching, Training and Research Working Group</w:t>
            </w:r>
          </w:p>
        </w:tc>
      </w:tr>
    </w:tbl>
    <w:p w14:paraId="1664AC2D" w14:textId="09F2B010" w:rsidR="001F3404" w:rsidRPr="00AC04B2" w:rsidRDefault="00C41D67" w:rsidP="000B286B">
      <w:pPr>
        <w:pStyle w:val="H2"/>
      </w:pPr>
      <w:bookmarkStart w:id="168" w:name="_Toc55044584"/>
      <w:bookmarkStart w:id="169" w:name="_Toc133416945"/>
      <w:r w:rsidRPr="00AC04B2">
        <w:t>3</w:t>
      </w:r>
      <w:r w:rsidR="007F392E" w:rsidRPr="00AC04B2">
        <w:t>.</w:t>
      </w:r>
      <w:r w:rsidR="008550D6" w:rsidRPr="00AC04B2">
        <w:t>4</w:t>
      </w:r>
      <w:r w:rsidR="007F392E" w:rsidRPr="00AC04B2">
        <w:tab/>
      </w:r>
      <w:r w:rsidR="001F3404" w:rsidRPr="00AC04B2">
        <w:t xml:space="preserve">Enterprise </w:t>
      </w:r>
      <w:r w:rsidR="0058522D" w:rsidRPr="00AC04B2">
        <w:t>r</w:t>
      </w:r>
      <w:r w:rsidR="001F3404" w:rsidRPr="00AC04B2">
        <w:t>isk</w:t>
      </w:r>
      <w:bookmarkEnd w:id="168"/>
      <w:bookmarkEnd w:id="169"/>
    </w:p>
    <w:p w14:paraId="41C0031E" w14:textId="48CCD2A5" w:rsidR="00FA3A9F" w:rsidRDefault="00F93048" w:rsidP="00F00D91">
      <w:pPr>
        <w:pStyle w:val="Body"/>
      </w:pPr>
      <w:r w:rsidRPr="00AC04B2">
        <w:t>Since the agency’s formation in 2011, IH</w:t>
      </w:r>
      <w:r w:rsidR="005A2080" w:rsidRPr="00AC04B2">
        <w:t>AC</w:t>
      </w:r>
      <w:r w:rsidRPr="00AC04B2">
        <w:t xml:space="preserve">PA has established a robust system of risk management and controls to assist in </w:t>
      </w:r>
      <w:r w:rsidR="00B95555" w:rsidRPr="00AC04B2">
        <w:t xml:space="preserve">its </w:t>
      </w:r>
      <w:r w:rsidRPr="00AC04B2">
        <w:t>governance. IH</w:t>
      </w:r>
      <w:r w:rsidR="005A2080" w:rsidRPr="00AC04B2">
        <w:t>AC</w:t>
      </w:r>
      <w:r w:rsidRPr="00AC04B2">
        <w:t xml:space="preserve">PA’s </w:t>
      </w:r>
      <w:r w:rsidR="00ED2EEC">
        <w:t>governing body</w:t>
      </w:r>
      <w:r w:rsidRPr="00AC04B2">
        <w:t xml:space="preserve">, the Pricing Authority, delivers the functions </w:t>
      </w:r>
      <w:r w:rsidR="00B95555" w:rsidRPr="00AC04B2">
        <w:t xml:space="preserve">detailed </w:t>
      </w:r>
      <w:r w:rsidRPr="00AC04B2">
        <w:t>in the</w:t>
      </w:r>
      <w:r w:rsidR="00080EB1" w:rsidRPr="00AC04B2">
        <w:t xml:space="preserve"> </w:t>
      </w:r>
      <w:r w:rsidR="00080EB1" w:rsidRPr="00AC04B2">
        <w:rPr>
          <w:i/>
          <w:iCs/>
        </w:rPr>
        <w:t>National Health Reform Act 2011</w:t>
      </w:r>
      <w:r w:rsidR="00080EB1" w:rsidRPr="00AC04B2">
        <w:t xml:space="preserve"> (the</w:t>
      </w:r>
      <w:r w:rsidRPr="00AC04B2">
        <w:t xml:space="preserve"> NHR Act</w:t>
      </w:r>
      <w:r w:rsidR="00080EB1" w:rsidRPr="00AC04B2">
        <w:t>)</w:t>
      </w:r>
      <w:r w:rsidRPr="00AC04B2">
        <w:t>. The Pricing Authority approves IH</w:t>
      </w:r>
      <w:r w:rsidR="005A2080" w:rsidRPr="00AC04B2">
        <w:t>AC</w:t>
      </w:r>
      <w:r w:rsidRPr="00AC04B2">
        <w:t xml:space="preserve">PA’s core business activities </w:t>
      </w:r>
      <w:r w:rsidR="00FA3A9F">
        <w:t>which include:</w:t>
      </w:r>
    </w:p>
    <w:p w14:paraId="66644BBA" w14:textId="70E2A8E2" w:rsidR="00FA3A9F" w:rsidRDefault="00F93048" w:rsidP="00AE7E0A">
      <w:pPr>
        <w:pStyle w:val="Body"/>
        <w:numPr>
          <w:ilvl w:val="0"/>
          <w:numId w:val="15"/>
        </w:numPr>
      </w:pPr>
      <w:r w:rsidRPr="00AC04B2">
        <w:t xml:space="preserve">the </w:t>
      </w:r>
      <w:r w:rsidR="008C5AC8">
        <w:t>NEP</w:t>
      </w:r>
      <w:r w:rsidRPr="00AC04B2">
        <w:t xml:space="preserve"> and </w:t>
      </w:r>
      <w:r w:rsidR="008C5AC8">
        <w:t>NEC</w:t>
      </w:r>
      <w:r w:rsidRPr="00AC04B2">
        <w:t xml:space="preserve"> </w:t>
      </w:r>
      <w:r w:rsidR="00FA3A9F">
        <w:t xml:space="preserve">annual </w:t>
      </w:r>
      <w:r w:rsidRPr="00AC04B2">
        <w:t xml:space="preserve">Determinations for public hospital services </w:t>
      </w:r>
    </w:p>
    <w:p w14:paraId="4E247AB2" w14:textId="0CA7658C" w:rsidR="00AE7E0A" w:rsidRDefault="00AE7E0A" w:rsidP="00AE7E0A">
      <w:pPr>
        <w:pStyle w:val="Body"/>
        <w:numPr>
          <w:ilvl w:val="0"/>
          <w:numId w:val="15"/>
        </w:numPr>
      </w:pPr>
      <w:r>
        <w:t xml:space="preserve">developing </w:t>
      </w:r>
      <w:r w:rsidRPr="002F7355">
        <w:t xml:space="preserve">annual pricing advice for residential aged care, residential respite care and </w:t>
      </w:r>
      <w:r>
        <w:t>in-</w:t>
      </w:r>
      <w:r w:rsidRPr="002F7355">
        <w:t>home care</w:t>
      </w:r>
    </w:p>
    <w:p w14:paraId="0F0D7BD4" w14:textId="09C43CBD" w:rsidR="00F93048" w:rsidRPr="00AC04B2" w:rsidRDefault="00F93048" w:rsidP="003D4FF9">
      <w:pPr>
        <w:pStyle w:val="Body"/>
        <w:numPr>
          <w:ilvl w:val="0"/>
          <w:numId w:val="15"/>
        </w:numPr>
      </w:pPr>
      <w:r w:rsidRPr="00AC04B2">
        <w:t>building national classification systems for all public hospital</w:t>
      </w:r>
      <w:r w:rsidR="00AE7E0A">
        <w:t xml:space="preserve"> and residential aged care</w:t>
      </w:r>
      <w:r w:rsidRPr="00AC04B2">
        <w:t xml:space="preserve"> services. </w:t>
      </w:r>
    </w:p>
    <w:p w14:paraId="4C3A89D0" w14:textId="6557FE68" w:rsidR="00807B93" w:rsidRPr="000B286B" w:rsidRDefault="00F93048" w:rsidP="00F00D91">
      <w:pPr>
        <w:pStyle w:val="Body"/>
      </w:pPr>
      <w:r w:rsidRPr="00AC04B2">
        <w:t>IH</w:t>
      </w:r>
      <w:r w:rsidR="00974FAF" w:rsidRPr="00AC04B2">
        <w:t>AC</w:t>
      </w:r>
      <w:r w:rsidRPr="00AC04B2">
        <w:t>PA’s enterprise approach to risk management uses tools that address the strategic and tactical risks of all significant decisions. IH</w:t>
      </w:r>
      <w:r w:rsidR="00974FAF" w:rsidRPr="00AC04B2">
        <w:t>AC</w:t>
      </w:r>
      <w:r w:rsidRPr="00AC04B2">
        <w:t>PA has a comprehensive risk management framework and a detailed risk appetite statement, which is regularly reviewed. IH</w:t>
      </w:r>
      <w:r w:rsidR="00974FAF" w:rsidRPr="00AC04B2">
        <w:t>AC</w:t>
      </w:r>
      <w:r w:rsidRPr="00AC04B2">
        <w:t>PA’s enterprise risks are outlined below.</w:t>
      </w:r>
    </w:p>
    <w:p w14:paraId="1E2B6212" w14:textId="5537796F" w:rsidR="00F93048" w:rsidRPr="00883C3A" w:rsidRDefault="00F93048" w:rsidP="00BD0ECF">
      <w:pPr>
        <w:pStyle w:val="Body"/>
        <w:rPr>
          <w:b/>
          <w:bCs/>
          <w:sz w:val="22"/>
          <w:szCs w:val="22"/>
        </w:rPr>
      </w:pPr>
      <w:r w:rsidRPr="00883C3A">
        <w:rPr>
          <w:b/>
          <w:bCs/>
          <w:sz w:val="22"/>
          <w:szCs w:val="22"/>
        </w:rPr>
        <w:t>Strategic risks</w:t>
      </w:r>
    </w:p>
    <w:p w14:paraId="015DFFDE" w14:textId="09027ED4" w:rsidR="00F93048" w:rsidRPr="00AC04B2" w:rsidRDefault="00F93048" w:rsidP="00F00D91">
      <w:pPr>
        <w:pStyle w:val="Body"/>
      </w:pPr>
      <w:r w:rsidRPr="00AC04B2">
        <w:t>Strategic risks are identified with reference to current business and environmental issues facing IH</w:t>
      </w:r>
      <w:r w:rsidR="00974FAF" w:rsidRPr="00AC04B2">
        <w:t>AC</w:t>
      </w:r>
      <w:r w:rsidRPr="00AC04B2">
        <w:t xml:space="preserve">PA. These risks fall into three major risk categories: </w:t>
      </w:r>
    </w:p>
    <w:p w14:paraId="0E2DAB63" w14:textId="77777777" w:rsidR="00F93048" w:rsidRPr="00AC04B2" w:rsidRDefault="00F93048" w:rsidP="00E25924">
      <w:pPr>
        <w:pStyle w:val="BulletList"/>
      </w:pPr>
      <w:r w:rsidRPr="00AC04B2">
        <w:lastRenderedPageBreak/>
        <w:t xml:space="preserve">reputational risks </w:t>
      </w:r>
    </w:p>
    <w:p w14:paraId="0914B03D" w14:textId="77777777" w:rsidR="00F93048" w:rsidRPr="00AC04B2" w:rsidRDefault="00F93048" w:rsidP="00E25924">
      <w:pPr>
        <w:pStyle w:val="BulletList"/>
      </w:pPr>
      <w:r w:rsidRPr="00AC04B2">
        <w:t>data and information governance risks</w:t>
      </w:r>
    </w:p>
    <w:p w14:paraId="79B9C6C5" w14:textId="77777777" w:rsidR="00F93048" w:rsidRPr="00AC04B2" w:rsidRDefault="00F93048" w:rsidP="00E25924">
      <w:pPr>
        <w:pStyle w:val="BulletList"/>
      </w:pPr>
      <w:r w:rsidRPr="00AC04B2">
        <w:t>corporate risks.</w:t>
      </w:r>
    </w:p>
    <w:p w14:paraId="670B7B5F" w14:textId="0328B5E2" w:rsidR="00F93048" w:rsidRPr="00AC04B2" w:rsidRDefault="00F93048" w:rsidP="00F00D91">
      <w:pPr>
        <w:pStyle w:val="Body"/>
      </w:pPr>
      <w:r w:rsidRPr="00AC04B2">
        <w:t>Additionally, IH</w:t>
      </w:r>
      <w:r w:rsidR="00974FAF" w:rsidRPr="00AC04B2">
        <w:t>AC</w:t>
      </w:r>
      <w:r w:rsidRPr="00AC04B2">
        <w:t>PA maintains a shared Strategic Risk Register with the National Health Funding Body, which identified two risks that both agencies have agreed to manage jointly:</w:t>
      </w:r>
    </w:p>
    <w:p w14:paraId="3E88E139" w14:textId="13892077" w:rsidR="00F93048" w:rsidRPr="00AC04B2" w:rsidRDefault="00F93048" w:rsidP="00E25924">
      <w:pPr>
        <w:pStyle w:val="BulletList"/>
      </w:pPr>
      <w:r w:rsidRPr="00AC04B2">
        <w:t xml:space="preserve">incorrect calculation of Commonwealth funding entitlements </w:t>
      </w:r>
    </w:p>
    <w:p w14:paraId="24352F43" w14:textId="77777777" w:rsidR="00F93048" w:rsidRPr="00AC04B2" w:rsidRDefault="00F93048" w:rsidP="00E25924">
      <w:pPr>
        <w:pStyle w:val="BulletList"/>
      </w:pPr>
      <w:r w:rsidRPr="00AC04B2">
        <w:t>changes to models that have not been effectively modelled and/or implemented.</w:t>
      </w:r>
    </w:p>
    <w:p w14:paraId="2762D1DE" w14:textId="7C8A9DC6" w:rsidR="00F93048" w:rsidRPr="00AC04B2" w:rsidRDefault="00F93048" w:rsidP="00F00D91">
      <w:pPr>
        <w:pStyle w:val="Body"/>
      </w:pPr>
      <w:r w:rsidRPr="00AC04B2">
        <w:t>IH</w:t>
      </w:r>
      <w:r w:rsidR="00974FAF" w:rsidRPr="00AC04B2">
        <w:t>AC</w:t>
      </w:r>
      <w:r w:rsidRPr="00AC04B2">
        <w:t>PA’s strategic risks are actively managed through audits, assurance, and internal control processes. Where new risks emerge, resources are assigned to understand and manage those risks. They are reviewed biannually or as required.</w:t>
      </w:r>
    </w:p>
    <w:p w14:paraId="1519F1CA" w14:textId="77777777" w:rsidR="00F93048" w:rsidRPr="00883C3A" w:rsidRDefault="00F93048" w:rsidP="00F00D91">
      <w:pPr>
        <w:pStyle w:val="Body"/>
        <w:rPr>
          <w:b/>
          <w:bCs/>
        </w:rPr>
      </w:pPr>
      <w:r w:rsidRPr="00883C3A">
        <w:rPr>
          <w:b/>
          <w:bCs/>
        </w:rPr>
        <w:t>Tactical risks</w:t>
      </w:r>
    </w:p>
    <w:p w14:paraId="1F5D9871" w14:textId="2D219F07" w:rsidR="00F93048" w:rsidRPr="00AC04B2" w:rsidRDefault="00F93048" w:rsidP="00F00D91">
      <w:pPr>
        <w:pStyle w:val="Body"/>
      </w:pPr>
      <w:r w:rsidRPr="00AC04B2">
        <w:t>Tactical risks are managed through a decision-based risk management tool, which requires recording of the risk and a formal decision on the managed likelihood and consequence of the risk. The assessment tool forms part of any major decision, ensuring that the final decision maker is fully informed and cognisant of managed risk outcomes during the decision making process. IH</w:t>
      </w:r>
      <w:r w:rsidR="00974FAF" w:rsidRPr="00AC04B2">
        <w:t>AC</w:t>
      </w:r>
      <w:r w:rsidRPr="00AC04B2">
        <w:t>PA has a mature enterprise risk management framework in place, and risk management is considered a business as usual activity for all IH</w:t>
      </w:r>
      <w:r w:rsidR="00974FAF" w:rsidRPr="00AC04B2">
        <w:t>AC</w:t>
      </w:r>
      <w:r w:rsidRPr="00AC04B2">
        <w:t>PA staff.</w:t>
      </w:r>
    </w:p>
    <w:p w14:paraId="64ADFA85" w14:textId="737B6A8E" w:rsidR="00F93048" w:rsidRPr="00883C3A" w:rsidRDefault="00F93048" w:rsidP="00F00D91">
      <w:pPr>
        <w:pStyle w:val="Body"/>
        <w:rPr>
          <w:b/>
          <w:bCs/>
        </w:rPr>
      </w:pPr>
      <w:r w:rsidRPr="00883C3A">
        <w:rPr>
          <w:b/>
          <w:bCs/>
        </w:rPr>
        <w:t>Polic</w:t>
      </w:r>
      <w:r w:rsidR="00080EB1" w:rsidRPr="00883C3A">
        <w:rPr>
          <w:b/>
          <w:bCs/>
        </w:rPr>
        <w:t>ies</w:t>
      </w:r>
      <w:r w:rsidRPr="00883C3A">
        <w:rPr>
          <w:b/>
          <w:bCs/>
        </w:rPr>
        <w:t xml:space="preserve"> and procedures</w:t>
      </w:r>
    </w:p>
    <w:p w14:paraId="0170A77F" w14:textId="4B2D5361" w:rsidR="00F93048" w:rsidRPr="00AC04B2" w:rsidRDefault="00F93048" w:rsidP="00F00D91">
      <w:pPr>
        <w:pStyle w:val="Body"/>
      </w:pPr>
      <w:r w:rsidRPr="00AC04B2">
        <w:t>Polic</w:t>
      </w:r>
      <w:r w:rsidR="00080EB1" w:rsidRPr="00AC04B2">
        <w:t>ies</w:t>
      </w:r>
      <w:r w:rsidRPr="00AC04B2">
        <w:t xml:space="preserve"> support IH</w:t>
      </w:r>
      <w:r w:rsidR="00974FAF" w:rsidRPr="00AC04B2">
        <w:t>AC</w:t>
      </w:r>
      <w:r w:rsidRPr="00AC04B2">
        <w:t>PA’s vision and purpose by setting out compatible rules to govern core business. They influence and determine all major decisions and activities that take place within the boundaries set by them. Polic</w:t>
      </w:r>
      <w:r w:rsidR="00080EB1" w:rsidRPr="00AC04B2">
        <w:t>ies</w:t>
      </w:r>
      <w:r w:rsidRPr="00AC04B2">
        <w:t xml:space="preserve"> reinforce and </w:t>
      </w:r>
      <w:r w:rsidR="00080EB1" w:rsidRPr="00AC04B2">
        <w:t xml:space="preserve">clarify </w:t>
      </w:r>
      <w:r w:rsidRPr="00AC04B2">
        <w:t>legislative and regulatory requirements, expectations and standards. Polic</w:t>
      </w:r>
      <w:r w:rsidR="00080EB1" w:rsidRPr="00AC04B2">
        <w:t>ies are</w:t>
      </w:r>
      <w:r w:rsidRPr="00AC04B2">
        <w:t xml:space="preserve"> complemented by procedures </w:t>
      </w:r>
      <w:r w:rsidR="00626C70">
        <w:t>that</w:t>
      </w:r>
      <w:r w:rsidRPr="00AC04B2">
        <w:t xml:space="preserve"> are the specific methods to action policy in day-by-day operations. IH</w:t>
      </w:r>
      <w:r w:rsidR="00974FAF" w:rsidRPr="00AC04B2">
        <w:t>AC</w:t>
      </w:r>
      <w:r w:rsidRPr="00AC04B2">
        <w:t>PA reviews its policies and procedures on an annual basis or as required to ensure their relevance, and to take advantage of the latest developments and innovations in theory, technology and practice.</w:t>
      </w:r>
    </w:p>
    <w:p w14:paraId="59D66B2F" w14:textId="0DB16D0B" w:rsidR="00F93048" w:rsidRPr="00883C3A" w:rsidRDefault="00F93048" w:rsidP="00F00D91">
      <w:pPr>
        <w:pStyle w:val="Body"/>
        <w:rPr>
          <w:b/>
          <w:bCs/>
        </w:rPr>
      </w:pPr>
      <w:r w:rsidRPr="00883C3A">
        <w:rPr>
          <w:b/>
          <w:bCs/>
        </w:rPr>
        <w:t xml:space="preserve">Fraud </w:t>
      </w:r>
      <w:r w:rsidR="00FA3A9F">
        <w:rPr>
          <w:b/>
          <w:bCs/>
        </w:rPr>
        <w:t xml:space="preserve">and Corruption </w:t>
      </w:r>
      <w:r w:rsidRPr="00883C3A">
        <w:rPr>
          <w:b/>
          <w:bCs/>
        </w:rPr>
        <w:t>Control Plan</w:t>
      </w:r>
    </w:p>
    <w:p w14:paraId="11DABED3" w14:textId="6F48F178" w:rsidR="00F93048" w:rsidRPr="00AC04B2" w:rsidRDefault="00F93048" w:rsidP="00F00D91">
      <w:pPr>
        <w:pStyle w:val="Body"/>
      </w:pPr>
      <w:r w:rsidRPr="00AC04B2">
        <w:t>IH</w:t>
      </w:r>
      <w:r w:rsidR="00974FAF" w:rsidRPr="00AC04B2">
        <w:t>AC</w:t>
      </w:r>
      <w:r w:rsidRPr="00AC04B2">
        <w:t xml:space="preserve">PA’s fraud </w:t>
      </w:r>
      <w:r w:rsidR="00FA3A9F">
        <w:t xml:space="preserve">and corruption </w:t>
      </w:r>
      <w:r w:rsidRPr="00AC04B2">
        <w:t>control plan is recognised as a critical internal tool used to mitigate the act and consequences of the unauthorised use of IH</w:t>
      </w:r>
      <w:r w:rsidR="00974FAF" w:rsidRPr="00AC04B2">
        <w:t>AC</w:t>
      </w:r>
      <w:r w:rsidRPr="00AC04B2">
        <w:t xml:space="preserve">PA data and financial resources. It is updated regularly to incorporate changes to the </w:t>
      </w:r>
      <w:r w:rsidRPr="003A7615">
        <w:rPr>
          <w:i/>
          <w:iCs/>
        </w:rPr>
        <w:t>Commonwealth Fraud Control Framework</w:t>
      </w:r>
      <w:r w:rsidRPr="00AC04B2">
        <w:t>. The plan encourages ethical behaviour through the use of business processes designed to prevent deceptive activities, supported by monitoring controls to detect fraud and deter offending behaviour, and is reviewed annually or as required.</w:t>
      </w:r>
    </w:p>
    <w:p w14:paraId="0FD74DF1" w14:textId="77777777" w:rsidR="00F93048" w:rsidRPr="00883C3A" w:rsidRDefault="00F93048" w:rsidP="00F00D91">
      <w:pPr>
        <w:pStyle w:val="Body"/>
        <w:rPr>
          <w:b/>
          <w:bCs/>
        </w:rPr>
      </w:pPr>
      <w:r w:rsidRPr="00883C3A">
        <w:rPr>
          <w:b/>
          <w:bCs/>
        </w:rPr>
        <w:t>Compliance</w:t>
      </w:r>
    </w:p>
    <w:p w14:paraId="51D5CD3F" w14:textId="20BFCD00" w:rsidR="00F93048" w:rsidRPr="00AC04B2" w:rsidRDefault="00F93048" w:rsidP="00F00D91">
      <w:pPr>
        <w:pStyle w:val="Body"/>
      </w:pPr>
      <w:r w:rsidRPr="00AC04B2">
        <w:t>IH</w:t>
      </w:r>
      <w:r w:rsidR="00974FAF" w:rsidRPr="00AC04B2">
        <w:t>AC</w:t>
      </w:r>
      <w:r w:rsidRPr="00AC04B2">
        <w:t xml:space="preserve">PA has a broad range of compliance obligations, including key statutory obligations set out in the NHR Act, the National Health Reform Agreement, </w:t>
      </w:r>
      <w:r w:rsidR="00974FAF" w:rsidRPr="00AC04B2">
        <w:t xml:space="preserve">the </w:t>
      </w:r>
      <w:r w:rsidR="00974FAF" w:rsidRPr="00AC04B2">
        <w:rPr>
          <w:i/>
          <w:iCs/>
        </w:rPr>
        <w:t>Aged Care Act 1997</w:t>
      </w:r>
      <w:r w:rsidR="00974FAF" w:rsidRPr="00AC04B2">
        <w:t>,</w:t>
      </w:r>
      <w:r w:rsidR="00974FAF" w:rsidRPr="00AC04B2">
        <w:rPr>
          <w:i/>
          <w:iCs/>
        </w:rPr>
        <w:t xml:space="preserve"> </w:t>
      </w:r>
      <w:r w:rsidR="00974FAF" w:rsidRPr="00AC04B2">
        <w:t xml:space="preserve">the </w:t>
      </w:r>
      <w:r w:rsidR="00974FAF" w:rsidRPr="00AC04B2">
        <w:rPr>
          <w:i/>
          <w:iCs/>
        </w:rPr>
        <w:t>Aged Care and Other Legislation Amendment (Royal Commission Response)</w:t>
      </w:r>
      <w:r w:rsidR="00974FAF" w:rsidRPr="00AC04B2">
        <w:t xml:space="preserve"> </w:t>
      </w:r>
      <w:r w:rsidR="00974FAF" w:rsidRPr="00AC04B2">
        <w:rPr>
          <w:i/>
          <w:iCs/>
        </w:rPr>
        <w:t>Act 2022</w:t>
      </w:r>
      <w:r w:rsidR="00974FAF" w:rsidRPr="00AC04B2">
        <w:t xml:space="preserve">, </w:t>
      </w:r>
      <w:r w:rsidRPr="00AC04B2">
        <w:t xml:space="preserve">the </w:t>
      </w:r>
      <w:r w:rsidRPr="00AC04B2">
        <w:rPr>
          <w:i/>
          <w:iCs/>
        </w:rPr>
        <w:t>Public Governance Performance and Accountability Act 2013</w:t>
      </w:r>
      <w:r w:rsidRPr="00AC04B2">
        <w:t>, and the Public Governance Performance and Accountability Rule 2014. Other legal and compliance obligations include, work health and safety, privacy, freedom of information, intellectual property, the Protective Security Policy Framework, website accessibility and records management. The Chief Executive Officer (CEO) manages assurances on IH</w:t>
      </w:r>
      <w:r w:rsidR="00974FAF" w:rsidRPr="00AC04B2">
        <w:t>AC</w:t>
      </w:r>
      <w:r w:rsidRPr="00AC04B2">
        <w:t>PA’s compliance obligations through an organised system of controls and special exercises, including substantive testing, monthly reports, exception notifications, and compliance audits undertaken by an independent internal auditor.</w:t>
      </w:r>
    </w:p>
    <w:p w14:paraId="122FDAA8" w14:textId="77777777" w:rsidR="00F93048" w:rsidRPr="00883C3A" w:rsidRDefault="00F93048" w:rsidP="00F00D91">
      <w:pPr>
        <w:pStyle w:val="Body"/>
        <w:rPr>
          <w:b/>
          <w:bCs/>
        </w:rPr>
      </w:pPr>
      <w:r w:rsidRPr="00883C3A">
        <w:rPr>
          <w:b/>
          <w:bCs/>
        </w:rPr>
        <w:t>Financial authorisation</w:t>
      </w:r>
    </w:p>
    <w:p w14:paraId="0CA24382" w14:textId="28DA4B97" w:rsidR="00974FAF" w:rsidRPr="00AC04B2" w:rsidRDefault="00F93048" w:rsidP="00F00D91">
      <w:pPr>
        <w:pStyle w:val="Body"/>
      </w:pPr>
      <w:r w:rsidRPr="00AC04B2">
        <w:t xml:space="preserve">As a corporate </w:t>
      </w:r>
      <w:r w:rsidR="00240206">
        <w:t>Australian Government</w:t>
      </w:r>
      <w:r w:rsidRPr="00AC04B2">
        <w:t xml:space="preserve"> </w:t>
      </w:r>
      <w:r w:rsidR="003A7615">
        <w:t>a</w:t>
      </w:r>
      <w:r w:rsidRPr="00AC04B2">
        <w:t>gency, IH</w:t>
      </w:r>
      <w:r w:rsidR="00974FAF" w:rsidRPr="00AC04B2">
        <w:t>AC</w:t>
      </w:r>
      <w:r w:rsidRPr="00AC04B2">
        <w:t xml:space="preserve">PA is not required to adhere to the Commonwealth Procurement Rules, </w:t>
      </w:r>
      <w:r w:rsidR="003272CA" w:rsidRPr="00AC04B2">
        <w:t xml:space="preserve">however </w:t>
      </w:r>
      <w:r w:rsidRPr="00AC04B2">
        <w:t>chooses to do so as a matter of best practice. All of IH</w:t>
      </w:r>
      <w:r w:rsidR="00974FAF" w:rsidRPr="00AC04B2">
        <w:t>AC</w:t>
      </w:r>
      <w:r w:rsidRPr="00AC04B2">
        <w:t xml:space="preserve">PA’s procurement decisions are made in accordance with the Commonwealth Procurement Rules. Line managers have value and purchase class limits in accordance with the delegation of financial authorities that </w:t>
      </w:r>
      <w:r w:rsidR="00B95555" w:rsidRPr="00AC04B2">
        <w:t xml:space="preserve">are </w:t>
      </w:r>
      <w:r w:rsidRPr="00AC04B2">
        <w:t xml:space="preserve">approved and reviewed regularly by the CEO, as the accountable authority. </w:t>
      </w:r>
    </w:p>
    <w:p w14:paraId="5AC61E74" w14:textId="25CAAC0B" w:rsidR="00F93048" w:rsidRPr="00883C3A" w:rsidRDefault="00F93048" w:rsidP="00883C3A">
      <w:pPr>
        <w:pStyle w:val="Body"/>
        <w:rPr>
          <w:b/>
          <w:bCs/>
          <w:sz w:val="22"/>
          <w:szCs w:val="22"/>
        </w:rPr>
      </w:pPr>
      <w:r w:rsidRPr="00883C3A">
        <w:rPr>
          <w:b/>
          <w:bCs/>
          <w:sz w:val="22"/>
          <w:szCs w:val="22"/>
        </w:rPr>
        <w:t>Audit, Risk and Compliance Committee</w:t>
      </w:r>
    </w:p>
    <w:p w14:paraId="173A79E4" w14:textId="07955487" w:rsidR="00FA2655" w:rsidRPr="00AC04B2" w:rsidRDefault="00F93048" w:rsidP="00F00D91">
      <w:pPr>
        <w:pStyle w:val="Body"/>
        <w:rPr>
          <w:lang w:eastAsia="en-AU"/>
        </w:rPr>
      </w:pPr>
      <w:r w:rsidRPr="00AC04B2">
        <w:t>The IH</w:t>
      </w:r>
      <w:r w:rsidR="00974FAF" w:rsidRPr="00AC04B2">
        <w:t>AC</w:t>
      </w:r>
      <w:r w:rsidRPr="00AC04B2">
        <w:t xml:space="preserve">PA Audit, Risk and Compliance Committee provides independent advice </w:t>
      </w:r>
      <w:r w:rsidR="00EB448B" w:rsidRPr="00AC04B2">
        <w:t xml:space="preserve">and assurance </w:t>
      </w:r>
      <w:r w:rsidRPr="00AC04B2">
        <w:t>to the CEO on IH</w:t>
      </w:r>
      <w:r w:rsidR="00974FAF" w:rsidRPr="00AC04B2">
        <w:t>AC</w:t>
      </w:r>
      <w:r w:rsidRPr="00AC04B2">
        <w:t xml:space="preserve">PA’s </w:t>
      </w:r>
      <w:r w:rsidR="00EB448B" w:rsidRPr="00AC04B2">
        <w:t xml:space="preserve">accountability and control framework and corporate </w:t>
      </w:r>
      <w:r w:rsidR="00AC78D4" w:rsidRPr="00AC04B2">
        <w:t>governance</w:t>
      </w:r>
      <w:r w:rsidR="00EB448B" w:rsidRPr="00AC04B2">
        <w:t xml:space="preserve"> arrangements</w:t>
      </w:r>
      <w:r w:rsidRPr="00AC04B2">
        <w:t>.</w:t>
      </w:r>
      <w:r w:rsidR="00FA2655" w:rsidRPr="00AC04B2">
        <w:t xml:space="preserve"> </w:t>
      </w:r>
      <w:r w:rsidR="003830A6" w:rsidRPr="00AC04B2">
        <w:t xml:space="preserve">Risks and an outline of the associated controls are at </w:t>
      </w:r>
      <w:r w:rsidR="003830A6" w:rsidRPr="00AC04B2">
        <w:rPr>
          <w:b/>
          <w:bCs/>
        </w:rPr>
        <w:t>Table 2</w:t>
      </w:r>
      <w:r w:rsidR="003830A6" w:rsidRPr="00AC04B2">
        <w:t xml:space="preserve">. </w:t>
      </w:r>
    </w:p>
    <w:p w14:paraId="4BFF3B2D" w14:textId="77777777" w:rsidR="00326C20" w:rsidRDefault="00326C20" w:rsidP="00883C3A">
      <w:pPr>
        <w:pStyle w:val="Body"/>
        <w:rPr>
          <w:b/>
          <w:bCs/>
        </w:rPr>
      </w:pPr>
    </w:p>
    <w:p w14:paraId="22F0BA2F" w14:textId="6CB7387E" w:rsidR="001F3404" w:rsidRPr="00883C3A" w:rsidRDefault="00302223" w:rsidP="00883C3A">
      <w:pPr>
        <w:pStyle w:val="Body"/>
        <w:rPr>
          <w:b/>
          <w:bCs/>
        </w:rPr>
      </w:pPr>
      <w:r w:rsidRPr="00883C3A">
        <w:rPr>
          <w:b/>
          <w:bCs/>
        </w:rPr>
        <w:lastRenderedPageBreak/>
        <w:t xml:space="preserve">Table </w:t>
      </w:r>
      <w:r w:rsidR="00C06E40" w:rsidRPr="00883C3A">
        <w:rPr>
          <w:b/>
          <w:bCs/>
        </w:rPr>
        <w:t>2</w:t>
      </w:r>
      <w:r w:rsidRPr="00883C3A">
        <w:rPr>
          <w:b/>
          <w:bCs/>
        </w:rPr>
        <w:t>. Risk and controls</w:t>
      </w:r>
    </w:p>
    <w:tbl>
      <w:tblPr>
        <w:tblW w:w="9923" w:type="dxa"/>
        <w:tblInd w:w="-5" w:type="dxa"/>
        <w:tblLayout w:type="fixed"/>
        <w:tblLook w:val="04A0" w:firstRow="1" w:lastRow="0" w:firstColumn="1" w:lastColumn="0" w:noHBand="0" w:noVBand="1"/>
      </w:tblPr>
      <w:tblGrid>
        <w:gridCol w:w="2840"/>
        <w:gridCol w:w="7083"/>
      </w:tblGrid>
      <w:tr w:rsidR="00D41F1C" w:rsidRPr="00AC04B2" w14:paraId="66ED59DE" w14:textId="77777777" w:rsidTr="00976663">
        <w:trPr>
          <w:cantSplit/>
          <w:trHeight w:val="53"/>
        </w:trPr>
        <w:tc>
          <w:tcPr>
            <w:tcW w:w="2840" w:type="dxa"/>
            <w:shd w:val="clear" w:color="auto" w:fill="15272F" w:themeFill="text1"/>
            <w:vAlign w:val="center"/>
            <w:hideMark/>
          </w:tcPr>
          <w:p w14:paraId="3F788944" w14:textId="77777777" w:rsidR="00D41F1C" w:rsidRPr="00AC04B2" w:rsidRDefault="00D41F1C" w:rsidP="00A207F8">
            <w:pPr>
              <w:pStyle w:val="TableHeading"/>
            </w:pPr>
            <w:bookmarkStart w:id="170" w:name="_Hlk94523618"/>
            <w:r w:rsidRPr="00AC04B2">
              <w:t>Risk</w:t>
            </w:r>
          </w:p>
        </w:tc>
        <w:tc>
          <w:tcPr>
            <w:tcW w:w="7083" w:type="dxa"/>
            <w:shd w:val="clear" w:color="auto" w:fill="15272F" w:themeFill="text1"/>
            <w:vAlign w:val="center"/>
            <w:hideMark/>
          </w:tcPr>
          <w:p w14:paraId="0E36C9EE" w14:textId="4B521138" w:rsidR="00D41F1C" w:rsidRPr="00AC04B2" w:rsidRDefault="00FB4905" w:rsidP="00A207F8">
            <w:pPr>
              <w:pStyle w:val="TableHeading"/>
            </w:pPr>
            <w:r w:rsidRPr="00AC04B2">
              <w:t xml:space="preserve">Outline of </w:t>
            </w:r>
            <w:r w:rsidR="00FF0E74" w:rsidRPr="00AC04B2">
              <w:t>c</w:t>
            </w:r>
            <w:r w:rsidR="00D41F1C" w:rsidRPr="00AC04B2">
              <w:t>ontrols</w:t>
            </w:r>
          </w:p>
        </w:tc>
      </w:tr>
      <w:tr w:rsidR="00D41F1C" w:rsidRPr="00AC04B2" w14:paraId="4A0A5E8A" w14:textId="77777777" w:rsidTr="00976663">
        <w:trPr>
          <w:cantSplit/>
          <w:trHeight w:val="53"/>
        </w:trPr>
        <w:tc>
          <w:tcPr>
            <w:tcW w:w="9923" w:type="dxa"/>
            <w:gridSpan w:val="2"/>
            <w:shd w:val="clear" w:color="auto" w:fill="DFEBF1" w:themeFill="text1" w:themeFillTint="1A"/>
            <w:vAlign w:val="center"/>
            <w:hideMark/>
          </w:tcPr>
          <w:p w14:paraId="3A9D9282" w14:textId="77777777" w:rsidR="00D41F1C" w:rsidRPr="00AC04B2" w:rsidRDefault="00D41F1C" w:rsidP="00A207F8">
            <w:pPr>
              <w:pStyle w:val="TableBodySmall"/>
            </w:pPr>
            <w:r w:rsidRPr="00AC04B2">
              <w:t>Reputational</w:t>
            </w:r>
          </w:p>
        </w:tc>
      </w:tr>
      <w:tr w:rsidR="001D2B62" w:rsidRPr="00AC04B2" w14:paraId="63EFF4EC" w14:textId="77777777" w:rsidTr="00976663">
        <w:trPr>
          <w:cantSplit/>
          <w:trHeight w:val="340"/>
        </w:trPr>
        <w:tc>
          <w:tcPr>
            <w:tcW w:w="2840" w:type="dxa"/>
            <w:vMerge w:val="restart"/>
            <w:shd w:val="clear" w:color="auto" w:fill="auto"/>
            <w:vAlign w:val="center"/>
            <w:hideMark/>
          </w:tcPr>
          <w:p w14:paraId="686BCED4" w14:textId="6FABB1EF" w:rsidR="001D2B62" w:rsidRPr="00AC04B2" w:rsidRDefault="00FB4905" w:rsidP="00A207F8">
            <w:pPr>
              <w:pStyle w:val="TableBodySmall"/>
            </w:pPr>
            <w:r w:rsidRPr="00AC04B2">
              <w:t>IH</w:t>
            </w:r>
            <w:r w:rsidR="00974FAF" w:rsidRPr="00AC04B2">
              <w:t>AC</w:t>
            </w:r>
            <w:r w:rsidRPr="00AC04B2">
              <w:t>PA is not seen as an independent organisation</w:t>
            </w:r>
          </w:p>
        </w:tc>
        <w:tc>
          <w:tcPr>
            <w:tcW w:w="7083" w:type="dxa"/>
            <w:shd w:val="clear" w:color="auto" w:fill="auto"/>
            <w:hideMark/>
          </w:tcPr>
          <w:p w14:paraId="0AEA9201" w14:textId="5BFD9289" w:rsidR="001D2B62" w:rsidRPr="00AC04B2" w:rsidRDefault="00FB4905" w:rsidP="00A207F8">
            <w:pPr>
              <w:pStyle w:val="TableBodySmall"/>
            </w:pPr>
            <w:r w:rsidRPr="00AC04B2">
              <w:t>Regularly update the governance framework</w:t>
            </w:r>
          </w:p>
        </w:tc>
      </w:tr>
      <w:tr w:rsidR="001D2B62" w:rsidRPr="00AC04B2" w14:paraId="02091509" w14:textId="77777777" w:rsidTr="00976663">
        <w:trPr>
          <w:cantSplit/>
          <w:trHeight w:val="340"/>
        </w:trPr>
        <w:tc>
          <w:tcPr>
            <w:tcW w:w="2840" w:type="dxa"/>
            <w:vMerge/>
            <w:shd w:val="clear" w:color="auto" w:fill="auto"/>
            <w:vAlign w:val="center"/>
          </w:tcPr>
          <w:p w14:paraId="0793E34B" w14:textId="77777777" w:rsidR="001D2B62" w:rsidRPr="00AC04B2" w:rsidRDefault="001D2B62" w:rsidP="00A207F8">
            <w:pPr>
              <w:pStyle w:val="TableBodySmall"/>
            </w:pPr>
          </w:p>
        </w:tc>
        <w:tc>
          <w:tcPr>
            <w:tcW w:w="7083" w:type="dxa"/>
            <w:shd w:val="clear" w:color="auto" w:fill="auto"/>
          </w:tcPr>
          <w:p w14:paraId="4F837AC1" w14:textId="11BA09F8" w:rsidR="001D2B62" w:rsidRPr="00AC04B2" w:rsidRDefault="00FB4905" w:rsidP="00A207F8">
            <w:pPr>
              <w:pStyle w:val="TableBodySmall"/>
            </w:pPr>
            <w:r w:rsidRPr="00AC04B2">
              <w:t>Consultation with all governments and working groups</w:t>
            </w:r>
          </w:p>
        </w:tc>
      </w:tr>
      <w:tr w:rsidR="001D2B62" w:rsidRPr="00AC04B2" w14:paraId="288D3276" w14:textId="77777777" w:rsidTr="00976663">
        <w:trPr>
          <w:cantSplit/>
          <w:trHeight w:val="340"/>
        </w:trPr>
        <w:tc>
          <w:tcPr>
            <w:tcW w:w="2840" w:type="dxa"/>
            <w:vMerge/>
            <w:shd w:val="clear" w:color="auto" w:fill="auto"/>
            <w:vAlign w:val="center"/>
          </w:tcPr>
          <w:p w14:paraId="3178A25B" w14:textId="77777777" w:rsidR="001D2B62" w:rsidRPr="00AC04B2" w:rsidRDefault="001D2B62" w:rsidP="00A207F8">
            <w:pPr>
              <w:pStyle w:val="TableBodySmall"/>
            </w:pPr>
          </w:p>
        </w:tc>
        <w:tc>
          <w:tcPr>
            <w:tcW w:w="7083" w:type="dxa"/>
            <w:shd w:val="clear" w:color="auto" w:fill="auto"/>
          </w:tcPr>
          <w:p w14:paraId="7BF95DB7" w14:textId="6C3E8AE6" w:rsidR="001D2B62" w:rsidRPr="00AC04B2" w:rsidRDefault="00FB4905" w:rsidP="00A207F8">
            <w:pPr>
              <w:pStyle w:val="TableBodySmall"/>
            </w:pPr>
            <w:r w:rsidRPr="00AC04B2">
              <w:t>Public consultation processes</w:t>
            </w:r>
          </w:p>
        </w:tc>
      </w:tr>
      <w:tr w:rsidR="001D2B62" w:rsidRPr="00AC04B2" w14:paraId="584B874C" w14:textId="77777777" w:rsidTr="00976663">
        <w:trPr>
          <w:cantSplit/>
          <w:trHeight w:val="340"/>
        </w:trPr>
        <w:tc>
          <w:tcPr>
            <w:tcW w:w="2840" w:type="dxa"/>
            <w:vMerge/>
            <w:shd w:val="clear" w:color="auto" w:fill="auto"/>
            <w:vAlign w:val="center"/>
          </w:tcPr>
          <w:p w14:paraId="4BD5B1CF" w14:textId="77777777" w:rsidR="001D2B62" w:rsidRPr="00AC04B2" w:rsidRDefault="001D2B62" w:rsidP="00A207F8">
            <w:pPr>
              <w:pStyle w:val="TableBodySmall"/>
            </w:pPr>
          </w:p>
        </w:tc>
        <w:tc>
          <w:tcPr>
            <w:tcW w:w="7083" w:type="dxa"/>
            <w:shd w:val="clear" w:color="auto" w:fill="auto"/>
          </w:tcPr>
          <w:p w14:paraId="60131CFA" w14:textId="5894B556" w:rsidR="001D2B62" w:rsidRPr="00AC04B2" w:rsidRDefault="00FB4905" w:rsidP="00A207F8">
            <w:pPr>
              <w:pStyle w:val="TableBodySmall"/>
            </w:pPr>
            <w:r w:rsidRPr="00AC04B2">
              <w:t>Expert advice and quality assurance in delivering core functions</w:t>
            </w:r>
          </w:p>
        </w:tc>
      </w:tr>
      <w:tr w:rsidR="001D2B62" w:rsidRPr="00AC04B2" w14:paraId="08AA2FB3" w14:textId="77777777" w:rsidTr="00976663">
        <w:trPr>
          <w:cantSplit/>
          <w:trHeight w:val="340"/>
        </w:trPr>
        <w:tc>
          <w:tcPr>
            <w:tcW w:w="2840" w:type="dxa"/>
            <w:vMerge/>
            <w:shd w:val="clear" w:color="auto" w:fill="auto"/>
            <w:vAlign w:val="center"/>
          </w:tcPr>
          <w:p w14:paraId="64925EB3" w14:textId="77777777" w:rsidR="001D2B62" w:rsidRPr="00AC04B2" w:rsidRDefault="001D2B62" w:rsidP="00A207F8">
            <w:pPr>
              <w:pStyle w:val="TableBodySmall"/>
            </w:pPr>
          </w:p>
        </w:tc>
        <w:tc>
          <w:tcPr>
            <w:tcW w:w="7083" w:type="dxa"/>
            <w:shd w:val="clear" w:color="auto" w:fill="auto"/>
          </w:tcPr>
          <w:p w14:paraId="5E47EF0A" w14:textId="3BB63825" w:rsidR="00434AAB" w:rsidRPr="00AC04B2" w:rsidRDefault="00FB4905" w:rsidP="00A207F8">
            <w:pPr>
              <w:pStyle w:val="TableBodySmall"/>
            </w:pPr>
            <w:r w:rsidRPr="00AC04B2">
              <w:t>Transparent evidence-based methodology in decision-making</w:t>
            </w:r>
          </w:p>
        </w:tc>
      </w:tr>
      <w:tr w:rsidR="001D2B62" w:rsidRPr="00AC04B2" w14:paraId="55CB1AAE" w14:textId="77777777" w:rsidTr="00976663">
        <w:trPr>
          <w:cantSplit/>
          <w:trHeight w:val="340"/>
        </w:trPr>
        <w:tc>
          <w:tcPr>
            <w:tcW w:w="2840" w:type="dxa"/>
            <w:vMerge/>
            <w:tcBorders>
              <w:bottom w:val="single" w:sz="4" w:space="0" w:color="65A0BA" w:themeColor="text2" w:themeTint="80"/>
            </w:tcBorders>
            <w:shd w:val="clear" w:color="auto" w:fill="auto"/>
            <w:vAlign w:val="center"/>
          </w:tcPr>
          <w:p w14:paraId="03F48A12" w14:textId="77777777" w:rsidR="001D2B62" w:rsidRPr="00AC04B2" w:rsidRDefault="001D2B62" w:rsidP="00A207F8">
            <w:pPr>
              <w:pStyle w:val="TableBodySmall"/>
            </w:pPr>
          </w:p>
        </w:tc>
        <w:tc>
          <w:tcPr>
            <w:tcW w:w="7083" w:type="dxa"/>
            <w:tcBorders>
              <w:bottom w:val="single" w:sz="4" w:space="0" w:color="65A0BA" w:themeColor="text2" w:themeTint="80"/>
            </w:tcBorders>
            <w:shd w:val="clear" w:color="auto" w:fill="auto"/>
          </w:tcPr>
          <w:p w14:paraId="5761962D" w14:textId="46E1BA73" w:rsidR="001D2B62" w:rsidRPr="00AC04B2" w:rsidRDefault="00FB4905" w:rsidP="00A207F8">
            <w:pPr>
              <w:pStyle w:val="TableBodySmall"/>
            </w:pPr>
            <w:r w:rsidRPr="00AC04B2">
              <w:t xml:space="preserve">Media monitoring and proactive </w:t>
            </w:r>
            <w:r w:rsidR="00963FEB">
              <w:t>communications</w:t>
            </w:r>
          </w:p>
        </w:tc>
      </w:tr>
      <w:tr w:rsidR="003618B4" w:rsidRPr="00AC04B2" w14:paraId="39D1B777" w14:textId="77777777" w:rsidTr="00976663">
        <w:trPr>
          <w:cantSplit/>
          <w:trHeight w:val="340"/>
        </w:trPr>
        <w:tc>
          <w:tcPr>
            <w:tcW w:w="2840" w:type="dxa"/>
            <w:vMerge w:val="restart"/>
            <w:tcBorders>
              <w:top w:val="single" w:sz="4" w:space="0" w:color="65A0BA" w:themeColor="text2" w:themeTint="80"/>
            </w:tcBorders>
            <w:shd w:val="clear" w:color="auto" w:fill="auto"/>
            <w:vAlign w:val="center"/>
            <w:hideMark/>
          </w:tcPr>
          <w:p w14:paraId="1F889C28" w14:textId="3722DD1F" w:rsidR="003618B4" w:rsidRPr="00AC04B2" w:rsidRDefault="003618B4" w:rsidP="00A207F8">
            <w:pPr>
              <w:pStyle w:val="TableBodySmall"/>
            </w:pPr>
            <w:r w:rsidRPr="00AC04B2">
              <w:t>Communication of IH</w:t>
            </w:r>
            <w:r w:rsidR="00974FAF" w:rsidRPr="00AC04B2">
              <w:t>AC</w:t>
            </w:r>
            <w:r w:rsidRPr="00AC04B2">
              <w:t>PA’s role is not effective</w:t>
            </w:r>
          </w:p>
        </w:tc>
        <w:tc>
          <w:tcPr>
            <w:tcW w:w="7083" w:type="dxa"/>
            <w:tcBorders>
              <w:top w:val="single" w:sz="4" w:space="0" w:color="65A0BA" w:themeColor="text2" w:themeTint="80"/>
            </w:tcBorders>
            <w:shd w:val="clear" w:color="auto" w:fill="auto"/>
            <w:vAlign w:val="center"/>
            <w:hideMark/>
          </w:tcPr>
          <w:p w14:paraId="56DB6580" w14:textId="5CBA9A94" w:rsidR="003618B4" w:rsidRPr="00AC04B2" w:rsidRDefault="003618B4" w:rsidP="00A207F8">
            <w:pPr>
              <w:pStyle w:val="TableBodySmall"/>
              <w:rPr>
                <w:bCs/>
                <w:color w:val="FFFFFF"/>
              </w:rPr>
            </w:pPr>
            <w:r w:rsidRPr="00AC04B2">
              <w:t xml:space="preserve">Annual </w:t>
            </w:r>
            <w:r w:rsidR="00963FEB">
              <w:t>c</w:t>
            </w:r>
            <w:r w:rsidR="00963FEB" w:rsidRPr="00AC04B2">
              <w:t>onference</w:t>
            </w:r>
            <w:r w:rsidR="00963FEB">
              <w:t xml:space="preserve"> or s</w:t>
            </w:r>
            <w:r w:rsidR="002C05D1">
              <w:t>ummit</w:t>
            </w:r>
          </w:p>
        </w:tc>
      </w:tr>
      <w:tr w:rsidR="003618B4" w:rsidRPr="00AC04B2" w14:paraId="5452FD3B" w14:textId="77777777" w:rsidTr="00976663">
        <w:trPr>
          <w:cantSplit/>
          <w:trHeight w:val="340"/>
        </w:trPr>
        <w:tc>
          <w:tcPr>
            <w:tcW w:w="2840" w:type="dxa"/>
            <w:vMerge/>
            <w:shd w:val="clear" w:color="auto" w:fill="auto"/>
            <w:vAlign w:val="center"/>
          </w:tcPr>
          <w:p w14:paraId="3D783383" w14:textId="77777777" w:rsidR="003618B4" w:rsidRPr="00AC04B2" w:rsidRDefault="003618B4" w:rsidP="00A207F8">
            <w:pPr>
              <w:pStyle w:val="TableBodySmall"/>
            </w:pPr>
          </w:p>
        </w:tc>
        <w:tc>
          <w:tcPr>
            <w:tcW w:w="7083" w:type="dxa"/>
            <w:shd w:val="clear" w:color="auto" w:fill="auto"/>
            <w:vAlign w:val="center"/>
          </w:tcPr>
          <w:p w14:paraId="475CF5EA" w14:textId="1BB00EF2" w:rsidR="003618B4" w:rsidRPr="00AC04B2" w:rsidRDefault="003618B4" w:rsidP="00A207F8">
            <w:pPr>
              <w:pStyle w:val="TableBodySmall"/>
            </w:pPr>
            <w:r w:rsidRPr="00AC04B2">
              <w:t>Extensive stakeholder consultation</w:t>
            </w:r>
          </w:p>
        </w:tc>
      </w:tr>
      <w:tr w:rsidR="003618B4" w:rsidRPr="00AC04B2" w14:paraId="51110DE1" w14:textId="77777777" w:rsidTr="00976663">
        <w:trPr>
          <w:cantSplit/>
          <w:trHeight w:val="340"/>
        </w:trPr>
        <w:tc>
          <w:tcPr>
            <w:tcW w:w="2840" w:type="dxa"/>
            <w:vMerge/>
            <w:shd w:val="clear" w:color="auto" w:fill="auto"/>
            <w:vAlign w:val="center"/>
          </w:tcPr>
          <w:p w14:paraId="0EC99781" w14:textId="77777777" w:rsidR="003618B4" w:rsidRPr="00AC04B2" w:rsidRDefault="003618B4" w:rsidP="00A207F8">
            <w:pPr>
              <w:pStyle w:val="TableBodySmall"/>
            </w:pPr>
          </w:p>
        </w:tc>
        <w:tc>
          <w:tcPr>
            <w:tcW w:w="7083" w:type="dxa"/>
            <w:shd w:val="clear" w:color="auto" w:fill="auto"/>
            <w:vAlign w:val="center"/>
          </w:tcPr>
          <w:p w14:paraId="66C5E5E2" w14:textId="36638108" w:rsidR="003618B4" w:rsidRPr="00AC04B2" w:rsidRDefault="003618B4" w:rsidP="00A207F8">
            <w:pPr>
              <w:pStyle w:val="TableBodySmall"/>
            </w:pPr>
            <w:r w:rsidRPr="00AC04B2">
              <w:t xml:space="preserve">Public consultation processes </w:t>
            </w:r>
          </w:p>
        </w:tc>
      </w:tr>
      <w:tr w:rsidR="003618B4" w:rsidRPr="00AC04B2" w14:paraId="46178445" w14:textId="77777777" w:rsidTr="00976663">
        <w:trPr>
          <w:cantSplit/>
          <w:trHeight w:val="340"/>
        </w:trPr>
        <w:tc>
          <w:tcPr>
            <w:tcW w:w="2840" w:type="dxa"/>
            <w:vMerge/>
            <w:shd w:val="clear" w:color="auto" w:fill="auto"/>
            <w:vAlign w:val="center"/>
          </w:tcPr>
          <w:p w14:paraId="164E5778" w14:textId="77777777" w:rsidR="003618B4" w:rsidRPr="00AC04B2" w:rsidRDefault="003618B4" w:rsidP="00A207F8">
            <w:pPr>
              <w:pStyle w:val="TableBodySmall"/>
            </w:pPr>
          </w:p>
        </w:tc>
        <w:tc>
          <w:tcPr>
            <w:tcW w:w="7083" w:type="dxa"/>
            <w:shd w:val="clear" w:color="auto" w:fill="auto"/>
            <w:vAlign w:val="center"/>
          </w:tcPr>
          <w:p w14:paraId="567E4B31" w14:textId="2259E3E7" w:rsidR="003618B4" w:rsidRPr="00AC04B2" w:rsidRDefault="003618B4" w:rsidP="00A207F8">
            <w:pPr>
              <w:pStyle w:val="TableBodySmall"/>
            </w:pPr>
            <w:r w:rsidRPr="00AC04B2">
              <w:t>Consolidated social media engagement presence</w:t>
            </w:r>
          </w:p>
        </w:tc>
      </w:tr>
      <w:tr w:rsidR="003618B4" w:rsidRPr="00AC04B2" w14:paraId="3A7C7FBC" w14:textId="77777777" w:rsidTr="00976663">
        <w:trPr>
          <w:cantSplit/>
          <w:trHeight w:val="340"/>
        </w:trPr>
        <w:tc>
          <w:tcPr>
            <w:tcW w:w="2840" w:type="dxa"/>
            <w:vMerge/>
            <w:shd w:val="clear" w:color="auto" w:fill="auto"/>
            <w:vAlign w:val="center"/>
          </w:tcPr>
          <w:p w14:paraId="2E2AC225" w14:textId="77777777" w:rsidR="003618B4" w:rsidRPr="00AC04B2" w:rsidRDefault="003618B4" w:rsidP="00A207F8">
            <w:pPr>
              <w:pStyle w:val="TableBodySmall"/>
            </w:pPr>
          </w:p>
        </w:tc>
        <w:tc>
          <w:tcPr>
            <w:tcW w:w="7083" w:type="dxa"/>
            <w:shd w:val="clear" w:color="auto" w:fill="auto"/>
            <w:vAlign w:val="center"/>
          </w:tcPr>
          <w:p w14:paraId="3966DEC2" w14:textId="7DC90092" w:rsidR="003618B4" w:rsidRPr="00AC04B2" w:rsidRDefault="00963FEB" w:rsidP="00A207F8">
            <w:pPr>
              <w:pStyle w:val="TableBodySmall"/>
            </w:pPr>
            <w:r>
              <w:t>Proactive media and communications</w:t>
            </w:r>
            <w:r w:rsidR="003618B4" w:rsidRPr="00AC04B2">
              <w:t xml:space="preserve"> on significant decisions and bodies of work</w:t>
            </w:r>
          </w:p>
        </w:tc>
      </w:tr>
      <w:tr w:rsidR="00D41F1C" w:rsidRPr="00AC04B2" w14:paraId="53442D34" w14:textId="77777777" w:rsidTr="00AC550A">
        <w:trPr>
          <w:cantSplit/>
          <w:trHeight w:val="340"/>
        </w:trPr>
        <w:tc>
          <w:tcPr>
            <w:tcW w:w="9923" w:type="dxa"/>
            <w:gridSpan w:val="2"/>
            <w:shd w:val="clear" w:color="auto" w:fill="DFEBF1" w:themeFill="text1" w:themeFillTint="1A"/>
            <w:vAlign w:val="center"/>
            <w:hideMark/>
          </w:tcPr>
          <w:p w14:paraId="7CEAB58F" w14:textId="59DB870F" w:rsidR="00D41F1C" w:rsidRPr="00AC04B2" w:rsidRDefault="00D41F1C" w:rsidP="00A207F8">
            <w:pPr>
              <w:pStyle w:val="TableBodySmall"/>
            </w:pPr>
            <w:r w:rsidRPr="00AC04B2">
              <w:t>Data and Information Governance Risks</w:t>
            </w:r>
          </w:p>
        </w:tc>
      </w:tr>
      <w:tr w:rsidR="003618B4" w:rsidRPr="00AC04B2" w14:paraId="5ED84D92" w14:textId="77777777" w:rsidTr="00976663">
        <w:trPr>
          <w:cantSplit/>
          <w:trHeight w:val="340"/>
        </w:trPr>
        <w:tc>
          <w:tcPr>
            <w:tcW w:w="2840" w:type="dxa"/>
            <w:vMerge w:val="restart"/>
            <w:shd w:val="clear" w:color="auto" w:fill="auto"/>
            <w:vAlign w:val="center"/>
            <w:hideMark/>
          </w:tcPr>
          <w:p w14:paraId="55BDD205" w14:textId="18D2C221" w:rsidR="003618B4" w:rsidRPr="00AC04B2" w:rsidRDefault="003618B4" w:rsidP="00A207F8">
            <w:pPr>
              <w:pStyle w:val="TableBodySmall"/>
            </w:pPr>
            <w:r w:rsidRPr="00AC04B2">
              <w:t>Data accuracy</w:t>
            </w:r>
          </w:p>
        </w:tc>
        <w:tc>
          <w:tcPr>
            <w:tcW w:w="7083" w:type="dxa"/>
            <w:shd w:val="clear" w:color="auto" w:fill="auto"/>
            <w:hideMark/>
          </w:tcPr>
          <w:p w14:paraId="5E257A79" w14:textId="7031A604" w:rsidR="003618B4" w:rsidRPr="00AC04B2" w:rsidRDefault="003618B4" w:rsidP="00A207F8">
            <w:pPr>
              <w:pStyle w:val="TableBodySmall"/>
            </w:pPr>
            <w:r w:rsidRPr="00AC04B2">
              <w:t>Governance structure and business processes established to check the quality and integrity of incoming and outgoing data</w:t>
            </w:r>
          </w:p>
        </w:tc>
      </w:tr>
      <w:tr w:rsidR="003618B4" w:rsidRPr="00AC04B2" w14:paraId="7837059E" w14:textId="77777777" w:rsidTr="00976663">
        <w:trPr>
          <w:cantSplit/>
          <w:trHeight w:val="340"/>
        </w:trPr>
        <w:tc>
          <w:tcPr>
            <w:tcW w:w="2840" w:type="dxa"/>
            <w:vMerge/>
            <w:tcBorders>
              <w:bottom w:val="single" w:sz="4" w:space="0" w:color="65A0BA" w:themeColor="text2" w:themeTint="80"/>
            </w:tcBorders>
            <w:shd w:val="clear" w:color="auto" w:fill="auto"/>
            <w:vAlign w:val="center"/>
          </w:tcPr>
          <w:p w14:paraId="264F2C39" w14:textId="77777777" w:rsidR="003618B4" w:rsidRPr="00AC04B2" w:rsidRDefault="003618B4" w:rsidP="00A207F8">
            <w:pPr>
              <w:pStyle w:val="TableBodySmall"/>
            </w:pPr>
          </w:p>
        </w:tc>
        <w:tc>
          <w:tcPr>
            <w:tcW w:w="7083" w:type="dxa"/>
            <w:tcBorders>
              <w:bottom w:val="single" w:sz="4" w:space="0" w:color="65A0BA" w:themeColor="text2" w:themeTint="80"/>
            </w:tcBorders>
            <w:shd w:val="clear" w:color="auto" w:fill="auto"/>
          </w:tcPr>
          <w:p w14:paraId="46605203" w14:textId="52E7B21E" w:rsidR="003618B4" w:rsidRPr="00AC04B2" w:rsidRDefault="003618B4" w:rsidP="00A207F8">
            <w:pPr>
              <w:pStyle w:val="TableBodySmall"/>
            </w:pPr>
            <w:r w:rsidRPr="00AC04B2">
              <w:t>Activity reporting quarterly</w:t>
            </w:r>
          </w:p>
        </w:tc>
      </w:tr>
      <w:tr w:rsidR="001D2B62" w:rsidRPr="00AC04B2" w14:paraId="526D2FFA" w14:textId="77777777" w:rsidTr="00976663">
        <w:trPr>
          <w:cantSplit/>
          <w:trHeight w:val="340"/>
        </w:trPr>
        <w:tc>
          <w:tcPr>
            <w:tcW w:w="2840" w:type="dxa"/>
            <w:tcBorders>
              <w:top w:val="single" w:sz="4" w:space="0" w:color="65A0BA" w:themeColor="text2" w:themeTint="80"/>
              <w:bottom w:val="single" w:sz="4" w:space="0" w:color="65A0BA" w:themeColor="text2" w:themeTint="80"/>
            </w:tcBorders>
            <w:shd w:val="clear" w:color="auto" w:fill="auto"/>
            <w:vAlign w:val="center"/>
          </w:tcPr>
          <w:p w14:paraId="2B24BD2C" w14:textId="0D9F2496" w:rsidR="001D2B62" w:rsidRPr="00AC04B2" w:rsidRDefault="004E6F97" w:rsidP="00A207F8">
            <w:pPr>
              <w:pStyle w:val="TableBodySmall"/>
            </w:pPr>
            <w:r w:rsidRPr="00AC04B2">
              <w:t>Delays in the provision of data</w:t>
            </w:r>
          </w:p>
        </w:tc>
        <w:tc>
          <w:tcPr>
            <w:tcW w:w="7083" w:type="dxa"/>
            <w:tcBorders>
              <w:top w:val="single" w:sz="4" w:space="0" w:color="65A0BA" w:themeColor="text2" w:themeTint="80"/>
              <w:bottom w:val="single" w:sz="4" w:space="0" w:color="65A0BA" w:themeColor="text2" w:themeTint="80"/>
            </w:tcBorders>
            <w:shd w:val="clear" w:color="auto" w:fill="auto"/>
          </w:tcPr>
          <w:p w14:paraId="3B7A0060" w14:textId="249715EF" w:rsidR="001D2B62" w:rsidRPr="00AC04B2" w:rsidRDefault="001D2B62" w:rsidP="00A207F8">
            <w:pPr>
              <w:pStyle w:val="TableBodySmall"/>
            </w:pPr>
            <w:r w:rsidRPr="00AC04B2">
              <w:t xml:space="preserve">Data compliance process </w:t>
            </w:r>
            <w:r w:rsidR="003618B4" w:rsidRPr="00AC04B2">
              <w:t>in place</w:t>
            </w:r>
          </w:p>
        </w:tc>
      </w:tr>
      <w:tr w:rsidR="00EB6F2C" w:rsidRPr="00AC04B2" w14:paraId="37E620B4" w14:textId="77777777" w:rsidTr="00976663">
        <w:trPr>
          <w:cantSplit/>
          <w:trHeight w:val="340"/>
        </w:trPr>
        <w:tc>
          <w:tcPr>
            <w:tcW w:w="2840" w:type="dxa"/>
            <w:vMerge w:val="restart"/>
            <w:tcBorders>
              <w:top w:val="single" w:sz="4" w:space="0" w:color="65A0BA" w:themeColor="text2" w:themeTint="80"/>
            </w:tcBorders>
            <w:shd w:val="clear" w:color="auto" w:fill="auto"/>
            <w:vAlign w:val="center"/>
          </w:tcPr>
          <w:p w14:paraId="41D66023" w14:textId="1448D7EC" w:rsidR="00EB6F2C" w:rsidRPr="00AC04B2" w:rsidRDefault="00EB6F2C" w:rsidP="00A207F8">
            <w:pPr>
              <w:pStyle w:val="TableBodySmall"/>
            </w:pPr>
            <w:r w:rsidRPr="00AC04B2">
              <w:t>A data breach occurs</w:t>
            </w:r>
          </w:p>
        </w:tc>
        <w:tc>
          <w:tcPr>
            <w:tcW w:w="7083" w:type="dxa"/>
            <w:tcBorders>
              <w:top w:val="single" w:sz="4" w:space="0" w:color="65A0BA" w:themeColor="text2" w:themeTint="80"/>
            </w:tcBorders>
            <w:shd w:val="clear" w:color="auto" w:fill="auto"/>
          </w:tcPr>
          <w:p w14:paraId="58330225" w14:textId="33CF65C6" w:rsidR="00EB6F2C" w:rsidRPr="00AC04B2" w:rsidRDefault="00EB6F2C" w:rsidP="00A207F8">
            <w:pPr>
              <w:pStyle w:val="TableBodySmall"/>
              <w:rPr>
                <w:rFonts w:eastAsia="Calibri"/>
              </w:rPr>
            </w:pPr>
            <w:r w:rsidRPr="00AC04B2">
              <w:t>Systems, policies and procedures are in place to prevent data breaches</w:t>
            </w:r>
          </w:p>
        </w:tc>
      </w:tr>
      <w:tr w:rsidR="00EB6F2C" w:rsidRPr="00AC04B2" w14:paraId="1B7687DE" w14:textId="77777777" w:rsidTr="00976663">
        <w:trPr>
          <w:cantSplit/>
          <w:trHeight w:val="340"/>
        </w:trPr>
        <w:tc>
          <w:tcPr>
            <w:tcW w:w="2840" w:type="dxa"/>
            <w:vMerge/>
            <w:tcBorders>
              <w:bottom w:val="single" w:sz="4" w:space="0" w:color="65A0BA" w:themeColor="text2" w:themeTint="80"/>
            </w:tcBorders>
            <w:shd w:val="clear" w:color="auto" w:fill="auto"/>
            <w:vAlign w:val="center"/>
            <w:hideMark/>
          </w:tcPr>
          <w:p w14:paraId="12817C60" w14:textId="503820A2" w:rsidR="00EB6F2C" w:rsidRPr="00AC04B2" w:rsidRDefault="00EB6F2C" w:rsidP="00A207F8">
            <w:pPr>
              <w:pStyle w:val="TableBodySmall"/>
            </w:pPr>
          </w:p>
        </w:tc>
        <w:tc>
          <w:tcPr>
            <w:tcW w:w="7083" w:type="dxa"/>
            <w:tcBorders>
              <w:bottom w:val="single" w:sz="4" w:space="0" w:color="65A0BA" w:themeColor="text2" w:themeTint="80"/>
            </w:tcBorders>
            <w:shd w:val="clear" w:color="auto" w:fill="auto"/>
            <w:hideMark/>
          </w:tcPr>
          <w:p w14:paraId="27163EDE" w14:textId="12C06FFE" w:rsidR="00EB6F2C" w:rsidRPr="00AC04B2" w:rsidRDefault="00EB6F2C" w:rsidP="00A207F8">
            <w:pPr>
              <w:pStyle w:val="TableBodySmall"/>
              <w:rPr>
                <w:rFonts w:eastAsia="Calibri"/>
              </w:rPr>
            </w:pPr>
            <w:r w:rsidRPr="00AC04B2">
              <w:t>Annual Data Governance assurance audits conducted by internal auditors</w:t>
            </w:r>
          </w:p>
        </w:tc>
      </w:tr>
      <w:tr w:rsidR="00EB6F2C" w:rsidRPr="00AC04B2" w14:paraId="13276C96" w14:textId="77777777" w:rsidTr="00976663">
        <w:trPr>
          <w:cantSplit/>
          <w:trHeight w:val="340"/>
        </w:trPr>
        <w:tc>
          <w:tcPr>
            <w:tcW w:w="2840" w:type="dxa"/>
            <w:vMerge w:val="restart"/>
            <w:tcBorders>
              <w:top w:val="single" w:sz="4" w:space="0" w:color="65A0BA" w:themeColor="text2" w:themeTint="80"/>
            </w:tcBorders>
            <w:shd w:val="clear" w:color="auto" w:fill="auto"/>
            <w:vAlign w:val="center"/>
            <w:hideMark/>
          </w:tcPr>
          <w:p w14:paraId="2D47127C" w14:textId="77777777" w:rsidR="00EB6F2C" w:rsidRPr="00AC04B2" w:rsidRDefault="00EB6F2C" w:rsidP="00A207F8">
            <w:pPr>
              <w:pStyle w:val="TableBodySmall"/>
            </w:pPr>
            <w:r w:rsidRPr="00AC04B2">
              <w:t>Core business records not retained</w:t>
            </w:r>
          </w:p>
        </w:tc>
        <w:tc>
          <w:tcPr>
            <w:tcW w:w="7083" w:type="dxa"/>
            <w:tcBorders>
              <w:top w:val="single" w:sz="4" w:space="0" w:color="65A0BA" w:themeColor="text2" w:themeTint="80"/>
            </w:tcBorders>
            <w:shd w:val="clear" w:color="auto" w:fill="auto"/>
            <w:hideMark/>
          </w:tcPr>
          <w:p w14:paraId="1A9CF9CA" w14:textId="6F21DEB2" w:rsidR="00EB6F2C" w:rsidRPr="00AC04B2" w:rsidRDefault="00EB6F2C" w:rsidP="00A207F8">
            <w:pPr>
              <w:pStyle w:val="TableBodySmall"/>
            </w:pPr>
            <w:r w:rsidRPr="00AC04B2">
              <w:t>IH</w:t>
            </w:r>
            <w:r w:rsidR="00974FAF" w:rsidRPr="00AC04B2">
              <w:t>AC</w:t>
            </w:r>
            <w:r w:rsidRPr="00AC04B2">
              <w:t xml:space="preserve">PA uses the </w:t>
            </w:r>
            <w:r w:rsidR="00D01768">
              <w:t xml:space="preserve">Australian </w:t>
            </w:r>
            <w:r w:rsidR="00485A4B">
              <w:t xml:space="preserve">Government </w:t>
            </w:r>
            <w:r w:rsidRPr="00AC04B2">
              <w:t xml:space="preserve">Department of Health </w:t>
            </w:r>
            <w:r w:rsidR="000333C2" w:rsidRPr="00AC04B2">
              <w:t xml:space="preserve">and Aged Care </w:t>
            </w:r>
            <w:r w:rsidRPr="00AC04B2">
              <w:t>TRIM based record management system for its core business records which ensures regular secure backup</w:t>
            </w:r>
          </w:p>
        </w:tc>
      </w:tr>
      <w:tr w:rsidR="00EB6F2C" w:rsidRPr="00AC04B2" w14:paraId="7B311E11" w14:textId="77777777" w:rsidTr="00976663">
        <w:trPr>
          <w:cantSplit/>
          <w:trHeight w:val="340"/>
        </w:trPr>
        <w:tc>
          <w:tcPr>
            <w:tcW w:w="2840" w:type="dxa"/>
            <w:vMerge/>
            <w:shd w:val="clear" w:color="auto" w:fill="auto"/>
            <w:vAlign w:val="center"/>
          </w:tcPr>
          <w:p w14:paraId="5A3C57ED" w14:textId="77777777" w:rsidR="00EB6F2C" w:rsidRPr="00AC04B2" w:rsidRDefault="00EB6F2C" w:rsidP="00A207F8">
            <w:pPr>
              <w:pStyle w:val="TableBodySmall"/>
            </w:pPr>
          </w:p>
        </w:tc>
        <w:tc>
          <w:tcPr>
            <w:tcW w:w="7083" w:type="dxa"/>
            <w:shd w:val="clear" w:color="auto" w:fill="auto"/>
          </w:tcPr>
          <w:p w14:paraId="58060D17" w14:textId="53538ED1" w:rsidR="00EB6F2C" w:rsidRPr="00AC04B2" w:rsidRDefault="00EB6F2C" w:rsidP="00A207F8">
            <w:pPr>
              <w:pStyle w:val="TableBodySmall"/>
            </w:pPr>
            <w:r w:rsidRPr="00AC04B2">
              <w:t>IH</w:t>
            </w:r>
            <w:r w:rsidR="00974FAF" w:rsidRPr="00AC04B2">
              <w:t>AC</w:t>
            </w:r>
            <w:r w:rsidRPr="00AC04B2">
              <w:t>PA data is independently maintained in accordance with Australian Government requirements</w:t>
            </w:r>
          </w:p>
        </w:tc>
      </w:tr>
      <w:bookmarkEnd w:id="170"/>
      <w:tr w:rsidR="00D41F1C" w:rsidRPr="00AC04B2" w14:paraId="1C176531" w14:textId="77777777" w:rsidTr="00AC550A">
        <w:trPr>
          <w:cantSplit/>
          <w:trHeight w:val="340"/>
        </w:trPr>
        <w:tc>
          <w:tcPr>
            <w:tcW w:w="9923" w:type="dxa"/>
            <w:gridSpan w:val="2"/>
            <w:shd w:val="clear" w:color="auto" w:fill="DFEBF1" w:themeFill="text1" w:themeFillTint="1A"/>
            <w:vAlign w:val="center"/>
            <w:hideMark/>
          </w:tcPr>
          <w:p w14:paraId="1916D5DE" w14:textId="36F92C15" w:rsidR="00D41F1C" w:rsidRPr="00AC04B2" w:rsidRDefault="00D41F1C" w:rsidP="00A207F8">
            <w:pPr>
              <w:pStyle w:val="TableBodySmall"/>
            </w:pPr>
            <w:r w:rsidRPr="00AC04B2">
              <w:t>Information and Communication Technology</w:t>
            </w:r>
          </w:p>
        </w:tc>
      </w:tr>
      <w:tr w:rsidR="001D2B62" w:rsidRPr="00AC04B2" w14:paraId="521D1ACF" w14:textId="77777777" w:rsidTr="00976663">
        <w:trPr>
          <w:cantSplit/>
          <w:trHeight w:val="340"/>
        </w:trPr>
        <w:tc>
          <w:tcPr>
            <w:tcW w:w="2840" w:type="dxa"/>
            <w:vMerge w:val="restart"/>
            <w:shd w:val="clear" w:color="auto" w:fill="auto"/>
            <w:noWrap/>
            <w:vAlign w:val="center"/>
          </w:tcPr>
          <w:p w14:paraId="28A169DF" w14:textId="1BF307EC" w:rsidR="001D2B62" w:rsidRPr="00AC04B2" w:rsidRDefault="00EB6F2C" w:rsidP="00A207F8">
            <w:pPr>
              <w:pStyle w:val="TableBodySmall"/>
            </w:pPr>
            <w:r w:rsidRPr="00AC04B2">
              <w:t>ICT performance and suitability</w:t>
            </w:r>
          </w:p>
        </w:tc>
        <w:tc>
          <w:tcPr>
            <w:tcW w:w="7083" w:type="dxa"/>
            <w:shd w:val="clear" w:color="auto" w:fill="auto"/>
            <w:hideMark/>
          </w:tcPr>
          <w:p w14:paraId="4A419C7C" w14:textId="71135079" w:rsidR="001D2B62" w:rsidRPr="00AC04B2" w:rsidRDefault="00EB6F2C" w:rsidP="00A207F8">
            <w:pPr>
              <w:pStyle w:val="TableBodySmall"/>
            </w:pPr>
            <w:r w:rsidRPr="00AC04B2">
              <w:t>Comprehensive IT management policies</w:t>
            </w:r>
          </w:p>
        </w:tc>
      </w:tr>
      <w:tr w:rsidR="001D2B62" w:rsidRPr="00AC04B2" w14:paraId="3AC77378" w14:textId="77777777" w:rsidTr="00976663">
        <w:trPr>
          <w:cantSplit/>
          <w:trHeight w:val="340"/>
        </w:trPr>
        <w:tc>
          <w:tcPr>
            <w:tcW w:w="2840" w:type="dxa"/>
            <w:vMerge/>
            <w:shd w:val="clear" w:color="auto" w:fill="auto"/>
            <w:noWrap/>
            <w:vAlign w:val="center"/>
          </w:tcPr>
          <w:p w14:paraId="5D526513" w14:textId="77777777" w:rsidR="001D2B62" w:rsidRPr="00AC04B2" w:rsidRDefault="001D2B62" w:rsidP="00A207F8">
            <w:pPr>
              <w:pStyle w:val="TableBodySmall"/>
            </w:pPr>
          </w:p>
        </w:tc>
        <w:tc>
          <w:tcPr>
            <w:tcW w:w="7083" w:type="dxa"/>
            <w:shd w:val="clear" w:color="auto" w:fill="auto"/>
          </w:tcPr>
          <w:p w14:paraId="3CFC6BFC" w14:textId="5992A384" w:rsidR="001D2B62" w:rsidRPr="00AC04B2" w:rsidRDefault="00435EB4" w:rsidP="00A207F8">
            <w:pPr>
              <w:pStyle w:val="TableBodySmall"/>
            </w:pPr>
            <w:r w:rsidRPr="00AC04B2">
              <w:t xml:space="preserve">Compliance with Australian </w:t>
            </w:r>
            <w:r w:rsidR="00B84499">
              <w:t>Government</w:t>
            </w:r>
            <w:r w:rsidR="00B84499" w:rsidRPr="00AC04B2">
              <w:t xml:space="preserve"> </w:t>
            </w:r>
            <w:r w:rsidRPr="00AC04B2">
              <w:t>information requirements</w:t>
            </w:r>
          </w:p>
        </w:tc>
      </w:tr>
      <w:tr w:rsidR="001D2B62" w:rsidRPr="00AC04B2" w14:paraId="4E23B6CA" w14:textId="77777777" w:rsidTr="00976663">
        <w:trPr>
          <w:cantSplit/>
          <w:trHeight w:val="340"/>
        </w:trPr>
        <w:tc>
          <w:tcPr>
            <w:tcW w:w="2840" w:type="dxa"/>
            <w:vMerge/>
            <w:shd w:val="clear" w:color="auto" w:fill="auto"/>
            <w:noWrap/>
            <w:vAlign w:val="center"/>
          </w:tcPr>
          <w:p w14:paraId="765FB967" w14:textId="77777777" w:rsidR="001D2B62" w:rsidRPr="00AC04B2" w:rsidRDefault="001D2B62" w:rsidP="00A207F8">
            <w:pPr>
              <w:pStyle w:val="TableBodySmall"/>
            </w:pPr>
          </w:p>
        </w:tc>
        <w:tc>
          <w:tcPr>
            <w:tcW w:w="7083" w:type="dxa"/>
            <w:shd w:val="clear" w:color="auto" w:fill="auto"/>
          </w:tcPr>
          <w:p w14:paraId="5158939C" w14:textId="30482733" w:rsidR="001D2B62" w:rsidRPr="00AC04B2" w:rsidRDefault="00435EB4" w:rsidP="00A207F8">
            <w:pPr>
              <w:pStyle w:val="TableBodySmall"/>
            </w:pPr>
            <w:r w:rsidRPr="00AC04B2">
              <w:t>Use of expert advisers to provide security advice</w:t>
            </w:r>
          </w:p>
        </w:tc>
      </w:tr>
      <w:tr w:rsidR="00D41F1C" w:rsidRPr="00AC04B2" w14:paraId="5B9ED636" w14:textId="77777777" w:rsidTr="00AC550A">
        <w:trPr>
          <w:cantSplit/>
          <w:trHeight w:val="340"/>
        </w:trPr>
        <w:tc>
          <w:tcPr>
            <w:tcW w:w="9923" w:type="dxa"/>
            <w:gridSpan w:val="2"/>
            <w:shd w:val="clear" w:color="auto" w:fill="DFEBF1" w:themeFill="text1" w:themeFillTint="1A"/>
            <w:noWrap/>
            <w:vAlign w:val="center"/>
            <w:hideMark/>
          </w:tcPr>
          <w:p w14:paraId="419A6844" w14:textId="3B393C16" w:rsidR="00D41F1C" w:rsidRPr="00AC04B2" w:rsidRDefault="00D41F1C" w:rsidP="00A207F8">
            <w:pPr>
              <w:pStyle w:val="TableBodySmall"/>
            </w:pPr>
            <w:r w:rsidRPr="00AC04B2">
              <w:t xml:space="preserve">Outsourcing and Procurement </w:t>
            </w:r>
          </w:p>
        </w:tc>
      </w:tr>
      <w:tr w:rsidR="001D2B62" w:rsidRPr="00AC04B2" w14:paraId="6E7062C2" w14:textId="77777777" w:rsidTr="00976663">
        <w:trPr>
          <w:cantSplit/>
          <w:trHeight w:val="340"/>
        </w:trPr>
        <w:tc>
          <w:tcPr>
            <w:tcW w:w="2840" w:type="dxa"/>
            <w:vMerge w:val="restart"/>
            <w:shd w:val="clear" w:color="auto" w:fill="auto"/>
            <w:vAlign w:val="center"/>
          </w:tcPr>
          <w:p w14:paraId="64B965D4" w14:textId="12B1A530" w:rsidR="001D2B62" w:rsidRPr="00AC04B2" w:rsidRDefault="00435EB4" w:rsidP="00A207F8">
            <w:pPr>
              <w:pStyle w:val="TableBodySmall"/>
            </w:pPr>
            <w:r w:rsidRPr="00AC04B2">
              <w:t>P</w:t>
            </w:r>
            <w:r w:rsidR="001D2B62" w:rsidRPr="00AC04B2">
              <w:t>rocurement process and contract outcomes</w:t>
            </w:r>
          </w:p>
        </w:tc>
        <w:tc>
          <w:tcPr>
            <w:tcW w:w="7083" w:type="dxa"/>
            <w:shd w:val="clear" w:color="auto" w:fill="auto"/>
          </w:tcPr>
          <w:p w14:paraId="37846DAD" w14:textId="32D47F35" w:rsidR="001D2B62" w:rsidRPr="00AC04B2" w:rsidRDefault="00435EB4" w:rsidP="00A207F8">
            <w:pPr>
              <w:pStyle w:val="TableBodySmall"/>
            </w:pPr>
            <w:r w:rsidRPr="00AC04B2">
              <w:t>Experts provide procurement advice</w:t>
            </w:r>
          </w:p>
        </w:tc>
      </w:tr>
      <w:tr w:rsidR="001D2B62" w:rsidRPr="00AC04B2" w14:paraId="277E0A5B" w14:textId="77777777" w:rsidTr="00976663">
        <w:trPr>
          <w:cantSplit/>
          <w:trHeight w:val="340"/>
        </w:trPr>
        <w:tc>
          <w:tcPr>
            <w:tcW w:w="2840" w:type="dxa"/>
            <w:vMerge/>
            <w:shd w:val="clear" w:color="auto" w:fill="auto"/>
            <w:vAlign w:val="center"/>
            <w:hideMark/>
          </w:tcPr>
          <w:p w14:paraId="778CC9D4" w14:textId="5F7AAD70" w:rsidR="001D2B62" w:rsidRPr="00AC04B2" w:rsidRDefault="001D2B62" w:rsidP="00A207F8">
            <w:pPr>
              <w:pStyle w:val="TableBodySmall"/>
            </w:pPr>
          </w:p>
        </w:tc>
        <w:tc>
          <w:tcPr>
            <w:tcW w:w="7083" w:type="dxa"/>
            <w:shd w:val="clear" w:color="auto" w:fill="auto"/>
          </w:tcPr>
          <w:p w14:paraId="28CEFAF3" w14:textId="62C37776" w:rsidR="001D2B62" w:rsidRPr="00AC04B2" w:rsidRDefault="00435EB4" w:rsidP="00A207F8">
            <w:pPr>
              <w:pStyle w:val="TableBodySmall"/>
            </w:pPr>
            <w:r w:rsidRPr="00AC04B2">
              <w:t>Level of advice considered based on risk assessments on all projects</w:t>
            </w:r>
          </w:p>
        </w:tc>
      </w:tr>
      <w:tr w:rsidR="001D2B62" w:rsidRPr="00AC04B2" w14:paraId="3AE19596" w14:textId="77777777" w:rsidTr="00976663">
        <w:trPr>
          <w:cantSplit/>
          <w:trHeight w:val="340"/>
        </w:trPr>
        <w:tc>
          <w:tcPr>
            <w:tcW w:w="2840" w:type="dxa"/>
            <w:vMerge/>
            <w:shd w:val="clear" w:color="auto" w:fill="auto"/>
            <w:vAlign w:val="center"/>
          </w:tcPr>
          <w:p w14:paraId="0266D5FD" w14:textId="77777777" w:rsidR="001D2B62" w:rsidRPr="00AC04B2" w:rsidRDefault="001D2B62" w:rsidP="00A207F8">
            <w:pPr>
              <w:pStyle w:val="TableBodySmall"/>
            </w:pPr>
          </w:p>
        </w:tc>
        <w:tc>
          <w:tcPr>
            <w:tcW w:w="7083" w:type="dxa"/>
            <w:shd w:val="clear" w:color="auto" w:fill="auto"/>
          </w:tcPr>
          <w:p w14:paraId="3E2C0C53" w14:textId="55D17847" w:rsidR="001D2B62" w:rsidRPr="00AC04B2" w:rsidRDefault="00435EB4" w:rsidP="00A207F8">
            <w:pPr>
              <w:pStyle w:val="TableBodySmall"/>
            </w:pPr>
            <w:r w:rsidRPr="00AC04B2">
              <w:t>Comprehensive and regularly updated procurement and contract management policies and templates</w:t>
            </w:r>
          </w:p>
        </w:tc>
      </w:tr>
      <w:tr w:rsidR="001D2B62" w:rsidRPr="00AC04B2" w14:paraId="6AC649A9" w14:textId="77777777" w:rsidTr="00976663">
        <w:trPr>
          <w:cantSplit/>
          <w:trHeight w:val="340"/>
        </w:trPr>
        <w:tc>
          <w:tcPr>
            <w:tcW w:w="2840" w:type="dxa"/>
            <w:vMerge/>
            <w:shd w:val="clear" w:color="auto" w:fill="auto"/>
            <w:vAlign w:val="center"/>
          </w:tcPr>
          <w:p w14:paraId="7B346644" w14:textId="77777777" w:rsidR="001D2B62" w:rsidRPr="00AC04B2" w:rsidRDefault="001D2B62" w:rsidP="00A207F8">
            <w:pPr>
              <w:pStyle w:val="TableBodySmall"/>
            </w:pPr>
          </w:p>
        </w:tc>
        <w:tc>
          <w:tcPr>
            <w:tcW w:w="7083" w:type="dxa"/>
            <w:shd w:val="clear" w:color="auto" w:fill="auto"/>
          </w:tcPr>
          <w:p w14:paraId="59F8D919" w14:textId="77777777" w:rsidR="001D2B62" w:rsidRDefault="00435EB4" w:rsidP="00A207F8">
            <w:pPr>
              <w:pStyle w:val="TableBodySmall"/>
            </w:pPr>
            <w:r w:rsidRPr="00AC04B2">
              <w:t>Staff training</w:t>
            </w:r>
          </w:p>
          <w:p w14:paraId="2444498C" w14:textId="6F592572" w:rsidR="00FA3A9F" w:rsidRPr="00AC04B2" w:rsidRDefault="00FA3A9F" w:rsidP="00A207F8">
            <w:pPr>
              <w:pStyle w:val="TableBodySmall"/>
            </w:pPr>
            <w:r>
              <w:t>Conflict of interest and confidentiality undertakings for all parties</w:t>
            </w:r>
          </w:p>
        </w:tc>
      </w:tr>
      <w:tr w:rsidR="00D41F1C" w:rsidRPr="00AC04B2" w14:paraId="635B1F98" w14:textId="77777777" w:rsidTr="00AC550A">
        <w:trPr>
          <w:cantSplit/>
          <w:trHeight w:val="340"/>
        </w:trPr>
        <w:tc>
          <w:tcPr>
            <w:tcW w:w="9923" w:type="dxa"/>
            <w:gridSpan w:val="2"/>
            <w:shd w:val="clear" w:color="auto" w:fill="DFEBF1" w:themeFill="text1" w:themeFillTint="1A"/>
            <w:vAlign w:val="center"/>
            <w:hideMark/>
          </w:tcPr>
          <w:p w14:paraId="296002E0" w14:textId="77777777" w:rsidR="00D41F1C" w:rsidRPr="00AC04B2" w:rsidRDefault="00D41F1C" w:rsidP="00A207F8">
            <w:pPr>
              <w:pStyle w:val="TableBodySmall"/>
            </w:pPr>
            <w:r w:rsidRPr="00AC04B2">
              <w:t>Physical Security</w:t>
            </w:r>
          </w:p>
        </w:tc>
      </w:tr>
      <w:tr w:rsidR="00333DAD" w:rsidRPr="00AC04B2" w14:paraId="687CA52B" w14:textId="77777777" w:rsidTr="00976663">
        <w:trPr>
          <w:cantSplit/>
          <w:trHeight w:val="340"/>
        </w:trPr>
        <w:tc>
          <w:tcPr>
            <w:tcW w:w="2840" w:type="dxa"/>
            <w:vMerge w:val="restart"/>
            <w:shd w:val="clear" w:color="auto" w:fill="auto"/>
            <w:vAlign w:val="center"/>
            <w:hideMark/>
          </w:tcPr>
          <w:p w14:paraId="39D7EA5A" w14:textId="1903BD95" w:rsidR="00333DAD" w:rsidRPr="00AC04B2" w:rsidRDefault="00333DAD" w:rsidP="00A207F8">
            <w:pPr>
              <w:pStyle w:val="TableBodySmall"/>
            </w:pPr>
            <w:r w:rsidRPr="00AC04B2">
              <w:t>Physical security of staff, visitors or contractors</w:t>
            </w:r>
            <w:r w:rsidR="006819A8" w:rsidRPr="00AC04B2">
              <w:t xml:space="preserve"> and </w:t>
            </w:r>
            <w:r w:rsidRPr="00AC04B2">
              <w:t>asset security</w:t>
            </w:r>
          </w:p>
        </w:tc>
        <w:tc>
          <w:tcPr>
            <w:tcW w:w="7083" w:type="dxa"/>
            <w:shd w:val="clear" w:color="auto" w:fill="auto"/>
          </w:tcPr>
          <w:p w14:paraId="026B4682" w14:textId="1DECF258" w:rsidR="00333DAD" w:rsidRPr="00AC04B2" w:rsidRDefault="00435EB4" w:rsidP="00A207F8">
            <w:pPr>
              <w:pStyle w:val="TableBodySmall"/>
            </w:pPr>
            <w:r w:rsidRPr="00AC04B2">
              <w:t>Staff have annual security training</w:t>
            </w:r>
          </w:p>
        </w:tc>
      </w:tr>
      <w:tr w:rsidR="00333DAD" w:rsidRPr="00AC04B2" w14:paraId="63040EDC" w14:textId="77777777" w:rsidTr="00976663">
        <w:trPr>
          <w:cantSplit/>
          <w:trHeight w:val="340"/>
        </w:trPr>
        <w:tc>
          <w:tcPr>
            <w:tcW w:w="2840" w:type="dxa"/>
            <w:vMerge/>
            <w:tcBorders>
              <w:bottom w:val="single" w:sz="4" w:space="0" w:color="65A0BA" w:themeColor="text2" w:themeTint="80"/>
            </w:tcBorders>
            <w:shd w:val="clear" w:color="auto" w:fill="auto"/>
            <w:vAlign w:val="center"/>
          </w:tcPr>
          <w:p w14:paraId="7398D692" w14:textId="77777777" w:rsidR="00333DAD" w:rsidRPr="00AC04B2" w:rsidRDefault="00333DAD" w:rsidP="00A207F8">
            <w:pPr>
              <w:pStyle w:val="TableBodySmall"/>
            </w:pPr>
          </w:p>
        </w:tc>
        <w:tc>
          <w:tcPr>
            <w:tcW w:w="7083" w:type="dxa"/>
            <w:tcBorders>
              <w:bottom w:val="single" w:sz="4" w:space="0" w:color="65A0BA" w:themeColor="text2" w:themeTint="80"/>
            </w:tcBorders>
            <w:shd w:val="clear" w:color="auto" w:fill="auto"/>
          </w:tcPr>
          <w:p w14:paraId="21196E0F" w14:textId="77777777" w:rsidR="00333DAD" w:rsidRDefault="00435EB4" w:rsidP="00A207F8">
            <w:pPr>
              <w:pStyle w:val="TableBodySmall"/>
            </w:pPr>
            <w:r w:rsidRPr="00AC04B2">
              <w:t>Security checks undertaken</w:t>
            </w:r>
          </w:p>
          <w:p w14:paraId="7C9FF807" w14:textId="020868A0" w:rsidR="00FA3A9F" w:rsidRDefault="00FA3A9F" w:rsidP="00A207F8">
            <w:pPr>
              <w:pStyle w:val="TableBodySmall"/>
            </w:pPr>
            <w:r>
              <w:t xml:space="preserve">Use of asset </w:t>
            </w:r>
            <w:r w:rsidR="00BA1FAA">
              <w:t>registers</w:t>
            </w:r>
          </w:p>
          <w:p w14:paraId="496C83AB" w14:textId="7F88D35E" w:rsidR="00FA3A9F" w:rsidRPr="00AC04B2" w:rsidRDefault="00FA3A9F" w:rsidP="00A207F8">
            <w:pPr>
              <w:pStyle w:val="TableBodySmall"/>
            </w:pPr>
            <w:r>
              <w:t>Security risk register in place</w:t>
            </w:r>
          </w:p>
        </w:tc>
      </w:tr>
    </w:tbl>
    <w:p w14:paraId="76F62248" w14:textId="77777777" w:rsidR="00326C20" w:rsidRDefault="00326C20" w:rsidP="008550D6">
      <w:pPr>
        <w:pStyle w:val="H2"/>
      </w:pPr>
      <w:bookmarkStart w:id="171" w:name="_Appendix_1"/>
      <w:bookmarkStart w:id="172" w:name="_Appendix_2"/>
      <w:bookmarkStart w:id="173" w:name="_Toc133416946"/>
      <w:bookmarkEnd w:id="171"/>
      <w:bookmarkEnd w:id="172"/>
    </w:p>
    <w:p w14:paraId="7BAEBF1A" w14:textId="198DFB80" w:rsidR="008550D6" w:rsidRPr="00AC04B2" w:rsidRDefault="008550D6" w:rsidP="008550D6">
      <w:pPr>
        <w:pStyle w:val="H2"/>
      </w:pPr>
      <w:r w:rsidRPr="00AC04B2">
        <w:lastRenderedPageBreak/>
        <w:t>3.5</w:t>
      </w:r>
      <w:r w:rsidRPr="00AC04B2">
        <w:tab/>
        <w:t>Performance measures</w:t>
      </w:r>
      <w:bookmarkEnd w:id="173"/>
    </w:p>
    <w:p w14:paraId="4DCD0E5D" w14:textId="62B5223D" w:rsidR="00040A82" w:rsidRPr="00AC04B2" w:rsidRDefault="008550D6" w:rsidP="00F00D91">
      <w:pPr>
        <w:pStyle w:val="Body"/>
      </w:pPr>
      <w:r w:rsidRPr="00AC04B2">
        <w:t xml:space="preserve">Section 16EA of the </w:t>
      </w:r>
      <w:r w:rsidRPr="00AC04B2">
        <w:rPr>
          <w:i/>
          <w:iCs/>
        </w:rPr>
        <w:t>Public Governance, Performance and Accountability Rule 2014</w:t>
      </w:r>
      <w:r w:rsidRPr="00AC04B2">
        <w:t xml:space="preserve"> (the PGPA Rule) stipulates the requirements around performance measures for </w:t>
      </w:r>
      <w:r w:rsidR="005C1CDA">
        <w:t>Australian Government</w:t>
      </w:r>
      <w:r w:rsidR="005C1CDA" w:rsidRPr="00AC04B2" w:rsidDel="005C1CDA">
        <w:t xml:space="preserve"> </w:t>
      </w:r>
      <w:r w:rsidRPr="00AC04B2">
        <w:t>entities</w:t>
      </w:r>
      <w:r w:rsidR="00040A82" w:rsidRPr="00AC04B2">
        <w:t>. The performance measures for a</w:t>
      </w:r>
      <w:r w:rsidR="005C1CDA">
        <w:t>n</w:t>
      </w:r>
      <w:r w:rsidR="00040A82" w:rsidRPr="00AC04B2">
        <w:t xml:space="preserve"> </w:t>
      </w:r>
      <w:r w:rsidR="005C1CDA">
        <w:t>Australian Government</w:t>
      </w:r>
      <w:r w:rsidR="005C1CDA" w:rsidRPr="00AC04B2" w:rsidDel="005C1CDA">
        <w:t xml:space="preserve"> </w:t>
      </w:r>
      <w:r w:rsidR="00040A82" w:rsidRPr="00AC04B2">
        <w:t>entity are considered to meet the requirements of the PGPA Rule if, in the context of the entity’s purposes or key activities, they:</w:t>
      </w:r>
    </w:p>
    <w:p w14:paraId="27E18FA9" w14:textId="1C44C112" w:rsidR="00040A82" w:rsidRPr="00AC04B2" w:rsidRDefault="00040A82" w:rsidP="007B2569">
      <w:pPr>
        <w:pStyle w:val="Body"/>
        <w:numPr>
          <w:ilvl w:val="0"/>
          <w:numId w:val="8"/>
        </w:numPr>
      </w:pPr>
      <w:r w:rsidRPr="00AC04B2">
        <w:t>relate directly to one or more of those purposes or key activities;</w:t>
      </w:r>
    </w:p>
    <w:p w14:paraId="68F08C42" w14:textId="2BB24898" w:rsidR="00040A82" w:rsidRPr="00AC04B2" w:rsidRDefault="00040A82" w:rsidP="007B2569">
      <w:pPr>
        <w:pStyle w:val="Body"/>
        <w:numPr>
          <w:ilvl w:val="0"/>
          <w:numId w:val="8"/>
        </w:numPr>
      </w:pPr>
      <w:r w:rsidRPr="00AC04B2">
        <w:t>use sources of information and methodologies that are reliable and verifiable;</w:t>
      </w:r>
    </w:p>
    <w:p w14:paraId="5F01D54C" w14:textId="635A408A" w:rsidR="00040A82" w:rsidRPr="00AC04B2" w:rsidRDefault="00040A82" w:rsidP="007B2569">
      <w:pPr>
        <w:pStyle w:val="Body"/>
        <w:numPr>
          <w:ilvl w:val="0"/>
          <w:numId w:val="8"/>
        </w:numPr>
      </w:pPr>
      <w:r w:rsidRPr="00AC04B2">
        <w:t>provide an unbiased basis for the measurement and assessment of the entity’s performance;</w:t>
      </w:r>
    </w:p>
    <w:p w14:paraId="323588CD" w14:textId="54D3DE20" w:rsidR="00040A82" w:rsidRPr="00AC04B2" w:rsidRDefault="00040A82" w:rsidP="007B2569">
      <w:pPr>
        <w:pStyle w:val="Body"/>
        <w:numPr>
          <w:ilvl w:val="0"/>
          <w:numId w:val="8"/>
        </w:numPr>
      </w:pPr>
      <w:r w:rsidRPr="00AC04B2">
        <w:t>where reasonably practicable, comprise a mix of qualitative and quantitative measures;</w:t>
      </w:r>
    </w:p>
    <w:p w14:paraId="07914F32" w14:textId="2F02C6EA" w:rsidR="00040A82" w:rsidRPr="00AC04B2" w:rsidRDefault="00040A82" w:rsidP="007B2569">
      <w:pPr>
        <w:pStyle w:val="Body"/>
        <w:numPr>
          <w:ilvl w:val="0"/>
          <w:numId w:val="8"/>
        </w:numPr>
      </w:pPr>
      <w:r w:rsidRPr="00AC04B2">
        <w:t>include measures of the entity’s outputs, efficiency and effectiveness if those things are appropriate measures of the entity’s performance; and</w:t>
      </w:r>
    </w:p>
    <w:p w14:paraId="57318422" w14:textId="2EAB9574" w:rsidR="00040A82" w:rsidRPr="00AC04B2" w:rsidRDefault="00040A82" w:rsidP="007B2569">
      <w:pPr>
        <w:pStyle w:val="Body"/>
        <w:numPr>
          <w:ilvl w:val="0"/>
          <w:numId w:val="8"/>
        </w:numPr>
      </w:pPr>
      <w:r w:rsidRPr="00AC04B2">
        <w:t>provide a basis for an assessment of the entity’s performance over time.</w:t>
      </w:r>
    </w:p>
    <w:p w14:paraId="0FD498C8" w14:textId="000E1277" w:rsidR="008550D6" w:rsidRPr="00AC04B2" w:rsidRDefault="008550D6" w:rsidP="00F00D91">
      <w:pPr>
        <w:pStyle w:val="Body"/>
      </w:pPr>
      <w:r w:rsidRPr="00AC04B2">
        <w:t xml:space="preserve">The </w:t>
      </w:r>
      <w:r w:rsidR="004F685D">
        <w:t xml:space="preserve">IHACPA </w:t>
      </w:r>
      <w:r w:rsidRPr="00AC04B2">
        <w:t>Work Program and Corporate Plan for 202</w:t>
      </w:r>
      <w:r w:rsidR="002C05D1">
        <w:t>4</w:t>
      </w:r>
      <w:r w:rsidRPr="00AC04B2">
        <w:t>–2</w:t>
      </w:r>
      <w:r w:rsidR="002C05D1">
        <w:t>5</w:t>
      </w:r>
      <w:r w:rsidRPr="00AC04B2">
        <w:t xml:space="preserve"> defines IHACPA’s strategic objectives and the associated key deliverables for the 202</w:t>
      </w:r>
      <w:r w:rsidR="002C05D1">
        <w:t>4</w:t>
      </w:r>
      <w:r w:rsidRPr="00AC04B2">
        <w:t>–2</w:t>
      </w:r>
      <w:r w:rsidR="002C05D1">
        <w:t>5</w:t>
      </w:r>
      <w:r w:rsidRPr="00AC04B2">
        <w:t xml:space="preserve"> reporting period. IHACPA</w:t>
      </w:r>
      <w:r w:rsidR="00040A82" w:rsidRPr="00AC04B2">
        <w:t xml:space="preserve">’s performance over the reporting period will be assessable against the performance measures detailed in </w:t>
      </w:r>
      <w:r w:rsidR="00040A82" w:rsidRPr="00AC04B2">
        <w:rPr>
          <w:b/>
          <w:bCs/>
        </w:rPr>
        <w:t>Table 3</w:t>
      </w:r>
      <w:r w:rsidR="00040A82" w:rsidRPr="00AC04B2">
        <w:t>, as per the requirements under the PGPA Rule</w:t>
      </w:r>
      <w:r w:rsidRPr="00AC04B2">
        <w:t>.</w:t>
      </w:r>
    </w:p>
    <w:p w14:paraId="79D6E783" w14:textId="623EDD9E" w:rsidR="00040A82" w:rsidRPr="007301E2" w:rsidRDefault="00040A82" w:rsidP="00A207F8">
      <w:pPr>
        <w:pStyle w:val="TableHeading"/>
        <w:rPr>
          <w:color w:val="auto"/>
        </w:rPr>
      </w:pPr>
      <w:r w:rsidRPr="007301E2">
        <w:rPr>
          <w:color w:val="auto"/>
        </w:rPr>
        <w:t>Table 3. Performance measures</w:t>
      </w:r>
    </w:p>
    <w:tbl>
      <w:tblPr>
        <w:tblStyle w:val="TableGrid"/>
        <w:tblW w:w="4987"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3261"/>
        <w:gridCol w:w="6805"/>
      </w:tblGrid>
      <w:tr w:rsidR="007301E2" w:rsidRPr="00AC04B2" w14:paraId="252A47AC" w14:textId="77777777" w:rsidTr="007301E2">
        <w:tc>
          <w:tcPr>
            <w:tcW w:w="1620" w:type="pct"/>
            <w:shd w:val="clear" w:color="auto" w:fill="104F99"/>
            <w:vAlign w:val="center"/>
            <w:hideMark/>
          </w:tcPr>
          <w:p w14:paraId="0DB8B2F0" w14:textId="75A718D6" w:rsidR="00040A82" w:rsidRPr="00AC04B2" w:rsidRDefault="00040A82" w:rsidP="00A207F8">
            <w:pPr>
              <w:pStyle w:val="TableHeading"/>
            </w:pPr>
            <w:r w:rsidRPr="00AC04B2">
              <w:t xml:space="preserve">Key </w:t>
            </w:r>
            <w:r w:rsidR="0002022E" w:rsidRPr="00AC04B2">
              <w:t>p</w:t>
            </w:r>
            <w:r w:rsidRPr="00AC04B2">
              <w:t xml:space="preserve">erformance </w:t>
            </w:r>
            <w:r w:rsidR="0002022E" w:rsidRPr="00AC04B2">
              <w:t>i</w:t>
            </w:r>
            <w:r w:rsidRPr="00AC04B2">
              <w:t>ndicator</w:t>
            </w:r>
            <w:r w:rsidR="00AA442D" w:rsidRPr="00AC04B2">
              <w:t>s</w:t>
            </w:r>
          </w:p>
        </w:tc>
        <w:tc>
          <w:tcPr>
            <w:tcW w:w="3380" w:type="pct"/>
            <w:shd w:val="clear" w:color="auto" w:fill="104F99"/>
            <w:vAlign w:val="center"/>
            <w:hideMark/>
          </w:tcPr>
          <w:p w14:paraId="01B5592A" w14:textId="2670AE99" w:rsidR="00040A82" w:rsidRPr="00AC04B2" w:rsidRDefault="0002022E" w:rsidP="00A207F8">
            <w:pPr>
              <w:pStyle w:val="TableHeading"/>
            </w:pPr>
            <w:r w:rsidRPr="00AC04B2">
              <w:t>Performance m</w:t>
            </w:r>
            <w:r w:rsidR="00040A82" w:rsidRPr="00AC04B2">
              <w:t>easure</w:t>
            </w:r>
            <w:r w:rsidR="00AA442D" w:rsidRPr="00AC04B2">
              <w:t>s</w:t>
            </w:r>
          </w:p>
        </w:tc>
      </w:tr>
      <w:tr w:rsidR="00640198" w:rsidRPr="00AC04B2" w14:paraId="1F1ABAB3" w14:textId="77777777" w:rsidTr="007301E2">
        <w:trPr>
          <w:trHeight w:val="510"/>
        </w:trPr>
        <w:tc>
          <w:tcPr>
            <w:tcW w:w="1620" w:type="pct"/>
            <w:vMerge w:val="restart"/>
            <w:tcBorders>
              <w:top w:val="single" w:sz="4" w:space="0" w:color="auto"/>
              <w:left w:val="nil"/>
              <w:right w:val="single" w:sz="4" w:space="0" w:color="auto"/>
            </w:tcBorders>
            <w:vAlign w:val="center"/>
          </w:tcPr>
          <w:p w14:paraId="592EAA9A" w14:textId="3E231C2C" w:rsidR="00640198" w:rsidRPr="00AC04B2" w:rsidRDefault="00960C72" w:rsidP="00A207F8">
            <w:pPr>
              <w:pStyle w:val="TableBodySmall"/>
            </w:pPr>
            <w:r w:rsidRPr="00AC04B2">
              <w:t>Support public hospitals and aged care services to improve efficiency in, and access to, services through the provision of independent pricing determinations and advice and designing pricing systems that promote sustainable and high-quality care</w:t>
            </w:r>
            <w:r w:rsidR="00E8539E">
              <w:t>.</w:t>
            </w:r>
          </w:p>
        </w:tc>
        <w:tc>
          <w:tcPr>
            <w:tcW w:w="3380" w:type="pct"/>
            <w:tcBorders>
              <w:top w:val="single" w:sz="4" w:space="0" w:color="auto"/>
              <w:left w:val="single" w:sz="4" w:space="0" w:color="auto"/>
              <w:bottom w:val="single" w:sz="4" w:space="0" w:color="auto"/>
              <w:right w:val="nil"/>
            </w:tcBorders>
          </w:tcPr>
          <w:p w14:paraId="6E53C789" w14:textId="17CCBF53" w:rsidR="00640198" w:rsidRPr="00AC04B2" w:rsidRDefault="00640198" w:rsidP="00A207F8">
            <w:pPr>
              <w:pStyle w:val="TableBodySmall"/>
            </w:pPr>
            <w:r w:rsidRPr="00AC04B2">
              <w:t xml:space="preserve">Develop the annual Pricing Framework for Australian Public Hospital Services and </w:t>
            </w:r>
            <w:r w:rsidR="00960C72" w:rsidRPr="00AC04B2">
              <w:t xml:space="preserve">the annual </w:t>
            </w:r>
            <w:r w:rsidRPr="00AC04B2">
              <w:t xml:space="preserve">Pricing Framework for Australian </w:t>
            </w:r>
            <w:r w:rsidR="009226A2">
              <w:t xml:space="preserve">Residential </w:t>
            </w:r>
            <w:r w:rsidRPr="00AC04B2">
              <w:t>Aged Care Services to communicate IHACPA’s pricing decisions and underpinning methodologies.</w:t>
            </w:r>
          </w:p>
        </w:tc>
      </w:tr>
      <w:tr w:rsidR="00640198" w:rsidRPr="00AC04B2" w14:paraId="65D3C5EC" w14:textId="77777777" w:rsidTr="007301E2">
        <w:trPr>
          <w:trHeight w:val="510"/>
        </w:trPr>
        <w:tc>
          <w:tcPr>
            <w:tcW w:w="1620" w:type="pct"/>
            <w:vMerge/>
            <w:tcBorders>
              <w:left w:val="nil"/>
              <w:right w:val="single" w:sz="4" w:space="0" w:color="auto"/>
            </w:tcBorders>
            <w:vAlign w:val="center"/>
            <w:hideMark/>
          </w:tcPr>
          <w:p w14:paraId="620C59CA" w14:textId="6E4DFCB0" w:rsidR="00640198" w:rsidRPr="00AC04B2" w:rsidRDefault="00640198" w:rsidP="00A207F8">
            <w:pPr>
              <w:pStyle w:val="TableBodySmall"/>
            </w:pPr>
          </w:p>
        </w:tc>
        <w:tc>
          <w:tcPr>
            <w:tcW w:w="3380" w:type="pct"/>
            <w:tcBorders>
              <w:top w:val="single" w:sz="4" w:space="0" w:color="auto"/>
              <w:left w:val="single" w:sz="4" w:space="0" w:color="auto"/>
              <w:bottom w:val="single" w:sz="4" w:space="0" w:color="auto"/>
              <w:right w:val="nil"/>
            </w:tcBorders>
            <w:hideMark/>
          </w:tcPr>
          <w:p w14:paraId="0EDD9618" w14:textId="27DFECCE" w:rsidR="00640198" w:rsidRPr="00AC04B2" w:rsidRDefault="00640198" w:rsidP="00A207F8">
            <w:pPr>
              <w:pStyle w:val="TableBodySmall"/>
            </w:pPr>
            <w:r w:rsidRPr="00AC04B2">
              <w:t xml:space="preserve">Develop the annual </w:t>
            </w:r>
            <w:r w:rsidR="008C5AC8">
              <w:t>NEP</w:t>
            </w:r>
            <w:r w:rsidRPr="00AC04B2">
              <w:t xml:space="preserve"> and </w:t>
            </w:r>
            <w:r w:rsidR="008C5AC8">
              <w:t>NEC</w:t>
            </w:r>
            <w:r w:rsidRPr="00AC04B2">
              <w:t xml:space="preserve"> Determinations for public hospital services </w:t>
            </w:r>
            <w:r w:rsidR="00960C72" w:rsidRPr="00AC04B2">
              <w:t>and the annual pricing advice for aged care</w:t>
            </w:r>
            <w:r w:rsidRPr="00AC04B2">
              <w:t>.</w:t>
            </w:r>
          </w:p>
        </w:tc>
      </w:tr>
      <w:tr w:rsidR="00640198" w:rsidRPr="00AC04B2" w14:paraId="0C7F6306" w14:textId="77777777" w:rsidTr="007301E2">
        <w:trPr>
          <w:trHeight w:val="192"/>
        </w:trPr>
        <w:tc>
          <w:tcPr>
            <w:tcW w:w="1620" w:type="pct"/>
            <w:vMerge/>
            <w:tcBorders>
              <w:left w:val="nil"/>
              <w:right w:val="single" w:sz="4" w:space="0" w:color="auto"/>
            </w:tcBorders>
            <w:vAlign w:val="center"/>
            <w:hideMark/>
          </w:tcPr>
          <w:p w14:paraId="085CD936" w14:textId="1B1B7A27" w:rsidR="00640198" w:rsidRPr="00AC04B2" w:rsidRDefault="00640198" w:rsidP="00A207F8">
            <w:pPr>
              <w:pStyle w:val="TableBodySmall"/>
              <w:rPr>
                <w:lang w:val="en-PH"/>
              </w:rPr>
            </w:pPr>
          </w:p>
        </w:tc>
        <w:tc>
          <w:tcPr>
            <w:tcW w:w="3380" w:type="pct"/>
            <w:tcBorders>
              <w:top w:val="single" w:sz="4" w:space="0" w:color="auto"/>
              <w:left w:val="nil"/>
              <w:right w:val="nil"/>
            </w:tcBorders>
            <w:hideMark/>
          </w:tcPr>
          <w:p w14:paraId="6D05A45D" w14:textId="5AEBAD08" w:rsidR="00640198" w:rsidRPr="00AC04B2" w:rsidRDefault="00640198" w:rsidP="00A207F8">
            <w:pPr>
              <w:pStyle w:val="TableBodySmall"/>
            </w:pPr>
            <w:r w:rsidRPr="00AC04B2">
              <w:t>Implement national activity based funding, where practicable, underpinned by a mix of qualitative and quantitative measures to contribute to the continual improvement of the national pricing model</w:t>
            </w:r>
            <w:r w:rsidR="000D0126" w:rsidRPr="00AC04B2">
              <w:t xml:space="preserve"> for public hospital services and for aged care</w:t>
            </w:r>
            <w:r w:rsidRPr="00AC04B2">
              <w:t>.</w:t>
            </w:r>
          </w:p>
        </w:tc>
      </w:tr>
      <w:tr w:rsidR="00640198" w:rsidRPr="00AC04B2" w14:paraId="6AB17AF8" w14:textId="77777777" w:rsidTr="007301E2">
        <w:trPr>
          <w:trHeight w:val="510"/>
        </w:trPr>
        <w:tc>
          <w:tcPr>
            <w:tcW w:w="1620" w:type="pct"/>
            <w:vMerge/>
            <w:tcBorders>
              <w:left w:val="nil"/>
              <w:right w:val="single" w:sz="4" w:space="0" w:color="auto"/>
            </w:tcBorders>
            <w:vAlign w:val="center"/>
            <w:hideMark/>
          </w:tcPr>
          <w:p w14:paraId="77840117" w14:textId="0F218EA8" w:rsidR="00640198" w:rsidRPr="00AC04B2" w:rsidRDefault="00640198" w:rsidP="00A207F8">
            <w:pPr>
              <w:pStyle w:val="TableBodySmall"/>
            </w:pPr>
          </w:p>
        </w:tc>
        <w:tc>
          <w:tcPr>
            <w:tcW w:w="3380" w:type="pct"/>
            <w:tcBorders>
              <w:top w:val="single" w:sz="4" w:space="0" w:color="auto"/>
              <w:left w:val="nil"/>
              <w:bottom w:val="single" w:sz="4" w:space="0" w:color="auto"/>
              <w:right w:val="nil"/>
            </w:tcBorders>
            <w:hideMark/>
          </w:tcPr>
          <w:p w14:paraId="1E2ACAC4" w14:textId="6522C90C" w:rsidR="00640198" w:rsidRPr="00AC04B2" w:rsidRDefault="000D0126" w:rsidP="00A207F8">
            <w:pPr>
              <w:pStyle w:val="TableBodySmall"/>
            </w:pPr>
            <w:r w:rsidRPr="00AC04B2">
              <w:t xml:space="preserve">Develop and refine </w:t>
            </w:r>
            <w:r w:rsidR="00640198" w:rsidRPr="00AC04B2">
              <w:t xml:space="preserve">the activity based funding classifications, data collections and coding standards </w:t>
            </w:r>
            <w:r w:rsidRPr="00AC04B2">
              <w:t>for public hospital services and aged care</w:t>
            </w:r>
            <w:r w:rsidR="00640198" w:rsidRPr="00AC04B2">
              <w:t>.</w:t>
            </w:r>
          </w:p>
        </w:tc>
      </w:tr>
      <w:tr w:rsidR="00E8539E" w:rsidRPr="00AC04B2" w14:paraId="42D30024" w14:textId="77777777" w:rsidTr="007301E2">
        <w:trPr>
          <w:trHeight w:val="510"/>
        </w:trPr>
        <w:tc>
          <w:tcPr>
            <w:tcW w:w="1620" w:type="pct"/>
            <w:vMerge/>
            <w:tcBorders>
              <w:left w:val="nil"/>
              <w:right w:val="single" w:sz="4" w:space="0" w:color="auto"/>
            </w:tcBorders>
            <w:vAlign w:val="center"/>
          </w:tcPr>
          <w:p w14:paraId="0244B981" w14:textId="77777777" w:rsidR="00E8539E" w:rsidRPr="00AC04B2" w:rsidRDefault="00E8539E" w:rsidP="00A207F8">
            <w:pPr>
              <w:pStyle w:val="TableBodySmall"/>
            </w:pPr>
          </w:p>
        </w:tc>
        <w:tc>
          <w:tcPr>
            <w:tcW w:w="3380" w:type="pct"/>
            <w:tcBorders>
              <w:top w:val="single" w:sz="4" w:space="0" w:color="auto"/>
              <w:left w:val="nil"/>
              <w:bottom w:val="single" w:sz="4" w:space="0" w:color="auto"/>
              <w:right w:val="nil"/>
            </w:tcBorders>
          </w:tcPr>
          <w:p w14:paraId="218D3FBD" w14:textId="6E47A55B" w:rsidR="00E8539E" w:rsidRPr="00AC04B2" w:rsidRDefault="00E8539E" w:rsidP="00A207F8">
            <w:pPr>
              <w:pStyle w:val="TableBodySmall"/>
            </w:pPr>
            <w:r>
              <w:t xml:space="preserve">Ensure effective collection and processing of costing information to support activity based funding outcomes for public hospital and aged care services. </w:t>
            </w:r>
          </w:p>
        </w:tc>
      </w:tr>
      <w:tr w:rsidR="00640198" w:rsidRPr="00AC04B2" w14:paraId="7740C407" w14:textId="77777777" w:rsidTr="007301E2">
        <w:trPr>
          <w:trHeight w:val="510"/>
        </w:trPr>
        <w:tc>
          <w:tcPr>
            <w:tcW w:w="1620" w:type="pct"/>
            <w:vMerge/>
            <w:tcBorders>
              <w:left w:val="nil"/>
              <w:right w:val="single" w:sz="4" w:space="0" w:color="auto"/>
            </w:tcBorders>
            <w:vAlign w:val="center"/>
            <w:hideMark/>
          </w:tcPr>
          <w:p w14:paraId="35C77E05" w14:textId="77777777" w:rsidR="00640198" w:rsidRPr="00AC04B2" w:rsidRDefault="00640198" w:rsidP="000F3E16">
            <w:pPr>
              <w:spacing w:before="80" w:after="80"/>
              <w:rPr>
                <w:sz w:val="18"/>
                <w:szCs w:val="18"/>
                <w:lang w:val="en-PH"/>
              </w:rPr>
            </w:pPr>
          </w:p>
        </w:tc>
        <w:tc>
          <w:tcPr>
            <w:tcW w:w="3380" w:type="pct"/>
            <w:tcBorders>
              <w:top w:val="single" w:sz="4" w:space="0" w:color="auto"/>
              <w:left w:val="nil"/>
              <w:bottom w:val="single" w:sz="4" w:space="0" w:color="auto"/>
              <w:right w:val="nil"/>
            </w:tcBorders>
            <w:hideMark/>
          </w:tcPr>
          <w:p w14:paraId="413A5E4F" w14:textId="56D32345" w:rsidR="00640198" w:rsidRPr="00AC04B2" w:rsidRDefault="00640198" w:rsidP="00A207F8">
            <w:pPr>
              <w:pStyle w:val="TableBodySmall"/>
            </w:pPr>
            <w:r w:rsidRPr="00AC04B2">
              <w:t>Analyse activity and cost data for public hospital services to inform an evidence-based methodology for implementing and reviewing safety and quality improvements.</w:t>
            </w:r>
          </w:p>
        </w:tc>
      </w:tr>
      <w:tr w:rsidR="00640198" w:rsidRPr="00AC04B2" w14:paraId="6F2CBA15" w14:textId="77777777" w:rsidTr="007301E2">
        <w:trPr>
          <w:trHeight w:val="510"/>
        </w:trPr>
        <w:tc>
          <w:tcPr>
            <w:tcW w:w="1620" w:type="pct"/>
            <w:vMerge/>
            <w:tcBorders>
              <w:left w:val="nil"/>
              <w:bottom w:val="single" w:sz="4" w:space="0" w:color="auto"/>
              <w:right w:val="single" w:sz="4" w:space="0" w:color="auto"/>
            </w:tcBorders>
            <w:vAlign w:val="center"/>
            <w:hideMark/>
          </w:tcPr>
          <w:p w14:paraId="0AAD3DC0" w14:textId="77777777" w:rsidR="00640198" w:rsidRPr="00AC04B2" w:rsidRDefault="00640198" w:rsidP="000F3E16">
            <w:pPr>
              <w:spacing w:before="80" w:after="80"/>
              <w:rPr>
                <w:sz w:val="18"/>
                <w:szCs w:val="18"/>
                <w:lang w:val="en-PH"/>
              </w:rPr>
            </w:pPr>
          </w:p>
        </w:tc>
        <w:tc>
          <w:tcPr>
            <w:tcW w:w="3380" w:type="pct"/>
            <w:tcBorders>
              <w:top w:val="single" w:sz="4" w:space="0" w:color="auto"/>
              <w:left w:val="nil"/>
              <w:bottom w:val="single" w:sz="4" w:space="0" w:color="auto"/>
              <w:right w:val="nil"/>
            </w:tcBorders>
            <w:hideMark/>
          </w:tcPr>
          <w:p w14:paraId="3326B64F" w14:textId="2A3B8AD2" w:rsidR="00640198" w:rsidRPr="00AC04B2" w:rsidRDefault="00640198" w:rsidP="00A207F8">
            <w:pPr>
              <w:pStyle w:val="TableBodySmall"/>
            </w:pPr>
            <w:r w:rsidRPr="00AC04B2">
              <w:t xml:space="preserve">Provide the </w:t>
            </w:r>
            <w:r w:rsidR="007A1B00">
              <w:t>Australian Government</w:t>
            </w:r>
            <w:r w:rsidRPr="00AC04B2">
              <w:t xml:space="preserve"> and state and territory governments with IHACPA’s forward looking work program and data requirements.</w:t>
            </w:r>
          </w:p>
        </w:tc>
      </w:tr>
      <w:tr w:rsidR="0002022E" w:rsidRPr="00AC04B2" w14:paraId="3F70EAFD" w14:textId="77777777" w:rsidTr="00FC10A1">
        <w:trPr>
          <w:cantSplit/>
          <w:trHeight w:val="510"/>
        </w:trPr>
        <w:tc>
          <w:tcPr>
            <w:tcW w:w="1620" w:type="pct"/>
            <w:vMerge w:val="restart"/>
            <w:tcBorders>
              <w:top w:val="single" w:sz="4" w:space="0" w:color="auto"/>
              <w:left w:val="nil"/>
              <w:right w:val="single" w:sz="4" w:space="0" w:color="auto"/>
            </w:tcBorders>
            <w:vAlign w:val="center"/>
          </w:tcPr>
          <w:p w14:paraId="0D00D2DC" w14:textId="134B2B7E" w:rsidR="0002022E" w:rsidRPr="007301E2" w:rsidRDefault="0002022E" w:rsidP="00FC10A1">
            <w:pPr>
              <w:keepNext/>
              <w:spacing w:before="80" w:after="80"/>
              <w:rPr>
                <w:rFonts w:ascii="Arial" w:hAnsi="Arial" w:cs="Arial"/>
                <w:sz w:val="18"/>
                <w:szCs w:val="18"/>
                <w:lang w:val="en-PH"/>
              </w:rPr>
            </w:pPr>
            <w:r w:rsidRPr="007301E2">
              <w:rPr>
                <w:rFonts w:ascii="Arial" w:hAnsi="Arial" w:cs="Arial"/>
                <w:sz w:val="20"/>
                <w:szCs w:val="20"/>
                <w:lang w:val="en-PH"/>
              </w:rPr>
              <w:t>Fulfil the reporting and performance requirements under the PGPA Rule.</w:t>
            </w:r>
          </w:p>
        </w:tc>
        <w:tc>
          <w:tcPr>
            <w:tcW w:w="3380" w:type="pct"/>
            <w:tcBorders>
              <w:top w:val="single" w:sz="4" w:space="0" w:color="auto"/>
              <w:left w:val="nil"/>
              <w:bottom w:val="single" w:sz="4" w:space="0" w:color="auto"/>
              <w:right w:val="nil"/>
            </w:tcBorders>
          </w:tcPr>
          <w:p w14:paraId="73A5EC8E" w14:textId="4931EB61" w:rsidR="0002022E" w:rsidRPr="00AC04B2" w:rsidRDefault="0002022E" w:rsidP="00FC10A1">
            <w:pPr>
              <w:pStyle w:val="TableBodySmall"/>
              <w:keepNext/>
            </w:pPr>
            <w:r w:rsidRPr="00AC04B2">
              <w:t xml:space="preserve">Undertake regular consultation with the </w:t>
            </w:r>
            <w:r w:rsidR="007A1B00">
              <w:t>Australian Government</w:t>
            </w:r>
            <w:r w:rsidR="007A1B00" w:rsidRPr="00AC04B2" w:rsidDel="007A1B00">
              <w:t xml:space="preserve"> </w:t>
            </w:r>
            <w:r w:rsidRPr="00AC04B2">
              <w:t>and state and territor</w:t>
            </w:r>
            <w:r w:rsidR="00FC10A1">
              <w:t>y governments</w:t>
            </w:r>
            <w:r w:rsidRPr="00AC04B2">
              <w:t xml:space="preserve">, other </w:t>
            </w:r>
            <w:r w:rsidR="007A1B00">
              <w:t>Australian Government</w:t>
            </w:r>
            <w:r w:rsidR="007A1B00" w:rsidRPr="00AC04B2" w:rsidDel="007A1B00">
              <w:t xml:space="preserve"> </w:t>
            </w:r>
            <w:r w:rsidRPr="00AC04B2">
              <w:t>entities and key stakeholders on decisions and deliverables that impact IHACPA’s operating context.</w:t>
            </w:r>
          </w:p>
        </w:tc>
      </w:tr>
      <w:tr w:rsidR="0002022E" w:rsidRPr="00AC04B2" w14:paraId="38DA4F65" w14:textId="77777777" w:rsidTr="00FC10A1">
        <w:trPr>
          <w:cantSplit/>
          <w:trHeight w:val="510"/>
        </w:trPr>
        <w:tc>
          <w:tcPr>
            <w:tcW w:w="1620" w:type="pct"/>
            <w:vMerge/>
            <w:tcBorders>
              <w:left w:val="nil"/>
              <w:bottom w:val="single" w:sz="4" w:space="0" w:color="auto"/>
              <w:right w:val="single" w:sz="4" w:space="0" w:color="auto"/>
            </w:tcBorders>
            <w:vAlign w:val="center"/>
          </w:tcPr>
          <w:p w14:paraId="06A938F3" w14:textId="77777777" w:rsidR="0002022E" w:rsidRPr="00AC04B2" w:rsidRDefault="0002022E" w:rsidP="000F3E16">
            <w:pPr>
              <w:spacing w:before="80" w:after="80"/>
              <w:rPr>
                <w:sz w:val="18"/>
                <w:szCs w:val="18"/>
                <w:lang w:val="en-PH"/>
              </w:rPr>
            </w:pPr>
          </w:p>
        </w:tc>
        <w:tc>
          <w:tcPr>
            <w:tcW w:w="3380" w:type="pct"/>
            <w:tcBorders>
              <w:top w:val="single" w:sz="4" w:space="0" w:color="auto"/>
              <w:left w:val="nil"/>
              <w:bottom w:val="single" w:sz="4" w:space="0" w:color="auto"/>
              <w:right w:val="nil"/>
            </w:tcBorders>
          </w:tcPr>
          <w:p w14:paraId="24FA7EAC" w14:textId="238375AE" w:rsidR="0002022E" w:rsidRPr="00AC04B2" w:rsidRDefault="0002022E" w:rsidP="00A207F8">
            <w:pPr>
              <w:pStyle w:val="TableBodySmall"/>
            </w:pPr>
            <w:r w:rsidRPr="00AC04B2">
              <w:t>Each year publish an annual report detailing IHACPA’s delivery of reports, documents and other deliverables that pertain to its purpose and key activities.</w:t>
            </w:r>
          </w:p>
        </w:tc>
      </w:tr>
    </w:tbl>
    <w:p w14:paraId="6C11E976" w14:textId="3E5913B4" w:rsidR="008550D6" w:rsidRPr="00AC04B2" w:rsidRDefault="008550D6" w:rsidP="00F00D91">
      <w:pPr>
        <w:pStyle w:val="IntroBody"/>
        <w:sectPr w:rsidR="008550D6" w:rsidRPr="00AC04B2" w:rsidSect="006F42D5">
          <w:headerReference w:type="even" r:id="rId38"/>
          <w:headerReference w:type="default" r:id="rId39"/>
          <w:headerReference w:type="first" r:id="rId40"/>
          <w:pgSz w:w="11906" w:h="16838" w:code="9"/>
          <w:pgMar w:top="907" w:right="907" w:bottom="993" w:left="907" w:header="709" w:footer="709" w:gutter="0"/>
          <w:cols w:space="708"/>
          <w:titlePg/>
          <w:docGrid w:linePitch="360"/>
        </w:sectPr>
      </w:pPr>
    </w:p>
    <w:p w14:paraId="75FCE572" w14:textId="77777777" w:rsidR="00C22DEB" w:rsidRPr="00AC04B2" w:rsidRDefault="00C22DEB" w:rsidP="00C22DEB">
      <w:pPr>
        <w:spacing w:after="360"/>
      </w:pPr>
      <w:r w:rsidRPr="00AC04B2">
        <w:rPr>
          <w:noProof/>
        </w:rPr>
        <w:lastRenderedPageBreak/>
        <w:drawing>
          <wp:inline distT="0" distB="0" distL="0" distR="0" wp14:anchorId="441FA174" wp14:editId="4C8D9B65">
            <wp:extent cx="1764877" cy="392195"/>
            <wp:effectExtent l="0" t="0" r="635" b="1905"/>
            <wp:docPr id="35"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07"/>
                    <pic:cNvPicPr>
                      <a:picLocks noChangeAspect="1" noChangeArrowheads="1"/>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bwMode="auto">
                    <a:xfrm>
                      <a:off x="0" y="0"/>
                      <a:ext cx="1764877" cy="392195"/>
                    </a:xfrm>
                    <a:prstGeom prst="rect">
                      <a:avLst/>
                    </a:prstGeom>
                  </pic:spPr>
                </pic:pic>
              </a:graphicData>
            </a:graphic>
          </wp:inline>
        </w:drawing>
      </w:r>
    </w:p>
    <w:p w14:paraId="7AEEEF91" w14:textId="77777777" w:rsidR="00FA6CD2" w:rsidRPr="00883C3A" w:rsidRDefault="00FA6CD2" w:rsidP="00FA6CD2">
      <w:pPr>
        <w:spacing w:after="360"/>
        <w:rPr>
          <w:rFonts w:ascii="Arial" w:hAnsi="Arial" w:cs="Arial"/>
          <w:b/>
          <w:bCs/>
          <w:color w:val="FFFFFF" w:themeColor="background2"/>
        </w:rPr>
      </w:pPr>
      <w:r w:rsidRPr="00883C3A">
        <w:rPr>
          <w:rFonts w:ascii="Arial" w:hAnsi="Arial" w:cs="Arial"/>
          <w:b/>
          <w:bCs/>
          <w:color w:val="FFFFFF" w:themeColor="background2"/>
        </w:rPr>
        <w:t>Independent Health and Aged Care Pricing Authority</w:t>
      </w:r>
    </w:p>
    <w:p w14:paraId="3B6998BE" w14:textId="12A149C2" w:rsidR="00FA6CD2" w:rsidRPr="00883C3A" w:rsidRDefault="00F204AF" w:rsidP="00FA6CD2">
      <w:pPr>
        <w:spacing w:after="360"/>
        <w:rPr>
          <w:rFonts w:ascii="Arial" w:hAnsi="Arial" w:cs="Arial"/>
          <w:color w:val="FFFFFF" w:themeColor="background2"/>
        </w:rPr>
      </w:pPr>
      <w:r w:rsidRPr="00883C3A">
        <w:rPr>
          <w:rFonts w:ascii="Arial" w:hAnsi="Arial" w:cs="Arial"/>
          <w:color w:val="FFFFFF" w:themeColor="background2"/>
        </w:rPr>
        <w:t xml:space="preserve">Eora Nation, </w:t>
      </w:r>
      <w:r w:rsidR="00FA6CD2" w:rsidRPr="00883C3A">
        <w:rPr>
          <w:rFonts w:ascii="Arial" w:hAnsi="Arial" w:cs="Arial"/>
          <w:color w:val="FFFFFF" w:themeColor="background2"/>
        </w:rPr>
        <w:t>Level 12, 1 Oxford Street</w:t>
      </w:r>
      <w:r w:rsidR="00FA6CD2" w:rsidRPr="00883C3A">
        <w:rPr>
          <w:rFonts w:ascii="Arial" w:hAnsi="Arial" w:cs="Arial"/>
          <w:color w:val="FFFFFF" w:themeColor="background2"/>
        </w:rPr>
        <w:br/>
        <w:t>Sydney NSW 2000</w:t>
      </w:r>
    </w:p>
    <w:p w14:paraId="5D158FA8" w14:textId="45FB8FD0" w:rsidR="00FA6CD2" w:rsidRPr="00883C3A" w:rsidRDefault="00FA6CD2" w:rsidP="00FA6CD2">
      <w:pPr>
        <w:spacing w:after="360"/>
        <w:rPr>
          <w:rFonts w:ascii="Arial" w:hAnsi="Arial" w:cs="Arial"/>
          <w:color w:val="F2E17C"/>
        </w:rPr>
      </w:pPr>
      <w:r w:rsidRPr="00883C3A">
        <w:rPr>
          <w:rFonts w:ascii="Arial" w:hAnsi="Arial" w:cs="Arial"/>
          <w:color w:val="FFFFFF" w:themeColor="background2"/>
        </w:rPr>
        <w:t>Phone</w:t>
      </w:r>
      <w:r w:rsidRPr="00883C3A">
        <w:rPr>
          <w:rFonts w:ascii="Arial" w:hAnsi="Arial" w:cs="Arial"/>
          <w:color w:val="FFFFFF" w:themeColor="background2"/>
        </w:rPr>
        <w:tab/>
        <w:t>02 8215 1100</w:t>
      </w:r>
      <w:r w:rsidRPr="00883C3A">
        <w:rPr>
          <w:rFonts w:ascii="Arial" w:hAnsi="Arial" w:cs="Arial"/>
          <w:color w:val="15272F" w:themeColor="text1"/>
        </w:rPr>
        <w:br/>
      </w:r>
      <w:r w:rsidRPr="00883C3A">
        <w:rPr>
          <w:rFonts w:ascii="Arial" w:hAnsi="Arial" w:cs="Arial"/>
          <w:color w:val="FFFFFF" w:themeColor="background2"/>
        </w:rPr>
        <w:t>Email</w:t>
      </w:r>
      <w:r w:rsidRPr="00883C3A">
        <w:rPr>
          <w:rFonts w:ascii="Arial" w:hAnsi="Arial" w:cs="Arial"/>
          <w:color w:val="15272F" w:themeColor="text1"/>
        </w:rPr>
        <w:tab/>
      </w:r>
      <w:hyperlink r:id="rId43" w:history="1">
        <w:r w:rsidRPr="00883C3A">
          <w:rPr>
            <w:rStyle w:val="Hyperlink"/>
            <w:rFonts w:ascii="Arial" w:hAnsi="Arial" w:cs="Arial"/>
            <w:color w:val="54C1AF"/>
          </w:rPr>
          <w:t>enquiries.ihacpa@ihacpa.gov.au</w:t>
        </w:r>
      </w:hyperlink>
      <w:r w:rsidRPr="00883C3A">
        <w:rPr>
          <w:rFonts w:ascii="Arial" w:hAnsi="Arial" w:cs="Arial"/>
          <w:color w:val="15272F" w:themeColor="text1"/>
        </w:rPr>
        <w:br/>
      </w:r>
    </w:p>
    <w:p w14:paraId="059F5F2E" w14:textId="77777777" w:rsidR="006B53FF" w:rsidRPr="00883C3A" w:rsidRDefault="00000000" w:rsidP="00FA6CD2">
      <w:pPr>
        <w:spacing w:after="360"/>
        <w:rPr>
          <w:rFonts w:ascii="Arial" w:hAnsi="Arial" w:cs="Arial"/>
          <w:color w:val="54C1AF"/>
          <w:u w:val="single"/>
        </w:rPr>
      </w:pPr>
      <w:hyperlink r:id="rId44" w:history="1">
        <w:r w:rsidR="00FA6CD2" w:rsidRPr="00883C3A">
          <w:rPr>
            <w:rStyle w:val="Hyperlink"/>
            <w:rFonts w:ascii="Arial" w:hAnsi="Arial" w:cs="Arial"/>
            <w:color w:val="54C1AF"/>
          </w:rPr>
          <w:t>www.ihacpa.gov.au</w:t>
        </w:r>
      </w:hyperlink>
    </w:p>
    <w:sectPr w:rsidR="006B53FF" w:rsidRPr="00883C3A" w:rsidSect="00C0225F">
      <w:headerReference w:type="even" r:id="rId45"/>
      <w:headerReference w:type="default" r:id="rId46"/>
      <w:headerReference w:type="first" r:id="rId47"/>
      <w:pgSz w:w="11906" w:h="16838" w:code="9"/>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8A33" w14:textId="77777777" w:rsidR="000E6E78" w:rsidRDefault="000E6E78" w:rsidP="00D53EDC">
      <w:pPr>
        <w:spacing w:after="0" w:line="240" w:lineRule="auto"/>
      </w:pPr>
      <w:r>
        <w:separator/>
      </w:r>
    </w:p>
  </w:endnote>
  <w:endnote w:type="continuationSeparator" w:id="0">
    <w:p w14:paraId="24B54F53" w14:textId="77777777" w:rsidR="000E6E78" w:rsidRDefault="000E6E78" w:rsidP="00D5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Fira Sans regular">
    <w:altName w:val="Cambria"/>
    <w:charset w:val="00"/>
    <w:family w:val="swiss"/>
    <w:pitch w:val="variable"/>
    <w:sig w:usb0="600002FF"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Josefin Sans Bold">
    <w:charset w:val="00"/>
    <w:family w:val="auto"/>
    <w:pitch w:val="variable"/>
    <w:sig w:usb0="A00000FF" w:usb1="40002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Josefin Sans">
    <w:charset w:val="00"/>
    <w:family w:val="auto"/>
    <w:pitch w:val="variable"/>
    <w:sig w:usb0="A00000FF" w:usb1="4000204B" w:usb2="00000000" w:usb3="00000000" w:csb0="00000193" w:csb1="00000000"/>
  </w:font>
  <w:font w:name="Futura PT Medium">
    <w:panose1 w:val="00000000000000000000"/>
    <w:charset w:val="00"/>
    <w:family w:val="swiss"/>
    <w:notTrueType/>
    <w:pitch w:val="variable"/>
    <w:sig w:usb0="A00002FF" w:usb1="5000204B" w:usb2="00000000" w:usb3="00000000" w:csb0="00000097" w:csb1="00000000"/>
  </w:font>
  <w:font w:name="Fira Sans">
    <w:charset w:val="00"/>
    <w:family w:val="swiss"/>
    <w:pitch w:val="variable"/>
    <w:sig w:usb0="600002FF" w:usb1="00000001" w:usb2="00000000" w:usb3="00000000" w:csb0="0000019F"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93C0" w14:textId="77777777" w:rsidR="00481515" w:rsidRDefault="00481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596E" w14:textId="1323B7DB" w:rsidR="009D3F88" w:rsidRPr="006F42D5" w:rsidRDefault="009D3F88" w:rsidP="009D3F88">
    <w:pPr>
      <w:pStyle w:val="Footer"/>
      <w:tabs>
        <w:tab w:val="clear" w:pos="4680"/>
        <w:tab w:val="clear" w:pos="9360"/>
        <w:tab w:val="right" w:pos="9923"/>
      </w:tabs>
    </w:pPr>
    <w:r w:rsidRPr="00D20B03">
      <w:rPr>
        <w:b/>
        <w:bCs/>
      </w:rPr>
      <w:t>IHACPA</w:t>
    </w:r>
    <w:r>
      <w:t xml:space="preserve"> Work Program and Corporate Plan 202</w:t>
    </w:r>
    <w:r w:rsidR="00BE373B">
      <w:t>3</w:t>
    </w:r>
    <w:r>
      <w:t>–2</w:t>
    </w:r>
    <w:r w:rsidR="00BE373B">
      <w:t>4</w:t>
    </w:r>
    <w:r>
      <w:tab/>
    </w:r>
    <w:r>
      <w:fldChar w:fldCharType="begin"/>
    </w:r>
    <w:r>
      <w:instrText xml:space="preserve"> PAGE   \* MERGEFORMAT </w:instrText>
    </w:r>
    <w:r>
      <w:fldChar w:fldCharType="separate"/>
    </w:r>
    <w:r>
      <w:t>29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9ACB" w14:textId="44161D91" w:rsidR="008F0A24" w:rsidRPr="006F42D5" w:rsidRDefault="008F0A24" w:rsidP="006F42D5">
    <w:pPr>
      <w:pStyle w:val="Footer"/>
      <w:tabs>
        <w:tab w:val="clear" w:pos="4680"/>
        <w:tab w:val="clear" w:pos="9360"/>
        <w:tab w:val="center" w:pos="9498"/>
        <w:tab w:val="right" w:pos="974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34C8" w14:textId="535B31AC" w:rsidR="00F33F85" w:rsidRPr="002F7355" w:rsidRDefault="00F33F85" w:rsidP="00F33F85">
    <w:pPr>
      <w:pStyle w:val="Footer"/>
      <w:tabs>
        <w:tab w:val="clear" w:pos="9360"/>
        <w:tab w:val="right" w:pos="10065"/>
      </w:tabs>
      <w:rPr>
        <w:rFonts w:ascii="Arial" w:hAnsi="Arial" w:cs="Arial"/>
        <w:sz w:val="20"/>
        <w:szCs w:val="20"/>
      </w:rPr>
    </w:pPr>
    <w:r w:rsidRPr="002F7355">
      <w:rPr>
        <w:rFonts w:ascii="Arial" w:hAnsi="Arial" w:cs="Arial"/>
        <w:b/>
        <w:bCs/>
        <w:sz w:val="20"/>
        <w:szCs w:val="20"/>
      </w:rPr>
      <w:t>IHACPA</w:t>
    </w:r>
    <w:r w:rsidRPr="002F7355">
      <w:rPr>
        <w:rFonts w:ascii="Arial" w:hAnsi="Arial" w:cs="Arial"/>
        <w:sz w:val="20"/>
        <w:szCs w:val="20"/>
      </w:rPr>
      <w:t xml:space="preserve"> Work Program and Corporate Plan 202</w:t>
    </w:r>
    <w:r w:rsidR="00BE4E17">
      <w:rPr>
        <w:rFonts w:ascii="Arial" w:hAnsi="Arial" w:cs="Arial"/>
        <w:sz w:val="20"/>
        <w:szCs w:val="20"/>
      </w:rPr>
      <w:t>4</w:t>
    </w:r>
    <w:r w:rsidRPr="002F7355">
      <w:rPr>
        <w:rFonts w:ascii="Arial" w:hAnsi="Arial" w:cs="Arial"/>
        <w:sz w:val="20"/>
        <w:szCs w:val="20"/>
      </w:rPr>
      <w:t>–2</w:t>
    </w:r>
    <w:r w:rsidR="00BE4E17">
      <w:rPr>
        <w:rFonts w:ascii="Arial" w:hAnsi="Arial" w:cs="Arial"/>
        <w:sz w:val="20"/>
        <w:szCs w:val="20"/>
      </w:rPr>
      <w:t>5</w:t>
    </w:r>
    <w:r w:rsidRPr="002F7355">
      <w:rPr>
        <w:rFonts w:ascii="Arial" w:hAnsi="Arial" w:cs="Arial"/>
        <w:sz w:val="20"/>
        <w:szCs w:val="20"/>
      </w:rPr>
      <w:tab/>
    </w:r>
    <w:r w:rsidRPr="002F7355">
      <w:rPr>
        <w:rFonts w:ascii="Arial" w:hAnsi="Arial" w:cs="Arial"/>
        <w:sz w:val="20"/>
        <w:szCs w:val="20"/>
      </w:rPr>
      <w:fldChar w:fldCharType="begin"/>
    </w:r>
    <w:r w:rsidRPr="002F7355">
      <w:rPr>
        <w:rFonts w:ascii="Arial" w:hAnsi="Arial" w:cs="Arial"/>
        <w:sz w:val="20"/>
        <w:szCs w:val="20"/>
      </w:rPr>
      <w:instrText xml:space="preserve"> PAGE   \* MERGEFORMAT </w:instrText>
    </w:r>
    <w:r w:rsidRPr="002F7355">
      <w:rPr>
        <w:rFonts w:ascii="Arial" w:hAnsi="Arial" w:cs="Arial"/>
        <w:sz w:val="20"/>
        <w:szCs w:val="20"/>
      </w:rPr>
      <w:fldChar w:fldCharType="separate"/>
    </w:r>
    <w:r w:rsidRPr="002F7355">
      <w:rPr>
        <w:rFonts w:ascii="Arial" w:hAnsi="Arial" w:cs="Arial"/>
        <w:sz w:val="20"/>
        <w:szCs w:val="20"/>
      </w:rPr>
      <w:t>1</w:t>
    </w:r>
    <w:r w:rsidRPr="002F7355">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3624" w14:textId="77777777" w:rsidR="000E6E78" w:rsidRDefault="000E6E78" w:rsidP="00D53EDC">
      <w:pPr>
        <w:spacing w:after="0" w:line="240" w:lineRule="auto"/>
      </w:pPr>
      <w:r>
        <w:separator/>
      </w:r>
    </w:p>
  </w:footnote>
  <w:footnote w:type="continuationSeparator" w:id="0">
    <w:p w14:paraId="09B6DA09" w14:textId="77777777" w:rsidR="000E6E78" w:rsidRDefault="000E6E78" w:rsidP="00D5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74C7" w14:textId="08C26AA7" w:rsidR="00481515" w:rsidRDefault="00000000">
    <w:pPr>
      <w:pStyle w:val="Header"/>
    </w:pPr>
    <w:r>
      <w:rPr>
        <w:noProof/>
      </w:rPr>
      <w:pict w14:anchorId="523CF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82" o:spid="_x0000_s1045" type="#_x0000_t136" style="position:absolute;margin-left:0;margin-top:0;width:444.65pt;height:266.8pt;rotation:315;z-index:-251646464;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59C7" w14:textId="547353C2" w:rsidR="009C29C1" w:rsidRDefault="00000000">
    <w:pPr>
      <w:pStyle w:val="Header"/>
    </w:pPr>
    <w:r>
      <w:rPr>
        <w:noProof/>
      </w:rPr>
      <w:pict w14:anchorId="1CF74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91" o:spid="_x0000_s1054" type="#_x0000_t136" style="position:absolute;margin-left:0;margin-top:0;width:444.65pt;height:266.8pt;rotation:315;z-index:-251628032;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E7FA" w14:textId="4D525F97" w:rsidR="009C29C1" w:rsidRDefault="00000000">
    <w:pPr>
      <w:pStyle w:val="Header"/>
    </w:pPr>
    <w:r>
      <w:rPr>
        <w:noProof/>
      </w:rPr>
      <w:pict w14:anchorId="1BACC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92" o:spid="_x0000_s1055" type="#_x0000_t136" style="position:absolute;margin-left:0;margin-top:0;width:444.65pt;height:266.8pt;rotation:315;z-index:-251625984;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3996" w14:textId="496058A3" w:rsidR="009C29C1" w:rsidRPr="00921090" w:rsidRDefault="00000000" w:rsidP="00921090">
    <w:pPr>
      <w:pStyle w:val="Header"/>
    </w:pPr>
    <w:r>
      <w:rPr>
        <w:noProof/>
      </w:rPr>
      <w:pict w14:anchorId="53E9B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90" o:spid="_x0000_s1053" type="#_x0000_t136" style="position:absolute;margin-left:0;margin-top:0;width:444.65pt;height:266.8pt;rotation:315;z-index:-251630080;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r w:rsidR="004F1D64">
      <w:rPr>
        <w:noProof/>
      </w:rPr>
      <w:drawing>
        <wp:anchor distT="0" distB="0" distL="114300" distR="114300" simplePos="0" relativeHeight="251660800" behindDoc="1" locked="0" layoutInCell="1" allowOverlap="1" wp14:anchorId="7488F7BE" wp14:editId="0964C825">
          <wp:simplePos x="0" y="0"/>
          <wp:positionH relativeFrom="column">
            <wp:posOffset>-575945</wp:posOffset>
          </wp:positionH>
          <wp:positionV relativeFrom="paragraph">
            <wp:posOffset>-450215</wp:posOffset>
          </wp:positionV>
          <wp:extent cx="7556760" cy="10680700"/>
          <wp:effectExtent l="0" t="0" r="0" b="0"/>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2683" cy="10717339"/>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0C52" w14:textId="2FC290AE" w:rsidR="009C29C1" w:rsidRDefault="00000000">
    <w:pPr>
      <w:pStyle w:val="Header"/>
    </w:pPr>
    <w:r>
      <w:rPr>
        <w:noProof/>
      </w:rPr>
      <w:pict w14:anchorId="37B82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94" o:spid="_x0000_s1057" type="#_x0000_t136" style="position:absolute;margin-left:0;margin-top:0;width:444.65pt;height:266.8pt;rotation:315;z-index:-251621888;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1606" w14:textId="1D3C5D9F" w:rsidR="00960C72" w:rsidRDefault="00000000">
    <w:pPr>
      <w:pStyle w:val="Header"/>
    </w:pPr>
    <w:r>
      <w:rPr>
        <w:noProof/>
      </w:rPr>
      <w:pict w14:anchorId="3099F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95" o:spid="_x0000_s1058" type="#_x0000_t136" style="position:absolute;margin-left:0;margin-top:0;width:444.65pt;height:266.8pt;rotation:315;z-index:-251619840;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3803" w14:textId="11003AAB" w:rsidR="001F5344" w:rsidRPr="00921090" w:rsidRDefault="00000000" w:rsidP="00921090">
    <w:pPr>
      <w:pStyle w:val="Header"/>
    </w:pPr>
    <w:r>
      <w:rPr>
        <w:noProof/>
      </w:rPr>
      <w:pict w14:anchorId="02D71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93" o:spid="_x0000_s1056" type="#_x0000_t136" style="position:absolute;margin-left:0;margin-top:0;width:444.65pt;height:266.8pt;rotation:315;z-index:-251623936;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598C" w14:textId="7EA73B26" w:rsidR="00AC231D" w:rsidRDefault="00000000">
    <w:pPr>
      <w:pStyle w:val="Header"/>
    </w:pPr>
    <w:r>
      <w:rPr>
        <w:noProof/>
      </w:rPr>
      <w:pict w14:anchorId="01B10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97" o:spid="_x0000_s1060" type="#_x0000_t136" style="position:absolute;margin-left:0;margin-top:0;width:444.65pt;height:266.8pt;rotation:315;z-index:-251615744;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BA4D" w14:textId="74E90B41" w:rsidR="00AC231D" w:rsidRDefault="00000000">
    <w:pPr>
      <w:pStyle w:val="Header"/>
    </w:pPr>
    <w:r>
      <w:rPr>
        <w:noProof/>
      </w:rPr>
      <w:pict w14:anchorId="14B81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98" o:spid="_x0000_s1061" type="#_x0000_t136" style="position:absolute;margin-left:0;margin-top:0;width:444.65pt;height:266.8pt;rotation:315;z-index:-251613696;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61F4" w14:textId="3FE63C0F" w:rsidR="001F5344" w:rsidRPr="00921090" w:rsidRDefault="00000000" w:rsidP="00921090">
    <w:pPr>
      <w:pStyle w:val="Header"/>
    </w:pPr>
    <w:r>
      <w:rPr>
        <w:noProof/>
      </w:rPr>
      <w:pict w14:anchorId="5825D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96" o:spid="_x0000_s1059" type="#_x0000_t136" style="position:absolute;margin-left:0;margin-top:0;width:444.65pt;height:266.8pt;rotation:315;z-index:-251617792;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r w:rsidR="001F5344">
      <w:rPr>
        <w:noProof/>
        <w:lang w:eastAsia="en-AU"/>
      </w:rPr>
      <w:drawing>
        <wp:anchor distT="0" distB="0" distL="114300" distR="114300" simplePos="0" relativeHeight="251659775" behindDoc="1" locked="0" layoutInCell="1" allowOverlap="1" wp14:anchorId="2ABC96B0" wp14:editId="428FCFAC">
          <wp:simplePos x="0" y="0"/>
          <wp:positionH relativeFrom="page">
            <wp:posOffset>-12700</wp:posOffset>
          </wp:positionH>
          <wp:positionV relativeFrom="page">
            <wp:posOffset>2540</wp:posOffset>
          </wp:positionV>
          <wp:extent cx="7567200" cy="10692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7931" w14:textId="078F2DAC" w:rsidR="00481515" w:rsidRDefault="00000000">
    <w:pPr>
      <w:pStyle w:val="Header"/>
    </w:pPr>
    <w:r>
      <w:rPr>
        <w:noProof/>
      </w:rPr>
      <w:pict w14:anchorId="6B787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83" o:spid="_x0000_s1046" type="#_x0000_t136" style="position:absolute;margin-left:0;margin-top:0;width:444.65pt;height:266.8pt;rotation:315;z-index:-251644416;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6452" w14:textId="111B0BEF" w:rsidR="00FF0E74" w:rsidRDefault="00000000">
    <w:pPr>
      <w:pStyle w:val="Header"/>
    </w:pPr>
    <w:r>
      <w:rPr>
        <w:noProof/>
      </w:rPr>
      <w:pict w14:anchorId="663B6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81" o:spid="_x0000_s1044" type="#_x0000_t136" style="position:absolute;margin-left:0;margin-top:0;width:444.65pt;height:266.8pt;rotation:315;z-index:-251648512;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r w:rsidR="00FF0E74" w:rsidRPr="00617018">
      <w:rPr>
        <w:rFonts w:ascii="Arial" w:hAnsi="Arial"/>
        <w:noProof/>
        <w:color w:val="54C1AF"/>
        <w:lang w:eastAsia="en-AU"/>
      </w:rPr>
      <w:drawing>
        <wp:anchor distT="0" distB="0" distL="114300" distR="114300" simplePos="0" relativeHeight="251665920" behindDoc="1" locked="0" layoutInCell="1" allowOverlap="1" wp14:anchorId="77687C17" wp14:editId="6A3E385A">
          <wp:simplePos x="0" y="0"/>
          <wp:positionH relativeFrom="page">
            <wp:align>right</wp:align>
          </wp:positionH>
          <wp:positionV relativeFrom="page">
            <wp:align>top</wp:align>
          </wp:positionV>
          <wp:extent cx="7546340" cy="10699750"/>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6340" cy="10699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D94A" w14:textId="6B7C4984" w:rsidR="00960C72" w:rsidRDefault="00000000">
    <w:pPr>
      <w:pStyle w:val="Header"/>
    </w:pPr>
    <w:r>
      <w:rPr>
        <w:noProof/>
      </w:rPr>
      <w:pict w14:anchorId="61CC0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85" o:spid="_x0000_s1048" type="#_x0000_t136" style="position:absolute;margin-left:0;margin-top:0;width:444.65pt;height:266.8pt;rotation:315;z-index:-251640320;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40BA" w14:textId="502B6B05" w:rsidR="00F33F85" w:rsidRDefault="00000000" w:rsidP="008D07DF">
    <w:pPr>
      <w:pStyle w:val="Header"/>
    </w:pPr>
    <w:r>
      <w:rPr>
        <w:noProof/>
      </w:rPr>
      <w:pict w14:anchorId="1B9A4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86" o:spid="_x0000_s1049" type="#_x0000_t136" style="position:absolute;margin-left:0;margin-top:0;width:444.65pt;height:266.8pt;rotation:315;z-index:-251638272;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22E9" w14:textId="62B4680D" w:rsidR="00960C72" w:rsidRDefault="00000000">
    <w:pPr>
      <w:pStyle w:val="Header"/>
    </w:pPr>
    <w:r>
      <w:rPr>
        <w:noProof/>
      </w:rPr>
      <w:pict w14:anchorId="6697A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84" o:spid="_x0000_s1047" type="#_x0000_t136" style="position:absolute;margin-left:0;margin-top:0;width:444.65pt;height:266.8pt;rotation:315;z-index:-251642368;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FD9B" w14:textId="65F7E58F" w:rsidR="009C29C1" w:rsidRDefault="00000000">
    <w:pPr>
      <w:pStyle w:val="Header"/>
    </w:pPr>
    <w:r>
      <w:rPr>
        <w:noProof/>
      </w:rPr>
      <w:pict w14:anchorId="3A5B9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88" o:spid="_x0000_s1051" type="#_x0000_t136" style="position:absolute;margin-left:0;margin-top:0;width:444.65pt;height:266.8pt;rotation:315;z-index:-251634176;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93C6" w14:textId="54E583B4" w:rsidR="009C29C1" w:rsidRDefault="00000000">
    <w:pPr>
      <w:pStyle w:val="Header"/>
    </w:pPr>
    <w:r>
      <w:rPr>
        <w:noProof/>
      </w:rPr>
      <w:pict w14:anchorId="58DDE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89" o:spid="_x0000_s1052" type="#_x0000_t136" style="position:absolute;margin-left:0;margin-top:0;width:444.65pt;height:266.8pt;rotation:315;z-index:-251632128;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AA6D" w14:textId="6D6A2EAE" w:rsidR="009C29C1" w:rsidRPr="00921090" w:rsidRDefault="00000000" w:rsidP="00921090">
    <w:pPr>
      <w:pStyle w:val="Header"/>
    </w:pPr>
    <w:r>
      <w:rPr>
        <w:noProof/>
      </w:rPr>
      <w:pict w14:anchorId="595A0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4287" o:spid="_x0000_s1050" type="#_x0000_t136" style="position:absolute;margin-left:0;margin-top:0;width:444.65pt;height:266.8pt;rotation:315;z-index:-251636224;mso-position-horizontal:center;mso-position-horizontal-relative:margin;mso-position-vertical:center;mso-position-vertical-relative:margin" o:allowincell="f" fillcolor="silver" stroked="f">
          <v:fill opacity=".5"/>
          <v:textpath style="font-family:&quot;Fira Sans regular&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93E"/>
    <w:multiLevelType w:val="hybridMultilevel"/>
    <w:tmpl w:val="556C6AA8"/>
    <w:lvl w:ilvl="0" w:tplc="82B24ABA">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F2B158E"/>
    <w:multiLevelType w:val="hybridMultilevel"/>
    <w:tmpl w:val="CB065936"/>
    <w:lvl w:ilvl="0" w:tplc="C7B62436">
      <w:start w:val="1"/>
      <w:numFmt w:val="bullet"/>
      <w:pStyle w:val="BulletList"/>
      <w:lvlText w:val=""/>
      <w:lvlJc w:val="left"/>
      <w:pPr>
        <w:ind w:left="927" w:hanging="360"/>
      </w:pPr>
      <w:rPr>
        <w:rFonts w:ascii="Symbol" w:hAnsi="Symbol" w:hint="default"/>
        <w:color w:val="15272F" w:themeColor="accent1"/>
      </w:rPr>
    </w:lvl>
    <w:lvl w:ilvl="1" w:tplc="34090003">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 w15:restartNumberingAfterBreak="0">
    <w:nsid w:val="12253D18"/>
    <w:multiLevelType w:val="hybridMultilevel"/>
    <w:tmpl w:val="FCE21286"/>
    <w:lvl w:ilvl="0" w:tplc="16900E3A">
      <w:start w:val="1"/>
      <w:numFmt w:val="decimal"/>
      <w:pStyle w:val="NumberedList"/>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257E172A"/>
    <w:multiLevelType w:val="hybridMultilevel"/>
    <w:tmpl w:val="BB400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54D46"/>
    <w:multiLevelType w:val="hybridMultilevel"/>
    <w:tmpl w:val="64F6A5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282E2A"/>
    <w:multiLevelType w:val="hybridMultilevel"/>
    <w:tmpl w:val="7F5A318C"/>
    <w:lvl w:ilvl="0" w:tplc="B7F0253E">
      <w:start w:val="1"/>
      <w:numFmt w:val="lowerLetter"/>
      <w:pStyle w:val="H4-List"/>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87A06"/>
    <w:multiLevelType w:val="hybridMultilevel"/>
    <w:tmpl w:val="03EA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66C5D"/>
    <w:multiLevelType w:val="multilevel"/>
    <w:tmpl w:val="CE761F80"/>
    <w:styleLink w:val="CurrentList1"/>
    <w:lvl w:ilvl="0">
      <w:start w:val="1"/>
      <w:numFmt w:val="bullet"/>
      <w:lvlText w:val=""/>
      <w:lvlJc w:val="left"/>
      <w:pPr>
        <w:ind w:left="360" w:hanging="360"/>
      </w:pPr>
      <w:rPr>
        <w:rFonts w:ascii="Wingdings 2" w:hAnsi="Wingdings 2" w:hint="default"/>
        <w:color w:val="15272F" w:themeColor="accen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104F99"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8148AA"/>
    <w:multiLevelType w:val="hybridMultilevel"/>
    <w:tmpl w:val="D9B0B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04210C"/>
    <w:multiLevelType w:val="hybridMultilevel"/>
    <w:tmpl w:val="1E2A7926"/>
    <w:lvl w:ilvl="0" w:tplc="18D4038E">
      <w:start w:val="1"/>
      <w:numFmt w:val="bullet"/>
      <w:pStyle w:val="BulletListRed"/>
      <w:lvlText w:val=""/>
      <w:lvlJc w:val="left"/>
      <w:pPr>
        <w:ind w:left="360" w:hanging="360"/>
      </w:pPr>
      <w:rPr>
        <w:rFonts w:ascii="Wingdings 2" w:hAnsi="Wingdings 2" w:hint="default"/>
        <w:color w:val="C40B46"/>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1" w15:restartNumberingAfterBreak="0">
    <w:nsid w:val="69897339"/>
    <w:multiLevelType w:val="hybridMultilevel"/>
    <w:tmpl w:val="A2F4D344"/>
    <w:lvl w:ilvl="0" w:tplc="7FFAF8CA">
      <w:start w:val="1"/>
      <w:numFmt w:val="lowerLetter"/>
      <w:pStyle w:val="LetterListLevel2"/>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71187388"/>
    <w:multiLevelType w:val="hybridMultilevel"/>
    <w:tmpl w:val="556C6AA8"/>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 w15:restartNumberingAfterBreak="0">
    <w:nsid w:val="71506A55"/>
    <w:multiLevelType w:val="hybridMultilevel"/>
    <w:tmpl w:val="556C6AA8"/>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74385E8D"/>
    <w:multiLevelType w:val="hybridMultilevel"/>
    <w:tmpl w:val="556C6AA8"/>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995210528">
    <w:abstractNumId w:val="1"/>
  </w:num>
  <w:num w:numId="2" w16cid:durableId="579293897">
    <w:abstractNumId w:val="10"/>
  </w:num>
  <w:num w:numId="3" w16cid:durableId="2142072429">
    <w:abstractNumId w:val="2"/>
  </w:num>
  <w:num w:numId="4" w16cid:durableId="127280195">
    <w:abstractNumId w:val="11"/>
  </w:num>
  <w:num w:numId="5" w16cid:durableId="1466848856">
    <w:abstractNumId w:val="8"/>
  </w:num>
  <w:num w:numId="6" w16cid:durableId="490484901">
    <w:abstractNumId w:val="7"/>
  </w:num>
  <w:num w:numId="7" w16cid:durableId="2078823534">
    <w:abstractNumId w:val="5"/>
  </w:num>
  <w:num w:numId="8" w16cid:durableId="1986625033">
    <w:abstractNumId w:val="4"/>
  </w:num>
  <w:num w:numId="9" w16cid:durableId="1085422946">
    <w:abstractNumId w:val="0"/>
  </w:num>
  <w:num w:numId="10" w16cid:durableId="1644044236">
    <w:abstractNumId w:val="13"/>
  </w:num>
  <w:num w:numId="11" w16cid:durableId="988098071">
    <w:abstractNumId w:val="14"/>
  </w:num>
  <w:num w:numId="12" w16cid:durableId="1343632232">
    <w:abstractNumId w:val="12"/>
  </w:num>
  <w:num w:numId="13" w16cid:durableId="817302301">
    <w:abstractNumId w:val="9"/>
  </w:num>
  <w:num w:numId="14" w16cid:durableId="626005562">
    <w:abstractNumId w:val="5"/>
    <w:lvlOverride w:ilvl="0">
      <w:startOverride w:val="1"/>
    </w:lvlOverride>
  </w:num>
  <w:num w:numId="15" w16cid:durableId="410664357">
    <w:abstractNumId w:val="3"/>
  </w:num>
  <w:num w:numId="16" w16cid:durableId="69160849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25"/>
    <w:rsid w:val="00000BD4"/>
    <w:rsid w:val="00001647"/>
    <w:rsid w:val="00001F14"/>
    <w:rsid w:val="00003568"/>
    <w:rsid w:val="0000386B"/>
    <w:rsid w:val="00004F33"/>
    <w:rsid w:val="0000536C"/>
    <w:rsid w:val="000053C0"/>
    <w:rsid w:val="00005C32"/>
    <w:rsid w:val="000066DE"/>
    <w:rsid w:val="00006CA6"/>
    <w:rsid w:val="000103F7"/>
    <w:rsid w:val="00010896"/>
    <w:rsid w:val="00011512"/>
    <w:rsid w:val="00013D90"/>
    <w:rsid w:val="00014463"/>
    <w:rsid w:val="0001490F"/>
    <w:rsid w:val="000156A9"/>
    <w:rsid w:val="00017802"/>
    <w:rsid w:val="00017D6C"/>
    <w:rsid w:val="0002022E"/>
    <w:rsid w:val="0002080F"/>
    <w:rsid w:val="00021213"/>
    <w:rsid w:val="0002128A"/>
    <w:rsid w:val="00022331"/>
    <w:rsid w:val="00023C86"/>
    <w:rsid w:val="00025939"/>
    <w:rsid w:val="0003118F"/>
    <w:rsid w:val="00031CE6"/>
    <w:rsid w:val="00032DD4"/>
    <w:rsid w:val="00032FCA"/>
    <w:rsid w:val="000333B4"/>
    <w:rsid w:val="000333C2"/>
    <w:rsid w:val="00033E13"/>
    <w:rsid w:val="000343B3"/>
    <w:rsid w:val="00034806"/>
    <w:rsid w:val="00034897"/>
    <w:rsid w:val="000349A0"/>
    <w:rsid w:val="00034B75"/>
    <w:rsid w:val="00035E4C"/>
    <w:rsid w:val="000362C5"/>
    <w:rsid w:val="000377C4"/>
    <w:rsid w:val="00040A82"/>
    <w:rsid w:val="00041236"/>
    <w:rsid w:val="00041709"/>
    <w:rsid w:val="000439EB"/>
    <w:rsid w:val="0004403B"/>
    <w:rsid w:val="00044CF4"/>
    <w:rsid w:val="000451D8"/>
    <w:rsid w:val="00045811"/>
    <w:rsid w:val="00047F06"/>
    <w:rsid w:val="000505AA"/>
    <w:rsid w:val="00051229"/>
    <w:rsid w:val="000515F1"/>
    <w:rsid w:val="0005174D"/>
    <w:rsid w:val="00051DAB"/>
    <w:rsid w:val="00053047"/>
    <w:rsid w:val="00053646"/>
    <w:rsid w:val="00056039"/>
    <w:rsid w:val="00061E6B"/>
    <w:rsid w:val="00061EE4"/>
    <w:rsid w:val="000628D3"/>
    <w:rsid w:val="00064814"/>
    <w:rsid w:val="00065050"/>
    <w:rsid w:val="000652BB"/>
    <w:rsid w:val="00065425"/>
    <w:rsid w:val="000671C0"/>
    <w:rsid w:val="00067583"/>
    <w:rsid w:val="0007042D"/>
    <w:rsid w:val="000706DA"/>
    <w:rsid w:val="00072D76"/>
    <w:rsid w:val="00073663"/>
    <w:rsid w:val="00073D98"/>
    <w:rsid w:val="00073E25"/>
    <w:rsid w:val="000757AD"/>
    <w:rsid w:val="000764E4"/>
    <w:rsid w:val="00076D8A"/>
    <w:rsid w:val="000777B4"/>
    <w:rsid w:val="00080EB1"/>
    <w:rsid w:val="000811D3"/>
    <w:rsid w:val="00081670"/>
    <w:rsid w:val="00082923"/>
    <w:rsid w:val="00082CA2"/>
    <w:rsid w:val="000835E9"/>
    <w:rsid w:val="00083E7B"/>
    <w:rsid w:val="00084465"/>
    <w:rsid w:val="000844EB"/>
    <w:rsid w:val="00085970"/>
    <w:rsid w:val="00085B77"/>
    <w:rsid w:val="00085F26"/>
    <w:rsid w:val="00087DB7"/>
    <w:rsid w:val="00090470"/>
    <w:rsid w:val="0009280E"/>
    <w:rsid w:val="00094D64"/>
    <w:rsid w:val="00095D82"/>
    <w:rsid w:val="0009626E"/>
    <w:rsid w:val="0009700D"/>
    <w:rsid w:val="000A00B7"/>
    <w:rsid w:val="000A05B2"/>
    <w:rsid w:val="000A10E2"/>
    <w:rsid w:val="000A1D34"/>
    <w:rsid w:val="000A2617"/>
    <w:rsid w:val="000A2AC6"/>
    <w:rsid w:val="000A45A2"/>
    <w:rsid w:val="000A5578"/>
    <w:rsid w:val="000A7765"/>
    <w:rsid w:val="000B286B"/>
    <w:rsid w:val="000B2BCC"/>
    <w:rsid w:val="000C077A"/>
    <w:rsid w:val="000C0C57"/>
    <w:rsid w:val="000C0FC2"/>
    <w:rsid w:val="000C1262"/>
    <w:rsid w:val="000C197A"/>
    <w:rsid w:val="000C2099"/>
    <w:rsid w:val="000C23B7"/>
    <w:rsid w:val="000C23BF"/>
    <w:rsid w:val="000C24C0"/>
    <w:rsid w:val="000C42AC"/>
    <w:rsid w:val="000C64C8"/>
    <w:rsid w:val="000C78FD"/>
    <w:rsid w:val="000C7AAF"/>
    <w:rsid w:val="000C7D99"/>
    <w:rsid w:val="000D0126"/>
    <w:rsid w:val="000D0B9E"/>
    <w:rsid w:val="000D2587"/>
    <w:rsid w:val="000D2A03"/>
    <w:rsid w:val="000D3CD2"/>
    <w:rsid w:val="000D3D65"/>
    <w:rsid w:val="000D4FCC"/>
    <w:rsid w:val="000D5080"/>
    <w:rsid w:val="000D55A0"/>
    <w:rsid w:val="000D66CF"/>
    <w:rsid w:val="000D76CD"/>
    <w:rsid w:val="000E063B"/>
    <w:rsid w:val="000E0872"/>
    <w:rsid w:val="000E1410"/>
    <w:rsid w:val="000E1BD6"/>
    <w:rsid w:val="000E1C64"/>
    <w:rsid w:val="000E1EA5"/>
    <w:rsid w:val="000E3C8D"/>
    <w:rsid w:val="000E4E32"/>
    <w:rsid w:val="000E4FA4"/>
    <w:rsid w:val="000E56C0"/>
    <w:rsid w:val="000E6E78"/>
    <w:rsid w:val="000E6EA6"/>
    <w:rsid w:val="000F10D9"/>
    <w:rsid w:val="000F2018"/>
    <w:rsid w:val="000F2BE5"/>
    <w:rsid w:val="000F337C"/>
    <w:rsid w:val="000F3A39"/>
    <w:rsid w:val="000F3E16"/>
    <w:rsid w:val="000F5B57"/>
    <w:rsid w:val="000F798D"/>
    <w:rsid w:val="00101542"/>
    <w:rsid w:val="00101AB8"/>
    <w:rsid w:val="00102FA9"/>
    <w:rsid w:val="001034EC"/>
    <w:rsid w:val="00103E4D"/>
    <w:rsid w:val="00104D3A"/>
    <w:rsid w:val="00105BAB"/>
    <w:rsid w:val="00106729"/>
    <w:rsid w:val="00106EA5"/>
    <w:rsid w:val="001104F6"/>
    <w:rsid w:val="00110964"/>
    <w:rsid w:val="00112811"/>
    <w:rsid w:val="00112860"/>
    <w:rsid w:val="001135D5"/>
    <w:rsid w:val="00114CFE"/>
    <w:rsid w:val="00115829"/>
    <w:rsid w:val="0011600D"/>
    <w:rsid w:val="0011709E"/>
    <w:rsid w:val="00117196"/>
    <w:rsid w:val="001171AE"/>
    <w:rsid w:val="001173BE"/>
    <w:rsid w:val="00117E21"/>
    <w:rsid w:val="00120DD2"/>
    <w:rsid w:val="00123FA6"/>
    <w:rsid w:val="001246D9"/>
    <w:rsid w:val="0012543D"/>
    <w:rsid w:val="001279C8"/>
    <w:rsid w:val="00130DE6"/>
    <w:rsid w:val="00130EEA"/>
    <w:rsid w:val="001311EF"/>
    <w:rsid w:val="001327A7"/>
    <w:rsid w:val="00132B10"/>
    <w:rsid w:val="001367D7"/>
    <w:rsid w:val="00136F44"/>
    <w:rsid w:val="00140602"/>
    <w:rsid w:val="00140BEE"/>
    <w:rsid w:val="001418F8"/>
    <w:rsid w:val="001419FB"/>
    <w:rsid w:val="00142C12"/>
    <w:rsid w:val="00143C74"/>
    <w:rsid w:val="001440D5"/>
    <w:rsid w:val="00146523"/>
    <w:rsid w:val="00146F2D"/>
    <w:rsid w:val="001502DC"/>
    <w:rsid w:val="001509D6"/>
    <w:rsid w:val="001512C1"/>
    <w:rsid w:val="001513C7"/>
    <w:rsid w:val="00151461"/>
    <w:rsid w:val="00151A71"/>
    <w:rsid w:val="00152262"/>
    <w:rsid w:val="00152273"/>
    <w:rsid w:val="001524C3"/>
    <w:rsid w:val="00152AF1"/>
    <w:rsid w:val="00152E45"/>
    <w:rsid w:val="001543FF"/>
    <w:rsid w:val="00154590"/>
    <w:rsid w:val="001549E9"/>
    <w:rsid w:val="00154FB1"/>
    <w:rsid w:val="00156613"/>
    <w:rsid w:val="001603CA"/>
    <w:rsid w:val="00160556"/>
    <w:rsid w:val="0016065F"/>
    <w:rsid w:val="00162A68"/>
    <w:rsid w:val="00162D7C"/>
    <w:rsid w:val="00163161"/>
    <w:rsid w:val="001632D2"/>
    <w:rsid w:val="00165571"/>
    <w:rsid w:val="001666D8"/>
    <w:rsid w:val="00167D6C"/>
    <w:rsid w:val="0017153E"/>
    <w:rsid w:val="00174FE9"/>
    <w:rsid w:val="00175022"/>
    <w:rsid w:val="00176655"/>
    <w:rsid w:val="001770A8"/>
    <w:rsid w:val="001773EF"/>
    <w:rsid w:val="00180CD7"/>
    <w:rsid w:val="001834E0"/>
    <w:rsid w:val="00183EF6"/>
    <w:rsid w:val="001842F7"/>
    <w:rsid w:val="00184487"/>
    <w:rsid w:val="00184B7D"/>
    <w:rsid w:val="00185396"/>
    <w:rsid w:val="00185B5C"/>
    <w:rsid w:val="00185E21"/>
    <w:rsid w:val="00186344"/>
    <w:rsid w:val="00187B4A"/>
    <w:rsid w:val="001900AD"/>
    <w:rsid w:val="001905A8"/>
    <w:rsid w:val="00192240"/>
    <w:rsid w:val="00192376"/>
    <w:rsid w:val="00192DBA"/>
    <w:rsid w:val="0019336C"/>
    <w:rsid w:val="00193C13"/>
    <w:rsid w:val="00194112"/>
    <w:rsid w:val="00195EA7"/>
    <w:rsid w:val="001A060A"/>
    <w:rsid w:val="001A068E"/>
    <w:rsid w:val="001A1A59"/>
    <w:rsid w:val="001A1BB4"/>
    <w:rsid w:val="001A2420"/>
    <w:rsid w:val="001A2BC2"/>
    <w:rsid w:val="001A47EC"/>
    <w:rsid w:val="001A529D"/>
    <w:rsid w:val="001A55DC"/>
    <w:rsid w:val="001B09DD"/>
    <w:rsid w:val="001B26F7"/>
    <w:rsid w:val="001B2A40"/>
    <w:rsid w:val="001B304E"/>
    <w:rsid w:val="001B4A6C"/>
    <w:rsid w:val="001B5B10"/>
    <w:rsid w:val="001C1116"/>
    <w:rsid w:val="001C19B9"/>
    <w:rsid w:val="001C2002"/>
    <w:rsid w:val="001C21EF"/>
    <w:rsid w:val="001C455D"/>
    <w:rsid w:val="001C5D13"/>
    <w:rsid w:val="001C5FE0"/>
    <w:rsid w:val="001C6916"/>
    <w:rsid w:val="001C7AEC"/>
    <w:rsid w:val="001C7C39"/>
    <w:rsid w:val="001D1734"/>
    <w:rsid w:val="001D18BA"/>
    <w:rsid w:val="001D2709"/>
    <w:rsid w:val="001D2733"/>
    <w:rsid w:val="001D2B62"/>
    <w:rsid w:val="001D349C"/>
    <w:rsid w:val="001D3A2E"/>
    <w:rsid w:val="001D3D6A"/>
    <w:rsid w:val="001D5186"/>
    <w:rsid w:val="001D66D0"/>
    <w:rsid w:val="001D7053"/>
    <w:rsid w:val="001D74D5"/>
    <w:rsid w:val="001D7950"/>
    <w:rsid w:val="001D7E2E"/>
    <w:rsid w:val="001E2295"/>
    <w:rsid w:val="001E2921"/>
    <w:rsid w:val="001E53AD"/>
    <w:rsid w:val="001E5633"/>
    <w:rsid w:val="001E5CB1"/>
    <w:rsid w:val="001E5D14"/>
    <w:rsid w:val="001E6121"/>
    <w:rsid w:val="001E6160"/>
    <w:rsid w:val="001E6870"/>
    <w:rsid w:val="001E7226"/>
    <w:rsid w:val="001F025F"/>
    <w:rsid w:val="001F13F5"/>
    <w:rsid w:val="001F20F8"/>
    <w:rsid w:val="001F2678"/>
    <w:rsid w:val="001F2A57"/>
    <w:rsid w:val="001F3404"/>
    <w:rsid w:val="001F35A3"/>
    <w:rsid w:val="001F3AEE"/>
    <w:rsid w:val="001F5215"/>
    <w:rsid w:val="001F5344"/>
    <w:rsid w:val="001F66A6"/>
    <w:rsid w:val="001F7201"/>
    <w:rsid w:val="001F73F4"/>
    <w:rsid w:val="00200258"/>
    <w:rsid w:val="0020026C"/>
    <w:rsid w:val="00201144"/>
    <w:rsid w:val="00201BE1"/>
    <w:rsid w:val="00204269"/>
    <w:rsid w:val="00204D08"/>
    <w:rsid w:val="00205CCE"/>
    <w:rsid w:val="002076C8"/>
    <w:rsid w:val="00207D65"/>
    <w:rsid w:val="002103C3"/>
    <w:rsid w:val="00210F5F"/>
    <w:rsid w:val="002112FE"/>
    <w:rsid w:val="002113E4"/>
    <w:rsid w:val="00211A93"/>
    <w:rsid w:val="00212704"/>
    <w:rsid w:val="0021434C"/>
    <w:rsid w:val="00214667"/>
    <w:rsid w:val="002153A4"/>
    <w:rsid w:val="00216DE6"/>
    <w:rsid w:val="002173D9"/>
    <w:rsid w:val="0022023A"/>
    <w:rsid w:val="00220D86"/>
    <w:rsid w:val="00221F83"/>
    <w:rsid w:val="00222230"/>
    <w:rsid w:val="00222273"/>
    <w:rsid w:val="0022315D"/>
    <w:rsid w:val="002233B0"/>
    <w:rsid w:val="00224BD0"/>
    <w:rsid w:val="00224DC4"/>
    <w:rsid w:val="002251CE"/>
    <w:rsid w:val="00227504"/>
    <w:rsid w:val="00227EF7"/>
    <w:rsid w:val="00230369"/>
    <w:rsid w:val="002309C1"/>
    <w:rsid w:val="00230EAA"/>
    <w:rsid w:val="0023231E"/>
    <w:rsid w:val="00232B60"/>
    <w:rsid w:val="002332BE"/>
    <w:rsid w:val="00233741"/>
    <w:rsid w:val="002344DD"/>
    <w:rsid w:val="00234F1C"/>
    <w:rsid w:val="002355DE"/>
    <w:rsid w:val="002359E7"/>
    <w:rsid w:val="00235CA1"/>
    <w:rsid w:val="002365A3"/>
    <w:rsid w:val="0023710B"/>
    <w:rsid w:val="002374E0"/>
    <w:rsid w:val="00237DF0"/>
    <w:rsid w:val="00237EBA"/>
    <w:rsid w:val="00240206"/>
    <w:rsid w:val="00240896"/>
    <w:rsid w:val="00240B13"/>
    <w:rsid w:val="0024160A"/>
    <w:rsid w:val="00241711"/>
    <w:rsid w:val="00241EF6"/>
    <w:rsid w:val="0024225D"/>
    <w:rsid w:val="00242CAE"/>
    <w:rsid w:val="00244B06"/>
    <w:rsid w:val="00245C39"/>
    <w:rsid w:val="0024657B"/>
    <w:rsid w:val="002465D1"/>
    <w:rsid w:val="00250267"/>
    <w:rsid w:val="00250865"/>
    <w:rsid w:val="00250FA0"/>
    <w:rsid w:val="002519E6"/>
    <w:rsid w:val="00251EA4"/>
    <w:rsid w:val="00251EEE"/>
    <w:rsid w:val="00252AEE"/>
    <w:rsid w:val="002547DD"/>
    <w:rsid w:val="0025499F"/>
    <w:rsid w:val="00254EF7"/>
    <w:rsid w:val="00257774"/>
    <w:rsid w:val="00257AC3"/>
    <w:rsid w:val="00260BF8"/>
    <w:rsid w:val="00261C56"/>
    <w:rsid w:val="00262CB8"/>
    <w:rsid w:val="00264775"/>
    <w:rsid w:val="002676C8"/>
    <w:rsid w:val="00271131"/>
    <w:rsid w:val="0027123D"/>
    <w:rsid w:val="00271585"/>
    <w:rsid w:val="00273B9C"/>
    <w:rsid w:val="00273E38"/>
    <w:rsid w:val="002740E7"/>
    <w:rsid w:val="00276377"/>
    <w:rsid w:val="002779CC"/>
    <w:rsid w:val="0028139F"/>
    <w:rsid w:val="00281A25"/>
    <w:rsid w:val="0028220C"/>
    <w:rsid w:val="002826D1"/>
    <w:rsid w:val="00283E18"/>
    <w:rsid w:val="002852C9"/>
    <w:rsid w:val="00287E46"/>
    <w:rsid w:val="002902AE"/>
    <w:rsid w:val="002903BA"/>
    <w:rsid w:val="002906FA"/>
    <w:rsid w:val="00290DA0"/>
    <w:rsid w:val="00291B66"/>
    <w:rsid w:val="00293419"/>
    <w:rsid w:val="00295ED9"/>
    <w:rsid w:val="00296028"/>
    <w:rsid w:val="002979C0"/>
    <w:rsid w:val="002A0FFD"/>
    <w:rsid w:val="002A2BAE"/>
    <w:rsid w:val="002A2D28"/>
    <w:rsid w:val="002A2E3F"/>
    <w:rsid w:val="002A332F"/>
    <w:rsid w:val="002A5411"/>
    <w:rsid w:val="002A6E3E"/>
    <w:rsid w:val="002A6EA9"/>
    <w:rsid w:val="002A7262"/>
    <w:rsid w:val="002A772D"/>
    <w:rsid w:val="002A7D57"/>
    <w:rsid w:val="002B05F0"/>
    <w:rsid w:val="002B1A73"/>
    <w:rsid w:val="002B1DA0"/>
    <w:rsid w:val="002B20EE"/>
    <w:rsid w:val="002B304B"/>
    <w:rsid w:val="002B38BF"/>
    <w:rsid w:val="002B39EA"/>
    <w:rsid w:val="002B3EC6"/>
    <w:rsid w:val="002B4062"/>
    <w:rsid w:val="002B4B29"/>
    <w:rsid w:val="002B4B50"/>
    <w:rsid w:val="002B5278"/>
    <w:rsid w:val="002B7DE4"/>
    <w:rsid w:val="002C04D3"/>
    <w:rsid w:val="002C05D1"/>
    <w:rsid w:val="002C085A"/>
    <w:rsid w:val="002C0C48"/>
    <w:rsid w:val="002C17C2"/>
    <w:rsid w:val="002C292F"/>
    <w:rsid w:val="002C3CF2"/>
    <w:rsid w:val="002C3E11"/>
    <w:rsid w:val="002C4F67"/>
    <w:rsid w:val="002C5315"/>
    <w:rsid w:val="002C5B9F"/>
    <w:rsid w:val="002C6351"/>
    <w:rsid w:val="002D04D0"/>
    <w:rsid w:val="002D10FC"/>
    <w:rsid w:val="002D1C6F"/>
    <w:rsid w:val="002D23FF"/>
    <w:rsid w:val="002D243D"/>
    <w:rsid w:val="002D286F"/>
    <w:rsid w:val="002D2B53"/>
    <w:rsid w:val="002D3478"/>
    <w:rsid w:val="002D3F34"/>
    <w:rsid w:val="002D411B"/>
    <w:rsid w:val="002D494D"/>
    <w:rsid w:val="002D633C"/>
    <w:rsid w:val="002D6632"/>
    <w:rsid w:val="002D70AD"/>
    <w:rsid w:val="002E042E"/>
    <w:rsid w:val="002E0513"/>
    <w:rsid w:val="002E052A"/>
    <w:rsid w:val="002E0D8B"/>
    <w:rsid w:val="002E279D"/>
    <w:rsid w:val="002E2F32"/>
    <w:rsid w:val="002E45F7"/>
    <w:rsid w:val="002E5936"/>
    <w:rsid w:val="002E6ABB"/>
    <w:rsid w:val="002F0437"/>
    <w:rsid w:val="002F06AC"/>
    <w:rsid w:val="002F231D"/>
    <w:rsid w:val="002F34EE"/>
    <w:rsid w:val="002F4911"/>
    <w:rsid w:val="002F5834"/>
    <w:rsid w:val="002F5D3E"/>
    <w:rsid w:val="002F6419"/>
    <w:rsid w:val="002F6CED"/>
    <w:rsid w:val="002F7355"/>
    <w:rsid w:val="003001E7"/>
    <w:rsid w:val="003007BE"/>
    <w:rsid w:val="00300B00"/>
    <w:rsid w:val="00301858"/>
    <w:rsid w:val="00301BE5"/>
    <w:rsid w:val="00301BF5"/>
    <w:rsid w:val="00302223"/>
    <w:rsid w:val="00302C2F"/>
    <w:rsid w:val="00302E28"/>
    <w:rsid w:val="00303B37"/>
    <w:rsid w:val="00304751"/>
    <w:rsid w:val="00304B47"/>
    <w:rsid w:val="00304BBA"/>
    <w:rsid w:val="0030557D"/>
    <w:rsid w:val="0030760B"/>
    <w:rsid w:val="0031021A"/>
    <w:rsid w:val="00310268"/>
    <w:rsid w:val="003127A9"/>
    <w:rsid w:val="0031402C"/>
    <w:rsid w:val="003161A9"/>
    <w:rsid w:val="0031673A"/>
    <w:rsid w:val="003171DA"/>
    <w:rsid w:val="0032169B"/>
    <w:rsid w:val="00321C89"/>
    <w:rsid w:val="00322132"/>
    <w:rsid w:val="00323349"/>
    <w:rsid w:val="00323474"/>
    <w:rsid w:val="00325213"/>
    <w:rsid w:val="003256F4"/>
    <w:rsid w:val="0032639E"/>
    <w:rsid w:val="00326C20"/>
    <w:rsid w:val="003272CA"/>
    <w:rsid w:val="003272D4"/>
    <w:rsid w:val="0032730B"/>
    <w:rsid w:val="00327592"/>
    <w:rsid w:val="00330A86"/>
    <w:rsid w:val="00330B8D"/>
    <w:rsid w:val="003316EF"/>
    <w:rsid w:val="00331BB7"/>
    <w:rsid w:val="00331D8F"/>
    <w:rsid w:val="00331F88"/>
    <w:rsid w:val="00332CD7"/>
    <w:rsid w:val="0033365A"/>
    <w:rsid w:val="00333DAD"/>
    <w:rsid w:val="00335F6F"/>
    <w:rsid w:val="00336B32"/>
    <w:rsid w:val="003379C5"/>
    <w:rsid w:val="00340674"/>
    <w:rsid w:val="0034120C"/>
    <w:rsid w:val="0034263C"/>
    <w:rsid w:val="00344326"/>
    <w:rsid w:val="0034437E"/>
    <w:rsid w:val="00344477"/>
    <w:rsid w:val="003446B3"/>
    <w:rsid w:val="00345AA3"/>
    <w:rsid w:val="00345FBD"/>
    <w:rsid w:val="003464CB"/>
    <w:rsid w:val="00346F60"/>
    <w:rsid w:val="00347107"/>
    <w:rsid w:val="00347E50"/>
    <w:rsid w:val="003544BA"/>
    <w:rsid w:val="0035467D"/>
    <w:rsid w:val="003618B4"/>
    <w:rsid w:val="00366556"/>
    <w:rsid w:val="003671F9"/>
    <w:rsid w:val="00371871"/>
    <w:rsid w:val="00373EEA"/>
    <w:rsid w:val="003748C1"/>
    <w:rsid w:val="003750A8"/>
    <w:rsid w:val="00375C45"/>
    <w:rsid w:val="003766E0"/>
    <w:rsid w:val="00376977"/>
    <w:rsid w:val="00376D46"/>
    <w:rsid w:val="003775CE"/>
    <w:rsid w:val="0037782B"/>
    <w:rsid w:val="00377C5F"/>
    <w:rsid w:val="00381F3E"/>
    <w:rsid w:val="0038283F"/>
    <w:rsid w:val="003830A6"/>
    <w:rsid w:val="00385BD5"/>
    <w:rsid w:val="00386DF0"/>
    <w:rsid w:val="003873F4"/>
    <w:rsid w:val="00387EAD"/>
    <w:rsid w:val="00392487"/>
    <w:rsid w:val="003929A2"/>
    <w:rsid w:val="00393934"/>
    <w:rsid w:val="00394ADC"/>
    <w:rsid w:val="0039593B"/>
    <w:rsid w:val="00397239"/>
    <w:rsid w:val="003A0345"/>
    <w:rsid w:val="003A0431"/>
    <w:rsid w:val="003A0514"/>
    <w:rsid w:val="003A06CF"/>
    <w:rsid w:val="003A0EDC"/>
    <w:rsid w:val="003A1069"/>
    <w:rsid w:val="003A1870"/>
    <w:rsid w:val="003A1FE7"/>
    <w:rsid w:val="003A31DA"/>
    <w:rsid w:val="003A35BD"/>
    <w:rsid w:val="003A36F9"/>
    <w:rsid w:val="003A3CF1"/>
    <w:rsid w:val="003A6CD5"/>
    <w:rsid w:val="003A7615"/>
    <w:rsid w:val="003B064C"/>
    <w:rsid w:val="003B0E9A"/>
    <w:rsid w:val="003B17C3"/>
    <w:rsid w:val="003B23A1"/>
    <w:rsid w:val="003B2A6F"/>
    <w:rsid w:val="003B33AF"/>
    <w:rsid w:val="003B35F8"/>
    <w:rsid w:val="003B50D5"/>
    <w:rsid w:val="003B625E"/>
    <w:rsid w:val="003B6A8D"/>
    <w:rsid w:val="003B6AB0"/>
    <w:rsid w:val="003B6FF9"/>
    <w:rsid w:val="003B7AE2"/>
    <w:rsid w:val="003B7F85"/>
    <w:rsid w:val="003C0AB2"/>
    <w:rsid w:val="003C0C6D"/>
    <w:rsid w:val="003C14A8"/>
    <w:rsid w:val="003C1752"/>
    <w:rsid w:val="003C1A0C"/>
    <w:rsid w:val="003C3149"/>
    <w:rsid w:val="003C360C"/>
    <w:rsid w:val="003C376C"/>
    <w:rsid w:val="003C54AD"/>
    <w:rsid w:val="003C5BDE"/>
    <w:rsid w:val="003C5DAF"/>
    <w:rsid w:val="003C639A"/>
    <w:rsid w:val="003C70E0"/>
    <w:rsid w:val="003C75CD"/>
    <w:rsid w:val="003D04E5"/>
    <w:rsid w:val="003D0588"/>
    <w:rsid w:val="003D0E4E"/>
    <w:rsid w:val="003D2D5E"/>
    <w:rsid w:val="003D2DE6"/>
    <w:rsid w:val="003D3342"/>
    <w:rsid w:val="003D36E8"/>
    <w:rsid w:val="003D4E8F"/>
    <w:rsid w:val="003D4FF9"/>
    <w:rsid w:val="003D50E2"/>
    <w:rsid w:val="003D7C1F"/>
    <w:rsid w:val="003E008D"/>
    <w:rsid w:val="003E05B1"/>
    <w:rsid w:val="003E1056"/>
    <w:rsid w:val="003E1DB6"/>
    <w:rsid w:val="003E1F57"/>
    <w:rsid w:val="003E2737"/>
    <w:rsid w:val="003E29CC"/>
    <w:rsid w:val="003E2CAF"/>
    <w:rsid w:val="003E2CEB"/>
    <w:rsid w:val="003E3A8F"/>
    <w:rsid w:val="003E49E8"/>
    <w:rsid w:val="003E60F6"/>
    <w:rsid w:val="003E61A5"/>
    <w:rsid w:val="003E7382"/>
    <w:rsid w:val="003F0964"/>
    <w:rsid w:val="003F31E2"/>
    <w:rsid w:val="003F5304"/>
    <w:rsid w:val="003F64E0"/>
    <w:rsid w:val="003F66C4"/>
    <w:rsid w:val="003F7B4C"/>
    <w:rsid w:val="00400568"/>
    <w:rsid w:val="00402472"/>
    <w:rsid w:val="00403EEA"/>
    <w:rsid w:val="00404C69"/>
    <w:rsid w:val="00404EAA"/>
    <w:rsid w:val="0040624F"/>
    <w:rsid w:val="00406FED"/>
    <w:rsid w:val="00407B0A"/>
    <w:rsid w:val="00407E3B"/>
    <w:rsid w:val="004103D9"/>
    <w:rsid w:val="00410D2D"/>
    <w:rsid w:val="0041157C"/>
    <w:rsid w:val="00411681"/>
    <w:rsid w:val="00411C04"/>
    <w:rsid w:val="00413CE3"/>
    <w:rsid w:val="0041438C"/>
    <w:rsid w:val="004157ED"/>
    <w:rsid w:val="0041597D"/>
    <w:rsid w:val="00415CFD"/>
    <w:rsid w:val="004166C4"/>
    <w:rsid w:val="00420886"/>
    <w:rsid w:val="00420E75"/>
    <w:rsid w:val="00421E5D"/>
    <w:rsid w:val="00422625"/>
    <w:rsid w:val="00422C09"/>
    <w:rsid w:val="00425666"/>
    <w:rsid w:val="00425FBB"/>
    <w:rsid w:val="004263CB"/>
    <w:rsid w:val="004264A3"/>
    <w:rsid w:val="00427560"/>
    <w:rsid w:val="00427953"/>
    <w:rsid w:val="004279D7"/>
    <w:rsid w:val="004312F8"/>
    <w:rsid w:val="00431C95"/>
    <w:rsid w:val="004347B1"/>
    <w:rsid w:val="00434AAB"/>
    <w:rsid w:val="00434BAD"/>
    <w:rsid w:val="00435704"/>
    <w:rsid w:val="00435EB4"/>
    <w:rsid w:val="004362D3"/>
    <w:rsid w:val="00437DC1"/>
    <w:rsid w:val="00441461"/>
    <w:rsid w:val="00442DE1"/>
    <w:rsid w:val="00443A40"/>
    <w:rsid w:val="00444F51"/>
    <w:rsid w:val="0044581D"/>
    <w:rsid w:val="00445D8B"/>
    <w:rsid w:val="004460F2"/>
    <w:rsid w:val="004463C5"/>
    <w:rsid w:val="004469EE"/>
    <w:rsid w:val="0044707D"/>
    <w:rsid w:val="00451296"/>
    <w:rsid w:val="00451927"/>
    <w:rsid w:val="00452435"/>
    <w:rsid w:val="00452616"/>
    <w:rsid w:val="004538B6"/>
    <w:rsid w:val="00453B41"/>
    <w:rsid w:val="00456510"/>
    <w:rsid w:val="004609B2"/>
    <w:rsid w:val="00461DC9"/>
    <w:rsid w:val="00462162"/>
    <w:rsid w:val="004621B0"/>
    <w:rsid w:val="00462401"/>
    <w:rsid w:val="00463567"/>
    <w:rsid w:val="00463C6B"/>
    <w:rsid w:val="00463DE9"/>
    <w:rsid w:val="00464F8D"/>
    <w:rsid w:val="00465E61"/>
    <w:rsid w:val="00471741"/>
    <w:rsid w:val="00473722"/>
    <w:rsid w:val="00475AA8"/>
    <w:rsid w:val="004763FD"/>
    <w:rsid w:val="004765C2"/>
    <w:rsid w:val="0047695B"/>
    <w:rsid w:val="00476F79"/>
    <w:rsid w:val="0048039E"/>
    <w:rsid w:val="00481515"/>
    <w:rsid w:val="00481D9E"/>
    <w:rsid w:val="00481DA9"/>
    <w:rsid w:val="0048297B"/>
    <w:rsid w:val="0048298B"/>
    <w:rsid w:val="00482F4E"/>
    <w:rsid w:val="00483308"/>
    <w:rsid w:val="0048351B"/>
    <w:rsid w:val="0048370F"/>
    <w:rsid w:val="00483BF6"/>
    <w:rsid w:val="00483D10"/>
    <w:rsid w:val="004845DD"/>
    <w:rsid w:val="00485A4B"/>
    <w:rsid w:val="00487C9F"/>
    <w:rsid w:val="00487E9A"/>
    <w:rsid w:val="004902F2"/>
    <w:rsid w:val="00490329"/>
    <w:rsid w:val="004904BF"/>
    <w:rsid w:val="004907F2"/>
    <w:rsid w:val="00490FD2"/>
    <w:rsid w:val="0049390C"/>
    <w:rsid w:val="00493C16"/>
    <w:rsid w:val="0049409A"/>
    <w:rsid w:val="00495635"/>
    <w:rsid w:val="004967BD"/>
    <w:rsid w:val="00496BDE"/>
    <w:rsid w:val="004970B6"/>
    <w:rsid w:val="004A1CEC"/>
    <w:rsid w:val="004A1EB6"/>
    <w:rsid w:val="004A2115"/>
    <w:rsid w:val="004A276E"/>
    <w:rsid w:val="004A453C"/>
    <w:rsid w:val="004A4BD5"/>
    <w:rsid w:val="004A5D6D"/>
    <w:rsid w:val="004A7522"/>
    <w:rsid w:val="004A7C26"/>
    <w:rsid w:val="004B165C"/>
    <w:rsid w:val="004B1D71"/>
    <w:rsid w:val="004B317B"/>
    <w:rsid w:val="004B3458"/>
    <w:rsid w:val="004B435E"/>
    <w:rsid w:val="004B5AC4"/>
    <w:rsid w:val="004B6110"/>
    <w:rsid w:val="004B63D2"/>
    <w:rsid w:val="004B742A"/>
    <w:rsid w:val="004B77DE"/>
    <w:rsid w:val="004C03D2"/>
    <w:rsid w:val="004C0463"/>
    <w:rsid w:val="004C19AD"/>
    <w:rsid w:val="004C1CAE"/>
    <w:rsid w:val="004C3A5D"/>
    <w:rsid w:val="004C4510"/>
    <w:rsid w:val="004C4542"/>
    <w:rsid w:val="004C492C"/>
    <w:rsid w:val="004C50B6"/>
    <w:rsid w:val="004C6791"/>
    <w:rsid w:val="004C6F42"/>
    <w:rsid w:val="004D2793"/>
    <w:rsid w:val="004D2B17"/>
    <w:rsid w:val="004D2BE6"/>
    <w:rsid w:val="004D2C19"/>
    <w:rsid w:val="004D35F4"/>
    <w:rsid w:val="004D4FF4"/>
    <w:rsid w:val="004D68CB"/>
    <w:rsid w:val="004D6CCF"/>
    <w:rsid w:val="004D7EAA"/>
    <w:rsid w:val="004E1E3B"/>
    <w:rsid w:val="004E2638"/>
    <w:rsid w:val="004E2DF9"/>
    <w:rsid w:val="004E36BC"/>
    <w:rsid w:val="004E498B"/>
    <w:rsid w:val="004E59F8"/>
    <w:rsid w:val="004E6272"/>
    <w:rsid w:val="004E6645"/>
    <w:rsid w:val="004E6920"/>
    <w:rsid w:val="004E69C5"/>
    <w:rsid w:val="004E6F97"/>
    <w:rsid w:val="004E78DA"/>
    <w:rsid w:val="004F0C7C"/>
    <w:rsid w:val="004F129D"/>
    <w:rsid w:val="004F1D64"/>
    <w:rsid w:val="004F1E32"/>
    <w:rsid w:val="004F2637"/>
    <w:rsid w:val="004F3A33"/>
    <w:rsid w:val="004F5356"/>
    <w:rsid w:val="004F5F80"/>
    <w:rsid w:val="004F685D"/>
    <w:rsid w:val="004F78B1"/>
    <w:rsid w:val="0050000A"/>
    <w:rsid w:val="00501115"/>
    <w:rsid w:val="00501BBB"/>
    <w:rsid w:val="00502E78"/>
    <w:rsid w:val="005039B8"/>
    <w:rsid w:val="00504F90"/>
    <w:rsid w:val="00505761"/>
    <w:rsid w:val="0050746A"/>
    <w:rsid w:val="00507AF9"/>
    <w:rsid w:val="005100E9"/>
    <w:rsid w:val="0051173F"/>
    <w:rsid w:val="0051192F"/>
    <w:rsid w:val="005120C9"/>
    <w:rsid w:val="00512724"/>
    <w:rsid w:val="00512D26"/>
    <w:rsid w:val="00514438"/>
    <w:rsid w:val="005154CD"/>
    <w:rsid w:val="0051560A"/>
    <w:rsid w:val="0051790C"/>
    <w:rsid w:val="0052051C"/>
    <w:rsid w:val="00520841"/>
    <w:rsid w:val="00522B44"/>
    <w:rsid w:val="005242C3"/>
    <w:rsid w:val="005249C3"/>
    <w:rsid w:val="00524D50"/>
    <w:rsid w:val="00526FD4"/>
    <w:rsid w:val="0052779E"/>
    <w:rsid w:val="00530271"/>
    <w:rsid w:val="00532314"/>
    <w:rsid w:val="00532823"/>
    <w:rsid w:val="00532E0B"/>
    <w:rsid w:val="005331A6"/>
    <w:rsid w:val="00533875"/>
    <w:rsid w:val="00534E1C"/>
    <w:rsid w:val="00534E98"/>
    <w:rsid w:val="005362F1"/>
    <w:rsid w:val="005364DF"/>
    <w:rsid w:val="00537E9B"/>
    <w:rsid w:val="00540529"/>
    <w:rsid w:val="005410A5"/>
    <w:rsid w:val="005416C7"/>
    <w:rsid w:val="00542644"/>
    <w:rsid w:val="005429C1"/>
    <w:rsid w:val="00543BF7"/>
    <w:rsid w:val="00544BE0"/>
    <w:rsid w:val="00545310"/>
    <w:rsid w:val="005468E5"/>
    <w:rsid w:val="005469BA"/>
    <w:rsid w:val="005470F7"/>
    <w:rsid w:val="00547ED5"/>
    <w:rsid w:val="00551117"/>
    <w:rsid w:val="00552E8B"/>
    <w:rsid w:val="00554199"/>
    <w:rsid w:val="005551A0"/>
    <w:rsid w:val="00557454"/>
    <w:rsid w:val="00557DCF"/>
    <w:rsid w:val="0056054A"/>
    <w:rsid w:val="00561AAC"/>
    <w:rsid w:val="00561DC0"/>
    <w:rsid w:val="005646E2"/>
    <w:rsid w:val="005664DE"/>
    <w:rsid w:val="0057064D"/>
    <w:rsid w:val="00570B0C"/>
    <w:rsid w:val="00571216"/>
    <w:rsid w:val="00571DFC"/>
    <w:rsid w:val="00573167"/>
    <w:rsid w:val="00573730"/>
    <w:rsid w:val="00575AAD"/>
    <w:rsid w:val="0057604C"/>
    <w:rsid w:val="0057633F"/>
    <w:rsid w:val="00577743"/>
    <w:rsid w:val="0057790C"/>
    <w:rsid w:val="00581DA5"/>
    <w:rsid w:val="005823C8"/>
    <w:rsid w:val="005824CD"/>
    <w:rsid w:val="00583ACF"/>
    <w:rsid w:val="005849A1"/>
    <w:rsid w:val="0058522D"/>
    <w:rsid w:val="0058622D"/>
    <w:rsid w:val="0058664F"/>
    <w:rsid w:val="005876D8"/>
    <w:rsid w:val="00590756"/>
    <w:rsid w:val="00591177"/>
    <w:rsid w:val="005923EB"/>
    <w:rsid w:val="005924FC"/>
    <w:rsid w:val="005928B8"/>
    <w:rsid w:val="00592FD9"/>
    <w:rsid w:val="005932AF"/>
    <w:rsid w:val="005955AC"/>
    <w:rsid w:val="005964CC"/>
    <w:rsid w:val="00597F92"/>
    <w:rsid w:val="005A01AC"/>
    <w:rsid w:val="005A2080"/>
    <w:rsid w:val="005A29C3"/>
    <w:rsid w:val="005A46D7"/>
    <w:rsid w:val="005A492B"/>
    <w:rsid w:val="005A4F46"/>
    <w:rsid w:val="005A58D4"/>
    <w:rsid w:val="005A593B"/>
    <w:rsid w:val="005A67D7"/>
    <w:rsid w:val="005A6897"/>
    <w:rsid w:val="005A7469"/>
    <w:rsid w:val="005A7C9D"/>
    <w:rsid w:val="005B1EEB"/>
    <w:rsid w:val="005B29C4"/>
    <w:rsid w:val="005B41B3"/>
    <w:rsid w:val="005B6F51"/>
    <w:rsid w:val="005C0C09"/>
    <w:rsid w:val="005C0C3F"/>
    <w:rsid w:val="005C0EE6"/>
    <w:rsid w:val="005C178A"/>
    <w:rsid w:val="005C1CDA"/>
    <w:rsid w:val="005C2148"/>
    <w:rsid w:val="005C3B60"/>
    <w:rsid w:val="005C4EE5"/>
    <w:rsid w:val="005C4F7E"/>
    <w:rsid w:val="005C7459"/>
    <w:rsid w:val="005C77D7"/>
    <w:rsid w:val="005D1EC4"/>
    <w:rsid w:val="005D251C"/>
    <w:rsid w:val="005D3223"/>
    <w:rsid w:val="005D42CF"/>
    <w:rsid w:val="005D4E82"/>
    <w:rsid w:val="005D4EB1"/>
    <w:rsid w:val="005D600B"/>
    <w:rsid w:val="005D780D"/>
    <w:rsid w:val="005E04D2"/>
    <w:rsid w:val="005E2774"/>
    <w:rsid w:val="005E53FF"/>
    <w:rsid w:val="005E5417"/>
    <w:rsid w:val="005E7B68"/>
    <w:rsid w:val="005F5C0C"/>
    <w:rsid w:val="005F5C3D"/>
    <w:rsid w:val="005F5E70"/>
    <w:rsid w:val="005F6B77"/>
    <w:rsid w:val="00600007"/>
    <w:rsid w:val="0060122F"/>
    <w:rsid w:val="006032E5"/>
    <w:rsid w:val="006035C7"/>
    <w:rsid w:val="00604DE5"/>
    <w:rsid w:val="00605A0B"/>
    <w:rsid w:val="00607095"/>
    <w:rsid w:val="006072E5"/>
    <w:rsid w:val="006104A0"/>
    <w:rsid w:val="00610BE1"/>
    <w:rsid w:val="00611BE9"/>
    <w:rsid w:val="00612810"/>
    <w:rsid w:val="00612BDB"/>
    <w:rsid w:val="00612DB2"/>
    <w:rsid w:val="006130DD"/>
    <w:rsid w:val="0061325A"/>
    <w:rsid w:val="00615B50"/>
    <w:rsid w:val="00615CD2"/>
    <w:rsid w:val="00617018"/>
    <w:rsid w:val="0061729A"/>
    <w:rsid w:val="00620DB1"/>
    <w:rsid w:val="00622F83"/>
    <w:rsid w:val="00622F90"/>
    <w:rsid w:val="00624A74"/>
    <w:rsid w:val="0062501B"/>
    <w:rsid w:val="006263CF"/>
    <w:rsid w:val="006266A3"/>
    <w:rsid w:val="00626C70"/>
    <w:rsid w:val="00627D00"/>
    <w:rsid w:val="00631851"/>
    <w:rsid w:val="006319C9"/>
    <w:rsid w:val="006319EA"/>
    <w:rsid w:val="006338C1"/>
    <w:rsid w:val="0063398B"/>
    <w:rsid w:val="006340A1"/>
    <w:rsid w:val="006342FD"/>
    <w:rsid w:val="00634800"/>
    <w:rsid w:val="00634F49"/>
    <w:rsid w:val="0063549B"/>
    <w:rsid w:val="00636507"/>
    <w:rsid w:val="00636C28"/>
    <w:rsid w:val="00640198"/>
    <w:rsid w:val="006407A6"/>
    <w:rsid w:val="006414B5"/>
    <w:rsid w:val="00642940"/>
    <w:rsid w:val="00643239"/>
    <w:rsid w:val="00643AA4"/>
    <w:rsid w:val="0064439E"/>
    <w:rsid w:val="006444BE"/>
    <w:rsid w:val="006445A2"/>
    <w:rsid w:val="00644B0B"/>
    <w:rsid w:val="00646CCD"/>
    <w:rsid w:val="00647818"/>
    <w:rsid w:val="0065036B"/>
    <w:rsid w:val="0065141A"/>
    <w:rsid w:val="00652020"/>
    <w:rsid w:val="00652601"/>
    <w:rsid w:val="0065280C"/>
    <w:rsid w:val="00652ACF"/>
    <w:rsid w:val="00653433"/>
    <w:rsid w:val="00654094"/>
    <w:rsid w:val="006547DF"/>
    <w:rsid w:val="006551FA"/>
    <w:rsid w:val="00655947"/>
    <w:rsid w:val="00655BEF"/>
    <w:rsid w:val="0065706F"/>
    <w:rsid w:val="00657112"/>
    <w:rsid w:val="0065738E"/>
    <w:rsid w:val="0065750A"/>
    <w:rsid w:val="006602DD"/>
    <w:rsid w:val="00660FD9"/>
    <w:rsid w:val="006646F0"/>
    <w:rsid w:val="0066473A"/>
    <w:rsid w:val="006654E1"/>
    <w:rsid w:val="006658B4"/>
    <w:rsid w:val="00667891"/>
    <w:rsid w:val="0067003B"/>
    <w:rsid w:val="00670636"/>
    <w:rsid w:val="00670AC5"/>
    <w:rsid w:val="00672621"/>
    <w:rsid w:val="00672AF2"/>
    <w:rsid w:val="0067348E"/>
    <w:rsid w:val="00673AF3"/>
    <w:rsid w:val="0067514C"/>
    <w:rsid w:val="00675709"/>
    <w:rsid w:val="00675B12"/>
    <w:rsid w:val="00675F2F"/>
    <w:rsid w:val="0067649B"/>
    <w:rsid w:val="00676B70"/>
    <w:rsid w:val="00676CCC"/>
    <w:rsid w:val="0068111E"/>
    <w:rsid w:val="006819A8"/>
    <w:rsid w:val="00683BCA"/>
    <w:rsid w:val="00685659"/>
    <w:rsid w:val="006861B1"/>
    <w:rsid w:val="0068752A"/>
    <w:rsid w:val="00690A72"/>
    <w:rsid w:val="00690DFA"/>
    <w:rsid w:val="006912BB"/>
    <w:rsid w:val="0069135E"/>
    <w:rsid w:val="006913AA"/>
    <w:rsid w:val="006914EA"/>
    <w:rsid w:val="00692465"/>
    <w:rsid w:val="00692854"/>
    <w:rsid w:val="006954BF"/>
    <w:rsid w:val="006957F8"/>
    <w:rsid w:val="00695C03"/>
    <w:rsid w:val="00696BDC"/>
    <w:rsid w:val="006977FE"/>
    <w:rsid w:val="006A035F"/>
    <w:rsid w:val="006A32AC"/>
    <w:rsid w:val="006A3A45"/>
    <w:rsid w:val="006A3AA7"/>
    <w:rsid w:val="006A3D8A"/>
    <w:rsid w:val="006A50AE"/>
    <w:rsid w:val="006A6E42"/>
    <w:rsid w:val="006B06F5"/>
    <w:rsid w:val="006B1C99"/>
    <w:rsid w:val="006B23C8"/>
    <w:rsid w:val="006B368E"/>
    <w:rsid w:val="006B3AF4"/>
    <w:rsid w:val="006B4236"/>
    <w:rsid w:val="006B4A53"/>
    <w:rsid w:val="006B53FF"/>
    <w:rsid w:val="006B5B4B"/>
    <w:rsid w:val="006C1950"/>
    <w:rsid w:val="006C216D"/>
    <w:rsid w:val="006C2CE5"/>
    <w:rsid w:val="006C2D87"/>
    <w:rsid w:val="006C6C14"/>
    <w:rsid w:val="006C759F"/>
    <w:rsid w:val="006D0548"/>
    <w:rsid w:val="006D295E"/>
    <w:rsid w:val="006D3D97"/>
    <w:rsid w:val="006D4EBB"/>
    <w:rsid w:val="006D4F24"/>
    <w:rsid w:val="006D630B"/>
    <w:rsid w:val="006D6E5D"/>
    <w:rsid w:val="006E457F"/>
    <w:rsid w:val="006E48E1"/>
    <w:rsid w:val="006E6930"/>
    <w:rsid w:val="006E7666"/>
    <w:rsid w:val="006F15C4"/>
    <w:rsid w:val="006F15CD"/>
    <w:rsid w:val="006F1BCC"/>
    <w:rsid w:val="006F42D5"/>
    <w:rsid w:val="006F4E9B"/>
    <w:rsid w:val="006F53E1"/>
    <w:rsid w:val="006F5E26"/>
    <w:rsid w:val="006F72B6"/>
    <w:rsid w:val="006F7F5D"/>
    <w:rsid w:val="00702100"/>
    <w:rsid w:val="00703542"/>
    <w:rsid w:val="00704077"/>
    <w:rsid w:val="00705A7F"/>
    <w:rsid w:val="00705D7E"/>
    <w:rsid w:val="00706C1C"/>
    <w:rsid w:val="00707193"/>
    <w:rsid w:val="007120E9"/>
    <w:rsid w:val="00713AA3"/>
    <w:rsid w:val="00713C55"/>
    <w:rsid w:val="007155B3"/>
    <w:rsid w:val="007157C0"/>
    <w:rsid w:val="00715FF5"/>
    <w:rsid w:val="00717397"/>
    <w:rsid w:val="00717B7D"/>
    <w:rsid w:val="00717CAA"/>
    <w:rsid w:val="00724B93"/>
    <w:rsid w:val="00724DD0"/>
    <w:rsid w:val="007256C5"/>
    <w:rsid w:val="00726987"/>
    <w:rsid w:val="00726E20"/>
    <w:rsid w:val="00727FDD"/>
    <w:rsid w:val="007301E2"/>
    <w:rsid w:val="00731864"/>
    <w:rsid w:val="0073236A"/>
    <w:rsid w:val="00733FCB"/>
    <w:rsid w:val="007354E9"/>
    <w:rsid w:val="0073639D"/>
    <w:rsid w:val="007375CC"/>
    <w:rsid w:val="00740C2D"/>
    <w:rsid w:val="00740F4B"/>
    <w:rsid w:val="00741890"/>
    <w:rsid w:val="00743FDC"/>
    <w:rsid w:val="007451F7"/>
    <w:rsid w:val="00747240"/>
    <w:rsid w:val="00747C2D"/>
    <w:rsid w:val="00747D86"/>
    <w:rsid w:val="007510A1"/>
    <w:rsid w:val="00751CEA"/>
    <w:rsid w:val="007528A6"/>
    <w:rsid w:val="00752F2C"/>
    <w:rsid w:val="007546EA"/>
    <w:rsid w:val="00754E2E"/>
    <w:rsid w:val="00755436"/>
    <w:rsid w:val="00755797"/>
    <w:rsid w:val="00755AFF"/>
    <w:rsid w:val="00755C9A"/>
    <w:rsid w:val="00755FA6"/>
    <w:rsid w:val="0075726E"/>
    <w:rsid w:val="0075777E"/>
    <w:rsid w:val="0075791F"/>
    <w:rsid w:val="00757BAD"/>
    <w:rsid w:val="007601DF"/>
    <w:rsid w:val="00761740"/>
    <w:rsid w:val="00761826"/>
    <w:rsid w:val="0076254F"/>
    <w:rsid w:val="00763105"/>
    <w:rsid w:val="007644CB"/>
    <w:rsid w:val="00764C58"/>
    <w:rsid w:val="00764CDE"/>
    <w:rsid w:val="00765313"/>
    <w:rsid w:val="00765328"/>
    <w:rsid w:val="00765500"/>
    <w:rsid w:val="007664A8"/>
    <w:rsid w:val="0076688C"/>
    <w:rsid w:val="00766AA5"/>
    <w:rsid w:val="00766AC1"/>
    <w:rsid w:val="00766E01"/>
    <w:rsid w:val="00767CE5"/>
    <w:rsid w:val="00770839"/>
    <w:rsid w:val="00771ADB"/>
    <w:rsid w:val="00772628"/>
    <w:rsid w:val="00772BC5"/>
    <w:rsid w:val="0077444A"/>
    <w:rsid w:val="00775683"/>
    <w:rsid w:val="0077642E"/>
    <w:rsid w:val="007769A7"/>
    <w:rsid w:val="00776EF1"/>
    <w:rsid w:val="00777A99"/>
    <w:rsid w:val="0078011A"/>
    <w:rsid w:val="0078102C"/>
    <w:rsid w:val="00781721"/>
    <w:rsid w:val="00781A27"/>
    <w:rsid w:val="00781D93"/>
    <w:rsid w:val="007822C8"/>
    <w:rsid w:val="00785673"/>
    <w:rsid w:val="00785D3A"/>
    <w:rsid w:val="00785D67"/>
    <w:rsid w:val="007867B5"/>
    <w:rsid w:val="00786AC4"/>
    <w:rsid w:val="0079053B"/>
    <w:rsid w:val="007918BB"/>
    <w:rsid w:val="00793F4A"/>
    <w:rsid w:val="00794654"/>
    <w:rsid w:val="00795074"/>
    <w:rsid w:val="007966A7"/>
    <w:rsid w:val="007A1B00"/>
    <w:rsid w:val="007A2FEA"/>
    <w:rsid w:val="007A466D"/>
    <w:rsid w:val="007A518A"/>
    <w:rsid w:val="007A572F"/>
    <w:rsid w:val="007A5CB7"/>
    <w:rsid w:val="007A5E17"/>
    <w:rsid w:val="007A72D2"/>
    <w:rsid w:val="007A74E8"/>
    <w:rsid w:val="007B0270"/>
    <w:rsid w:val="007B06AB"/>
    <w:rsid w:val="007B16A0"/>
    <w:rsid w:val="007B1B2C"/>
    <w:rsid w:val="007B213D"/>
    <w:rsid w:val="007B2569"/>
    <w:rsid w:val="007B2D5B"/>
    <w:rsid w:val="007B47FB"/>
    <w:rsid w:val="007B5C43"/>
    <w:rsid w:val="007B5DE8"/>
    <w:rsid w:val="007B61BD"/>
    <w:rsid w:val="007B6B7B"/>
    <w:rsid w:val="007B7509"/>
    <w:rsid w:val="007B78E2"/>
    <w:rsid w:val="007C0938"/>
    <w:rsid w:val="007C0F47"/>
    <w:rsid w:val="007C19D5"/>
    <w:rsid w:val="007C27C4"/>
    <w:rsid w:val="007C28D2"/>
    <w:rsid w:val="007C308C"/>
    <w:rsid w:val="007C4786"/>
    <w:rsid w:val="007C5822"/>
    <w:rsid w:val="007C78ED"/>
    <w:rsid w:val="007C7A48"/>
    <w:rsid w:val="007C7B4A"/>
    <w:rsid w:val="007D0351"/>
    <w:rsid w:val="007D1B54"/>
    <w:rsid w:val="007D641E"/>
    <w:rsid w:val="007E048A"/>
    <w:rsid w:val="007E5A20"/>
    <w:rsid w:val="007E5D5A"/>
    <w:rsid w:val="007E5E3D"/>
    <w:rsid w:val="007F2290"/>
    <w:rsid w:val="007F3475"/>
    <w:rsid w:val="007F3479"/>
    <w:rsid w:val="007F392E"/>
    <w:rsid w:val="007F3C89"/>
    <w:rsid w:val="007F3DF6"/>
    <w:rsid w:val="007F5410"/>
    <w:rsid w:val="007F7116"/>
    <w:rsid w:val="007F77FD"/>
    <w:rsid w:val="00800030"/>
    <w:rsid w:val="008016FD"/>
    <w:rsid w:val="00802EDC"/>
    <w:rsid w:val="00803AC1"/>
    <w:rsid w:val="00806E4C"/>
    <w:rsid w:val="00807B15"/>
    <w:rsid w:val="00807B93"/>
    <w:rsid w:val="00807D28"/>
    <w:rsid w:val="00811007"/>
    <w:rsid w:val="0081100E"/>
    <w:rsid w:val="00811F1B"/>
    <w:rsid w:val="00812547"/>
    <w:rsid w:val="00812710"/>
    <w:rsid w:val="00815CE3"/>
    <w:rsid w:val="00817F0F"/>
    <w:rsid w:val="00821964"/>
    <w:rsid w:val="00821F4B"/>
    <w:rsid w:val="008220D1"/>
    <w:rsid w:val="0082248A"/>
    <w:rsid w:val="008233B1"/>
    <w:rsid w:val="00824139"/>
    <w:rsid w:val="00826CDC"/>
    <w:rsid w:val="00831972"/>
    <w:rsid w:val="00833AF2"/>
    <w:rsid w:val="0083440C"/>
    <w:rsid w:val="0083484F"/>
    <w:rsid w:val="00836334"/>
    <w:rsid w:val="008366CF"/>
    <w:rsid w:val="0083784C"/>
    <w:rsid w:val="00837B80"/>
    <w:rsid w:val="00840A64"/>
    <w:rsid w:val="00842F1B"/>
    <w:rsid w:val="00843C0F"/>
    <w:rsid w:val="0084496C"/>
    <w:rsid w:val="00845D93"/>
    <w:rsid w:val="00847341"/>
    <w:rsid w:val="00851736"/>
    <w:rsid w:val="008527D2"/>
    <w:rsid w:val="0085315E"/>
    <w:rsid w:val="00853A87"/>
    <w:rsid w:val="00853CED"/>
    <w:rsid w:val="008550D6"/>
    <w:rsid w:val="00855E91"/>
    <w:rsid w:val="0085648F"/>
    <w:rsid w:val="008579E3"/>
    <w:rsid w:val="00857CEC"/>
    <w:rsid w:val="008609C0"/>
    <w:rsid w:val="008624E6"/>
    <w:rsid w:val="00863E5B"/>
    <w:rsid w:val="0086490C"/>
    <w:rsid w:val="00867526"/>
    <w:rsid w:val="00867C5E"/>
    <w:rsid w:val="00870482"/>
    <w:rsid w:val="00871F16"/>
    <w:rsid w:val="00873119"/>
    <w:rsid w:val="00875200"/>
    <w:rsid w:val="00875656"/>
    <w:rsid w:val="00875737"/>
    <w:rsid w:val="00875982"/>
    <w:rsid w:val="00876358"/>
    <w:rsid w:val="00876A11"/>
    <w:rsid w:val="00877A05"/>
    <w:rsid w:val="00881D82"/>
    <w:rsid w:val="0088228C"/>
    <w:rsid w:val="008824FD"/>
    <w:rsid w:val="00882617"/>
    <w:rsid w:val="00882C72"/>
    <w:rsid w:val="008837AE"/>
    <w:rsid w:val="00883C3A"/>
    <w:rsid w:val="00883D08"/>
    <w:rsid w:val="008843C3"/>
    <w:rsid w:val="00884CF3"/>
    <w:rsid w:val="00884E88"/>
    <w:rsid w:val="0088784B"/>
    <w:rsid w:val="00887994"/>
    <w:rsid w:val="00890559"/>
    <w:rsid w:val="00890C15"/>
    <w:rsid w:val="00891034"/>
    <w:rsid w:val="00891AB2"/>
    <w:rsid w:val="00891F4F"/>
    <w:rsid w:val="0089565B"/>
    <w:rsid w:val="00895B25"/>
    <w:rsid w:val="0089609B"/>
    <w:rsid w:val="00897174"/>
    <w:rsid w:val="0089742B"/>
    <w:rsid w:val="00897679"/>
    <w:rsid w:val="00897995"/>
    <w:rsid w:val="008A09F6"/>
    <w:rsid w:val="008A1434"/>
    <w:rsid w:val="008A2249"/>
    <w:rsid w:val="008A2B30"/>
    <w:rsid w:val="008A3D68"/>
    <w:rsid w:val="008A3E09"/>
    <w:rsid w:val="008A48D4"/>
    <w:rsid w:val="008A4B02"/>
    <w:rsid w:val="008A6003"/>
    <w:rsid w:val="008A637B"/>
    <w:rsid w:val="008A6B74"/>
    <w:rsid w:val="008B006D"/>
    <w:rsid w:val="008B0269"/>
    <w:rsid w:val="008B0682"/>
    <w:rsid w:val="008B0722"/>
    <w:rsid w:val="008B0EB3"/>
    <w:rsid w:val="008B13A2"/>
    <w:rsid w:val="008B1A9F"/>
    <w:rsid w:val="008B2277"/>
    <w:rsid w:val="008B27D5"/>
    <w:rsid w:val="008B573C"/>
    <w:rsid w:val="008B69F1"/>
    <w:rsid w:val="008B735E"/>
    <w:rsid w:val="008C1221"/>
    <w:rsid w:val="008C18A7"/>
    <w:rsid w:val="008C2728"/>
    <w:rsid w:val="008C27E4"/>
    <w:rsid w:val="008C2E63"/>
    <w:rsid w:val="008C34D3"/>
    <w:rsid w:val="008C3BD0"/>
    <w:rsid w:val="008C3FD6"/>
    <w:rsid w:val="008C41B2"/>
    <w:rsid w:val="008C5AC8"/>
    <w:rsid w:val="008C5E38"/>
    <w:rsid w:val="008C7318"/>
    <w:rsid w:val="008C798D"/>
    <w:rsid w:val="008C7A6C"/>
    <w:rsid w:val="008D0462"/>
    <w:rsid w:val="008D0838"/>
    <w:rsid w:val="008D11FE"/>
    <w:rsid w:val="008D1E6E"/>
    <w:rsid w:val="008D5565"/>
    <w:rsid w:val="008D5984"/>
    <w:rsid w:val="008D5E15"/>
    <w:rsid w:val="008D5F88"/>
    <w:rsid w:val="008D7F7F"/>
    <w:rsid w:val="008E09E0"/>
    <w:rsid w:val="008E161B"/>
    <w:rsid w:val="008E165D"/>
    <w:rsid w:val="008E1D10"/>
    <w:rsid w:val="008E1D67"/>
    <w:rsid w:val="008E1D96"/>
    <w:rsid w:val="008E1DE4"/>
    <w:rsid w:val="008E2BA4"/>
    <w:rsid w:val="008E34B7"/>
    <w:rsid w:val="008E68DD"/>
    <w:rsid w:val="008E68F0"/>
    <w:rsid w:val="008E7E4C"/>
    <w:rsid w:val="008F06F9"/>
    <w:rsid w:val="008F0A24"/>
    <w:rsid w:val="008F13D5"/>
    <w:rsid w:val="008F1F5A"/>
    <w:rsid w:val="008F270C"/>
    <w:rsid w:val="008F34AB"/>
    <w:rsid w:val="008F4789"/>
    <w:rsid w:val="008F4ACB"/>
    <w:rsid w:val="008F5561"/>
    <w:rsid w:val="008F77BB"/>
    <w:rsid w:val="009001F7"/>
    <w:rsid w:val="00904402"/>
    <w:rsid w:val="00904B17"/>
    <w:rsid w:val="009051E6"/>
    <w:rsid w:val="0090593F"/>
    <w:rsid w:val="009070AE"/>
    <w:rsid w:val="00907595"/>
    <w:rsid w:val="009109EA"/>
    <w:rsid w:val="00910F6D"/>
    <w:rsid w:val="00911172"/>
    <w:rsid w:val="00911B5C"/>
    <w:rsid w:val="00912BC6"/>
    <w:rsid w:val="0091323E"/>
    <w:rsid w:val="00914210"/>
    <w:rsid w:val="00914CE3"/>
    <w:rsid w:val="00915152"/>
    <w:rsid w:val="0091516C"/>
    <w:rsid w:val="00915C77"/>
    <w:rsid w:val="0091634D"/>
    <w:rsid w:val="009170F9"/>
    <w:rsid w:val="009204DC"/>
    <w:rsid w:val="00921090"/>
    <w:rsid w:val="00921359"/>
    <w:rsid w:val="009226A2"/>
    <w:rsid w:val="00922A03"/>
    <w:rsid w:val="009230DD"/>
    <w:rsid w:val="00923C55"/>
    <w:rsid w:val="009263F5"/>
    <w:rsid w:val="00926801"/>
    <w:rsid w:val="00926F51"/>
    <w:rsid w:val="009274B0"/>
    <w:rsid w:val="00927701"/>
    <w:rsid w:val="00930D1C"/>
    <w:rsid w:val="0093107B"/>
    <w:rsid w:val="0093108A"/>
    <w:rsid w:val="00931213"/>
    <w:rsid w:val="00931ACD"/>
    <w:rsid w:val="00931FB2"/>
    <w:rsid w:val="0093294A"/>
    <w:rsid w:val="0093463C"/>
    <w:rsid w:val="00937E47"/>
    <w:rsid w:val="00942581"/>
    <w:rsid w:val="00943362"/>
    <w:rsid w:val="00943520"/>
    <w:rsid w:val="0094373E"/>
    <w:rsid w:val="00944C6D"/>
    <w:rsid w:val="00945CE5"/>
    <w:rsid w:val="00947202"/>
    <w:rsid w:val="00950CB4"/>
    <w:rsid w:val="00951E35"/>
    <w:rsid w:val="00953035"/>
    <w:rsid w:val="00953133"/>
    <w:rsid w:val="009549D8"/>
    <w:rsid w:val="00956084"/>
    <w:rsid w:val="00956C9B"/>
    <w:rsid w:val="00956FBC"/>
    <w:rsid w:val="00957299"/>
    <w:rsid w:val="00957642"/>
    <w:rsid w:val="00960386"/>
    <w:rsid w:val="00960BD0"/>
    <w:rsid w:val="00960C72"/>
    <w:rsid w:val="00962751"/>
    <w:rsid w:val="009632DF"/>
    <w:rsid w:val="0096345D"/>
    <w:rsid w:val="00963C9E"/>
    <w:rsid w:val="00963D3C"/>
    <w:rsid w:val="00963FEB"/>
    <w:rsid w:val="009643B7"/>
    <w:rsid w:val="00965A03"/>
    <w:rsid w:val="00966587"/>
    <w:rsid w:val="0097024A"/>
    <w:rsid w:val="009717CD"/>
    <w:rsid w:val="00971DA2"/>
    <w:rsid w:val="009746A5"/>
    <w:rsid w:val="00974D49"/>
    <w:rsid w:val="00974EC5"/>
    <w:rsid w:val="00974FAF"/>
    <w:rsid w:val="00976580"/>
    <w:rsid w:val="00976663"/>
    <w:rsid w:val="00976ACF"/>
    <w:rsid w:val="009772DD"/>
    <w:rsid w:val="00977366"/>
    <w:rsid w:val="009777AE"/>
    <w:rsid w:val="00977FDA"/>
    <w:rsid w:val="00980050"/>
    <w:rsid w:val="009800DA"/>
    <w:rsid w:val="00980F30"/>
    <w:rsid w:val="00981016"/>
    <w:rsid w:val="00981920"/>
    <w:rsid w:val="00982220"/>
    <w:rsid w:val="00983D0C"/>
    <w:rsid w:val="009842F8"/>
    <w:rsid w:val="009844D6"/>
    <w:rsid w:val="00984749"/>
    <w:rsid w:val="00984783"/>
    <w:rsid w:val="00985A2F"/>
    <w:rsid w:val="009900CC"/>
    <w:rsid w:val="009902EC"/>
    <w:rsid w:val="00990D12"/>
    <w:rsid w:val="009918B5"/>
    <w:rsid w:val="009924E4"/>
    <w:rsid w:val="0099265E"/>
    <w:rsid w:val="00992CEC"/>
    <w:rsid w:val="0099362F"/>
    <w:rsid w:val="009942BC"/>
    <w:rsid w:val="00994943"/>
    <w:rsid w:val="009A12F8"/>
    <w:rsid w:val="009A1681"/>
    <w:rsid w:val="009A1831"/>
    <w:rsid w:val="009A2614"/>
    <w:rsid w:val="009A3019"/>
    <w:rsid w:val="009A3B26"/>
    <w:rsid w:val="009A3D64"/>
    <w:rsid w:val="009A4E51"/>
    <w:rsid w:val="009A70D5"/>
    <w:rsid w:val="009A777B"/>
    <w:rsid w:val="009B0A45"/>
    <w:rsid w:val="009B1234"/>
    <w:rsid w:val="009B16B8"/>
    <w:rsid w:val="009B2565"/>
    <w:rsid w:val="009B33AA"/>
    <w:rsid w:val="009B449C"/>
    <w:rsid w:val="009B471C"/>
    <w:rsid w:val="009B5159"/>
    <w:rsid w:val="009B5464"/>
    <w:rsid w:val="009B6264"/>
    <w:rsid w:val="009B67A8"/>
    <w:rsid w:val="009B6B6A"/>
    <w:rsid w:val="009C07B1"/>
    <w:rsid w:val="009C16F8"/>
    <w:rsid w:val="009C1C9B"/>
    <w:rsid w:val="009C246A"/>
    <w:rsid w:val="009C29C1"/>
    <w:rsid w:val="009C4400"/>
    <w:rsid w:val="009C578E"/>
    <w:rsid w:val="009C57BE"/>
    <w:rsid w:val="009C76B9"/>
    <w:rsid w:val="009C7F41"/>
    <w:rsid w:val="009D0D19"/>
    <w:rsid w:val="009D21DD"/>
    <w:rsid w:val="009D2F87"/>
    <w:rsid w:val="009D3B6E"/>
    <w:rsid w:val="009D3F88"/>
    <w:rsid w:val="009D5276"/>
    <w:rsid w:val="009D5533"/>
    <w:rsid w:val="009D5E8E"/>
    <w:rsid w:val="009D5FF0"/>
    <w:rsid w:val="009D65B8"/>
    <w:rsid w:val="009D6D40"/>
    <w:rsid w:val="009D704B"/>
    <w:rsid w:val="009D7D91"/>
    <w:rsid w:val="009D7F61"/>
    <w:rsid w:val="009E06F3"/>
    <w:rsid w:val="009E0ECB"/>
    <w:rsid w:val="009E2768"/>
    <w:rsid w:val="009E341C"/>
    <w:rsid w:val="009E36BB"/>
    <w:rsid w:val="009E3A66"/>
    <w:rsid w:val="009E45C5"/>
    <w:rsid w:val="009E4F94"/>
    <w:rsid w:val="009E6911"/>
    <w:rsid w:val="009F09C6"/>
    <w:rsid w:val="009F29FE"/>
    <w:rsid w:val="009F2A4A"/>
    <w:rsid w:val="009F2D65"/>
    <w:rsid w:val="009F3454"/>
    <w:rsid w:val="009F3652"/>
    <w:rsid w:val="009F4B02"/>
    <w:rsid w:val="009F4BB4"/>
    <w:rsid w:val="009F4FB2"/>
    <w:rsid w:val="009F55C5"/>
    <w:rsid w:val="009F5703"/>
    <w:rsid w:val="009F61CB"/>
    <w:rsid w:val="009F67B5"/>
    <w:rsid w:val="009F6E67"/>
    <w:rsid w:val="009F795A"/>
    <w:rsid w:val="009F7EA4"/>
    <w:rsid w:val="00A0020F"/>
    <w:rsid w:val="00A01D88"/>
    <w:rsid w:val="00A025B6"/>
    <w:rsid w:val="00A039D0"/>
    <w:rsid w:val="00A045BD"/>
    <w:rsid w:val="00A04604"/>
    <w:rsid w:val="00A049CB"/>
    <w:rsid w:val="00A04C9D"/>
    <w:rsid w:val="00A0515B"/>
    <w:rsid w:val="00A0533D"/>
    <w:rsid w:val="00A0582B"/>
    <w:rsid w:val="00A07037"/>
    <w:rsid w:val="00A100C7"/>
    <w:rsid w:val="00A10BE4"/>
    <w:rsid w:val="00A118B2"/>
    <w:rsid w:val="00A12AB7"/>
    <w:rsid w:val="00A132E0"/>
    <w:rsid w:val="00A1487F"/>
    <w:rsid w:val="00A1628A"/>
    <w:rsid w:val="00A16499"/>
    <w:rsid w:val="00A16DE1"/>
    <w:rsid w:val="00A207F8"/>
    <w:rsid w:val="00A21303"/>
    <w:rsid w:val="00A222FB"/>
    <w:rsid w:val="00A22D24"/>
    <w:rsid w:val="00A24CA9"/>
    <w:rsid w:val="00A25A91"/>
    <w:rsid w:val="00A267FF"/>
    <w:rsid w:val="00A300CC"/>
    <w:rsid w:val="00A308C7"/>
    <w:rsid w:val="00A30B75"/>
    <w:rsid w:val="00A3153F"/>
    <w:rsid w:val="00A3236F"/>
    <w:rsid w:val="00A336DE"/>
    <w:rsid w:val="00A338F1"/>
    <w:rsid w:val="00A34BE1"/>
    <w:rsid w:val="00A34D87"/>
    <w:rsid w:val="00A34F45"/>
    <w:rsid w:val="00A3508D"/>
    <w:rsid w:val="00A35AFC"/>
    <w:rsid w:val="00A35D67"/>
    <w:rsid w:val="00A368CB"/>
    <w:rsid w:val="00A372BC"/>
    <w:rsid w:val="00A40151"/>
    <w:rsid w:val="00A42EA4"/>
    <w:rsid w:val="00A44A69"/>
    <w:rsid w:val="00A45014"/>
    <w:rsid w:val="00A45A17"/>
    <w:rsid w:val="00A46CA4"/>
    <w:rsid w:val="00A47820"/>
    <w:rsid w:val="00A47FCB"/>
    <w:rsid w:val="00A500ED"/>
    <w:rsid w:val="00A5118A"/>
    <w:rsid w:val="00A51B96"/>
    <w:rsid w:val="00A51EFB"/>
    <w:rsid w:val="00A522DD"/>
    <w:rsid w:val="00A5329D"/>
    <w:rsid w:val="00A5363F"/>
    <w:rsid w:val="00A53A29"/>
    <w:rsid w:val="00A53D9F"/>
    <w:rsid w:val="00A54765"/>
    <w:rsid w:val="00A54E88"/>
    <w:rsid w:val="00A568A4"/>
    <w:rsid w:val="00A56CFC"/>
    <w:rsid w:val="00A56D4A"/>
    <w:rsid w:val="00A57283"/>
    <w:rsid w:val="00A60617"/>
    <w:rsid w:val="00A618AF"/>
    <w:rsid w:val="00A6191F"/>
    <w:rsid w:val="00A622A1"/>
    <w:rsid w:val="00A62E3A"/>
    <w:rsid w:val="00A633CB"/>
    <w:rsid w:val="00A64F88"/>
    <w:rsid w:val="00A6510D"/>
    <w:rsid w:val="00A651DC"/>
    <w:rsid w:val="00A65E3B"/>
    <w:rsid w:val="00A677D9"/>
    <w:rsid w:val="00A71082"/>
    <w:rsid w:val="00A727B4"/>
    <w:rsid w:val="00A72F15"/>
    <w:rsid w:val="00A73127"/>
    <w:rsid w:val="00A75806"/>
    <w:rsid w:val="00A77249"/>
    <w:rsid w:val="00A774FB"/>
    <w:rsid w:val="00A7773F"/>
    <w:rsid w:val="00A77ACD"/>
    <w:rsid w:val="00A77C50"/>
    <w:rsid w:val="00A8134F"/>
    <w:rsid w:val="00A81466"/>
    <w:rsid w:val="00A81D23"/>
    <w:rsid w:val="00A821E4"/>
    <w:rsid w:val="00A83363"/>
    <w:rsid w:val="00A846C9"/>
    <w:rsid w:val="00A85A0F"/>
    <w:rsid w:val="00A85DC5"/>
    <w:rsid w:val="00A86971"/>
    <w:rsid w:val="00A877FB"/>
    <w:rsid w:val="00A879D9"/>
    <w:rsid w:val="00A87E3E"/>
    <w:rsid w:val="00A915A6"/>
    <w:rsid w:val="00A917A4"/>
    <w:rsid w:val="00A936A7"/>
    <w:rsid w:val="00A937DE"/>
    <w:rsid w:val="00A93E6F"/>
    <w:rsid w:val="00A947FC"/>
    <w:rsid w:val="00A95B0E"/>
    <w:rsid w:val="00AA0283"/>
    <w:rsid w:val="00AA0517"/>
    <w:rsid w:val="00AA16A6"/>
    <w:rsid w:val="00AA1EDE"/>
    <w:rsid w:val="00AA27F3"/>
    <w:rsid w:val="00AA3F83"/>
    <w:rsid w:val="00AA442D"/>
    <w:rsid w:val="00AA563E"/>
    <w:rsid w:val="00AA718A"/>
    <w:rsid w:val="00AA7818"/>
    <w:rsid w:val="00AB6641"/>
    <w:rsid w:val="00AC04B2"/>
    <w:rsid w:val="00AC0ECB"/>
    <w:rsid w:val="00AC14AD"/>
    <w:rsid w:val="00AC16BD"/>
    <w:rsid w:val="00AC1C48"/>
    <w:rsid w:val="00AC231D"/>
    <w:rsid w:val="00AC2E7E"/>
    <w:rsid w:val="00AC33CE"/>
    <w:rsid w:val="00AC3425"/>
    <w:rsid w:val="00AC437A"/>
    <w:rsid w:val="00AC4D61"/>
    <w:rsid w:val="00AC550A"/>
    <w:rsid w:val="00AC57C4"/>
    <w:rsid w:val="00AC6155"/>
    <w:rsid w:val="00AC78D4"/>
    <w:rsid w:val="00AC7A72"/>
    <w:rsid w:val="00AD0075"/>
    <w:rsid w:val="00AD1BDA"/>
    <w:rsid w:val="00AD1F05"/>
    <w:rsid w:val="00AD2EA2"/>
    <w:rsid w:val="00AD42EC"/>
    <w:rsid w:val="00AD5177"/>
    <w:rsid w:val="00AD6011"/>
    <w:rsid w:val="00AD7478"/>
    <w:rsid w:val="00AD75B9"/>
    <w:rsid w:val="00AE0427"/>
    <w:rsid w:val="00AE0B35"/>
    <w:rsid w:val="00AE0D55"/>
    <w:rsid w:val="00AE1A12"/>
    <w:rsid w:val="00AE204C"/>
    <w:rsid w:val="00AE225C"/>
    <w:rsid w:val="00AE2A88"/>
    <w:rsid w:val="00AE2CC2"/>
    <w:rsid w:val="00AE49DF"/>
    <w:rsid w:val="00AE5451"/>
    <w:rsid w:val="00AE6D82"/>
    <w:rsid w:val="00AE7E0A"/>
    <w:rsid w:val="00AF1C6A"/>
    <w:rsid w:val="00AF2A8D"/>
    <w:rsid w:val="00AF340D"/>
    <w:rsid w:val="00AF3FCF"/>
    <w:rsid w:val="00AF4065"/>
    <w:rsid w:val="00AF4478"/>
    <w:rsid w:val="00AF4FF1"/>
    <w:rsid w:val="00AF5662"/>
    <w:rsid w:val="00AF64E9"/>
    <w:rsid w:val="00AF719D"/>
    <w:rsid w:val="00AF7F11"/>
    <w:rsid w:val="00B00143"/>
    <w:rsid w:val="00B018CB"/>
    <w:rsid w:val="00B041B9"/>
    <w:rsid w:val="00B0467B"/>
    <w:rsid w:val="00B06CD9"/>
    <w:rsid w:val="00B07439"/>
    <w:rsid w:val="00B07B68"/>
    <w:rsid w:val="00B07DA3"/>
    <w:rsid w:val="00B07F12"/>
    <w:rsid w:val="00B110D1"/>
    <w:rsid w:val="00B1249B"/>
    <w:rsid w:val="00B137D7"/>
    <w:rsid w:val="00B13ADE"/>
    <w:rsid w:val="00B14E87"/>
    <w:rsid w:val="00B15A69"/>
    <w:rsid w:val="00B15CDF"/>
    <w:rsid w:val="00B16A97"/>
    <w:rsid w:val="00B1762E"/>
    <w:rsid w:val="00B17E88"/>
    <w:rsid w:val="00B208E4"/>
    <w:rsid w:val="00B20E4E"/>
    <w:rsid w:val="00B236DE"/>
    <w:rsid w:val="00B23B0B"/>
    <w:rsid w:val="00B23D7D"/>
    <w:rsid w:val="00B2430D"/>
    <w:rsid w:val="00B250AE"/>
    <w:rsid w:val="00B25BA3"/>
    <w:rsid w:val="00B261C2"/>
    <w:rsid w:val="00B27FF7"/>
    <w:rsid w:val="00B31A06"/>
    <w:rsid w:val="00B322C2"/>
    <w:rsid w:val="00B3262F"/>
    <w:rsid w:val="00B326B5"/>
    <w:rsid w:val="00B3285E"/>
    <w:rsid w:val="00B32BC2"/>
    <w:rsid w:val="00B3358F"/>
    <w:rsid w:val="00B33832"/>
    <w:rsid w:val="00B35E1B"/>
    <w:rsid w:val="00B36543"/>
    <w:rsid w:val="00B37739"/>
    <w:rsid w:val="00B37A25"/>
    <w:rsid w:val="00B37BD2"/>
    <w:rsid w:val="00B40758"/>
    <w:rsid w:val="00B41020"/>
    <w:rsid w:val="00B42180"/>
    <w:rsid w:val="00B44D6E"/>
    <w:rsid w:val="00B45989"/>
    <w:rsid w:val="00B46B11"/>
    <w:rsid w:val="00B47364"/>
    <w:rsid w:val="00B51040"/>
    <w:rsid w:val="00B51FF6"/>
    <w:rsid w:val="00B526FB"/>
    <w:rsid w:val="00B52BBA"/>
    <w:rsid w:val="00B5386E"/>
    <w:rsid w:val="00B5429A"/>
    <w:rsid w:val="00B54F8C"/>
    <w:rsid w:val="00B55193"/>
    <w:rsid w:val="00B56A7F"/>
    <w:rsid w:val="00B56DC6"/>
    <w:rsid w:val="00B5782A"/>
    <w:rsid w:val="00B60060"/>
    <w:rsid w:val="00B60C07"/>
    <w:rsid w:val="00B61BA9"/>
    <w:rsid w:val="00B61BC7"/>
    <w:rsid w:val="00B62B6F"/>
    <w:rsid w:val="00B630DF"/>
    <w:rsid w:val="00B64C79"/>
    <w:rsid w:val="00B658F0"/>
    <w:rsid w:val="00B65B4C"/>
    <w:rsid w:val="00B667B0"/>
    <w:rsid w:val="00B6681E"/>
    <w:rsid w:val="00B675AA"/>
    <w:rsid w:val="00B67BE0"/>
    <w:rsid w:val="00B67C9F"/>
    <w:rsid w:val="00B67EB6"/>
    <w:rsid w:val="00B706AD"/>
    <w:rsid w:val="00B73C6E"/>
    <w:rsid w:val="00B74E03"/>
    <w:rsid w:val="00B75464"/>
    <w:rsid w:val="00B80432"/>
    <w:rsid w:val="00B8138A"/>
    <w:rsid w:val="00B8187B"/>
    <w:rsid w:val="00B82D96"/>
    <w:rsid w:val="00B82FD5"/>
    <w:rsid w:val="00B83095"/>
    <w:rsid w:val="00B83CAE"/>
    <w:rsid w:val="00B84499"/>
    <w:rsid w:val="00B84BAA"/>
    <w:rsid w:val="00B85411"/>
    <w:rsid w:val="00B871CF"/>
    <w:rsid w:val="00B873D1"/>
    <w:rsid w:val="00B91A4E"/>
    <w:rsid w:val="00B92153"/>
    <w:rsid w:val="00B921AE"/>
    <w:rsid w:val="00B92A46"/>
    <w:rsid w:val="00B9315D"/>
    <w:rsid w:val="00B93336"/>
    <w:rsid w:val="00B95555"/>
    <w:rsid w:val="00B95ED9"/>
    <w:rsid w:val="00B979CE"/>
    <w:rsid w:val="00BA1FAA"/>
    <w:rsid w:val="00BA2487"/>
    <w:rsid w:val="00BA27DA"/>
    <w:rsid w:val="00BA3371"/>
    <w:rsid w:val="00BA35C6"/>
    <w:rsid w:val="00BA3B6A"/>
    <w:rsid w:val="00BA4A46"/>
    <w:rsid w:val="00BA5884"/>
    <w:rsid w:val="00BA5BB0"/>
    <w:rsid w:val="00BA6658"/>
    <w:rsid w:val="00BA70FD"/>
    <w:rsid w:val="00BA7D34"/>
    <w:rsid w:val="00BA7D53"/>
    <w:rsid w:val="00BB03C8"/>
    <w:rsid w:val="00BB231C"/>
    <w:rsid w:val="00BB2513"/>
    <w:rsid w:val="00BB3F69"/>
    <w:rsid w:val="00BB4B75"/>
    <w:rsid w:val="00BB511B"/>
    <w:rsid w:val="00BB536E"/>
    <w:rsid w:val="00BB6E2E"/>
    <w:rsid w:val="00BB72AD"/>
    <w:rsid w:val="00BB7540"/>
    <w:rsid w:val="00BB7895"/>
    <w:rsid w:val="00BB7B4A"/>
    <w:rsid w:val="00BC0233"/>
    <w:rsid w:val="00BC1363"/>
    <w:rsid w:val="00BC1EE4"/>
    <w:rsid w:val="00BC2280"/>
    <w:rsid w:val="00BC22F4"/>
    <w:rsid w:val="00BC34C0"/>
    <w:rsid w:val="00BC4850"/>
    <w:rsid w:val="00BC498C"/>
    <w:rsid w:val="00BC4BDE"/>
    <w:rsid w:val="00BC56A8"/>
    <w:rsid w:val="00BC5A8F"/>
    <w:rsid w:val="00BC6B79"/>
    <w:rsid w:val="00BC75C7"/>
    <w:rsid w:val="00BD0ECF"/>
    <w:rsid w:val="00BD15FC"/>
    <w:rsid w:val="00BD17BF"/>
    <w:rsid w:val="00BD1FBD"/>
    <w:rsid w:val="00BD33A3"/>
    <w:rsid w:val="00BD4358"/>
    <w:rsid w:val="00BD5884"/>
    <w:rsid w:val="00BD7B76"/>
    <w:rsid w:val="00BD7F3F"/>
    <w:rsid w:val="00BE145A"/>
    <w:rsid w:val="00BE1DF3"/>
    <w:rsid w:val="00BE33C8"/>
    <w:rsid w:val="00BE373B"/>
    <w:rsid w:val="00BE407C"/>
    <w:rsid w:val="00BE4E17"/>
    <w:rsid w:val="00BE4EDA"/>
    <w:rsid w:val="00BE509C"/>
    <w:rsid w:val="00BE53E2"/>
    <w:rsid w:val="00BE5AC3"/>
    <w:rsid w:val="00BE6552"/>
    <w:rsid w:val="00BE6DCA"/>
    <w:rsid w:val="00BE7F18"/>
    <w:rsid w:val="00BF0051"/>
    <w:rsid w:val="00BF153F"/>
    <w:rsid w:val="00BF2B89"/>
    <w:rsid w:val="00BF4B74"/>
    <w:rsid w:val="00BF4BB9"/>
    <w:rsid w:val="00BF5E71"/>
    <w:rsid w:val="00BF5F27"/>
    <w:rsid w:val="00BF65F0"/>
    <w:rsid w:val="00C01265"/>
    <w:rsid w:val="00C0134D"/>
    <w:rsid w:val="00C0225F"/>
    <w:rsid w:val="00C0229E"/>
    <w:rsid w:val="00C02D79"/>
    <w:rsid w:val="00C040BC"/>
    <w:rsid w:val="00C0440F"/>
    <w:rsid w:val="00C0455E"/>
    <w:rsid w:val="00C05808"/>
    <w:rsid w:val="00C05A7A"/>
    <w:rsid w:val="00C0606E"/>
    <w:rsid w:val="00C06DD9"/>
    <w:rsid w:val="00C06E40"/>
    <w:rsid w:val="00C0747B"/>
    <w:rsid w:val="00C1085C"/>
    <w:rsid w:val="00C10E6A"/>
    <w:rsid w:val="00C12B79"/>
    <w:rsid w:val="00C1380E"/>
    <w:rsid w:val="00C14CEA"/>
    <w:rsid w:val="00C153D1"/>
    <w:rsid w:val="00C16B63"/>
    <w:rsid w:val="00C16C0B"/>
    <w:rsid w:val="00C17284"/>
    <w:rsid w:val="00C17BF4"/>
    <w:rsid w:val="00C17DDE"/>
    <w:rsid w:val="00C20507"/>
    <w:rsid w:val="00C20D48"/>
    <w:rsid w:val="00C21809"/>
    <w:rsid w:val="00C21CC2"/>
    <w:rsid w:val="00C22AE5"/>
    <w:rsid w:val="00C22C71"/>
    <w:rsid w:val="00C22DEB"/>
    <w:rsid w:val="00C23675"/>
    <w:rsid w:val="00C23C26"/>
    <w:rsid w:val="00C23C8E"/>
    <w:rsid w:val="00C2445A"/>
    <w:rsid w:val="00C24F24"/>
    <w:rsid w:val="00C25C25"/>
    <w:rsid w:val="00C25E3F"/>
    <w:rsid w:val="00C26DDB"/>
    <w:rsid w:val="00C274FE"/>
    <w:rsid w:val="00C278BC"/>
    <w:rsid w:val="00C27B65"/>
    <w:rsid w:val="00C30541"/>
    <w:rsid w:val="00C31D18"/>
    <w:rsid w:val="00C31DFE"/>
    <w:rsid w:val="00C3223C"/>
    <w:rsid w:val="00C3545C"/>
    <w:rsid w:val="00C35A78"/>
    <w:rsid w:val="00C36B17"/>
    <w:rsid w:val="00C408EF"/>
    <w:rsid w:val="00C41867"/>
    <w:rsid w:val="00C41D67"/>
    <w:rsid w:val="00C431B4"/>
    <w:rsid w:val="00C439AD"/>
    <w:rsid w:val="00C43C01"/>
    <w:rsid w:val="00C44C2C"/>
    <w:rsid w:val="00C502C9"/>
    <w:rsid w:val="00C504D9"/>
    <w:rsid w:val="00C54A83"/>
    <w:rsid w:val="00C5504E"/>
    <w:rsid w:val="00C5526D"/>
    <w:rsid w:val="00C573D6"/>
    <w:rsid w:val="00C57985"/>
    <w:rsid w:val="00C60FB5"/>
    <w:rsid w:val="00C62918"/>
    <w:rsid w:val="00C636B9"/>
    <w:rsid w:val="00C63855"/>
    <w:rsid w:val="00C63AD3"/>
    <w:rsid w:val="00C64A1D"/>
    <w:rsid w:val="00C663C3"/>
    <w:rsid w:val="00C66F6A"/>
    <w:rsid w:val="00C70FB1"/>
    <w:rsid w:val="00C7164B"/>
    <w:rsid w:val="00C7168C"/>
    <w:rsid w:val="00C7271A"/>
    <w:rsid w:val="00C749F9"/>
    <w:rsid w:val="00C74FD2"/>
    <w:rsid w:val="00C75448"/>
    <w:rsid w:val="00C76634"/>
    <w:rsid w:val="00C76713"/>
    <w:rsid w:val="00C776C4"/>
    <w:rsid w:val="00C81450"/>
    <w:rsid w:val="00C81AAE"/>
    <w:rsid w:val="00C81CB1"/>
    <w:rsid w:val="00C83F22"/>
    <w:rsid w:val="00C86483"/>
    <w:rsid w:val="00C86F64"/>
    <w:rsid w:val="00C8745B"/>
    <w:rsid w:val="00C908BE"/>
    <w:rsid w:val="00C90D48"/>
    <w:rsid w:val="00C923D5"/>
    <w:rsid w:val="00C94BFD"/>
    <w:rsid w:val="00C94CDB"/>
    <w:rsid w:val="00C9525A"/>
    <w:rsid w:val="00C97549"/>
    <w:rsid w:val="00CA1078"/>
    <w:rsid w:val="00CA14B8"/>
    <w:rsid w:val="00CA16D3"/>
    <w:rsid w:val="00CA1831"/>
    <w:rsid w:val="00CA258C"/>
    <w:rsid w:val="00CA2903"/>
    <w:rsid w:val="00CA2E8C"/>
    <w:rsid w:val="00CA3065"/>
    <w:rsid w:val="00CA6CDC"/>
    <w:rsid w:val="00CB1A74"/>
    <w:rsid w:val="00CB2396"/>
    <w:rsid w:val="00CB2620"/>
    <w:rsid w:val="00CB37EF"/>
    <w:rsid w:val="00CB433D"/>
    <w:rsid w:val="00CB7918"/>
    <w:rsid w:val="00CC055E"/>
    <w:rsid w:val="00CC1400"/>
    <w:rsid w:val="00CC2263"/>
    <w:rsid w:val="00CC2BF9"/>
    <w:rsid w:val="00CC435C"/>
    <w:rsid w:val="00CC5CAD"/>
    <w:rsid w:val="00CC6980"/>
    <w:rsid w:val="00CD0429"/>
    <w:rsid w:val="00CD35C8"/>
    <w:rsid w:val="00CD3A71"/>
    <w:rsid w:val="00CD3EF3"/>
    <w:rsid w:val="00CD5118"/>
    <w:rsid w:val="00CD75B8"/>
    <w:rsid w:val="00CD777E"/>
    <w:rsid w:val="00CE0D3F"/>
    <w:rsid w:val="00CE1C1B"/>
    <w:rsid w:val="00CE1E23"/>
    <w:rsid w:val="00CE28D7"/>
    <w:rsid w:val="00CE2F57"/>
    <w:rsid w:val="00CE3A23"/>
    <w:rsid w:val="00CE3B00"/>
    <w:rsid w:val="00CE46EB"/>
    <w:rsid w:val="00CE571E"/>
    <w:rsid w:val="00CE5D00"/>
    <w:rsid w:val="00CE6076"/>
    <w:rsid w:val="00CF01DA"/>
    <w:rsid w:val="00CF1522"/>
    <w:rsid w:val="00CF2A0F"/>
    <w:rsid w:val="00CF2EB8"/>
    <w:rsid w:val="00CF3AD1"/>
    <w:rsid w:val="00CF54BE"/>
    <w:rsid w:val="00CF67D9"/>
    <w:rsid w:val="00CF6DCC"/>
    <w:rsid w:val="00CF79C8"/>
    <w:rsid w:val="00D01537"/>
    <w:rsid w:val="00D015F1"/>
    <w:rsid w:val="00D01768"/>
    <w:rsid w:val="00D0184A"/>
    <w:rsid w:val="00D02012"/>
    <w:rsid w:val="00D031F9"/>
    <w:rsid w:val="00D033EC"/>
    <w:rsid w:val="00D0562C"/>
    <w:rsid w:val="00D057A6"/>
    <w:rsid w:val="00D061E4"/>
    <w:rsid w:val="00D07538"/>
    <w:rsid w:val="00D16623"/>
    <w:rsid w:val="00D17108"/>
    <w:rsid w:val="00D17B9B"/>
    <w:rsid w:val="00D206B4"/>
    <w:rsid w:val="00D225BA"/>
    <w:rsid w:val="00D23F5C"/>
    <w:rsid w:val="00D24E3E"/>
    <w:rsid w:val="00D24ED9"/>
    <w:rsid w:val="00D26379"/>
    <w:rsid w:val="00D27F9E"/>
    <w:rsid w:val="00D31856"/>
    <w:rsid w:val="00D318E5"/>
    <w:rsid w:val="00D32344"/>
    <w:rsid w:val="00D329E5"/>
    <w:rsid w:val="00D32B60"/>
    <w:rsid w:val="00D32D99"/>
    <w:rsid w:val="00D33F87"/>
    <w:rsid w:val="00D345A7"/>
    <w:rsid w:val="00D345E7"/>
    <w:rsid w:val="00D35626"/>
    <w:rsid w:val="00D36759"/>
    <w:rsid w:val="00D3715D"/>
    <w:rsid w:val="00D40C16"/>
    <w:rsid w:val="00D40E17"/>
    <w:rsid w:val="00D41686"/>
    <w:rsid w:val="00D41F1C"/>
    <w:rsid w:val="00D43AE6"/>
    <w:rsid w:val="00D44450"/>
    <w:rsid w:val="00D44E26"/>
    <w:rsid w:val="00D450CF"/>
    <w:rsid w:val="00D45187"/>
    <w:rsid w:val="00D46745"/>
    <w:rsid w:val="00D47404"/>
    <w:rsid w:val="00D47E53"/>
    <w:rsid w:val="00D501D2"/>
    <w:rsid w:val="00D50265"/>
    <w:rsid w:val="00D502DB"/>
    <w:rsid w:val="00D5065A"/>
    <w:rsid w:val="00D50763"/>
    <w:rsid w:val="00D508FF"/>
    <w:rsid w:val="00D52076"/>
    <w:rsid w:val="00D53EDC"/>
    <w:rsid w:val="00D557DF"/>
    <w:rsid w:val="00D567C1"/>
    <w:rsid w:val="00D568E4"/>
    <w:rsid w:val="00D57E2A"/>
    <w:rsid w:val="00D601BF"/>
    <w:rsid w:val="00D60A26"/>
    <w:rsid w:val="00D60C4A"/>
    <w:rsid w:val="00D62362"/>
    <w:rsid w:val="00D62499"/>
    <w:rsid w:val="00D63A14"/>
    <w:rsid w:val="00D65D34"/>
    <w:rsid w:val="00D66E29"/>
    <w:rsid w:val="00D672CA"/>
    <w:rsid w:val="00D70641"/>
    <w:rsid w:val="00D71575"/>
    <w:rsid w:val="00D761FA"/>
    <w:rsid w:val="00D76BF7"/>
    <w:rsid w:val="00D77917"/>
    <w:rsid w:val="00D80D57"/>
    <w:rsid w:val="00D81093"/>
    <w:rsid w:val="00D8276B"/>
    <w:rsid w:val="00D82B56"/>
    <w:rsid w:val="00D84EF0"/>
    <w:rsid w:val="00D85D6A"/>
    <w:rsid w:val="00D861DE"/>
    <w:rsid w:val="00D8709D"/>
    <w:rsid w:val="00D874DF"/>
    <w:rsid w:val="00D87B6D"/>
    <w:rsid w:val="00D909BA"/>
    <w:rsid w:val="00D90E30"/>
    <w:rsid w:val="00D9288B"/>
    <w:rsid w:val="00D95A73"/>
    <w:rsid w:val="00D967A9"/>
    <w:rsid w:val="00D97099"/>
    <w:rsid w:val="00DA03AB"/>
    <w:rsid w:val="00DA0630"/>
    <w:rsid w:val="00DA1515"/>
    <w:rsid w:val="00DA36CA"/>
    <w:rsid w:val="00DA4045"/>
    <w:rsid w:val="00DA410A"/>
    <w:rsid w:val="00DA4D13"/>
    <w:rsid w:val="00DA5737"/>
    <w:rsid w:val="00DA6230"/>
    <w:rsid w:val="00DA6CEA"/>
    <w:rsid w:val="00DA7236"/>
    <w:rsid w:val="00DA79CD"/>
    <w:rsid w:val="00DB0745"/>
    <w:rsid w:val="00DB07F4"/>
    <w:rsid w:val="00DB08EF"/>
    <w:rsid w:val="00DB0FDB"/>
    <w:rsid w:val="00DB27C3"/>
    <w:rsid w:val="00DB344E"/>
    <w:rsid w:val="00DB4A75"/>
    <w:rsid w:val="00DB4ABD"/>
    <w:rsid w:val="00DB4C00"/>
    <w:rsid w:val="00DB4CE1"/>
    <w:rsid w:val="00DB4F85"/>
    <w:rsid w:val="00DB4FFF"/>
    <w:rsid w:val="00DB58E1"/>
    <w:rsid w:val="00DB6B01"/>
    <w:rsid w:val="00DB6B76"/>
    <w:rsid w:val="00DB71A2"/>
    <w:rsid w:val="00DC130E"/>
    <w:rsid w:val="00DC2900"/>
    <w:rsid w:val="00DC7880"/>
    <w:rsid w:val="00DC7FCB"/>
    <w:rsid w:val="00DD0FD5"/>
    <w:rsid w:val="00DD142D"/>
    <w:rsid w:val="00DD1F1A"/>
    <w:rsid w:val="00DD2A3B"/>
    <w:rsid w:val="00DD3BB5"/>
    <w:rsid w:val="00DD4937"/>
    <w:rsid w:val="00DD4962"/>
    <w:rsid w:val="00DD510D"/>
    <w:rsid w:val="00DD68EF"/>
    <w:rsid w:val="00DD6C60"/>
    <w:rsid w:val="00DD6DDD"/>
    <w:rsid w:val="00DE0FFF"/>
    <w:rsid w:val="00DE1D7C"/>
    <w:rsid w:val="00DE3732"/>
    <w:rsid w:val="00DE48B0"/>
    <w:rsid w:val="00DE48B7"/>
    <w:rsid w:val="00DE4913"/>
    <w:rsid w:val="00DE4F4C"/>
    <w:rsid w:val="00DE58CB"/>
    <w:rsid w:val="00DE5B2B"/>
    <w:rsid w:val="00DE6C0F"/>
    <w:rsid w:val="00DE75DD"/>
    <w:rsid w:val="00DE7AA4"/>
    <w:rsid w:val="00DF07DA"/>
    <w:rsid w:val="00DF1205"/>
    <w:rsid w:val="00DF1AB7"/>
    <w:rsid w:val="00DF1D98"/>
    <w:rsid w:val="00DF22FB"/>
    <w:rsid w:val="00DF2AC5"/>
    <w:rsid w:val="00DF3084"/>
    <w:rsid w:val="00DF32CD"/>
    <w:rsid w:val="00DF3BF7"/>
    <w:rsid w:val="00DF5011"/>
    <w:rsid w:val="00DF5617"/>
    <w:rsid w:val="00DF5B90"/>
    <w:rsid w:val="00DF6317"/>
    <w:rsid w:val="00DF6894"/>
    <w:rsid w:val="00DF7ABB"/>
    <w:rsid w:val="00E00776"/>
    <w:rsid w:val="00E01ED8"/>
    <w:rsid w:val="00E02255"/>
    <w:rsid w:val="00E0310A"/>
    <w:rsid w:val="00E050E6"/>
    <w:rsid w:val="00E05B5D"/>
    <w:rsid w:val="00E06601"/>
    <w:rsid w:val="00E06BCB"/>
    <w:rsid w:val="00E07435"/>
    <w:rsid w:val="00E11AE6"/>
    <w:rsid w:val="00E11FF3"/>
    <w:rsid w:val="00E12C83"/>
    <w:rsid w:val="00E13C7D"/>
    <w:rsid w:val="00E13E37"/>
    <w:rsid w:val="00E1445E"/>
    <w:rsid w:val="00E16DC1"/>
    <w:rsid w:val="00E16E30"/>
    <w:rsid w:val="00E2081E"/>
    <w:rsid w:val="00E20FBA"/>
    <w:rsid w:val="00E219A0"/>
    <w:rsid w:val="00E2358B"/>
    <w:rsid w:val="00E23E90"/>
    <w:rsid w:val="00E24326"/>
    <w:rsid w:val="00E2490E"/>
    <w:rsid w:val="00E25679"/>
    <w:rsid w:val="00E25924"/>
    <w:rsid w:val="00E30966"/>
    <w:rsid w:val="00E30D65"/>
    <w:rsid w:val="00E31DE9"/>
    <w:rsid w:val="00E32D2C"/>
    <w:rsid w:val="00E3304A"/>
    <w:rsid w:val="00E331A3"/>
    <w:rsid w:val="00E35BCD"/>
    <w:rsid w:val="00E378B1"/>
    <w:rsid w:val="00E3792B"/>
    <w:rsid w:val="00E402D6"/>
    <w:rsid w:val="00E407FA"/>
    <w:rsid w:val="00E4230D"/>
    <w:rsid w:val="00E42CF9"/>
    <w:rsid w:val="00E42F7A"/>
    <w:rsid w:val="00E434C0"/>
    <w:rsid w:val="00E43D7F"/>
    <w:rsid w:val="00E440C6"/>
    <w:rsid w:val="00E45BFA"/>
    <w:rsid w:val="00E46E29"/>
    <w:rsid w:val="00E46F3E"/>
    <w:rsid w:val="00E504E9"/>
    <w:rsid w:val="00E527B6"/>
    <w:rsid w:val="00E533BC"/>
    <w:rsid w:val="00E535D3"/>
    <w:rsid w:val="00E53F1F"/>
    <w:rsid w:val="00E546E5"/>
    <w:rsid w:val="00E554EB"/>
    <w:rsid w:val="00E55D1A"/>
    <w:rsid w:val="00E578AD"/>
    <w:rsid w:val="00E603DD"/>
    <w:rsid w:val="00E615DB"/>
    <w:rsid w:val="00E61C18"/>
    <w:rsid w:val="00E629C8"/>
    <w:rsid w:val="00E63CFA"/>
    <w:rsid w:val="00E641EF"/>
    <w:rsid w:val="00E641FD"/>
    <w:rsid w:val="00E65068"/>
    <w:rsid w:val="00E650C2"/>
    <w:rsid w:val="00E65300"/>
    <w:rsid w:val="00E65C12"/>
    <w:rsid w:val="00E66B07"/>
    <w:rsid w:val="00E675D3"/>
    <w:rsid w:val="00E67EFF"/>
    <w:rsid w:val="00E70369"/>
    <w:rsid w:val="00E70855"/>
    <w:rsid w:val="00E71328"/>
    <w:rsid w:val="00E73BEB"/>
    <w:rsid w:val="00E7433B"/>
    <w:rsid w:val="00E75F00"/>
    <w:rsid w:val="00E77B61"/>
    <w:rsid w:val="00E77CA0"/>
    <w:rsid w:val="00E77D67"/>
    <w:rsid w:val="00E8064B"/>
    <w:rsid w:val="00E80995"/>
    <w:rsid w:val="00E81AED"/>
    <w:rsid w:val="00E824C7"/>
    <w:rsid w:val="00E829F0"/>
    <w:rsid w:val="00E83961"/>
    <w:rsid w:val="00E8406B"/>
    <w:rsid w:val="00E84DCE"/>
    <w:rsid w:val="00E8539E"/>
    <w:rsid w:val="00E85C8F"/>
    <w:rsid w:val="00E86ADD"/>
    <w:rsid w:val="00E87BB2"/>
    <w:rsid w:val="00E90B03"/>
    <w:rsid w:val="00E90C4C"/>
    <w:rsid w:val="00E924F5"/>
    <w:rsid w:val="00E93221"/>
    <w:rsid w:val="00E9399E"/>
    <w:rsid w:val="00E93D8F"/>
    <w:rsid w:val="00E940F8"/>
    <w:rsid w:val="00E95F9D"/>
    <w:rsid w:val="00E96333"/>
    <w:rsid w:val="00E973C6"/>
    <w:rsid w:val="00EA00A7"/>
    <w:rsid w:val="00EA1EC3"/>
    <w:rsid w:val="00EA1F41"/>
    <w:rsid w:val="00EA1FAA"/>
    <w:rsid w:val="00EA2217"/>
    <w:rsid w:val="00EA2948"/>
    <w:rsid w:val="00EA336C"/>
    <w:rsid w:val="00EA3B79"/>
    <w:rsid w:val="00EA50F7"/>
    <w:rsid w:val="00EA5ECA"/>
    <w:rsid w:val="00EA6580"/>
    <w:rsid w:val="00EA6B15"/>
    <w:rsid w:val="00EA74A0"/>
    <w:rsid w:val="00EA782A"/>
    <w:rsid w:val="00EB04DF"/>
    <w:rsid w:val="00EB174F"/>
    <w:rsid w:val="00EB1C8C"/>
    <w:rsid w:val="00EB1CCF"/>
    <w:rsid w:val="00EB3444"/>
    <w:rsid w:val="00EB448B"/>
    <w:rsid w:val="00EB6187"/>
    <w:rsid w:val="00EB6F2C"/>
    <w:rsid w:val="00EC166B"/>
    <w:rsid w:val="00EC1D19"/>
    <w:rsid w:val="00EC2379"/>
    <w:rsid w:val="00EC2ECF"/>
    <w:rsid w:val="00EC4C01"/>
    <w:rsid w:val="00EC5E66"/>
    <w:rsid w:val="00EC6667"/>
    <w:rsid w:val="00ED2586"/>
    <w:rsid w:val="00ED2EEC"/>
    <w:rsid w:val="00ED3738"/>
    <w:rsid w:val="00ED43E1"/>
    <w:rsid w:val="00ED469B"/>
    <w:rsid w:val="00ED5884"/>
    <w:rsid w:val="00ED668F"/>
    <w:rsid w:val="00EE0C10"/>
    <w:rsid w:val="00EE37FF"/>
    <w:rsid w:val="00EE3E98"/>
    <w:rsid w:val="00EE4C12"/>
    <w:rsid w:val="00EE6567"/>
    <w:rsid w:val="00EE72E6"/>
    <w:rsid w:val="00EE745F"/>
    <w:rsid w:val="00EE7886"/>
    <w:rsid w:val="00EE7C86"/>
    <w:rsid w:val="00EF0069"/>
    <w:rsid w:val="00EF0706"/>
    <w:rsid w:val="00EF170B"/>
    <w:rsid w:val="00EF1D4C"/>
    <w:rsid w:val="00EF21B6"/>
    <w:rsid w:val="00EF2909"/>
    <w:rsid w:val="00EF2D44"/>
    <w:rsid w:val="00EF2E68"/>
    <w:rsid w:val="00EF2F6E"/>
    <w:rsid w:val="00EF34BA"/>
    <w:rsid w:val="00EF3582"/>
    <w:rsid w:val="00EF407D"/>
    <w:rsid w:val="00EF49D4"/>
    <w:rsid w:val="00EF5185"/>
    <w:rsid w:val="00EF6BFF"/>
    <w:rsid w:val="00EF6DBA"/>
    <w:rsid w:val="00EF73BA"/>
    <w:rsid w:val="00EF7B7E"/>
    <w:rsid w:val="00F00D91"/>
    <w:rsid w:val="00F00E1D"/>
    <w:rsid w:val="00F013A9"/>
    <w:rsid w:val="00F03708"/>
    <w:rsid w:val="00F042C0"/>
    <w:rsid w:val="00F048EB"/>
    <w:rsid w:val="00F06B4C"/>
    <w:rsid w:val="00F10920"/>
    <w:rsid w:val="00F12785"/>
    <w:rsid w:val="00F135FB"/>
    <w:rsid w:val="00F149AA"/>
    <w:rsid w:val="00F14C55"/>
    <w:rsid w:val="00F1548F"/>
    <w:rsid w:val="00F16182"/>
    <w:rsid w:val="00F204AF"/>
    <w:rsid w:val="00F20C68"/>
    <w:rsid w:val="00F20FEB"/>
    <w:rsid w:val="00F22076"/>
    <w:rsid w:val="00F2222D"/>
    <w:rsid w:val="00F2357B"/>
    <w:rsid w:val="00F23FEC"/>
    <w:rsid w:val="00F25661"/>
    <w:rsid w:val="00F26893"/>
    <w:rsid w:val="00F2693E"/>
    <w:rsid w:val="00F26C31"/>
    <w:rsid w:val="00F30485"/>
    <w:rsid w:val="00F30554"/>
    <w:rsid w:val="00F33378"/>
    <w:rsid w:val="00F33B80"/>
    <w:rsid w:val="00F33F85"/>
    <w:rsid w:val="00F35081"/>
    <w:rsid w:val="00F36614"/>
    <w:rsid w:val="00F373CC"/>
    <w:rsid w:val="00F3796D"/>
    <w:rsid w:val="00F4000F"/>
    <w:rsid w:val="00F41E87"/>
    <w:rsid w:val="00F42720"/>
    <w:rsid w:val="00F43180"/>
    <w:rsid w:val="00F43523"/>
    <w:rsid w:val="00F4419E"/>
    <w:rsid w:val="00F44842"/>
    <w:rsid w:val="00F45BB8"/>
    <w:rsid w:val="00F46E1E"/>
    <w:rsid w:val="00F46EBB"/>
    <w:rsid w:val="00F46F07"/>
    <w:rsid w:val="00F46FF6"/>
    <w:rsid w:val="00F50302"/>
    <w:rsid w:val="00F514C5"/>
    <w:rsid w:val="00F51547"/>
    <w:rsid w:val="00F51CE2"/>
    <w:rsid w:val="00F51D48"/>
    <w:rsid w:val="00F51E50"/>
    <w:rsid w:val="00F51EAF"/>
    <w:rsid w:val="00F52469"/>
    <w:rsid w:val="00F52DAC"/>
    <w:rsid w:val="00F5473A"/>
    <w:rsid w:val="00F547A6"/>
    <w:rsid w:val="00F549CC"/>
    <w:rsid w:val="00F558B9"/>
    <w:rsid w:val="00F55E21"/>
    <w:rsid w:val="00F56252"/>
    <w:rsid w:val="00F56330"/>
    <w:rsid w:val="00F56D76"/>
    <w:rsid w:val="00F5743B"/>
    <w:rsid w:val="00F57A3E"/>
    <w:rsid w:val="00F60AD3"/>
    <w:rsid w:val="00F62253"/>
    <w:rsid w:val="00F627C9"/>
    <w:rsid w:val="00F62A8F"/>
    <w:rsid w:val="00F635EC"/>
    <w:rsid w:val="00F63EBF"/>
    <w:rsid w:val="00F663F0"/>
    <w:rsid w:val="00F66481"/>
    <w:rsid w:val="00F703C5"/>
    <w:rsid w:val="00F717D0"/>
    <w:rsid w:val="00F717DD"/>
    <w:rsid w:val="00F71AA0"/>
    <w:rsid w:val="00F728CB"/>
    <w:rsid w:val="00F73F4E"/>
    <w:rsid w:val="00F7454B"/>
    <w:rsid w:val="00F74F1A"/>
    <w:rsid w:val="00F75D1D"/>
    <w:rsid w:val="00F7650C"/>
    <w:rsid w:val="00F77916"/>
    <w:rsid w:val="00F77B2F"/>
    <w:rsid w:val="00F80E01"/>
    <w:rsid w:val="00F80F9E"/>
    <w:rsid w:val="00F81E94"/>
    <w:rsid w:val="00F8317B"/>
    <w:rsid w:val="00F83475"/>
    <w:rsid w:val="00F8396F"/>
    <w:rsid w:val="00F8515E"/>
    <w:rsid w:val="00F851BE"/>
    <w:rsid w:val="00F8684E"/>
    <w:rsid w:val="00F8753E"/>
    <w:rsid w:val="00F87603"/>
    <w:rsid w:val="00F87B12"/>
    <w:rsid w:val="00F87BD1"/>
    <w:rsid w:val="00F90F17"/>
    <w:rsid w:val="00F91145"/>
    <w:rsid w:val="00F91148"/>
    <w:rsid w:val="00F91DAC"/>
    <w:rsid w:val="00F92761"/>
    <w:rsid w:val="00F92F39"/>
    <w:rsid w:val="00F93048"/>
    <w:rsid w:val="00F94713"/>
    <w:rsid w:val="00F96189"/>
    <w:rsid w:val="00F9740D"/>
    <w:rsid w:val="00FA2428"/>
    <w:rsid w:val="00FA2655"/>
    <w:rsid w:val="00FA3157"/>
    <w:rsid w:val="00FA3A9F"/>
    <w:rsid w:val="00FA458A"/>
    <w:rsid w:val="00FA4A5F"/>
    <w:rsid w:val="00FA4C07"/>
    <w:rsid w:val="00FA555A"/>
    <w:rsid w:val="00FA6A88"/>
    <w:rsid w:val="00FA6CD2"/>
    <w:rsid w:val="00FA6F30"/>
    <w:rsid w:val="00FA7E37"/>
    <w:rsid w:val="00FB0094"/>
    <w:rsid w:val="00FB0B50"/>
    <w:rsid w:val="00FB0BE1"/>
    <w:rsid w:val="00FB0EC2"/>
    <w:rsid w:val="00FB26FE"/>
    <w:rsid w:val="00FB3436"/>
    <w:rsid w:val="00FB38A0"/>
    <w:rsid w:val="00FB4905"/>
    <w:rsid w:val="00FB5590"/>
    <w:rsid w:val="00FB5CDE"/>
    <w:rsid w:val="00FB76E1"/>
    <w:rsid w:val="00FC10A1"/>
    <w:rsid w:val="00FC2C52"/>
    <w:rsid w:val="00FC2EE0"/>
    <w:rsid w:val="00FC3840"/>
    <w:rsid w:val="00FC433A"/>
    <w:rsid w:val="00FC491C"/>
    <w:rsid w:val="00FC5E3C"/>
    <w:rsid w:val="00FC629B"/>
    <w:rsid w:val="00FD0327"/>
    <w:rsid w:val="00FD04D2"/>
    <w:rsid w:val="00FD242A"/>
    <w:rsid w:val="00FD38D8"/>
    <w:rsid w:val="00FD5616"/>
    <w:rsid w:val="00FD5785"/>
    <w:rsid w:val="00FD5F68"/>
    <w:rsid w:val="00FD6EA3"/>
    <w:rsid w:val="00FD748B"/>
    <w:rsid w:val="00FD7866"/>
    <w:rsid w:val="00FE0BE1"/>
    <w:rsid w:val="00FE2510"/>
    <w:rsid w:val="00FE2E16"/>
    <w:rsid w:val="00FE424C"/>
    <w:rsid w:val="00FE49AA"/>
    <w:rsid w:val="00FE4F52"/>
    <w:rsid w:val="00FE67A2"/>
    <w:rsid w:val="00FF09DC"/>
    <w:rsid w:val="00FF0E74"/>
    <w:rsid w:val="00FF2DEC"/>
    <w:rsid w:val="00FF3C2C"/>
    <w:rsid w:val="00FF50D3"/>
    <w:rsid w:val="00FF6DE5"/>
    <w:rsid w:val="00FF717A"/>
    <w:rsid w:val="00FF78C7"/>
    <w:rsid w:val="00FF7D5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79684"/>
  <w15:chartTrackingRefBased/>
  <w15:docId w15:val="{8789C70C-6717-4FC2-B58B-211B0EF5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53E2"/>
    <w:rPr>
      <w:lang w:val="en-AU"/>
    </w:rPr>
  </w:style>
  <w:style w:type="paragraph" w:styleId="Heading1">
    <w:name w:val="heading 1"/>
    <w:basedOn w:val="Normal"/>
    <w:next w:val="Normal"/>
    <w:link w:val="Heading1Char"/>
    <w:uiPriority w:val="9"/>
    <w:rsid w:val="005C0C3F"/>
    <w:pPr>
      <w:spacing w:after="720" w:line="192" w:lineRule="auto"/>
      <w:outlineLvl w:val="0"/>
    </w:pPr>
    <w:rPr>
      <w:rFonts w:ascii="Arial Black" w:hAnsi="Arial Black" w:cs="Arial"/>
      <w:color w:val="15272F" w:themeColor="accent1"/>
      <w:sz w:val="72"/>
      <w:szCs w:val="80"/>
    </w:rPr>
  </w:style>
  <w:style w:type="paragraph" w:styleId="Heading2">
    <w:name w:val="heading 2"/>
    <w:basedOn w:val="Normal"/>
    <w:next w:val="Normal"/>
    <w:link w:val="Heading2Char"/>
    <w:uiPriority w:val="9"/>
    <w:unhideWhenUsed/>
    <w:rsid w:val="00504F90"/>
    <w:pPr>
      <w:spacing w:before="360" w:line="276" w:lineRule="auto"/>
      <w:outlineLvl w:val="1"/>
    </w:pPr>
    <w:rPr>
      <w:rFonts w:asciiTheme="majorHAnsi" w:hAnsiTheme="majorHAnsi" w:cs="Arial"/>
      <w:color w:val="15272F" w:themeColor="text1"/>
      <w:sz w:val="36"/>
      <w:szCs w:val="36"/>
    </w:rPr>
  </w:style>
  <w:style w:type="paragraph" w:styleId="Heading3">
    <w:name w:val="heading 3"/>
    <w:aliases w:val="H3"/>
    <w:next w:val="Normal"/>
    <w:link w:val="Heading3Char"/>
    <w:uiPriority w:val="9"/>
    <w:unhideWhenUsed/>
    <w:qFormat/>
    <w:rsid w:val="004763FD"/>
    <w:pPr>
      <w:spacing w:before="240" w:line="320" w:lineRule="exact"/>
      <w:outlineLvl w:val="2"/>
    </w:pPr>
    <w:rPr>
      <w:rFonts w:asciiTheme="majorHAnsi" w:hAnsiTheme="majorHAnsi" w:cs="Arial"/>
      <w:color w:val="15272F" w:themeColor="text1"/>
      <w:sz w:val="28"/>
      <w:szCs w:val="28"/>
      <w:lang w:val="en-AU"/>
    </w:rPr>
  </w:style>
  <w:style w:type="paragraph" w:styleId="Heading4">
    <w:name w:val="heading 4"/>
    <w:basedOn w:val="Normal"/>
    <w:next w:val="Normal"/>
    <w:link w:val="Heading4Char"/>
    <w:uiPriority w:val="9"/>
    <w:semiHidden/>
    <w:unhideWhenUsed/>
    <w:qFormat/>
    <w:rsid w:val="00F33F85"/>
    <w:pPr>
      <w:keepNext/>
      <w:keepLines/>
      <w:spacing w:before="40" w:after="0"/>
      <w:outlineLvl w:val="3"/>
    </w:pPr>
    <w:rPr>
      <w:rFonts w:asciiTheme="majorHAnsi" w:eastAsiaTheme="majorEastAsia" w:hAnsiTheme="majorHAnsi" w:cstheme="majorBidi"/>
      <w:i/>
      <w:iCs/>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EDC"/>
  </w:style>
  <w:style w:type="paragraph" w:styleId="Footer">
    <w:name w:val="footer"/>
    <w:basedOn w:val="Normal"/>
    <w:link w:val="FooterChar"/>
    <w:uiPriority w:val="99"/>
    <w:unhideWhenUsed/>
    <w:rsid w:val="00D53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EDC"/>
  </w:style>
  <w:style w:type="paragraph" w:styleId="BalloonText">
    <w:name w:val="Balloon Text"/>
    <w:basedOn w:val="Normal"/>
    <w:link w:val="BalloonTextChar"/>
    <w:uiPriority w:val="99"/>
    <w:semiHidden/>
    <w:unhideWhenUsed/>
    <w:rsid w:val="00D53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EDC"/>
    <w:rPr>
      <w:rFonts w:ascii="Segoe UI" w:hAnsi="Segoe UI" w:cs="Segoe UI"/>
      <w:sz w:val="18"/>
      <w:szCs w:val="18"/>
    </w:rPr>
  </w:style>
  <w:style w:type="paragraph" w:customStyle="1" w:styleId="CoverTitle">
    <w:name w:val="Cover Title"/>
    <w:basedOn w:val="Normal"/>
    <w:link w:val="CoverTitleChar"/>
    <w:qFormat/>
    <w:rsid w:val="007A72D2"/>
    <w:pPr>
      <w:spacing w:line="240" w:lineRule="auto"/>
    </w:pPr>
    <w:rPr>
      <w:rFonts w:ascii="Josefin Sans" w:hAnsi="Josefin Sans" w:cs="Arial"/>
      <w:b/>
      <w:color w:val="15272F" w:themeColor="text1"/>
      <w:sz w:val="144"/>
      <w:szCs w:val="144"/>
    </w:rPr>
  </w:style>
  <w:style w:type="paragraph" w:customStyle="1" w:styleId="CoverSubhead">
    <w:name w:val="Cover Subhead"/>
    <w:basedOn w:val="CoverTitle"/>
    <w:link w:val="CoverSubheadChar"/>
    <w:qFormat/>
    <w:rsid w:val="009D5276"/>
    <w:rPr>
      <w:rFonts w:asciiTheme="majorHAnsi" w:hAnsiTheme="majorHAnsi"/>
      <w:sz w:val="92"/>
      <w:szCs w:val="92"/>
    </w:rPr>
  </w:style>
  <w:style w:type="character" w:customStyle="1" w:styleId="CoverTitleChar">
    <w:name w:val="Cover Title Char"/>
    <w:basedOn w:val="DefaultParagraphFont"/>
    <w:link w:val="CoverTitle"/>
    <w:rsid w:val="007A72D2"/>
    <w:rPr>
      <w:rFonts w:ascii="Josefin Sans" w:hAnsi="Josefin Sans" w:cs="Arial"/>
      <w:b/>
      <w:color w:val="15272F" w:themeColor="text1"/>
      <w:sz w:val="144"/>
      <w:szCs w:val="144"/>
    </w:rPr>
  </w:style>
  <w:style w:type="paragraph" w:customStyle="1" w:styleId="Body">
    <w:name w:val="Body"/>
    <w:basedOn w:val="Normal"/>
    <w:link w:val="BodyChar"/>
    <w:qFormat/>
    <w:rsid w:val="00F00D91"/>
    <w:pPr>
      <w:spacing w:after="120"/>
    </w:pPr>
    <w:rPr>
      <w:rFonts w:ascii="Arial" w:hAnsi="Arial" w:cs="Arial"/>
      <w:sz w:val="20"/>
      <w:szCs w:val="20"/>
    </w:rPr>
  </w:style>
  <w:style w:type="character" w:customStyle="1" w:styleId="CoverSubheadChar">
    <w:name w:val="Cover Subhead Char"/>
    <w:basedOn w:val="CoverTitleChar"/>
    <w:link w:val="CoverSubhead"/>
    <w:rsid w:val="009D5276"/>
    <w:rPr>
      <w:rFonts w:asciiTheme="majorHAnsi" w:hAnsiTheme="majorHAnsi" w:cs="Arial"/>
      <w:b/>
      <w:color w:val="15272F" w:themeColor="text1"/>
      <w:sz w:val="92"/>
      <w:szCs w:val="92"/>
    </w:rPr>
  </w:style>
  <w:style w:type="character" w:styleId="Hyperlink">
    <w:name w:val="Hyperlink"/>
    <w:basedOn w:val="DefaultParagraphFont"/>
    <w:uiPriority w:val="99"/>
    <w:unhideWhenUsed/>
    <w:rsid w:val="00706C1C"/>
    <w:rPr>
      <w:color w:val="0080C4" w:themeColor="hyperlink"/>
      <w:u w:val="single"/>
    </w:rPr>
  </w:style>
  <w:style w:type="character" w:customStyle="1" w:styleId="BodyChar">
    <w:name w:val="Body Char"/>
    <w:basedOn w:val="CoverSubheadChar"/>
    <w:link w:val="Body"/>
    <w:rsid w:val="00F00D91"/>
    <w:rPr>
      <w:rFonts w:ascii="Arial" w:hAnsi="Arial" w:cs="Arial"/>
      <w:b w:val="0"/>
      <w:color w:val="15272F" w:themeColor="text1"/>
      <w:sz w:val="20"/>
      <w:szCs w:val="20"/>
      <w:lang w:val="en-AU"/>
    </w:rPr>
  </w:style>
  <w:style w:type="character" w:customStyle="1" w:styleId="UnresolvedMention1">
    <w:name w:val="Unresolved Mention1"/>
    <w:basedOn w:val="DefaultParagraphFont"/>
    <w:uiPriority w:val="99"/>
    <w:semiHidden/>
    <w:unhideWhenUsed/>
    <w:rsid w:val="00706C1C"/>
    <w:rPr>
      <w:color w:val="605E5C"/>
      <w:shd w:val="clear" w:color="auto" w:fill="E1DFDD"/>
    </w:rPr>
  </w:style>
  <w:style w:type="paragraph" w:customStyle="1" w:styleId="Link">
    <w:name w:val="Link"/>
    <w:basedOn w:val="Body"/>
    <w:link w:val="LinkChar"/>
    <w:qFormat/>
    <w:rsid w:val="008B13A2"/>
    <w:rPr>
      <w:color w:val="008F55" w:themeColor="accent4"/>
      <w:u w:val="single"/>
    </w:rPr>
  </w:style>
  <w:style w:type="paragraph" w:customStyle="1" w:styleId="Pa3">
    <w:name w:val="Pa3"/>
    <w:basedOn w:val="Normal"/>
    <w:next w:val="Normal"/>
    <w:uiPriority w:val="99"/>
    <w:rsid w:val="000C23B7"/>
    <w:pPr>
      <w:autoSpaceDE w:val="0"/>
      <w:autoSpaceDN w:val="0"/>
      <w:adjustRightInd w:val="0"/>
      <w:spacing w:after="0" w:line="181" w:lineRule="atLeast"/>
    </w:pPr>
    <w:rPr>
      <w:rFonts w:ascii="Futura PT Medium" w:hAnsi="Futura PT Medium"/>
      <w:sz w:val="24"/>
      <w:szCs w:val="24"/>
      <w:lang w:val="en-US"/>
    </w:rPr>
  </w:style>
  <w:style w:type="character" w:customStyle="1" w:styleId="LinkChar">
    <w:name w:val="Link Char"/>
    <w:basedOn w:val="BodyChar"/>
    <w:link w:val="Link"/>
    <w:rsid w:val="008B13A2"/>
    <w:rPr>
      <w:rFonts w:ascii="Fira Sans" w:hAnsi="Fira Sans" w:cs="Arial"/>
      <w:b w:val="0"/>
      <w:color w:val="008F55" w:themeColor="accent4"/>
      <w:sz w:val="18"/>
      <w:szCs w:val="18"/>
      <w:u w:val="single"/>
      <w:lang w:val="en-AU"/>
    </w:rPr>
  </w:style>
  <w:style w:type="character" w:customStyle="1" w:styleId="A4">
    <w:name w:val="A4"/>
    <w:uiPriority w:val="99"/>
    <w:rsid w:val="000C23B7"/>
    <w:rPr>
      <w:rFonts w:cs="Futura PT Medium"/>
      <w:color w:val="008E52"/>
      <w:sz w:val="18"/>
      <w:szCs w:val="18"/>
      <w:u w:val="single"/>
    </w:rPr>
  </w:style>
  <w:style w:type="paragraph" w:customStyle="1" w:styleId="BulletList">
    <w:name w:val="Bullet List"/>
    <w:basedOn w:val="Body"/>
    <w:link w:val="BulletListChar"/>
    <w:qFormat/>
    <w:rsid w:val="00E25924"/>
    <w:pPr>
      <w:numPr>
        <w:numId w:val="1"/>
      </w:numPr>
      <w:ind w:left="709"/>
    </w:pPr>
  </w:style>
  <w:style w:type="paragraph" w:customStyle="1" w:styleId="NumberedList">
    <w:name w:val="Numbered List"/>
    <w:basedOn w:val="Body"/>
    <w:link w:val="NumberedListChar"/>
    <w:qFormat/>
    <w:rsid w:val="008B13A2"/>
    <w:pPr>
      <w:numPr>
        <w:numId w:val="3"/>
      </w:numPr>
    </w:pPr>
  </w:style>
  <w:style w:type="character" w:customStyle="1" w:styleId="BulletListChar">
    <w:name w:val="Bullet List Char"/>
    <w:basedOn w:val="BodyChar"/>
    <w:link w:val="BulletList"/>
    <w:rsid w:val="00E25924"/>
    <w:rPr>
      <w:rFonts w:ascii="Arial" w:hAnsi="Arial" w:cs="Arial"/>
      <w:b w:val="0"/>
      <w:color w:val="15272F" w:themeColor="text1"/>
      <w:sz w:val="20"/>
      <w:szCs w:val="20"/>
      <w:lang w:val="en-AU"/>
    </w:rPr>
  </w:style>
  <w:style w:type="paragraph" w:customStyle="1" w:styleId="SectionBreakSubhead">
    <w:name w:val="Section Break Subhead"/>
    <w:basedOn w:val="Normal"/>
    <w:link w:val="SectionBreakSubheadChar"/>
    <w:qFormat/>
    <w:rsid w:val="008B13A2"/>
    <w:pPr>
      <w:spacing w:before="360" w:line="276" w:lineRule="auto"/>
    </w:pPr>
    <w:rPr>
      <w:rFonts w:asciiTheme="majorHAnsi" w:hAnsiTheme="majorHAnsi" w:cs="Arial"/>
      <w:color w:val="104F99" w:themeColor="accent2"/>
      <w:sz w:val="28"/>
      <w:szCs w:val="28"/>
    </w:rPr>
  </w:style>
  <w:style w:type="character" w:customStyle="1" w:styleId="NumberedListChar">
    <w:name w:val="Numbered List Char"/>
    <w:basedOn w:val="BodyChar"/>
    <w:link w:val="NumberedList"/>
    <w:rsid w:val="008B13A2"/>
    <w:rPr>
      <w:rFonts w:ascii="Arial" w:hAnsi="Arial" w:cs="Arial"/>
      <w:b w:val="0"/>
      <w:color w:val="15272F" w:themeColor="text1"/>
      <w:sz w:val="20"/>
      <w:szCs w:val="20"/>
      <w:lang w:val="en-AU"/>
    </w:rPr>
  </w:style>
  <w:style w:type="paragraph" w:customStyle="1" w:styleId="BulletListRed">
    <w:name w:val="Bullet List Red"/>
    <w:link w:val="BulletListRedChar"/>
    <w:qFormat/>
    <w:rsid w:val="009D7F61"/>
    <w:pPr>
      <w:numPr>
        <w:numId w:val="2"/>
      </w:numPr>
    </w:pPr>
    <w:rPr>
      <w:rFonts w:ascii="Arial" w:hAnsi="Arial" w:cs="Arial"/>
      <w:color w:val="294C5C" w:themeColor="text1" w:themeTint="D9"/>
      <w:sz w:val="18"/>
      <w:szCs w:val="18"/>
    </w:rPr>
  </w:style>
  <w:style w:type="character" w:customStyle="1" w:styleId="SectionBreakSubheadChar">
    <w:name w:val="Section Break Subhead Char"/>
    <w:basedOn w:val="DefaultParagraphFont"/>
    <w:link w:val="SectionBreakSubhead"/>
    <w:rsid w:val="008B13A2"/>
    <w:rPr>
      <w:rFonts w:asciiTheme="majorHAnsi" w:hAnsiTheme="majorHAnsi" w:cs="Arial"/>
      <w:color w:val="104F99" w:themeColor="accent2"/>
      <w:sz w:val="28"/>
      <w:szCs w:val="28"/>
    </w:rPr>
  </w:style>
  <w:style w:type="table" w:styleId="TableGrid">
    <w:name w:val="Table Grid"/>
    <w:basedOn w:val="TableNormal"/>
    <w:rsid w:val="009D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istRedChar">
    <w:name w:val="Bullet List Red Char"/>
    <w:basedOn w:val="BulletListChar"/>
    <w:link w:val="BulletListRed"/>
    <w:rsid w:val="009D7F61"/>
    <w:rPr>
      <w:rFonts w:ascii="Arial" w:hAnsi="Arial" w:cs="Arial"/>
      <w:b w:val="0"/>
      <w:color w:val="294C5C" w:themeColor="text1" w:themeTint="D9"/>
      <w:sz w:val="18"/>
      <w:szCs w:val="18"/>
      <w:lang w:val="en-AU"/>
    </w:rPr>
  </w:style>
  <w:style w:type="paragraph" w:customStyle="1" w:styleId="TableHeading">
    <w:name w:val="Table Heading"/>
    <w:basedOn w:val="SectionBreakSubhead"/>
    <w:link w:val="TableHeadingChar"/>
    <w:qFormat/>
    <w:rsid w:val="00A207F8"/>
    <w:pPr>
      <w:spacing w:before="80" w:after="80" w:line="240" w:lineRule="auto"/>
    </w:pPr>
    <w:rPr>
      <w:rFonts w:ascii="Arial" w:hAnsi="Arial"/>
      <w:b/>
      <w:color w:val="FFFFFF" w:themeColor="background2"/>
      <w:sz w:val="20"/>
      <w:szCs w:val="20"/>
      <w:lang w:eastAsia="en-AU"/>
    </w:rPr>
  </w:style>
  <w:style w:type="paragraph" w:customStyle="1" w:styleId="H2">
    <w:name w:val="H2"/>
    <w:basedOn w:val="Heading2"/>
    <w:link w:val="H2Char"/>
    <w:qFormat/>
    <w:rsid w:val="00C22C71"/>
    <w:pPr>
      <w:spacing w:line="240" w:lineRule="auto"/>
    </w:pPr>
    <w:rPr>
      <w:color w:val="104F99" w:themeColor="accent2"/>
    </w:rPr>
  </w:style>
  <w:style w:type="character" w:customStyle="1" w:styleId="TableHeadingChar">
    <w:name w:val="Table Heading Char"/>
    <w:basedOn w:val="SectionBreakSubheadChar"/>
    <w:link w:val="TableHeading"/>
    <w:rsid w:val="00A207F8"/>
    <w:rPr>
      <w:rFonts w:ascii="Arial" w:hAnsi="Arial" w:cs="Arial"/>
      <w:b/>
      <w:color w:val="FFFFFF" w:themeColor="background2"/>
      <w:sz w:val="20"/>
      <w:szCs w:val="20"/>
      <w:lang w:val="en-AU" w:eastAsia="en-AU"/>
    </w:rPr>
  </w:style>
  <w:style w:type="paragraph" w:customStyle="1" w:styleId="bullets">
    <w:name w:val="bullets"/>
    <w:basedOn w:val="Normal"/>
    <w:uiPriority w:val="99"/>
    <w:rsid w:val="00DD6C60"/>
    <w:pPr>
      <w:suppressAutoHyphens/>
      <w:autoSpaceDE w:val="0"/>
      <w:autoSpaceDN w:val="0"/>
      <w:adjustRightInd w:val="0"/>
      <w:spacing w:after="57" w:line="280" w:lineRule="atLeast"/>
      <w:ind w:left="283" w:hanging="283"/>
      <w:textAlignment w:val="center"/>
    </w:pPr>
    <w:rPr>
      <w:rFonts w:ascii="Futura PT Book" w:hAnsi="Futura PT Book" w:cs="Futura PT Book"/>
      <w:color w:val="000000"/>
      <w:sz w:val="18"/>
      <w:szCs w:val="18"/>
      <w:lang w:val="en-US"/>
    </w:rPr>
  </w:style>
  <w:style w:type="character" w:customStyle="1" w:styleId="H2Char">
    <w:name w:val="H2 Char"/>
    <w:basedOn w:val="DefaultParagraphFont"/>
    <w:link w:val="H2"/>
    <w:rsid w:val="00C22C71"/>
    <w:rPr>
      <w:rFonts w:asciiTheme="majorHAnsi" w:hAnsiTheme="majorHAnsi" w:cs="Arial"/>
      <w:color w:val="104F99" w:themeColor="accent2"/>
      <w:sz w:val="36"/>
      <w:szCs w:val="36"/>
    </w:rPr>
  </w:style>
  <w:style w:type="paragraph" w:customStyle="1" w:styleId="lastbullet">
    <w:name w:val="last bullet"/>
    <w:basedOn w:val="bullets"/>
    <w:uiPriority w:val="99"/>
    <w:rsid w:val="00DD6C60"/>
    <w:pPr>
      <w:spacing w:after="113"/>
    </w:pPr>
  </w:style>
  <w:style w:type="character" w:customStyle="1" w:styleId="Bold">
    <w:name w:val="Bold"/>
    <w:uiPriority w:val="99"/>
    <w:rsid w:val="00DD6C60"/>
  </w:style>
  <w:style w:type="paragraph" w:customStyle="1" w:styleId="body0">
    <w:name w:val="body"/>
    <w:basedOn w:val="Normal"/>
    <w:uiPriority w:val="99"/>
    <w:rsid w:val="00D508FF"/>
    <w:pPr>
      <w:suppressAutoHyphens/>
      <w:autoSpaceDE w:val="0"/>
      <w:autoSpaceDN w:val="0"/>
      <w:adjustRightInd w:val="0"/>
      <w:spacing w:after="113" w:line="280" w:lineRule="atLeast"/>
      <w:textAlignment w:val="center"/>
    </w:pPr>
    <w:rPr>
      <w:rFonts w:ascii="Futura PT Book" w:hAnsi="Futura PT Book" w:cs="Futura PT Book"/>
      <w:color w:val="000000"/>
      <w:sz w:val="18"/>
      <w:szCs w:val="18"/>
      <w:lang w:val="en-US"/>
    </w:rPr>
  </w:style>
  <w:style w:type="paragraph" w:customStyle="1" w:styleId="IntroBody">
    <w:name w:val="Intro Body"/>
    <w:basedOn w:val="Body"/>
    <w:link w:val="IntroBodyChar"/>
    <w:qFormat/>
    <w:rsid w:val="008B13A2"/>
    <w:rPr>
      <w:b/>
    </w:rPr>
  </w:style>
  <w:style w:type="paragraph" w:customStyle="1" w:styleId="LetterListLevel2">
    <w:name w:val="Letter List Level 2"/>
    <w:basedOn w:val="Body"/>
    <w:link w:val="LetterListLevel2Char"/>
    <w:qFormat/>
    <w:rsid w:val="008B13A2"/>
    <w:pPr>
      <w:numPr>
        <w:numId w:val="4"/>
      </w:numPr>
    </w:pPr>
  </w:style>
  <w:style w:type="character" w:customStyle="1" w:styleId="IntroBodyChar">
    <w:name w:val="Intro Body Char"/>
    <w:basedOn w:val="BodyChar"/>
    <w:link w:val="IntroBody"/>
    <w:rsid w:val="008B13A2"/>
    <w:rPr>
      <w:rFonts w:ascii="Fira Sans" w:hAnsi="Fira Sans" w:cs="Arial"/>
      <w:b/>
      <w:color w:val="15272F" w:themeColor="text1"/>
      <w:sz w:val="18"/>
      <w:szCs w:val="18"/>
      <w:lang w:val="en-AU"/>
    </w:rPr>
  </w:style>
  <w:style w:type="paragraph" w:customStyle="1" w:styleId="TableBodySmall">
    <w:name w:val="Table Body Small"/>
    <w:basedOn w:val="Body"/>
    <w:link w:val="TableBodySmallChar"/>
    <w:qFormat/>
    <w:rsid w:val="00A207F8"/>
    <w:pPr>
      <w:spacing w:before="40" w:after="40" w:line="240" w:lineRule="auto"/>
    </w:pPr>
  </w:style>
  <w:style w:type="character" w:customStyle="1" w:styleId="LetterListLevel2Char">
    <w:name w:val="Letter List Level 2 Char"/>
    <w:basedOn w:val="BodyChar"/>
    <w:link w:val="LetterListLevel2"/>
    <w:rsid w:val="008B13A2"/>
    <w:rPr>
      <w:rFonts w:ascii="Arial" w:hAnsi="Arial" w:cs="Arial"/>
      <w:b w:val="0"/>
      <w:color w:val="15272F" w:themeColor="text1"/>
      <w:sz w:val="20"/>
      <w:szCs w:val="20"/>
      <w:lang w:val="en-AU"/>
    </w:rPr>
  </w:style>
  <w:style w:type="character" w:customStyle="1" w:styleId="Heading1Char">
    <w:name w:val="Heading 1 Char"/>
    <w:basedOn w:val="DefaultParagraphFont"/>
    <w:link w:val="Heading1"/>
    <w:uiPriority w:val="9"/>
    <w:rsid w:val="005C0C3F"/>
    <w:rPr>
      <w:rFonts w:ascii="Arial Black" w:hAnsi="Arial Black" w:cs="Arial"/>
      <w:color w:val="15272F" w:themeColor="accent1"/>
      <w:sz w:val="72"/>
      <w:szCs w:val="80"/>
    </w:rPr>
  </w:style>
  <w:style w:type="character" w:customStyle="1" w:styleId="TableBodySmallChar">
    <w:name w:val="Table Body Small Char"/>
    <w:basedOn w:val="BodyChar"/>
    <w:link w:val="TableBodySmall"/>
    <w:rsid w:val="00A207F8"/>
    <w:rPr>
      <w:rFonts w:ascii="Arial" w:hAnsi="Arial" w:cs="Arial"/>
      <w:b w:val="0"/>
      <w:color w:val="15272F" w:themeColor="text1"/>
      <w:sz w:val="20"/>
      <w:szCs w:val="20"/>
      <w:lang w:val="en-AU"/>
    </w:rPr>
  </w:style>
  <w:style w:type="paragraph" w:styleId="TOCHeading">
    <w:name w:val="TOC Heading"/>
    <w:aliases w:val="H1"/>
    <w:basedOn w:val="Heading1"/>
    <w:next w:val="Normal"/>
    <w:uiPriority w:val="39"/>
    <w:unhideWhenUsed/>
    <w:qFormat/>
    <w:rsid w:val="00AD1BDA"/>
    <w:pPr>
      <w:spacing w:line="720" w:lineRule="exact"/>
    </w:pPr>
    <w:rPr>
      <w:rFonts w:asciiTheme="majorHAnsi" w:hAnsiTheme="majorHAnsi"/>
      <w:color w:val="15272F" w:themeColor="text1"/>
    </w:rPr>
  </w:style>
  <w:style w:type="paragraph" w:styleId="TOC1">
    <w:name w:val="toc 1"/>
    <w:basedOn w:val="Normal"/>
    <w:next w:val="Normal"/>
    <w:uiPriority w:val="39"/>
    <w:unhideWhenUsed/>
    <w:rsid w:val="004763FD"/>
    <w:pPr>
      <w:spacing w:before="240" w:after="120" w:line="240" w:lineRule="auto"/>
      <w:ind w:left="284"/>
    </w:pPr>
    <w:rPr>
      <w:rFonts w:ascii="Arial Bold" w:hAnsi="Arial Bold"/>
      <w:b/>
    </w:rPr>
  </w:style>
  <w:style w:type="character" w:customStyle="1" w:styleId="Heading2Char">
    <w:name w:val="Heading 2 Char"/>
    <w:basedOn w:val="DefaultParagraphFont"/>
    <w:link w:val="Heading2"/>
    <w:uiPriority w:val="9"/>
    <w:rsid w:val="00504F90"/>
    <w:rPr>
      <w:rFonts w:asciiTheme="majorHAnsi" w:hAnsiTheme="majorHAnsi" w:cs="Arial"/>
      <w:color w:val="15272F" w:themeColor="text1"/>
      <w:sz w:val="36"/>
      <w:szCs w:val="36"/>
    </w:rPr>
  </w:style>
  <w:style w:type="character" w:customStyle="1" w:styleId="Heading3Char">
    <w:name w:val="Heading 3 Char"/>
    <w:aliases w:val="H3 Char"/>
    <w:basedOn w:val="DefaultParagraphFont"/>
    <w:link w:val="Heading3"/>
    <w:uiPriority w:val="9"/>
    <w:rsid w:val="004763FD"/>
    <w:rPr>
      <w:rFonts w:asciiTheme="majorHAnsi" w:hAnsiTheme="majorHAnsi" w:cs="Arial"/>
      <w:color w:val="15272F" w:themeColor="text1"/>
      <w:sz w:val="28"/>
      <w:szCs w:val="28"/>
      <w:lang w:val="en-AU"/>
    </w:rPr>
  </w:style>
  <w:style w:type="character" w:styleId="CommentReference">
    <w:name w:val="annotation reference"/>
    <w:basedOn w:val="DefaultParagraphFont"/>
    <w:uiPriority w:val="99"/>
    <w:semiHidden/>
    <w:unhideWhenUsed/>
    <w:rsid w:val="003A1FE7"/>
    <w:rPr>
      <w:sz w:val="16"/>
      <w:szCs w:val="16"/>
    </w:rPr>
  </w:style>
  <w:style w:type="paragraph" w:styleId="CommentText">
    <w:name w:val="annotation text"/>
    <w:basedOn w:val="Normal"/>
    <w:link w:val="CommentTextChar"/>
    <w:unhideWhenUsed/>
    <w:rsid w:val="003A1FE7"/>
    <w:pPr>
      <w:spacing w:line="240" w:lineRule="auto"/>
    </w:pPr>
    <w:rPr>
      <w:sz w:val="20"/>
      <w:szCs w:val="20"/>
    </w:rPr>
  </w:style>
  <w:style w:type="character" w:customStyle="1" w:styleId="CommentTextChar">
    <w:name w:val="Comment Text Char"/>
    <w:basedOn w:val="DefaultParagraphFont"/>
    <w:link w:val="CommentText"/>
    <w:rsid w:val="003A1FE7"/>
    <w:rPr>
      <w:sz w:val="20"/>
      <w:szCs w:val="20"/>
    </w:rPr>
  </w:style>
  <w:style w:type="paragraph" w:styleId="CommentSubject">
    <w:name w:val="annotation subject"/>
    <w:basedOn w:val="CommentText"/>
    <w:next w:val="CommentText"/>
    <w:link w:val="CommentSubjectChar"/>
    <w:uiPriority w:val="99"/>
    <w:semiHidden/>
    <w:unhideWhenUsed/>
    <w:rsid w:val="003A1FE7"/>
    <w:rPr>
      <w:b/>
      <w:bCs/>
    </w:rPr>
  </w:style>
  <w:style w:type="character" w:customStyle="1" w:styleId="CommentSubjectChar">
    <w:name w:val="Comment Subject Char"/>
    <w:basedOn w:val="CommentTextChar"/>
    <w:link w:val="CommentSubject"/>
    <w:uiPriority w:val="99"/>
    <w:semiHidden/>
    <w:rsid w:val="003A1FE7"/>
    <w:rPr>
      <w:b/>
      <w:bCs/>
      <w:sz w:val="20"/>
      <w:szCs w:val="20"/>
    </w:rPr>
  </w:style>
  <w:style w:type="paragraph" w:styleId="ListParagraph">
    <w:name w:val="List Paragraph"/>
    <w:aliases w:val="List Paragraph1,Recommendation,Bullet table,Bullet L1"/>
    <w:basedOn w:val="Normal"/>
    <w:link w:val="ListParagraphChar"/>
    <w:uiPriority w:val="34"/>
    <w:qFormat/>
    <w:rsid w:val="00A846C9"/>
    <w:pPr>
      <w:ind w:left="720"/>
      <w:contextualSpacing/>
    </w:pPr>
    <w:rPr>
      <w:rFonts w:ascii="Arial" w:hAnsi="Arial"/>
    </w:rPr>
  </w:style>
  <w:style w:type="paragraph" w:styleId="TOC2">
    <w:name w:val="toc 2"/>
    <w:basedOn w:val="Normal"/>
    <w:next w:val="Normal"/>
    <w:uiPriority w:val="39"/>
    <w:unhideWhenUsed/>
    <w:rsid w:val="004763FD"/>
    <w:pPr>
      <w:spacing w:before="120" w:after="120" w:line="240" w:lineRule="auto"/>
      <w:ind w:left="284" w:right="-340"/>
    </w:pPr>
    <w:rPr>
      <w:rFonts w:ascii="Arial" w:hAnsi="Arial" w:cs="Arial"/>
      <w:noProof/>
    </w:rPr>
  </w:style>
  <w:style w:type="paragraph" w:styleId="TOC3">
    <w:name w:val="toc 3"/>
    <w:basedOn w:val="Normal"/>
    <w:next w:val="Normal"/>
    <w:autoRedefine/>
    <w:uiPriority w:val="39"/>
    <w:unhideWhenUsed/>
    <w:rsid w:val="00C75448"/>
    <w:pPr>
      <w:tabs>
        <w:tab w:val="right" w:pos="6379"/>
      </w:tabs>
      <w:spacing w:after="100"/>
      <w:ind w:left="284" w:firstLine="156"/>
    </w:pPr>
  </w:style>
  <w:style w:type="paragraph" w:styleId="Revision">
    <w:name w:val="Revision"/>
    <w:hidden/>
    <w:uiPriority w:val="99"/>
    <w:semiHidden/>
    <w:rsid w:val="00120DD2"/>
    <w:pPr>
      <w:spacing w:after="0" w:line="240" w:lineRule="auto"/>
    </w:pPr>
  </w:style>
  <w:style w:type="character" w:styleId="FollowedHyperlink">
    <w:name w:val="FollowedHyperlink"/>
    <w:basedOn w:val="DefaultParagraphFont"/>
    <w:uiPriority w:val="99"/>
    <w:semiHidden/>
    <w:unhideWhenUsed/>
    <w:rsid w:val="0073639D"/>
    <w:rPr>
      <w:color w:val="104F99" w:themeColor="followedHyperlink"/>
      <w:u w:val="single"/>
    </w:rPr>
  </w:style>
  <w:style w:type="character" w:customStyle="1" w:styleId="ListParagraphChar">
    <w:name w:val="List Paragraph Char"/>
    <w:aliases w:val="List Paragraph1 Char,Recommendation Char,Bullet table Char,Bullet L1 Char"/>
    <w:link w:val="ListParagraph"/>
    <w:uiPriority w:val="34"/>
    <w:locked/>
    <w:rsid w:val="00A846C9"/>
    <w:rPr>
      <w:rFonts w:ascii="Arial" w:hAnsi="Arial"/>
      <w:lang w:val="en-AU"/>
    </w:rPr>
  </w:style>
  <w:style w:type="paragraph" w:styleId="BodyText">
    <w:name w:val="Body Text"/>
    <w:basedOn w:val="Normal"/>
    <w:link w:val="BodyTextChar"/>
    <w:uiPriority w:val="1"/>
    <w:rsid w:val="008B13A2"/>
    <w:pPr>
      <w:widowControl w:val="0"/>
      <w:autoSpaceDE w:val="0"/>
      <w:autoSpaceDN w:val="0"/>
      <w:spacing w:after="0" w:line="240" w:lineRule="auto"/>
      <w:ind w:left="255"/>
    </w:pPr>
    <w:rPr>
      <w:rFonts w:eastAsia="Calibri" w:cs="Calibri"/>
      <w:color w:val="15272F" w:themeColor="text1"/>
      <w:sz w:val="16"/>
      <w:szCs w:val="16"/>
      <w:lang w:val="en-US"/>
    </w:rPr>
  </w:style>
  <w:style w:type="character" w:customStyle="1" w:styleId="BodyTextChar">
    <w:name w:val="Body Text Char"/>
    <w:basedOn w:val="DefaultParagraphFont"/>
    <w:link w:val="BodyText"/>
    <w:uiPriority w:val="1"/>
    <w:rsid w:val="008B13A2"/>
    <w:rPr>
      <w:rFonts w:eastAsia="Calibri" w:cs="Calibri"/>
      <w:color w:val="15272F" w:themeColor="text1"/>
      <w:sz w:val="16"/>
      <w:szCs w:val="16"/>
      <w:lang w:val="en-US"/>
    </w:rPr>
  </w:style>
  <w:style w:type="paragraph" w:customStyle="1" w:styleId="Tabletextnormal9pt">
    <w:name w:val="Table text (normal) 9pt"/>
    <w:qFormat/>
    <w:locked/>
    <w:rsid w:val="00A846C9"/>
    <w:pPr>
      <w:spacing w:before="40" w:after="40" w:line="240" w:lineRule="auto"/>
    </w:pPr>
    <w:rPr>
      <w:rFonts w:ascii="Arial" w:eastAsia="Times New Roman" w:hAnsi="Arial" w:cs="Arial"/>
      <w:color w:val="15272F" w:themeColor="text1"/>
      <w:sz w:val="18"/>
      <w:szCs w:val="18"/>
      <w:lang w:val="en-AU" w:eastAsia="en-AU"/>
    </w:rPr>
  </w:style>
  <w:style w:type="paragraph" w:customStyle="1" w:styleId="TableHeadingRow9pt">
    <w:name w:val="Table Heading Row 9pt"/>
    <w:link w:val="TableHeadingRow9ptChar"/>
    <w:qFormat/>
    <w:locked/>
    <w:rsid w:val="00A846C9"/>
    <w:pPr>
      <w:spacing w:before="40" w:after="40" w:line="240" w:lineRule="auto"/>
    </w:pPr>
    <w:rPr>
      <w:rFonts w:ascii="Arial Bold" w:eastAsia="Times New Roman" w:hAnsi="Arial Bold" w:cs="Arial"/>
      <w:b/>
      <w:color w:val="15272F" w:themeColor="text1"/>
      <w:sz w:val="18"/>
      <w:szCs w:val="18"/>
      <w:lang w:val="en-AU" w:eastAsia="en-AU"/>
    </w:rPr>
  </w:style>
  <w:style w:type="character" w:customStyle="1" w:styleId="TableHeadingRow9ptChar">
    <w:name w:val="Table Heading Row 9pt Char"/>
    <w:basedOn w:val="DefaultParagraphFont"/>
    <w:link w:val="TableHeadingRow9pt"/>
    <w:rsid w:val="00A846C9"/>
    <w:rPr>
      <w:rFonts w:ascii="Arial Bold" w:eastAsia="Times New Roman" w:hAnsi="Arial Bold" w:cs="Arial"/>
      <w:b/>
      <w:color w:val="15272F" w:themeColor="text1"/>
      <w:sz w:val="18"/>
      <w:szCs w:val="18"/>
      <w:lang w:val="en-AU" w:eastAsia="en-AU"/>
    </w:rPr>
  </w:style>
  <w:style w:type="character" w:customStyle="1" w:styleId="UnresolvedMention2">
    <w:name w:val="Unresolved Mention2"/>
    <w:basedOn w:val="DefaultParagraphFont"/>
    <w:uiPriority w:val="99"/>
    <w:semiHidden/>
    <w:unhideWhenUsed/>
    <w:rsid w:val="00A6191F"/>
    <w:rPr>
      <w:color w:val="605E5C"/>
      <w:shd w:val="clear" w:color="auto" w:fill="E1DFDD"/>
    </w:rPr>
  </w:style>
  <w:style w:type="paragraph" w:customStyle="1" w:styleId="FigureHeading">
    <w:name w:val="Figure Heading"/>
    <w:basedOn w:val="Normal"/>
    <w:next w:val="Normal"/>
    <w:autoRedefine/>
    <w:uiPriority w:val="99"/>
    <w:qFormat/>
    <w:rsid w:val="002852C9"/>
    <w:pPr>
      <w:keepNext/>
      <w:keepLines/>
      <w:numPr>
        <w:numId w:val="5"/>
      </w:numPr>
      <w:tabs>
        <w:tab w:val="left" w:pos="907"/>
      </w:tabs>
      <w:spacing w:before="120" w:after="120" w:line="260" w:lineRule="atLeast"/>
      <w:ind w:left="907" w:hanging="907"/>
      <w:contextualSpacing/>
    </w:pPr>
    <w:rPr>
      <w:rFonts w:ascii="Arial" w:eastAsia="Times New Roman" w:hAnsi="Arial" w:cs="Times New Roman"/>
      <w:szCs w:val="24"/>
      <w:lang w:eastAsia="en-AU"/>
    </w:rPr>
  </w:style>
  <w:style w:type="character" w:customStyle="1" w:styleId="UnresolvedMention3">
    <w:name w:val="Unresolved Mention3"/>
    <w:basedOn w:val="DefaultParagraphFont"/>
    <w:uiPriority w:val="99"/>
    <w:semiHidden/>
    <w:unhideWhenUsed/>
    <w:rsid w:val="00754E2E"/>
    <w:rPr>
      <w:color w:val="605E5C"/>
      <w:shd w:val="clear" w:color="auto" w:fill="E1DFDD"/>
    </w:rPr>
  </w:style>
  <w:style w:type="paragraph" w:styleId="NoSpacing">
    <w:name w:val="No Spacing"/>
    <w:basedOn w:val="Normal"/>
    <w:uiPriority w:val="1"/>
    <w:qFormat/>
    <w:rsid w:val="00A846C9"/>
    <w:pPr>
      <w:spacing w:after="0" w:line="240" w:lineRule="auto"/>
    </w:pPr>
    <w:rPr>
      <w:rFonts w:ascii="Arial" w:hAnsi="Arial"/>
    </w:rPr>
  </w:style>
  <w:style w:type="paragraph" w:customStyle="1" w:styleId="H4-List">
    <w:name w:val="H4 - List"/>
    <w:basedOn w:val="Heading2"/>
    <w:link w:val="H4-ListChar"/>
    <w:rsid w:val="00881D82"/>
    <w:pPr>
      <w:numPr>
        <w:numId w:val="7"/>
      </w:numPr>
      <w:tabs>
        <w:tab w:val="left" w:pos="426"/>
      </w:tabs>
    </w:pPr>
    <w:rPr>
      <w:rFonts w:asciiTheme="minorHAnsi" w:hAnsiTheme="minorHAnsi"/>
      <w:b/>
      <w:sz w:val="22"/>
      <w:szCs w:val="18"/>
    </w:rPr>
  </w:style>
  <w:style w:type="numbering" w:customStyle="1" w:styleId="CurrentList1">
    <w:name w:val="Current List1"/>
    <w:uiPriority w:val="99"/>
    <w:rsid w:val="00EC4C01"/>
    <w:pPr>
      <w:numPr>
        <w:numId w:val="6"/>
      </w:numPr>
    </w:pPr>
  </w:style>
  <w:style w:type="character" w:styleId="UnresolvedMention">
    <w:name w:val="Unresolved Mention"/>
    <w:basedOn w:val="DefaultParagraphFont"/>
    <w:uiPriority w:val="99"/>
    <w:semiHidden/>
    <w:unhideWhenUsed/>
    <w:rsid w:val="00402472"/>
    <w:rPr>
      <w:color w:val="605E5C"/>
      <w:shd w:val="clear" w:color="auto" w:fill="E1DFDD"/>
    </w:rPr>
  </w:style>
  <w:style w:type="paragraph" w:customStyle="1" w:styleId="Copyrightcopy">
    <w:name w:val="Copyright copy"/>
    <w:basedOn w:val="Normal"/>
    <w:next w:val="Normal"/>
    <w:qFormat/>
    <w:rsid w:val="00F33F85"/>
    <w:pPr>
      <w:ind w:right="4064"/>
    </w:pPr>
    <w:rPr>
      <w:rFonts w:ascii="Arial" w:hAnsi="Arial"/>
      <w:color w:val="15272F" w:themeColor="text1"/>
      <w:sz w:val="18"/>
    </w:rPr>
  </w:style>
  <w:style w:type="paragraph" w:customStyle="1" w:styleId="Copyrightheading">
    <w:name w:val="Copyright heading"/>
    <w:basedOn w:val="Heading4"/>
    <w:next w:val="Normal"/>
    <w:qFormat/>
    <w:rsid w:val="00F33F85"/>
    <w:pPr>
      <w:spacing w:before="120" w:after="240"/>
    </w:pPr>
    <w:rPr>
      <w:rFonts w:ascii="Arial" w:hAnsi="Arial"/>
      <w:b/>
      <w:i w:val="0"/>
      <w:color w:val="15272F" w:themeColor="text1"/>
    </w:rPr>
  </w:style>
  <w:style w:type="character" w:customStyle="1" w:styleId="Heading4Char">
    <w:name w:val="Heading 4 Char"/>
    <w:basedOn w:val="DefaultParagraphFont"/>
    <w:link w:val="Heading4"/>
    <w:uiPriority w:val="9"/>
    <w:semiHidden/>
    <w:rsid w:val="00F33F85"/>
    <w:rPr>
      <w:rFonts w:asciiTheme="majorHAnsi" w:eastAsiaTheme="majorEastAsia" w:hAnsiTheme="majorHAnsi" w:cstheme="majorBidi"/>
      <w:i/>
      <w:iCs/>
      <w:color w:val="0F1D23" w:themeColor="accent1" w:themeShade="BF"/>
    </w:rPr>
  </w:style>
  <w:style w:type="paragraph" w:styleId="NormalWeb">
    <w:name w:val="Normal (Web)"/>
    <w:basedOn w:val="Normal"/>
    <w:uiPriority w:val="99"/>
    <w:semiHidden/>
    <w:unhideWhenUsed/>
    <w:rsid w:val="00DD1F1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4">
    <w:name w:val="H4"/>
    <w:basedOn w:val="H4-List"/>
    <w:link w:val="H4Char"/>
    <w:qFormat/>
    <w:rsid w:val="00A207F8"/>
    <w:rPr>
      <w:rFonts w:ascii="Arial" w:hAnsi="Arial"/>
    </w:rPr>
  </w:style>
  <w:style w:type="character" w:customStyle="1" w:styleId="H4-ListChar">
    <w:name w:val="H4 - List Char"/>
    <w:basedOn w:val="Heading2Char"/>
    <w:link w:val="H4-List"/>
    <w:rsid w:val="00A207F8"/>
    <w:rPr>
      <w:rFonts w:asciiTheme="majorHAnsi" w:hAnsiTheme="majorHAnsi" w:cs="Arial"/>
      <w:b/>
      <w:color w:val="15272F" w:themeColor="text1"/>
      <w:sz w:val="36"/>
      <w:szCs w:val="18"/>
      <w:lang w:val="en-AU"/>
    </w:rPr>
  </w:style>
  <w:style w:type="character" w:customStyle="1" w:styleId="H4Char">
    <w:name w:val="H4 Char"/>
    <w:basedOn w:val="H4-ListChar"/>
    <w:link w:val="H4"/>
    <w:rsid w:val="00A207F8"/>
    <w:rPr>
      <w:rFonts w:ascii="Arial" w:hAnsi="Arial" w:cs="Arial"/>
      <w:b/>
      <w:color w:val="15272F" w:themeColor="text1"/>
      <w:sz w:val="36"/>
      <w:szCs w:val="18"/>
      <w:lang w:val="en-AU"/>
    </w:rPr>
  </w:style>
  <w:style w:type="character" w:styleId="Mention">
    <w:name w:val="Mention"/>
    <w:basedOn w:val="DefaultParagraphFont"/>
    <w:uiPriority w:val="99"/>
    <w:unhideWhenUsed/>
    <w:rsid w:val="00C54A83"/>
    <w:rPr>
      <w:color w:val="2B579A"/>
      <w:shd w:val="clear" w:color="auto" w:fill="E1DFDD"/>
    </w:rPr>
  </w:style>
  <w:style w:type="paragraph" w:customStyle="1" w:styleId="pf0">
    <w:name w:val="pf0"/>
    <w:basedOn w:val="Normal"/>
    <w:rsid w:val="001F13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1F13F5"/>
    <w:rPr>
      <w:rFonts w:ascii="Segoe UI" w:hAnsi="Segoe UI" w:cs="Segoe UI" w:hint="default"/>
      <w:color w:val="15272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50966">
      <w:bodyDiv w:val="1"/>
      <w:marLeft w:val="0"/>
      <w:marRight w:val="0"/>
      <w:marTop w:val="0"/>
      <w:marBottom w:val="0"/>
      <w:divBdr>
        <w:top w:val="none" w:sz="0" w:space="0" w:color="auto"/>
        <w:left w:val="none" w:sz="0" w:space="0" w:color="auto"/>
        <w:bottom w:val="none" w:sz="0" w:space="0" w:color="auto"/>
        <w:right w:val="none" w:sz="0" w:space="0" w:color="auto"/>
      </w:divBdr>
    </w:div>
    <w:div w:id="208300307">
      <w:bodyDiv w:val="1"/>
      <w:marLeft w:val="0"/>
      <w:marRight w:val="0"/>
      <w:marTop w:val="0"/>
      <w:marBottom w:val="0"/>
      <w:divBdr>
        <w:top w:val="none" w:sz="0" w:space="0" w:color="auto"/>
        <w:left w:val="none" w:sz="0" w:space="0" w:color="auto"/>
        <w:bottom w:val="none" w:sz="0" w:space="0" w:color="auto"/>
        <w:right w:val="none" w:sz="0" w:space="0" w:color="auto"/>
      </w:divBdr>
    </w:div>
    <w:div w:id="300116178">
      <w:bodyDiv w:val="1"/>
      <w:marLeft w:val="0"/>
      <w:marRight w:val="0"/>
      <w:marTop w:val="0"/>
      <w:marBottom w:val="0"/>
      <w:divBdr>
        <w:top w:val="none" w:sz="0" w:space="0" w:color="auto"/>
        <w:left w:val="none" w:sz="0" w:space="0" w:color="auto"/>
        <w:bottom w:val="none" w:sz="0" w:space="0" w:color="auto"/>
        <w:right w:val="none" w:sz="0" w:space="0" w:color="auto"/>
      </w:divBdr>
    </w:div>
    <w:div w:id="507448616">
      <w:bodyDiv w:val="1"/>
      <w:marLeft w:val="0"/>
      <w:marRight w:val="0"/>
      <w:marTop w:val="0"/>
      <w:marBottom w:val="0"/>
      <w:divBdr>
        <w:top w:val="none" w:sz="0" w:space="0" w:color="auto"/>
        <w:left w:val="none" w:sz="0" w:space="0" w:color="auto"/>
        <w:bottom w:val="none" w:sz="0" w:space="0" w:color="auto"/>
        <w:right w:val="none" w:sz="0" w:space="0" w:color="auto"/>
      </w:divBdr>
    </w:div>
    <w:div w:id="549347541">
      <w:bodyDiv w:val="1"/>
      <w:marLeft w:val="0"/>
      <w:marRight w:val="0"/>
      <w:marTop w:val="0"/>
      <w:marBottom w:val="0"/>
      <w:divBdr>
        <w:top w:val="none" w:sz="0" w:space="0" w:color="auto"/>
        <w:left w:val="none" w:sz="0" w:space="0" w:color="auto"/>
        <w:bottom w:val="none" w:sz="0" w:space="0" w:color="auto"/>
        <w:right w:val="none" w:sz="0" w:space="0" w:color="auto"/>
      </w:divBdr>
    </w:div>
    <w:div w:id="581186779">
      <w:bodyDiv w:val="1"/>
      <w:marLeft w:val="0"/>
      <w:marRight w:val="0"/>
      <w:marTop w:val="0"/>
      <w:marBottom w:val="0"/>
      <w:divBdr>
        <w:top w:val="none" w:sz="0" w:space="0" w:color="auto"/>
        <w:left w:val="none" w:sz="0" w:space="0" w:color="auto"/>
        <w:bottom w:val="none" w:sz="0" w:space="0" w:color="auto"/>
        <w:right w:val="none" w:sz="0" w:space="0" w:color="auto"/>
      </w:divBdr>
    </w:div>
    <w:div w:id="698430538">
      <w:bodyDiv w:val="1"/>
      <w:marLeft w:val="0"/>
      <w:marRight w:val="0"/>
      <w:marTop w:val="0"/>
      <w:marBottom w:val="0"/>
      <w:divBdr>
        <w:top w:val="none" w:sz="0" w:space="0" w:color="auto"/>
        <w:left w:val="none" w:sz="0" w:space="0" w:color="auto"/>
        <w:bottom w:val="none" w:sz="0" w:space="0" w:color="auto"/>
        <w:right w:val="none" w:sz="0" w:space="0" w:color="auto"/>
      </w:divBdr>
    </w:div>
    <w:div w:id="802625894">
      <w:bodyDiv w:val="1"/>
      <w:marLeft w:val="0"/>
      <w:marRight w:val="0"/>
      <w:marTop w:val="0"/>
      <w:marBottom w:val="0"/>
      <w:divBdr>
        <w:top w:val="none" w:sz="0" w:space="0" w:color="auto"/>
        <w:left w:val="none" w:sz="0" w:space="0" w:color="auto"/>
        <w:bottom w:val="none" w:sz="0" w:space="0" w:color="auto"/>
        <w:right w:val="none" w:sz="0" w:space="0" w:color="auto"/>
      </w:divBdr>
    </w:div>
    <w:div w:id="849485306">
      <w:bodyDiv w:val="1"/>
      <w:marLeft w:val="0"/>
      <w:marRight w:val="0"/>
      <w:marTop w:val="0"/>
      <w:marBottom w:val="0"/>
      <w:divBdr>
        <w:top w:val="none" w:sz="0" w:space="0" w:color="auto"/>
        <w:left w:val="none" w:sz="0" w:space="0" w:color="auto"/>
        <w:bottom w:val="none" w:sz="0" w:space="0" w:color="auto"/>
        <w:right w:val="none" w:sz="0" w:space="0" w:color="auto"/>
      </w:divBdr>
    </w:div>
    <w:div w:id="960233998">
      <w:bodyDiv w:val="1"/>
      <w:marLeft w:val="0"/>
      <w:marRight w:val="0"/>
      <w:marTop w:val="0"/>
      <w:marBottom w:val="0"/>
      <w:divBdr>
        <w:top w:val="none" w:sz="0" w:space="0" w:color="auto"/>
        <w:left w:val="none" w:sz="0" w:space="0" w:color="auto"/>
        <w:bottom w:val="none" w:sz="0" w:space="0" w:color="auto"/>
        <w:right w:val="none" w:sz="0" w:space="0" w:color="auto"/>
      </w:divBdr>
    </w:div>
    <w:div w:id="969240525">
      <w:bodyDiv w:val="1"/>
      <w:marLeft w:val="0"/>
      <w:marRight w:val="0"/>
      <w:marTop w:val="0"/>
      <w:marBottom w:val="0"/>
      <w:divBdr>
        <w:top w:val="none" w:sz="0" w:space="0" w:color="auto"/>
        <w:left w:val="none" w:sz="0" w:space="0" w:color="auto"/>
        <w:bottom w:val="none" w:sz="0" w:space="0" w:color="auto"/>
        <w:right w:val="none" w:sz="0" w:space="0" w:color="auto"/>
      </w:divBdr>
    </w:div>
    <w:div w:id="985473978">
      <w:bodyDiv w:val="1"/>
      <w:marLeft w:val="0"/>
      <w:marRight w:val="0"/>
      <w:marTop w:val="0"/>
      <w:marBottom w:val="0"/>
      <w:divBdr>
        <w:top w:val="none" w:sz="0" w:space="0" w:color="auto"/>
        <w:left w:val="none" w:sz="0" w:space="0" w:color="auto"/>
        <w:bottom w:val="none" w:sz="0" w:space="0" w:color="auto"/>
        <w:right w:val="none" w:sz="0" w:space="0" w:color="auto"/>
      </w:divBdr>
    </w:div>
    <w:div w:id="1018699068">
      <w:bodyDiv w:val="1"/>
      <w:marLeft w:val="0"/>
      <w:marRight w:val="0"/>
      <w:marTop w:val="0"/>
      <w:marBottom w:val="0"/>
      <w:divBdr>
        <w:top w:val="none" w:sz="0" w:space="0" w:color="auto"/>
        <w:left w:val="none" w:sz="0" w:space="0" w:color="auto"/>
        <w:bottom w:val="none" w:sz="0" w:space="0" w:color="auto"/>
        <w:right w:val="none" w:sz="0" w:space="0" w:color="auto"/>
      </w:divBdr>
    </w:div>
    <w:div w:id="1055861330">
      <w:bodyDiv w:val="1"/>
      <w:marLeft w:val="0"/>
      <w:marRight w:val="0"/>
      <w:marTop w:val="0"/>
      <w:marBottom w:val="0"/>
      <w:divBdr>
        <w:top w:val="none" w:sz="0" w:space="0" w:color="auto"/>
        <w:left w:val="none" w:sz="0" w:space="0" w:color="auto"/>
        <w:bottom w:val="none" w:sz="0" w:space="0" w:color="auto"/>
        <w:right w:val="none" w:sz="0" w:space="0" w:color="auto"/>
      </w:divBdr>
    </w:div>
    <w:div w:id="1080057272">
      <w:bodyDiv w:val="1"/>
      <w:marLeft w:val="0"/>
      <w:marRight w:val="0"/>
      <w:marTop w:val="0"/>
      <w:marBottom w:val="0"/>
      <w:divBdr>
        <w:top w:val="none" w:sz="0" w:space="0" w:color="auto"/>
        <w:left w:val="none" w:sz="0" w:space="0" w:color="auto"/>
        <w:bottom w:val="none" w:sz="0" w:space="0" w:color="auto"/>
        <w:right w:val="none" w:sz="0" w:space="0" w:color="auto"/>
      </w:divBdr>
    </w:div>
    <w:div w:id="1179583408">
      <w:bodyDiv w:val="1"/>
      <w:marLeft w:val="0"/>
      <w:marRight w:val="0"/>
      <w:marTop w:val="0"/>
      <w:marBottom w:val="0"/>
      <w:divBdr>
        <w:top w:val="none" w:sz="0" w:space="0" w:color="auto"/>
        <w:left w:val="none" w:sz="0" w:space="0" w:color="auto"/>
        <w:bottom w:val="none" w:sz="0" w:space="0" w:color="auto"/>
        <w:right w:val="none" w:sz="0" w:space="0" w:color="auto"/>
      </w:divBdr>
    </w:div>
    <w:div w:id="1182478219">
      <w:bodyDiv w:val="1"/>
      <w:marLeft w:val="0"/>
      <w:marRight w:val="0"/>
      <w:marTop w:val="0"/>
      <w:marBottom w:val="0"/>
      <w:divBdr>
        <w:top w:val="none" w:sz="0" w:space="0" w:color="auto"/>
        <w:left w:val="none" w:sz="0" w:space="0" w:color="auto"/>
        <w:bottom w:val="none" w:sz="0" w:space="0" w:color="auto"/>
        <w:right w:val="none" w:sz="0" w:space="0" w:color="auto"/>
      </w:divBdr>
    </w:div>
    <w:div w:id="1467428978">
      <w:bodyDiv w:val="1"/>
      <w:marLeft w:val="0"/>
      <w:marRight w:val="0"/>
      <w:marTop w:val="0"/>
      <w:marBottom w:val="0"/>
      <w:divBdr>
        <w:top w:val="none" w:sz="0" w:space="0" w:color="auto"/>
        <w:left w:val="none" w:sz="0" w:space="0" w:color="auto"/>
        <w:bottom w:val="none" w:sz="0" w:space="0" w:color="auto"/>
        <w:right w:val="none" w:sz="0" w:space="0" w:color="auto"/>
      </w:divBdr>
    </w:div>
    <w:div w:id="1538010358">
      <w:bodyDiv w:val="1"/>
      <w:marLeft w:val="0"/>
      <w:marRight w:val="0"/>
      <w:marTop w:val="0"/>
      <w:marBottom w:val="0"/>
      <w:divBdr>
        <w:top w:val="none" w:sz="0" w:space="0" w:color="auto"/>
        <w:left w:val="none" w:sz="0" w:space="0" w:color="auto"/>
        <w:bottom w:val="none" w:sz="0" w:space="0" w:color="auto"/>
        <w:right w:val="none" w:sz="0" w:space="0" w:color="auto"/>
      </w:divBdr>
    </w:div>
    <w:div w:id="1817642351">
      <w:bodyDiv w:val="1"/>
      <w:marLeft w:val="0"/>
      <w:marRight w:val="0"/>
      <w:marTop w:val="0"/>
      <w:marBottom w:val="0"/>
      <w:divBdr>
        <w:top w:val="none" w:sz="0" w:space="0" w:color="auto"/>
        <w:left w:val="none" w:sz="0" w:space="0" w:color="auto"/>
        <w:bottom w:val="none" w:sz="0" w:space="0" w:color="auto"/>
        <w:right w:val="none" w:sz="0" w:space="0" w:color="auto"/>
      </w:divBdr>
    </w:div>
    <w:div w:id="211728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s://www.ihacpa.gov.au/resources/cost-shifting-and-cross-border-dispute-resolution-policy" TargetMode="External"/><Relationship Id="rId42" Type="http://schemas.openxmlformats.org/officeDocument/2006/relationships/image" Target="media/image7.svg"/><Relationship Id="rId47"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g"/><Relationship Id="rId25" Type="http://schemas.openxmlformats.org/officeDocument/2006/relationships/header" Target="header10.xml"/><Relationship Id="rId33" Type="http://schemas.openxmlformats.org/officeDocument/2006/relationships/hyperlink" Target="https://www.ihacpa.gov.au/resources/new-health-technology-policy" TargetMode="External"/><Relationship Id="rId38" Type="http://schemas.openxmlformats.org/officeDocument/2006/relationships/header" Target="header13.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yperlink" Target="https://creativecommons.org/licenses/by/3.0/au/deed.en" TargetMode="External"/><Relationship Id="rId20" Type="http://schemas.openxmlformats.org/officeDocument/2006/relationships/footer" Target="footer4.xml"/><Relationship Id="rId29" Type="http://schemas.openxmlformats.org/officeDocument/2006/relationships/hyperlink" Target="https://www.safetyandquality.gov.au/our-work/indicators-measurement-and-reporting/incident-management-and-sentinel-events"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yperlink" Target="https://www.health.gov.au/resources/publications/benchmark-price-for-prostheses-in-australian-public-hospitals-2020-21" TargetMode="External"/><Relationship Id="rId37" Type="http://schemas.openxmlformats.org/officeDocument/2006/relationships/hyperlink" Target="https://learn.ihacpa.gov.au/" TargetMode="External"/><Relationship Id="rId40" Type="http://schemas.openxmlformats.org/officeDocument/2006/relationships/header" Target="header15.xml"/><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s://www.ihacpa.gov.au/resources/general-list-scope-public-hospital-services-eligibility-policy" TargetMode="External"/><Relationship Id="rId36" Type="http://schemas.openxmlformats.org/officeDocument/2006/relationships/hyperlink" Target="https://www.ihacpa.gov.au/health-care/classification/mental-health-care/amhcc-education-materials"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s://www.safetyandquality.gov.au/our-work/indicators/avoidable-hospital-readmissions" TargetMode="External"/><Relationship Id="rId44" Type="http://schemas.openxmlformats.org/officeDocument/2006/relationships/hyperlink" Target="http://www.ihacpa.gov.au/"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yperlink" Target="https://www.safetyandquality.gov.au/our-work/indicators/hospital-acquired-complications" TargetMode="External"/><Relationship Id="rId35" Type="http://schemas.openxmlformats.org/officeDocument/2006/relationships/hyperlink" Target="https://learn.ihacpa.gov.au/" TargetMode="External"/><Relationship Id="rId43" Type="http://schemas.openxmlformats.org/officeDocument/2006/relationships/hyperlink" Target="mailto:enquiries.ihacpa@ihacpa.gov.au" TargetMode="External"/><Relationship Id="rId48" Type="http://schemas.openxmlformats.org/officeDocument/2006/relationships/fontTable" Target="fontTable.xml"/><Relationship Id="rId8"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5.png"/></Relationships>
</file>

<file path=word/_rels/header18.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56990-65E2-44EC-A1C5-7181B4E1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13896</Words>
  <Characters>79213</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CONWAY, Julia</dc:creator>
  <cp:keywords/>
  <dc:description/>
  <cp:lastModifiedBy>BOLITHO, Sarah</cp:lastModifiedBy>
  <cp:revision>3</cp:revision>
  <dcterms:created xsi:type="dcterms:W3CDTF">2024-03-15T03:02:00Z</dcterms:created>
  <dcterms:modified xsi:type="dcterms:W3CDTF">2024-03-17T21:43:00Z</dcterms:modified>
</cp:coreProperties>
</file>