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EB801D" w14:textId="5FC0CAAF" w:rsidR="003E1DB6" w:rsidRPr="003D2DE6" w:rsidRDefault="00FB5590" w:rsidP="003E1DB6">
      <w:pPr>
        <w:pStyle w:val="CoverTitle"/>
        <w:rPr>
          <w:sz w:val="120"/>
          <w:szCs w:val="120"/>
        </w:rPr>
      </w:pPr>
      <w:r w:rsidRPr="003D2DE6">
        <w:rPr>
          <w:rFonts w:ascii="Arial" w:hAnsi="Arial"/>
          <w:noProof/>
          <w:sz w:val="120"/>
          <w:szCs w:val="120"/>
          <w:lang w:val="en-AU" w:eastAsia="en-AU"/>
        </w:rPr>
        <w:drawing>
          <wp:anchor distT="0" distB="0" distL="114300" distR="114300" simplePos="0" relativeHeight="251662336" behindDoc="1" locked="0" layoutInCell="1" allowOverlap="1" wp14:anchorId="1B54E7FF" wp14:editId="74118C67">
            <wp:simplePos x="0" y="0"/>
            <wp:positionH relativeFrom="page">
              <wp:posOffset>12700</wp:posOffset>
            </wp:positionH>
            <wp:positionV relativeFrom="page">
              <wp:posOffset>55084</wp:posOffset>
            </wp:positionV>
            <wp:extent cx="7547610" cy="10703582"/>
            <wp:effectExtent l="0" t="0" r="0" b="2540"/>
            <wp:wrapNone/>
            <wp:docPr id="29" name="Picture 2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7610" cy="10703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9B2" w:rsidRPr="003D2DE6">
        <w:rPr>
          <w:noProof/>
          <w:sz w:val="120"/>
          <w:szCs w:val="120"/>
          <w:lang w:val="en-AU" w:eastAsia="en-AU"/>
        </w:rPr>
        <w:drawing>
          <wp:anchor distT="0" distB="0" distL="114300" distR="114300" simplePos="0" relativeHeight="251660288" behindDoc="0" locked="0" layoutInCell="1" allowOverlap="1" wp14:anchorId="1DE47A15" wp14:editId="612C27E2">
            <wp:simplePos x="0" y="0"/>
            <wp:positionH relativeFrom="column">
              <wp:posOffset>5575300</wp:posOffset>
            </wp:positionH>
            <wp:positionV relativeFrom="page">
              <wp:posOffset>312420</wp:posOffset>
            </wp:positionV>
            <wp:extent cx="965200" cy="1301750"/>
            <wp:effectExtent l="0" t="0" r="0" b="0"/>
            <wp:wrapNone/>
            <wp:docPr id="175" name="Picture 175">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1301750"/>
                    </a:xfrm>
                    <a:prstGeom prst="rect">
                      <a:avLst/>
                    </a:prstGeom>
                    <a:noFill/>
                    <a:ln>
                      <a:noFill/>
                    </a:ln>
                  </pic:spPr>
                </pic:pic>
              </a:graphicData>
            </a:graphic>
          </wp:anchor>
        </w:drawing>
      </w:r>
      <w:r w:rsidR="003E1DB6" w:rsidRPr="003D2DE6">
        <w:rPr>
          <w:sz w:val="120"/>
          <w:szCs w:val="120"/>
        </w:rPr>
        <w:t xml:space="preserve">IHPA </w:t>
      </w:r>
    </w:p>
    <w:p w14:paraId="305B02EE" w14:textId="7573A2AB" w:rsidR="003C360C" w:rsidRPr="003D2DE6" w:rsidRDefault="00A04C9D" w:rsidP="003D2DE6">
      <w:pPr>
        <w:pStyle w:val="CoverTitle"/>
        <w:ind w:right="1161"/>
        <w:rPr>
          <w:sz w:val="120"/>
          <w:szCs w:val="120"/>
        </w:rPr>
      </w:pPr>
      <w:r w:rsidRPr="003D2DE6">
        <w:rPr>
          <w:sz w:val="120"/>
          <w:szCs w:val="120"/>
        </w:rPr>
        <w:t>Work Program</w:t>
      </w:r>
      <w:r w:rsidR="003D2DE6" w:rsidRPr="003D2DE6">
        <w:rPr>
          <w:sz w:val="120"/>
          <w:szCs w:val="120"/>
        </w:rPr>
        <w:t xml:space="preserve"> and Corporate Plan</w:t>
      </w:r>
    </w:p>
    <w:p w14:paraId="2E8C29D9" w14:textId="058F0D97" w:rsidR="00507AF9" w:rsidRPr="00A100C7" w:rsidRDefault="00507AF9" w:rsidP="00507AF9">
      <w:pPr>
        <w:pStyle w:val="CoverSubhead"/>
        <w:rPr>
          <w:sz w:val="72"/>
        </w:rPr>
      </w:pPr>
      <w:r w:rsidRPr="00A100C7">
        <w:rPr>
          <w:sz w:val="72"/>
        </w:rPr>
        <w:br/>
        <w:t>20</w:t>
      </w:r>
      <w:r w:rsidR="009E4F94" w:rsidRPr="00A100C7">
        <w:rPr>
          <w:sz w:val="72"/>
        </w:rPr>
        <w:t>2</w:t>
      </w:r>
      <w:r w:rsidR="003E2CEB">
        <w:rPr>
          <w:sz w:val="72"/>
        </w:rPr>
        <w:t>1</w:t>
      </w:r>
      <w:r w:rsidR="003671F9" w:rsidRPr="00A100C7">
        <w:rPr>
          <w:sz w:val="72"/>
        </w:rPr>
        <w:t>–</w:t>
      </w:r>
      <w:r w:rsidR="003E2CEB" w:rsidRPr="00A100C7">
        <w:rPr>
          <w:sz w:val="72"/>
        </w:rPr>
        <w:t>2</w:t>
      </w:r>
      <w:r w:rsidR="003E2CEB">
        <w:rPr>
          <w:sz w:val="72"/>
        </w:rPr>
        <w:t>2</w:t>
      </w:r>
    </w:p>
    <w:p w14:paraId="522E24F3" w14:textId="6265C937" w:rsidR="00921090" w:rsidRPr="006E7666" w:rsidRDefault="004F2637" w:rsidP="00507AF9">
      <w:pPr>
        <w:pStyle w:val="CoverSubhead"/>
        <w:rPr>
          <w:sz w:val="24"/>
          <w:szCs w:val="24"/>
        </w:rPr>
        <w:sectPr w:rsidR="00921090" w:rsidRPr="006E7666" w:rsidSect="003D2DE6">
          <w:headerReference w:type="even" r:id="rId10"/>
          <w:headerReference w:type="default" r:id="rId11"/>
          <w:footerReference w:type="default" r:id="rId12"/>
          <w:headerReference w:type="first" r:id="rId13"/>
          <w:footerReference w:type="first" r:id="rId14"/>
          <w:pgSz w:w="11906" w:h="16838" w:code="9"/>
          <w:pgMar w:top="6805" w:right="907" w:bottom="907" w:left="907" w:header="709" w:footer="709" w:gutter="0"/>
          <w:cols w:space="708"/>
          <w:titlePg/>
          <w:docGrid w:linePitch="360"/>
        </w:sectPr>
      </w:pPr>
      <w:r>
        <w:rPr>
          <w:sz w:val="24"/>
          <w:szCs w:val="24"/>
        </w:rPr>
        <w:t xml:space="preserve">Draft for </w:t>
      </w:r>
      <w:r w:rsidR="007C19D5">
        <w:rPr>
          <w:sz w:val="24"/>
          <w:szCs w:val="24"/>
        </w:rPr>
        <w:t>Public Consultatio</w:t>
      </w:r>
      <w:r w:rsidR="00F94713">
        <w:rPr>
          <w:sz w:val="24"/>
          <w:szCs w:val="24"/>
        </w:rPr>
        <w:t>n</w:t>
      </w:r>
      <w:bookmarkStart w:id="0" w:name="_GoBack"/>
      <w:bookmarkEnd w:id="0"/>
    </w:p>
    <w:p w14:paraId="7C406A7C" w14:textId="26E5BD5C" w:rsidR="00AF340D" w:rsidRDefault="007C19D5" w:rsidP="007C19D5">
      <w:pPr>
        <w:pStyle w:val="Body"/>
        <w:ind w:right="-340"/>
        <w:rPr>
          <w:i/>
        </w:rPr>
        <w:sectPr w:rsidR="00AF340D" w:rsidSect="007C19D5">
          <w:headerReference w:type="even" r:id="rId15"/>
          <w:headerReference w:type="default" r:id="rId16"/>
          <w:headerReference w:type="first" r:id="rId17"/>
          <w:pgSz w:w="11906" w:h="16838" w:code="9"/>
          <w:pgMar w:top="8789" w:right="1558" w:bottom="907" w:left="907" w:header="709" w:footer="709" w:gutter="0"/>
          <w:cols w:space="708"/>
          <w:titlePg/>
          <w:docGrid w:linePitch="360"/>
        </w:sectPr>
      </w:pPr>
      <w:r w:rsidRPr="007C19D5">
        <w:rPr>
          <w:b/>
          <w:noProof/>
          <w:lang w:val="en-AU" w:eastAsia="en-AU"/>
        </w:rPr>
        <w:lastRenderedPageBreak/>
        <mc:AlternateContent>
          <mc:Choice Requires="wps">
            <w:drawing>
              <wp:anchor distT="45720" distB="45720" distL="114300" distR="114300" simplePos="0" relativeHeight="251657215" behindDoc="1" locked="0" layoutInCell="1" allowOverlap="1" wp14:anchorId="60CB7E4B" wp14:editId="2940CEFF">
                <wp:simplePos x="0" y="0"/>
                <wp:positionH relativeFrom="margin">
                  <wp:posOffset>-168275</wp:posOffset>
                </wp:positionH>
                <wp:positionV relativeFrom="paragraph">
                  <wp:posOffset>0</wp:posOffset>
                </wp:positionV>
                <wp:extent cx="3129915" cy="5448300"/>
                <wp:effectExtent l="0" t="0" r="0" b="0"/>
                <wp:wrapTight wrapText="bothSides">
                  <wp:wrapPolygon edited="0">
                    <wp:start x="394" y="0"/>
                    <wp:lineTo x="394" y="21524"/>
                    <wp:lineTo x="21166" y="21524"/>
                    <wp:lineTo x="21166" y="0"/>
                    <wp:lineTo x="394"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5448300"/>
                        </a:xfrm>
                        <a:prstGeom prst="rect">
                          <a:avLst/>
                        </a:prstGeom>
                        <a:noFill/>
                        <a:ln w="9525">
                          <a:noFill/>
                          <a:miter lim="800000"/>
                          <a:headEnd/>
                          <a:tailEnd/>
                        </a:ln>
                      </wps:spPr>
                      <wps:txbx>
                        <w:txbxContent>
                          <w:p w14:paraId="161AD553" w14:textId="77777777" w:rsidR="007C19D5" w:rsidRPr="007C19D5" w:rsidRDefault="007C19D5" w:rsidP="007C19D5">
                            <w:pPr>
                              <w:rPr>
                                <w:b/>
                                <w:sz w:val="20"/>
                                <w:szCs w:val="20"/>
                              </w:rPr>
                            </w:pPr>
                            <w:r w:rsidRPr="007C19D5">
                              <w:rPr>
                                <w:b/>
                                <w:sz w:val="20"/>
                                <w:szCs w:val="20"/>
                              </w:rPr>
                              <w:t>IHPA Work Program and Corporate Plan 2021–22 – DRAFT</w:t>
                            </w:r>
                          </w:p>
                          <w:p w14:paraId="1E76865B" w14:textId="77777777" w:rsidR="007C19D5" w:rsidRPr="007C19D5" w:rsidRDefault="007C19D5" w:rsidP="007C19D5">
                            <w:pPr>
                              <w:rPr>
                                <w:sz w:val="20"/>
                                <w:szCs w:val="20"/>
                              </w:rPr>
                            </w:pPr>
                            <w:r w:rsidRPr="007C19D5">
                              <w:rPr>
                                <w:sz w:val="20"/>
                                <w:szCs w:val="20"/>
                              </w:rPr>
                              <w:t>© Independent Hospital Pricing Authority 2021</w:t>
                            </w:r>
                          </w:p>
                          <w:p w14:paraId="440D0330" w14:textId="109F00CC" w:rsidR="007C19D5" w:rsidRPr="007C19D5" w:rsidRDefault="007C19D5" w:rsidP="007C19D5">
                            <w:pPr>
                              <w:rPr>
                                <w:sz w:val="20"/>
                                <w:szCs w:val="20"/>
                              </w:rPr>
                            </w:pPr>
                            <w:r w:rsidRPr="007C19D5">
                              <w:rPr>
                                <w:sz w:val="20"/>
                                <w:szCs w:val="20"/>
                              </w:rPr>
                              <w:t xml:space="preserve">This publication is available for your use under a Creative Commons BY Attribution 3.0 Australia </w:t>
                            </w:r>
                            <w:proofErr w:type="spellStart"/>
                            <w:r w:rsidRPr="007C19D5">
                              <w:rPr>
                                <w:sz w:val="20"/>
                                <w:szCs w:val="20"/>
                              </w:rPr>
                              <w:t>licence</w:t>
                            </w:r>
                            <w:proofErr w:type="spellEnd"/>
                            <w:r w:rsidRPr="007C19D5">
                              <w:rPr>
                                <w:sz w:val="20"/>
                                <w:szCs w:val="20"/>
                              </w:rPr>
                              <w:t xml:space="preserve">, with the exception of the Independent Hospital Pricing Authority logo, photographs, images, signatures and where otherwise stated. The full </w:t>
                            </w:r>
                            <w:proofErr w:type="spellStart"/>
                            <w:r w:rsidRPr="007C19D5">
                              <w:rPr>
                                <w:sz w:val="20"/>
                                <w:szCs w:val="20"/>
                              </w:rPr>
                              <w:t>licence</w:t>
                            </w:r>
                            <w:proofErr w:type="spellEnd"/>
                            <w:r w:rsidRPr="007C19D5">
                              <w:rPr>
                                <w:sz w:val="20"/>
                                <w:szCs w:val="20"/>
                              </w:rPr>
                              <w:t xml:space="preserve"> terms are available from </w:t>
                            </w:r>
                            <w:hyperlink r:id="rId18" w:history="1">
                              <w:r w:rsidRPr="007C19D5">
                                <w:rPr>
                                  <w:rStyle w:val="LinkChar"/>
                                  <w:sz w:val="20"/>
                                  <w:szCs w:val="20"/>
                                </w:rPr>
                                <w:t>the Creative Commons website</w:t>
                              </w:r>
                            </w:hyperlink>
                            <w:r w:rsidRPr="007C19D5">
                              <w:rPr>
                                <w:sz w:val="20"/>
                                <w:szCs w:val="20"/>
                              </w:rPr>
                              <w:t>.</w:t>
                            </w:r>
                          </w:p>
                          <w:p w14:paraId="42400FC5" w14:textId="4F557625" w:rsidR="007C19D5" w:rsidRPr="007C19D5" w:rsidRDefault="007C19D5" w:rsidP="007C19D5">
                            <w:pPr>
                              <w:rPr>
                                <w:sz w:val="20"/>
                                <w:szCs w:val="20"/>
                              </w:rPr>
                            </w:pPr>
                            <w:r w:rsidRPr="007C19D5">
                              <w:rPr>
                                <w:noProof/>
                                <w:sz w:val="20"/>
                                <w:szCs w:val="20"/>
                                <w:lang w:val="en-AU" w:eastAsia="en-AU"/>
                              </w:rPr>
                              <w:drawing>
                                <wp:inline distT="0" distB="0" distL="0" distR="0" wp14:anchorId="7B01CD06" wp14:editId="0F23665B">
                                  <wp:extent cx="965835" cy="343535"/>
                                  <wp:effectExtent l="0" t="0" r="5715" b="0"/>
                                  <wp:docPr id="167" name="Picture 167"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5835" cy="343535"/>
                                          </a:xfrm>
                                          <a:prstGeom prst="rect">
                                            <a:avLst/>
                                          </a:prstGeom>
                                          <a:noFill/>
                                          <a:ln>
                                            <a:noFill/>
                                          </a:ln>
                                        </pic:spPr>
                                      </pic:pic>
                                    </a:graphicData>
                                  </a:graphic>
                                </wp:inline>
                              </w:drawing>
                            </w:r>
                          </w:p>
                          <w:p w14:paraId="2EA9CF69" w14:textId="77777777" w:rsidR="007C19D5" w:rsidRPr="007C19D5" w:rsidRDefault="007C19D5" w:rsidP="007C19D5">
                            <w:pPr>
                              <w:rPr>
                                <w:sz w:val="20"/>
                                <w:szCs w:val="20"/>
                              </w:rPr>
                            </w:pPr>
                            <w:r w:rsidRPr="007C19D5">
                              <w:rPr>
                                <w:sz w:val="20"/>
                                <w:szCs w:val="20"/>
                              </w:rPr>
                              <w:t xml:space="preserve">Use of Independent Hospital Pricing Authority material under a Creative Commons BY Attribution 3.0 Australia </w:t>
                            </w:r>
                            <w:proofErr w:type="spellStart"/>
                            <w:r w:rsidRPr="007C19D5">
                              <w:rPr>
                                <w:sz w:val="20"/>
                                <w:szCs w:val="20"/>
                              </w:rPr>
                              <w:t>licence</w:t>
                            </w:r>
                            <w:proofErr w:type="spellEnd"/>
                            <w:r w:rsidRPr="007C19D5">
                              <w:rPr>
                                <w:sz w:val="20"/>
                                <w:szCs w:val="20"/>
                              </w:rPr>
                              <w:t xml:space="preserve"> requires you to attribute the work (but not in any way that suggests that the Independent Hospital Pricing Authority endorses you or your use of the work).</w:t>
                            </w:r>
                          </w:p>
                          <w:p w14:paraId="4386B6A0" w14:textId="77777777" w:rsidR="007C19D5" w:rsidRPr="007C19D5" w:rsidRDefault="007C19D5" w:rsidP="007C19D5">
                            <w:pPr>
                              <w:rPr>
                                <w:i/>
                                <w:sz w:val="20"/>
                                <w:szCs w:val="20"/>
                              </w:rPr>
                            </w:pPr>
                            <w:r w:rsidRPr="007C19D5">
                              <w:rPr>
                                <w:i/>
                                <w:sz w:val="20"/>
                                <w:szCs w:val="20"/>
                              </w:rPr>
                              <w:t>Independent Hospital Pricing Authority material used ‘as supplied’.</w:t>
                            </w:r>
                          </w:p>
                          <w:p w14:paraId="37974E48" w14:textId="2218FCE8" w:rsidR="007C19D5" w:rsidRPr="007C19D5" w:rsidRDefault="007C19D5" w:rsidP="007C19D5">
                            <w:pPr>
                              <w:rPr>
                                <w:sz w:val="20"/>
                                <w:szCs w:val="20"/>
                              </w:rPr>
                            </w:pPr>
                            <w:r w:rsidRPr="007C19D5">
                              <w:rPr>
                                <w:sz w:val="20"/>
                                <w:szCs w:val="20"/>
                              </w:rPr>
                              <w:t xml:space="preserve">Provided you have not modified or transformed Independent Hospital Pricing Authority material in any way including, for example, by changing Independent Hospital Pricing Authority text — then the Independent Hospital Pricing Authority prefers the following </w:t>
                            </w:r>
                            <w:proofErr w:type="spellStart"/>
                            <w:r w:rsidRPr="007C19D5">
                              <w:rPr>
                                <w:sz w:val="20"/>
                                <w:szCs w:val="20"/>
                              </w:rPr>
                              <w:t>attribution:</w:t>
                            </w:r>
                            <w:r w:rsidRPr="007C19D5">
                              <w:rPr>
                                <w:i/>
                                <w:sz w:val="20"/>
                                <w:szCs w:val="20"/>
                              </w:rPr>
                              <w:t>Source</w:t>
                            </w:r>
                            <w:proofErr w:type="spellEnd"/>
                            <w:r w:rsidRPr="007C19D5">
                              <w:rPr>
                                <w:i/>
                                <w:sz w:val="20"/>
                                <w:szCs w:val="20"/>
                              </w:rPr>
                              <w:t>: The Independent Hospital Pricing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B7E4B" id="_x0000_t202" coordsize="21600,21600" o:spt="202" path="m,l,21600r21600,l21600,xe">
                <v:stroke joinstyle="miter"/>
                <v:path gradientshapeok="t" o:connecttype="rect"/>
              </v:shapetype>
              <v:shape id="Text Box 2" o:spid="_x0000_s1026" type="#_x0000_t202" style="position:absolute;margin-left:-13.25pt;margin-top:0;width:246.45pt;height:429pt;z-index:-251659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" filled="f" stroked="f">
                <v:textbox>
                  <w:txbxContent>
                    <w:p w14:paraId="161AD553" w14:textId="77777777" w:rsidR="007C19D5" w:rsidRPr="007C19D5" w:rsidRDefault="007C19D5" w:rsidP="007C19D5">
                      <w:pPr>
                        <w:rPr>
                          <w:b/>
                          <w:sz w:val="20"/>
                          <w:szCs w:val="20"/>
                        </w:rPr>
                      </w:pPr>
                      <w:r w:rsidRPr="007C19D5">
                        <w:rPr>
                          <w:b/>
                          <w:sz w:val="20"/>
                          <w:szCs w:val="20"/>
                        </w:rPr>
                        <w:t>IHPA Work Program and Corporate Plan 2021–22 – DRAFT</w:t>
                      </w:r>
                    </w:p>
                    <w:p w14:paraId="1E76865B" w14:textId="77777777" w:rsidR="007C19D5" w:rsidRPr="007C19D5" w:rsidRDefault="007C19D5" w:rsidP="007C19D5">
                      <w:pPr>
                        <w:rPr>
                          <w:sz w:val="20"/>
                          <w:szCs w:val="20"/>
                        </w:rPr>
                      </w:pPr>
                      <w:r w:rsidRPr="007C19D5">
                        <w:rPr>
                          <w:sz w:val="20"/>
                          <w:szCs w:val="20"/>
                        </w:rPr>
                        <w:t>© Independent Hospital Pricing Authority 2021</w:t>
                      </w:r>
                    </w:p>
                    <w:p w14:paraId="440D0330" w14:textId="109F00CC" w:rsidR="007C19D5" w:rsidRPr="007C19D5" w:rsidRDefault="007C19D5" w:rsidP="007C19D5">
                      <w:pPr>
                        <w:rPr>
                          <w:sz w:val="20"/>
                          <w:szCs w:val="20"/>
                        </w:rPr>
                      </w:pPr>
                      <w:r w:rsidRPr="007C19D5">
                        <w:rPr>
                          <w:sz w:val="20"/>
                          <w:szCs w:val="20"/>
                        </w:rPr>
                        <w:t xml:space="preserve">This publication is available for your use under a Creative Commons BY Attribution 3.0 Australia </w:t>
                      </w:r>
                      <w:proofErr w:type="spellStart"/>
                      <w:r w:rsidRPr="007C19D5">
                        <w:rPr>
                          <w:sz w:val="20"/>
                          <w:szCs w:val="20"/>
                        </w:rPr>
                        <w:t>licence</w:t>
                      </w:r>
                      <w:proofErr w:type="spellEnd"/>
                      <w:r w:rsidRPr="007C19D5">
                        <w:rPr>
                          <w:sz w:val="20"/>
                          <w:szCs w:val="20"/>
                        </w:rPr>
                        <w:t xml:space="preserve">, with the exception of the Independent Hospital Pricing Authority logo, photographs, images, signatures and where otherwise stated. The full </w:t>
                      </w:r>
                      <w:proofErr w:type="spellStart"/>
                      <w:r w:rsidRPr="007C19D5">
                        <w:rPr>
                          <w:sz w:val="20"/>
                          <w:szCs w:val="20"/>
                        </w:rPr>
                        <w:t>licence</w:t>
                      </w:r>
                      <w:proofErr w:type="spellEnd"/>
                      <w:r w:rsidRPr="007C19D5">
                        <w:rPr>
                          <w:sz w:val="20"/>
                          <w:szCs w:val="20"/>
                        </w:rPr>
                        <w:t xml:space="preserve"> terms are available from </w:t>
                      </w:r>
                      <w:hyperlink r:id="rId20" w:history="1">
                        <w:r w:rsidRPr="007C19D5">
                          <w:rPr>
                            <w:rStyle w:val="LinkChar"/>
                            <w:sz w:val="20"/>
                            <w:szCs w:val="20"/>
                          </w:rPr>
                          <w:t>the Creative Commons website</w:t>
                        </w:r>
                      </w:hyperlink>
                      <w:r w:rsidRPr="007C19D5">
                        <w:rPr>
                          <w:sz w:val="20"/>
                          <w:szCs w:val="20"/>
                        </w:rPr>
                        <w:t>.</w:t>
                      </w:r>
                    </w:p>
                    <w:p w14:paraId="42400FC5" w14:textId="4F557625" w:rsidR="007C19D5" w:rsidRPr="007C19D5" w:rsidRDefault="007C19D5" w:rsidP="007C19D5">
                      <w:pPr>
                        <w:rPr>
                          <w:sz w:val="20"/>
                          <w:szCs w:val="20"/>
                        </w:rPr>
                      </w:pPr>
                      <w:r w:rsidRPr="007C19D5">
                        <w:rPr>
                          <w:noProof/>
                          <w:sz w:val="20"/>
                          <w:szCs w:val="20"/>
                          <w:lang w:val="en-AU" w:eastAsia="en-AU"/>
                        </w:rPr>
                        <w:drawing>
                          <wp:inline distT="0" distB="0" distL="0" distR="0" wp14:anchorId="7B01CD06" wp14:editId="0F23665B">
                            <wp:extent cx="965835" cy="343535"/>
                            <wp:effectExtent l="0" t="0" r="5715" b="0"/>
                            <wp:docPr id="167" name="Picture 167"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5835" cy="343535"/>
                                    </a:xfrm>
                                    <a:prstGeom prst="rect">
                                      <a:avLst/>
                                    </a:prstGeom>
                                    <a:noFill/>
                                    <a:ln>
                                      <a:noFill/>
                                    </a:ln>
                                  </pic:spPr>
                                </pic:pic>
                              </a:graphicData>
                            </a:graphic>
                          </wp:inline>
                        </w:drawing>
                      </w:r>
                    </w:p>
                    <w:p w14:paraId="2EA9CF69" w14:textId="77777777" w:rsidR="007C19D5" w:rsidRPr="007C19D5" w:rsidRDefault="007C19D5" w:rsidP="007C19D5">
                      <w:pPr>
                        <w:rPr>
                          <w:sz w:val="20"/>
                          <w:szCs w:val="20"/>
                        </w:rPr>
                      </w:pPr>
                      <w:r w:rsidRPr="007C19D5">
                        <w:rPr>
                          <w:sz w:val="20"/>
                          <w:szCs w:val="20"/>
                        </w:rPr>
                        <w:t xml:space="preserve">Use of Independent Hospital Pricing Authority material under a Creative Commons BY Attribution 3.0 Australia </w:t>
                      </w:r>
                      <w:proofErr w:type="spellStart"/>
                      <w:r w:rsidRPr="007C19D5">
                        <w:rPr>
                          <w:sz w:val="20"/>
                          <w:szCs w:val="20"/>
                        </w:rPr>
                        <w:t>licence</w:t>
                      </w:r>
                      <w:proofErr w:type="spellEnd"/>
                      <w:r w:rsidRPr="007C19D5">
                        <w:rPr>
                          <w:sz w:val="20"/>
                          <w:szCs w:val="20"/>
                        </w:rPr>
                        <w:t xml:space="preserve"> requires you to attribute the work (but not in any way that suggests that the Independent Hospital Pricing Authority endorses you or your use of the work).</w:t>
                      </w:r>
                    </w:p>
                    <w:p w14:paraId="4386B6A0" w14:textId="77777777" w:rsidR="007C19D5" w:rsidRPr="007C19D5" w:rsidRDefault="007C19D5" w:rsidP="007C19D5">
                      <w:pPr>
                        <w:rPr>
                          <w:i/>
                          <w:sz w:val="20"/>
                          <w:szCs w:val="20"/>
                        </w:rPr>
                      </w:pPr>
                      <w:r w:rsidRPr="007C19D5">
                        <w:rPr>
                          <w:i/>
                          <w:sz w:val="20"/>
                          <w:szCs w:val="20"/>
                        </w:rPr>
                        <w:t>Independent Hospital Pricing Authority material used ‘as supplied’.</w:t>
                      </w:r>
                    </w:p>
                    <w:p w14:paraId="37974E48" w14:textId="2218FCE8" w:rsidR="007C19D5" w:rsidRPr="007C19D5" w:rsidRDefault="007C19D5" w:rsidP="007C19D5">
                      <w:pPr>
                        <w:rPr>
                          <w:sz w:val="20"/>
                          <w:szCs w:val="20"/>
                        </w:rPr>
                      </w:pPr>
                      <w:r w:rsidRPr="007C19D5">
                        <w:rPr>
                          <w:sz w:val="20"/>
                          <w:szCs w:val="20"/>
                        </w:rPr>
                        <w:t xml:space="preserve">Provided you have not modified or transformed Independent Hospital Pricing Authority material in any way including, for example, by changing Independent Hospital Pricing Authority text — then the Independent Hospital Pricing Authority prefers the following </w:t>
                      </w:r>
                      <w:proofErr w:type="spellStart"/>
                      <w:r w:rsidRPr="007C19D5">
                        <w:rPr>
                          <w:sz w:val="20"/>
                          <w:szCs w:val="20"/>
                        </w:rPr>
                        <w:t>attribution:</w:t>
                      </w:r>
                      <w:r w:rsidRPr="007C19D5">
                        <w:rPr>
                          <w:i/>
                          <w:sz w:val="20"/>
                          <w:szCs w:val="20"/>
                        </w:rPr>
                        <w:t>Source</w:t>
                      </w:r>
                      <w:proofErr w:type="spellEnd"/>
                      <w:r w:rsidRPr="007C19D5">
                        <w:rPr>
                          <w:i/>
                          <w:sz w:val="20"/>
                          <w:szCs w:val="20"/>
                        </w:rPr>
                        <w:t>: The Independent Hospital Pricing Authority</w:t>
                      </w:r>
                    </w:p>
                  </w:txbxContent>
                </v:textbox>
                <w10:wrap type="tight" anchorx="margin"/>
              </v:shape>
            </w:pict>
          </mc:Fallback>
        </mc:AlternateContent>
      </w:r>
    </w:p>
    <w:sdt>
      <w:sdtPr>
        <w:rPr>
          <w:rFonts w:asciiTheme="minorHAnsi" w:hAnsiTheme="minorHAnsi" w:cstheme="minorBidi"/>
          <w:color w:val="auto"/>
          <w:sz w:val="22"/>
          <w:szCs w:val="22"/>
          <w:lang w:val="en-PH"/>
        </w:rPr>
        <w:id w:val="1596509323"/>
        <w:docPartObj>
          <w:docPartGallery w:val="Table of Contents"/>
          <w:docPartUnique/>
        </w:docPartObj>
      </w:sdtPr>
      <w:sdtEndPr>
        <w:rPr>
          <w:b/>
          <w:bCs/>
          <w:noProof/>
          <w:color w:val="FFFFFF" w:themeColor="background1"/>
        </w:rPr>
      </w:sdtEndPr>
      <w:sdtContent>
        <w:p w14:paraId="70C6EBEB" w14:textId="0237BE82" w:rsidR="00AD75B9" w:rsidRPr="009E06F3" w:rsidRDefault="00AD75B9">
          <w:pPr>
            <w:pStyle w:val="TOCHeading"/>
            <w:rPr>
              <w:color w:val="FFFFFF" w:themeColor="background1"/>
            </w:rPr>
          </w:pPr>
          <w:r w:rsidRPr="009E06F3">
            <w:rPr>
              <w:color w:val="FFFFFF" w:themeColor="background1"/>
            </w:rPr>
            <w:t>Contents</w:t>
          </w:r>
        </w:p>
        <w:p w14:paraId="16ECD546" w14:textId="1863EFFB" w:rsidR="00F8753E" w:rsidRDefault="00AD75B9" w:rsidP="009C246A">
          <w:pPr>
            <w:pStyle w:val="TOC1"/>
            <w:tabs>
              <w:tab w:val="clear" w:pos="6379"/>
            </w:tabs>
            <w:ind w:left="142" w:right="-340"/>
            <w:rPr>
              <w:rFonts w:asciiTheme="minorHAnsi" w:eastAsiaTheme="minorEastAsia" w:hAnsiTheme="minorHAnsi"/>
              <w:noProof/>
              <w:color w:val="auto"/>
              <w:lang w:val="en-AU" w:eastAsia="en-AU"/>
            </w:rPr>
          </w:pPr>
          <w:r w:rsidRPr="001F20F8">
            <w:rPr>
              <w:b/>
              <w:color w:val="FFFFFF" w:themeColor="background1"/>
            </w:rPr>
            <w:fldChar w:fldCharType="begin"/>
          </w:r>
          <w:r w:rsidRPr="001F20F8">
            <w:rPr>
              <w:b/>
              <w:color w:val="FFFFFF" w:themeColor="background1"/>
            </w:rPr>
            <w:instrText xml:space="preserve"> TOC \o "1-3" \h \z \u </w:instrText>
          </w:r>
          <w:r w:rsidRPr="001F20F8">
            <w:rPr>
              <w:b/>
              <w:color w:val="FFFFFF" w:themeColor="background1"/>
            </w:rPr>
            <w:fldChar w:fldCharType="separate"/>
          </w:r>
          <w:hyperlink w:anchor="_Toc55974104" w:history="1">
            <w:r w:rsidR="00F8753E" w:rsidRPr="008D0462">
              <w:rPr>
                <w:rStyle w:val="Hyperlink"/>
                <w:b/>
                <w:noProof/>
              </w:rPr>
              <w:t>Abbreviations and acronyms</w:t>
            </w:r>
            <w:r w:rsidR="00F8753E" w:rsidRPr="008D0462">
              <w:rPr>
                <w:b/>
                <w:noProof/>
                <w:webHidden/>
              </w:rPr>
              <w:tab/>
            </w:r>
            <w:r w:rsidR="00F8753E">
              <w:rPr>
                <w:noProof/>
                <w:webHidden/>
              </w:rPr>
              <w:tab/>
            </w:r>
            <w:r w:rsidR="00F8753E">
              <w:rPr>
                <w:noProof/>
                <w:webHidden/>
              </w:rPr>
              <w:tab/>
            </w:r>
            <w:r w:rsidR="00F8753E">
              <w:rPr>
                <w:noProof/>
                <w:webHidden/>
              </w:rPr>
              <w:tab/>
            </w:r>
            <w:r w:rsidR="00F8753E">
              <w:rPr>
                <w:noProof/>
                <w:webHidden/>
              </w:rPr>
              <w:tab/>
            </w:r>
            <w:r w:rsidR="009C246A">
              <w:rPr>
                <w:noProof/>
                <w:webHidden/>
              </w:rPr>
              <w:tab/>
            </w:r>
            <w:r w:rsidR="009C246A">
              <w:rPr>
                <w:noProof/>
                <w:webHidden/>
              </w:rPr>
              <w:tab/>
            </w:r>
            <w:r w:rsidR="00F8753E">
              <w:rPr>
                <w:noProof/>
                <w:webHidden/>
              </w:rPr>
              <w:fldChar w:fldCharType="begin"/>
            </w:r>
            <w:r w:rsidR="00F8753E">
              <w:rPr>
                <w:noProof/>
                <w:webHidden/>
              </w:rPr>
              <w:instrText xml:space="preserve"> PAGEREF _Toc55974104 \h </w:instrText>
            </w:r>
            <w:r w:rsidR="00F8753E">
              <w:rPr>
                <w:noProof/>
                <w:webHidden/>
              </w:rPr>
            </w:r>
            <w:r w:rsidR="00F8753E">
              <w:rPr>
                <w:noProof/>
                <w:webHidden/>
              </w:rPr>
              <w:fldChar w:fldCharType="separate"/>
            </w:r>
            <w:r w:rsidR="00E973C6">
              <w:rPr>
                <w:noProof/>
                <w:webHidden/>
              </w:rPr>
              <w:t>5</w:t>
            </w:r>
            <w:r w:rsidR="00F8753E">
              <w:rPr>
                <w:noProof/>
                <w:webHidden/>
              </w:rPr>
              <w:fldChar w:fldCharType="end"/>
            </w:r>
          </w:hyperlink>
        </w:p>
        <w:p w14:paraId="16BE8F83" w14:textId="5416D9A0" w:rsidR="00F8753E" w:rsidRDefault="007C19D5" w:rsidP="009C246A">
          <w:pPr>
            <w:pStyle w:val="TOC1"/>
            <w:ind w:left="142" w:right="-340"/>
            <w:rPr>
              <w:rFonts w:asciiTheme="minorHAnsi" w:eastAsiaTheme="minorEastAsia" w:hAnsiTheme="minorHAnsi"/>
              <w:noProof/>
              <w:color w:val="auto"/>
              <w:lang w:val="en-AU" w:eastAsia="en-AU"/>
            </w:rPr>
          </w:pPr>
          <w:hyperlink w:anchor="_Toc55974105" w:history="1">
            <w:r w:rsidR="00F8753E" w:rsidRPr="008D0462">
              <w:rPr>
                <w:rStyle w:val="Hyperlink"/>
                <w:b/>
                <w:noProof/>
              </w:rPr>
              <w:t>1. Introduction</w:t>
            </w:r>
            <w:r w:rsidR="00F8753E">
              <w:rPr>
                <w:noProof/>
                <w:webHidden/>
              </w:rPr>
              <w:tab/>
            </w:r>
            <w:r w:rsidR="00F8753E">
              <w:rPr>
                <w:noProof/>
                <w:webHidden/>
              </w:rPr>
              <w:tab/>
            </w:r>
            <w:r w:rsidR="00F8753E">
              <w:rPr>
                <w:noProof/>
                <w:webHidden/>
              </w:rPr>
              <w:tab/>
            </w:r>
            <w:r w:rsidR="00F8753E">
              <w:rPr>
                <w:noProof/>
                <w:webHidden/>
              </w:rPr>
              <w:tab/>
            </w:r>
            <w:r w:rsidR="00F8753E">
              <w:rPr>
                <w:noProof/>
                <w:webHidden/>
              </w:rPr>
              <w:fldChar w:fldCharType="begin"/>
            </w:r>
            <w:r w:rsidR="00F8753E">
              <w:rPr>
                <w:noProof/>
                <w:webHidden/>
              </w:rPr>
              <w:instrText xml:space="preserve"> PAGEREF _Toc55974105 \h </w:instrText>
            </w:r>
            <w:r w:rsidR="00F8753E">
              <w:rPr>
                <w:noProof/>
                <w:webHidden/>
              </w:rPr>
            </w:r>
            <w:r w:rsidR="00F8753E">
              <w:rPr>
                <w:noProof/>
                <w:webHidden/>
              </w:rPr>
              <w:fldChar w:fldCharType="separate"/>
            </w:r>
            <w:r w:rsidR="00E973C6">
              <w:rPr>
                <w:noProof/>
                <w:webHidden/>
              </w:rPr>
              <w:t>6</w:t>
            </w:r>
            <w:r w:rsidR="00F8753E">
              <w:rPr>
                <w:noProof/>
                <w:webHidden/>
              </w:rPr>
              <w:fldChar w:fldCharType="end"/>
            </w:r>
          </w:hyperlink>
        </w:p>
        <w:p w14:paraId="27944718" w14:textId="1B99C500" w:rsidR="00F8753E" w:rsidRDefault="007C19D5" w:rsidP="009C246A">
          <w:pPr>
            <w:pStyle w:val="TOC1"/>
            <w:ind w:left="142" w:right="-340"/>
            <w:rPr>
              <w:rFonts w:asciiTheme="minorHAnsi" w:eastAsiaTheme="minorEastAsia" w:hAnsiTheme="minorHAnsi"/>
              <w:noProof/>
              <w:color w:val="auto"/>
              <w:lang w:val="en-AU" w:eastAsia="en-AU"/>
            </w:rPr>
          </w:pPr>
          <w:hyperlink w:anchor="_Toc55974106" w:history="1">
            <w:r w:rsidR="00F8753E" w:rsidRPr="00B032D6">
              <w:rPr>
                <w:rStyle w:val="Hyperlink"/>
                <w:noProof/>
              </w:rPr>
              <w:t>1.1 Background</w:t>
            </w:r>
            <w:r w:rsidR="00F8317B">
              <w:rPr>
                <w:noProof/>
                <w:webHidden/>
              </w:rPr>
              <w:tab/>
            </w:r>
            <w:r w:rsidR="00F8317B">
              <w:rPr>
                <w:noProof/>
                <w:webHidden/>
              </w:rPr>
              <w:tab/>
            </w:r>
            <w:r w:rsidR="00F8317B">
              <w:rPr>
                <w:noProof/>
                <w:webHidden/>
              </w:rPr>
              <w:tab/>
            </w:r>
            <w:r w:rsidR="00F8317B">
              <w:rPr>
                <w:noProof/>
                <w:webHidden/>
              </w:rPr>
              <w:tab/>
            </w:r>
            <w:r w:rsidR="00F8753E">
              <w:rPr>
                <w:noProof/>
                <w:webHidden/>
              </w:rPr>
              <w:fldChar w:fldCharType="begin"/>
            </w:r>
            <w:r w:rsidR="00F8753E">
              <w:rPr>
                <w:noProof/>
                <w:webHidden/>
              </w:rPr>
              <w:instrText xml:space="preserve"> PAGEREF _Toc55974106 \h </w:instrText>
            </w:r>
            <w:r w:rsidR="00F8753E">
              <w:rPr>
                <w:noProof/>
                <w:webHidden/>
              </w:rPr>
            </w:r>
            <w:r w:rsidR="00F8753E">
              <w:rPr>
                <w:noProof/>
                <w:webHidden/>
              </w:rPr>
              <w:fldChar w:fldCharType="separate"/>
            </w:r>
            <w:r w:rsidR="00E973C6">
              <w:rPr>
                <w:noProof/>
                <w:webHidden/>
              </w:rPr>
              <w:t>6</w:t>
            </w:r>
            <w:r w:rsidR="00F8753E">
              <w:rPr>
                <w:noProof/>
                <w:webHidden/>
              </w:rPr>
              <w:fldChar w:fldCharType="end"/>
            </w:r>
          </w:hyperlink>
        </w:p>
        <w:p w14:paraId="03EFFC42" w14:textId="481E45A1" w:rsidR="009C246A" w:rsidRDefault="007C19D5" w:rsidP="009C246A">
          <w:pPr>
            <w:pStyle w:val="TOC2"/>
            <w:rPr>
              <w:rStyle w:val="Hyperlink"/>
              <w:b/>
            </w:rPr>
          </w:pPr>
          <w:hyperlink w:anchor="_Toc55974107" w:history="1">
            <w:r w:rsidR="00F8753E" w:rsidRPr="008D0462">
              <w:rPr>
                <w:rStyle w:val="Hyperlink"/>
                <w:color w:val="FFFFFF" w:themeColor="background1"/>
              </w:rPr>
              <w:t>1.2 Purpose</w:t>
            </w:r>
            <w:r w:rsidR="00F8753E">
              <w:rPr>
                <w:webHidden/>
              </w:rPr>
              <w:tab/>
            </w:r>
            <w:r w:rsidR="00F8753E" w:rsidRPr="00F8753E">
              <w:rPr>
                <w:webHidden/>
              </w:rPr>
              <w:fldChar w:fldCharType="begin"/>
            </w:r>
            <w:r w:rsidR="00F8753E" w:rsidRPr="00F8753E">
              <w:rPr>
                <w:webHidden/>
              </w:rPr>
              <w:instrText xml:space="preserve"> PAGEREF _Toc55974107 \h </w:instrText>
            </w:r>
            <w:r w:rsidR="00F8753E" w:rsidRPr="00F8753E">
              <w:rPr>
                <w:webHidden/>
              </w:rPr>
            </w:r>
            <w:r w:rsidR="00F8753E" w:rsidRPr="00F8753E">
              <w:rPr>
                <w:webHidden/>
              </w:rPr>
              <w:fldChar w:fldCharType="separate"/>
            </w:r>
            <w:r w:rsidR="00E973C6">
              <w:rPr>
                <w:webHidden/>
              </w:rPr>
              <w:t>6</w:t>
            </w:r>
            <w:r w:rsidR="00F8753E" w:rsidRPr="00F8753E">
              <w:rPr>
                <w:webHidden/>
              </w:rPr>
              <w:fldChar w:fldCharType="end"/>
            </w:r>
          </w:hyperlink>
        </w:p>
        <w:p w14:paraId="62914EA4" w14:textId="0175A8F7" w:rsidR="00F8753E" w:rsidRDefault="007C19D5" w:rsidP="009C246A">
          <w:pPr>
            <w:pStyle w:val="TOC2"/>
            <w:rPr>
              <w:rFonts w:asciiTheme="minorHAnsi" w:eastAsiaTheme="minorEastAsia" w:hAnsiTheme="minorHAnsi"/>
              <w:color w:val="auto"/>
              <w:lang w:val="en-AU" w:eastAsia="en-AU"/>
            </w:rPr>
          </w:pPr>
          <w:hyperlink w:anchor="_Toc55974108" w:history="1">
            <w:r w:rsidR="00F8753E" w:rsidRPr="00B032D6">
              <w:rPr>
                <w:rStyle w:val="Hyperlink"/>
              </w:rPr>
              <w:t>1.3 Strategic objectives</w:t>
            </w:r>
            <w:r w:rsidR="00F8753E">
              <w:rPr>
                <w:webHidden/>
              </w:rPr>
              <w:tab/>
            </w:r>
            <w:r w:rsidR="00F8753E">
              <w:rPr>
                <w:webHidden/>
              </w:rPr>
              <w:fldChar w:fldCharType="begin"/>
            </w:r>
            <w:r w:rsidR="00F8753E">
              <w:rPr>
                <w:webHidden/>
              </w:rPr>
              <w:instrText xml:space="preserve"> PAGEREF _Toc55974108 \h </w:instrText>
            </w:r>
            <w:r w:rsidR="00F8753E">
              <w:rPr>
                <w:webHidden/>
              </w:rPr>
            </w:r>
            <w:r w:rsidR="00F8753E">
              <w:rPr>
                <w:webHidden/>
              </w:rPr>
              <w:fldChar w:fldCharType="separate"/>
            </w:r>
            <w:r w:rsidR="00E973C6">
              <w:rPr>
                <w:webHidden/>
              </w:rPr>
              <w:t>6</w:t>
            </w:r>
            <w:r w:rsidR="00F8753E">
              <w:rPr>
                <w:webHidden/>
              </w:rPr>
              <w:fldChar w:fldCharType="end"/>
            </w:r>
          </w:hyperlink>
        </w:p>
        <w:p w14:paraId="7B82D94B" w14:textId="33459677" w:rsidR="00F8753E" w:rsidRPr="00F8753E" w:rsidRDefault="007C19D5" w:rsidP="009C246A">
          <w:pPr>
            <w:pStyle w:val="TOC2"/>
            <w:rPr>
              <w:rFonts w:eastAsiaTheme="minorEastAsia"/>
              <w:lang w:val="en-AU" w:eastAsia="en-AU"/>
            </w:rPr>
          </w:pPr>
          <w:hyperlink w:anchor="_Toc55974109" w:history="1">
            <w:r w:rsidR="00F8753E" w:rsidRPr="00F8753E">
              <w:rPr>
                <w:rStyle w:val="Hyperlink"/>
              </w:rPr>
              <w:t>1.4 Review</w:t>
            </w:r>
            <w:r w:rsidR="00F8317B">
              <w:rPr>
                <w:rStyle w:val="Hyperlink"/>
              </w:rPr>
              <w:tab/>
            </w:r>
            <w:r w:rsidR="00F8753E" w:rsidRPr="00F8753E">
              <w:rPr>
                <w:webHidden/>
              </w:rPr>
              <w:fldChar w:fldCharType="begin"/>
            </w:r>
            <w:r w:rsidR="00F8753E" w:rsidRPr="00F8753E">
              <w:rPr>
                <w:webHidden/>
              </w:rPr>
              <w:instrText xml:space="preserve"> PAGEREF _Toc55974109 \h </w:instrText>
            </w:r>
            <w:r w:rsidR="00F8753E" w:rsidRPr="00F8753E">
              <w:rPr>
                <w:webHidden/>
              </w:rPr>
            </w:r>
            <w:r w:rsidR="00F8753E" w:rsidRPr="00F8753E">
              <w:rPr>
                <w:webHidden/>
              </w:rPr>
              <w:fldChar w:fldCharType="separate"/>
            </w:r>
            <w:r w:rsidR="00E973C6">
              <w:rPr>
                <w:webHidden/>
              </w:rPr>
              <w:t>7</w:t>
            </w:r>
            <w:r w:rsidR="00F8753E" w:rsidRPr="00F8753E">
              <w:rPr>
                <w:webHidden/>
              </w:rPr>
              <w:fldChar w:fldCharType="end"/>
            </w:r>
          </w:hyperlink>
        </w:p>
        <w:p w14:paraId="65D70BC7" w14:textId="270F4DDC" w:rsidR="00F8753E" w:rsidRDefault="007C19D5" w:rsidP="009C246A">
          <w:pPr>
            <w:pStyle w:val="TOC1"/>
            <w:tabs>
              <w:tab w:val="clear" w:pos="6379"/>
            </w:tabs>
            <w:ind w:left="142"/>
            <w:rPr>
              <w:rFonts w:asciiTheme="minorHAnsi" w:eastAsiaTheme="minorEastAsia" w:hAnsiTheme="minorHAnsi"/>
              <w:noProof/>
              <w:color w:val="auto"/>
              <w:lang w:val="en-AU" w:eastAsia="en-AU"/>
            </w:rPr>
          </w:pPr>
          <w:hyperlink w:anchor="_Toc55974110" w:history="1">
            <w:r w:rsidR="00F8753E" w:rsidRPr="008D0462">
              <w:rPr>
                <w:rStyle w:val="Hyperlink"/>
                <w:b/>
                <w:noProof/>
              </w:rPr>
              <w:t>2. Key activities</w:t>
            </w:r>
            <w:r w:rsidR="00F8753E">
              <w:rPr>
                <w:noProof/>
                <w:webHidden/>
              </w:rPr>
              <w:tab/>
            </w:r>
            <w:r w:rsidR="00F8753E">
              <w:rPr>
                <w:noProof/>
                <w:webHidden/>
              </w:rPr>
              <w:tab/>
            </w:r>
            <w:r w:rsidR="00F8753E">
              <w:rPr>
                <w:noProof/>
                <w:webHidden/>
              </w:rPr>
              <w:tab/>
            </w:r>
            <w:r w:rsidR="00F8753E">
              <w:rPr>
                <w:noProof/>
                <w:webHidden/>
              </w:rPr>
              <w:tab/>
            </w:r>
            <w:r w:rsidR="00F8753E">
              <w:rPr>
                <w:noProof/>
                <w:webHidden/>
              </w:rPr>
              <w:tab/>
            </w:r>
            <w:r w:rsidR="00F8753E">
              <w:rPr>
                <w:noProof/>
                <w:webHidden/>
              </w:rPr>
              <w:tab/>
            </w:r>
            <w:r w:rsidR="00F8753E">
              <w:rPr>
                <w:noProof/>
                <w:webHidden/>
              </w:rPr>
              <w:tab/>
            </w:r>
            <w:r w:rsidR="00F8753E">
              <w:rPr>
                <w:noProof/>
                <w:webHidden/>
              </w:rPr>
              <w:tab/>
            </w:r>
            <w:r w:rsidR="00F8753E">
              <w:rPr>
                <w:noProof/>
                <w:webHidden/>
              </w:rPr>
              <w:tab/>
            </w:r>
            <w:r w:rsidR="00F8317B">
              <w:rPr>
                <w:noProof/>
                <w:webHidden/>
              </w:rPr>
              <w:t xml:space="preserve"> </w:t>
            </w:r>
            <w:r w:rsidR="00F8753E">
              <w:rPr>
                <w:noProof/>
                <w:webHidden/>
              </w:rPr>
              <w:fldChar w:fldCharType="begin"/>
            </w:r>
            <w:r w:rsidR="00F8753E">
              <w:rPr>
                <w:noProof/>
                <w:webHidden/>
              </w:rPr>
              <w:instrText xml:space="preserve"> PAGEREF _Toc55974110 \h </w:instrText>
            </w:r>
            <w:r w:rsidR="00F8753E">
              <w:rPr>
                <w:noProof/>
                <w:webHidden/>
              </w:rPr>
            </w:r>
            <w:r w:rsidR="00F8753E">
              <w:rPr>
                <w:noProof/>
                <w:webHidden/>
              </w:rPr>
              <w:fldChar w:fldCharType="separate"/>
            </w:r>
            <w:r w:rsidR="00E973C6">
              <w:rPr>
                <w:noProof/>
                <w:webHidden/>
              </w:rPr>
              <w:t>8</w:t>
            </w:r>
            <w:r w:rsidR="00F8753E">
              <w:rPr>
                <w:noProof/>
                <w:webHidden/>
              </w:rPr>
              <w:fldChar w:fldCharType="end"/>
            </w:r>
          </w:hyperlink>
        </w:p>
        <w:p w14:paraId="18D20953" w14:textId="112AA59A" w:rsidR="008D0462" w:rsidRPr="008D0462" w:rsidRDefault="00F8753E" w:rsidP="009C246A">
          <w:pPr>
            <w:pStyle w:val="TOC1"/>
            <w:spacing w:after="0" w:line="240" w:lineRule="auto"/>
            <w:rPr>
              <w:rStyle w:val="Hyperlink"/>
              <w:noProof/>
              <w:sz w:val="18"/>
              <w:szCs w:val="18"/>
            </w:rPr>
          </w:pPr>
          <w:r w:rsidRPr="00B032D6">
            <w:rPr>
              <w:rStyle w:val="Hyperlink"/>
              <w:noProof/>
            </w:rPr>
            <w:fldChar w:fldCharType="begin"/>
          </w:r>
          <w:r w:rsidRPr="00B032D6">
            <w:rPr>
              <w:rStyle w:val="Hyperlink"/>
              <w:noProof/>
            </w:rPr>
            <w:instrText xml:space="preserve"> </w:instrText>
          </w:r>
          <w:r>
            <w:rPr>
              <w:noProof/>
            </w:rPr>
            <w:instrText>HYPERLINK \l "_Toc55974111"</w:instrText>
          </w:r>
          <w:r w:rsidRPr="00B032D6">
            <w:rPr>
              <w:rStyle w:val="Hyperlink"/>
              <w:noProof/>
            </w:rPr>
            <w:instrText xml:space="preserve"> </w:instrText>
          </w:r>
          <w:r w:rsidRPr="00B032D6">
            <w:rPr>
              <w:rStyle w:val="Hyperlink"/>
              <w:noProof/>
            </w:rPr>
            <w:fldChar w:fldCharType="separate"/>
          </w:r>
          <w:r w:rsidR="008D0462" w:rsidRPr="008D0462">
            <w:rPr>
              <w:rStyle w:val="Hyperlink"/>
              <w:noProof/>
              <w:sz w:val="18"/>
              <w:szCs w:val="18"/>
            </w:rPr>
            <w:t>Strategic Objective One</w:t>
          </w:r>
        </w:p>
        <w:p w14:paraId="05EBC31D" w14:textId="562F8D36" w:rsidR="00F8753E" w:rsidRDefault="00F8753E" w:rsidP="009C246A">
          <w:pPr>
            <w:pStyle w:val="TOC1"/>
            <w:rPr>
              <w:rFonts w:asciiTheme="minorHAnsi" w:eastAsiaTheme="minorEastAsia" w:hAnsiTheme="minorHAnsi"/>
              <w:noProof/>
              <w:color w:val="auto"/>
              <w:lang w:val="en-AU" w:eastAsia="en-AU"/>
            </w:rPr>
          </w:pPr>
          <w:r w:rsidRPr="00B032D6">
            <w:rPr>
              <w:rStyle w:val="Hyperlink"/>
              <w:noProof/>
            </w:rPr>
            <w:t>Perform Pricing Functions</w:t>
          </w:r>
          <w:r>
            <w:rPr>
              <w:rStyle w:val="Hyperlink"/>
              <w:noProof/>
            </w:rPr>
            <w:tab/>
          </w:r>
          <w:r>
            <w:rPr>
              <w:rStyle w:val="Hyperlink"/>
              <w:noProof/>
            </w:rPr>
            <w:tab/>
          </w:r>
          <w:r>
            <w:rPr>
              <w:rStyle w:val="Hyperlink"/>
              <w:noProof/>
            </w:rPr>
            <w:tab/>
          </w:r>
          <w:r>
            <w:rPr>
              <w:noProof/>
              <w:webHidden/>
            </w:rPr>
            <w:tab/>
          </w:r>
          <w:r w:rsidR="00F8317B">
            <w:rPr>
              <w:noProof/>
              <w:webHidden/>
            </w:rPr>
            <w:t xml:space="preserve"> </w:t>
          </w:r>
          <w:r>
            <w:rPr>
              <w:noProof/>
              <w:webHidden/>
            </w:rPr>
            <w:fldChar w:fldCharType="begin"/>
          </w:r>
          <w:r>
            <w:rPr>
              <w:noProof/>
              <w:webHidden/>
            </w:rPr>
            <w:instrText xml:space="preserve"> PAGEREF _Toc55974111 \h </w:instrText>
          </w:r>
          <w:r>
            <w:rPr>
              <w:noProof/>
              <w:webHidden/>
            </w:rPr>
          </w:r>
          <w:r>
            <w:rPr>
              <w:noProof/>
              <w:webHidden/>
            </w:rPr>
            <w:fldChar w:fldCharType="separate"/>
          </w:r>
          <w:r w:rsidR="00E973C6">
            <w:rPr>
              <w:noProof/>
              <w:webHidden/>
            </w:rPr>
            <w:t>8</w:t>
          </w:r>
          <w:r>
            <w:rPr>
              <w:noProof/>
              <w:webHidden/>
            </w:rPr>
            <w:fldChar w:fldCharType="end"/>
          </w:r>
          <w:r w:rsidRPr="00B032D6">
            <w:rPr>
              <w:rStyle w:val="Hyperlink"/>
              <w:noProof/>
            </w:rPr>
            <w:fldChar w:fldCharType="end"/>
          </w:r>
        </w:p>
        <w:p w14:paraId="347FAB27" w14:textId="794924D5" w:rsidR="008D0462" w:rsidRPr="008D0462" w:rsidRDefault="00F8753E" w:rsidP="009C246A">
          <w:pPr>
            <w:pStyle w:val="TOC1"/>
            <w:spacing w:after="0" w:line="240" w:lineRule="auto"/>
            <w:rPr>
              <w:rStyle w:val="Hyperlink"/>
              <w:noProof/>
              <w:sz w:val="18"/>
              <w:szCs w:val="18"/>
            </w:rPr>
          </w:pPr>
          <w:r w:rsidRPr="00B032D6">
            <w:rPr>
              <w:rStyle w:val="Hyperlink"/>
              <w:noProof/>
            </w:rPr>
            <w:fldChar w:fldCharType="begin"/>
          </w:r>
          <w:r w:rsidRPr="00B032D6">
            <w:rPr>
              <w:rStyle w:val="Hyperlink"/>
              <w:noProof/>
            </w:rPr>
            <w:instrText xml:space="preserve"> </w:instrText>
          </w:r>
          <w:r>
            <w:rPr>
              <w:noProof/>
            </w:rPr>
            <w:instrText>HYPERLINK \l "_Toc55974121"</w:instrText>
          </w:r>
          <w:r w:rsidRPr="00B032D6">
            <w:rPr>
              <w:rStyle w:val="Hyperlink"/>
              <w:noProof/>
            </w:rPr>
            <w:instrText xml:space="preserve"> </w:instrText>
          </w:r>
          <w:r w:rsidRPr="00B032D6">
            <w:rPr>
              <w:rStyle w:val="Hyperlink"/>
              <w:noProof/>
            </w:rPr>
            <w:fldChar w:fldCharType="separate"/>
          </w:r>
          <w:r w:rsidR="008D0462" w:rsidRPr="008D0462">
            <w:rPr>
              <w:rStyle w:val="Hyperlink"/>
              <w:noProof/>
              <w:sz w:val="18"/>
              <w:szCs w:val="18"/>
            </w:rPr>
            <w:t>Strategic Objective Two</w:t>
          </w:r>
        </w:p>
        <w:p w14:paraId="681D03BF" w14:textId="3C493E03" w:rsidR="00F8753E" w:rsidRDefault="00F8753E" w:rsidP="009C246A">
          <w:pPr>
            <w:pStyle w:val="TOC1"/>
            <w:rPr>
              <w:rFonts w:asciiTheme="minorHAnsi" w:eastAsiaTheme="minorEastAsia" w:hAnsiTheme="minorHAnsi"/>
              <w:noProof/>
              <w:color w:val="auto"/>
              <w:lang w:val="en-AU" w:eastAsia="en-AU"/>
            </w:rPr>
          </w:pPr>
          <w:r w:rsidRPr="00B032D6">
            <w:rPr>
              <w:rStyle w:val="Hyperlink"/>
              <w:noProof/>
            </w:rPr>
            <w:t>Refine and develop hospital activity classification systems</w:t>
          </w:r>
          <w:r w:rsidR="008D0462">
            <w:rPr>
              <w:rStyle w:val="Hyperlink"/>
              <w:noProof/>
            </w:rPr>
            <w:tab/>
          </w:r>
          <w:r w:rsidR="008D0462">
            <w:rPr>
              <w:rStyle w:val="Hyperlink"/>
              <w:noProof/>
            </w:rPr>
            <w:tab/>
          </w:r>
          <w:r w:rsidR="008D0462">
            <w:rPr>
              <w:rStyle w:val="Hyperlink"/>
              <w:noProof/>
            </w:rPr>
            <w:tab/>
          </w:r>
          <w:r>
            <w:rPr>
              <w:noProof/>
              <w:webHidden/>
            </w:rPr>
            <w:tab/>
          </w:r>
          <w:r>
            <w:rPr>
              <w:noProof/>
              <w:webHidden/>
            </w:rPr>
            <w:fldChar w:fldCharType="begin"/>
          </w:r>
          <w:r>
            <w:rPr>
              <w:noProof/>
              <w:webHidden/>
            </w:rPr>
            <w:instrText xml:space="preserve"> PAGEREF _Toc55974121 \h </w:instrText>
          </w:r>
          <w:r>
            <w:rPr>
              <w:noProof/>
              <w:webHidden/>
            </w:rPr>
          </w:r>
          <w:r>
            <w:rPr>
              <w:noProof/>
              <w:webHidden/>
            </w:rPr>
            <w:fldChar w:fldCharType="separate"/>
          </w:r>
          <w:r w:rsidR="00E973C6">
            <w:rPr>
              <w:noProof/>
              <w:webHidden/>
            </w:rPr>
            <w:t>12</w:t>
          </w:r>
          <w:r>
            <w:rPr>
              <w:noProof/>
              <w:webHidden/>
            </w:rPr>
            <w:fldChar w:fldCharType="end"/>
          </w:r>
          <w:r w:rsidRPr="00B032D6">
            <w:rPr>
              <w:rStyle w:val="Hyperlink"/>
              <w:noProof/>
            </w:rPr>
            <w:fldChar w:fldCharType="end"/>
          </w:r>
        </w:p>
        <w:p w14:paraId="418BD16C" w14:textId="60DCD88C" w:rsidR="008D0462" w:rsidRPr="008D0462" w:rsidRDefault="00F8753E" w:rsidP="009C246A">
          <w:pPr>
            <w:pStyle w:val="TOC1"/>
            <w:spacing w:after="0" w:line="240" w:lineRule="auto"/>
            <w:rPr>
              <w:rStyle w:val="Hyperlink"/>
              <w:noProof/>
              <w:sz w:val="18"/>
              <w:szCs w:val="18"/>
            </w:rPr>
          </w:pPr>
          <w:r w:rsidRPr="00B032D6">
            <w:rPr>
              <w:rStyle w:val="Hyperlink"/>
              <w:noProof/>
            </w:rPr>
            <w:fldChar w:fldCharType="begin"/>
          </w:r>
          <w:r w:rsidRPr="00B032D6">
            <w:rPr>
              <w:rStyle w:val="Hyperlink"/>
              <w:noProof/>
            </w:rPr>
            <w:instrText xml:space="preserve"> </w:instrText>
          </w:r>
          <w:r>
            <w:rPr>
              <w:noProof/>
            </w:rPr>
            <w:instrText>HYPERLINK \l "_Toc55974131"</w:instrText>
          </w:r>
          <w:r w:rsidRPr="00B032D6">
            <w:rPr>
              <w:rStyle w:val="Hyperlink"/>
              <w:noProof/>
            </w:rPr>
            <w:instrText xml:space="preserve"> </w:instrText>
          </w:r>
          <w:r w:rsidRPr="00B032D6">
            <w:rPr>
              <w:rStyle w:val="Hyperlink"/>
              <w:noProof/>
            </w:rPr>
            <w:fldChar w:fldCharType="separate"/>
          </w:r>
          <w:r w:rsidR="008D0462" w:rsidRPr="008D0462">
            <w:rPr>
              <w:rStyle w:val="Hyperlink"/>
              <w:noProof/>
              <w:sz w:val="18"/>
              <w:szCs w:val="18"/>
            </w:rPr>
            <w:t>Strategic Objective Three</w:t>
          </w:r>
        </w:p>
        <w:p w14:paraId="6225DB87" w14:textId="3F22E58B" w:rsidR="00F8753E" w:rsidRDefault="00F8753E" w:rsidP="009C246A">
          <w:pPr>
            <w:pStyle w:val="TOC1"/>
            <w:rPr>
              <w:rFonts w:asciiTheme="minorHAnsi" w:eastAsiaTheme="minorEastAsia" w:hAnsiTheme="minorHAnsi"/>
              <w:noProof/>
              <w:color w:val="auto"/>
              <w:lang w:val="en-AU" w:eastAsia="en-AU"/>
            </w:rPr>
          </w:pPr>
          <w:r w:rsidRPr="00B032D6">
            <w:rPr>
              <w:rStyle w:val="Hyperlink"/>
              <w:noProof/>
            </w:rPr>
            <w:t>Refine and improve hospital costing</w:t>
          </w:r>
          <w:r>
            <w:rPr>
              <w:noProof/>
              <w:webHidden/>
            </w:rPr>
            <w:tab/>
          </w:r>
          <w:r w:rsidR="008D0462">
            <w:rPr>
              <w:noProof/>
              <w:webHidden/>
            </w:rPr>
            <w:tab/>
          </w:r>
          <w:r w:rsidR="008D0462">
            <w:rPr>
              <w:noProof/>
              <w:webHidden/>
            </w:rPr>
            <w:tab/>
          </w:r>
          <w:r w:rsidR="008D0462">
            <w:rPr>
              <w:noProof/>
              <w:webHidden/>
            </w:rPr>
            <w:tab/>
          </w:r>
          <w:r>
            <w:rPr>
              <w:noProof/>
              <w:webHidden/>
            </w:rPr>
            <w:fldChar w:fldCharType="begin"/>
          </w:r>
          <w:r>
            <w:rPr>
              <w:noProof/>
              <w:webHidden/>
            </w:rPr>
            <w:instrText xml:space="preserve"> PAGEREF _Toc55974131 \h </w:instrText>
          </w:r>
          <w:r>
            <w:rPr>
              <w:noProof/>
              <w:webHidden/>
            </w:rPr>
          </w:r>
          <w:r>
            <w:rPr>
              <w:noProof/>
              <w:webHidden/>
            </w:rPr>
            <w:fldChar w:fldCharType="separate"/>
          </w:r>
          <w:r w:rsidR="00E973C6">
            <w:rPr>
              <w:noProof/>
              <w:webHidden/>
            </w:rPr>
            <w:t>16</w:t>
          </w:r>
          <w:r>
            <w:rPr>
              <w:noProof/>
              <w:webHidden/>
            </w:rPr>
            <w:fldChar w:fldCharType="end"/>
          </w:r>
          <w:r w:rsidRPr="00B032D6">
            <w:rPr>
              <w:rStyle w:val="Hyperlink"/>
              <w:noProof/>
            </w:rPr>
            <w:fldChar w:fldCharType="end"/>
          </w:r>
        </w:p>
        <w:p w14:paraId="6B996A8C" w14:textId="38CCC975" w:rsidR="008D0462" w:rsidRPr="008D0462" w:rsidRDefault="00F8753E" w:rsidP="009C246A">
          <w:pPr>
            <w:pStyle w:val="TOC1"/>
            <w:spacing w:after="0" w:line="240" w:lineRule="auto"/>
            <w:rPr>
              <w:rStyle w:val="Hyperlink"/>
              <w:noProof/>
              <w:sz w:val="18"/>
              <w:szCs w:val="18"/>
            </w:rPr>
          </w:pPr>
          <w:r w:rsidRPr="00B032D6">
            <w:rPr>
              <w:rStyle w:val="Hyperlink"/>
              <w:noProof/>
            </w:rPr>
            <w:fldChar w:fldCharType="begin"/>
          </w:r>
          <w:r w:rsidRPr="00B032D6">
            <w:rPr>
              <w:rStyle w:val="Hyperlink"/>
              <w:noProof/>
            </w:rPr>
            <w:instrText xml:space="preserve"> </w:instrText>
          </w:r>
          <w:r>
            <w:rPr>
              <w:noProof/>
            </w:rPr>
            <w:instrText>HYPERLINK \l "_Toc55974136"</w:instrText>
          </w:r>
          <w:r w:rsidRPr="00B032D6">
            <w:rPr>
              <w:rStyle w:val="Hyperlink"/>
              <w:noProof/>
            </w:rPr>
            <w:instrText xml:space="preserve"> </w:instrText>
          </w:r>
          <w:r w:rsidRPr="00B032D6">
            <w:rPr>
              <w:rStyle w:val="Hyperlink"/>
              <w:noProof/>
            </w:rPr>
            <w:fldChar w:fldCharType="separate"/>
          </w:r>
          <w:r w:rsidR="008D0462" w:rsidRPr="008D0462">
            <w:rPr>
              <w:rStyle w:val="Hyperlink"/>
              <w:noProof/>
              <w:sz w:val="18"/>
              <w:szCs w:val="18"/>
            </w:rPr>
            <w:t>Strategic Objective Four</w:t>
          </w:r>
        </w:p>
        <w:p w14:paraId="36203914" w14:textId="366B9D53" w:rsidR="00F8753E" w:rsidRDefault="00F8753E" w:rsidP="009C246A">
          <w:pPr>
            <w:pStyle w:val="TOC1"/>
            <w:rPr>
              <w:rFonts w:asciiTheme="minorHAnsi" w:eastAsiaTheme="minorEastAsia" w:hAnsiTheme="minorHAnsi"/>
              <w:noProof/>
              <w:color w:val="auto"/>
              <w:lang w:val="en-AU" w:eastAsia="en-AU"/>
            </w:rPr>
          </w:pPr>
          <w:r w:rsidRPr="00B032D6">
            <w:rPr>
              <w:rStyle w:val="Hyperlink"/>
              <w:noProof/>
            </w:rPr>
            <w:t>Determine data requirements and collect data</w:t>
          </w:r>
          <w:r>
            <w:rPr>
              <w:noProof/>
              <w:webHidden/>
            </w:rPr>
            <w:tab/>
          </w:r>
          <w:r w:rsidR="008D0462">
            <w:rPr>
              <w:noProof/>
              <w:webHidden/>
            </w:rPr>
            <w:tab/>
          </w:r>
          <w:r w:rsidR="008D0462">
            <w:rPr>
              <w:noProof/>
              <w:webHidden/>
            </w:rPr>
            <w:tab/>
          </w:r>
          <w:r w:rsidR="008D0462">
            <w:rPr>
              <w:noProof/>
              <w:webHidden/>
            </w:rPr>
            <w:tab/>
          </w:r>
          <w:r>
            <w:rPr>
              <w:noProof/>
              <w:webHidden/>
            </w:rPr>
            <w:fldChar w:fldCharType="begin"/>
          </w:r>
          <w:r>
            <w:rPr>
              <w:noProof/>
              <w:webHidden/>
            </w:rPr>
            <w:instrText xml:space="preserve"> PAGEREF _Toc55974136 \h </w:instrText>
          </w:r>
          <w:r>
            <w:rPr>
              <w:noProof/>
              <w:webHidden/>
            </w:rPr>
          </w:r>
          <w:r>
            <w:rPr>
              <w:noProof/>
              <w:webHidden/>
            </w:rPr>
            <w:fldChar w:fldCharType="separate"/>
          </w:r>
          <w:r w:rsidR="00E973C6">
            <w:rPr>
              <w:noProof/>
              <w:webHidden/>
            </w:rPr>
            <w:t>18</w:t>
          </w:r>
          <w:r>
            <w:rPr>
              <w:noProof/>
              <w:webHidden/>
            </w:rPr>
            <w:fldChar w:fldCharType="end"/>
          </w:r>
          <w:r w:rsidRPr="00B032D6">
            <w:rPr>
              <w:rStyle w:val="Hyperlink"/>
              <w:noProof/>
            </w:rPr>
            <w:fldChar w:fldCharType="end"/>
          </w:r>
        </w:p>
        <w:p w14:paraId="70CED0B9" w14:textId="597F4D12" w:rsidR="008D0462" w:rsidRPr="008D0462" w:rsidRDefault="00F8753E" w:rsidP="009C246A">
          <w:pPr>
            <w:pStyle w:val="TOC1"/>
            <w:spacing w:after="0" w:line="240" w:lineRule="auto"/>
            <w:rPr>
              <w:rStyle w:val="Hyperlink"/>
              <w:noProof/>
              <w:sz w:val="18"/>
              <w:szCs w:val="18"/>
            </w:rPr>
          </w:pPr>
          <w:r w:rsidRPr="00B032D6">
            <w:rPr>
              <w:rStyle w:val="Hyperlink"/>
              <w:noProof/>
            </w:rPr>
            <w:fldChar w:fldCharType="begin"/>
          </w:r>
          <w:r w:rsidRPr="00B032D6">
            <w:rPr>
              <w:rStyle w:val="Hyperlink"/>
              <w:noProof/>
            </w:rPr>
            <w:instrText xml:space="preserve"> </w:instrText>
          </w:r>
          <w:r>
            <w:rPr>
              <w:noProof/>
            </w:rPr>
            <w:instrText>HYPERLINK \l "_Toc55974144"</w:instrText>
          </w:r>
          <w:r w:rsidRPr="00B032D6">
            <w:rPr>
              <w:rStyle w:val="Hyperlink"/>
              <w:noProof/>
            </w:rPr>
            <w:instrText xml:space="preserve"> </w:instrText>
          </w:r>
          <w:r w:rsidRPr="00B032D6">
            <w:rPr>
              <w:rStyle w:val="Hyperlink"/>
              <w:noProof/>
            </w:rPr>
            <w:fldChar w:fldCharType="separate"/>
          </w:r>
          <w:r w:rsidRPr="008D0462">
            <w:rPr>
              <w:rStyle w:val="Hyperlink"/>
              <w:noProof/>
              <w:sz w:val="18"/>
              <w:szCs w:val="18"/>
            </w:rPr>
            <w:t xml:space="preserve">Strategic </w:t>
          </w:r>
          <w:r w:rsidR="008D0462" w:rsidRPr="008D0462">
            <w:rPr>
              <w:rStyle w:val="Hyperlink"/>
              <w:noProof/>
              <w:sz w:val="18"/>
              <w:szCs w:val="18"/>
            </w:rPr>
            <w:t>Objective Five</w:t>
          </w:r>
        </w:p>
        <w:p w14:paraId="05B9D164" w14:textId="74D98EF0" w:rsidR="00F8753E" w:rsidRDefault="00F8753E" w:rsidP="009C246A">
          <w:pPr>
            <w:pStyle w:val="TOC1"/>
            <w:rPr>
              <w:rFonts w:asciiTheme="minorHAnsi" w:eastAsiaTheme="minorEastAsia" w:hAnsiTheme="minorHAnsi"/>
              <w:noProof/>
              <w:color w:val="auto"/>
              <w:lang w:val="en-AU" w:eastAsia="en-AU"/>
            </w:rPr>
          </w:pPr>
          <w:r w:rsidRPr="00B032D6">
            <w:rPr>
              <w:rStyle w:val="Hyperlink"/>
              <w:noProof/>
            </w:rPr>
            <w:t>Resolve disputes on cost-shifting and cross-border issues</w:t>
          </w:r>
          <w:r w:rsidR="008D0462">
            <w:rPr>
              <w:rStyle w:val="Hyperlink"/>
              <w:noProof/>
            </w:rPr>
            <w:tab/>
          </w:r>
          <w:r w:rsidR="008D0462">
            <w:rPr>
              <w:rStyle w:val="Hyperlink"/>
              <w:noProof/>
            </w:rPr>
            <w:tab/>
          </w:r>
          <w:r w:rsidR="008D0462">
            <w:rPr>
              <w:rStyle w:val="Hyperlink"/>
              <w:noProof/>
            </w:rPr>
            <w:tab/>
          </w:r>
          <w:r>
            <w:rPr>
              <w:noProof/>
              <w:webHidden/>
            </w:rPr>
            <w:tab/>
          </w:r>
          <w:r>
            <w:rPr>
              <w:noProof/>
              <w:webHidden/>
            </w:rPr>
            <w:fldChar w:fldCharType="begin"/>
          </w:r>
          <w:r>
            <w:rPr>
              <w:noProof/>
              <w:webHidden/>
            </w:rPr>
            <w:instrText xml:space="preserve"> PAGEREF _Toc55974144 \h </w:instrText>
          </w:r>
          <w:r>
            <w:rPr>
              <w:noProof/>
              <w:webHidden/>
            </w:rPr>
          </w:r>
          <w:r>
            <w:rPr>
              <w:noProof/>
              <w:webHidden/>
            </w:rPr>
            <w:fldChar w:fldCharType="separate"/>
          </w:r>
          <w:r w:rsidR="00E973C6">
            <w:rPr>
              <w:noProof/>
              <w:webHidden/>
            </w:rPr>
            <w:t>21</w:t>
          </w:r>
          <w:r>
            <w:rPr>
              <w:noProof/>
              <w:webHidden/>
            </w:rPr>
            <w:fldChar w:fldCharType="end"/>
          </w:r>
          <w:r w:rsidRPr="00B032D6">
            <w:rPr>
              <w:rStyle w:val="Hyperlink"/>
              <w:noProof/>
            </w:rPr>
            <w:fldChar w:fldCharType="end"/>
          </w:r>
        </w:p>
        <w:p w14:paraId="58D54F67" w14:textId="594D8A8B" w:rsidR="008D0462" w:rsidRPr="008D0462" w:rsidRDefault="00F8753E" w:rsidP="009C246A">
          <w:pPr>
            <w:pStyle w:val="TOC1"/>
            <w:spacing w:after="0" w:line="240" w:lineRule="auto"/>
            <w:rPr>
              <w:rStyle w:val="Hyperlink"/>
              <w:noProof/>
              <w:sz w:val="18"/>
              <w:szCs w:val="18"/>
            </w:rPr>
          </w:pPr>
          <w:r w:rsidRPr="00B032D6">
            <w:rPr>
              <w:rStyle w:val="Hyperlink"/>
              <w:noProof/>
            </w:rPr>
            <w:fldChar w:fldCharType="begin"/>
          </w:r>
          <w:r w:rsidRPr="00B032D6">
            <w:rPr>
              <w:rStyle w:val="Hyperlink"/>
              <w:noProof/>
            </w:rPr>
            <w:instrText xml:space="preserve"> </w:instrText>
          </w:r>
          <w:r>
            <w:rPr>
              <w:noProof/>
            </w:rPr>
            <w:instrText>HYPERLINK \l "_Toc55974145"</w:instrText>
          </w:r>
          <w:r w:rsidRPr="00B032D6">
            <w:rPr>
              <w:rStyle w:val="Hyperlink"/>
              <w:noProof/>
            </w:rPr>
            <w:instrText xml:space="preserve"> </w:instrText>
          </w:r>
          <w:r w:rsidRPr="00B032D6">
            <w:rPr>
              <w:rStyle w:val="Hyperlink"/>
              <w:noProof/>
            </w:rPr>
            <w:fldChar w:fldCharType="separate"/>
          </w:r>
          <w:r w:rsidR="008D0462" w:rsidRPr="008D0462">
            <w:rPr>
              <w:rStyle w:val="Hyperlink"/>
              <w:noProof/>
              <w:sz w:val="18"/>
              <w:szCs w:val="18"/>
            </w:rPr>
            <w:t>Strategic Objective Six</w:t>
          </w:r>
        </w:p>
        <w:p w14:paraId="44A29456" w14:textId="48468C6A" w:rsidR="00F8753E" w:rsidRDefault="00F8753E" w:rsidP="009C246A">
          <w:pPr>
            <w:pStyle w:val="TOC1"/>
            <w:rPr>
              <w:rFonts w:asciiTheme="minorHAnsi" w:eastAsiaTheme="minorEastAsia" w:hAnsiTheme="minorHAnsi"/>
              <w:noProof/>
              <w:color w:val="auto"/>
              <w:lang w:val="en-AU" w:eastAsia="en-AU"/>
            </w:rPr>
          </w:pPr>
          <w:r w:rsidRPr="00B032D6">
            <w:rPr>
              <w:rStyle w:val="Hyperlink"/>
              <w:noProof/>
            </w:rPr>
            <w:t>Conduct independent and transparent decision-making and engage with stakeholders</w:t>
          </w:r>
          <w:r>
            <w:rPr>
              <w:noProof/>
              <w:webHidden/>
            </w:rPr>
            <w:tab/>
          </w:r>
          <w:r w:rsidR="008D0462">
            <w:rPr>
              <w:noProof/>
              <w:webHidden/>
            </w:rPr>
            <w:tab/>
          </w:r>
          <w:r w:rsidR="008D0462">
            <w:rPr>
              <w:noProof/>
              <w:webHidden/>
            </w:rPr>
            <w:tab/>
          </w:r>
          <w:r w:rsidR="008D0462">
            <w:rPr>
              <w:noProof/>
              <w:webHidden/>
            </w:rPr>
            <w:tab/>
          </w:r>
          <w:r w:rsidR="009C246A">
            <w:rPr>
              <w:noProof/>
              <w:webHidden/>
            </w:rPr>
            <w:tab/>
          </w:r>
          <w:r>
            <w:rPr>
              <w:noProof/>
              <w:webHidden/>
            </w:rPr>
            <w:fldChar w:fldCharType="begin"/>
          </w:r>
          <w:r>
            <w:rPr>
              <w:noProof/>
              <w:webHidden/>
            </w:rPr>
            <w:instrText xml:space="preserve"> PAGEREF _Toc55974145 \h </w:instrText>
          </w:r>
          <w:r>
            <w:rPr>
              <w:noProof/>
              <w:webHidden/>
            </w:rPr>
          </w:r>
          <w:r>
            <w:rPr>
              <w:noProof/>
              <w:webHidden/>
            </w:rPr>
            <w:fldChar w:fldCharType="separate"/>
          </w:r>
          <w:r w:rsidR="00E973C6">
            <w:rPr>
              <w:noProof/>
              <w:webHidden/>
            </w:rPr>
            <w:t>22</w:t>
          </w:r>
          <w:r>
            <w:rPr>
              <w:noProof/>
              <w:webHidden/>
            </w:rPr>
            <w:fldChar w:fldCharType="end"/>
          </w:r>
          <w:r w:rsidRPr="00B032D6">
            <w:rPr>
              <w:rStyle w:val="Hyperlink"/>
              <w:noProof/>
            </w:rPr>
            <w:fldChar w:fldCharType="end"/>
          </w:r>
        </w:p>
        <w:p w14:paraId="79EE242E" w14:textId="43683382" w:rsidR="00F8753E" w:rsidRDefault="007C19D5" w:rsidP="009C246A">
          <w:pPr>
            <w:pStyle w:val="TOC1"/>
            <w:ind w:left="142"/>
            <w:rPr>
              <w:rFonts w:asciiTheme="minorHAnsi" w:eastAsiaTheme="minorEastAsia" w:hAnsiTheme="minorHAnsi"/>
              <w:noProof/>
              <w:color w:val="auto"/>
              <w:lang w:val="en-AU" w:eastAsia="en-AU"/>
            </w:rPr>
          </w:pPr>
          <w:hyperlink w:anchor="_Toc55974149" w:history="1">
            <w:r w:rsidR="00F8753E" w:rsidRPr="008D0462">
              <w:rPr>
                <w:rStyle w:val="Hyperlink"/>
                <w:b/>
                <w:noProof/>
              </w:rPr>
              <w:t>3. Operating context</w:t>
            </w:r>
            <w:r w:rsidR="00F8753E">
              <w:rPr>
                <w:noProof/>
                <w:webHidden/>
              </w:rPr>
              <w:tab/>
            </w:r>
            <w:r w:rsidR="008D0462">
              <w:rPr>
                <w:noProof/>
                <w:webHidden/>
              </w:rPr>
              <w:tab/>
            </w:r>
            <w:r w:rsidR="008D0462">
              <w:rPr>
                <w:noProof/>
                <w:webHidden/>
              </w:rPr>
              <w:tab/>
            </w:r>
            <w:r w:rsidR="008D0462">
              <w:rPr>
                <w:noProof/>
                <w:webHidden/>
              </w:rPr>
              <w:tab/>
            </w:r>
            <w:r w:rsidR="00F8753E">
              <w:rPr>
                <w:noProof/>
                <w:webHidden/>
              </w:rPr>
              <w:fldChar w:fldCharType="begin"/>
            </w:r>
            <w:r w:rsidR="00F8753E">
              <w:rPr>
                <w:noProof/>
                <w:webHidden/>
              </w:rPr>
              <w:instrText xml:space="preserve"> PAGEREF _Toc55974149 \h </w:instrText>
            </w:r>
            <w:r w:rsidR="00F8753E">
              <w:rPr>
                <w:noProof/>
                <w:webHidden/>
              </w:rPr>
            </w:r>
            <w:r w:rsidR="00F8753E">
              <w:rPr>
                <w:noProof/>
                <w:webHidden/>
              </w:rPr>
              <w:fldChar w:fldCharType="separate"/>
            </w:r>
            <w:r w:rsidR="00E973C6">
              <w:rPr>
                <w:noProof/>
                <w:webHidden/>
              </w:rPr>
              <w:t>24</w:t>
            </w:r>
            <w:r w:rsidR="00F8753E">
              <w:rPr>
                <w:noProof/>
                <w:webHidden/>
              </w:rPr>
              <w:fldChar w:fldCharType="end"/>
            </w:r>
          </w:hyperlink>
        </w:p>
        <w:p w14:paraId="3FEEDF4A" w14:textId="7B991937" w:rsidR="00F8753E" w:rsidRDefault="007C19D5" w:rsidP="009C246A">
          <w:pPr>
            <w:pStyle w:val="TOC1"/>
            <w:rPr>
              <w:rFonts w:asciiTheme="minorHAnsi" w:eastAsiaTheme="minorEastAsia" w:hAnsiTheme="minorHAnsi"/>
              <w:noProof/>
              <w:color w:val="auto"/>
              <w:lang w:val="en-AU" w:eastAsia="en-AU"/>
            </w:rPr>
          </w:pPr>
          <w:hyperlink w:anchor="_Toc55974150" w:history="1">
            <w:r w:rsidR="00F8753E" w:rsidRPr="00B032D6">
              <w:rPr>
                <w:rStyle w:val="Hyperlink"/>
                <w:noProof/>
              </w:rPr>
              <w:t>3.1 Environment</w:t>
            </w:r>
            <w:r w:rsidR="00F8753E">
              <w:rPr>
                <w:noProof/>
                <w:webHidden/>
              </w:rPr>
              <w:tab/>
            </w:r>
            <w:r w:rsidR="008D0462">
              <w:rPr>
                <w:noProof/>
                <w:webHidden/>
              </w:rPr>
              <w:tab/>
            </w:r>
            <w:r w:rsidR="008D0462">
              <w:rPr>
                <w:noProof/>
                <w:webHidden/>
              </w:rPr>
              <w:tab/>
            </w:r>
            <w:r w:rsidR="008D0462">
              <w:rPr>
                <w:noProof/>
                <w:webHidden/>
              </w:rPr>
              <w:tab/>
            </w:r>
            <w:r w:rsidR="00F8753E">
              <w:rPr>
                <w:noProof/>
                <w:webHidden/>
              </w:rPr>
              <w:fldChar w:fldCharType="begin"/>
            </w:r>
            <w:r w:rsidR="00F8753E">
              <w:rPr>
                <w:noProof/>
                <w:webHidden/>
              </w:rPr>
              <w:instrText xml:space="preserve"> PAGEREF _Toc55974150 \h </w:instrText>
            </w:r>
            <w:r w:rsidR="00F8753E">
              <w:rPr>
                <w:noProof/>
                <w:webHidden/>
              </w:rPr>
            </w:r>
            <w:r w:rsidR="00F8753E">
              <w:rPr>
                <w:noProof/>
                <w:webHidden/>
              </w:rPr>
              <w:fldChar w:fldCharType="separate"/>
            </w:r>
            <w:r w:rsidR="00E973C6">
              <w:rPr>
                <w:noProof/>
                <w:webHidden/>
              </w:rPr>
              <w:t>24</w:t>
            </w:r>
            <w:r w:rsidR="00F8753E">
              <w:rPr>
                <w:noProof/>
                <w:webHidden/>
              </w:rPr>
              <w:fldChar w:fldCharType="end"/>
            </w:r>
          </w:hyperlink>
        </w:p>
        <w:p w14:paraId="49F8E6FC" w14:textId="49127C09" w:rsidR="00F8753E" w:rsidRDefault="007C19D5" w:rsidP="009C246A">
          <w:pPr>
            <w:pStyle w:val="TOC1"/>
            <w:rPr>
              <w:rFonts w:asciiTheme="minorHAnsi" w:eastAsiaTheme="minorEastAsia" w:hAnsiTheme="minorHAnsi"/>
              <w:noProof/>
              <w:color w:val="auto"/>
              <w:lang w:val="en-AU" w:eastAsia="en-AU"/>
            </w:rPr>
          </w:pPr>
          <w:hyperlink w:anchor="_Toc55974151" w:history="1">
            <w:r w:rsidR="00F8753E" w:rsidRPr="00B032D6">
              <w:rPr>
                <w:rStyle w:val="Hyperlink"/>
                <w:noProof/>
              </w:rPr>
              <w:t>3.2 Capability</w:t>
            </w:r>
            <w:r w:rsidR="00F8753E">
              <w:rPr>
                <w:noProof/>
                <w:webHidden/>
              </w:rPr>
              <w:tab/>
            </w:r>
            <w:r w:rsidR="008D0462">
              <w:rPr>
                <w:noProof/>
                <w:webHidden/>
              </w:rPr>
              <w:tab/>
            </w:r>
            <w:r w:rsidR="008D0462">
              <w:rPr>
                <w:noProof/>
                <w:webHidden/>
              </w:rPr>
              <w:tab/>
            </w:r>
            <w:r w:rsidR="008D0462">
              <w:rPr>
                <w:noProof/>
                <w:webHidden/>
              </w:rPr>
              <w:tab/>
            </w:r>
            <w:r w:rsidR="00F8753E">
              <w:rPr>
                <w:noProof/>
                <w:webHidden/>
              </w:rPr>
              <w:fldChar w:fldCharType="begin"/>
            </w:r>
            <w:r w:rsidR="00F8753E">
              <w:rPr>
                <w:noProof/>
                <w:webHidden/>
              </w:rPr>
              <w:instrText xml:space="preserve"> PAGEREF _Toc55974151 \h </w:instrText>
            </w:r>
            <w:r w:rsidR="00F8753E">
              <w:rPr>
                <w:noProof/>
                <w:webHidden/>
              </w:rPr>
            </w:r>
            <w:r w:rsidR="00F8753E">
              <w:rPr>
                <w:noProof/>
                <w:webHidden/>
              </w:rPr>
              <w:fldChar w:fldCharType="separate"/>
            </w:r>
            <w:r w:rsidR="00E973C6">
              <w:rPr>
                <w:noProof/>
                <w:webHidden/>
              </w:rPr>
              <w:t>24</w:t>
            </w:r>
            <w:r w:rsidR="00F8753E">
              <w:rPr>
                <w:noProof/>
                <w:webHidden/>
              </w:rPr>
              <w:fldChar w:fldCharType="end"/>
            </w:r>
          </w:hyperlink>
        </w:p>
        <w:p w14:paraId="6CC227DD" w14:textId="7530D623" w:rsidR="00F8753E" w:rsidRDefault="007C19D5" w:rsidP="009C246A">
          <w:pPr>
            <w:pStyle w:val="TOC1"/>
            <w:rPr>
              <w:rFonts w:asciiTheme="minorHAnsi" w:eastAsiaTheme="minorEastAsia" w:hAnsiTheme="minorHAnsi"/>
              <w:noProof/>
              <w:color w:val="auto"/>
              <w:lang w:val="en-AU" w:eastAsia="en-AU"/>
            </w:rPr>
          </w:pPr>
          <w:hyperlink w:anchor="_Toc55974152" w:history="1">
            <w:r w:rsidR="00F8753E" w:rsidRPr="00B032D6">
              <w:rPr>
                <w:rStyle w:val="Hyperlink"/>
                <w:noProof/>
              </w:rPr>
              <w:t>3.3 Cooperation and collaboration</w:t>
            </w:r>
            <w:r w:rsidR="00F8753E">
              <w:rPr>
                <w:noProof/>
                <w:webHidden/>
              </w:rPr>
              <w:tab/>
            </w:r>
            <w:r w:rsidR="008D0462">
              <w:rPr>
                <w:noProof/>
                <w:webHidden/>
              </w:rPr>
              <w:tab/>
            </w:r>
            <w:r w:rsidR="008D0462">
              <w:rPr>
                <w:noProof/>
                <w:webHidden/>
              </w:rPr>
              <w:tab/>
            </w:r>
            <w:r w:rsidR="008D0462">
              <w:rPr>
                <w:noProof/>
                <w:webHidden/>
              </w:rPr>
              <w:tab/>
            </w:r>
            <w:r w:rsidR="00F8753E">
              <w:rPr>
                <w:noProof/>
                <w:webHidden/>
              </w:rPr>
              <w:fldChar w:fldCharType="begin"/>
            </w:r>
            <w:r w:rsidR="00F8753E">
              <w:rPr>
                <w:noProof/>
                <w:webHidden/>
              </w:rPr>
              <w:instrText xml:space="preserve"> PAGEREF _Toc55974152 \h </w:instrText>
            </w:r>
            <w:r w:rsidR="00F8753E">
              <w:rPr>
                <w:noProof/>
                <w:webHidden/>
              </w:rPr>
            </w:r>
            <w:r w:rsidR="00F8753E">
              <w:rPr>
                <w:noProof/>
                <w:webHidden/>
              </w:rPr>
              <w:fldChar w:fldCharType="separate"/>
            </w:r>
            <w:r w:rsidR="00E973C6">
              <w:rPr>
                <w:noProof/>
                <w:webHidden/>
              </w:rPr>
              <w:t>25</w:t>
            </w:r>
            <w:r w:rsidR="00F8753E">
              <w:rPr>
                <w:noProof/>
                <w:webHidden/>
              </w:rPr>
              <w:fldChar w:fldCharType="end"/>
            </w:r>
          </w:hyperlink>
        </w:p>
        <w:p w14:paraId="6F802CB6" w14:textId="613A948F" w:rsidR="00F8753E" w:rsidRDefault="007C19D5" w:rsidP="009C246A">
          <w:pPr>
            <w:pStyle w:val="TOC1"/>
            <w:rPr>
              <w:rFonts w:asciiTheme="minorHAnsi" w:eastAsiaTheme="minorEastAsia" w:hAnsiTheme="minorHAnsi"/>
              <w:noProof/>
              <w:color w:val="auto"/>
              <w:lang w:val="en-AU" w:eastAsia="en-AU"/>
            </w:rPr>
          </w:pPr>
          <w:hyperlink w:anchor="_Toc55974153" w:history="1">
            <w:r w:rsidR="00F8753E" w:rsidRPr="00B032D6">
              <w:rPr>
                <w:rStyle w:val="Hyperlink"/>
                <w:noProof/>
              </w:rPr>
              <w:t>3.4 Enterprise risk</w:t>
            </w:r>
            <w:r w:rsidR="00F8753E">
              <w:rPr>
                <w:noProof/>
                <w:webHidden/>
              </w:rPr>
              <w:tab/>
            </w:r>
            <w:r w:rsidR="008D0462">
              <w:rPr>
                <w:noProof/>
                <w:webHidden/>
              </w:rPr>
              <w:tab/>
            </w:r>
            <w:r w:rsidR="008D0462">
              <w:rPr>
                <w:noProof/>
                <w:webHidden/>
              </w:rPr>
              <w:tab/>
            </w:r>
            <w:r w:rsidR="008D0462">
              <w:rPr>
                <w:noProof/>
                <w:webHidden/>
              </w:rPr>
              <w:tab/>
            </w:r>
            <w:r w:rsidR="00F8753E">
              <w:rPr>
                <w:noProof/>
                <w:webHidden/>
              </w:rPr>
              <w:fldChar w:fldCharType="begin"/>
            </w:r>
            <w:r w:rsidR="00F8753E">
              <w:rPr>
                <w:noProof/>
                <w:webHidden/>
              </w:rPr>
              <w:instrText xml:space="preserve"> PAGEREF _Toc55974153 \h </w:instrText>
            </w:r>
            <w:r w:rsidR="00F8753E">
              <w:rPr>
                <w:noProof/>
                <w:webHidden/>
              </w:rPr>
            </w:r>
            <w:r w:rsidR="00F8753E">
              <w:rPr>
                <w:noProof/>
                <w:webHidden/>
              </w:rPr>
              <w:fldChar w:fldCharType="separate"/>
            </w:r>
            <w:r w:rsidR="00E973C6">
              <w:rPr>
                <w:noProof/>
                <w:webHidden/>
              </w:rPr>
              <w:t>25</w:t>
            </w:r>
            <w:r w:rsidR="00F8753E">
              <w:rPr>
                <w:noProof/>
                <w:webHidden/>
              </w:rPr>
              <w:fldChar w:fldCharType="end"/>
            </w:r>
          </w:hyperlink>
        </w:p>
        <w:p w14:paraId="1A559381" w14:textId="7F8B1D37" w:rsidR="00AD75B9" w:rsidRPr="001F20F8" w:rsidRDefault="00AD75B9" w:rsidP="009C246A">
          <w:pPr>
            <w:tabs>
              <w:tab w:val="right" w:pos="8647"/>
            </w:tabs>
            <w:ind w:left="142" w:right="85"/>
            <w:rPr>
              <w:b/>
              <w:color w:val="FFFFFF" w:themeColor="background1"/>
            </w:rPr>
          </w:pPr>
          <w:r w:rsidRPr="001F20F8">
            <w:rPr>
              <w:b/>
              <w:bCs/>
              <w:noProof/>
              <w:color w:val="FFFFFF" w:themeColor="background1"/>
            </w:rPr>
            <w:fldChar w:fldCharType="end"/>
          </w:r>
        </w:p>
      </w:sdtContent>
    </w:sdt>
    <w:p w14:paraId="52184234" w14:textId="77777777" w:rsidR="009F09C6" w:rsidRDefault="009F09C6" w:rsidP="00631851"/>
    <w:p w14:paraId="07B09EF5" w14:textId="77777777" w:rsidR="009F09C6" w:rsidRDefault="009F09C6" w:rsidP="00473722">
      <w:pPr>
        <w:ind w:right="510"/>
        <w:sectPr w:rsidR="009F09C6" w:rsidSect="009C246A">
          <w:headerReference w:type="even" r:id="rId21"/>
          <w:headerReference w:type="default" r:id="rId22"/>
          <w:headerReference w:type="first" r:id="rId23"/>
          <w:footerReference w:type="first" r:id="rId24"/>
          <w:pgSz w:w="11906" w:h="16838" w:code="9"/>
          <w:pgMar w:top="907" w:right="1983" w:bottom="907" w:left="709" w:header="709" w:footer="709" w:gutter="0"/>
          <w:cols w:space="708"/>
          <w:titlePg/>
          <w:docGrid w:linePitch="360"/>
        </w:sectPr>
      </w:pPr>
    </w:p>
    <w:p w14:paraId="2D925680" w14:textId="1262C3CE" w:rsidR="00A47820" w:rsidRDefault="00A47820" w:rsidP="00F46EBB">
      <w:pPr>
        <w:widowControl w:val="0"/>
        <w:autoSpaceDE w:val="0"/>
        <w:autoSpaceDN w:val="0"/>
        <w:spacing w:line="276" w:lineRule="auto"/>
        <w:ind w:left="567" w:right="736"/>
        <w:rPr>
          <w:rFonts w:ascii="Arial" w:eastAsia="Calibri" w:hAnsi="Arial" w:cs="Arial"/>
          <w:sz w:val="18"/>
          <w:szCs w:val="18"/>
          <w:lang w:val="en-US"/>
        </w:rPr>
      </w:pPr>
      <w:bookmarkStart w:id="1" w:name="_Toc55044570"/>
    </w:p>
    <w:p w14:paraId="38436791" w14:textId="6EAC534A" w:rsidR="00A47820" w:rsidRDefault="00A47820" w:rsidP="00F46EBB">
      <w:pPr>
        <w:widowControl w:val="0"/>
        <w:autoSpaceDE w:val="0"/>
        <w:autoSpaceDN w:val="0"/>
        <w:spacing w:line="276" w:lineRule="auto"/>
        <w:ind w:left="567" w:right="736"/>
        <w:rPr>
          <w:rFonts w:ascii="Arial" w:eastAsia="Calibri" w:hAnsi="Arial" w:cs="Arial"/>
          <w:sz w:val="18"/>
          <w:szCs w:val="18"/>
          <w:lang w:val="en-US"/>
        </w:rPr>
      </w:pPr>
    </w:p>
    <w:p w14:paraId="57CD0717" w14:textId="17BC84E4" w:rsidR="00A47820" w:rsidRDefault="00A47820" w:rsidP="00F46EBB">
      <w:pPr>
        <w:widowControl w:val="0"/>
        <w:autoSpaceDE w:val="0"/>
        <w:autoSpaceDN w:val="0"/>
        <w:spacing w:line="276" w:lineRule="auto"/>
        <w:ind w:left="567" w:right="736"/>
        <w:rPr>
          <w:rFonts w:ascii="Arial" w:eastAsia="Calibri" w:hAnsi="Arial" w:cs="Arial"/>
          <w:sz w:val="18"/>
          <w:szCs w:val="18"/>
          <w:lang w:val="en-US"/>
        </w:rPr>
      </w:pPr>
    </w:p>
    <w:p w14:paraId="26A9F0A1" w14:textId="1D4663F2" w:rsidR="00A47820" w:rsidRDefault="00A47820" w:rsidP="00F46EBB">
      <w:pPr>
        <w:widowControl w:val="0"/>
        <w:autoSpaceDE w:val="0"/>
        <w:autoSpaceDN w:val="0"/>
        <w:spacing w:line="276" w:lineRule="auto"/>
        <w:ind w:left="567" w:right="736"/>
        <w:rPr>
          <w:rFonts w:ascii="Arial" w:eastAsia="Calibri" w:hAnsi="Arial" w:cs="Arial"/>
          <w:sz w:val="18"/>
          <w:szCs w:val="18"/>
          <w:lang w:val="en-US"/>
        </w:rPr>
      </w:pPr>
    </w:p>
    <w:p w14:paraId="2293D4E4" w14:textId="49E8C6B4" w:rsidR="00A47820" w:rsidRDefault="00D60C4A" w:rsidP="00D60C4A">
      <w:pPr>
        <w:widowControl w:val="0"/>
        <w:tabs>
          <w:tab w:val="left" w:pos="6546"/>
        </w:tabs>
        <w:autoSpaceDE w:val="0"/>
        <w:autoSpaceDN w:val="0"/>
        <w:spacing w:line="276" w:lineRule="auto"/>
        <w:ind w:left="567" w:right="736"/>
        <w:rPr>
          <w:rFonts w:ascii="Arial" w:eastAsia="Calibri" w:hAnsi="Arial" w:cs="Arial"/>
          <w:sz w:val="18"/>
          <w:szCs w:val="18"/>
          <w:lang w:val="en-US"/>
        </w:rPr>
      </w:pPr>
      <w:r>
        <w:rPr>
          <w:rFonts w:ascii="Arial" w:eastAsia="Calibri" w:hAnsi="Arial" w:cs="Arial"/>
          <w:sz w:val="18"/>
          <w:szCs w:val="18"/>
          <w:lang w:val="en-US"/>
        </w:rPr>
        <w:tab/>
      </w:r>
    </w:p>
    <w:p w14:paraId="2FBC297D" w14:textId="353438F5" w:rsidR="00A47820" w:rsidRDefault="00A47820" w:rsidP="00F46EBB">
      <w:pPr>
        <w:widowControl w:val="0"/>
        <w:autoSpaceDE w:val="0"/>
        <w:autoSpaceDN w:val="0"/>
        <w:spacing w:line="276" w:lineRule="auto"/>
        <w:ind w:left="567" w:right="736"/>
        <w:rPr>
          <w:rFonts w:ascii="Arial" w:eastAsia="Calibri" w:hAnsi="Arial" w:cs="Arial"/>
          <w:sz w:val="18"/>
          <w:szCs w:val="18"/>
          <w:lang w:val="en-US"/>
        </w:rPr>
      </w:pPr>
    </w:p>
    <w:p w14:paraId="7FAFB719" w14:textId="1654C5F0" w:rsidR="00A47820" w:rsidRDefault="00D60C4A" w:rsidP="00D60C4A">
      <w:pPr>
        <w:widowControl w:val="0"/>
        <w:tabs>
          <w:tab w:val="left" w:pos="7255"/>
        </w:tabs>
        <w:autoSpaceDE w:val="0"/>
        <w:autoSpaceDN w:val="0"/>
        <w:spacing w:line="276" w:lineRule="auto"/>
        <w:ind w:left="567" w:right="736"/>
        <w:rPr>
          <w:rFonts w:ascii="Arial" w:eastAsia="Calibri" w:hAnsi="Arial" w:cs="Arial"/>
          <w:sz w:val="18"/>
          <w:szCs w:val="18"/>
          <w:lang w:val="en-US"/>
        </w:rPr>
      </w:pPr>
      <w:r>
        <w:rPr>
          <w:rFonts w:ascii="Arial" w:eastAsia="Calibri" w:hAnsi="Arial" w:cs="Arial"/>
          <w:sz w:val="18"/>
          <w:szCs w:val="18"/>
          <w:lang w:val="en-US"/>
        </w:rPr>
        <w:tab/>
      </w:r>
    </w:p>
    <w:p w14:paraId="08E81755" w14:textId="601EFBD5" w:rsidR="002D411B" w:rsidRPr="003D2DE6" w:rsidRDefault="002D411B" w:rsidP="003D2DE6">
      <w:pPr>
        <w:widowControl w:val="0"/>
        <w:autoSpaceDE w:val="0"/>
        <w:autoSpaceDN w:val="0"/>
        <w:spacing w:line="276" w:lineRule="auto"/>
        <w:ind w:left="567" w:right="594"/>
        <w:rPr>
          <w:rFonts w:ascii="Arial" w:hAnsi="Arial" w:cs="Arial"/>
          <w:sz w:val="18"/>
          <w:szCs w:val="18"/>
        </w:rPr>
      </w:pPr>
      <w:r w:rsidRPr="00E1120A">
        <w:rPr>
          <w:rFonts w:ascii="Arial" w:eastAsia="Calibri" w:hAnsi="Arial" w:cs="Arial"/>
          <w:sz w:val="18"/>
          <w:szCs w:val="18"/>
          <w:lang w:val="en-US"/>
        </w:rPr>
        <w:t xml:space="preserve">I am </w:t>
      </w:r>
      <w:r w:rsidRPr="00E1120A">
        <w:rPr>
          <w:rFonts w:ascii="Arial" w:eastAsia="Calibri" w:hAnsi="Arial" w:cs="Arial"/>
          <w:spacing w:val="-3"/>
          <w:sz w:val="18"/>
          <w:szCs w:val="18"/>
          <w:lang w:val="en-US"/>
        </w:rPr>
        <w:t xml:space="preserve">pleased </w:t>
      </w:r>
      <w:r w:rsidRPr="00E1120A">
        <w:rPr>
          <w:rFonts w:ascii="Arial" w:eastAsia="Calibri" w:hAnsi="Arial" w:cs="Arial"/>
          <w:sz w:val="18"/>
          <w:szCs w:val="18"/>
          <w:lang w:val="en-US"/>
        </w:rPr>
        <w:t xml:space="preserve">to </w:t>
      </w:r>
      <w:r w:rsidRPr="00E1120A">
        <w:rPr>
          <w:rFonts w:ascii="Arial" w:eastAsia="Calibri" w:hAnsi="Arial" w:cs="Arial"/>
          <w:spacing w:val="-3"/>
          <w:sz w:val="18"/>
          <w:szCs w:val="18"/>
          <w:lang w:val="en-US"/>
        </w:rPr>
        <w:t xml:space="preserve">present </w:t>
      </w:r>
      <w:r w:rsidRPr="00E1120A">
        <w:rPr>
          <w:rFonts w:ascii="Arial" w:eastAsia="Calibri" w:hAnsi="Arial" w:cs="Arial"/>
          <w:sz w:val="18"/>
          <w:szCs w:val="18"/>
          <w:lang w:val="en-US"/>
        </w:rPr>
        <w:t>the</w:t>
      </w:r>
      <w:r w:rsidRPr="00E1120A">
        <w:rPr>
          <w:rFonts w:ascii="Arial" w:eastAsia="Calibri" w:hAnsi="Arial" w:cs="Arial"/>
          <w:spacing w:val="-17"/>
          <w:sz w:val="18"/>
          <w:szCs w:val="18"/>
          <w:lang w:val="en-US"/>
        </w:rPr>
        <w:t xml:space="preserve"> </w:t>
      </w:r>
      <w:r w:rsidRPr="00E1120A">
        <w:rPr>
          <w:rFonts w:ascii="Arial" w:eastAsia="Calibri" w:hAnsi="Arial" w:cs="Arial"/>
          <w:spacing w:val="-3"/>
          <w:sz w:val="18"/>
          <w:szCs w:val="18"/>
          <w:lang w:val="en-US"/>
        </w:rPr>
        <w:t xml:space="preserve">Independent Hospital Pricing Authority's </w:t>
      </w:r>
      <w:r w:rsidR="003D2DE6">
        <w:rPr>
          <w:rFonts w:ascii="Arial" w:hAnsi="Arial" w:cs="Arial"/>
          <w:sz w:val="18"/>
          <w:szCs w:val="18"/>
        </w:rPr>
        <w:t xml:space="preserve">Work Program and Corporate Plan 2021–22 </w:t>
      </w:r>
      <w:r w:rsidRPr="00E1120A">
        <w:rPr>
          <w:rFonts w:ascii="Arial" w:eastAsia="Calibri" w:hAnsi="Arial" w:cs="Arial"/>
          <w:spacing w:val="-4"/>
          <w:w w:val="81"/>
          <w:sz w:val="18"/>
          <w:szCs w:val="18"/>
          <w:lang w:val="en-US"/>
        </w:rPr>
        <w:t>f</w:t>
      </w:r>
      <w:r w:rsidRPr="00E1120A">
        <w:rPr>
          <w:rFonts w:ascii="Arial" w:eastAsia="Calibri" w:hAnsi="Arial" w:cs="Arial"/>
          <w:spacing w:val="-4"/>
          <w:w w:val="102"/>
          <w:sz w:val="18"/>
          <w:szCs w:val="18"/>
          <w:lang w:val="en-US"/>
        </w:rPr>
        <w:t>o</w:t>
      </w:r>
      <w:r w:rsidRPr="00E1120A">
        <w:rPr>
          <w:rFonts w:ascii="Arial" w:eastAsia="Calibri" w:hAnsi="Arial" w:cs="Arial"/>
          <w:w w:val="87"/>
          <w:sz w:val="18"/>
          <w:szCs w:val="18"/>
          <w:lang w:val="en-US"/>
        </w:rPr>
        <w:t>r</w:t>
      </w:r>
      <w:r w:rsidRPr="00E1120A">
        <w:rPr>
          <w:rFonts w:ascii="Arial" w:eastAsia="Calibri" w:hAnsi="Arial" w:cs="Arial"/>
          <w:spacing w:val="-3"/>
          <w:sz w:val="18"/>
          <w:szCs w:val="18"/>
          <w:lang w:val="en-US"/>
        </w:rPr>
        <w:t xml:space="preserve"> </w:t>
      </w:r>
      <w:r w:rsidRPr="00E1120A">
        <w:rPr>
          <w:rFonts w:ascii="Arial" w:eastAsia="Calibri" w:hAnsi="Arial" w:cs="Arial"/>
          <w:spacing w:val="-4"/>
          <w:w w:val="65"/>
          <w:sz w:val="18"/>
          <w:szCs w:val="18"/>
          <w:lang w:val="en-US"/>
        </w:rPr>
        <w:t>t</w:t>
      </w:r>
      <w:r w:rsidRPr="00E1120A">
        <w:rPr>
          <w:rFonts w:ascii="Arial" w:eastAsia="Calibri" w:hAnsi="Arial" w:cs="Arial"/>
          <w:spacing w:val="-4"/>
          <w:w w:val="92"/>
          <w:sz w:val="18"/>
          <w:szCs w:val="18"/>
          <w:lang w:val="en-US"/>
        </w:rPr>
        <w:t>h</w:t>
      </w:r>
      <w:r w:rsidRPr="00E1120A">
        <w:rPr>
          <w:rFonts w:ascii="Arial" w:eastAsia="Calibri" w:hAnsi="Arial" w:cs="Arial"/>
          <w:w w:val="99"/>
          <w:sz w:val="18"/>
          <w:szCs w:val="18"/>
          <w:lang w:val="en-US"/>
        </w:rPr>
        <w:t>e</w:t>
      </w:r>
      <w:r w:rsidRPr="00E1120A">
        <w:rPr>
          <w:rFonts w:ascii="Arial" w:eastAsia="Calibri" w:hAnsi="Arial" w:cs="Arial"/>
          <w:spacing w:val="-3"/>
          <w:sz w:val="18"/>
          <w:szCs w:val="18"/>
          <w:lang w:val="en-US"/>
        </w:rPr>
        <w:t xml:space="preserve"> </w:t>
      </w:r>
      <w:r w:rsidRPr="00E1120A">
        <w:rPr>
          <w:rFonts w:ascii="Arial" w:eastAsia="Calibri" w:hAnsi="Arial" w:cs="Arial"/>
          <w:sz w:val="18"/>
          <w:szCs w:val="18"/>
          <w:shd w:val="clear" w:color="auto" w:fill="FFFFFF"/>
          <w:lang w:val="en-US"/>
        </w:rPr>
        <w:t>reporting periods 202</w:t>
      </w:r>
      <w:r w:rsidR="00293419">
        <w:rPr>
          <w:rFonts w:ascii="Arial" w:eastAsia="Calibri" w:hAnsi="Arial" w:cs="Arial"/>
          <w:sz w:val="18"/>
          <w:szCs w:val="18"/>
          <w:shd w:val="clear" w:color="auto" w:fill="FFFFFF"/>
          <w:lang w:val="en-US"/>
        </w:rPr>
        <w:t>1–22</w:t>
      </w:r>
      <w:r w:rsidRPr="00E1120A">
        <w:rPr>
          <w:rFonts w:ascii="Arial" w:eastAsia="Calibri" w:hAnsi="Arial" w:cs="Arial"/>
          <w:sz w:val="18"/>
          <w:szCs w:val="18"/>
          <w:shd w:val="clear" w:color="auto" w:fill="FFFFFF"/>
          <w:lang w:val="en-US"/>
        </w:rPr>
        <w:t xml:space="preserve"> to 2023–24.</w:t>
      </w:r>
    </w:p>
    <w:p w14:paraId="4AD3D03A" w14:textId="0F4D49E1" w:rsidR="002D411B" w:rsidRPr="00E1120A" w:rsidRDefault="002D411B" w:rsidP="002D411B">
      <w:pPr>
        <w:widowControl w:val="0"/>
        <w:autoSpaceDE w:val="0"/>
        <w:autoSpaceDN w:val="0"/>
        <w:spacing w:line="276" w:lineRule="auto"/>
        <w:ind w:left="567" w:right="736"/>
        <w:rPr>
          <w:rFonts w:ascii="Arial" w:eastAsia="Calibri" w:hAnsi="Arial" w:cs="Arial"/>
          <w:sz w:val="18"/>
          <w:szCs w:val="18"/>
          <w:shd w:val="clear" w:color="auto" w:fill="FFFFFF"/>
          <w:lang w:val="en-US"/>
        </w:rPr>
      </w:pPr>
    </w:p>
    <w:p w14:paraId="3AE80B53" w14:textId="471E124D" w:rsidR="002D411B" w:rsidRPr="00E1120A" w:rsidRDefault="002D411B" w:rsidP="002D411B">
      <w:pPr>
        <w:widowControl w:val="0"/>
        <w:autoSpaceDE w:val="0"/>
        <w:autoSpaceDN w:val="0"/>
        <w:spacing w:line="276" w:lineRule="auto"/>
        <w:ind w:left="567" w:right="736"/>
        <w:rPr>
          <w:rFonts w:ascii="Arial" w:eastAsia="Calibri" w:hAnsi="Arial" w:cs="Arial"/>
          <w:sz w:val="18"/>
          <w:szCs w:val="18"/>
          <w:shd w:val="clear" w:color="auto" w:fill="FFFFFF"/>
          <w:lang w:val="en-US"/>
        </w:rPr>
      </w:pPr>
      <w:r w:rsidRPr="00E1120A">
        <w:rPr>
          <w:rFonts w:ascii="Arial" w:eastAsia="Calibri" w:hAnsi="Arial" w:cs="Arial"/>
          <w:sz w:val="18"/>
          <w:szCs w:val="18"/>
          <w:shd w:val="clear" w:color="auto" w:fill="FFFFFF"/>
          <w:lang w:val="en-US"/>
        </w:rPr>
        <w:t xml:space="preserve">The Independent Hospital Pricing Authority was established under the National Health Reform Act 2011 to implement national activity based funding for Australian public hospital services, where hospitals are funded for the number and complexity of patients they treat. The National Hospital Reform Agreement is the key mechanism for the transparency, governance and financing of Australia’s public hospital system. Through this Agreement the </w:t>
      </w:r>
      <w:r w:rsidR="00327592">
        <w:rPr>
          <w:rFonts w:ascii="Arial" w:eastAsia="Calibri" w:hAnsi="Arial" w:cs="Arial"/>
          <w:sz w:val="18"/>
          <w:szCs w:val="18"/>
          <w:shd w:val="clear" w:color="auto" w:fill="FFFFFF"/>
          <w:lang w:val="en-US"/>
        </w:rPr>
        <w:t>Commonwealth</w:t>
      </w:r>
      <w:r w:rsidRPr="00E1120A">
        <w:rPr>
          <w:rFonts w:ascii="Arial" w:eastAsia="Calibri" w:hAnsi="Arial" w:cs="Arial"/>
          <w:sz w:val="18"/>
          <w:szCs w:val="18"/>
          <w:shd w:val="clear" w:color="auto" w:fill="FFFFFF"/>
          <w:lang w:val="en-US"/>
        </w:rPr>
        <w:t xml:space="preserve"> Government contributes funds to the states and territories for public hospital services. On 29 May 2020</w:t>
      </w:r>
      <w:r w:rsidR="00293419">
        <w:rPr>
          <w:rFonts w:ascii="Arial" w:eastAsia="Calibri" w:hAnsi="Arial" w:cs="Arial"/>
          <w:sz w:val="18"/>
          <w:szCs w:val="18"/>
          <w:shd w:val="clear" w:color="auto" w:fill="FFFFFF"/>
          <w:lang w:val="en-US"/>
        </w:rPr>
        <w:t>,</w:t>
      </w:r>
      <w:r w:rsidRPr="00E1120A">
        <w:rPr>
          <w:rFonts w:ascii="Arial" w:eastAsia="Calibri" w:hAnsi="Arial" w:cs="Arial"/>
          <w:sz w:val="18"/>
          <w:szCs w:val="18"/>
          <w:shd w:val="clear" w:color="auto" w:fill="FFFFFF"/>
          <w:lang w:val="en-US"/>
        </w:rPr>
        <w:t xml:space="preserve"> all Australian governments signed the Addendum to National Hospital Reform Agreement 2020</w:t>
      </w:r>
      <w:r w:rsidR="00327592">
        <w:rPr>
          <w:rFonts w:ascii="Arial" w:hAnsi="Arial" w:cs="Arial"/>
          <w:sz w:val="18"/>
          <w:szCs w:val="18"/>
        </w:rPr>
        <w:t>–</w:t>
      </w:r>
      <w:r w:rsidRPr="00E1120A">
        <w:rPr>
          <w:rFonts w:ascii="Arial" w:eastAsia="Calibri" w:hAnsi="Arial" w:cs="Arial"/>
          <w:sz w:val="18"/>
          <w:szCs w:val="18"/>
          <w:shd w:val="clear" w:color="auto" w:fill="FFFFFF"/>
          <w:lang w:val="en-US"/>
        </w:rPr>
        <w:t>2025.</w:t>
      </w:r>
    </w:p>
    <w:p w14:paraId="73074937" w14:textId="77777777" w:rsidR="002D411B" w:rsidRPr="00E1120A" w:rsidRDefault="002D411B" w:rsidP="002D411B">
      <w:pPr>
        <w:widowControl w:val="0"/>
        <w:autoSpaceDE w:val="0"/>
        <w:autoSpaceDN w:val="0"/>
        <w:spacing w:line="276" w:lineRule="auto"/>
        <w:ind w:left="567" w:right="736"/>
        <w:rPr>
          <w:rFonts w:ascii="Arial" w:eastAsia="Calibri" w:hAnsi="Arial" w:cs="Arial"/>
          <w:sz w:val="18"/>
          <w:szCs w:val="18"/>
          <w:shd w:val="clear" w:color="auto" w:fill="FFFFFF"/>
          <w:lang w:val="en-US"/>
        </w:rPr>
      </w:pPr>
    </w:p>
    <w:p w14:paraId="7990A98E" w14:textId="64CD94D1" w:rsidR="002D411B" w:rsidRPr="00E1120A" w:rsidRDefault="002D411B" w:rsidP="002D411B">
      <w:pPr>
        <w:widowControl w:val="0"/>
        <w:autoSpaceDE w:val="0"/>
        <w:autoSpaceDN w:val="0"/>
        <w:spacing w:line="276" w:lineRule="auto"/>
        <w:ind w:left="567" w:right="736"/>
        <w:rPr>
          <w:rFonts w:ascii="Arial" w:eastAsia="Calibri" w:hAnsi="Arial" w:cs="Arial"/>
          <w:sz w:val="18"/>
          <w:szCs w:val="18"/>
          <w:shd w:val="clear" w:color="auto" w:fill="FFFFFF"/>
          <w:lang w:val="en-US"/>
        </w:rPr>
      </w:pPr>
      <w:r w:rsidRPr="00E1120A">
        <w:rPr>
          <w:rFonts w:ascii="Arial" w:eastAsia="Calibri" w:hAnsi="Arial" w:cs="Arial"/>
          <w:sz w:val="18"/>
          <w:szCs w:val="18"/>
          <w:shd w:val="clear" w:color="auto" w:fill="FFFFFF"/>
          <w:lang w:val="en-US"/>
        </w:rPr>
        <w:t xml:space="preserve">IHPA has a leading role in developing a nationally consistent and effective activity based funding system. IHPA classifies hospital activity and each year delivers a </w:t>
      </w:r>
      <w:r w:rsidR="00327592">
        <w:rPr>
          <w:rFonts w:ascii="Arial" w:eastAsia="Calibri" w:hAnsi="Arial" w:cs="Arial"/>
          <w:sz w:val="18"/>
          <w:szCs w:val="18"/>
          <w:shd w:val="clear" w:color="auto" w:fill="FFFFFF"/>
          <w:lang w:val="en-US"/>
        </w:rPr>
        <w:t>national efficient price</w:t>
      </w:r>
      <w:r w:rsidRPr="00E1120A">
        <w:rPr>
          <w:rFonts w:ascii="Arial" w:eastAsia="Calibri" w:hAnsi="Arial" w:cs="Arial"/>
          <w:sz w:val="18"/>
          <w:szCs w:val="18"/>
          <w:shd w:val="clear" w:color="auto" w:fill="FFFFFF"/>
          <w:lang w:val="en-US"/>
        </w:rPr>
        <w:t xml:space="preserve"> for activity based funded services, and </w:t>
      </w:r>
      <w:r w:rsidR="00327592">
        <w:rPr>
          <w:rFonts w:ascii="Arial" w:eastAsia="Calibri" w:hAnsi="Arial" w:cs="Arial"/>
          <w:sz w:val="18"/>
          <w:szCs w:val="18"/>
          <w:shd w:val="clear" w:color="auto" w:fill="FFFFFF"/>
          <w:lang w:val="en-US"/>
        </w:rPr>
        <w:t>national efficient cost</w:t>
      </w:r>
      <w:r w:rsidRPr="00E1120A">
        <w:rPr>
          <w:rFonts w:ascii="Arial" w:eastAsia="Calibri" w:hAnsi="Arial" w:cs="Arial"/>
          <w:sz w:val="18"/>
          <w:szCs w:val="18"/>
          <w:shd w:val="clear" w:color="auto" w:fill="FFFFFF"/>
          <w:lang w:val="en-US"/>
        </w:rPr>
        <w:t>. The price and cost are informed by relevant expertise and best practice, submissions to government, continuity and predictability of costs, safety and quality, reasonable access, the range of hospitals and variables affecting the actual cost of providing health care services, and effectiveness, efficiency and financial sustainability. The price and cost are the basis for health funding from the Commonwealth.</w:t>
      </w:r>
    </w:p>
    <w:p w14:paraId="3DC5A00D" w14:textId="77777777" w:rsidR="002D411B" w:rsidRPr="00E1120A" w:rsidRDefault="002D411B" w:rsidP="002D411B">
      <w:pPr>
        <w:widowControl w:val="0"/>
        <w:autoSpaceDE w:val="0"/>
        <w:autoSpaceDN w:val="0"/>
        <w:spacing w:line="276" w:lineRule="auto"/>
        <w:ind w:left="567" w:right="736"/>
        <w:rPr>
          <w:rFonts w:ascii="Arial" w:eastAsia="Calibri" w:hAnsi="Arial" w:cs="Arial"/>
          <w:sz w:val="18"/>
          <w:szCs w:val="18"/>
          <w:shd w:val="clear" w:color="auto" w:fill="FFFFFF"/>
          <w:lang w:val="en-US"/>
        </w:rPr>
      </w:pPr>
    </w:p>
    <w:p w14:paraId="6199E91D" w14:textId="038D541C" w:rsidR="002D411B" w:rsidRPr="00E1120A" w:rsidRDefault="00D60C4A" w:rsidP="00D60C4A">
      <w:pPr>
        <w:widowControl w:val="0"/>
        <w:tabs>
          <w:tab w:val="left" w:pos="7754"/>
        </w:tabs>
        <w:autoSpaceDE w:val="0"/>
        <w:autoSpaceDN w:val="0"/>
        <w:spacing w:line="276" w:lineRule="auto"/>
        <w:ind w:left="567" w:right="736"/>
        <w:rPr>
          <w:rFonts w:ascii="Arial" w:eastAsia="Calibri" w:hAnsi="Arial" w:cs="Arial"/>
          <w:sz w:val="18"/>
          <w:szCs w:val="18"/>
          <w:lang w:val="en-US"/>
        </w:rPr>
      </w:pPr>
      <w:r>
        <w:rPr>
          <w:rFonts w:ascii="Arial" w:eastAsia="Calibri" w:hAnsi="Arial" w:cs="Arial"/>
          <w:sz w:val="18"/>
          <w:szCs w:val="18"/>
          <w:lang w:val="en-US"/>
        </w:rPr>
        <w:tab/>
      </w:r>
    </w:p>
    <w:p w14:paraId="6890E7EE" w14:textId="12448449" w:rsidR="002D411B" w:rsidRPr="00E1120A" w:rsidRDefault="00D60C4A" w:rsidP="00D60C4A">
      <w:pPr>
        <w:widowControl w:val="0"/>
        <w:tabs>
          <w:tab w:val="left" w:pos="5483"/>
        </w:tabs>
        <w:autoSpaceDE w:val="0"/>
        <w:autoSpaceDN w:val="0"/>
        <w:spacing w:line="276" w:lineRule="auto"/>
        <w:ind w:left="567" w:right="736"/>
        <w:rPr>
          <w:rFonts w:ascii="Arial" w:eastAsia="Calibri" w:hAnsi="Arial" w:cs="Arial"/>
          <w:sz w:val="18"/>
          <w:szCs w:val="18"/>
          <w:lang w:val="en-US"/>
        </w:rPr>
      </w:pPr>
      <w:r>
        <w:rPr>
          <w:rFonts w:ascii="Arial" w:eastAsia="Calibri" w:hAnsi="Arial" w:cs="Arial"/>
          <w:sz w:val="18"/>
          <w:szCs w:val="18"/>
          <w:lang w:val="en-US"/>
        </w:rPr>
        <w:tab/>
      </w:r>
    </w:p>
    <w:p w14:paraId="1A1E92F8" w14:textId="77777777" w:rsidR="002D411B" w:rsidRPr="00E1120A" w:rsidRDefault="002D411B" w:rsidP="002D411B">
      <w:pPr>
        <w:widowControl w:val="0"/>
        <w:autoSpaceDE w:val="0"/>
        <w:autoSpaceDN w:val="0"/>
        <w:spacing w:line="276" w:lineRule="auto"/>
        <w:ind w:left="567" w:right="736"/>
        <w:rPr>
          <w:rFonts w:ascii="Arial" w:eastAsia="Calibri" w:hAnsi="Arial" w:cs="Arial"/>
          <w:sz w:val="18"/>
          <w:szCs w:val="18"/>
          <w:shd w:val="clear" w:color="auto" w:fill="FFFFFF"/>
          <w:lang w:val="en-US"/>
        </w:rPr>
      </w:pPr>
    </w:p>
    <w:p w14:paraId="21F8F116" w14:textId="77777777" w:rsidR="002D411B" w:rsidRDefault="002D411B" w:rsidP="002D411B">
      <w:pPr>
        <w:widowControl w:val="0"/>
        <w:autoSpaceDE w:val="0"/>
        <w:autoSpaceDN w:val="0"/>
        <w:spacing w:line="276" w:lineRule="auto"/>
        <w:ind w:left="567" w:right="736"/>
        <w:rPr>
          <w:rFonts w:ascii="Arial" w:eastAsia="Calibri" w:hAnsi="Arial" w:cs="Arial"/>
          <w:sz w:val="18"/>
          <w:szCs w:val="18"/>
          <w:shd w:val="clear" w:color="auto" w:fill="FFFFFF"/>
          <w:lang w:val="en-US"/>
        </w:rPr>
      </w:pPr>
      <w:r w:rsidRPr="00E1120A">
        <w:rPr>
          <w:rFonts w:ascii="Arial" w:eastAsia="Calibri" w:hAnsi="Arial" w:cs="Arial"/>
          <w:sz w:val="18"/>
          <w:szCs w:val="18"/>
          <w:shd w:val="clear" w:color="auto" w:fill="FFFFFF"/>
          <w:lang w:val="en-US"/>
        </w:rPr>
        <w:t xml:space="preserve">James </w:t>
      </w:r>
      <w:proofErr w:type="spellStart"/>
      <w:r w:rsidRPr="00E1120A">
        <w:rPr>
          <w:rFonts w:ascii="Arial" w:eastAsia="Calibri" w:hAnsi="Arial" w:cs="Arial"/>
          <w:sz w:val="18"/>
          <w:szCs w:val="18"/>
          <w:shd w:val="clear" w:color="auto" w:fill="FFFFFF"/>
          <w:lang w:val="en-US"/>
        </w:rPr>
        <w:t>Downie</w:t>
      </w:r>
      <w:proofErr w:type="spellEnd"/>
      <w:r>
        <w:rPr>
          <w:rFonts w:ascii="Arial" w:eastAsia="Calibri" w:hAnsi="Arial" w:cs="Arial"/>
          <w:sz w:val="18"/>
          <w:szCs w:val="18"/>
          <w:shd w:val="clear" w:color="auto" w:fill="FFFFFF"/>
          <w:lang w:val="en-US"/>
        </w:rPr>
        <w:t xml:space="preserve"> </w:t>
      </w:r>
    </w:p>
    <w:p w14:paraId="6645AD49" w14:textId="77777777" w:rsidR="002D411B" w:rsidRPr="00E1120A" w:rsidRDefault="002D411B" w:rsidP="002D411B">
      <w:pPr>
        <w:widowControl w:val="0"/>
        <w:autoSpaceDE w:val="0"/>
        <w:autoSpaceDN w:val="0"/>
        <w:spacing w:line="276" w:lineRule="auto"/>
        <w:ind w:left="567" w:right="736"/>
        <w:rPr>
          <w:rFonts w:ascii="Arial" w:eastAsia="Calibri" w:hAnsi="Arial" w:cs="Arial"/>
          <w:sz w:val="18"/>
          <w:szCs w:val="18"/>
          <w:shd w:val="clear" w:color="auto" w:fill="FFFFFF"/>
          <w:lang w:val="en-US"/>
        </w:rPr>
      </w:pPr>
      <w:r w:rsidRPr="00B37EC8">
        <w:rPr>
          <w:rFonts w:ascii="Arial" w:eastAsia="Calibri" w:hAnsi="Arial" w:cs="Arial"/>
          <w:sz w:val="18"/>
          <w:szCs w:val="18"/>
          <w:shd w:val="clear" w:color="auto" w:fill="FFFFFF"/>
        </w:rPr>
        <w:t>Chief Executive Officer, Independent Hospital Pricing Authority</w:t>
      </w:r>
      <w:r w:rsidRPr="00B37EC8">
        <w:rPr>
          <w:rFonts w:ascii="Arial" w:eastAsia="Calibri" w:hAnsi="Arial" w:cs="Arial"/>
          <w:sz w:val="18"/>
          <w:szCs w:val="18"/>
          <w:shd w:val="clear" w:color="auto" w:fill="FFFFFF"/>
        </w:rPr>
        <w:br/>
        <w:t>Accountable Authority</w:t>
      </w:r>
    </w:p>
    <w:p w14:paraId="30A3E6E3" w14:textId="40E11205" w:rsidR="00A04C9D" w:rsidRPr="00F46EBB" w:rsidRDefault="00A04C9D" w:rsidP="00F46EBB">
      <w:pPr>
        <w:widowControl w:val="0"/>
        <w:autoSpaceDE w:val="0"/>
        <w:autoSpaceDN w:val="0"/>
        <w:spacing w:line="276" w:lineRule="auto"/>
        <w:ind w:left="567" w:right="736"/>
        <w:rPr>
          <w:rFonts w:ascii="Arial" w:eastAsia="Calibri" w:hAnsi="Arial" w:cs="Arial"/>
          <w:sz w:val="18"/>
          <w:szCs w:val="18"/>
          <w:shd w:val="clear" w:color="auto" w:fill="FFFFFF"/>
          <w:lang w:val="en-US"/>
        </w:rPr>
      </w:pPr>
    </w:p>
    <w:p w14:paraId="6B35F79B" w14:textId="77777777" w:rsidR="00A47820" w:rsidRDefault="00C75448">
      <w:pPr>
        <w:rPr>
          <w:rFonts w:ascii="Calibri" w:eastAsia="Calibri" w:hAnsi="Calibri" w:cs="Calibri"/>
          <w:shd w:val="clear" w:color="auto" w:fill="FFFFFF"/>
          <w:lang w:val="en-US"/>
        </w:rPr>
        <w:sectPr w:rsidR="00A47820" w:rsidSect="00551117">
          <w:headerReference w:type="even" r:id="rId25"/>
          <w:headerReference w:type="default" r:id="rId26"/>
          <w:headerReference w:type="first" r:id="rId27"/>
          <w:footerReference w:type="first" r:id="rId28"/>
          <w:pgSz w:w="11906" w:h="16838" w:code="9"/>
          <w:pgMar w:top="907" w:right="907" w:bottom="907" w:left="907" w:header="709" w:footer="278" w:gutter="0"/>
          <w:cols w:space="708"/>
          <w:titlePg/>
          <w:docGrid w:linePitch="360"/>
        </w:sectPr>
      </w:pPr>
      <w:r>
        <w:rPr>
          <w:rFonts w:ascii="Calibri" w:eastAsia="Calibri" w:hAnsi="Calibri" w:cs="Calibri"/>
          <w:shd w:val="clear" w:color="auto" w:fill="FFFFFF"/>
          <w:lang w:val="en-US"/>
        </w:rPr>
        <w:br w:type="page"/>
      </w:r>
    </w:p>
    <w:p w14:paraId="1DCEDD38" w14:textId="5B85C2AF" w:rsidR="009F09C6" w:rsidRDefault="00631851" w:rsidP="00327592">
      <w:pPr>
        <w:pStyle w:val="Heading1"/>
        <w:spacing w:after="360"/>
      </w:pPr>
      <w:bookmarkStart w:id="2" w:name="_Toc55974104"/>
      <w:r w:rsidRPr="005C0C3F">
        <w:lastRenderedPageBreak/>
        <w:t>Abbreviations</w:t>
      </w:r>
      <w:r w:rsidRPr="00631851">
        <w:t xml:space="preserve"> and acronyms</w:t>
      </w:r>
      <w:bookmarkEnd w:id="1"/>
      <w:bookmarkEnd w:id="2"/>
    </w:p>
    <w:p w14:paraId="24097A5F" w14:textId="77777777" w:rsidR="00631851" w:rsidRDefault="0091323E" w:rsidP="00631851">
      <w:pPr>
        <w:pStyle w:val="Body"/>
      </w:pPr>
      <w:r w:rsidRPr="0091323E">
        <w:rPr>
          <w:b/>
        </w:rPr>
        <w:t>ABF</w:t>
      </w:r>
      <w:r>
        <w:tab/>
      </w:r>
      <w:r>
        <w:tab/>
      </w:r>
      <w:r w:rsidR="00F8515E">
        <w:tab/>
      </w:r>
      <w:r w:rsidRPr="0091323E">
        <w:t xml:space="preserve">Activity </w:t>
      </w:r>
      <w:r w:rsidR="002D2B53">
        <w:t>b</w:t>
      </w:r>
      <w:r w:rsidRPr="0091323E">
        <w:t xml:space="preserve">ased </w:t>
      </w:r>
      <w:r w:rsidR="002D2B53">
        <w:t>f</w:t>
      </w:r>
      <w:r w:rsidRPr="0091323E">
        <w:t>unding</w:t>
      </w:r>
    </w:p>
    <w:p w14:paraId="1AA85DDD" w14:textId="2E8E492B" w:rsidR="0091323E" w:rsidRDefault="0091323E" w:rsidP="00631851">
      <w:pPr>
        <w:pStyle w:val="Body"/>
      </w:pPr>
      <w:r w:rsidRPr="0091323E">
        <w:rPr>
          <w:b/>
        </w:rPr>
        <w:t>ACHI</w:t>
      </w:r>
      <w:r>
        <w:tab/>
      </w:r>
      <w:r>
        <w:tab/>
      </w:r>
      <w:r w:rsidR="00F8515E">
        <w:tab/>
      </w:r>
      <w:r w:rsidRPr="0091323E">
        <w:t>Australian Classification of Health Interventions</w:t>
      </w:r>
    </w:p>
    <w:p w14:paraId="1A2FFB12" w14:textId="77777777" w:rsidR="00327592" w:rsidRPr="00DF79A8" w:rsidRDefault="00327592" w:rsidP="00327592">
      <w:pPr>
        <w:pStyle w:val="Body"/>
      </w:pPr>
      <w:r w:rsidRPr="00DF79A8">
        <w:rPr>
          <w:b/>
        </w:rPr>
        <w:t>A</w:t>
      </w:r>
      <w:r>
        <w:rPr>
          <w:b/>
        </w:rPr>
        <w:t>CS</w:t>
      </w:r>
      <w:r w:rsidRPr="00DF79A8">
        <w:tab/>
      </w:r>
      <w:r w:rsidRPr="00DF79A8">
        <w:tab/>
      </w:r>
      <w:r w:rsidRPr="00DF79A8">
        <w:tab/>
      </w:r>
      <w:r w:rsidRPr="00B03FB6">
        <w:t>Australian Coding Standards</w:t>
      </w:r>
    </w:p>
    <w:p w14:paraId="3DBFA19A" w14:textId="77777777" w:rsidR="00327592" w:rsidRPr="00DF79A8" w:rsidRDefault="00327592" w:rsidP="00327592">
      <w:pPr>
        <w:pStyle w:val="Body"/>
      </w:pPr>
      <w:r w:rsidRPr="00DF79A8">
        <w:rPr>
          <w:b/>
        </w:rPr>
        <w:t>A</w:t>
      </w:r>
      <w:r>
        <w:rPr>
          <w:b/>
        </w:rPr>
        <w:t>ECC</w:t>
      </w:r>
      <w:r w:rsidRPr="00DF79A8">
        <w:tab/>
      </w:r>
      <w:r w:rsidRPr="00DF79A8">
        <w:tab/>
      </w:r>
      <w:r w:rsidRPr="00DF79A8">
        <w:tab/>
        <w:t xml:space="preserve">Australian </w:t>
      </w:r>
      <w:r>
        <w:t>Emergency Care Classification</w:t>
      </w:r>
    </w:p>
    <w:p w14:paraId="4825A879" w14:textId="77777777" w:rsidR="0091323E" w:rsidRDefault="0091323E" w:rsidP="0091323E">
      <w:pPr>
        <w:pStyle w:val="Body"/>
      </w:pPr>
      <w:r w:rsidRPr="0091323E">
        <w:rPr>
          <w:b/>
        </w:rPr>
        <w:t>AHPCS</w:t>
      </w:r>
      <w:r>
        <w:tab/>
      </w:r>
      <w:r>
        <w:tab/>
      </w:r>
      <w:r w:rsidR="00F8515E">
        <w:tab/>
      </w:r>
      <w:r>
        <w:t>Australian Hospital Patient Costing Standards</w:t>
      </w:r>
    </w:p>
    <w:p w14:paraId="67BD04D8" w14:textId="77777777" w:rsidR="0091323E" w:rsidRDefault="0091323E" w:rsidP="0091323E">
      <w:pPr>
        <w:pStyle w:val="Body"/>
      </w:pPr>
      <w:r w:rsidRPr="0091323E">
        <w:rPr>
          <w:b/>
        </w:rPr>
        <w:t>AMHCC</w:t>
      </w:r>
      <w:r>
        <w:tab/>
      </w:r>
      <w:r>
        <w:tab/>
      </w:r>
      <w:r w:rsidR="00F8515E">
        <w:tab/>
      </w:r>
      <w:r>
        <w:t>Australian Mental Health Care Classification</w:t>
      </w:r>
    </w:p>
    <w:p w14:paraId="596FB8F8" w14:textId="77777777" w:rsidR="0091323E" w:rsidRDefault="0091323E" w:rsidP="0091323E">
      <w:pPr>
        <w:pStyle w:val="Body"/>
      </w:pPr>
      <w:r w:rsidRPr="0091323E">
        <w:rPr>
          <w:b/>
        </w:rPr>
        <w:t>ANACC</w:t>
      </w:r>
      <w:r>
        <w:tab/>
      </w:r>
      <w:r>
        <w:tab/>
      </w:r>
      <w:r w:rsidR="00F8515E">
        <w:tab/>
      </w:r>
      <w:r>
        <w:t>Australian Non</w:t>
      </w:r>
      <w:r w:rsidR="00AE0B35">
        <w:t>-</w:t>
      </w:r>
      <w:r>
        <w:t>Admitted Care Classification</w:t>
      </w:r>
    </w:p>
    <w:p w14:paraId="2E17EE84" w14:textId="4A88857C" w:rsidR="0091323E" w:rsidRDefault="0091323E" w:rsidP="0091323E">
      <w:pPr>
        <w:pStyle w:val="Body"/>
      </w:pPr>
      <w:r w:rsidRPr="0091323E">
        <w:rPr>
          <w:b/>
        </w:rPr>
        <w:t>AN-SNAP</w:t>
      </w:r>
      <w:r>
        <w:tab/>
      </w:r>
      <w:r w:rsidR="00F8515E">
        <w:tab/>
      </w:r>
      <w:r>
        <w:t xml:space="preserve">Australian National Subacute and Non-Acute Patient </w:t>
      </w:r>
      <w:r w:rsidR="00327592">
        <w:t>c</w:t>
      </w:r>
      <w:r>
        <w:t>lassification</w:t>
      </w:r>
    </w:p>
    <w:p w14:paraId="6726116C" w14:textId="77777777" w:rsidR="0091323E" w:rsidRDefault="0091323E" w:rsidP="0091323E">
      <w:pPr>
        <w:pStyle w:val="Body"/>
      </w:pPr>
      <w:r w:rsidRPr="0091323E">
        <w:rPr>
          <w:b/>
        </w:rPr>
        <w:t>AR-DRG</w:t>
      </w:r>
      <w:r>
        <w:tab/>
      </w:r>
      <w:r>
        <w:tab/>
      </w:r>
      <w:r w:rsidR="00F8515E">
        <w:tab/>
      </w:r>
      <w:r>
        <w:t>Australian Refined Diagnosis Related Group</w:t>
      </w:r>
      <w:r w:rsidR="003446B3">
        <w:t>s</w:t>
      </w:r>
    </w:p>
    <w:p w14:paraId="0B429C04" w14:textId="77777777" w:rsidR="00327592" w:rsidRPr="00DF79A8" w:rsidRDefault="00327592" w:rsidP="00327592">
      <w:pPr>
        <w:pStyle w:val="Body"/>
      </w:pPr>
      <w:r>
        <w:rPr>
          <w:b/>
        </w:rPr>
        <w:t>ATTC</w:t>
      </w:r>
      <w:r w:rsidRPr="00DF79A8">
        <w:tab/>
      </w:r>
      <w:r w:rsidRPr="00DF79A8">
        <w:tab/>
      </w:r>
      <w:r w:rsidRPr="00DF79A8">
        <w:tab/>
      </w:r>
      <w:r w:rsidRPr="00735903">
        <w:t>Australian Teaching and Training Classification</w:t>
      </w:r>
    </w:p>
    <w:p w14:paraId="1567F257" w14:textId="77777777" w:rsidR="00327592" w:rsidRPr="00DF79A8" w:rsidRDefault="00327592" w:rsidP="00327592">
      <w:pPr>
        <w:pStyle w:val="Body"/>
      </w:pPr>
      <w:r>
        <w:rPr>
          <w:b/>
        </w:rPr>
        <w:t>CHC</w:t>
      </w:r>
      <w:r w:rsidRPr="00DF79A8">
        <w:tab/>
      </w:r>
      <w:r w:rsidRPr="00DF79A8">
        <w:tab/>
      </w:r>
      <w:r w:rsidRPr="00DF79A8">
        <w:tab/>
        <w:t>Council of Australian Governments</w:t>
      </w:r>
      <w:r>
        <w:t xml:space="preserve"> Health Council</w:t>
      </w:r>
    </w:p>
    <w:p w14:paraId="3128FD51" w14:textId="5A5029A9" w:rsidR="00EE6567" w:rsidRDefault="00EE6567" w:rsidP="0091323E">
      <w:pPr>
        <w:pStyle w:val="Body"/>
      </w:pPr>
      <w:r w:rsidRPr="003272D4">
        <w:rPr>
          <w:b/>
        </w:rPr>
        <w:t>COVID-19</w:t>
      </w:r>
      <w:r>
        <w:tab/>
      </w:r>
      <w:r>
        <w:tab/>
        <w:t xml:space="preserve">Coronavirus </w:t>
      </w:r>
      <w:r w:rsidR="003A0EDC">
        <w:t xml:space="preserve">Disease </w:t>
      </w:r>
      <w:r>
        <w:t xml:space="preserve">2019 </w:t>
      </w:r>
    </w:p>
    <w:p w14:paraId="0C61F18F" w14:textId="59FD47DE" w:rsidR="0091323E" w:rsidRDefault="0091323E" w:rsidP="0091323E">
      <w:pPr>
        <w:pStyle w:val="Body"/>
      </w:pPr>
      <w:r w:rsidRPr="0091323E">
        <w:rPr>
          <w:b/>
        </w:rPr>
        <w:t>HAC</w:t>
      </w:r>
      <w:r>
        <w:tab/>
      </w:r>
      <w:r>
        <w:tab/>
      </w:r>
      <w:r w:rsidR="00F8515E">
        <w:tab/>
      </w:r>
      <w:r>
        <w:t xml:space="preserve">Hospital </w:t>
      </w:r>
      <w:r w:rsidR="00327592">
        <w:t>acquired c</w:t>
      </w:r>
      <w:r>
        <w:t>omplication</w:t>
      </w:r>
    </w:p>
    <w:p w14:paraId="247CA955" w14:textId="77777777" w:rsidR="0091323E" w:rsidRDefault="0091323E" w:rsidP="0091323E">
      <w:pPr>
        <w:pStyle w:val="Body"/>
      </w:pPr>
      <w:r w:rsidRPr="0091323E">
        <w:rPr>
          <w:b/>
        </w:rPr>
        <w:t>HSPC</w:t>
      </w:r>
      <w:r>
        <w:tab/>
      </w:r>
      <w:r>
        <w:tab/>
      </w:r>
      <w:r w:rsidR="00F8515E">
        <w:tab/>
      </w:r>
      <w:r>
        <w:t>Health Services Principal Committee</w:t>
      </w:r>
    </w:p>
    <w:p w14:paraId="5D78E610" w14:textId="77777777" w:rsidR="0091323E" w:rsidRDefault="0091323E" w:rsidP="003446B3">
      <w:pPr>
        <w:pStyle w:val="Body"/>
        <w:ind w:left="2160" w:hanging="2160"/>
      </w:pPr>
      <w:r w:rsidRPr="0091323E">
        <w:rPr>
          <w:b/>
        </w:rPr>
        <w:t>ICD</w:t>
      </w:r>
      <w:r w:rsidRPr="0091323E">
        <w:rPr>
          <w:rFonts w:ascii="Cambria Math" w:hAnsi="Cambria Math" w:cs="Cambria Math"/>
          <w:b/>
        </w:rPr>
        <w:t>‑</w:t>
      </w:r>
      <w:r w:rsidRPr="0091323E">
        <w:rPr>
          <w:b/>
        </w:rPr>
        <w:t>10</w:t>
      </w:r>
      <w:r w:rsidRPr="0091323E">
        <w:rPr>
          <w:rFonts w:ascii="Cambria Math" w:hAnsi="Cambria Math" w:cs="Cambria Math"/>
          <w:b/>
        </w:rPr>
        <w:t>‑</w:t>
      </w:r>
      <w:r w:rsidRPr="0091323E">
        <w:rPr>
          <w:b/>
        </w:rPr>
        <w:t>AM</w:t>
      </w:r>
      <w:r>
        <w:tab/>
        <w:t>International Statistical Classification of Diseases</w:t>
      </w:r>
      <w:r w:rsidR="003446B3">
        <w:t xml:space="preserve"> and Related Health Problems, Ten</w:t>
      </w:r>
      <w:r>
        <w:t xml:space="preserve">th </w:t>
      </w:r>
      <w:r w:rsidR="003446B3">
        <w:t>R</w:t>
      </w:r>
      <w:r>
        <w:t>evision</w:t>
      </w:r>
      <w:r w:rsidR="003446B3">
        <w:t>, Australian Modification</w:t>
      </w:r>
    </w:p>
    <w:p w14:paraId="4726CCAA" w14:textId="77777777" w:rsidR="00327592" w:rsidRPr="00DF79A8" w:rsidRDefault="00327592" w:rsidP="00327592">
      <w:pPr>
        <w:pStyle w:val="Body"/>
      </w:pPr>
      <w:r>
        <w:rPr>
          <w:b/>
        </w:rPr>
        <w:t>IHI</w:t>
      </w:r>
      <w:r w:rsidRPr="00DF79A8">
        <w:tab/>
      </w:r>
      <w:r w:rsidRPr="00DF79A8">
        <w:tab/>
      </w:r>
      <w:r w:rsidRPr="00DF79A8">
        <w:tab/>
      </w:r>
      <w:r w:rsidRPr="00C55546">
        <w:t>Individual Healthcare Identifier</w:t>
      </w:r>
    </w:p>
    <w:p w14:paraId="021ED8E5" w14:textId="3468C75F" w:rsidR="0091323E" w:rsidRDefault="0091323E" w:rsidP="0091323E">
      <w:pPr>
        <w:pStyle w:val="Body"/>
      </w:pPr>
      <w:r w:rsidRPr="00E32D2C">
        <w:rPr>
          <w:b/>
        </w:rPr>
        <w:t>IHPA</w:t>
      </w:r>
      <w:r>
        <w:tab/>
      </w:r>
      <w:r>
        <w:tab/>
      </w:r>
      <w:r w:rsidR="00F8515E">
        <w:tab/>
      </w:r>
      <w:r>
        <w:t>Independent Hospital Pricing Authority</w:t>
      </w:r>
    </w:p>
    <w:p w14:paraId="74737DF0" w14:textId="77777777" w:rsidR="0091323E" w:rsidRDefault="0091323E" w:rsidP="0091323E">
      <w:pPr>
        <w:pStyle w:val="Body"/>
      </w:pPr>
      <w:r w:rsidRPr="00E32D2C">
        <w:rPr>
          <w:b/>
        </w:rPr>
        <w:t>Jurisdictions</w:t>
      </w:r>
      <w:r>
        <w:tab/>
      </w:r>
      <w:r w:rsidR="00F8515E">
        <w:tab/>
      </w:r>
      <w:r>
        <w:t>Commonwealth, states and territories</w:t>
      </w:r>
    </w:p>
    <w:p w14:paraId="0DB35B9A" w14:textId="14277047" w:rsidR="0091323E" w:rsidRDefault="0091323E" w:rsidP="0091323E">
      <w:pPr>
        <w:pStyle w:val="Body"/>
      </w:pPr>
      <w:r w:rsidRPr="00E32D2C">
        <w:rPr>
          <w:b/>
        </w:rPr>
        <w:t>LHN</w:t>
      </w:r>
      <w:r>
        <w:tab/>
      </w:r>
      <w:r>
        <w:tab/>
      </w:r>
      <w:r w:rsidR="00F8515E">
        <w:tab/>
      </w:r>
      <w:r w:rsidR="00327592">
        <w:t>Local Hospital Network</w:t>
      </w:r>
    </w:p>
    <w:p w14:paraId="7DFD49DE" w14:textId="77777777" w:rsidR="00327592" w:rsidRPr="00DF79A8" w:rsidRDefault="00327592" w:rsidP="00327592">
      <w:pPr>
        <w:pStyle w:val="Body"/>
      </w:pPr>
      <w:proofErr w:type="spellStart"/>
      <w:r>
        <w:rPr>
          <w:b/>
        </w:rPr>
        <w:t>MHPoC</w:t>
      </w:r>
      <w:proofErr w:type="spellEnd"/>
      <w:r w:rsidRPr="00DF79A8">
        <w:tab/>
      </w:r>
      <w:r w:rsidRPr="00DF79A8">
        <w:tab/>
      </w:r>
      <w:r w:rsidRPr="00DF79A8">
        <w:tab/>
      </w:r>
      <w:r>
        <w:t>Mental health phase of care</w:t>
      </w:r>
    </w:p>
    <w:p w14:paraId="34CDCD48" w14:textId="3DD9B614" w:rsidR="0091323E" w:rsidRDefault="0091323E" w:rsidP="0091323E">
      <w:pPr>
        <w:pStyle w:val="Body"/>
      </w:pPr>
      <w:r w:rsidRPr="00E32D2C">
        <w:rPr>
          <w:b/>
        </w:rPr>
        <w:t>NBP</w:t>
      </w:r>
      <w:r>
        <w:tab/>
      </w:r>
      <w:r>
        <w:tab/>
      </w:r>
      <w:r w:rsidR="00F8515E">
        <w:tab/>
      </w:r>
      <w:r>
        <w:t>National Benchmarking Portal</w:t>
      </w:r>
    </w:p>
    <w:p w14:paraId="56490EAF" w14:textId="77777777" w:rsidR="0091323E" w:rsidRDefault="0091323E" w:rsidP="0091323E">
      <w:pPr>
        <w:pStyle w:val="Body"/>
      </w:pPr>
      <w:r w:rsidRPr="00E32D2C">
        <w:rPr>
          <w:b/>
        </w:rPr>
        <w:t>NEC</w:t>
      </w:r>
      <w:r>
        <w:tab/>
      </w:r>
      <w:r>
        <w:tab/>
      </w:r>
      <w:r w:rsidR="00F8515E">
        <w:tab/>
      </w:r>
      <w:r>
        <w:t xml:space="preserve">National </w:t>
      </w:r>
      <w:r w:rsidR="006263CF">
        <w:t>e</w:t>
      </w:r>
      <w:r>
        <w:t xml:space="preserve">fficient </w:t>
      </w:r>
      <w:r w:rsidR="006263CF">
        <w:t>c</w:t>
      </w:r>
      <w:r>
        <w:t>ost</w:t>
      </w:r>
    </w:p>
    <w:p w14:paraId="4BC52D02" w14:textId="77777777" w:rsidR="0091323E" w:rsidRDefault="0091323E" w:rsidP="0091323E">
      <w:pPr>
        <w:pStyle w:val="Body"/>
      </w:pPr>
      <w:r w:rsidRPr="00E32D2C">
        <w:rPr>
          <w:b/>
        </w:rPr>
        <w:t>NEP</w:t>
      </w:r>
      <w:r>
        <w:tab/>
      </w:r>
      <w:r>
        <w:tab/>
      </w:r>
      <w:r w:rsidR="00F8515E">
        <w:tab/>
      </w:r>
      <w:r>
        <w:t xml:space="preserve">National </w:t>
      </w:r>
      <w:r w:rsidR="006263CF">
        <w:t>e</w:t>
      </w:r>
      <w:r>
        <w:t xml:space="preserve">fficient </w:t>
      </w:r>
      <w:r w:rsidR="006263CF">
        <w:t>p</w:t>
      </w:r>
      <w:r>
        <w:t>rice</w:t>
      </w:r>
    </w:p>
    <w:p w14:paraId="665C92F8" w14:textId="71B741A3" w:rsidR="0091323E" w:rsidRDefault="0091323E" w:rsidP="0091323E">
      <w:pPr>
        <w:pStyle w:val="Body"/>
      </w:pPr>
      <w:r w:rsidRPr="00E32D2C">
        <w:rPr>
          <w:b/>
        </w:rPr>
        <w:t>NHCDC</w:t>
      </w:r>
      <w:r>
        <w:tab/>
      </w:r>
      <w:r>
        <w:tab/>
      </w:r>
      <w:r w:rsidR="00F8515E">
        <w:tab/>
      </w:r>
      <w:r>
        <w:t>National Hospital Cost Data Collection</w:t>
      </w:r>
    </w:p>
    <w:p w14:paraId="087F2DDB" w14:textId="0F951F6E" w:rsidR="0091323E" w:rsidRDefault="0091323E" w:rsidP="0091323E">
      <w:pPr>
        <w:pStyle w:val="Body"/>
      </w:pPr>
      <w:r w:rsidRPr="00E32D2C">
        <w:rPr>
          <w:b/>
        </w:rPr>
        <w:t>NHRA</w:t>
      </w:r>
      <w:r>
        <w:tab/>
      </w:r>
      <w:r>
        <w:tab/>
      </w:r>
      <w:r w:rsidR="00F8515E">
        <w:tab/>
      </w:r>
      <w:r>
        <w:t xml:space="preserve">National Health Reform Agreement </w:t>
      </w:r>
    </w:p>
    <w:p w14:paraId="120EE468" w14:textId="77777777" w:rsidR="0091323E" w:rsidRDefault="0091323E" w:rsidP="0091323E">
      <w:pPr>
        <w:pStyle w:val="Body"/>
      </w:pPr>
      <w:r w:rsidRPr="00E32D2C">
        <w:rPr>
          <w:b/>
        </w:rPr>
        <w:t>NWAU</w:t>
      </w:r>
      <w:r>
        <w:tab/>
      </w:r>
      <w:r>
        <w:tab/>
      </w:r>
      <w:r w:rsidR="00F8515E">
        <w:tab/>
      </w:r>
      <w:r>
        <w:t xml:space="preserve">National Weighted Activity Unit </w:t>
      </w:r>
      <w:r>
        <w:tab/>
        <w:t xml:space="preserve"> </w:t>
      </w:r>
    </w:p>
    <w:p w14:paraId="605D25F2" w14:textId="77777777" w:rsidR="0091323E" w:rsidRDefault="0091323E" w:rsidP="0091323E">
      <w:pPr>
        <w:pStyle w:val="Body"/>
      </w:pPr>
      <w:r w:rsidRPr="00E32D2C">
        <w:rPr>
          <w:b/>
        </w:rPr>
        <w:t>SDMS</w:t>
      </w:r>
      <w:r>
        <w:tab/>
      </w:r>
      <w:r>
        <w:tab/>
      </w:r>
      <w:r w:rsidR="00F8515E">
        <w:tab/>
      </w:r>
      <w:r>
        <w:t xml:space="preserve">Secured Data Management System </w:t>
      </w:r>
    </w:p>
    <w:p w14:paraId="7085AFA5" w14:textId="77777777" w:rsidR="0091323E" w:rsidRDefault="0091323E" w:rsidP="0091323E">
      <w:pPr>
        <w:pStyle w:val="Body"/>
        <w:rPr>
          <w:i/>
          <w:iCs/>
        </w:rPr>
      </w:pPr>
      <w:r w:rsidRPr="00E32D2C">
        <w:rPr>
          <w:b/>
        </w:rPr>
        <w:t>The Act</w:t>
      </w:r>
      <w:r>
        <w:tab/>
      </w:r>
      <w:r>
        <w:tab/>
      </w:r>
      <w:r w:rsidR="00F8515E">
        <w:tab/>
      </w:r>
      <w:r w:rsidRPr="008220D1">
        <w:rPr>
          <w:i/>
          <w:iCs/>
        </w:rPr>
        <w:t>National Health Reform Act 2011</w:t>
      </w:r>
    </w:p>
    <w:p w14:paraId="53B03B03" w14:textId="327CE685" w:rsidR="00E13E37" w:rsidRPr="00E13E37" w:rsidRDefault="00E13E37" w:rsidP="0091323E">
      <w:pPr>
        <w:pStyle w:val="Body"/>
      </w:pPr>
      <w:r w:rsidRPr="00237DF0">
        <w:rPr>
          <w:b/>
          <w:iCs/>
        </w:rPr>
        <w:t>The Add</w:t>
      </w:r>
      <w:r>
        <w:rPr>
          <w:b/>
          <w:iCs/>
        </w:rPr>
        <w:t>endum</w:t>
      </w:r>
      <w:r>
        <w:rPr>
          <w:iCs/>
        </w:rPr>
        <w:tab/>
      </w:r>
      <w:r>
        <w:rPr>
          <w:iCs/>
        </w:rPr>
        <w:tab/>
      </w:r>
      <w:proofErr w:type="spellStart"/>
      <w:r>
        <w:rPr>
          <w:iCs/>
        </w:rPr>
        <w:t>Addendum</w:t>
      </w:r>
      <w:proofErr w:type="spellEnd"/>
      <w:r>
        <w:rPr>
          <w:iCs/>
        </w:rPr>
        <w:t xml:space="preserve"> to the National Health Reform Agreement</w:t>
      </w:r>
      <w:r w:rsidR="00251EEE">
        <w:rPr>
          <w:iCs/>
        </w:rPr>
        <w:t xml:space="preserve"> 2020-2025</w:t>
      </w:r>
    </w:p>
    <w:p w14:paraId="2AD4B57D" w14:textId="77777777" w:rsidR="0091323E" w:rsidRDefault="0091323E" w:rsidP="0091323E">
      <w:pPr>
        <w:pStyle w:val="Body"/>
      </w:pPr>
      <w:r w:rsidRPr="00E32D2C">
        <w:rPr>
          <w:b/>
        </w:rPr>
        <w:t>The Commission</w:t>
      </w:r>
      <w:r>
        <w:tab/>
        <w:t>Australian Commission on Safety and Quality in Health Care</w:t>
      </w:r>
    </w:p>
    <w:p w14:paraId="4F66017F" w14:textId="759A32D7" w:rsidR="00C70FB1" w:rsidRPr="00A45014" w:rsidRDefault="00C70FB1" w:rsidP="0091323E">
      <w:pPr>
        <w:pStyle w:val="Body"/>
      </w:pPr>
      <w:r w:rsidRPr="002D04D0">
        <w:rPr>
          <w:b/>
        </w:rPr>
        <w:t>The Pricing Authority</w:t>
      </w:r>
      <w:r>
        <w:tab/>
        <w:t xml:space="preserve">Board of the </w:t>
      </w:r>
      <w:r w:rsidR="00D01537">
        <w:t>Independent</w:t>
      </w:r>
      <w:r>
        <w:t xml:space="preserve"> </w:t>
      </w:r>
      <w:r w:rsidR="00D01537">
        <w:t>Hospital</w:t>
      </w:r>
      <w:r>
        <w:t xml:space="preserve"> Pricing Authority</w:t>
      </w:r>
    </w:p>
    <w:p w14:paraId="611DF28A" w14:textId="465A7FA7" w:rsidR="0091323E" w:rsidRPr="00F46EBB" w:rsidRDefault="001C2002" w:rsidP="004A7522">
      <w:pPr>
        <w:pStyle w:val="Heading1"/>
        <w:rPr>
          <w:color w:val="auto"/>
        </w:rPr>
      </w:pPr>
      <w:bookmarkStart w:id="3" w:name="_Toc55044571"/>
      <w:bookmarkStart w:id="4" w:name="_Toc55974105"/>
      <w:r w:rsidRPr="00F46EBB">
        <w:rPr>
          <w:color w:val="auto"/>
        </w:rPr>
        <w:lastRenderedPageBreak/>
        <w:t>1. Introduction</w:t>
      </w:r>
      <w:bookmarkEnd w:id="3"/>
      <w:bookmarkEnd w:id="4"/>
    </w:p>
    <w:p w14:paraId="0D7A6EDA" w14:textId="5491FE89" w:rsidR="00B92153" w:rsidRDefault="006E7666" w:rsidP="00233741">
      <w:pPr>
        <w:spacing w:line="276" w:lineRule="auto"/>
        <w:rPr>
          <w:rFonts w:ascii="Arial" w:hAnsi="Arial" w:cs="Arial"/>
          <w:i/>
          <w:sz w:val="18"/>
          <w:szCs w:val="18"/>
        </w:rPr>
      </w:pPr>
      <w:r w:rsidRPr="00233741">
        <w:rPr>
          <w:rFonts w:ascii="Arial" w:hAnsi="Arial" w:cs="Arial"/>
          <w:sz w:val="18"/>
          <w:szCs w:val="18"/>
        </w:rPr>
        <w:t>The Independent Hospital Pricing Authority</w:t>
      </w:r>
      <w:r w:rsidRPr="00233741">
        <w:rPr>
          <w:rFonts w:ascii="Arial" w:hAnsi="Arial" w:cs="Arial"/>
          <w:spacing w:val="2"/>
          <w:sz w:val="18"/>
          <w:szCs w:val="18"/>
        </w:rPr>
        <w:t xml:space="preserve"> </w:t>
      </w:r>
      <w:r w:rsidRPr="00233741">
        <w:rPr>
          <w:rFonts w:ascii="Arial" w:hAnsi="Arial" w:cs="Arial"/>
          <w:sz w:val="18"/>
          <w:szCs w:val="18"/>
        </w:rPr>
        <w:t>(</w:t>
      </w:r>
      <w:r w:rsidR="00A04C9D">
        <w:rPr>
          <w:rFonts w:ascii="Arial" w:hAnsi="Arial" w:cs="Arial"/>
          <w:sz w:val="18"/>
          <w:szCs w:val="18"/>
        </w:rPr>
        <w:t>I</w:t>
      </w:r>
      <w:r w:rsidRPr="00233741">
        <w:rPr>
          <w:rFonts w:ascii="Arial" w:hAnsi="Arial" w:cs="Arial"/>
          <w:sz w:val="18"/>
          <w:szCs w:val="18"/>
        </w:rPr>
        <w:t xml:space="preserve">HPA) </w:t>
      </w:r>
      <w:r w:rsidR="00A04C9D">
        <w:rPr>
          <w:rFonts w:ascii="Arial" w:hAnsi="Arial" w:cs="Arial"/>
          <w:sz w:val="18"/>
          <w:szCs w:val="18"/>
        </w:rPr>
        <w:t>Work Program</w:t>
      </w:r>
      <w:r w:rsidR="003D2DE6">
        <w:rPr>
          <w:rFonts w:ascii="Arial" w:hAnsi="Arial" w:cs="Arial"/>
          <w:sz w:val="18"/>
          <w:szCs w:val="18"/>
        </w:rPr>
        <w:t xml:space="preserve"> and Corporate Plan</w:t>
      </w:r>
      <w:r w:rsidRPr="00233741">
        <w:rPr>
          <w:rFonts w:ascii="Arial" w:hAnsi="Arial" w:cs="Arial"/>
          <w:sz w:val="18"/>
          <w:szCs w:val="18"/>
        </w:rPr>
        <w:t xml:space="preserve"> </w:t>
      </w:r>
      <w:r w:rsidR="00930D1C">
        <w:rPr>
          <w:rFonts w:ascii="Arial" w:hAnsi="Arial" w:cs="Arial"/>
          <w:sz w:val="18"/>
          <w:szCs w:val="18"/>
        </w:rPr>
        <w:t>2021–</w:t>
      </w:r>
      <w:r w:rsidR="003D2DE6">
        <w:rPr>
          <w:rFonts w:ascii="Arial" w:hAnsi="Arial" w:cs="Arial"/>
          <w:sz w:val="18"/>
          <w:szCs w:val="18"/>
        </w:rPr>
        <w:t>22</w:t>
      </w:r>
      <w:r w:rsidR="00142C12">
        <w:rPr>
          <w:rFonts w:ascii="Arial" w:hAnsi="Arial" w:cs="Arial"/>
          <w:sz w:val="18"/>
          <w:szCs w:val="18"/>
        </w:rPr>
        <w:t xml:space="preserve"> </w:t>
      </w:r>
      <w:r w:rsidRPr="00233741">
        <w:rPr>
          <w:rFonts w:ascii="Arial" w:hAnsi="Arial" w:cs="Arial"/>
          <w:sz w:val="18"/>
          <w:szCs w:val="18"/>
        </w:rPr>
        <w:t xml:space="preserve">has been prepared in </w:t>
      </w:r>
      <w:r w:rsidR="00501115">
        <w:rPr>
          <w:rFonts w:ascii="Arial" w:hAnsi="Arial" w:cs="Arial"/>
          <w:sz w:val="18"/>
          <w:szCs w:val="18"/>
        </w:rPr>
        <w:t>accordance</w:t>
      </w:r>
      <w:r w:rsidRPr="00233741">
        <w:rPr>
          <w:rFonts w:ascii="Arial" w:hAnsi="Arial" w:cs="Arial"/>
          <w:sz w:val="18"/>
          <w:szCs w:val="18"/>
        </w:rPr>
        <w:t xml:space="preserve"> with</w:t>
      </w:r>
      <w:r w:rsidR="00327592">
        <w:rPr>
          <w:rFonts w:ascii="Arial" w:hAnsi="Arial" w:cs="Arial"/>
          <w:sz w:val="18"/>
          <w:szCs w:val="18"/>
        </w:rPr>
        <w:t xml:space="preserve"> the</w:t>
      </w:r>
      <w:r w:rsidRPr="00233741">
        <w:rPr>
          <w:rFonts w:ascii="Arial" w:hAnsi="Arial" w:cs="Arial"/>
          <w:sz w:val="18"/>
          <w:szCs w:val="18"/>
        </w:rPr>
        <w:t xml:space="preserve"> requirements of </w:t>
      </w:r>
      <w:r w:rsidR="00EE7C86">
        <w:rPr>
          <w:rFonts w:ascii="Arial" w:hAnsi="Arial" w:cs="Arial"/>
          <w:sz w:val="18"/>
          <w:szCs w:val="18"/>
        </w:rPr>
        <w:t>section 225</w:t>
      </w:r>
      <w:r w:rsidRPr="00233741">
        <w:rPr>
          <w:rFonts w:ascii="Arial" w:hAnsi="Arial" w:cs="Arial"/>
          <w:sz w:val="18"/>
          <w:szCs w:val="18"/>
        </w:rPr>
        <w:t xml:space="preserve"> of the </w:t>
      </w:r>
      <w:r w:rsidRPr="00233741">
        <w:rPr>
          <w:rFonts w:ascii="Arial" w:hAnsi="Arial" w:cs="Arial"/>
          <w:i/>
          <w:sz w:val="18"/>
          <w:szCs w:val="18"/>
        </w:rPr>
        <w:t xml:space="preserve">National Health Reform Act 2011 </w:t>
      </w:r>
      <w:r w:rsidR="00327592">
        <w:rPr>
          <w:rFonts w:ascii="Arial" w:hAnsi="Arial" w:cs="Arial"/>
          <w:sz w:val="18"/>
          <w:szCs w:val="18"/>
        </w:rPr>
        <w:t xml:space="preserve">(the Act) </w:t>
      </w:r>
      <w:r w:rsidR="009A1831">
        <w:rPr>
          <w:rFonts w:ascii="Arial" w:hAnsi="Arial" w:cs="Arial"/>
          <w:sz w:val="18"/>
          <w:szCs w:val="18"/>
        </w:rPr>
        <w:t xml:space="preserve">and </w:t>
      </w:r>
      <w:r w:rsidR="009A1831" w:rsidRPr="00233741">
        <w:rPr>
          <w:rFonts w:ascii="Arial" w:hAnsi="Arial" w:cs="Arial"/>
          <w:sz w:val="18"/>
          <w:szCs w:val="18"/>
        </w:rPr>
        <w:t xml:space="preserve">section 35(1)(b) </w:t>
      </w:r>
      <w:r w:rsidR="009A1831" w:rsidRPr="00233741">
        <w:rPr>
          <w:rFonts w:ascii="Arial" w:hAnsi="Arial" w:cs="Arial"/>
          <w:i/>
          <w:sz w:val="18"/>
          <w:szCs w:val="18"/>
        </w:rPr>
        <w:t xml:space="preserve">Public Governance, Performance and Accountability Act 2013 </w:t>
      </w:r>
      <w:r w:rsidRPr="00233741">
        <w:rPr>
          <w:rFonts w:ascii="Arial" w:hAnsi="Arial" w:cs="Arial"/>
          <w:sz w:val="18"/>
          <w:szCs w:val="18"/>
        </w:rPr>
        <w:t>for the reporting periods 2021–22 to 2023–24</w:t>
      </w:r>
      <w:r w:rsidR="00E641FD" w:rsidRPr="00E641FD">
        <w:rPr>
          <w:rFonts w:ascii="Arial" w:hAnsi="Arial" w:cs="Arial"/>
          <w:sz w:val="18"/>
          <w:szCs w:val="18"/>
        </w:rPr>
        <w:t xml:space="preserve">. </w:t>
      </w:r>
    </w:p>
    <w:p w14:paraId="6E1559CC" w14:textId="33C96F7F" w:rsidR="006E7666" w:rsidRPr="00930D1C" w:rsidRDefault="00CE28D7" w:rsidP="0030557D">
      <w:pPr>
        <w:pStyle w:val="Heading1"/>
        <w:spacing w:before="360" w:after="160" w:line="240" w:lineRule="auto"/>
        <w:rPr>
          <w:color w:val="000000" w:themeColor="text1"/>
          <w:sz w:val="36"/>
          <w:szCs w:val="36"/>
        </w:rPr>
      </w:pPr>
      <w:bookmarkStart w:id="5" w:name="_Toc55044572"/>
      <w:bookmarkStart w:id="6" w:name="_Toc55053978"/>
      <w:bookmarkStart w:id="7" w:name="_Toc55974106"/>
      <w:r w:rsidRPr="00930D1C">
        <w:rPr>
          <w:color w:val="000000" w:themeColor="text1"/>
          <w:sz w:val="36"/>
          <w:szCs w:val="36"/>
        </w:rPr>
        <w:t xml:space="preserve">1.1 </w:t>
      </w:r>
      <w:bookmarkEnd w:id="5"/>
      <w:bookmarkEnd w:id="6"/>
      <w:r w:rsidR="00142C12">
        <w:rPr>
          <w:color w:val="000000" w:themeColor="text1"/>
          <w:sz w:val="36"/>
          <w:szCs w:val="36"/>
        </w:rPr>
        <w:t>Background</w:t>
      </w:r>
      <w:bookmarkEnd w:id="7"/>
    </w:p>
    <w:p w14:paraId="3A47FB8D" w14:textId="41F74B16" w:rsidR="00142C12" w:rsidRPr="00142C12" w:rsidRDefault="00142C12" w:rsidP="00233741">
      <w:pPr>
        <w:spacing w:line="276" w:lineRule="auto"/>
        <w:rPr>
          <w:rFonts w:ascii="Arial" w:hAnsi="Arial" w:cs="Arial"/>
          <w:sz w:val="18"/>
          <w:szCs w:val="18"/>
          <w:lang w:val="en-AU"/>
        </w:rPr>
      </w:pPr>
      <w:r>
        <w:rPr>
          <w:rFonts w:ascii="Arial" w:hAnsi="Arial" w:cs="Arial"/>
          <w:sz w:val="18"/>
          <w:szCs w:val="18"/>
          <w:lang w:val="en-AU"/>
        </w:rPr>
        <w:t>IHPA</w:t>
      </w:r>
      <w:r w:rsidRPr="00142C12">
        <w:rPr>
          <w:rFonts w:ascii="Arial" w:hAnsi="Arial" w:cs="Arial"/>
          <w:sz w:val="18"/>
          <w:szCs w:val="18"/>
          <w:lang w:val="en-AU"/>
        </w:rPr>
        <w:t xml:space="preserve"> is an independent Commonwealth authority established under Commonwealth legislation as part of the National Health Reform Agreement (NHRA) reached by the Cou</w:t>
      </w:r>
      <w:r w:rsidR="00327592">
        <w:rPr>
          <w:rFonts w:ascii="Arial" w:hAnsi="Arial" w:cs="Arial"/>
          <w:sz w:val="18"/>
          <w:szCs w:val="18"/>
          <w:lang w:val="en-AU"/>
        </w:rPr>
        <w:t xml:space="preserve">ncil of Australian Governments </w:t>
      </w:r>
      <w:r w:rsidRPr="00142C12">
        <w:rPr>
          <w:rFonts w:ascii="Arial" w:hAnsi="Arial" w:cs="Arial"/>
          <w:sz w:val="18"/>
          <w:szCs w:val="18"/>
          <w:lang w:val="en-AU"/>
        </w:rPr>
        <w:t>in August 2011. The NHRA sets out the intention of the Commonwealth and state and territory governments to work in partnership to improve health outcomes for all Australians.</w:t>
      </w:r>
    </w:p>
    <w:p w14:paraId="4422C6DE" w14:textId="252D49B6" w:rsidR="006E7666" w:rsidRPr="00BA4A46" w:rsidRDefault="00FF7D5B" w:rsidP="00233741">
      <w:pPr>
        <w:spacing w:line="276" w:lineRule="auto"/>
        <w:rPr>
          <w:rFonts w:ascii="Arial" w:hAnsi="Arial" w:cs="Arial"/>
          <w:sz w:val="18"/>
          <w:szCs w:val="18"/>
        </w:rPr>
      </w:pPr>
      <w:r>
        <w:rPr>
          <w:rFonts w:ascii="Arial" w:hAnsi="Arial" w:cs="Arial"/>
          <w:sz w:val="18"/>
          <w:szCs w:val="18"/>
        </w:rPr>
        <w:t>IHPA’s role</w:t>
      </w:r>
      <w:r w:rsidR="006E7666" w:rsidRPr="00BA4A46">
        <w:rPr>
          <w:rFonts w:ascii="Arial" w:hAnsi="Arial" w:cs="Arial"/>
          <w:sz w:val="18"/>
          <w:szCs w:val="18"/>
        </w:rPr>
        <w:t xml:space="preserve"> is to:</w:t>
      </w:r>
    </w:p>
    <w:p w14:paraId="053411E3" w14:textId="77777777" w:rsidR="006E7666" w:rsidRPr="00BA4A46" w:rsidRDefault="006E7666" w:rsidP="004A5D6D">
      <w:pPr>
        <w:pStyle w:val="ListParagraph"/>
        <w:widowControl w:val="0"/>
        <w:numPr>
          <w:ilvl w:val="0"/>
          <w:numId w:val="7"/>
        </w:numPr>
        <w:autoSpaceDE w:val="0"/>
        <w:autoSpaceDN w:val="0"/>
        <w:spacing w:line="276" w:lineRule="auto"/>
        <w:contextualSpacing w:val="0"/>
        <w:rPr>
          <w:rFonts w:ascii="Arial" w:hAnsi="Arial" w:cs="Arial"/>
          <w:sz w:val="18"/>
          <w:szCs w:val="18"/>
        </w:rPr>
      </w:pPr>
      <w:r w:rsidRPr="00BA4A46">
        <w:rPr>
          <w:rFonts w:ascii="Arial" w:hAnsi="Arial" w:cs="Arial"/>
          <w:sz w:val="18"/>
          <w:szCs w:val="18"/>
        </w:rPr>
        <w:t>determine the national efficient price for health care services provided by public hospitals where the services are funded on an activity basis</w:t>
      </w:r>
    </w:p>
    <w:p w14:paraId="399EDFC5" w14:textId="77777777" w:rsidR="006E7666" w:rsidRPr="00BA4A46" w:rsidRDefault="006E7666" w:rsidP="004A5D6D">
      <w:pPr>
        <w:pStyle w:val="ListParagraph"/>
        <w:widowControl w:val="0"/>
        <w:numPr>
          <w:ilvl w:val="0"/>
          <w:numId w:val="7"/>
        </w:numPr>
        <w:autoSpaceDE w:val="0"/>
        <w:autoSpaceDN w:val="0"/>
        <w:spacing w:line="276" w:lineRule="auto"/>
        <w:contextualSpacing w:val="0"/>
        <w:rPr>
          <w:rFonts w:ascii="Arial" w:hAnsi="Arial" w:cs="Arial"/>
          <w:sz w:val="18"/>
          <w:szCs w:val="18"/>
        </w:rPr>
      </w:pPr>
      <w:r w:rsidRPr="00BA4A46">
        <w:rPr>
          <w:rFonts w:ascii="Arial" w:hAnsi="Arial" w:cs="Arial"/>
          <w:sz w:val="18"/>
          <w:szCs w:val="18"/>
        </w:rPr>
        <w:t>determine the efficient cost for health care services provided by public hospitals where the services are block funded</w:t>
      </w:r>
    </w:p>
    <w:p w14:paraId="1EFB6C26" w14:textId="77777777" w:rsidR="006E7666" w:rsidRPr="00BA4A46" w:rsidRDefault="006E7666" w:rsidP="004A5D6D">
      <w:pPr>
        <w:pStyle w:val="ListParagraph"/>
        <w:widowControl w:val="0"/>
        <w:numPr>
          <w:ilvl w:val="0"/>
          <w:numId w:val="7"/>
        </w:numPr>
        <w:autoSpaceDE w:val="0"/>
        <w:autoSpaceDN w:val="0"/>
        <w:spacing w:line="276" w:lineRule="auto"/>
        <w:contextualSpacing w:val="0"/>
        <w:rPr>
          <w:rFonts w:ascii="Arial" w:hAnsi="Arial" w:cs="Arial"/>
          <w:sz w:val="18"/>
          <w:szCs w:val="18"/>
        </w:rPr>
      </w:pPr>
      <w:proofErr w:type="gramStart"/>
      <w:r w:rsidRPr="00BA4A46">
        <w:rPr>
          <w:rFonts w:ascii="Arial" w:hAnsi="Arial" w:cs="Arial"/>
          <w:sz w:val="18"/>
          <w:szCs w:val="18"/>
        </w:rPr>
        <w:t>publish</w:t>
      </w:r>
      <w:proofErr w:type="gramEnd"/>
      <w:r w:rsidRPr="00BA4A46">
        <w:rPr>
          <w:rFonts w:ascii="Arial" w:hAnsi="Arial" w:cs="Arial"/>
          <w:sz w:val="18"/>
          <w:szCs w:val="18"/>
        </w:rPr>
        <w:t xml:space="preserve"> these determinations, and other information, in a report each year for the purpose of informing decision makers in relation to the funding of public hospitals.</w:t>
      </w:r>
    </w:p>
    <w:p w14:paraId="34355E51" w14:textId="6E5C6BD3" w:rsidR="006E7666" w:rsidRPr="00BA4A46" w:rsidRDefault="009E0ECB" w:rsidP="00233741">
      <w:pPr>
        <w:spacing w:line="276" w:lineRule="auto"/>
        <w:rPr>
          <w:rFonts w:ascii="Arial" w:hAnsi="Arial" w:cs="Arial"/>
          <w:sz w:val="18"/>
          <w:szCs w:val="18"/>
        </w:rPr>
      </w:pPr>
      <w:r>
        <w:rPr>
          <w:rFonts w:ascii="Arial" w:hAnsi="Arial" w:cs="Arial"/>
          <w:sz w:val="18"/>
          <w:szCs w:val="18"/>
        </w:rPr>
        <w:t>IHPA</w:t>
      </w:r>
      <w:r w:rsidR="006E7666" w:rsidRPr="00BA4A46">
        <w:rPr>
          <w:rFonts w:ascii="Arial" w:hAnsi="Arial" w:cs="Arial"/>
          <w:sz w:val="18"/>
          <w:szCs w:val="18"/>
        </w:rPr>
        <w:t xml:space="preserve"> promotes improved efficiency in, and access to, public hospital services by:</w:t>
      </w:r>
    </w:p>
    <w:p w14:paraId="7E7021FD" w14:textId="77777777" w:rsidR="006E7666" w:rsidRPr="00BA4A46" w:rsidRDefault="006E7666" w:rsidP="004A5D6D">
      <w:pPr>
        <w:pStyle w:val="ListParagraph"/>
        <w:widowControl w:val="0"/>
        <w:numPr>
          <w:ilvl w:val="0"/>
          <w:numId w:val="7"/>
        </w:numPr>
        <w:autoSpaceDE w:val="0"/>
        <w:autoSpaceDN w:val="0"/>
        <w:spacing w:line="276" w:lineRule="auto"/>
        <w:contextualSpacing w:val="0"/>
        <w:rPr>
          <w:rFonts w:ascii="Arial" w:hAnsi="Arial" w:cs="Arial"/>
          <w:sz w:val="18"/>
          <w:szCs w:val="18"/>
        </w:rPr>
      </w:pPr>
      <w:r w:rsidRPr="00BA4A46">
        <w:rPr>
          <w:rFonts w:ascii="Arial" w:hAnsi="Arial" w:cs="Arial"/>
          <w:sz w:val="18"/>
          <w:szCs w:val="18"/>
        </w:rPr>
        <w:t>providing independent advice to governments in relation to the efficient costs of such services</w:t>
      </w:r>
    </w:p>
    <w:p w14:paraId="2ED4DB93" w14:textId="6E2D547B" w:rsidR="006E7666" w:rsidRDefault="006E7666" w:rsidP="004A5D6D">
      <w:pPr>
        <w:pStyle w:val="ListParagraph"/>
        <w:widowControl w:val="0"/>
        <w:numPr>
          <w:ilvl w:val="0"/>
          <w:numId w:val="7"/>
        </w:numPr>
        <w:autoSpaceDE w:val="0"/>
        <w:autoSpaceDN w:val="0"/>
        <w:spacing w:line="276" w:lineRule="auto"/>
        <w:contextualSpacing w:val="0"/>
        <w:rPr>
          <w:rFonts w:ascii="Arial" w:hAnsi="Arial" w:cs="Arial"/>
          <w:sz w:val="18"/>
          <w:szCs w:val="18"/>
        </w:rPr>
      </w:pPr>
      <w:proofErr w:type="gramStart"/>
      <w:r w:rsidRPr="00BA4A46">
        <w:rPr>
          <w:rFonts w:ascii="Arial" w:hAnsi="Arial" w:cs="Arial"/>
          <w:sz w:val="18"/>
          <w:szCs w:val="18"/>
        </w:rPr>
        <w:t>developing</w:t>
      </w:r>
      <w:proofErr w:type="gramEnd"/>
      <w:r w:rsidRPr="00BA4A46">
        <w:rPr>
          <w:rFonts w:ascii="Arial" w:hAnsi="Arial" w:cs="Arial"/>
          <w:sz w:val="18"/>
          <w:szCs w:val="18"/>
        </w:rPr>
        <w:t xml:space="preserve"> and implementing robust systems to support activity based funding for such services.</w:t>
      </w:r>
    </w:p>
    <w:p w14:paraId="4DE64AE8" w14:textId="31102088" w:rsidR="00142C12" w:rsidRPr="00184487" w:rsidRDefault="00142C12" w:rsidP="00142C12">
      <w:pPr>
        <w:pStyle w:val="Heading2"/>
      </w:pPr>
      <w:bookmarkStart w:id="8" w:name="_Toc55974107"/>
      <w:r>
        <w:t>1.2</w:t>
      </w:r>
      <w:r w:rsidRPr="00184487">
        <w:t xml:space="preserve"> </w:t>
      </w:r>
      <w:r>
        <w:t>Purpose</w:t>
      </w:r>
      <w:bookmarkEnd w:id="8"/>
    </w:p>
    <w:p w14:paraId="7E9BFC91" w14:textId="16AED1B8" w:rsidR="00142C12" w:rsidRDefault="00142C12" w:rsidP="00142C12">
      <w:pPr>
        <w:spacing w:line="276" w:lineRule="auto"/>
        <w:rPr>
          <w:rFonts w:ascii="Arial" w:hAnsi="Arial" w:cs="Arial"/>
          <w:sz w:val="18"/>
          <w:szCs w:val="18"/>
        </w:rPr>
      </w:pPr>
      <w:r w:rsidRPr="00142C12">
        <w:rPr>
          <w:rFonts w:ascii="Arial" w:hAnsi="Arial" w:cs="Arial"/>
          <w:sz w:val="18"/>
          <w:szCs w:val="18"/>
        </w:rPr>
        <w:t xml:space="preserve">The </w:t>
      </w:r>
      <w:r w:rsidR="003D2DE6">
        <w:rPr>
          <w:rFonts w:ascii="Arial" w:hAnsi="Arial" w:cs="Arial"/>
          <w:sz w:val="18"/>
          <w:szCs w:val="18"/>
        </w:rPr>
        <w:t>Work Program and Corporate Plan</w:t>
      </w:r>
      <w:r w:rsidR="003D2DE6" w:rsidRPr="00233741">
        <w:rPr>
          <w:rFonts w:ascii="Arial" w:hAnsi="Arial" w:cs="Arial"/>
          <w:sz w:val="18"/>
          <w:szCs w:val="18"/>
        </w:rPr>
        <w:t xml:space="preserve"> </w:t>
      </w:r>
      <w:r w:rsidR="003D2DE6">
        <w:rPr>
          <w:rFonts w:ascii="Arial" w:hAnsi="Arial" w:cs="Arial"/>
          <w:sz w:val="18"/>
          <w:szCs w:val="18"/>
        </w:rPr>
        <w:t xml:space="preserve">2021–22 </w:t>
      </w:r>
      <w:r w:rsidRPr="00142C12">
        <w:rPr>
          <w:rFonts w:ascii="Arial" w:hAnsi="Arial" w:cs="Arial"/>
          <w:sz w:val="18"/>
          <w:szCs w:val="18"/>
        </w:rPr>
        <w:t xml:space="preserve">sets out the deliverables for the coming year. </w:t>
      </w:r>
      <w:r>
        <w:rPr>
          <w:rFonts w:ascii="Arial" w:hAnsi="Arial" w:cs="Arial"/>
          <w:sz w:val="18"/>
          <w:szCs w:val="18"/>
        </w:rPr>
        <w:t>As prescribed in section 225 of the Act,</w:t>
      </w:r>
      <w:r w:rsidRPr="00142C12">
        <w:rPr>
          <w:rFonts w:ascii="Arial" w:hAnsi="Arial" w:cs="Arial"/>
          <w:sz w:val="18"/>
          <w:szCs w:val="18"/>
        </w:rPr>
        <w:t xml:space="preserve"> </w:t>
      </w:r>
      <w:r>
        <w:rPr>
          <w:rFonts w:ascii="Arial" w:hAnsi="Arial" w:cs="Arial"/>
          <w:sz w:val="18"/>
          <w:szCs w:val="18"/>
        </w:rPr>
        <w:t xml:space="preserve">IHPA invites </w:t>
      </w:r>
      <w:r w:rsidRPr="00142C12">
        <w:rPr>
          <w:rFonts w:ascii="Arial" w:hAnsi="Arial" w:cs="Arial"/>
          <w:sz w:val="18"/>
          <w:szCs w:val="18"/>
        </w:rPr>
        <w:t xml:space="preserve">interested persons (including states and territories) to make submissions about </w:t>
      </w:r>
      <w:r>
        <w:rPr>
          <w:rFonts w:ascii="Arial" w:hAnsi="Arial" w:cs="Arial"/>
          <w:sz w:val="18"/>
          <w:szCs w:val="18"/>
        </w:rPr>
        <w:t xml:space="preserve">its </w:t>
      </w:r>
      <w:r w:rsidRPr="00142C12">
        <w:rPr>
          <w:rFonts w:ascii="Arial" w:hAnsi="Arial" w:cs="Arial"/>
          <w:sz w:val="18"/>
          <w:szCs w:val="18"/>
        </w:rPr>
        <w:t>work</w:t>
      </w:r>
      <w:r>
        <w:rPr>
          <w:rFonts w:ascii="Arial" w:hAnsi="Arial" w:cs="Arial"/>
          <w:sz w:val="18"/>
          <w:szCs w:val="18"/>
        </w:rPr>
        <w:t xml:space="preserve"> </w:t>
      </w:r>
      <w:r w:rsidRPr="00142C12">
        <w:rPr>
          <w:rFonts w:ascii="Arial" w:hAnsi="Arial" w:cs="Arial"/>
          <w:sz w:val="18"/>
          <w:szCs w:val="18"/>
        </w:rPr>
        <w:t>program.</w:t>
      </w:r>
    </w:p>
    <w:p w14:paraId="6C262516" w14:textId="00866B8F" w:rsidR="00142C12" w:rsidRDefault="00142C12" w:rsidP="00142C12">
      <w:pPr>
        <w:spacing w:line="276" w:lineRule="auto"/>
        <w:rPr>
          <w:rFonts w:ascii="Arial" w:hAnsi="Arial" w:cs="Arial"/>
          <w:sz w:val="18"/>
          <w:szCs w:val="18"/>
        </w:rPr>
      </w:pPr>
      <w:r w:rsidRPr="00142C12">
        <w:rPr>
          <w:rFonts w:ascii="Arial" w:hAnsi="Arial" w:cs="Arial"/>
          <w:sz w:val="18"/>
          <w:szCs w:val="18"/>
        </w:rPr>
        <w:t xml:space="preserve">The </w:t>
      </w:r>
      <w:r w:rsidR="00FF7D5B">
        <w:rPr>
          <w:rFonts w:ascii="Arial" w:hAnsi="Arial" w:cs="Arial"/>
          <w:sz w:val="18"/>
          <w:szCs w:val="18"/>
        </w:rPr>
        <w:t>aim</w:t>
      </w:r>
      <w:r w:rsidR="00FF7D5B" w:rsidRPr="00142C12">
        <w:rPr>
          <w:rFonts w:ascii="Arial" w:hAnsi="Arial" w:cs="Arial"/>
          <w:sz w:val="18"/>
          <w:szCs w:val="18"/>
        </w:rPr>
        <w:t xml:space="preserve"> </w:t>
      </w:r>
      <w:r w:rsidRPr="00142C12">
        <w:rPr>
          <w:rFonts w:ascii="Arial" w:hAnsi="Arial" w:cs="Arial"/>
          <w:sz w:val="18"/>
          <w:szCs w:val="18"/>
        </w:rPr>
        <w:t xml:space="preserve">of publishing and calling for public submissions on the </w:t>
      </w:r>
      <w:r w:rsidR="003D2DE6">
        <w:rPr>
          <w:rFonts w:ascii="Arial" w:hAnsi="Arial" w:cs="Arial"/>
          <w:sz w:val="18"/>
          <w:szCs w:val="18"/>
        </w:rPr>
        <w:t>Work Program and Corporate Plan</w:t>
      </w:r>
      <w:r w:rsidR="003D2DE6" w:rsidRPr="00233741">
        <w:rPr>
          <w:rFonts w:ascii="Arial" w:hAnsi="Arial" w:cs="Arial"/>
          <w:sz w:val="18"/>
          <w:szCs w:val="18"/>
        </w:rPr>
        <w:t xml:space="preserve"> </w:t>
      </w:r>
      <w:r w:rsidR="003D2DE6">
        <w:rPr>
          <w:rFonts w:ascii="Arial" w:hAnsi="Arial" w:cs="Arial"/>
          <w:sz w:val="18"/>
          <w:szCs w:val="18"/>
        </w:rPr>
        <w:t xml:space="preserve">2021–22 </w:t>
      </w:r>
      <w:r w:rsidRPr="00142C12">
        <w:rPr>
          <w:rFonts w:ascii="Arial" w:hAnsi="Arial" w:cs="Arial"/>
          <w:sz w:val="18"/>
          <w:szCs w:val="18"/>
        </w:rPr>
        <w:t>are to:</w:t>
      </w:r>
    </w:p>
    <w:p w14:paraId="069EE424" w14:textId="72095C48" w:rsidR="00142C12" w:rsidRPr="00142C12" w:rsidRDefault="00142C12" w:rsidP="00142C12">
      <w:pPr>
        <w:pStyle w:val="ListParagraph"/>
        <w:widowControl w:val="0"/>
        <w:numPr>
          <w:ilvl w:val="0"/>
          <w:numId w:val="7"/>
        </w:numPr>
        <w:autoSpaceDE w:val="0"/>
        <w:autoSpaceDN w:val="0"/>
        <w:spacing w:line="276" w:lineRule="auto"/>
        <w:contextualSpacing w:val="0"/>
        <w:rPr>
          <w:rFonts w:ascii="Arial" w:hAnsi="Arial" w:cs="Arial"/>
          <w:sz w:val="18"/>
          <w:szCs w:val="18"/>
        </w:rPr>
      </w:pPr>
      <w:r w:rsidRPr="00142C12">
        <w:rPr>
          <w:rFonts w:ascii="Arial" w:hAnsi="Arial" w:cs="Arial"/>
          <w:sz w:val="18"/>
          <w:szCs w:val="18"/>
        </w:rPr>
        <w:t>enhance focus on the equitable funding of public hospitals</w:t>
      </w:r>
    </w:p>
    <w:p w14:paraId="18A2E810" w14:textId="1345D612" w:rsidR="00142C12" w:rsidRPr="00142C12" w:rsidRDefault="009C578E" w:rsidP="00142C12">
      <w:pPr>
        <w:pStyle w:val="ListParagraph"/>
        <w:widowControl w:val="0"/>
        <w:numPr>
          <w:ilvl w:val="0"/>
          <w:numId w:val="7"/>
        </w:numPr>
        <w:autoSpaceDE w:val="0"/>
        <w:autoSpaceDN w:val="0"/>
        <w:spacing w:line="276" w:lineRule="auto"/>
        <w:contextualSpacing w:val="0"/>
        <w:rPr>
          <w:rFonts w:ascii="Arial" w:hAnsi="Arial" w:cs="Arial"/>
          <w:sz w:val="18"/>
          <w:szCs w:val="18"/>
        </w:rPr>
      </w:pPr>
      <w:r>
        <w:rPr>
          <w:rFonts w:ascii="Arial" w:hAnsi="Arial" w:cs="Arial"/>
          <w:sz w:val="18"/>
          <w:szCs w:val="18"/>
        </w:rPr>
        <w:t>i</w:t>
      </w:r>
      <w:r w:rsidR="00142C12" w:rsidRPr="00142C12">
        <w:rPr>
          <w:rFonts w:ascii="Arial" w:hAnsi="Arial" w:cs="Arial"/>
          <w:sz w:val="18"/>
          <w:szCs w:val="18"/>
        </w:rPr>
        <w:t>mprove efficiency, accountability and transparency across the public health care system</w:t>
      </w:r>
    </w:p>
    <w:p w14:paraId="3CAD5D05" w14:textId="6D355906" w:rsidR="00142C12" w:rsidRDefault="00142C12" w:rsidP="00142C12">
      <w:pPr>
        <w:pStyle w:val="ListParagraph"/>
        <w:widowControl w:val="0"/>
        <w:numPr>
          <w:ilvl w:val="0"/>
          <w:numId w:val="7"/>
        </w:numPr>
        <w:autoSpaceDE w:val="0"/>
        <w:autoSpaceDN w:val="0"/>
        <w:spacing w:line="276" w:lineRule="auto"/>
        <w:contextualSpacing w:val="0"/>
        <w:rPr>
          <w:rFonts w:ascii="Arial" w:hAnsi="Arial" w:cs="Arial"/>
          <w:sz w:val="18"/>
          <w:szCs w:val="18"/>
        </w:rPr>
      </w:pPr>
      <w:proofErr w:type="gramStart"/>
      <w:r w:rsidRPr="00142C12">
        <w:rPr>
          <w:rFonts w:ascii="Arial" w:hAnsi="Arial" w:cs="Arial"/>
          <w:sz w:val="18"/>
          <w:szCs w:val="18"/>
        </w:rPr>
        <w:t>drive</w:t>
      </w:r>
      <w:proofErr w:type="gramEnd"/>
      <w:r w:rsidRPr="00142C12">
        <w:rPr>
          <w:rFonts w:ascii="Arial" w:hAnsi="Arial" w:cs="Arial"/>
          <w:sz w:val="18"/>
          <w:szCs w:val="18"/>
        </w:rPr>
        <w:t xml:space="preserve"> financial sustainability of public hospital services into the future</w:t>
      </w:r>
      <w:r w:rsidR="00FF7D5B">
        <w:rPr>
          <w:rFonts w:ascii="Arial" w:hAnsi="Arial" w:cs="Arial"/>
          <w:sz w:val="18"/>
          <w:szCs w:val="18"/>
        </w:rPr>
        <w:t>.</w:t>
      </w:r>
    </w:p>
    <w:p w14:paraId="07FF7A5E" w14:textId="5F73CE83" w:rsidR="006E7666" w:rsidRPr="00241EF6" w:rsidRDefault="00142C12" w:rsidP="00233741">
      <w:pPr>
        <w:pStyle w:val="Heading1"/>
        <w:spacing w:before="360" w:after="160" w:line="240" w:lineRule="auto"/>
        <w:rPr>
          <w:b/>
          <w:sz w:val="36"/>
          <w:szCs w:val="36"/>
        </w:rPr>
      </w:pPr>
      <w:bookmarkStart w:id="9" w:name="_Toc55044574"/>
      <w:bookmarkStart w:id="10" w:name="_Toc55053980"/>
      <w:bookmarkStart w:id="11" w:name="_Toc55974108"/>
      <w:r>
        <w:rPr>
          <w:color w:val="000000" w:themeColor="text1"/>
          <w:sz w:val="36"/>
          <w:szCs w:val="36"/>
        </w:rPr>
        <w:t>1.3</w:t>
      </w:r>
      <w:r w:rsidR="00BA4A46" w:rsidRPr="00241EF6">
        <w:rPr>
          <w:color w:val="000000" w:themeColor="text1"/>
          <w:sz w:val="36"/>
          <w:szCs w:val="36"/>
        </w:rPr>
        <w:t xml:space="preserve"> </w:t>
      </w:r>
      <w:r w:rsidR="006E7666" w:rsidRPr="00241EF6">
        <w:rPr>
          <w:color w:val="000000" w:themeColor="text1"/>
          <w:sz w:val="36"/>
          <w:szCs w:val="36"/>
        </w:rPr>
        <w:t>Strategic objectives</w:t>
      </w:r>
      <w:bookmarkEnd w:id="9"/>
      <w:bookmarkEnd w:id="10"/>
      <w:bookmarkEnd w:id="11"/>
    </w:p>
    <w:p w14:paraId="6F06219E" w14:textId="376B3A05" w:rsidR="006E7666" w:rsidRPr="006E7666" w:rsidRDefault="0030760B" w:rsidP="00233741">
      <w:pPr>
        <w:pStyle w:val="BodyText"/>
        <w:spacing w:after="160" w:line="276" w:lineRule="auto"/>
        <w:ind w:left="125" w:right="765"/>
        <w:rPr>
          <w:rFonts w:ascii="Arial" w:eastAsiaTheme="minorHAnsi" w:hAnsi="Arial" w:cs="Arial"/>
          <w:sz w:val="18"/>
          <w:szCs w:val="18"/>
          <w:lang w:val="en-AU"/>
        </w:rPr>
      </w:pPr>
      <w:r w:rsidRPr="00142C12">
        <w:rPr>
          <w:rFonts w:ascii="Arial" w:hAnsi="Arial" w:cs="Arial"/>
          <w:sz w:val="18"/>
          <w:szCs w:val="18"/>
        </w:rPr>
        <w:t xml:space="preserve">The </w:t>
      </w:r>
      <w:r>
        <w:rPr>
          <w:rFonts w:ascii="Arial" w:hAnsi="Arial" w:cs="Arial"/>
          <w:sz w:val="18"/>
          <w:szCs w:val="18"/>
        </w:rPr>
        <w:t>Work Program and Corporate Plan</w:t>
      </w:r>
      <w:r w:rsidRPr="00233741">
        <w:rPr>
          <w:rFonts w:ascii="Arial" w:hAnsi="Arial" w:cs="Arial"/>
          <w:sz w:val="18"/>
          <w:szCs w:val="18"/>
        </w:rPr>
        <w:t xml:space="preserve"> </w:t>
      </w:r>
      <w:r>
        <w:rPr>
          <w:rFonts w:ascii="Arial" w:hAnsi="Arial" w:cs="Arial"/>
          <w:sz w:val="18"/>
          <w:szCs w:val="18"/>
        </w:rPr>
        <w:t xml:space="preserve">2021–22 outlines activities associated with the following </w:t>
      </w:r>
      <w:r w:rsidR="006E7666" w:rsidRPr="006E7666">
        <w:rPr>
          <w:rFonts w:ascii="Arial" w:eastAsiaTheme="minorHAnsi" w:hAnsi="Arial" w:cs="Arial"/>
          <w:sz w:val="18"/>
          <w:szCs w:val="18"/>
          <w:lang w:val="en-AU"/>
        </w:rPr>
        <w:t>strategic objectives</w:t>
      </w:r>
      <w:r>
        <w:rPr>
          <w:rFonts w:ascii="Arial" w:eastAsiaTheme="minorHAnsi" w:hAnsi="Arial" w:cs="Arial"/>
          <w:sz w:val="18"/>
          <w:szCs w:val="18"/>
          <w:lang w:val="en-AU"/>
        </w:rPr>
        <w:t>:</w:t>
      </w:r>
    </w:p>
    <w:p w14:paraId="59449073" w14:textId="1BFDFC59" w:rsidR="006E7666" w:rsidRPr="00233741" w:rsidRDefault="00233741" w:rsidP="00233741">
      <w:pPr>
        <w:widowControl w:val="0"/>
        <w:autoSpaceDE w:val="0"/>
        <w:autoSpaceDN w:val="0"/>
        <w:spacing w:line="276" w:lineRule="auto"/>
        <w:ind w:firstLine="502"/>
        <w:rPr>
          <w:rFonts w:ascii="Arial" w:hAnsi="Arial" w:cs="Arial"/>
          <w:b/>
          <w:color w:val="C00000"/>
          <w:sz w:val="18"/>
          <w:szCs w:val="18"/>
          <w:lang w:val="en-AU"/>
        </w:rPr>
      </w:pPr>
      <w:r>
        <w:rPr>
          <w:rFonts w:ascii="Arial" w:hAnsi="Arial" w:cs="Arial"/>
          <w:b/>
          <w:color w:val="C00000"/>
          <w:sz w:val="18"/>
          <w:szCs w:val="18"/>
          <w:lang w:val="en-AU"/>
        </w:rPr>
        <w:t>P</w:t>
      </w:r>
      <w:r w:rsidR="006E7666" w:rsidRPr="00233741">
        <w:rPr>
          <w:rFonts w:ascii="Arial" w:hAnsi="Arial" w:cs="Arial"/>
          <w:b/>
          <w:color w:val="C00000"/>
          <w:sz w:val="18"/>
          <w:szCs w:val="18"/>
          <w:lang w:val="en-AU"/>
        </w:rPr>
        <w:t>erform IHPA pricing functions</w:t>
      </w:r>
    </w:p>
    <w:p w14:paraId="366674E7" w14:textId="554A4E0C" w:rsidR="006E7666" w:rsidRPr="00F90F17" w:rsidRDefault="006E7666" w:rsidP="00F90F17">
      <w:pPr>
        <w:ind w:left="502"/>
        <w:rPr>
          <w:rFonts w:ascii="Arial" w:hAnsi="Arial" w:cs="Arial"/>
          <w:sz w:val="18"/>
          <w:szCs w:val="18"/>
        </w:rPr>
      </w:pPr>
      <w:r w:rsidRPr="00F90F17">
        <w:rPr>
          <w:rFonts w:ascii="Arial" w:hAnsi="Arial" w:cs="Arial"/>
          <w:sz w:val="18"/>
          <w:szCs w:val="18"/>
        </w:rPr>
        <w:t>IHPA’s primary function is to produce</w:t>
      </w:r>
      <w:r w:rsidR="00192376">
        <w:rPr>
          <w:rFonts w:ascii="Arial" w:hAnsi="Arial" w:cs="Arial"/>
          <w:sz w:val="18"/>
          <w:szCs w:val="18"/>
        </w:rPr>
        <w:t xml:space="preserve"> the NEP</w:t>
      </w:r>
      <w:r w:rsidR="00930D1C" w:rsidRPr="00F90F17">
        <w:rPr>
          <w:rFonts w:ascii="Arial" w:hAnsi="Arial" w:cs="Arial"/>
          <w:sz w:val="18"/>
          <w:szCs w:val="18"/>
        </w:rPr>
        <w:t xml:space="preserve"> Determination and the national efficient cost (NEC) D</w:t>
      </w:r>
      <w:r w:rsidRPr="00F90F17">
        <w:rPr>
          <w:rFonts w:ascii="Arial" w:hAnsi="Arial" w:cs="Arial"/>
          <w:sz w:val="18"/>
          <w:szCs w:val="18"/>
        </w:rPr>
        <w:t xml:space="preserve">etermination each year. The Pricing Framework for Australian Public Hospital Services </w:t>
      </w:r>
      <w:r w:rsidR="00930D1C" w:rsidRPr="00F90F17">
        <w:rPr>
          <w:rFonts w:ascii="Arial" w:hAnsi="Arial" w:cs="Arial"/>
          <w:sz w:val="18"/>
          <w:szCs w:val="18"/>
        </w:rPr>
        <w:t xml:space="preserve">(the Pricing Framework) </w:t>
      </w:r>
      <w:r w:rsidRPr="00F90F17">
        <w:rPr>
          <w:rFonts w:ascii="Arial" w:hAnsi="Arial" w:cs="Arial"/>
          <w:sz w:val="18"/>
          <w:szCs w:val="18"/>
        </w:rPr>
        <w:t xml:space="preserve">forms the policy basis for the Determinations. The Pricing Framework outlines the principles, scope and methodology to be adopted by IHPA in the setting of the </w:t>
      </w:r>
      <w:r w:rsidR="00930D1C" w:rsidRPr="00F90F17">
        <w:rPr>
          <w:rFonts w:ascii="Arial" w:hAnsi="Arial" w:cs="Arial"/>
          <w:sz w:val="18"/>
          <w:szCs w:val="18"/>
        </w:rPr>
        <w:t>NEP</w:t>
      </w:r>
      <w:r w:rsidRPr="00F90F17">
        <w:rPr>
          <w:rFonts w:ascii="Arial" w:hAnsi="Arial" w:cs="Arial"/>
          <w:sz w:val="18"/>
          <w:szCs w:val="18"/>
        </w:rPr>
        <w:t xml:space="preserve"> and </w:t>
      </w:r>
      <w:r w:rsidR="00930D1C" w:rsidRPr="00F90F17">
        <w:rPr>
          <w:rFonts w:ascii="Arial" w:hAnsi="Arial" w:cs="Arial"/>
          <w:sz w:val="18"/>
          <w:szCs w:val="18"/>
        </w:rPr>
        <w:t>NEC</w:t>
      </w:r>
      <w:r w:rsidRPr="00F90F17">
        <w:rPr>
          <w:rFonts w:ascii="Arial" w:hAnsi="Arial" w:cs="Arial"/>
          <w:sz w:val="18"/>
          <w:szCs w:val="18"/>
        </w:rPr>
        <w:t xml:space="preserve"> for public hospital services in the next financial year.</w:t>
      </w:r>
    </w:p>
    <w:p w14:paraId="3B5B165F" w14:textId="77777777" w:rsidR="00142C12" w:rsidRDefault="00142C12">
      <w:pPr>
        <w:rPr>
          <w:rFonts w:ascii="Arial" w:hAnsi="Arial" w:cs="Arial"/>
          <w:b/>
          <w:color w:val="7030A0"/>
          <w:sz w:val="18"/>
          <w:szCs w:val="18"/>
          <w:lang w:val="en-AU"/>
        </w:rPr>
      </w:pPr>
      <w:r>
        <w:rPr>
          <w:rFonts w:ascii="Arial" w:hAnsi="Arial" w:cs="Arial"/>
          <w:b/>
          <w:color w:val="7030A0"/>
          <w:sz w:val="18"/>
          <w:szCs w:val="18"/>
          <w:lang w:val="en-AU"/>
        </w:rPr>
        <w:br w:type="page"/>
      </w:r>
    </w:p>
    <w:p w14:paraId="139F95B1" w14:textId="71ED657B" w:rsidR="006E7666" w:rsidRPr="00233741" w:rsidRDefault="006E7666" w:rsidP="00233741">
      <w:pPr>
        <w:pStyle w:val="BodyText"/>
        <w:spacing w:after="160" w:line="276" w:lineRule="auto"/>
        <w:ind w:left="125" w:right="765" w:firstLine="377"/>
        <w:rPr>
          <w:rFonts w:ascii="Arial" w:eastAsiaTheme="minorHAnsi" w:hAnsi="Arial" w:cs="Arial"/>
          <w:b/>
          <w:color w:val="7030A0"/>
          <w:sz w:val="18"/>
          <w:szCs w:val="18"/>
          <w:lang w:val="en-AU"/>
        </w:rPr>
      </w:pPr>
      <w:r w:rsidRPr="00233741">
        <w:rPr>
          <w:rFonts w:ascii="Arial" w:eastAsiaTheme="minorHAnsi" w:hAnsi="Arial" w:cs="Arial"/>
          <w:b/>
          <w:color w:val="7030A0"/>
          <w:sz w:val="18"/>
          <w:szCs w:val="18"/>
          <w:lang w:val="en-AU"/>
        </w:rPr>
        <w:lastRenderedPageBreak/>
        <w:t>Refine and develop hospital activity classification systems</w:t>
      </w:r>
    </w:p>
    <w:p w14:paraId="6C3E5D9F" w14:textId="2248DB9D" w:rsidR="006E7666" w:rsidRDefault="006E7666" w:rsidP="00233741">
      <w:pPr>
        <w:pStyle w:val="BodyText"/>
        <w:spacing w:after="160" w:line="276" w:lineRule="auto"/>
        <w:ind w:left="502" w:right="765"/>
        <w:rPr>
          <w:rFonts w:ascii="Arial" w:hAnsi="Arial" w:cs="Arial"/>
          <w:sz w:val="18"/>
          <w:szCs w:val="18"/>
        </w:rPr>
      </w:pPr>
      <w:r w:rsidRPr="00233741">
        <w:rPr>
          <w:rFonts w:ascii="Arial" w:eastAsiaTheme="minorHAnsi" w:hAnsi="Arial" w:cs="Arial"/>
          <w:sz w:val="18"/>
          <w:szCs w:val="18"/>
          <w:lang w:val="en-AU"/>
        </w:rPr>
        <w:t>Activity based funding</w:t>
      </w:r>
      <w:r w:rsidR="00930D1C">
        <w:rPr>
          <w:rFonts w:ascii="Arial" w:eastAsiaTheme="minorHAnsi" w:hAnsi="Arial" w:cs="Arial"/>
          <w:sz w:val="18"/>
          <w:szCs w:val="18"/>
          <w:lang w:val="en-AU"/>
        </w:rPr>
        <w:t xml:space="preserve"> (ABF)</w:t>
      </w:r>
      <w:r w:rsidRPr="00233741">
        <w:rPr>
          <w:rFonts w:ascii="Arial" w:eastAsiaTheme="minorHAnsi" w:hAnsi="Arial" w:cs="Arial"/>
          <w:sz w:val="18"/>
          <w:szCs w:val="18"/>
          <w:lang w:val="en-AU"/>
        </w:rPr>
        <w:t xml:space="preserve"> requires robust classification systems on which pricing can be based. Classifications aim to</w:t>
      </w:r>
      <w:r w:rsidRPr="006E7666">
        <w:rPr>
          <w:rFonts w:ascii="Arial" w:hAnsi="Arial" w:cs="Arial"/>
          <w:sz w:val="18"/>
          <w:szCs w:val="18"/>
        </w:rPr>
        <w:t xml:space="preserve"> provide the healthcare sector with a nationally consistent method of classifying all types of patients, their treatment, and associated costs. IHPA has already determined the national classification systems for public hospital services, including admitted acute, non</w:t>
      </w:r>
      <w:r w:rsidRPr="006E7666">
        <w:rPr>
          <w:rFonts w:ascii="Arial" w:hAnsi="Arial" w:cs="Arial"/>
          <w:sz w:val="18"/>
          <w:szCs w:val="18"/>
        </w:rPr>
        <w:noBreakHyphen/>
        <w:t>admitted, emergency, admitted subacute and non-acute, mental health care</w:t>
      </w:r>
      <w:r w:rsidR="003B6AB0">
        <w:rPr>
          <w:rFonts w:ascii="Arial" w:hAnsi="Arial" w:cs="Arial"/>
          <w:sz w:val="18"/>
          <w:szCs w:val="18"/>
        </w:rPr>
        <w:t xml:space="preserve"> and teaching and training</w:t>
      </w:r>
      <w:r w:rsidRPr="006E7666">
        <w:rPr>
          <w:rFonts w:ascii="Arial" w:hAnsi="Arial" w:cs="Arial"/>
          <w:sz w:val="18"/>
          <w:szCs w:val="18"/>
        </w:rPr>
        <w:t>. Classifications are reviewed regularly and updated periodically to ensure that they remain clinically relevant and resource homogeneous within a service category. Such modifications are based on robust statistical analysis and include specialist input from clinicians.</w:t>
      </w:r>
    </w:p>
    <w:p w14:paraId="2F9A910D" w14:textId="7C6B614B" w:rsidR="006E7666" w:rsidRPr="00233741" w:rsidRDefault="006E7666" w:rsidP="00233741">
      <w:pPr>
        <w:pStyle w:val="ListParagraph"/>
        <w:widowControl w:val="0"/>
        <w:autoSpaceDE w:val="0"/>
        <w:autoSpaceDN w:val="0"/>
        <w:spacing w:line="276" w:lineRule="auto"/>
        <w:ind w:left="502"/>
        <w:contextualSpacing w:val="0"/>
        <w:rPr>
          <w:rFonts w:ascii="Arial" w:hAnsi="Arial" w:cs="Arial"/>
          <w:b/>
          <w:color w:val="FE8C02"/>
          <w:sz w:val="18"/>
          <w:szCs w:val="18"/>
          <w:lang w:val="en-AU"/>
        </w:rPr>
      </w:pPr>
      <w:r w:rsidRPr="00233741">
        <w:rPr>
          <w:rFonts w:ascii="Arial" w:hAnsi="Arial" w:cs="Arial"/>
          <w:b/>
          <w:color w:val="FE8C02"/>
          <w:sz w:val="18"/>
          <w:szCs w:val="18"/>
          <w:lang w:val="en-AU"/>
        </w:rPr>
        <w:t>Refine and improve hospital costing</w:t>
      </w:r>
    </w:p>
    <w:p w14:paraId="57BB75F7" w14:textId="4B5F3FF1" w:rsidR="006E7666" w:rsidRPr="00233741" w:rsidRDefault="006E7666" w:rsidP="00233741">
      <w:pPr>
        <w:pStyle w:val="BodyText"/>
        <w:spacing w:after="160" w:line="276" w:lineRule="auto"/>
        <w:ind w:left="502" w:right="765"/>
        <w:rPr>
          <w:rFonts w:ascii="Arial" w:eastAsiaTheme="minorHAnsi" w:hAnsi="Arial" w:cs="Arial"/>
          <w:sz w:val="18"/>
          <w:szCs w:val="18"/>
          <w:lang w:val="en-AU"/>
        </w:rPr>
      </w:pPr>
      <w:r w:rsidRPr="006E7666">
        <w:rPr>
          <w:rFonts w:ascii="Arial" w:hAnsi="Arial" w:cs="Arial"/>
          <w:sz w:val="18"/>
          <w:szCs w:val="18"/>
        </w:rPr>
        <w:t xml:space="preserve">Hospital costing focuses on the cost and mix of resources used to deliver patient care, and plays a vital role in </w:t>
      </w:r>
      <w:r w:rsidR="00930D1C">
        <w:rPr>
          <w:rFonts w:ascii="Arial" w:hAnsi="Arial" w:cs="Arial"/>
          <w:sz w:val="18"/>
          <w:szCs w:val="18"/>
        </w:rPr>
        <w:t>ABF</w:t>
      </w:r>
      <w:r w:rsidRPr="006E7666">
        <w:rPr>
          <w:rFonts w:ascii="Arial" w:hAnsi="Arial" w:cs="Arial"/>
          <w:sz w:val="18"/>
          <w:szCs w:val="18"/>
        </w:rPr>
        <w:t xml:space="preserve">. Costing informs the development of classification systems and provides valuable information for pricing purposes. A key output for IHPA is to coordinate the annual National Hospital Cost Data Collection, which is the primary input into the </w:t>
      </w:r>
      <w:r w:rsidR="00930D1C">
        <w:rPr>
          <w:rFonts w:ascii="Arial" w:hAnsi="Arial" w:cs="Arial"/>
          <w:sz w:val="18"/>
          <w:szCs w:val="18"/>
        </w:rPr>
        <w:t>NEP</w:t>
      </w:r>
      <w:r w:rsidRPr="006E7666">
        <w:rPr>
          <w:rFonts w:ascii="Arial" w:hAnsi="Arial" w:cs="Arial"/>
          <w:sz w:val="18"/>
          <w:szCs w:val="18"/>
        </w:rPr>
        <w:t xml:space="preserve">. This includes the development of national costing standards, collection, validation, quality assurance, analysis and reporting, and benchmarking. The cost collection is undertaken in conjunction with </w:t>
      </w:r>
      <w:r w:rsidRPr="00233741">
        <w:rPr>
          <w:rFonts w:ascii="Arial" w:eastAsiaTheme="minorHAnsi" w:hAnsi="Arial" w:cs="Arial"/>
          <w:sz w:val="18"/>
          <w:szCs w:val="18"/>
          <w:lang w:val="en-AU"/>
        </w:rPr>
        <w:t>states and territories, and private hospitals.</w:t>
      </w:r>
    </w:p>
    <w:p w14:paraId="4DA96131" w14:textId="5E2382BA" w:rsidR="006E7666" w:rsidRPr="00233741" w:rsidRDefault="006E7666" w:rsidP="00142C12">
      <w:pPr>
        <w:ind w:firstLine="502"/>
        <w:rPr>
          <w:rFonts w:ascii="Arial" w:hAnsi="Arial" w:cs="Arial"/>
          <w:b/>
          <w:color w:val="00B0F0"/>
          <w:sz w:val="18"/>
          <w:szCs w:val="18"/>
          <w:lang w:val="en-AU"/>
        </w:rPr>
      </w:pPr>
      <w:r w:rsidRPr="00233741">
        <w:rPr>
          <w:rFonts w:ascii="Arial" w:hAnsi="Arial" w:cs="Arial"/>
          <w:b/>
          <w:color w:val="00B0F0"/>
          <w:sz w:val="18"/>
          <w:szCs w:val="18"/>
          <w:lang w:val="en-AU"/>
        </w:rPr>
        <w:t>Develop data requirements and collect hospital data</w:t>
      </w:r>
    </w:p>
    <w:p w14:paraId="7602742E" w14:textId="3A1E8B67" w:rsidR="006E7666" w:rsidRDefault="006E7666" w:rsidP="00233741">
      <w:pPr>
        <w:pStyle w:val="BodyText"/>
        <w:spacing w:after="160" w:line="276" w:lineRule="auto"/>
        <w:ind w:left="502" w:right="765"/>
        <w:rPr>
          <w:rFonts w:ascii="Arial" w:hAnsi="Arial" w:cs="Arial"/>
          <w:sz w:val="18"/>
          <w:szCs w:val="18"/>
        </w:rPr>
      </w:pPr>
      <w:r w:rsidRPr="006E7666">
        <w:rPr>
          <w:rFonts w:ascii="Arial" w:hAnsi="Arial" w:cs="Arial"/>
          <w:sz w:val="18"/>
          <w:szCs w:val="18"/>
        </w:rPr>
        <w:t xml:space="preserve">Timely, accurate and reliable public hospital data is vital to both the development of classifications for hospital services, and to determining the </w:t>
      </w:r>
      <w:r w:rsidR="00930D1C">
        <w:rPr>
          <w:rFonts w:ascii="Arial" w:hAnsi="Arial" w:cs="Arial"/>
          <w:sz w:val="18"/>
          <w:szCs w:val="18"/>
        </w:rPr>
        <w:t>NEP</w:t>
      </w:r>
      <w:r w:rsidRPr="006E7666">
        <w:rPr>
          <w:rFonts w:ascii="Arial" w:hAnsi="Arial" w:cs="Arial"/>
          <w:sz w:val="18"/>
          <w:szCs w:val="18"/>
        </w:rPr>
        <w:t xml:space="preserve"> of those services. IHPA has developed a rolling Three Year Data Plan to communicate to the </w:t>
      </w:r>
      <w:r w:rsidR="00327592">
        <w:rPr>
          <w:rFonts w:ascii="Arial" w:hAnsi="Arial" w:cs="Arial"/>
          <w:sz w:val="18"/>
          <w:szCs w:val="18"/>
        </w:rPr>
        <w:t>Commonwealth</w:t>
      </w:r>
      <w:r w:rsidRPr="006E7666">
        <w:rPr>
          <w:rFonts w:ascii="Arial" w:hAnsi="Arial" w:cs="Arial"/>
          <w:sz w:val="18"/>
          <w:szCs w:val="18"/>
        </w:rPr>
        <w:t xml:space="preserve"> Government and states and territories the data requirements, data standards and timelines that IHPA will use to collect data over the coming three years. To ensure greater transparency, IHPA publishes data compliance reports on a quarterly basis that indicate jurisdictional compliance with the specifications in the rolling Three Year Data Plan.</w:t>
      </w:r>
    </w:p>
    <w:p w14:paraId="573011AE" w14:textId="7E205451" w:rsidR="006E7666" w:rsidRPr="00233741" w:rsidRDefault="006E7666" w:rsidP="00233741">
      <w:pPr>
        <w:pStyle w:val="BodyText"/>
        <w:spacing w:after="160" w:line="276" w:lineRule="auto"/>
        <w:ind w:left="502" w:right="765"/>
        <w:rPr>
          <w:rFonts w:ascii="Arial" w:hAnsi="Arial" w:cs="Arial"/>
          <w:b/>
          <w:color w:val="92D050"/>
          <w:sz w:val="18"/>
          <w:szCs w:val="18"/>
          <w:lang w:val="en-AU"/>
        </w:rPr>
      </w:pPr>
      <w:r w:rsidRPr="00233741">
        <w:rPr>
          <w:rFonts w:ascii="Arial" w:hAnsi="Arial" w:cs="Arial"/>
          <w:b/>
          <w:color w:val="92D050"/>
          <w:sz w:val="18"/>
          <w:szCs w:val="18"/>
          <w:lang w:val="en-AU"/>
        </w:rPr>
        <w:t>Resolve disputes on cost-shifting and cross-border issues</w:t>
      </w:r>
    </w:p>
    <w:p w14:paraId="6A231B8C" w14:textId="2F3B87E3" w:rsidR="006E7666" w:rsidRDefault="006E7666" w:rsidP="00233741">
      <w:pPr>
        <w:pStyle w:val="BodyText"/>
        <w:spacing w:after="160" w:line="276" w:lineRule="auto"/>
        <w:ind w:left="502" w:right="765"/>
        <w:rPr>
          <w:rFonts w:ascii="Arial" w:hAnsi="Arial" w:cs="Arial"/>
          <w:sz w:val="18"/>
          <w:szCs w:val="18"/>
        </w:rPr>
      </w:pPr>
      <w:r w:rsidRPr="006E7666">
        <w:rPr>
          <w:rFonts w:ascii="Arial" w:hAnsi="Arial" w:cs="Arial"/>
          <w:sz w:val="18"/>
          <w:szCs w:val="18"/>
        </w:rPr>
        <w:t>IHPA has a role to investigate and make recommendations concerning cross-border disputes between states and territories, and to make assessments</w:t>
      </w:r>
      <w:r w:rsidR="00930D1C">
        <w:rPr>
          <w:rFonts w:ascii="Arial" w:hAnsi="Arial" w:cs="Arial"/>
          <w:sz w:val="18"/>
          <w:szCs w:val="18"/>
        </w:rPr>
        <w:t xml:space="preserve"> of</w:t>
      </w:r>
      <w:r w:rsidRPr="006E7666">
        <w:rPr>
          <w:rFonts w:ascii="Arial" w:hAnsi="Arial" w:cs="Arial"/>
          <w:sz w:val="18"/>
          <w:szCs w:val="18"/>
        </w:rPr>
        <w:t xml:space="preserve"> cost</w:t>
      </w:r>
      <w:r w:rsidRPr="006E7666">
        <w:rPr>
          <w:rFonts w:ascii="Arial" w:hAnsi="Arial" w:cs="Arial"/>
          <w:sz w:val="18"/>
          <w:szCs w:val="18"/>
        </w:rPr>
        <w:noBreakHyphen/>
        <w:t>shifting disputes.</w:t>
      </w:r>
    </w:p>
    <w:p w14:paraId="5FE4B3CE" w14:textId="262EBC39" w:rsidR="006E7666" w:rsidRPr="00233741" w:rsidRDefault="006E7666" w:rsidP="00233741">
      <w:pPr>
        <w:pStyle w:val="BodyText"/>
        <w:spacing w:after="160" w:line="276" w:lineRule="auto"/>
        <w:ind w:left="502" w:right="765"/>
        <w:rPr>
          <w:rFonts w:ascii="Arial" w:hAnsi="Arial" w:cs="Arial"/>
          <w:b/>
          <w:color w:val="004500" w:themeColor="accent2" w:themeShade="80"/>
          <w:sz w:val="18"/>
          <w:szCs w:val="18"/>
          <w:lang w:val="en-AU"/>
        </w:rPr>
      </w:pPr>
      <w:r w:rsidRPr="00233741">
        <w:rPr>
          <w:rFonts w:ascii="Arial" w:hAnsi="Arial" w:cs="Arial"/>
          <w:b/>
          <w:color w:val="004500" w:themeColor="accent2" w:themeShade="80"/>
          <w:sz w:val="18"/>
          <w:szCs w:val="18"/>
          <w:lang w:val="en-AU"/>
        </w:rPr>
        <w:t>Conduct independent and transparent decision-making and engage with stakeholders</w:t>
      </w:r>
    </w:p>
    <w:p w14:paraId="2F80F780" w14:textId="65DE5665" w:rsidR="000F10D9" w:rsidRDefault="006E7666" w:rsidP="00233741">
      <w:pPr>
        <w:pStyle w:val="ListParagraph"/>
        <w:spacing w:line="276" w:lineRule="auto"/>
        <w:ind w:left="502"/>
        <w:rPr>
          <w:rFonts w:ascii="Arial" w:hAnsi="Arial" w:cs="Arial"/>
          <w:sz w:val="18"/>
          <w:szCs w:val="18"/>
        </w:rPr>
      </w:pPr>
      <w:r w:rsidRPr="006E7666">
        <w:rPr>
          <w:rFonts w:ascii="Arial" w:hAnsi="Arial" w:cs="Arial"/>
          <w:sz w:val="18"/>
          <w:szCs w:val="18"/>
        </w:rPr>
        <w:t xml:space="preserve">IHPA works in partnership with the </w:t>
      </w:r>
      <w:r w:rsidR="00327592">
        <w:rPr>
          <w:rFonts w:ascii="Arial" w:hAnsi="Arial" w:cs="Arial"/>
          <w:sz w:val="18"/>
          <w:szCs w:val="18"/>
        </w:rPr>
        <w:t>Commonwealth</w:t>
      </w:r>
      <w:r w:rsidRPr="006E7666">
        <w:rPr>
          <w:rFonts w:ascii="Arial" w:hAnsi="Arial" w:cs="Arial"/>
          <w:sz w:val="18"/>
          <w:szCs w:val="18"/>
        </w:rPr>
        <w:t xml:space="preserve"> Government, state and territory governments and other stakeholders. IHPA conducts its work independently from governments, which allows the agency to deliver impartial, evidence</w:t>
      </w:r>
      <w:r w:rsidRPr="006E7666">
        <w:rPr>
          <w:rFonts w:ascii="Arial" w:hAnsi="Arial" w:cs="Arial"/>
          <w:sz w:val="18"/>
          <w:szCs w:val="18"/>
        </w:rPr>
        <w:noBreakHyphen/>
        <w:t>based decisions. It is transparent in its decision</w:t>
      </w:r>
      <w:r w:rsidRPr="006E7666">
        <w:rPr>
          <w:rFonts w:ascii="Arial" w:hAnsi="Arial" w:cs="Arial"/>
          <w:sz w:val="18"/>
          <w:szCs w:val="18"/>
        </w:rPr>
        <w:noBreakHyphen/>
        <w:t>making processes, and consults extensively across the health industry. Extensive consultation with governments and stakeholders informs the methodology that underpins IHPA’s decisions and work program. IHPA has a formal consultation framework in place, to ensure that it draws on an extensive range of expertise in undertaking its functions. Input from stakeholders, through IHPA’s multiple committees and working groups, ensures that IHPA’s work is informed by expert clinical advice, which helps to establish and consolidate IHPA’s credibility throughout the industry.</w:t>
      </w:r>
    </w:p>
    <w:p w14:paraId="33DE62BF" w14:textId="77777777" w:rsidR="000E4E32" w:rsidRDefault="000E4E32" w:rsidP="000E4E32">
      <w:pPr>
        <w:pStyle w:val="Heading2"/>
      </w:pPr>
      <w:bookmarkStart w:id="12" w:name="_Toc55974109"/>
      <w:r>
        <w:t xml:space="preserve">1.4 </w:t>
      </w:r>
      <w:r w:rsidRPr="005849A1">
        <w:t>Review</w:t>
      </w:r>
      <w:bookmarkEnd w:id="12"/>
    </w:p>
    <w:p w14:paraId="757F0480" w14:textId="6ED41CEA" w:rsidR="000E4E32" w:rsidRPr="00184487" w:rsidRDefault="003D2DE6" w:rsidP="000E4E32">
      <w:pPr>
        <w:pStyle w:val="Body"/>
        <w:rPr>
          <w:color w:val="auto"/>
        </w:rPr>
      </w:pPr>
      <w:r>
        <w:t>IHPA Work Program and Corporate Plan</w:t>
      </w:r>
      <w:r w:rsidRPr="00233741">
        <w:t xml:space="preserve"> </w:t>
      </w:r>
      <w:r w:rsidR="000E4E32" w:rsidRPr="00184487">
        <w:rPr>
          <w:color w:val="auto"/>
        </w:rPr>
        <w:t xml:space="preserve">is revised and published each financial year. </w:t>
      </w:r>
    </w:p>
    <w:p w14:paraId="6197AC1A" w14:textId="6413A562" w:rsidR="000E4E32" w:rsidRPr="00184487" w:rsidRDefault="000E4E32" w:rsidP="00184487">
      <w:pPr>
        <w:spacing w:line="276" w:lineRule="auto"/>
        <w:rPr>
          <w:rFonts w:ascii="Arial" w:hAnsi="Arial" w:cs="Arial"/>
          <w:sz w:val="18"/>
          <w:szCs w:val="18"/>
        </w:rPr>
      </w:pPr>
      <w:r w:rsidRPr="00184487">
        <w:rPr>
          <w:rFonts w:ascii="Arial" w:hAnsi="Arial" w:cs="Arial"/>
          <w:sz w:val="18"/>
          <w:szCs w:val="18"/>
        </w:rPr>
        <w:t xml:space="preserve">At the end of each financial year, IHPA evaluates its performance against the </w:t>
      </w:r>
      <w:r w:rsidR="003D2DE6">
        <w:rPr>
          <w:rFonts w:ascii="Arial" w:hAnsi="Arial" w:cs="Arial"/>
          <w:sz w:val="18"/>
          <w:szCs w:val="18"/>
        </w:rPr>
        <w:t>Work Program and Corporate Plan</w:t>
      </w:r>
      <w:r w:rsidRPr="00184487">
        <w:rPr>
          <w:rFonts w:ascii="Arial" w:hAnsi="Arial" w:cs="Arial"/>
          <w:sz w:val="18"/>
          <w:szCs w:val="18"/>
        </w:rPr>
        <w:t>, the results of which are included within the IHPA Annual Report. All IHPA Annual Reports are publicly available on IHPA’s website.</w:t>
      </w:r>
    </w:p>
    <w:p w14:paraId="139E89C0" w14:textId="53C7BAB1" w:rsidR="000E4E32" w:rsidRDefault="000E4E32" w:rsidP="00233741">
      <w:pPr>
        <w:pStyle w:val="ListParagraph"/>
        <w:spacing w:line="276" w:lineRule="auto"/>
        <w:ind w:left="502"/>
        <w:rPr>
          <w:rFonts w:ascii="Arial" w:hAnsi="Arial" w:cs="Arial"/>
          <w:sz w:val="18"/>
          <w:szCs w:val="18"/>
        </w:rPr>
      </w:pPr>
    </w:p>
    <w:p w14:paraId="3051F7FC" w14:textId="329CACDA" w:rsidR="00610BE1" w:rsidRDefault="00610BE1" w:rsidP="00233741">
      <w:pPr>
        <w:pStyle w:val="ListParagraph"/>
        <w:spacing w:line="276" w:lineRule="auto"/>
        <w:ind w:left="502"/>
        <w:rPr>
          <w:rFonts w:ascii="Arial" w:hAnsi="Arial" w:cs="Arial"/>
          <w:sz w:val="18"/>
          <w:szCs w:val="18"/>
        </w:rPr>
      </w:pPr>
    </w:p>
    <w:p w14:paraId="52B21DAB" w14:textId="77777777" w:rsidR="00610BE1" w:rsidRPr="00610BE1" w:rsidRDefault="00610BE1" w:rsidP="00610BE1"/>
    <w:p w14:paraId="414EC76A" w14:textId="77777777" w:rsidR="00610BE1" w:rsidRPr="00610BE1" w:rsidRDefault="00610BE1" w:rsidP="00610BE1"/>
    <w:p w14:paraId="218DEF20" w14:textId="77777777" w:rsidR="00610BE1" w:rsidRPr="00610BE1" w:rsidRDefault="00610BE1" w:rsidP="00610BE1"/>
    <w:p w14:paraId="3F9FEE27" w14:textId="696B1F2D" w:rsidR="00610BE1" w:rsidRDefault="00610BE1" w:rsidP="00610BE1">
      <w:pPr>
        <w:tabs>
          <w:tab w:val="left" w:pos="6380"/>
        </w:tabs>
      </w:pPr>
      <w:r>
        <w:tab/>
      </w:r>
    </w:p>
    <w:p w14:paraId="65EC4E9C" w14:textId="72538741" w:rsidR="00610BE1" w:rsidRDefault="00610BE1" w:rsidP="00610BE1"/>
    <w:p w14:paraId="0978C466" w14:textId="77777777" w:rsidR="00B37BD2" w:rsidRPr="00AC14AD" w:rsidRDefault="00B37BD2" w:rsidP="00AC14AD">
      <w:pPr>
        <w:sectPr w:rsidR="00B37BD2" w:rsidRPr="00AC14AD" w:rsidSect="00551117">
          <w:headerReference w:type="even" r:id="rId29"/>
          <w:headerReference w:type="default" r:id="rId30"/>
          <w:headerReference w:type="first" r:id="rId31"/>
          <w:footerReference w:type="first" r:id="rId32"/>
          <w:pgSz w:w="11906" w:h="16838" w:code="9"/>
          <w:pgMar w:top="907" w:right="907" w:bottom="907" w:left="907" w:header="709" w:footer="278" w:gutter="0"/>
          <w:cols w:space="708"/>
          <w:titlePg/>
          <w:docGrid w:linePitch="360"/>
        </w:sectPr>
      </w:pPr>
    </w:p>
    <w:p w14:paraId="104E4D9F" w14:textId="05779B8B" w:rsidR="00BA4A46" w:rsidRPr="00233741" w:rsidRDefault="00241EF6" w:rsidP="00836334">
      <w:pPr>
        <w:pStyle w:val="Heading1"/>
      </w:pPr>
      <w:bookmarkStart w:id="13" w:name="_Toc55044575"/>
      <w:bookmarkStart w:id="14" w:name="_Toc55974110"/>
      <w:r>
        <w:lastRenderedPageBreak/>
        <w:t>2</w:t>
      </w:r>
      <w:r w:rsidR="00836334">
        <w:t>.</w:t>
      </w:r>
      <w:r w:rsidR="000F10D9">
        <w:t xml:space="preserve"> </w:t>
      </w:r>
      <w:r w:rsidR="00BA4A46" w:rsidRPr="00836334">
        <w:t xml:space="preserve">Key </w:t>
      </w:r>
      <w:r w:rsidR="00BA4A46" w:rsidRPr="00233741">
        <w:t>activities</w:t>
      </w:r>
      <w:bookmarkEnd w:id="13"/>
      <w:bookmarkEnd w:id="14"/>
    </w:p>
    <w:p w14:paraId="637EF3DD" w14:textId="17BE356B" w:rsidR="007918BB" w:rsidRDefault="007918BB" w:rsidP="002740E7">
      <w:pPr>
        <w:pStyle w:val="Body"/>
        <w:rPr>
          <w:color w:val="auto"/>
        </w:rPr>
      </w:pPr>
      <w:r w:rsidRPr="00BA4A46">
        <w:rPr>
          <w:color w:val="auto"/>
        </w:rPr>
        <w:t xml:space="preserve">Each strategic objective has key </w:t>
      </w:r>
      <w:r>
        <w:rPr>
          <w:color w:val="auto"/>
        </w:rPr>
        <w:t>activities</w:t>
      </w:r>
      <w:r w:rsidRPr="00BA4A46">
        <w:rPr>
          <w:color w:val="auto"/>
        </w:rPr>
        <w:t xml:space="preserve"> </w:t>
      </w:r>
      <w:r w:rsidR="009549D8">
        <w:rPr>
          <w:color w:val="auto"/>
        </w:rPr>
        <w:t>which</w:t>
      </w:r>
      <w:r w:rsidR="00EE37FF">
        <w:rPr>
          <w:color w:val="auto"/>
        </w:rPr>
        <w:t xml:space="preserve"> are </w:t>
      </w:r>
      <w:r w:rsidRPr="00BA4A46">
        <w:rPr>
          <w:color w:val="auto"/>
        </w:rPr>
        <w:t xml:space="preserve">developed </w:t>
      </w:r>
      <w:r w:rsidR="00A62E3A">
        <w:rPr>
          <w:color w:val="auto"/>
        </w:rPr>
        <w:t>each year</w:t>
      </w:r>
      <w:r w:rsidR="003171DA">
        <w:rPr>
          <w:color w:val="auto"/>
        </w:rPr>
        <w:t xml:space="preserve">. </w:t>
      </w:r>
      <w:r w:rsidRPr="00BA4A46">
        <w:rPr>
          <w:color w:val="auto"/>
        </w:rPr>
        <w:t xml:space="preserve">The </w:t>
      </w:r>
      <w:r>
        <w:rPr>
          <w:color w:val="auto"/>
        </w:rPr>
        <w:t xml:space="preserve">key activities </w:t>
      </w:r>
      <w:r w:rsidRPr="00BA4A46">
        <w:rPr>
          <w:color w:val="auto"/>
        </w:rPr>
        <w:t>are detailed below.</w:t>
      </w:r>
    </w:p>
    <w:p w14:paraId="0D622CE9" w14:textId="19CF1CC2" w:rsidR="000671C0" w:rsidRPr="0030557D" w:rsidRDefault="00F135FB" w:rsidP="0030557D">
      <w:pPr>
        <w:pStyle w:val="Heading1"/>
        <w:spacing w:before="360" w:after="160" w:line="240" w:lineRule="auto"/>
        <w:rPr>
          <w:color w:val="C00046"/>
          <w:sz w:val="36"/>
          <w:szCs w:val="36"/>
        </w:rPr>
      </w:pPr>
      <w:bookmarkStart w:id="15" w:name="_Toc55974111"/>
      <w:r w:rsidRPr="0030557D">
        <w:rPr>
          <w:color w:val="C00046"/>
          <w:sz w:val="36"/>
          <w:szCs w:val="36"/>
        </w:rPr>
        <w:t>Strategic Objective One: Perform Pricing Functions</w:t>
      </w:r>
      <w:bookmarkEnd w:id="15"/>
    </w:p>
    <w:p w14:paraId="229D43D2" w14:textId="6244FFBF" w:rsidR="00B8138A" w:rsidRPr="00B07DA3" w:rsidRDefault="00B8138A" w:rsidP="00AD75B9">
      <w:pPr>
        <w:pStyle w:val="Heading2"/>
        <w:rPr>
          <w:sz w:val="18"/>
          <w:szCs w:val="18"/>
        </w:rPr>
      </w:pPr>
      <w:bookmarkStart w:id="16" w:name="_Toc55053982"/>
      <w:bookmarkStart w:id="17" w:name="_Toc55237203"/>
      <w:bookmarkStart w:id="18" w:name="_Toc55237768"/>
      <w:bookmarkStart w:id="19" w:name="_Toc55238294"/>
      <w:bookmarkStart w:id="20" w:name="_Toc55974112"/>
      <w:r w:rsidRPr="00B07DA3">
        <w:rPr>
          <w:rFonts w:ascii="Arial" w:hAnsi="Arial"/>
          <w:b/>
          <w:color w:val="262626" w:themeColor="text1" w:themeTint="D9"/>
          <w:sz w:val="18"/>
          <w:szCs w:val="18"/>
        </w:rPr>
        <w:t>(</w:t>
      </w:r>
      <w:r w:rsidRPr="00B07DA3">
        <w:rPr>
          <w:sz w:val="18"/>
          <w:szCs w:val="18"/>
        </w:rPr>
        <w:t>a)</w:t>
      </w:r>
      <w:r w:rsidR="00702100" w:rsidRPr="00B07DA3">
        <w:rPr>
          <w:sz w:val="18"/>
          <w:szCs w:val="18"/>
        </w:rPr>
        <w:tab/>
      </w:r>
      <w:r w:rsidR="003C75CD" w:rsidRPr="00B07DA3">
        <w:rPr>
          <w:sz w:val="18"/>
          <w:szCs w:val="18"/>
        </w:rPr>
        <w:t>Development of the Pricing Framework for Australian Public Hospital Services 202</w:t>
      </w:r>
      <w:r w:rsidR="0078011A" w:rsidRPr="00B07DA3">
        <w:rPr>
          <w:sz w:val="18"/>
          <w:szCs w:val="18"/>
        </w:rPr>
        <w:t>2</w:t>
      </w:r>
      <w:r w:rsidR="003C75CD" w:rsidRPr="00B07DA3">
        <w:rPr>
          <w:sz w:val="18"/>
          <w:szCs w:val="18"/>
        </w:rPr>
        <w:t>–2</w:t>
      </w:r>
      <w:r w:rsidR="0078011A" w:rsidRPr="00B07DA3">
        <w:rPr>
          <w:sz w:val="18"/>
          <w:szCs w:val="18"/>
        </w:rPr>
        <w:t>3</w:t>
      </w:r>
      <w:bookmarkEnd w:id="16"/>
      <w:bookmarkEnd w:id="17"/>
      <w:bookmarkEnd w:id="18"/>
      <w:bookmarkEnd w:id="19"/>
      <w:bookmarkEnd w:id="20"/>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430"/>
        <w:gridCol w:w="2662"/>
      </w:tblGrid>
      <w:tr w:rsidR="009D7F61" w:rsidRPr="00F135FB" w14:paraId="16B60E73" w14:textId="77777777" w:rsidTr="00837B80">
        <w:tc>
          <w:tcPr>
            <w:tcW w:w="3681" w:type="pct"/>
            <w:tcBorders>
              <w:top w:val="nil"/>
              <w:bottom w:val="nil"/>
            </w:tcBorders>
            <w:shd w:val="clear" w:color="auto" w:fill="C40B46"/>
            <w:vAlign w:val="center"/>
          </w:tcPr>
          <w:p w14:paraId="063F962D" w14:textId="77777777" w:rsidR="009D7F61" w:rsidRPr="00B07DA3" w:rsidRDefault="009D7F61" w:rsidP="009D7F61">
            <w:pPr>
              <w:pStyle w:val="TableHeading"/>
              <w:rPr>
                <w:sz w:val="18"/>
                <w:szCs w:val="18"/>
              </w:rPr>
            </w:pPr>
            <w:r w:rsidRPr="00B07DA3">
              <w:rPr>
                <w:sz w:val="18"/>
                <w:szCs w:val="18"/>
              </w:rPr>
              <w:t>DELIVERABLES</w:t>
            </w:r>
          </w:p>
        </w:tc>
        <w:tc>
          <w:tcPr>
            <w:tcW w:w="1319" w:type="pct"/>
            <w:tcBorders>
              <w:top w:val="nil"/>
              <w:bottom w:val="nil"/>
            </w:tcBorders>
            <w:shd w:val="clear" w:color="auto" w:fill="C40B46"/>
            <w:vAlign w:val="center"/>
          </w:tcPr>
          <w:p w14:paraId="5070E961" w14:textId="77777777" w:rsidR="009D7F61" w:rsidRPr="00B07DA3" w:rsidRDefault="009D7F61" w:rsidP="009D7F61">
            <w:pPr>
              <w:pStyle w:val="TableHeading"/>
              <w:rPr>
                <w:sz w:val="18"/>
                <w:szCs w:val="18"/>
              </w:rPr>
            </w:pPr>
            <w:r w:rsidRPr="00B07DA3">
              <w:rPr>
                <w:sz w:val="18"/>
                <w:szCs w:val="18"/>
              </w:rPr>
              <w:t>TIMEFRAME</w:t>
            </w:r>
          </w:p>
        </w:tc>
      </w:tr>
      <w:tr w:rsidR="009D7F61" w14:paraId="2EDDA53A" w14:textId="77777777" w:rsidTr="00837B80">
        <w:trPr>
          <w:trHeight w:val="510"/>
        </w:trPr>
        <w:tc>
          <w:tcPr>
            <w:tcW w:w="3681" w:type="pct"/>
            <w:tcBorders>
              <w:top w:val="nil"/>
            </w:tcBorders>
          </w:tcPr>
          <w:p w14:paraId="61550DF1" w14:textId="0B40F304" w:rsidR="009D7F61" w:rsidRDefault="009D7F61" w:rsidP="00763105">
            <w:pPr>
              <w:pStyle w:val="Body"/>
            </w:pPr>
            <w:r w:rsidRPr="009D7F61">
              <w:t xml:space="preserve">Completion of public submission process for the </w:t>
            </w:r>
            <w:r w:rsidRPr="004157ED">
              <w:rPr>
                <w:i/>
              </w:rPr>
              <w:t>Pricing Framework for Australian Public Hospital Services 202</w:t>
            </w:r>
            <w:r w:rsidR="0078011A">
              <w:rPr>
                <w:i/>
              </w:rPr>
              <w:t>2</w:t>
            </w:r>
            <w:r w:rsidRPr="004157ED">
              <w:rPr>
                <w:i/>
              </w:rPr>
              <w:t>–2</w:t>
            </w:r>
            <w:r w:rsidR="0078011A">
              <w:rPr>
                <w:i/>
              </w:rPr>
              <w:t>3</w:t>
            </w:r>
            <w:r w:rsidRPr="009D7F61">
              <w:t>.</w:t>
            </w:r>
          </w:p>
        </w:tc>
        <w:tc>
          <w:tcPr>
            <w:tcW w:w="1319" w:type="pct"/>
            <w:tcBorders>
              <w:top w:val="nil"/>
            </w:tcBorders>
          </w:tcPr>
          <w:p w14:paraId="1704D149" w14:textId="58388CFE" w:rsidR="009D7F61" w:rsidRDefault="002A6E3E" w:rsidP="00763105">
            <w:pPr>
              <w:pStyle w:val="Body"/>
            </w:pPr>
            <w:r>
              <w:t>July</w:t>
            </w:r>
            <w:r w:rsidRPr="009D7F61">
              <w:t xml:space="preserve"> </w:t>
            </w:r>
            <w:r w:rsidR="009D7F61" w:rsidRPr="009D7F61">
              <w:t>20</w:t>
            </w:r>
            <w:r w:rsidR="00763105">
              <w:t>2</w:t>
            </w:r>
            <w:r w:rsidR="0078011A">
              <w:t>1</w:t>
            </w:r>
          </w:p>
        </w:tc>
      </w:tr>
      <w:tr w:rsidR="009D7F61" w14:paraId="4A71DF54" w14:textId="77777777" w:rsidTr="00837B80">
        <w:trPr>
          <w:trHeight w:val="510"/>
        </w:trPr>
        <w:tc>
          <w:tcPr>
            <w:tcW w:w="3681" w:type="pct"/>
            <w:tcBorders>
              <w:bottom w:val="single" w:sz="4" w:space="0" w:color="auto"/>
            </w:tcBorders>
          </w:tcPr>
          <w:p w14:paraId="08187565" w14:textId="536EEF79" w:rsidR="009D7F61" w:rsidRDefault="009D7F61" w:rsidP="00763105">
            <w:pPr>
              <w:pStyle w:val="Body"/>
            </w:pPr>
            <w:r w:rsidRPr="009D7F61">
              <w:t xml:space="preserve">Provision of the draft </w:t>
            </w:r>
            <w:r w:rsidRPr="004157ED">
              <w:rPr>
                <w:i/>
              </w:rPr>
              <w:t>Pricing Framework for Australian Public Hospital Services 202</w:t>
            </w:r>
            <w:r w:rsidR="00300B00">
              <w:rPr>
                <w:i/>
              </w:rPr>
              <w:t>2</w:t>
            </w:r>
            <w:r w:rsidRPr="004157ED">
              <w:rPr>
                <w:i/>
              </w:rPr>
              <w:t>–2</w:t>
            </w:r>
            <w:r w:rsidR="00300B00">
              <w:rPr>
                <w:i/>
              </w:rPr>
              <w:t>3</w:t>
            </w:r>
            <w:r w:rsidRPr="009D7F61">
              <w:t xml:space="preserve"> to health ministers for</w:t>
            </w:r>
            <w:r w:rsidR="00DB4CE1">
              <w:t xml:space="preserve"> a</w:t>
            </w:r>
            <w:r w:rsidR="00117196">
              <w:t xml:space="preserve"> 45-</w:t>
            </w:r>
            <w:r w:rsidRPr="009D7F61">
              <w:t>day comment period.</w:t>
            </w:r>
          </w:p>
        </w:tc>
        <w:tc>
          <w:tcPr>
            <w:tcW w:w="1319" w:type="pct"/>
            <w:tcBorders>
              <w:bottom w:val="single" w:sz="4" w:space="0" w:color="auto"/>
            </w:tcBorders>
          </w:tcPr>
          <w:p w14:paraId="2D5C5692" w14:textId="062494A5" w:rsidR="009D7F61" w:rsidRDefault="00AC4D61" w:rsidP="00763105">
            <w:pPr>
              <w:pStyle w:val="Body"/>
            </w:pPr>
            <w:r>
              <w:t>September</w:t>
            </w:r>
            <w:r w:rsidRPr="009D7F61">
              <w:t xml:space="preserve"> </w:t>
            </w:r>
            <w:r w:rsidR="009D7F61" w:rsidRPr="009D7F61">
              <w:t>20</w:t>
            </w:r>
            <w:r w:rsidR="00763105">
              <w:t>2</w:t>
            </w:r>
            <w:r w:rsidR="00300B00">
              <w:t>1</w:t>
            </w:r>
          </w:p>
        </w:tc>
      </w:tr>
      <w:tr w:rsidR="009D7F61" w14:paraId="1DA30ADB" w14:textId="77777777" w:rsidTr="00837B80">
        <w:trPr>
          <w:trHeight w:val="510"/>
        </w:trPr>
        <w:tc>
          <w:tcPr>
            <w:tcW w:w="3681" w:type="pct"/>
            <w:tcBorders>
              <w:top w:val="single" w:sz="4" w:space="0" w:color="auto"/>
              <w:bottom w:val="single" w:sz="4" w:space="0" w:color="auto"/>
            </w:tcBorders>
          </w:tcPr>
          <w:p w14:paraId="0D916D83" w14:textId="2C7E28D4" w:rsidR="009D7F61" w:rsidRDefault="009D7F61" w:rsidP="008E1D67">
            <w:pPr>
              <w:pStyle w:val="Body"/>
            </w:pPr>
            <w:r w:rsidRPr="009D7F61">
              <w:t xml:space="preserve">Publication of the final </w:t>
            </w:r>
            <w:r w:rsidRPr="004157ED">
              <w:rPr>
                <w:i/>
              </w:rPr>
              <w:t>Pricing Framework for Australian Public Hospital Services 202</w:t>
            </w:r>
            <w:r w:rsidR="00300B00">
              <w:rPr>
                <w:i/>
              </w:rPr>
              <w:t>2</w:t>
            </w:r>
            <w:r w:rsidRPr="004157ED">
              <w:rPr>
                <w:i/>
              </w:rPr>
              <w:t>–2</w:t>
            </w:r>
            <w:r w:rsidR="00300B00">
              <w:rPr>
                <w:i/>
              </w:rPr>
              <w:t>3</w:t>
            </w:r>
            <w:r w:rsidRPr="009D7F61">
              <w:t xml:space="preserve"> on </w:t>
            </w:r>
            <w:r w:rsidR="008E1D67">
              <w:t xml:space="preserve">the </w:t>
            </w:r>
            <w:r w:rsidRPr="009D7F61">
              <w:t>IHPA website.</w:t>
            </w:r>
          </w:p>
        </w:tc>
        <w:tc>
          <w:tcPr>
            <w:tcW w:w="1319" w:type="pct"/>
            <w:tcBorders>
              <w:top w:val="single" w:sz="4" w:space="0" w:color="auto"/>
              <w:bottom w:val="single" w:sz="4" w:space="0" w:color="auto"/>
            </w:tcBorders>
          </w:tcPr>
          <w:p w14:paraId="1F2305D2" w14:textId="0AE9F97D" w:rsidR="009D7F61" w:rsidRDefault="002A6E3E" w:rsidP="007C28D2">
            <w:pPr>
              <w:pStyle w:val="Body"/>
            </w:pPr>
            <w:r>
              <w:t>December</w:t>
            </w:r>
            <w:r w:rsidR="009C578E">
              <w:t xml:space="preserve"> </w:t>
            </w:r>
            <w:r w:rsidR="009D7F61" w:rsidRPr="009D7F61">
              <w:t>20</w:t>
            </w:r>
            <w:r w:rsidR="005E5417">
              <w:t>2</w:t>
            </w:r>
            <w:r>
              <w:t>1</w:t>
            </w:r>
          </w:p>
        </w:tc>
      </w:tr>
    </w:tbl>
    <w:p w14:paraId="702CAE2A" w14:textId="77777777" w:rsidR="00BA4A46" w:rsidRDefault="00BA4A46" w:rsidP="00764CDE">
      <w:pPr>
        <w:pStyle w:val="IntroBody"/>
        <w:rPr>
          <w:b w:val="0"/>
        </w:rPr>
      </w:pPr>
    </w:p>
    <w:p w14:paraId="3B3108DF" w14:textId="113C1EDA" w:rsidR="009D7F61" w:rsidRPr="00C23C26" w:rsidRDefault="009D7F61" w:rsidP="00764CDE">
      <w:pPr>
        <w:pStyle w:val="IntroBody"/>
      </w:pPr>
      <w:r w:rsidRPr="00C23C26">
        <w:t xml:space="preserve">IHPA will develop the </w:t>
      </w:r>
      <w:r w:rsidRPr="00C23C26">
        <w:rPr>
          <w:i/>
        </w:rPr>
        <w:t>Pricing Framework for Australian Public Hospital Services 202</w:t>
      </w:r>
      <w:r w:rsidR="00300B00">
        <w:rPr>
          <w:i/>
        </w:rPr>
        <w:t>2</w:t>
      </w:r>
      <w:r w:rsidRPr="00C23C26">
        <w:rPr>
          <w:i/>
        </w:rPr>
        <w:t>–2</w:t>
      </w:r>
      <w:r w:rsidR="00300B00">
        <w:rPr>
          <w:i/>
        </w:rPr>
        <w:t>3</w:t>
      </w:r>
      <w:r w:rsidR="001246D9">
        <w:rPr>
          <w:i/>
        </w:rPr>
        <w:t xml:space="preserve"> </w:t>
      </w:r>
      <w:r w:rsidR="001246D9" w:rsidRPr="001246D9">
        <w:t>(the Pricing Framework)</w:t>
      </w:r>
      <w:r w:rsidRPr="001246D9">
        <w:t>,</w:t>
      </w:r>
      <w:r w:rsidRPr="00C23C26">
        <w:t xml:space="preserve"> outlining the principles, scope and methodology to be adopted by IHPA in the setting of the </w:t>
      </w:r>
      <w:r w:rsidR="00327592">
        <w:t>national efficient price (NEP)</w:t>
      </w:r>
      <w:r w:rsidRPr="00C23C26">
        <w:t xml:space="preserve"> and </w:t>
      </w:r>
      <w:r w:rsidR="00327592">
        <w:t>national efficient cost (</w:t>
      </w:r>
      <w:r w:rsidRPr="00C23C26">
        <w:t>NEC</w:t>
      </w:r>
      <w:r w:rsidR="00327592">
        <w:t>)</w:t>
      </w:r>
      <w:r w:rsidRPr="00C23C26">
        <w:t xml:space="preserve"> for </w:t>
      </w:r>
      <w:r w:rsidR="00DB4CE1">
        <w:t>public hospital services in 202</w:t>
      </w:r>
      <w:r w:rsidR="00300B00">
        <w:t>2</w:t>
      </w:r>
      <w:r w:rsidR="00DB4CE1">
        <w:t>–2</w:t>
      </w:r>
      <w:r w:rsidR="00300B00">
        <w:t>3</w:t>
      </w:r>
      <w:r w:rsidRPr="00C23C26">
        <w:t>.</w:t>
      </w:r>
    </w:p>
    <w:p w14:paraId="632E146C" w14:textId="59920336" w:rsidR="00C23C26" w:rsidRPr="00926801" w:rsidRDefault="00DB4CE1" w:rsidP="00926801">
      <w:pPr>
        <w:spacing w:line="276" w:lineRule="auto"/>
        <w:rPr>
          <w:rFonts w:ascii="Arial" w:hAnsi="Arial" w:cs="Arial"/>
          <w:sz w:val="18"/>
          <w:szCs w:val="18"/>
        </w:rPr>
      </w:pPr>
      <w:r w:rsidRPr="00743FDC">
        <w:rPr>
          <w:rFonts w:ascii="Arial" w:hAnsi="Arial" w:cs="Arial"/>
          <w:color w:val="262626" w:themeColor="text1" w:themeTint="D9"/>
          <w:sz w:val="18"/>
          <w:szCs w:val="18"/>
        </w:rPr>
        <w:t xml:space="preserve">Development of the Pricing Framework includes three major phases: a public consultation period, review of the draft </w:t>
      </w:r>
      <w:r w:rsidR="00117196" w:rsidRPr="00743FDC">
        <w:rPr>
          <w:rFonts w:ascii="Arial" w:hAnsi="Arial" w:cs="Arial"/>
          <w:color w:val="262626" w:themeColor="text1" w:themeTint="D9"/>
          <w:sz w:val="18"/>
          <w:szCs w:val="18"/>
        </w:rPr>
        <w:t xml:space="preserve">Pricing </w:t>
      </w:r>
      <w:r w:rsidRPr="00926801">
        <w:rPr>
          <w:rFonts w:ascii="Arial" w:hAnsi="Arial" w:cs="Arial"/>
          <w:sz w:val="18"/>
          <w:szCs w:val="18"/>
        </w:rPr>
        <w:t>Framework by health ministers and publication of the final</w:t>
      </w:r>
      <w:r w:rsidR="00117196" w:rsidRPr="00926801">
        <w:rPr>
          <w:rFonts w:ascii="Arial" w:hAnsi="Arial" w:cs="Arial"/>
          <w:sz w:val="18"/>
          <w:szCs w:val="18"/>
        </w:rPr>
        <w:t xml:space="preserve"> Pricing</w:t>
      </w:r>
      <w:r w:rsidRPr="00926801">
        <w:rPr>
          <w:rFonts w:ascii="Arial" w:hAnsi="Arial" w:cs="Arial"/>
          <w:sz w:val="18"/>
          <w:szCs w:val="18"/>
        </w:rPr>
        <w:t xml:space="preserve"> Framework.</w:t>
      </w:r>
    </w:p>
    <w:p w14:paraId="04C80645" w14:textId="1231DA96" w:rsidR="00926801" w:rsidRDefault="00926801" w:rsidP="00926801">
      <w:pPr>
        <w:spacing w:line="276" w:lineRule="auto"/>
        <w:rPr>
          <w:rFonts w:ascii="Arial" w:hAnsi="Arial" w:cs="Arial"/>
          <w:sz w:val="18"/>
        </w:rPr>
      </w:pPr>
      <w:r w:rsidRPr="000E1410">
        <w:rPr>
          <w:rFonts w:ascii="Arial" w:hAnsi="Arial" w:cs="Arial"/>
          <w:sz w:val="18"/>
        </w:rPr>
        <w:t xml:space="preserve">As part of this process, </w:t>
      </w:r>
      <w:r w:rsidRPr="00926801">
        <w:rPr>
          <w:rFonts w:ascii="Arial" w:hAnsi="Arial" w:cs="Arial"/>
          <w:sz w:val="18"/>
          <w:szCs w:val="18"/>
        </w:rPr>
        <w:t xml:space="preserve">IHPA will </w:t>
      </w:r>
      <w:r>
        <w:rPr>
          <w:rFonts w:ascii="Arial" w:hAnsi="Arial" w:cs="Arial"/>
          <w:sz w:val="18"/>
          <w:szCs w:val="18"/>
        </w:rPr>
        <w:t xml:space="preserve">also </w:t>
      </w:r>
      <w:r w:rsidRPr="00926801">
        <w:rPr>
          <w:rFonts w:ascii="Arial" w:hAnsi="Arial" w:cs="Arial"/>
          <w:sz w:val="18"/>
          <w:szCs w:val="18"/>
        </w:rPr>
        <w:t>review the costing arrangements for all aspects of organ donation, retrieval and transplantation</w:t>
      </w:r>
      <w:r w:rsidRPr="000E1410">
        <w:rPr>
          <w:rFonts w:ascii="Arial" w:hAnsi="Arial" w:cs="Arial"/>
          <w:sz w:val="18"/>
        </w:rPr>
        <w:t>, following a review of the implementation of the national reform agenda on organ and tissue donation and transplantation</w:t>
      </w:r>
      <w:r>
        <w:rPr>
          <w:rFonts w:ascii="Arial" w:hAnsi="Arial" w:cs="Arial"/>
          <w:sz w:val="18"/>
        </w:rPr>
        <w:t>.</w:t>
      </w:r>
    </w:p>
    <w:p w14:paraId="03D08A58" w14:textId="6ED3D1A7" w:rsidR="003379C5" w:rsidRPr="00D82B56" w:rsidRDefault="00201BE1" w:rsidP="003379C5">
      <w:pPr>
        <w:pStyle w:val="Heading2"/>
        <w:rPr>
          <w:sz w:val="18"/>
          <w:szCs w:val="18"/>
        </w:rPr>
      </w:pPr>
      <w:bookmarkStart w:id="21" w:name="_Toc55053983"/>
      <w:bookmarkStart w:id="22" w:name="_Toc55237204"/>
      <w:bookmarkStart w:id="23" w:name="_Toc55237769"/>
      <w:bookmarkStart w:id="24" w:name="_Toc55238295"/>
      <w:bookmarkStart w:id="25" w:name="_Toc55974113"/>
      <w:r w:rsidRPr="00D82B56">
        <w:rPr>
          <w:sz w:val="18"/>
          <w:szCs w:val="18"/>
        </w:rPr>
        <w:t>(b</w:t>
      </w:r>
      <w:r w:rsidR="003379C5" w:rsidRPr="00D82B56">
        <w:rPr>
          <w:sz w:val="18"/>
          <w:szCs w:val="18"/>
        </w:rPr>
        <w:t>)</w:t>
      </w:r>
      <w:r w:rsidR="00702100" w:rsidRPr="00D82B56">
        <w:rPr>
          <w:sz w:val="18"/>
          <w:szCs w:val="18"/>
        </w:rPr>
        <w:tab/>
      </w:r>
      <w:r w:rsidR="003379C5" w:rsidRPr="00D82B56">
        <w:rPr>
          <w:sz w:val="18"/>
          <w:szCs w:val="18"/>
        </w:rPr>
        <w:t xml:space="preserve">Determination of in-scope public hospital services for the purposes of Commonwealth funding under the </w:t>
      </w:r>
      <w:r w:rsidR="00251EEE" w:rsidRPr="00D82B56">
        <w:rPr>
          <w:sz w:val="18"/>
          <w:szCs w:val="18"/>
        </w:rPr>
        <w:t>Addendum</w:t>
      </w:r>
      <w:bookmarkEnd w:id="21"/>
      <w:bookmarkEnd w:id="22"/>
      <w:bookmarkEnd w:id="23"/>
      <w:bookmarkEnd w:id="24"/>
      <w:bookmarkEnd w:id="25"/>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379C5" w:rsidRPr="00B60060" w14:paraId="4177B53A" w14:textId="77777777" w:rsidTr="003379C5">
        <w:tc>
          <w:tcPr>
            <w:tcW w:w="3726" w:type="pct"/>
            <w:tcBorders>
              <w:top w:val="nil"/>
              <w:bottom w:val="nil"/>
            </w:tcBorders>
            <w:shd w:val="clear" w:color="auto" w:fill="C40B46"/>
            <w:vAlign w:val="center"/>
          </w:tcPr>
          <w:p w14:paraId="7258084A" w14:textId="77777777" w:rsidR="003379C5" w:rsidRPr="00D82B56" w:rsidRDefault="003379C5" w:rsidP="003379C5">
            <w:pPr>
              <w:pStyle w:val="TableHeading"/>
              <w:rPr>
                <w:sz w:val="18"/>
                <w:szCs w:val="18"/>
              </w:rPr>
            </w:pPr>
            <w:r w:rsidRPr="00D82B56">
              <w:rPr>
                <w:sz w:val="18"/>
                <w:szCs w:val="18"/>
              </w:rPr>
              <w:t>DELIVERABLES</w:t>
            </w:r>
          </w:p>
        </w:tc>
        <w:tc>
          <w:tcPr>
            <w:tcW w:w="1274" w:type="pct"/>
            <w:tcBorders>
              <w:top w:val="nil"/>
              <w:bottom w:val="nil"/>
            </w:tcBorders>
            <w:shd w:val="clear" w:color="auto" w:fill="C40B46"/>
            <w:vAlign w:val="center"/>
          </w:tcPr>
          <w:p w14:paraId="3642F32C" w14:textId="77777777" w:rsidR="003379C5" w:rsidRPr="00D82B56" w:rsidRDefault="003379C5" w:rsidP="003379C5">
            <w:pPr>
              <w:pStyle w:val="TableHeading"/>
              <w:rPr>
                <w:sz w:val="18"/>
                <w:szCs w:val="18"/>
              </w:rPr>
            </w:pPr>
            <w:r w:rsidRPr="00D82B56">
              <w:rPr>
                <w:sz w:val="18"/>
                <w:szCs w:val="18"/>
              </w:rPr>
              <w:t>TIMEFRAME</w:t>
            </w:r>
          </w:p>
        </w:tc>
      </w:tr>
      <w:tr w:rsidR="003379C5" w14:paraId="4182A5FD" w14:textId="77777777" w:rsidTr="003379C5">
        <w:trPr>
          <w:trHeight w:val="510"/>
        </w:trPr>
        <w:tc>
          <w:tcPr>
            <w:tcW w:w="3726" w:type="pct"/>
            <w:tcBorders>
              <w:top w:val="nil"/>
              <w:bottom w:val="single" w:sz="4" w:space="0" w:color="auto"/>
            </w:tcBorders>
          </w:tcPr>
          <w:p w14:paraId="28704E89" w14:textId="1569990D" w:rsidR="003379C5" w:rsidRDefault="003379C5" w:rsidP="003379C5">
            <w:pPr>
              <w:pStyle w:val="Body"/>
            </w:pPr>
            <w:proofErr w:type="spellStart"/>
            <w:r w:rsidRPr="0044581D">
              <w:t>Finalise</w:t>
            </w:r>
            <w:proofErr w:type="spellEnd"/>
            <w:r w:rsidRPr="0044581D">
              <w:t xml:space="preserve"> decision</w:t>
            </w:r>
            <w:r w:rsidR="00FC3840">
              <w:t>s</w:t>
            </w:r>
            <w:r w:rsidRPr="0044581D">
              <w:t xml:space="preserve"> on the </w:t>
            </w:r>
            <w:r w:rsidRPr="0044581D">
              <w:rPr>
                <w:i/>
              </w:rPr>
              <w:t>General List of In-Scope Public Hospital Services</w:t>
            </w:r>
            <w:r w:rsidRPr="0044581D">
              <w:t xml:space="preserve"> for additional or altered in-scope servi</w:t>
            </w:r>
            <w:r>
              <w:t>ces for 202</w:t>
            </w:r>
            <w:r w:rsidR="00300B00">
              <w:t>2</w:t>
            </w:r>
            <w:r>
              <w:t>−</w:t>
            </w:r>
            <w:r w:rsidRPr="0044581D">
              <w:t>2</w:t>
            </w:r>
            <w:r w:rsidR="00300B00">
              <w:t>3</w:t>
            </w:r>
            <w:r w:rsidRPr="00CE0D3F">
              <w:t>.</w:t>
            </w:r>
          </w:p>
        </w:tc>
        <w:tc>
          <w:tcPr>
            <w:tcW w:w="1274" w:type="pct"/>
            <w:tcBorders>
              <w:top w:val="nil"/>
              <w:bottom w:val="single" w:sz="4" w:space="0" w:color="auto"/>
            </w:tcBorders>
          </w:tcPr>
          <w:p w14:paraId="778196C9" w14:textId="28F6486D" w:rsidR="003379C5" w:rsidRDefault="00FC3840" w:rsidP="003379C5">
            <w:pPr>
              <w:pStyle w:val="Body"/>
            </w:pPr>
            <w:r>
              <w:t xml:space="preserve">December </w:t>
            </w:r>
            <w:r w:rsidR="003379C5">
              <w:t>202</w:t>
            </w:r>
            <w:r w:rsidR="00300B00">
              <w:t>1</w:t>
            </w:r>
          </w:p>
        </w:tc>
      </w:tr>
    </w:tbl>
    <w:p w14:paraId="4C26B63F" w14:textId="77777777" w:rsidR="003379C5" w:rsidRDefault="003379C5" w:rsidP="003379C5">
      <w:pPr>
        <w:pStyle w:val="Body"/>
      </w:pPr>
    </w:p>
    <w:p w14:paraId="042A78D7" w14:textId="77777777" w:rsidR="003379C5" w:rsidRDefault="003379C5" w:rsidP="003379C5">
      <w:pPr>
        <w:pStyle w:val="IntroBody"/>
      </w:pPr>
      <w:r>
        <w:t xml:space="preserve">IHPA has developed the </w:t>
      </w:r>
      <w:r w:rsidRPr="00CE0D3F">
        <w:rPr>
          <w:i/>
        </w:rPr>
        <w:t>General List of In-Scope Public Hospital Services</w:t>
      </w:r>
      <w:r>
        <w:t xml:space="preserve"> </w:t>
      </w:r>
      <w:r w:rsidRPr="008E68F0">
        <w:rPr>
          <w:i/>
        </w:rPr>
        <w:t>Eligibility</w:t>
      </w:r>
      <w:r>
        <w:t xml:space="preserve"> </w:t>
      </w:r>
      <w:r w:rsidRPr="008E68F0">
        <w:rPr>
          <w:i/>
        </w:rPr>
        <w:t>Policy</w:t>
      </w:r>
      <w:r>
        <w:t xml:space="preserve"> </w:t>
      </w:r>
      <w:r w:rsidR="00A100C7">
        <w:t xml:space="preserve">that </w:t>
      </w:r>
      <w:r>
        <w:t>outlines the process by which jurisdictions can make submissions to IHPA for public hospital services to be determined as in</w:t>
      </w:r>
      <w:r>
        <w:rPr>
          <w:rFonts w:ascii="Cambria Math" w:hAnsi="Cambria Math" w:cs="Cambria Math"/>
        </w:rPr>
        <w:t>‑</w:t>
      </w:r>
      <w:r>
        <w:t>scope to receive Commonwealth funding.</w:t>
      </w:r>
    </w:p>
    <w:p w14:paraId="6C6A7D6F" w14:textId="6568C061" w:rsidR="000E1410" w:rsidRDefault="003379C5" w:rsidP="003379C5">
      <w:pPr>
        <w:pStyle w:val="Body"/>
      </w:pPr>
      <w:r>
        <w:t>Full details of the public hospital services determined to be in</w:t>
      </w:r>
      <w:r>
        <w:rPr>
          <w:rFonts w:ascii="Cambria Math" w:hAnsi="Cambria Math" w:cs="Cambria Math"/>
        </w:rPr>
        <w:t>‑</w:t>
      </w:r>
      <w:r>
        <w:t>scope for Commonwealth funding are provided in the NEP Determination. In 202</w:t>
      </w:r>
      <w:r w:rsidR="00300B00">
        <w:t>1</w:t>
      </w:r>
      <w:r>
        <w:t>–2</w:t>
      </w:r>
      <w:r w:rsidR="00300B00">
        <w:t>2</w:t>
      </w:r>
      <w:r>
        <w:t>, IHPA will assess jurisdictions’ submissions for additional or altered in-scope services for the NEP Determination 202</w:t>
      </w:r>
      <w:r w:rsidR="00300B00">
        <w:t>2</w:t>
      </w:r>
      <w:r>
        <w:t>–2</w:t>
      </w:r>
      <w:r w:rsidR="00300B00">
        <w:t>3</w:t>
      </w:r>
      <w:r>
        <w:t>.</w:t>
      </w:r>
    </w:p>
    <w:p w14:paraId="1D4241DB" w14:textId="21B1C8F1" w:rsidR="007918BB" w:rsidRDefault="007918BB">
      <w:pPr>
        <w:rPr>
          <w:rFonts w:ascii="Arial Black" w:hAnsi="Arial Black" w:cs="Arial"/>
          <w:color w:val="000000" w:themeColor="text1"/>
          <w:sz w:val="18"/>
          <w:szCs w:val="18"/>
        </w:rPr>
      </w:pPr>
      <w:bookmarkStart w:id="26" w:name="_Toc55045613"/>
      <w:bookmarkStart w:id="27" w:name="_Toc55053984"/>
      <w:r>
        <w:rPr>
          <w:sz w:val="18"/>
          <w:szCs w:val="18"/>
        </w:rPr>
        <w:br w:type="page"/>
      </w:r>
    </w:p>
    <w:p w14:paraId="4C5B0768" w14:textId="666E613F" w:rsidR="00331BB7" w:rsidRPr="00743FDC" w:rsidRDefault="00786AC4" w:rsidP="00331BB7">
      <w:pPr>
        <w:pStyle w:val="Heading2"/>
        <w:rPr>
          <w:sz w:val="18"/>
          <w:szCs w:val="18"/>
        </w:rPr>
      </w:pPr>
      <w:bookmarkStart w:id="28" w:name="_Toc55237205"/>
      <w:bookmarkStart w:id="29" w:name="_Toc55237770"/>
      <w:bookmarkStart w:id="30" w:name="_Toc55238296"/>
      <w:bookmarkStart w:id="31" w:name="_Toc55974114"/>
      <w:r w:rsidRPr="00743FDC">
        <w:rPr>
          <w:sz w:val="18"/>
          <w:szCs w:val="18"/>
        </w:rPr>
        <w:lastRenderedPageBreak/>
        <w:t>(</w:t>
      </w:r>
      <w:r w:rsidR="00201BE1" w:rsidRPr="00743FDC">
        <w:rPr>
          <w:sz w:val="18"/>
          <w:szCs w:val="18"/>
        </w:rPr>
        <w:t>c</w:t>
      </w:r>
      <w:r w:rsidR="00331BB7" w:rsidRPr="00743FDC">
        <w:rPr>
          <w:sz w:val="18"/>
          <w:szCs w:val="18"/>
        </w:rPr>
        <w:t>)</w:t>
      </w:r>
      <w:r w:rsidR="00331BB7" w:rsidRPr="00743FDC">
        <w:rPr>
          <w:sz w:val="18"/>
          <w:szCs w:val="18"/>
        </w:rPr>
        <w:tab/>
        <w:t>NEP and NEC Determinations 202</w:t>
      </w:r>
      <w:r w:rsidR="00300B00" w:rsidRPr="00743FDC">
        <w:rPr>
          <w:sz w:val="18"/>
          <w:szCs w:val="18"/>
        </w:rPr>
        <w:t>2</w:t>
      </w:r>
      <w:r w:rsidR="00331BB7" w:rsidRPr="00743FDC">
        <w:rPr>
          <w:sz w:val="18"/>
          <w:szCs w:val="18"/>
        </w:rPr>
        <w:t>–2</w:t>
      </w:r>
      <w:r w:rsidR="00300B00" w:rsidRPr="00743FDC">
        <w:rPr>
          <w:sz w:val="18"/>
          <w:szCs w:val="18"/>
        </w:rPr>
        <w:t>3</w:t>
      </w:r>
      <w:bookmarkEnd w:id="26"/>
      <w:bookmarkEnd w:id="27"/>
      <w:bookmarkEnd w:id="28"/>
      <w:bookmarkEnd w:id="29"/>
      <w:bookmarkEnd w:id="30"/>
      <w:bookmarkEnd w:id="31"/>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786AC4" w:rsidRPr="00076D8A" w14:paraId="13D5B216" w14:textId="77777777" w:rsidTr="005154CD">
        <w:tc>
          <w:tcPr>
            <w:tcW w:w="3726" w:type="pct"/>
            <w:tcBorders>
              <w:top w:val="nil"/>
              <w:bottom w:val="nil"/>
            </w:tcBorders>
            <w:shd w:val="clear" w:color="auto" w:fill="C40B46"/>
            <w:vAlign w:val="center"/>
          </w:tcPr>
          <w:p w14:paraId="5B37F2D4" w14:textId="77777777" w:rsidR="00786AC4" w:rsidRPr="00743FDC" w:rsidRDefault="00786AC4" w:rsidP="005154CD">
            <w:pPr>
              <w:pStyle w:val="TableHeading"/>
              <w:rPr>
                <w:sz w:val="18"/>
                <w:szCs w:val="18"/>
              </w:rPr>
            </w:pPr>
            <w:r w:rsidRPr="00743FDC">
              <w:rPr>
                <w:sz w:val="18"/>
                <w:szCs w:val="18"/>
              </w:rPr>
              <w:t>DELIVERABLES</w:t>
            </w:r>
          </w:p>
        </w:tc>
        <w:tc>
          <w:tcPr>
            <w:tcW w:w="1274" w:type="pct"/>
            <w:tcBorders>
              <w:top w:val="nil"/>
              <w:bottom w:val="nil"/>
            </w:tcBorders>
            <w:shd w:val="clear" w:color="auto" w:fill="C40B46"/>
            <w:vAlign w:val="center"/>
          </w:tcPr>
          <w:p w14:paraId="0C6B84E3" w14:textId="77777777" w:rsidR="00786AC4" w:rsidRPr="00743FDC" w:rsidRDefault="00786AC4" w:rsidP="005154CD">
            <w:pPr>
              <w:pStyle w:val="TableHeading"/>
              <w:rPr>
                <w:sz w:val="18"/>
                <w:szCs w:val="18"/>
              </w:rPr>
            </w:pPr>
            <w:r w:rsidRPr="00743FDC">
              <w:rPr>
                <w:sz w:val="18"/>
                <w:szCs w:val="18"/>
              </w:rPr>
              <w:t>TIMEFRAME</w:t>
            </w:r>
          </w:p>
        </w:tc>
      </w:tr>
      <w:tr w:rsidR="00201BE1" w:rsidRPr="0019336C" w14:paraId="39C28FEF" w14:textId="77777777" w:rsidTr="00786AC4">
        <w:trPr>
          <w:trHeight w:val="510"/>
        </w:trPr>
        <w:tc>
          <w:tcPr>
            <w:tcW w:w="3726" w:type="pct"/>
            <w:tcBorders>
              <w:top w:val="nil"/>
              <w:bottom w:val="single" w:sz="4" w:space="0" w:color="auto"/>
            </w:tcBorders>
          </w:tcPr>
          <w:p w14:paraId="081DC39F" w14:textId="28330362" w:rsidR="00201BE1" w:rsidRPr="0019336C" w:rsidRDefault="00201BE1" w:rsidP="00300B00">
            <w:pPr>
              <w:pStyle w:val="Body"/>
            </w:pPr>
            <w:proofErr w:type="spellStart"/>
            <w:r w:rsidRPr="0044581D">
              <w:t>Finalise</w:t>
            </w:r>
            <w:proofErr w:type="spellEnd"/>
            <w:r w:rsidRPr="0044581D">
              <w:t xml:space="preserve"> </w:t>
            </w:r>
            <w:r w:rsidR="00FC3840">
              <w:t xml:space="preserve">decisions </w:t>
            </w:r>
            <w:r w:rsidR="00434BAD">
              <w:t>on the</w:t>
            </w:r>
            <w:r w:rsidRPr="0044581D">
              <w:t xml:space="preserve"> legitimate and unavoidable cost variation</w:t>
            </w:r>
            <w:r>
              <w:t>s</w:t>
            </w:r>
            <w:r w:rsidRPr="0044581D">
              <w:t xml:space="preserve"> to assess changes or </w:t>
            </w:r>
            <w:r>
              <w:t xml:space="preserve">adjustments to the </w:t>
            </w:r>
            <w:r w:rsidRPr="00201BE1">
              <w:rPr>
                <w:i/>
              </w:rPr>
              <w:t xml:space="preserve">National Efficient Price </w:t>
            </w:r>
            <w:r w:rsidR="00702100">
              <w:rPr>
                <w:i/>
              </w:rPr>
              <w:t xml:space="preserve">Determination </w:t>
            </w:r>
            <w:r w:rsidRPr="00201BE1">
              <w:rPr>
                <w:i/>
              </w:rPr>
              <w:t>202</w:t>
            </w:r>
            <w:r w:rsidR="00300B00">
              <w:rPr>
                <w:i/>
              </w:rPr>
              <w:t>2</w:t>
            </w:r>
            <w:r w:rsidRPr="00201BE1">
              <w:rPr>
                <w:i/>
              </w:rPr>
              <w:t>−2</w:t>
            </w:r>
            <w:r w:rsidR="00300B00">
              <w:rPr>
                <w:i/>
              </w:rPr>
              <w:t>3</w:t>
            </w:r>
            <w:r>
              <w:t>.</w:t>
            </w:r>
          </w:p>
        </w:tc>
        <w:tc>
          <w:tcPr>
            <w:tcW w:w="1274" w:type="pct"/>
            <w:tcBorders>
              <w:top w:val="nil"/>
              <w:bottom w:val="single" w:sz="4" w:space="0" w:color="auto"/>
            </w:tcBorders>
          </w:tcPr>
          <w:p w14:paraId="78E66521" w14:textId="1EFB08BA" w:rsidR="00201BE1" w:rsidRPr="0019336C" w:rsidRDefault="00FC3840" w:rsidP="005154CD">
            <w:pPr>
              <w:pStyle w:val="Body"/>
            </w:pPr>
            <w:r>
              <w:t>December</w:t>
            </w:r>
            <w:r w:rsidR="00201BE1" w:rsidRPr="0044581D">
              <w:t xml:space="preserve"> 202</w:t>
            </w:r>
            <w:r w:rsidR="00300B00">
              <w:t>1</w:t>
            </w:r>
          </w:p>
        </w:tc>
      </w:tr>
      <w:tr w:rsidR="001D3D6A" w:rsidRPr="0019336C" w14:paraId="60CC0360" w14:textId="77777777" w:rsidTr="007B213D">
        <w:trPr>
          <w:trHeight w:val="510"/>
        </w:trPr>
        <w:tc>
          <w:tcPr>
            <w:tcW w:w="3726" w:type="pct"/>
            <w:tcBorders>
              <w:top w:val="single" w:sz="4" w:space="0" w:color="auto"/>
              <w:bottom w:val="single" w:sz="4" w:space="0" w:color="auto"/>
            </w:tcBorders>
          </w:tcPr>
          <w:p w14:paraId="7818A1DB" w14:textId="2C889395" w:rsidR="001D3D6A" w:rsidRPr="0019336C" w:rsidRDefault="001D3D6A" w:rsidP="00300B00">
            <w:pPr>
              <w:pStyle w:val="Body"/>
            </w:pPr>
            <w:r w:rsidRPr="0019336C">
              <w:t xml:space="preserve">Provide the draft </w:t>
            </w:r>
            <w:r w:rsidRPr="0019336C">
              <w:rPr>
                <w:i/>
              </w:rPr>
              <w:t>National Efficient Price and National Efficient Cost Determinations 202</w:t>
            </w:r>
            <w:r w:rsidR="00300B00">
              <w:rPr>
                <w:i/>
              </w:rPr>
              <w:t>2</w:t>
            </w:r>
            <w:r w:rsidRPr="0019336C">
              <w:rPr>
                <w:i/>
              </w:rPr>
              <w:t>–2</w:t>
            </w:r>
            <w:r w:rsidR="00300B00">
              <w:rPr>
                <w:i/>
              </w:rPr>
              <w:t>3</w:t>
            </w:r>
            <w:r w:rsidRPr="0019336C">
              <w:t xml:space="preserve"> to health ministers for</w:t>
            </w:r>
            <w:r w:rsidR="003F7B4C">
              <w:t xml:space="preserve"> a</w:t>
            </w:r>
            <w:r w:rsidRPr="0019336C">
              <w:t xml:space="preserve"> 45-day comment period.</w:t>
            </w:r>
          </w:p>
        </w:tc>
        <w:tc>
          <w:tcPr>
            <w:tcW w:w="1274" w:type="pct"/>
            <w:tcBorders>
              <w:top w:val="single" w:sz="4" w:space="0" w:color="auto"/>
              <w:bottom w:val="single" w:sz="4" w:space="0" w:color="auto"/>
            </w:tcBorders>
          </w:tcPr>
          <w:p w14:paraId="64064D2F" w14:textId="39E0DBD3" w:rsidR="001D3D6A" w:rsidRPr="0019336C" w:rsidRDefault="001D3D6A" w:rsidP="007B213D">
            <w:pPr>
              <w:pStyle w:val="Body"/>
            </w:pPr>
            <w:r w:rsidRPr="0019336C">
              <w:t>December 202</w:t>
            </w:r>
            <w:r w:rsidR="00300B00">
              <w:t>1</w:t>
            </w:r>
          </w:p>
        </w:tc>
      </w:tr>
      <w:tr w:rsidR="00786AC4" w:rsidRPr="0019336C" w14:paraId="5072068E" w14:textId="77777777" w:rsidTr="00786AC4">
        <w:trPr>
          <w:trHeight w:val="510"/>
        </w:trPr>
        <w:tc>
          <w:tcPr>
            <w:tcW w:w="3726" w:type="pct"/>
            <w:tcBorders>
              <w:top w:val="single" w:sz="4" w:space="0" w:color="auto"/>
              <w:bottom w:val="single" w:sz="4" w:space="0" w:color="auto"/>
            </w:tcBorders>
          </w:tcPr>
          <w:p w14:paraId="0DAA6B05" w14:textId="5821772C" w:rsidR="00786AC4" w:rsidRPr="0019336C" w:rsidRDefault="00786AC4" w:rsidP="00777A99">
            <w:pPr>
              <w:pStyle w:val="Body"/>
            </w:pPr>
            <w:r w:rsidRPr="0019336C">
              <w:t xml:space="preserve">Publish the </w:t>
            </w:r>
            <w:r w:rsidRPr="0019336C">
              <w:rPr>
                <w:i/>
              </w:rPr>
              <w:t>National Efficient Price and National Efficient Cost Determinations</w:t>
            </w:r>
            <w:r w:rsidRPr="0019336C">
              <w:rPr>
                <w:i/>
              </w:rPr>
              <w:br/>
              <w:t>202</w:t>
            </w:r>
            <w:r w:rsidR="00300B00">
              <w:rPr>
                <w:i/>
              </w:rPr>
              <w:t>2</w:t>
            </w:r>
            <w:r w:rsidRPr="0019336C">
              <w:rPr>
                <w:i/>
              </w:rPr>
              <w:t>–2</w:t>
            </w:r>
            <w:r w:rsidR="00300B00">
              <w:rPr>
                <w:i/>
              </w:rPr>
              <w:t>3</w:t>
            </w:r>
            <w:r w:rsidRPr="0019336C">
              <w:t xml:space="preserve"> on the IHPA website.</w:t>
            </w:r>
          </w:p>
        </w:tc>
        <w:tc>
          <w:tcPr>
            <w:tcW w:w="1274" w:type="pct"/>
            <w:tcBorders>
              <w:top w:val="single" w:sz="4" w:space="0" w:color="auto"/>
              <w:bottom w:val="single" w:sz="4" w:space="0" w:color="auto"/>
            </w:tcBorders>
          </w:tcPr>
          <w:p w14:paraId="5DD85CEE" w14:textId="09F9A220" w:rsidR="00786AC4" w:rsidRPr="0019336C" w:rsidRDefault="00786AC4" w:rsidP="005154CD">
            <w:pPr>
              <w:pStyle w:val="Body"/>
            </w:pPr>
            <w:r w:rsidRPr="0019336C">
              <w:t>March 202</w:t>
            </w:r>
            <w:r w:rsidR="00300B00">
              <w:t>2</w:t>
            </w:r>
          </w:p>
        </w:tc>
      </w:tr>
    </w:tbl>
    <w:p w14:paraId="4172453C" w14:textId="77777777" w:rsidR="00331BB7" w:rsidRPr="0019336C" w:rsidRDefault="00331BB7" w:rsidP="00A45014">
      <w:pPr>
        <w:pStyle w:val="Body"/>
      </w:pPr>
    </w:p>
    <w:p w14:paraId="57D6EBDB" w14:textId="3BF7FA76" w:rsidR="00331BB7" w:rsidRPr="00F90F17" w:rsidRDefault="00331BB7" w:rsidP="00F90F17">
      <w:pPr>
        <w:rPr>
          <w:rFonts w:ascii="Arial" w:hAnsi="Arial" w:cs="Arial"/>
          <w:b/>
          <w:sz w:val="18"/>
          <w:szCs w:val="18"/>
        </w:rPr>
      </w:pPr>
      <w:bookmarkStart w:id="32" w:name="_Toc55053985"/>
      <w:bookmarkStart w:id="33" w:name="_Toc55237206"/>
      <w:bookmarkStart w:id="34" w:name="_Toc55237771"/>
      <w:r w:rsidRPr="00F90F17">
        <w:rPr>
          <w:rFonts w:ascii="Arial" w:hAnsi="Arial" w:cs="Arial"/>
          <w:b/>
          <w:sz w:val="18"/>
          <w:szCs w:val="18"/>
        </w:rPr>
        <w:t>IHPA’s primary function is to produce the NEP and the NEC each year</w:t>
      </w:r>
      <w:bookmarkEnd w:id="32"/>
      <w:bookmarkEnd w:id="33"/>
      <w:bookmarkEnd w:id="34"/>
    </w:p>
    <w:p w14:paraId="6B232153" w14:textId="18287D5F" w:rsidR="00331BB7" w:rsidRPr="00F7454B" w:rsidRDefault="00331BB7" w:rsidP="00F7454B">
      <w:pPr>
        <w:spacing w:line="276" w:lineRule="auto"/>
        <w:rPr>
          <w:rFonts w:ascii="Arial" w:hAnsi="Arial" w:cs="Arial"/>
          <w:sz w:val="18"/>
          <w:szCs w:val="18"/>
        </w:rPr>
      </w:pPr>
      <w:r w:rsidRPr="00F7454B">
        <w:rPr>
          <w:rFonts w:ascii="Arial" w:hAnsi="Arial" w:cs="Arial"/>
          <w:sz w:val="18"/>
          <w:szCs w:val="18"/>
        </w:rPr>
        <w:t xml:space="preserve">The NEP represents the price that will form the basis for Commonwealth payments to </w:t>
      </w:r>
      <w:r w:rsidR="001F2A57">
        <w:rPr>
          <w:rFonts w:ascii="Arial" w:hAnsi="Arial" w:cs="Arial"/>
          <w:sz w:val="18"/>
          <w:szCs w:val="18"/>
        </w:rPr>
        <w:t>Local Hospital Networks (LHNs)</w:t>
      </w:r>
      <w:r w:rsidR="001F2A57" w:rsidRPr="00DF79A8">
        <w:rPr>
          <w:rFonts w:ascii="Arial" w:hAnsi="Arial" w:cs="Arial"/>
          <w:sz w:val="18"/>
          <w:szCs w:val="18"/>
        </w:rPr>
        <w:t xml:space="preserve"> </w:t>
      </w:r>
      <w:r w:rsidRPr="00F7454B">
        <w:rPr>
          <w:rFonts w:ascii="Arial" w:hAnsi="Arial" w:cs="Arial"/>
          <w:sz w:val="18"/>
          <w:szCs w:val="18"/>
        </w:rPr>
        <w:t xml:space="preserve">for each episode of care under the </w:t>
      </w:r>
      <w:r w:rsidR="001F2A57">
        <w:rPr>
          <w:rFonts w:ascii="Arial" w:hAnsi="Arial" w:cs="Arial"/>
          <w:sz w:val="18"/>
          <w:szCs w:val="18"/>
        </w:rPr>
        <w:t>activity based funding (ABF)</w:t>
      </w:r>
      <w:r w:rsidR="001F2A57" w:rsidRPr="00DF79A8">
        <w:rPr>
          <w:rFonts w:ascii="Arial" w:hAnsi="Arial" w:cs="Arial"/>
          <w:sz w:val="18"/>
          <w:szCs w:val="18"/>
        </w:rPr>
        <w:t xml:space="preserve"> </w:t>
      </w:r>
      <w:r w:rsidRPr="00F7454B">
        <w:rPr>
          <w:rFonts w:ascii="Arial" w:hAnsi="Arial" w:cs="Arial"/>
          <w:sz w:val="18"/>
          <w:szCs w:val="18"/>
        </w:rPr>
        <w:t xml:space="preserve">system. In accordance with the </w:t>
      </w:r>
      <w:r w:rsidR="00251EEE" w:rsidRPr="00F7454B">
        <w:rPr>
          <w:rFonts w:ascii="Arial" w:hAnsi="Arial" w:cs="Arial"/>
          <w:sz w:val="18"/>
          <w:szCs w:val="18"/>
        </w:rPr>
        <w:t>Addendum</w:t>
      </w:r>
      <w:r w:rsidR="001F2A57">
        <w:rPr>
          <w:rFonts w:ascii="Arial" w:hAnsi="Arial" w:cs="Arial"/>
          <w:sz w:val="18"/>
          <w:szCs w:val="18"/>
        </w:rPr>
        <w:t xml:space="preserve"> to the National Health Reform Agreement 2020–25 (the Addendum)</w:t>
      </w:r>
      <w:r w:rsidRPr="00F7454B">
        <w:rPr>
          <w:rFonts w:ascii="Arial" w:hAnsi="Arial" w:cs="Arial"/>
          <w:sz w:val="18"/>
          <w:szCs w:val="18"/>
        </w:rPr>
        <w:t>, IHPA will consider the actual cost of delivery of public hospital services in as wide a range of hospitals as practicable. It will also take into account any legitimate and unavoidable variations in costs du</w:t>
      </w:r>
      <w:r w:rsidR="001F2A57">
        <w:rPr>
          <w:rFonts w:ascii="Arial" w:hAnsi="Arial" w:cs="Arial"/>
          <w:sz w:val="18"/>
          <w:szCs w:val="18"/>
        </w:rPr>
        <w:t>e to hospital characteristics (for example,</w:t>
      </w:r>
      <w:r w:rsidRPr="00F7454B">
        <w:rPr>
          <w:rFonts w:ascii="Arial" w:hAnsi="Arial" w:cs="Arial"/>
          <w:sz w:val="18"/>
          <w:szCs w:val="18"/>
        </w:rPr>
        <w:t xml:space="preserve"> size, type and location) and patient complexity (</w:t>
      </w:r>
      <w:r w:rsidR="001F2A57">
        <w:rPr>
          <w:rFonts w:ascii="Arial" w:hAnsi="Arial" w:cs="Arial"/>
          <w:sz w:val="18"/>
          <w:szCs w:val="18"/>
        </w:rPr>
        <w:t>for example,</w:t>
      </w:r>
      <w:r w:rsidRPr="00F7454B">
        <w:rPr>
          <w:rFonts w:ascii="Arial" w:hAnsi="Arial" w:cs="Arial"/>
          <w:sz w:val="18"/>
          <w:szCs w:val="18"/>
        </w:rPr>
        <w:t xml:space="preserve"> Indigenous status, location of residence and demographic profile). Health ministers will be requested to identify any unavoidable variations in costs and other factors in their jurisdiction that should be considered by</w:t>
      </w:r>
      <w:r w:rsidR="00777A99" w:rsidRPr="00F7454B">
        <w:rPr>
          <w:rFonts w:ascii="Arial" w:hAnsi="Arial" w:cs="Arial"/>
          <w:sz w:val="18"/>
          <w:szCs w:val="18"/>
        </w:rPr>
        <w:t xml:space="preserve"> </w:t>
      </w:r>
      <w:r w:rsidRPr="00F7454B">
        <w:rPr>
          <w:rFonts w:ascii="Arial" w:hAnsi="Arial" w:cs="Arial"/>
          <w:sz w:val="18"/>
          <w:szCs w:val="18"/>
        </w:rPr>
        <w:t>IHPA.</w:t>
      </w:r>
    </w:p>
    <w:p w14:paraId="3DC25527" w14:textId="0E9DB38F" w:rsidR="00331BB7" w:rsidRPr="00743FDC" w:rsidRDefault="00331BB7" w:rsidP="00743FDC">
      <w:pPr>
        <w:rPr>
          <w:rFonts w:ascii="Arial" w:hAnsi="Arial" w:cs="Arial"/>
          <w:b/>
          <w:sz w:val="18"/>
          <w:szCs w:val="18"/>
        </w:rPr>
      </w:pPr>
      <w:bookmarkStart w:id="35" w:name="_Toc55045614"/>
      <w:bookmarkStart w:id="36" w:name="_Toc55053986"/>
      <w:r w:rsidRPr="00743FDC">
        <w:rPr>
          <w:rFonts w:ascii="Arial" w:hAnsi="Arial" w:cs="Arial"/>
          <w:b/>
          <w:sz w:val="18"/>
          <w:szCs w:val="18"/>
        </w:rPr>
        <w:t>Block funded services</w:t>
      </w:r>
      <w:bookmarkEnd w:id="35"/>
      <w:bookmarkEnd w:id="36"/>
    </w:p>
    <w:p w14:paraId="63499780" w14:textId="77777777" w:rsidR="00331BB7" w:rsidRPr="00F7454B" w:rsidRDefault="00331BB7" w:rsidP="00F7454B">
      <w:pPr>
        <w:spacing w:line="276" w:lineRule="auto"/>
        <w:rPr>
          <w:rFonts w:ascii="Arial" w:hAnsi="Arial" w:cs="Arial"/>
          <w:sz w:val="18"/>
          <w:szCs w:val="18"/>
        </w:rPr>
      </w:pPr>
      <w:r w:rsidRPr="00F7454B">
        <w:rPr>
          <w:rFonts w:ascii="Arial" w:hAnsi="Arial" w:cs="Arial"/>
          <w:sz w:val="18"/>
          <w:szCs w:val="18"/>
        </w:rPr>
        <w:t>Generally, public hospitals or public hospital services will be eligible for block grant funding if there is either no acceptable classification system available, or activity and cost data collections are not in place in jurisdictions to allow for the pricing and funding of these services on an activity basis. Block</w:t>
      </w:r>
      <w:r w:rsidR="00777A99" w:rsidRPr="00F7454B">
        <w:rPr>
          <w:rFonts w:ascii="Arial" w:hAnsi="Arial" w:cs="Arial"/>
          <w:sz w:val="18"/>
          <w:szCs w:val="18"/>
        </w:rPr>
        <w:t xml:space="preserve"> </w:t>
      </w:r>
      <w:r w:rsidRPr="00F7454B">
        <w:rPr>
          <w:rFonts w:ascii="Arial" w:hAnsi="Arial" w:cs="Arial"/>
          <w:sz w:val="18"/>
          <w:szCs w:val="18"/>
        </w:rPr>
        <w:t xml:space="preserve">funded amounts are included in the NEC Determination each year. </w:t>
      </w:r>
    </w:p>
    <w:p w14:paraId="1945FDA4" w14:textId="3565C733" w:rsidR="00331BB7" w:rsidRDefault="00331BB7" w:rsidP="00F7454B">
      <w:pPr>
        <w:spacing w:line="276" w:lineRule="auto"/>
        <w:rPr>
          <w:rFonts w:ascii="Arial" w:hAnsi="Arial" w:cs="Arial"/>
          <w:sz w:val="18"/>
          <w:szCs w:val="18"/>
        </w:rPr>
      </w:pPr>
      <w:r w:rsidRPr="00F7454B">
        <w:rPr>
          <w:rFonts w:ascii="Arial" w:hAnsi="Arial" w:cs="Arial"/>
          <w:sz w:val="18"/>
          <w:szCs w:val="18"/>
        </w:rPr>
        <w:t>Clauses A</w:t>
      </w:r>
      <w:r w:rsidR="00323349" w:rsidRPr="00F7454B">
        <w:rPr>
          <w:rFonts w:ascii="Arial" w:hAnsi="Arial" w:cs="Arial"/>
          <w:sz w:val="18"/>
          <w:szCs w:val="18"/>
        </w:rPr>
        <w:t>49</w:t>
      </w:r>
      <w:r w:rsidRPr="00F7454B">
        <w:rPr>
          <w:rFonts w:ascii="Arial" w:hAnsi="Arial" w:cs="Arial"/>
          <w:sz w:val="18"/>
          <w:szCs w:val="18"/>
        </w:rPr>
        <w:t>–A</w:t>
      </w:r>
      <w:r w:rsidR="00323349" w:rsidRPr="00F7454B">
        <w:rPr>
          <w:rFonts w:ascii="Arial" w:hAnsi="Arial" w:cs="Arial"/>
          <w:sz w:val="18"/>
          <w:szCs w:val="18"/>
        </w:rPr>
        <w:t>55</w:t>
      </w:r>
      <w:r w:rsidRPr="00F7454B">
        <w:rPr>
          <w:rFonts w:ascii="Arial" w:hAnsi="Arial" w:cs="Arial"/>
          <w:sz w:val="18"/>
          <w:szCs w:val="18"/>
        </w:rPr>
        <w:t xml:space="preserve"> of the </w:t>
      </w:r>
      <w:r w:rsidR="00323349" w:rsidRPr="00F7454B">
        <w:rPr>
          <w:rFonts w:ascii="Arial" w:hAnsi="Arial" w:cs="Arial"/>
          <w:sz w:val="18"/>
          <w:szCs w:val="18"/>
        </w:rPr>
        <w:t>Addendum</w:t>
      </w:r>
      <w:r w:rsidR="009A2614" w:rsidRPr="00F7454B">
        <w:rPr>
          <w:rFonts w:ascii="Arial" w:hAnsi="Arial" w:cs="Arial"/>
          <w:sz w:val="18"/>
          <w:szCs w:val="18"/>
        </w:rPr>
        <w:t xml:space="preserve"> </w:t>
      </w:r>
      <w:r w:rsidRPr="00F7454B">
        <w:rPr>
          <w:rFonts w:ascii="Arial" w:hAnsi="Arial" w:cs="Arial"/>
          <w:sz w:val="18"/>
          <w:szCs w:val="18"/>
        </w:rPr>
        <w:t>require that IHPA develop Block Funding Criteria in consultation with states and territories, and that states and territories provide advice to IHPA on how their services meet these criteria. On the basis of this advice, IHPA determines which hospital services and functions are eligible for block funding. The Administrator of the National</w:t>
      </w:r>
      <w:r w:rsidR="00777A99" w:rsidRPr="00F7454B">
        <w:rPr>
          <w:rFonts w:ascii="Arial" w:hAnsi="Arial" w:cs="Arial"/>
          <w:sz w:val="18"/>
          <w:szCs w:val="18"/>
        </w:rPr>
        <w:t xml:space="preserve"> </w:t>
      </w:r>
      <w:r w:rsidRPr="00F7454B">
        <w:rPr>
          <w:rFonts w:ascii="Arial" w:hAnsi="Arial" w:cs="Arial"/>
          <w:sz w:val="18"/>
          <w:szCs w:val="18"/>
        </w:rPr>
        <w:t>Health Funding Pool then calculates the Commonwealth contribution.</w:t>
      </w:r>
    </w:p>
    <w:p w14:paraId="08A5C4EC" w14:textId="77777777" w:rsidR="00192376" w:rsidRDefault="00192376" w:rsidP="00F7454B">
      <w:pPr>
        <w:spacing w:line="276" w:lineRule="auto"/>
        <w:rPr>
          <w:rFonts w:ascii="Arial" w:hAnsi="Arial" w:cs="Arial"/>
          <w:b/>
          <w:sz w:val="18"/>
          <w:szCs w:val="18"/>
        </w:rPr>
      </w:pPr>
      <w:r>
        <w:rPr>
          <w:rFonts w:ascii="Arial" w:hAnsi="Arial" w:cs="Arial"/>
          <w:b/>
          <w:sz w:val="18"/>
          <w:szCs w:val="18"/>
        </w:rPr>
        <w:t>Coronavirus Disease 2019</w:t>
      </w:r>
    </w:p>
    <w:p w14:paraId="1C97D0F0" w14:textId="17E6B476" w:rsidR="00EE6567" w:rsidRDefault="003A0EDC" w:rsidP="00F7454B">
      <w:pPr>
        <w:spacing w:line="276" w:lineRule="auto"/>
        <w:rPr>
          <w:rFonts w:ascii="Arial" w:hAnsi="Arial" w:cs="Arial"/>
          <w:sz w:val="18"/>
          <w:szCs w:val="18"/>
        </w:rPr>
      </w:pPr>
      <w:r w:rsidRPr="003A0EDC">
        <w:rPr>
          <w:rFonts w:ascii="Arial" w:hAnsi="Arial" w:cs="Arial"/>
          <w:sz w:val="18"/>
          <w:szCs w:val="18"/>
        </w:rPr>
        <w:t>Coronavirus Disease 2019 (COVID-19) has resulted in significant and potentially long lasting changes to models of care and service delivery in Australian public hospitals. It is important that these changes are adequately accounted for in the national pricing model as quickly as possible.</w:t>
      </w:r>
    </w:p>
    <w:p w14:paraId="7F5F3688" w14:textId="2CA17498" w:rsidR="00293419" w:rsidRDefault="003A0EDC" w:rsidP="00786AC4">
      <w:pPr>
        <w:pStyle w:val="Heading2"/>
        <w:rPr>
          <w:rFonts w:ascii="Arial" w:hAnsi="Arial"/>
          <w:b/>
          <w:sz w:val="18"/>
          <w:szCs w:val="18"/>
        </w:rPr>
      </w:pPr>
      <w:r w:rsidRPr="003A0EDC">
        <w:rPr>
          <w:rFonts w:ascii="Arial" w:hAnsi="Arial"/>
          <w:sz w:val="18"/>
          <w:szCs w:val="18"/>
        </w:rPr>
        <w:t>IHPA will continue to work with jurisdictions to understand the impact of COVID-19 on service delivery, activity levels and models of care. Any changes to the national pricing model for future NEP iterations will require accurate cost and activity data.</w:t>
      </w:r>
      <w:bookmarkStart w:id="37" w:name="_Toc55045615"/>
      <w:bookmarkStart w:id="38" w:name="_Toc55053987"/>
      <w:r w:rsidR="00EE7C86" w:rsidRPr="00743FDC" w:rsidDel="00EE7C86">
        <w:rPr>
          <w:rFonts w:ascii="Arial" w:hAnsi="Arial"/>
          <w:b/>
          <w:sz w:val="18"/>
          <w:szCs w:val="18"/>
        </w:rPr>
        <w:t xml:space="preserve"> </w:t>
      </w:r>
      <w:bookmarkStart w:id="39" w:name="_Toc55045616"/>
      <w:bookmarkStart w:id="40" w:name="_Toc55053988"/>
      <w:bookmarkStart w:id="41" w:name="_Toc55237207"/>
      <w:bookmarkStart w:id="42" w:name="_Toc55237772"/>
      <w:bookmarkStart w:id="43" w:name="_Toc55238297"/>
      <w:bookmarkStart w:id="44" w:name="_Toc55974115"/>
      <w:bookmarkEnd w:id="37"/>
      <w:bookmarkEnd w:id="38"/>
    </w:p>
    <w:p w14:paraId="35C2343E" w14:textId="740F05D2" w:rsidR="00786AC4" w:rsidRPr="00743FDC" w:rsidRDefault="00786AC4" w:rsidP="00786AC4">
      <w:pPr>
        <w:pStyle w:val="Heading2"/>
        <w:rPr>
          <w:sz w:val="18"/>
          <w:szCs w:val="18"/>
        </w:rPr>
      </w:pPr>
      <w:r w:rsidRPr="00743FDC">
        <w:rPr>
          <w:sz w:val="18"/>
          <w:szCs w:val="18"/>
        </w:rPr>
        <w:t>(</w:t>
      </w:r>
      <w:r w:rsidR="00201BE1" w:rsidRPr="00743FDC">
        <w:rPr>
          <w:sz w:val="18"/>
          <w:szCs w:val="18"/>
        </w:rPr>
        <w:t>d</w:t>
      </w:r>
      <w:r w:rsidRPr="00743FDC">
        <w:rPr>
          <w:sz w:val="18"/>
          <w:szCs w:val="18"/>
        </w:rPr>
        <w:t>)</w:t>
      </w:r>
      <w:r w:rsidRPr="00743FDC">
        <w:rPr>
          <w:sz w:val="18"/>
          <w:szCs w:val="18"/>
        </w:rPr>
        <w:tab/>
        <w:t>NEP and NEC model refinement</w:t>
      </w:r>
      <w:bookmarkEnd w:id="39"/>
      <w:bookmarkEnd w:id="40"/>
      <w:bookmarkEnd w:id="41"/>
      <w:bookmarkEnd w:id="42"/>
      <w:bookmarkEnd w:id="43"/>
      <w:bookmarkEnd w:id="44"/>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7B61BD" w:rsidRPr="007918BB" w14:paraId="02D1C48E" w14:textId="77777777" w:rsidTr="005154CD">
        <w:tc>
          <w:tcPr>
            <w:tcW w:w="3726" w:type="pct"/>
            <w:tcBorders>
              <w:top w:val="nil"/>
              <w:bottom w:val="nil"/>
            </w:tcBorders>
            <w:shd w:val="clear" w:color="auto" w:fill="C40B46"/>
            <w:vAlign w:val="center"/>
          </w:tcPr>
          <w:p w14:paraId="765B0CB5" w14:textId="77777777" w:rsidR="007B61BD" w:rsidRPr="00743FDC" w:rsidRDefault="007B61BD" w:rsidP="005154CD">
            <w:pPr>
              <w:pStyle w:val="TableHeading"/>
              <w:rPr>
                <w:sz w:val="18"/>
                <w:szCs w:val="18"/>
              </w:rPr>
            </w:pPr>
            <w:r w:rsidRPr="00743FDC">
              <w:rPr>
                <w:sz w:val="18"/>
                <w:szCs w:val="18"/>
              </w:rPr>
              <w:t>DELIVERABLES</w:t>
            </w:r>
          </w:p>
        </w:tc>
        <w:tc>
          <w:tcPr>
            <w:tcW w:w="1274" w:type="pct"/>
            <w:tcBorders>
              <w:top w:val="nil"/>
              <w:bottom w:val="nil"/>
            </w:tcBorders>
            <w:shd w:val="clear" w:color="auto" w:fill="C40B46"/>
            <w:vAlign w:val="center"/>
          </w:tcPr>
          <w:p w14:paraId="1E0361F5" w14:textId="77777777" w:rsidR="007B61BD" w:rsidRPr="00743FDC" w:rsidRDefault="007B61BD" w:rsidP="005154CD">
            <w:pPr>
              <w:pStyle w:val="TableHeading"/>
              <w:rPr>
                <w:sz w:val="18"/>
                <w:szCs w:val="18"/>
              </w:rPr>
            </w:pPr>
            <w:r w:rsidRPr="00743FDC">
              <w:rPr>
                <w:sz w:val="18"/>
                <w:szCs w:val="18"/>
              </w:rPr>
              <w:t>TIMEFRAME</w:t>
            </w:r>
          </w:p>
        </w:tc>
      </w:tr>
      <w:tr w:rsidR="007B61BD" w:rsidRPr="0019336C" w14:paraId="7D283EAD" w14:textId="77777777" w:rsidTr="00C636B9">
        <w:trPr>
          <w:trHeight w:val="227"/>
        </w:trPr>
        <w:tc>
          <w:tcPr>
            <w:tcW w:w="3726" w:type="pct"/>
            <w:tcBorders>
              <w:top w:val="single" w:sz="4" w:space="0" w:color="auto"/>
              <w:bottom w:val="single" w:sz="4" w:space="0" w:color="auto"/>
            </w:tcBorders>
          </w:tcPr>
          <w:p w14:paraId="446E392D" w14:textId="4BC34E20" w:rsidR="007B61BD" w:rsidRPr="0019336C" w:rsidRDefault="00FD748B" w:rsidP="00FD748B">
            <w:pPr>
              <w:pStyle w:val="Body"/>
            </w:pPr>
            <w:r>
              <w:t>Continue to assess the</w:t>
            </w:r>
            <w:r w:rsidR="007B61BD" w:rsidRPr="0019336C">
              <w:t xml:space="preserve"> recommendations provided in the Fundamental Review.</w:t>
            </w:r>
          </w:p>
        </w:tc>
        <w:tc>
          <w:tcPr>
            <w:tcW w:w="1274" w:type="pct"/>
            <w:tcBorders>
              <w:top w:val="single" w:sz="4" w:space="0" w:color="auto"/>
              <w:bottom w:val="single" w:sz="4" w:space="0" w:color="auto"/>
            </w:tcBorders>
          </w:tcPr>
          <w:p w14:paraId="53945907" w14:textId="0C946009" w:rsidR="007B61BD" w:rsidRPr="0019336C" w:rsidRDefault="00FD748B" w:rsidP="004D4FF4">
            <w:pPr>
              <w:pStyle w:val="Body"/>
            </w:pPr>
            <w:r>
              <w:t>Ongoing</w:t>
            </w:r>
          </w:p>
        </w:tc>
      </w:tr>
    </w:tbl>
    <w:p w14:paraId="0BF96A96" w14:textId="77777777" w:rsidR="007B61BD" w:rsidRPr="0019336C" w:rsidRDefault="007B61BD" w:rsidP="00A45014">
      <w:pPr>
        <w:pStyle w:val="Body"/>
      </w:pPr>
    </w:p>
    <w:p w14:paraId="7A7ABA28" w14:textId="706D41EB" w:rsidR="00201BE1" w:rsidRDefault="00786AC4" w:rsidP="003B17C3">
      <w:pPr>
        <w:pStyle w:val="IntroBody"/>
      </w:pPr>
      <w:r w:rsidRPr="0019336C">
        <w:t xml:space="preserve">In 2019–20, IHPA </w:t>
      </w:r>
      <w:r w:rsidR="0019336C">
        <w:t>initiated</w:t>
      </w:r>
      <w:r w:rsidRPr="0019336C">
        <w:t xml:space="preserve"> a fundamental review of the national pricing model (the Fundamental Review) to ensure the assumptions and methodology underpinning the NEP remain robust and relevant. IHPA continue</w:t>
      </w:r>
      <w:r w:rsidR="004D4FF4">
        <w:t>s</w:t>
      </w:r>
      <w:r w:rsidRPr="0019336C">
        <w:t xml:space="preserve"> to work with jurisdictions to consider technical improvements to the pricing model, including</w:t>
      </w:r>
      <w:r w:rsidR="00393934">
        <w:t xml:space="preserve"> the implementation of</w:t>
      </w:r>
      <w:r w:rsidRPr="0019336C">
        <w:t xml:space="preserve"> recommendations from the Fundamental Review. </w:t>
      </w:r>
    </w:p>
    <w:p w14:paraId="5314CE08" w14:textId="16B45890" w:rsidR="007918BB" w:rsidRDefault="0019336C" w:rsidP="00743FDC">
      <w:pPr>
        <w:pStyle w:val="Heading2"/>
        <w:rPr>
          <w:sz w:val="18"/>
          <w:szCs w:val="18"/>
        </w:rPr>
      </w:pPr>
      <w:bookmarkStart w:id="45" w:name="_Toc55053989"/>
      <w:bookmarkStart w:id="46" w:name="_Toc55237208"/>
      <w:bookmarkStart w:id="47" w:name="_Toc55237773"/>
      <w:bookmarkStart w:id="48" w:name="_Toc55238298"/>
      <w:bookmarkStart w:id="49" w:name="_Toc55974116"/>
      <w:r w:rsidRPr="0081100E">
        <w:rPr>
          <w:rFonts w:ascii="Arial" w:hAnsi="Arial"/>
          <w:color w:val="262626" w:themeColor="text1" w:themeTint="D9"/>
          <w:sz w:val="18"/>
          <w:szCs w:val="18"/>
        </w:rPr>
        <w:t>IHPA will consult with stakeholders when assessing the implementation of recommendations from the Fundamental Review via IHPA</w:t>
      </w:r>
      <w:r w:rsidR="006340A1" w:rsidRPr="0081100E">
        <w:rPr>
          <w:rFonts w:ascii="Arial" w:hAnsi="Arial"/>
          <w:color w:val="262626" w:themeColor="text1" w:themeTint="D9"/>
          <w:sz w:val="18"/>
          <w:szCs w:val="18"/>
        </w:rPr>
        <w:t>’</w:t>
      </w:r>
      <w:r w:rsidRPr="0081100E">
        <w:rPr>
          <w:rFonts w:ascii="Arial" w:hAnsi="Arial"/>
          <w:color w:val="262626" w:themeColor="text1" w:themeTint="D9"/>
          <w:sz w:val="18"/>
          <w:szCs w:val="18"/>
        </w:rPr>
        <w:t>s working group structure, and the Jurisdictional and Technical Advisory Committees</w:t>
      </w:r>
      <w:r w:rsidRPr="0063398B">
        <w:rPr>
          <w:rFonts w:ascii="Arial" w:hAnsi="Arial"/>
          <w:color w:val="262626" w:themeColor="text1" w:themeTint="D9"/>
          <w:sz w:val="18"/>
          <w:szCs w:val="18"/>
        </w:rPr>
        <w:t>.</w:t>
      </w:r>
      <w:bookmarkEnd w:id="45"/>
      <w:bookmarkEnd w:id="46"/>
      <w:bookmarkEnd w:id="47"/>
      <w:bookmarkEnd w:id="48"/>
      <w:bookmarkEnd w:id="49"/>
      <w:r w:rsidR="004D4FF4" w:rsidRPr="0063398B" w:rsidDel="004D4FF4">
        <w:rPr>
          <w:rFonts w:ascii="Arial" w:hAnsi="Arial"/>
          <w:color w:val="262626" w:themeColor="text1" w:themeTint="D9"/>
          <w:sz w:val="18"/>
          <w:szCs w:val="18"/>
        </w:rPr>
        <w:t xml:space="preserve"> </w:t>
      </w:r>
      <w:bookmarkStart w:id="50" w:name="_Toc55053990"/>
    </w:p>
    <w:p w14:paraId="583D98C5" w14:textId="77777777" w:rsidR="00293419" w:rsidRDefault="00293419">
      <w:pPr>
        <w:rPr>
          <w:rFonts w:ascii="Arial Black" w:hAnsi="Arial Black" w:cs="Arial"/>
          <w:color w:val="000000" w:themeColor="text1"/>
          <w:sz w:val="18"/>
          <w:szCs w:val="18"/>
        </w:rPr>
      </w:pPr>
      <w:bookmarkStart w:id="51" w:name="_Toc55237209"/>
      <w:bookmarkStart w:id="52" w:name="_Toc55237774"/>
      <w:bookmarkStart w:id="53" w:name="_Toc55238299"/>
      <w:bookmarkStart w:id="54" w:name="_Toc55974117"/>
      <w:r>
        <w:rPr>
          <w:sz w:val="18"/>
          <w:szCs w:val="18"/>
        </w:rPr>
        <w:br w:type="page"/>
      </w:r>
    </w:p>
    <w:p w14:paraId="4B830FDF" w14:textId="6243A5D4" w:rsidR="00201BE1" w:rsidRPr="00743FDC" w:rsidRDefault="00201BE1" w:rsidP="00201BE1">
      <w:pPr>
        <w:pStyle w:val="Heading2"/>
        <w:rPr>
          <w:sz w:val="18"/>
          <w:szCs w:val="18"/>
        </w:rPr>
      </w:pPr>
      <w:r w:rsidRPr="00743FDC">
        <w:rPr>
          <w:sz w:val="18"/>
          <w:szCs w:val="18"/>
        </w:rPr>
        <w:lastRenderedPageBreak/>
        <w:t>(e)</w:t>
      </w:r>
      <w:r w:rsidR="00702100" w:rsidRPr="00743FDC">
        <w:rPr>
          <w:sz w:val="18"/>
          <w:szCs w:val="18"/>
        </w:rPr>
        <w:tab/>
      </w:r>
      <w:r w:rsidRPr="00743FDC">
        <w:rPr>
          <w:sz w:val="18"/>
          <w:szCs w:val="18"/>
        </w:rPr>
        <w:t>Pricing and funding safety and quality in the delivery of public hospital services</w:t>
      </w:r>
      <w:bookmarkEnd w:id="50"/>
      <w:bookmarkEnd w:id="51"/>
      <w:bookmarkEnd w:id="52"/>
      <w:bookmarkEnd w:id="53"/>
      <w:bookmarkEnd w:id="54"/>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201BE1" w:rsidRPr="007918BB" w14:paraId="69A7295A" w14:textId="77777777" w:rsidTr="00201BE1">
        <w:tc>
          <w:tcPr>
            <w:tcW w:w="3726" w:type="pct"/>
            <w:tcBorders>
              <w:top w:val="nil"/>
              <w:bottom w:val="nil"/>
            </w:tcBorders>
            <w:shd w:val="clear" w:color="auto" w:fill="C40B46"/>
            <w:vAlign w:val="center"/>
          </w:tcPr>
          <w:p w14:paraId="7E04C6C2" w14:textId="77777777" w:rsidR="00201BE1" w:rsidRPr="00743FDC" w:rsidRDefault="00201BE1" w:rsidP="00201BE1">
            <w:pPr>
              <w:pStyle w:val="TableHeading"/>
              <w:rPr>
                <w:sz w:val="18"/>
                <w:szCs w:val="18"/>
              </w:rPr>
            </w:pPr>
            <w:r w:rsidRPr="00743FDC">
              <w:rPr>
                <w:sz w:val="18"/>
                <w:szCs w:val="18"/>
              </w:rPr>
              <w:t>DELIVERABLES</w:t>
            </w:r>
          </w:p>
        </w:tc>
        <w:tc>
          <w:tcPr>
            <w:tcW w:w="1274" w:type="pct"/>
            <w:tcBorders>
              <w:top w:val="nil"/>
              <w:bottom w:val="nil"/>
            </w:tcBorders>
            <w:shd w:val="clear" w:color="auto" w:fill="C40B46"/>
            <w:vAlign w:val="center"/>
          </w:tcPr>
          <w:p w14:paraId="1849FE22" w14:textId="77777777" w:rsidR="00201BE1" w:rsidRPr="00743FDC" w:rsidRDefault="00201BE1" w:rsidP="00201BE1">
            <w:pPr>
              <w:pStyle w:val="TableHeading"/>
              <w:rPr>
                <w:sz w:val="18"/>
                <w:szCs w:val="18"/>
              </w:rPr>
            </w:pPr>
            <w:r w:rsidRPr="00743FDC">
              <w:rPr>
                <w:sz w:val="18"/>
                <w:szCs w:val="18"/>
              </w:rPr>
              <w:t>TIMEFRAME</w:t>
            </w:r>
          </w:p>
        </w:tc>
      </w:tr>
      <w:tr w:rsidR="00990D12" w:rsidRPr="0019336C" w14:paraId="19B49469" w14:textId="77777777" w:rsidTr="00201BE1">
        <w:trPr>
          <w:trHeight w:val="510"/>
        </w:trPr>
        <w:tc>
          <w:tcPr>
            <w:tcW w:w="3726" w:type="pct"/>
            <w:tcBorders>
              <w:top w:val="nil"/>
            </w:tcBorders>
          </w:tcPr>
          <w:p w14:paraId="4CEA5B14" w14:textId="26293C55" w:rsidR="00990D12" w:rsidRPr="0019336C" w:rsidRDefault="00990D12" w:rsidP="003001E7">
            <w:pPr>
              <w:pStyle w:val="Body"/>
            </w:pPr>
            <w:r>
              <w:t xml:space="preserve">Implementation of a risk adjusted </w:t>
            </w:r>
            <w:r w:rsidR="003001E7">
              <w:t>pricing</w:t>
            </w:r>
            <w:r>
              <w:t xml:space="preserve"> approach to reduce the rates of</w:t>
            </w:r>
            <w:r w:rsidRPr="00B761EF">
              <w:t xml:space="preserve"> avoidable hospital readmissions</w:t>
            </w:r>
            <w:r>
              <w:t xml:space="preserve"> in public hospitals</w:t>
            </w:r>
            <w:r w:rsidRPr="00B761EF">
              <w:t>.</w:t>
            </w:r>
          </w:p>
        </w:tc>
        <w:tc>
          <w:tcPr>
            <w:tcW w:w="1274" w:type="pct"/>
            <w:tcBorders>
              <w:top w:val="nil"/>
            </w:tcBorders>
          </w:tcPr>
          <w:p w14:paraId="55B4F1FF" w14:textId="6D4C79E7" w:rsidR="00990D12" w:rsidRPr="0019336C" w:rsidRDefault="00990D12" w:rsidP="00990D12">
            <w:pPr>
              <w:pStyle w:val="Body"/>
            </w:pPr>
            <w:r>
              <w:t>July 2021</w:t>
            </w:r>
          </w:p>
        </w:tc>
      </w:tr>
      <w:tr w:rsidR="00990D12" w:rsidRPr="0019336C" w14:paraId="15E9A072" w14:textId="77777777" w:rsidTr="00102FA9">
        <w:trPr>
          <w:trHeight w:val="16"/>
        </w:trPr>
        <w:tc>
          <w:tcPr>
            <w:tcW w:w="3726" w:type="pct"/>
          </w:tcPr>
          <w:p w14:paraId="0D5530F9" w14:textId="618BD9D4" w:rsidR="00990D12" w:rsidRPr="0019336C" w:rsidDel="0077642E" w:rsidRDefault="00990D12" w:rsidP="00102FA9">
            <w:pPr>
              <w:pStyle w:val="Body"/>
            </w:pPr>
            <w:r>
              <w:t>Development of a framework to evaluate the safety and quality reforms</w:t>
            </w:r>
            <w:r w:rsidR="00102FA9">
              <w:t>.</w:t>
            </w:r>
          </w:p>
        </w:tc>
        <w:tc>
          <w:tcPr>
            <w:tcW w:w="1274" w:type="pct"/>
          </w:tcPr>
          <w:p w14:paraId="1844792E" w14:textId="39B361D4" w:rsidR="00990D12" w:rsidDel="0077642E" w:rsidRDefault="00990D12" w:rsidP="00990D12">
            <w:pPr>
              <w:pStyle w:val="Body"/>
            </w:pPr>
            <w:r>
              <w:t>April 2021</w:t>
            </w:r>
          </w:p>
        </w:tc>
      </w:tr>
      <w:tr w:rsidR="00990D12" w:rsidRPr="0019336C" w14:paraId="256A0970" w14:textId="77777777" w:rsidTr="00102FA9">
        <w:trPr>
          <w:trHeight w:val="16"/>
        </w:trPr>
        <w:tc>
          <w:tcPr>
            <w:tcW w:w="3726" w:type="pct"/>
            <w:tcBorders>
              <w:bottom w:val="single" w:sz="4" w:space="0" w:color="auto"/>
            </w:tcBorders>
          </w:tcPr>
          <w:p w14:paraId="1C553305" w14:textId="6AF61424" w:rsidR="00990D12" w:rsidRPr="0019336C" w:rsidDel="0077642E" w:rsidRDefault="00990D12" w:rsidP="00F2693E">
            <w:pPr>
              <w:pStyle w:val="Body"/>
              <w:ind w:right="-143"/>
            </w:pPr>
            <w:r>
              <w:t xml:space="preserve">Investigation and provision of advice </w:t>
            </w:r>
            <w:r w:rsidR="00102FA9">
              <w:t xml:space="preserve">on </w:t>
            </w:r>
            <w:r w:rsidR="0023231E">
              <w:t>options</w:t>
            </w:r>
            <w:r>
              <w:t xml:space="preserve"> to reduce preventable </w:t>
            </w:r>
            <w:proofErr w:type="spellStart"/>
            <w:r w:rsidR="00F2693E">
              <w:t>h</w:t>
            </w:r>
            <w:r>
              <w:t>ospitalisations</w:t>
            </w:r>
            <w:proofErr w:type="spellEnd"/>
            <w:r>
              <w:t>.</w:t>
            </w:r>
          </w:p>
        </w:tc>
        <w:tc>
          <w:tcPr>
            <w:tcW w:w="1274" w:type="pct"/>
            <w:tcBorders>
              <w:bottom w:val="single" w:sz="4" w:space="0" w:color="auto"/>
            </w:tcBorders>
          </w:tcPr>
          <w:p w14:paraId="0B931A71" w14:textId="31BCE79F" w:rsidR="00990D12" w:rsidDel="0077642E" w:rsidRDefault="00990D12" w:rsidP="00990D12">
            <w:pPr>
              <w:pStyle w:val="Body"/>
            </w:pPr>
            <w:r>
              <w:t>April 2021</w:t>
            </w:r>
          </w:p>
        </w:tc>
      </w:tr>
      <w:tr w:rsidR="00102FA9" w:rsidRPr="0019336C" w14:paraId="1BE25747" w14:textId="77777777" w:rsidTr="00102FA9">
        <w:trPr>
          <w:trHeight w:val="16"/>
        </w:trPr>
        <w:tc>
          <w:tcPr>
            <w:tcW w:w="3726" w:type="pct"/>
            <w:tcBorders>
              <w:top w:val="single" w:sz="4" w:space="0" w:color="auto"/>
              <w:bottom w:val="single" w:sz="4" w:space="0" w:color="auto"/>
            </w:tcBorders>
          </w:tcPr>
          <w:p w14:paraId="222E7EB7" w14:textId="77777777" w:rsidR="00102FA9" w:rsidRPr="0019336C" w:rsidRDefault="00102FA9" w:rsidP="003001E7">
            <w:pPr>
              <w:pStyle w:val="Body"/>
            </w:pPr>
            <w:r w:rsidRPr="0019336C">
              <w:t xml:space="preserve">Development of a software tool to track avoidable </w:t>
            </w:r>
            <w:r>
              <w:t xml:space="preserve">hospital </w:t>
            </w:r>
            <w:r w:rsidRPr="0019336C">
              <w:t>readmissions</w:t>
            </w:r>
            <w:r>
              <w:t>.</w:t>
            </w:r>
          </w:p>
        </w:tc>
        <w:tc>
          <w:tcPr>
            <w:tcW w:w="1274" w:type="pct"/>
            <w:tcBorders>
              <w:top w:val="single" w:sz="4" w:space="0" w:color="auto"/>
              <w:bottom w:val="single" w:sz="4" w:space="0" w:color="auto"/>
            </w:tcBorders>
          </w:tcPr>
          <w:p w14:paraId="6CBFF9E2" w14:textId="77777777" w:rsidR="00102FA9" w:rsidRPr="0019336C" w:rsidRDefault="00102FA9" w:rsidP="003001E7">
            <w:pPr>
              <w:pStyle w:val="Body"/>
            </w:pPr>
            <w:r>
              <w:t>April 2021</w:t>
            </w:r>
          </w:p>
        </w:tc>
      </w:tr>
      <w:tr w:rsidR="00192DBA" w:rsidRPr="0019336C" w14:paraId="6BEC4D09" w14:textId="77777777" w:rsidTr="00102FA9">
        <w:trPr>
          <w:trHeight w:val="16"/>
        </w:trPr>
        <w:tc>
          <w:tcPr>
            <w:tcW w:w="3726" w:type="pct"/>
            <w:tcBorders>
              <w:top w:val="single" w:sz="4" w:space="0" w:color="auto"/>
              <w:bottom w:val="single" w:sz="4" w:space="0" w:color="auto"/>
            </w:tcBorders>
          </w:tcPr>
          <w:p w14:paraId="30416BE2" w14:textId="278ADC4E" w:rsidR="00192DBA" w:rsidRPr="0019336C" w:rsidRDefault="00192DBA" w:rsidP="00192DBA">
            <w:pPr>
              <w:pStyle w:val="Body"/>
            </w:pPr>
            <w:r>
              <w:t>Inclusion of avoidable hospital readmissions rates in the National Benchmarking Portal</w:t>
            </w:r>
          </w:p>
        </w:tc>
        <w:tc>
          <w:tcPr>
            <w:tcW w:w="1274" w:type="pct"/>
            <w:tcBorders>
              <w:top w:val="single" w:sz="4" w:space="0" w:color="auto"/>
              <w:bottom w:val="single" w:sz="4" w:space="0" w:color="auto"/>
            </w:tcBorders>
          </w:tcPr>
          <w:p w14:paraId="58D48482" w14:textId="3BD9F774" w:rsidR="00192DBA" w:rsidRDefault="00192DBA" w:rsidP="003001E7">
            <w:pPr>
              <w:pStyle w:val="Body"/>
            </w:pPr>
            <w:r>
              <w:t>December 2021</w:t>
            </w:r>
          </w:p>
        </w:tc>
      </w:tr>
    </w:tbl>
    <w:p w14:paraId="025F29A8" w14:textId="77777777" w:rsidR="00201BE1" w:rsidRPr="0019336C" w:rsidRDefault="00201BE1" w:rsidP="00201BE1">
      <w:pPr>
        <w:pStyle w:val="Body"/>
      </w:pPr>
    </w:p>
    <w:p w14:paraId="0A7B2C19" w14:textId="1BD89190" w:rsidR="00990D12" w:rsidRDefault="00990D12" w:rsidP="00990D12">
      <w:pPr>
        <w:pStyle w:val="IntroBody"/>
      </w:pPr>
      <w:r w:rsidRPr="00053842">
        <w:t xml:space="preserve">In May 2020, all Australian governments signed the Addendum, which amends the </w:t>
      </w:r>
      <w:r w:rsidR="001F2A57">
        <w:t xml:space="preserve">National Health Reform Agreement </w:t>
      </w:r>
      <w:r w:rsidRPr="00053842">
        <w:t>for the period f</w:t>
      </w:r>
      <w:r w:rsidR="00102FA9">
        <w:t>rom 1 July </w:t>
      </w:r>
      <w:r w:rsidRPr="00053842">
        <w:t>2020 to 30 June 2025 and further defines IHPA’s role in the incorporation of safety and quality into hospital pricing and funding. Under the Addendum, IHPA is required to continue approaches for sentinel events and hospital acquired complications (HACs) and develop a pricing and funding approach for avoidable hospital readmissions, for implementation from 1 July 2021</w:t>
      </w:r>
      <w:r w:rsidR="00102FA9">
        <w:t xml:space="preserve">. </w:t>
      </w:r>
      <w:r>
        <w:t>The Addendum also requires IHPA to provide adv</w:t>
      </w:r>
      <w:r w:rsidR="00102FA9">
        <w:t xml:space="preserve">ice </w:t>
      </w:r>
      <w:r>
        <w:t xml:space="preserve">regarding </w:t>
      </w:r>
      <w:r w:rsidR="00102FA9">
        <w:t xml:space="preserve">the </w:t>
      </w:r>
      <w:r>
        <w:t xml:space="preserve">evaluation of the existing safety and quality reforms and investigation of new reforms, including options for reducing preventable </w:t>
      </w:r>
      <w:proofErr w:type="spellStart"/>
      <w:r>
        <w:t>hospitalisations</w:t>
      </w:r>
      <w:proofErr w:type="spellEnd"/>
      <w:r>
        <w:t>.</w:t>
      </w:r>
    </w:p>
    <w:p w14:paraId="49FCB679" w14:textId="77777777" w:rsidR="00201BE1" w:rsidRPr="00102FA9" w:rsidRDefault="00201BE1" w:rsidP="001513C7">
      <w:pPr>
        <w:rPr>
          <w:rFonts w:ascii="Arial" w:hAnsi="Arial" w:cs="Arial"/>
          <w:b/>
          <w:sz w:val="18"/>
          <w:szCs w:val="18"/>
        </w:rPr>
      </w:pPr>
      <w:bookmarkStart w:id="55" w:name="_Toc55045619"/>
      <w:bookmarkStart w:id="56" w:name="_Toc55053991"/>
      <w:bookmarkStart w:id="57" w:name="_Toc55237210"/>
      <w:r w:rsidRPr="00102FA9">
        <w:rPr>
          <w:rFonts w:ascii="Arial" w:hAnsi="Arial" w:cs="Arial"/>
          <w:b/>
          <w:sz w:val="18"/>
          <w:szCs w:val="18"/>
        </w:rPr>
        <w:t>Sentinel events</w:t>
      </w:r>
      <w:bookmarkEnd w:id="55"/>
      <w:bookmarkEnd w:id="56"/>
      <w:bookmarkEnd w:id="57"/>
    </w:p>
    <w:p w14:paraId="2FEA08F0" w14:textId="77777777" w:rsidR="00990D12" w:rsidRDefault="00990D12" w:rsidP="00990D12">
      <w:pPr>
        <w:pStyle w:val="Body"/>
      </w:pPr>
      <w:r w:rsidRPr="00053842">
        <w:t>Sentinel events are preventable adverse events that result in death or serious harm to patients, where serious harm is defined to include requiring life-saving surgical or medical intervention, shortened life expectancy, permanent or long-term physical harm or permanent or long-term loss of function.</w:t>
      </w:r>
    </w:p>
    <w:p w14:paraId="4065B967" w14:textId="77777777" w:rsidR="00990D12" w:rsidRDefault="00990D12" w:rsidP="00990D12">
      <w:pPr>
        <w:pStyle w:val="Body"/>
      </w:pPr>
      <w:r w:rsidRPr="00053842">
        <w:t>The Australian Commission on Safety and Quality in Health Care (the Commission) is responsible for managing the Australian Sentinel Events List, which was initially endorsed by health ministers in 2002.</w:t>
      </w:r>
    </w:p>
    <w:p w14:paraId="19867292" w14:textId="77777777" w:rsidR="00990D12" w:rsidRDefault="00990D12" w:rsidP="00990D12">
      <w:pPr>
        <w:pStyle w:val="Body"/>
        <w:rPr>
          <w:b/>
          <w:color w:val="000000" w:themeColor="text1"/>
          <w:sz w:val="28"/>
          <w:szCs w:val="28"/>
        </w:rPr>
      </w:pPr>
      <w:r w:rsidRPr="00053842">
        <w:t xml:space="preserve">The Commission undertook a review of the Australian Sentinel Events List in 2017 and the updated list was endorsed by Australian health ministers in December 2018. Version 2.0 of the Australian Sentinel Events List is available on the </w:t>
      </w:r>
      <w:hyperlink r:id="rId33" w:history="1">
        <w:r w:rsidRPr="0019336C">
          <w:rPr>
            <w:rStyle w:val="LinkChar"/>
          </w:rPr>
          <w:t>Commission’s website</w:t>
        </w:r>
      </w:hyperlink>
      <w:r w:rsidRPr="0019336C">
        <w:t>.</w:t>
      </w:r>
    </w:p>
    <w:p w14:paraId="4E1B003B" w14:textId="1C3376D9" w:rsidR="00201BE1" w:rsidRPr="00102FA9" w:rsidRDefault="00192240" w:rsidP="001513C7">
      <w:pPr>
        <w:rPr>
          <w:rFonts w:ascii="Arial" w:hAnsi="Arial" w:cs="Arial"/>
          <w:b/>
          <w:sz w:val="18"/>
          <w:szCs w:val="18"/>
        </w:rPr>
      </w:pPr>
      <w:r>
        <w:rPr>
          <w:rFonts w:ascii="Arial" w:hAnsi="Arial" w:cs="Arial"/>
          <w:b/>
          <w:sz w:val="18"/>
          <w:szCs w:val="18"/>
        </w:rPr>
        <w:t>Hospital acquired complications</w:t>
      </w:r>
    </w:p>
    <w:p w14:paraId="7FEFC961" w14:textId="77777777" w:rsidR="00990D12" w:rsidRPr="0019336C" w:rsidRDefault="00990D12" w:rsidP="00990D12">
      <w:pPr>
        <w:pStyle w:val="Body"/>
      </w:pPr>
      <w:r w:rsidRPr="00053842">
        <w:t>HACs are complications that occur during a hospital stay and where clinical risk mitigation strategies may reduce (but not necessarily eliminate) the risk of that complication occurring. The Commission is responsible for the ongoing curation of the HAC list to ensure it remains clinically relevant.</w:t>
      </w:r>
    </w:p>
    <w:p w14:paraId="2D0D7BDC" w14:textId="77777777" w:rsidR="00990D12" w:rsidRDefault="00990D12" w:rsidP="00990D12">
      <w:pPr>
        <w:pStyle w:val="Body"/>
      </w:pPr>
      <w:r w:rsidRPr="00053842">
        <w:t>Following a review of all complication groups over 2018–19, the Commission released Version 3.0 of the HACs list in January 2020, which includes updates to falls resulting in fracture or intracranial injury, healthcare-associated infection, surgical complications requiring unplanned return to theatre, venous thromboembolism, gastrointestinal bleeding, incontinence and endocrine complications.</w:t>
      </w:r>
    </w:p>
    <w:p w14:paraId="795576DE" w14:textId="77777777" w:rsidR="00990D12" w:rsidRDefault="00990D12" w:rsidP="00990D12">
      <w:pPr>
        <w:pStyle w:val="Body"/>
      </w:pPr>
      <w:r w:rsidRPr="00053842">
        <w:t xml:space="preserve">The HAC list is published on the </w:t>
      </w:r>
      <w:hyperlink r:id="rId34" w:history="1">
        <w:r w:rsidRPr="00A7773F">
          <w:rPr>
            <w:rStyle w:val="Hyperlink"/>
            <w:color w:val="008A00" w:themeColor="accent2"/>
          </w:rPr>
          <w:t>Commission’s website</w:t>
        </w:r>
      </w:hyperlink>
      <w:r w:rsidRPr="00D86EBD">
        <w:t>.</w:t>
      </w:r>
    </w:p>
    <w:p w14:paraId="0B17B707" w14:textId="77777777" w:rsidR="00201BE1" w:rsidRPr="00F2693E" w:rsidRDefault="00201BE1" w:rsidP="001513C7">
      <w:pPr>
        <w:rPr>
          <w:rFonts w:ascii="Arial" w:hAnsi="Arial" w:cs="Arial"/>
          <w:b/>
          <w:sz w:val="18"/>
          <w:szCs w:val="18"/>
        </w:rPr>
      </w:pPr>
      <w:bookmarkStart w:id="58" w:name="_Toc55053993"/>
      <w:bookmarkStart w:id="59" w:name="_Toc55237212"/>
      <w:r w:rsidRPr="00F2693E">
        <w:rPr>
          <w:rFonts w:ascii="Arial" w:hAnsi="Arial" w:cs="Arial"/>
          <w:b/>
          <w:sz w:val="18"/>
          <w:szCs w:val="18"/>
        </w:rPr>
        <w:t>Avoidable hospital readmissions</w:t>
      </w:r>
      <w:bookmarkEnd w:id="58"/>
      <w:bookmarkEnd w:id="59"/>
    </w:p>
    <w:p w14:paraId="7002C1D6" w14:textId="77777777" w:rsidR="00490FD2" w:rsidRPr="00F2693E" w:rsidRDefault="00490FD2" w:rsidP="00990D12">
      <w:pPr>
        <w:pStyle w:val="Body"/>
      </w:pPr>
      <w:r w:rsidRPr="00F2693E">
        <w:t>An avoidable hospital readmission occurs when a patient who has been discharged from hospital (defined as the index admission) is admitted again within a certain time interval and the readmission is clinically related to the index admission and had the potential to be avoided through improved clinical management or appropriate discharge planning in the index admission.</w:t>
      </w:r>
    </w:p>
    <w:p w14:paraId="11E115EC" w14:textId="3CECED62" w:rsidR="00490FD2" w:rsidRPr="00F2693E" w:rsidRDefault="00490FD2" w:rsidP="00990D12">
      <w:pPr>
        <w:pStyle w:val="Body"/>
      </w:pPr>
      <w:r w:rsidRPr="00F2693E">
        <w:t xml:space="preserve">Under the Addendum, IHPA is required to develop a pricing </w:t>
      </w:r>
      <w:r w:rsidR="00F2693E" w:rsidRPr="00F2693E">
        <w:t>approach</w:t>
      </w:r>
      <w:r w:rsidRPr="00F2693E">
        <w:t xml:space="preserve"> for avoidable hospital readmissions, for implementation from 1 July 2021, following approval from the Council of Australian Governments Health Council (CHC). This is part of the collaborative work with the Commission to incorporate safety and quality measures into funding and pricing for Australian public hospitals to improve patient health outcomes.</w:t>
      </w:r>
    </w:p>
    <w:p w14:paraId="7E2B33BC" w14:textId="09B705A9" w:rsidR="002519E6" w:rsidRPr="00F2693E" w:rsidRDefault="002519E6" w:rsidP="00990D12">
      <w:pPr>
        <w:pStyle w:val="Body"/>
        <w:rPr>
          <w:highlight w:val="yellow"/>
        </w:rPr>
      </w:pPr>
      <w:r w:rsidRPr="00F2693E">
        <w:t>On 1 July 2019, IHPA commenced a 24-month shadow period for the three funding options outlined in the Pricing Framework for Australian Public Hospital Services 2019–20. Under the proposed pricing approach, a risk-adjusted National Weighted Activity Unit (NWAU) adjustment is applied to the index episode, based on the total NWAU of the associated readmission. A risk adjustment model has been derived for each readmission condition, which assigns the risk of being readmitted for each episode of care, based on the most clinically relevant and statistically significant risk factors.</w:t>
      </w:r>
    </w:p>
    <w:p w14:paraId="60C4048F" w14:textId="5AEF9A5F" w:rsidR="00490FD2" w:rsidRPr="00431C95" w:rsidRDefault="002519E6" w:rsidP="00990D12">
      <w:pPr>
        <w:pStyle w:val="Body"/>
      </w:pPr>
      <w:r w:rsidRPr="00F2693E">
        <w:lastRenderedPageBreak/>
        <w:t xml:space="preserve">This pricing approach was selected based on its similarity to the hospital acquired complications funding adjustment, ease of application and less disproportionate impact across jurisdictions, particularly smaller states and territories with fewer </w:t>
      </w:r>
      <w:r w:rsidR="00192376">
        <w:t>LHN</w:t>
      </w:r>
      <w:r w:rsidRPr="00431C95">
        <w:t>s. The funding adjustment will apply where there is a readmission to any hospital within the same jurisdiction.</w:t>
      </w:r>
    </w:p>
    <w:p w14:paraId="2AA2E50D" w14:textId="0A808288" w:rsidR="00990D12" w:rsidRPr="00431C95" w:rsidRDefault="00990D12" w:rsidP="00990D12">
      <w:pPr>
        <w:pStyle w:val="Body"/>
      </w:pPr>
      <w:r w:rsidRPr="00431C95">
        <w:t xml:space="preserve">Pending </w:t>
      </w:r>
      <w:r w:rsidR="002519E6" w:rsidRPr="00431C95">
        <w:t>CHC</w:t>
      </w:r>
      <w:r w:rsidRPr="00431C95">
        <w:t xml:space="preserve"> approval, IHPA will implement the avoidable hospital readmissions funding adjustment for the NEP Determination 2021–22 and include avoidable hospital readmission rates in the National Benchmarking Portal (NBP).</w:t>
      </w:r>
    </w:p>
    <w:p w14:paraId="4639F8B1" w14:textId="77777777" w:rsidR="00990D12" w:rsidRPr="00431C95" w:rsidRDefault="00990D12" w:rsidP="00990D12">
      <w:pPr>
        <w:pStyle w:val="Body"/>
      </w:pPr>
      <w:r w:rsidRPr="00431C95">
        <w:t xml:space="preserve">The list of avoidable hospital readmission conditions and specifications is available on the </w:t>
      </w:r>
      <w:hyperlink r:id="rId35" w:history="1">
        <w:r w:rsidRPr="00431C95">
          <w:rPr>
            <w:rStyle w:val="Hyperlink"/>
            <w:color w:val="008A00" w:themeColor="accent2"/>
          </w:rPr>
          <w:t>Commission’s website</w:t>
        </w:r>
      </w:hyperlink>
      <w:r w:rsidRPr="00431C95">
        <w:t>.</w:t>
      </w:r>
    </w:p>
    <w:p w14:paraId="39067764" w14:textId="77777777" w:rsidR="00990D12" w:rsidRDefault="00990D12" w:rsidP="00990D12">
      <w:pPr>
        <w:pStyle w:val="Body"/>
      </w:pPr>
      <w:r w:rsidRPr="00431C95">
        <w:t>IHPA has engaged a contractor to develop commercial grouping software to determine whether a readmission is clinically related to a prior admission. This will allow IHPA to undertake broader investigation of avoidable readmission conditions simultaneously with the current list of avoidable hospital readmissions developed by the Commission.</w:t>
      </w:r>
    </w:p>
    <w:p w14:paraId="5C07F194" w14:textId="46770799" w:rsidR="00990D12" w:rsidRPr="00102FA9" w:rsidRDefault="00990D12" w:rsidP="00102FA9">
      <w:pPr>
        <w:rPr>
          <w:sz w:val="18"/>
          <w:szCs w:val="18"/>
        </w:rPr>
      </w:pPr>
      <w:r w:rsidRPr="00102FA9">
        <w:rPr>
          <w:rFonts w:ascii="Arial" w:hAnsi="Arial" w:cs="Arial"/>
          <w:b/>
          <w:sz w:val="18"/>
          <w:szCs w:val="18"/>
        </w:rPr>
        <w:t>Further safety and quality reforms</w:t>
      </w:r>
    </w:p>
    <w:p w14:paraId="37CBB161" w14:textId="34B0B707" w:rsidR="00990D12" w:rsidRDefault="00990D12" w:rsidP="00990D12">
      <w:pPr>
        <w:pStyle w:val="Body"/>
      </w:pPr>
      <w:r>
        <w:t xml:space="preserve">Under the Addendum, IHPA is required to </w:t>
      </w:r>
      <w:r w:rsidR="00102FA9">
        <w:t xml:space="preserve">develop a framework to evaluate the </w:t>
      </w:r>
      <w:r w:rsidR="00192240">
        <w:t xml:space="preserve">safety and quality reforms related to </w:t>
      </w:r>
      <w:r w:rsidR="00102FA9">
        <w:t>sentinel event</w:t>
      </w:r>
      <w:r w:rsidR="00192240">
        <w:t>s</w:t>
      </w:r>
      <w:r>
        <w:t>, hospital acquired complica</w:t>
      </w:r>
      <w:r w:rsidR="00102FA9">
        <w:t>tion</w:t>
      </w:r>
      <w:r w:rsidR="00192240">
        <w:t>s</w:t>
      </w:r>
      <w:r>
        <w:t xml:space="preserve"> and</w:t>
      </w:r>
      <w:r w:rsidR="00102FA9">
        <w:t xml:space="preserve"> avoidable hospital readmission</w:t>
      </w:r>
      <w:r w:rsidR="00192240">
        <w:t>s</w:t>
      </w:r>
      <w:r w:rsidR="002519E6">
        <w:t>, with advice to be provided to CHC by April 2021</w:t>
      </w:r>
      <w:r>
        <w:t>. IHPA will develop a framework to provide guidance for the evaluation of both existing and future safety and quality reforms against the principles outlined in the Addendum.</w:t>
      </w:r>
    </w:p>
    <w:p w14:paraId="1C609E52" w14:textId="51DD70D7" w:rsidR="00990D12" w:rsidRDefault="00990D12" w:rsidP="00990D12">
      <w:pPr>
        <w:pStyle w:val="Body"/>
      </w:pPr>
      <w:r>
        <w:t xml:space="preserve">IHPA, in conjunction with the Commission, will also provide advice </w:t>
      </w:r>
      <w:r w:rsidR="002519E6">
        <w:t xml:space="preserve">to CHC by April 2021 </w:t>
      </w:r>
      <w:r>
        <w:t xml:space="preserve">on the further development of safety and quality reforms, in particular investigating ways to reduce </w:t>
      </w:r>
      <w:r w:rsidR="00102FA9">
        <w:t xml:space="preserve">preventable </w:t>
      </w:r>
      <w:proofErr w:type="spellStart"/>
      <w:r w:rsidR="00102FA9">
        <w:t>hospitalisations</w:t>
      </w:r>
      <w:proofErr w:type="spellEnd"/>
      <w:r>
        <w:t>.</w:t>
      </w:r>
    </w:p>
    <w:p w14:paraId="75F657B7" w14:textId="5E2E5711" w:rsidR="007B61BD" w:rsidRPr="00743FDC" w:rsidRDefault="00743FDC" w:rsidP="00102FA9">
      <w:pPr>
        <w:pStyle w:val="Heading2"/>
        <w:rPr>
          <w:sz w:val="18"/>
          <w:szCs w:val="18"/>
        </w:rPr>
      </w:pPr>
      <w:bookmarkStart w:id="60" w:name="_Toc55045622"/>
      <w:bookmarkStart w:id="61" w:name="_Toc55053994"/>
      <w:bookmarkStart w:id="62" w:name="_Toc55237213"/>
      <w:bookmarkStart w:id="63" w:name="_Toc55237775"/>
      <w:bookmarkStart w:id="64" w:name="_Toc55238300"/>
      <w:bookmarkStart w:id="65" w:name="_Toc55974118"/>
      <w:r w:rsidRPr="00743FDC">
        <w:rPr>
          <w:sz w:val="18"/>
          <w:szCs w:val="18"/>
        </w:rPr>
        <w:t>(</w:t>
      </w:r>
      <w:r w:rsidR="007B61BD" w:rsidRPr="00743FDC">
        <w:rPr>
          <w:sz w:val="18"/>
          <w:szCs w:val="18"/>
        </w:rPr>
        <w:t>f)</w:t>
      </w:r>
      <w:r w:rsidR="007B61BD" w:rsidRPr="00743FDC">
        <w:rPr>
          <w:sz w:val="18"/>
          <w:szCs w:val="18"/>
        </w:rPr>
        <w:tab/>
        <w:t>Forecast of the NEP for future years</w:t>
      </w:r>
      <w:bookmarkEnd w:id="60"/>
      <w:bookmarkEnd w:id="61"/>
      <w:bookmarkEnd w:id="62"/>
      <w:bookmarkEnd w:id="63"/>
      <w:bookmarkEnd w:id="64"/>
      <w:bookmarkEnd w:id="65"/>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7B61BD" w:rsidRPr="007918BB" w14:paraId="4A5F2209" w14:textId="77777777" w:rsidTr="005154CD">
        <w:tc>
          <w:tcPr>
            <w:tcW w:w="3726" w:type="pct"/>
            <w:tcBorders>
              <w:top w:val="nil"/>
              <w:bottom w:val="nil"/>
            </w:tcBorders>
            <w:shd w:val="clear" w:color="auto" w:fill="C40B46"/>
            <w:vAlign w:val="center"/>
          </w:tcPr>
          <w:p w14:paraId="068FF537" w14:textId="77777777" w:rsidR="007B61BD" w:rsidRPr="00743FDC" w:rsidRDefault="007B61BD" w:rsidP="005154CD">
            <w:pPr>
              <w:pStyle w:val="TableHeading"/>
              <w:rPr>
                <w:sz w:val="18"/>
                <w:szCs w:val="18"/>
              </w:rPr>
            </w:pPr>
            <w:r w:rsidRPr="00743FDC">
              <w:rPr>
                <w:sz w:val="18"/>
                <w:szCs w:val="18"/>
              </w:rPr>
              <w:t>DELIVERABLES</w:t>
            </w:r>
          </w:p>
        </w:tc>
        <w:tc>
          <w:tcPr>
            <w:tcW w:w="1274" w:type="pct"/>
            <w:tcBorders>
              <w:top w:val="nil"/>
              <w:bottom w:val="nil"/>
            </w:tcBorders>
            <w:shd w:val="clear" w:color="auto" w:fill="C40B46"/>
            <w:vAlign w:val="center"/>
          </w:tcPr>
          <w:p w14:paraId="5BBF063C" w14:textId="77777777" w:rsidR="007B61BD" w:rsidRPr="00743FDC" w:rsidRDefault="007B61BD" w:rsidP="005154CD">
            <w:pPr>
              <w:pStyle w:val="TableHeading"/>
              <w:rPr>
                <w:sz w:val="18"/>
                <w:szCs w:val="18"/>
              </w:rPr>
            </w:pPr>
            <w:r w:rsidRPr="00743FDC">
              <w:rPr>
                <w:sz w:val="18"/>
                <w:szCs w:val="18"/>
              </w:rPr>
              <w:t>TIMEFRAME</w:t>
            </w:r>
          </w:p>
        </w:tc>
      </w:tr>
      <w:tr w:rsidR="007B61BD" w:rsidRPr="0019336C" w14:paraId="31C36CA2" w14:textId="77777777" w:rsidTr="007B61BD">
        <w:trPr>
          <w:trHeight w:val="256"/>
        </w:trPr>
        <w:tc>
          <w:tcPr>
            <w:tcW w:w="3726" w:type="pct"/>
            <w:tcBorders>
              <w:top w:val="nil"/>
              <w:bottom w:val="single" w:sz="4" w:space="0" w:color="auto"/>
            </w:tcBorders>
          </w:tcPr>
          <w:p w14:paraId="3EA97EDF" w14:textId="77777777" w:rsidR="007B61BD" w:rsidRPr="0019336C" w:rsidRDefault="007B61BD" w:rsidP="005154CD">
            <w:pPr>
              <w:pStyle w:val="Body"/>
            </w:pPr>
            <w:r w:rsidRPr="0019336C">
              <w:t>Provide confidential N</w:t>
            </w:r>
            <w:r w:rsidR="00FC3840">
              <w:t>EP</w:t>
            </w:r>
            <w:r w:rsidRPr="0019336C">
              <w:t xml:space="preserve"> forecast for future years to jurisdictions.</w:t>
            </w:r>
          </w:p>
        </w:tc>
        <w:tc>
          <w:tcPr>
            <w:tcW w:w="1274" w:type="pct"/>
            <w:tcBorders>
              <w:top w:val="nil"/>
              <w:bottom w:val="single" w:sz="4" w:space="0" w:color="auto"/>
            </w:tcBorders>
          </w:tcPr>
          <w:p w14:paraId="0775156B" w14:textId="1257CEA7" w:rsidR="007B61BD" w:rsidRPr="0019336C" w:rsidRDefault="00FC3840" w:rsidP="005154CD">
            <w:pPr>
              <w:pStyle w:val="Body"/>
            </w:pPr>
            <w:r>
              <w:t xml:space="preserve">December </w:t>
            </w:r>
            <w:r w:rsidR="007B61BD" w:rsidRPr="0019336C">
              <w:t>202</w:t>
            </w:r>
            <w:r w:rsidR="00300B00">
              <w:t>1</w:t>
            </w:r>
          </w:p>
        </w:tc>
      </w:tr>
    </w:tbl>
    <w:p w14:paraId="312B569F" w14:textId="77777777" w:rsidR="007B61BD" w:rsidRPr="0019336C" w:rsidRDefault="007B61BD" w:rsidP="00A45014">
      <w:pPr>
        <w:pStyle w:val="Body"/>
      </w:pPr>
    </w:p>
    <w:p w14:paraId="66A6EE72" w14:textId="45A7DC90" w:rsidR="007B61BD" w:rsidRDefault="007B61BD" w:rsidP="007B61BD">
      <w:pPr>
        <w:pStyle w:val="IntroBody"/>
      </w:pPr>
      <w:r w:rsidRPr="0073639D">
        <w:t xml:space="preserve">Clause </w:t>
      </w:r>
      <w:proofErr w:type="gramStart"/>
      <w:r w:rsidRPr="0073639D">
        <w:t>B</w:t>
      </w:r>
      <w:r w:rsidR="0073639D" w:rsidRPr="007A5CB7">
        <w:t>2</w:t>
      </w:r>
      <w:r w:rsidR="00726987">
        <w:t>4</w:t>
      </w:r>
      <w:r w:rsidRPr="0073639D">
        <w:t>(</w:t>
      </w:r>
      <w:proofErr w:type="gramEnd"/>
      <w:r w:rsidRPr="0073639D">
        <w:t>h)</w:t>
      </w:r>
      <w:r w:rsidRPr="0019336C">
        <w:t xml:space="preserve"> of the </w:t>
      </w:r>
      <w:r w:rsidR="00251EEE">
        <w:t>A</w:t>
      </w:r>
      <w:r w:rsidR="0073639D">
        <w:t>ddendum</w:t>
      </w:r>
      <w:r w:rsidR="00251EEE" w:rsidRPr="0019336C">
        <w:t xml:space="preserve"> </w:t>
      </w:r>
      <w:r w:rsidRPr="0019336C">
        <w:t>requires IHPA to develop projections of the NEP for a four-year period. These will be updated annually and confidential reports on these projections will be provided to the Commonwealth, states and territories.</w:t>
      </w:r>
    </w:p>
    <w:p w14:paraId="2D167FB4" w14:textId="77777777" w:rsidR="007B61BD" w:rsidRPr="00743FDC" w:rsidRDefault="00A85A0F" w:rsidP="007B61BD">
      <w:pPr>
        <w:pStyle w:val="Heading2"/>
        <w:rPr>
          <w:sz w:val="18"/>
          <w:szCs w:val="18"/>
        </w:rPr>
      </w:pPr>
      <w:bookmarkStart w:id="66" w:name="_Toc55045623"/>
      <w:bookmarkStart w:id="67" w:name="_Toc55053995"/>
      <w:bookmarkStart w:id="68" w:name="_Toc55237214"/>
      <w:bookmarkStart w:id="69" w:name="_Toc55237776"/>
      <w:bookmarkStart w:id="70" w:name="_Toc55238301"/>
      <w:bookmarkStart w:id="71" w:name="_Toc55974119"/>
      <w:r w:rsidRPr="00743FDC">
        <w:rPr>
          <w:sz w:val="18"/>
          <w:szCs w:val="18"/>
        </w:rPr>
        <w:t>(g</w:t>
      </w:r>
      <w:r w:rsidR="007B61BD" w:rsidRPr="00743FDC">
        <w:rPr>
          <w:sz w:val="18"/>
          <w:szCs w:val="18"/>
        </w:rPr>
        <w:t>)</w:t>
      </w:r>
      <w:r w:rsidR="007B61BD" w:rsidRPr="00743FDC">
        <w:rPr>
          <w:sz w:val="18"/>
          <w:szCs w:val="18"/>
        </w:rPr>
        <w:tab/>
        <w:t>NEC Supplementary Determination</w:t>
      </w:r>
      <w:bookmarkEnd w:id="66"/>
      <w:bookmarkEnd w:id="67"/>
      <w:bookmarkEnd w:id="68"/>
      <w:bookmarkEnd w:id="69"/>
      <w:bookmarkEnd w:id="70"/>
      <w:bookmarkEnd w:id="71"/>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7B61BD" w:rsidRPr="007918BB" w14:paraId="43859572" w14:textId="77777777" w:rsidTr="005154CD">
        <w:tc>
          <w:tcPr>
            <w:tcW w:w="3726" w:type="pct"/>
            <w:tcBorders>
              <w:top w:val="nil"/>
              <w:bottom w:val="nil"/>
            </w:tcBorders>
            <w:shd w:val="clear" w:color="auto" w:fill="C40B46"/>
            <w:vAlign w:val="center"/>
          </w:tcPr>
          <w:p w14:paraId="532DF2A2" w14:textId="77777777" w:rsidR="007B61BD" w:rsidRPr="00743FDC" w:rsidRDefault="007B61BD" w:rsidP="005154CD">
            <w:pPr>
              <w:pStyle w:val="TableHeading"/>
              <w:rPr>
                <w:sz w:val="18"/>
                <w:szCs w:val="18"/>
              </w:rPr>
            </w:pPr>
            <w:r w:rsidRPr="00743FDC">
              <w:rPr>
                <w:sz w:val="18"/>
                <w:szCs w:val="18"/>
              </w:rPr>
              <w:t>DELIVERABLES</w:t>
            </w:r>
          </w:p>
        </w:tc>
        <w:tc>
          <w:tcPr>
            <w:tcW w:w="1274" w:type="pct"/>
            <w:tcBorders>
              <w:top w:val="nil"/>
              <w:bottom w:val="nil"/>
            </w:tcBorders>
            <w:shd w:val="clear" w:color="auto" w:fill="C40B46"/>
            <w:vAlign w:val="center"/>
          </w:tcPr>
          <w:p w14:paraId="24C20D51" w14:textId="77777777" w:rsidR="007B61BD" w:rsidRPr="00743FDC" w:rsidRDefault="007B61BD" w:rsidP="005154CD">
            <w:pPr>
              <w:pStyle w:val="TableHeading"/>
              <w:rPr>
                <w:sz w:val="18"/>
                <w:szCs w:val="18"/>
              </w:rPr>
            </w:pPr>
            <w:r w:rsidRPr="00743FDC">
              <w:rPr>
                <w:sz w:val="18"/>
                <w:szCs w:val="18"/>
              </w:rPr>
              <w:t>TIMEFRAME</w:t>
            </w:r>
          </w:p>
        </w:tc>
      </w:tr>
      <w:tr w:rsidR="007B61BD" w14:paraId="63A9B231" w14:textId="77777777" w:rsidTr="005154CD">
        <w:trPr>
          <w:trHeight w:val="256"/>
        </w:trPr>
        <w:tc>
          <w:tcPr>
            <w:tcW w:w="3726" w:type="pct"/>
            <w:tcBorders>
              <w:top w:val="nil"/>
              <w:bottom w:val="single" w:sz="4" w:space="0" w:color="auto"/>
            </w:tcBorders>
          </w:tcPr>
          <w:p w14:paraId="76C31904" w14:textId="7BC89852" w:rsidR="007B61BD" w:rsidRDefault="007B61BD">
            <w:pPr>
              <w:pStyle w:val="Body"/>
            </w:pPr>
            <w:r w:rsidRPr="004F78B1">
              <w:t>Publi</w:t>
            </w:r>
            <w:r>
              <w:t>sh</w:t>
            </w:r>
            <w:r w:rsidRPr="004F78B1">
              <w:t xml:space="preserve"> the </w:t>
            </w:r>
            <w:r w:rsidRPr="00654094">
              <w:rPr>
                <w:i/>
              </w:rPr>
              <w:t xml:space="preserve">Supplementary National Efficient Cost </w:t>
            </w:r>
            <w:r w:rsidR="00777A99" w:rsidRPr="00654094">
              <w:rPr>
                <w:i/>
              </w:rPr>
              <w:t>Determination 202</w:t>
            </w:r>
            <w:r w:rsidR="00300B00">
              <w:rPr>
                <w:i/>
              </w:rPr>
              <w:t>1</w:t>
            </w:r>
            <w:r w:rsidRPr="00654094">
              <w:rPr>
                <w:i/>
              </w:rPr>
              <w:t>–</w:t>
            </w:r>
            <w:r w:rsidR="00777A99" w:rsidRPr="00654094">
              <w:rPr>
                <w:i/>
              </w:rPr>
              <w:t>2</w:t>
            </w:r>
            <w:r w:rsidR="00300B00">
              <w:rPr>
                <w:i/>
              </w:rPr>
              <w:t>2</w:t>
            </w:r>
            <w:r w:rsidRPr="004F78B1">
              <w:t>.</w:t>
            </w:r>
          </w:p>
        </w:tc>
        <w:tc>
          <w:tcPr>
            <w:tcW w:w="1274" w:type="pct"/>
            <w:tcBorders>
              <w:top w:val="nil"/>
              <w:bottom w:val="single" w:sz="4" w:space="0" w:color="auto"/>
            </w:tcBorders>
          </w:tcPr>
          <w:p w14:paraId="35A3B028" w14:textId="103CD7A1" w:rsidR="007B61BD" w:rsidRDefault="007B61BD" w:rsidP="005154CD">
            <w:pPr>
              <w:pStyle w:val="Body"/>
            </w:pPr>
            <w:r>
              <w:t>December</w:t>
            </w:r>
            <w:r w:rsidRPr="00B60C07">
              <w:t xml:space="preserve"> 202</w:t>
            </w:r>
            <w:r w:rsidR="00300B00">
              <w:t>1</w:t>
            </w:r>
          </w:p>
        </w:tc>
      </w:tr>
    </w:tbl>
    <w:p w14:paraId="68DBDEAF" w14:textId="77777777" w:rsidR="00293419" w:rsidRDefault="00293419" w:rsidP="007B61BD">
      <w:pPr>
        <w:pStyle w:val="IntroBody"/>
      </w:pPr>
    </w:p>
    <w:p w14:paraId="478792D4" w14:textId="680D7F5C" w:rsidR="00897174" w:rsidRDefault="007B61BD" w:rsidP="007B61BD">
      <w:pPr>
        <w:pStyle w:val="IntroBody"/>
      </w:pPr>
      <w:r w:rsidRPr="004F78B1">
        <w:t xml:space="preserve">As the release of the </w:t>
      </w:r>
      <w:r w:rsidR="00331D8F">
        <w:t xml:space="preserve">NEP and NEC </w:t>
      </w:r>
      <w:r w:rsidRPr="004F78B1">
        <w:t>Determinations in March each year does not align with all state</w:t>
      </w:r>
      <w:r>
        <w:t xml:space="preserve"> and territory</w:t>
      </w:r>
      <w:r w:rsidRPr="004F78B1">
        <w:t xml:space="preserve"> budget cycles, IHPA issues a Supplementary NEC in </w:t>
      </w:r>
      <w:r>
        <w:t>Dece</w:t>
      </w:r>
      <w:r w:rsidRPr="004F78B1">
        <w:t xml:space="preserve">mber which provides an opportunity for states and territories to update their block funded amounts after the </w:t>
      </w:r>
      <w:proofErr w:type="spellStart"/>
      <w:r w:rsidRPr="004F78B1">
        <w:t>finalisation</w:t>
      </w:r>
      <w:proofErr w:type="spellEnd"/>
      <w:r w:rsidRPr="004F78B1">
        <w:t xml:space="preserve"> of government budgets.</w:t>
      </w:r>
    </w:p>
    <w:p w14:paraId="3718A170" w14:textId="77777777" w:rsidR="0099362F" w:rsidRPr="00C5526D" w:rsidRDefault="0099362F" w:rsidP="0099362F">
      <w:pPr>
        <w:pStyle w:val="Heading2"/>
        <w:rPr>
          <w:sz w:val="18"/>
          <w:szCs w:val="18"/>
        </w:rPr>
      </w:pPr>
      <w:bookmarkStart w:id="72" w:name="_Toc55045624"/>
      <w:bookmarkStart w:id="73" w:name="_Toc55053996"/>
      <w:bookmarkStart w:id="74" w:name="_Toc55237215"/>
      <w:bookmarkStart w:id="75" w:name="_Toc55238302"/>
      <w:bookmarkStart w:id="76" w:name="_Toc55974120"/>
      <w:r w:rsidRPr="00C5526D">
        <w:rPr>
          <w:sz w:val="18"/>
          <w:szCs w:val="18"/>
        </w:rPr>
        <w:t xml:space="preserve">(h) Price </w:t>
      </w:r>
      <w:proofErr w:type="spellStart"/>
      <w:r w:rsidRPr="00C5526D">
        <w:rPr>
          <w:sz w:val="18"/>
          <w:szCs w:val="18"/>
        </w:rPr>
        <w:t>harmonisation</w:t>
      </w:r>
      <w:proofErr w:type="spellEnd"/>
      <w:r w:rsidRPr="00C5526D">
        <w:rPr>
          <w:sz w:val="18"/>
          <w:szCs w:val="18"/>
        </w:rPr>
        <w:t xml:space="preserve"> across care settings</w:t>
      </w:r>
      <w:bookmarkEnd w:id="72"/>
      <w:bookmarkEnd w:id="73"/>
      <w:bookmarkEnd w:id="74"/>
      <w:bookmarkEnd w:id="75"/>
      <w:bookmarkEnd w:id="76"/>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99362F" w:rsidRPr="007918BB" w14:paraId="0C6106D0" w14:textId="77777777" w:rsidTr="00201BE1">
        <w:tc>
          <w:tcPr>
            <w:tcW w:w="3726" w:type="pct"/>
            <w:tcBorders>
              <w:top w:val="nil"/>
              <w:bottom w:val="nil"/>
            </w:tcBorders>
            <w:shd w:val="clear" w:color="auto" w:fill="C40B46"/>
            <w:vAlign w:val="center"/>
          </w:tcPr>
          <w:p w14:paraId="46F6266B" w14:textId="77777777" w:rsidR="0099362F" w:rsidRPr="00C5526D" w:rsidRDefault="0099362F" w:rsidP="00201BE1">
            <w:pPr>
              <w:pStyle w:val="TableHeading"/>
              <w:rPr>
                <w:sz w:val="18"/>
                <w:szCs w:val="18"/>
              </w:rPr>
            </w:pPr>
            <w:r w:rsidRPr="00C5526D">
              <w:rPr>
                <w:sz w:val="18"/>
                <w:szCs w:val="18"/>
              </w:rPr>
              <w:t>DELIVERABLES</w:t>
            </w:r>
          </w:p>
        </w:tc>
        <w:tc>
          <w:tcPr>
            <w:tcW w:w="1274" w:type="pct"/>
            <w:tcBorders>
              <w:top w:val="nil"/>
              <w:bottom w:val="nil"/>
            </w:tcBorders>
            <w:shd w:val="clear" w:color="auto" w:fill="C40B46"/>
            <w:vAlign w:val="center"/>
          </w:tcPr>
          <w:p w14:paraId="6C2CC3D1" w14:textId="77777777" w:rsidR="0099362F" w:rsidRPr="00C5526D" w:rsidRDefault="0099362F" w:rsidP="00201BE1">
            <w:pPr>
              <w:pStyle w:val="TableHeading"/>
              <w:rPr>
                <w:sz w:val="18"/>
                <w:szCs w:val="18"/>
              </w:rPr>
            </w:pPr>
            <w:r w:rsidRPr="00C5526D">
              <w:rPr>
                <w:sz w:val="18"/>
                <w:szCs w:val="18"/>
              </w:rPr>
              <w:t>TIMEFRAME</w:t>
            </w:r>
          </w:p>
        </w:tc>
      </w:tr>
      <w:tr w:rsidR="0099362F" w:rsidRPr="007918BB" w14:paraId="7626BE44" w14:textId="77777777" w:rsidTr="00201BE1">
        <w:trPr>
          <w:trHeight w:val="256"/>
        </w:trPr>
        <w:tc>
          <w:tcPr>
            <w:tcW w:w="3726" w:type="pct"/>
            <w:tcBorders>
              <w:top w:val="nil"/>
              <w:bottom w:val="single" w:sz="4" w:space="0" w:color="auto"/>
            </w:tcBorders>
          </w:tcPr>
          <w:p w14:paraId="014F23F8" w14:textId="77777777" w:rsidR="0099362F" w:rsidRPr="007918BB" w:rsidRDefault="0099362F" w:rsidP="00201BE1">
            <w:pPr>
              <w:pStyle w:val="Body"/>
            </w:pPr>
            <w:r w:rsidRPr="007918BB">
              <w:t xml:space="preserve">Investigate opportunities to </w:t>
            </w:r>
            <w:proofErr w:type="spellStart"/>
            <w:r w:rsidRPr="007918BB">
              <w:t>harmonise</w:t>
            </w:r>
            <w:proofErr w:type="spellEnd"/>
            <w:r w:rsidRPr="007918BB">
              <w:t xml:space="preserve"> prices across similar same-day services.</w:t>
            </w:r>
          </w:p>
        </w:tc>
        <w:tc>
          <w:tcPr>
            <w:tcW w:w="1274" w:type="pct"/>
            <w:tcBorders>
              <w:top w:val="nil"/>
              <w:bottom w:val="single" w:sz="4" w:space="0" w:color="auto"/>
            </w:tcBorders>
          </w:tcPr>
          <w:p w14:paraId="5423A2BB" w14:textId="77777777" w:rsidR="0099362F" w:rsidRPr="007918BB" w:rsidRDefault="0099362F" w:rsidP="00201BE1">
            <w:pPr>
              <w:pStyle w:val="Body"/>
            </w:pPr>
            <w:r w:rsidRPr="007918BB">
              <w:t>Ongoing</w:t>
            </w:r>
          </w:p>
        </w:tc>
      </w:tr>
    </w:tbl>
    <w:p w14:paraId="475E364E" w14:textId="77777777" w:rsidR="0099362F" w:rsidRPr="0019336C" w:rsidRDefault="0099362F" w:rsidP="0099362F">
      <w:pPr>
        <w:pStyle w:val="Body"/>
      </w:pPr>
    </w:p>
    <w:p w14:paraId="04563511" w14:textId="77777777" w:rsidR="0099362F" w:rsidRPr="0019336C" w:rsidRDefault="0099362F" w:rsidP="0099362F">
      <w:pPr>
        <w:pStyle w:val="IntroBody"/>
      </w:pPr>
      <w:r w:rsidRPr="0019336C">
        <w:t xml:space="preserve">Included under the Pricing Guidelines are ‘System Design Guidelines’ that inform options for the design of ABF and block grant funding arrangements, including an objective for ‘price </w:t>
      </w:r>
      <w:proofErr w:type="spellStart"/>
      <w:r w:rsidRPr="0019336C">
        <w:t>harmonisation</w:t>
      </w:r>
      <w:proofErr w:type="spellEnd"/>
      <w:r w:rsidRPr="0019336C">
        <w:t>’ whereby pricing should facilitate best-practice provision of appropriate site of care.</w:t>
      </w:r>
    </w:p>
    <w:p w14:paraId="7A3E81C6" w14:textId="77777777" w:rsidR="0099362F" w:rsidRPr="0019336C" w:rsidRDefault="0099362F" w:rsidP="00BA3B6A">
      <w:pPr>
        <w:pStyle w:val="Body"/>
      </w:pPr>
      <w:r w:rsidRPr="0019336C">
        <w:t>IHPA ‘</w:t>
      </w:r>
      <w:proofErr w:type="spellStart"/>
      <w:r w:rsidRPr="0019336C">
        <w:t>harmonises</w:t>
      </w:r>
      <w:proofErr w:type="spellEnd"/>
      <w:r w:rsidRPr="0019336C">
        <w:t xml:space="preserve">’ (i.e. </w:t>
      </w:r>
      <w:proofErr w:type="spellStart"/>
      <w:r w:rsidRPr="0019336C">
        <w:t>equalises</w:t>
      </w:r>
      <w:proofErr w:type="spellEnd"/>
      <w:r w:rsidRPr="0019336C">
        <w:t xml:space="preserve">) a limited number of price weights across the admitted acute and non-admitted settings, for example those for gastrointestinal endoscopes, to ensure that similar services are priced consistently across settings. </w:t>
      </w:r>
      <w:proofErr w:type="spellStart"/>
      <w:r w:rsidRPr="0019336C">
        <w:t>Harmonisation</w:t>
      </w:r>
      <w:proofErr w:type="spellEnd"/>
      <w:r w:rsidRPr="0019336C">
        <w:t xml:space="preserve"> ensures that there is no financial incentive for hospitals to admit patients previously treated on a non</w:t>
      </w:r>
      <w:r w:rsidRPr="0019336C">
        <w:rPr>
          <w:rFonts w:ascii="Cambria Math" w:hAnsi="Cambria Math" w:cs="Cambria Math"/>
        </w:rPr>
        <w:t>‑</w:t>
      </w:r>
      <w:r w:rsidRPr="0019336C">
        <w:t>admitted basis due to a higher price for the same service. IHPA seeks advice from its Clinical Advisory Committee when considering whether classes across settings of care are providing a similar type and level of care.</w:t>
      </w:r>
    </w:p>
    <w:p w14:paraId="13D8086D" w14:textId="3E2D6DF4" w:rsidR="00C923D5" w:rsidRDefault="0099362F" w:rsidP="00495635">
      <w:pPr>
        <w:pStyle w:val="Body"/>
      </w:pPr>
      <w:r w:rsidRPr="0019336C">
        <w:t>In 202</w:t>
      </w:r>
      <w:r w:rsidR="007546EA">
        <w:t>1</w:t>
      </w:r>
      <w:r w:rsidRPr="0019336C">
        <w:t>–2</w:t>
      </w:r>
      <w:r w:rsidR="00A86971">
        <w:t>2</w:t>
      </w:r>
      <w:r w:rsidR="00C5526D">
        <w:t xml:space="preserve">, IHPA will continue </w:t>
      </w:r>
      <w:r w:rsidRPr="0019336C">
        <w:t xml:space="preserve">to expand price </w:t>
      </w:r>
      <w:proofErr w:type="spellStart"/>
      <w:r w:rsidRPr="0019336C">
        <w:t>harmonisation</w:t>
      </w:r>
      <w:proofErr w:type="spellEnd"/>
      <w:r w:rsidRPr="0019336C">
        <w:t xml:space="preserve"> for potentially similar same</w:t>
      </w:r>
      <w:r w:rsidRPr="0019336C">
        <w:rPr>
          <w:rFonts w:ascii="Cambria Math" w:hAnsi="Cambria Math" w:cs="Cambria Math"/>
        </w:rPr>
        <w:t>‑</w:t>
      </w:r>
      <w:r w:rsidR="00C5526D">
        <w:t>day services</w:t>
      </w:r>
      <w:r w:rsidR="00D01537">
        <w:t>.</w:t>
      </w:r>
    </w:p>
    <w:p w14:paraId="0998A263" w14:textId="06748B67" w:rsidR="008843C3" w:rsidRPr="0030557D" w:rsidRDefault="008843C3" w:rsidP="0030557D">
      <w:pPr>
        <w:pStyle w:val="Heading1"/>
        <w:spacing w:before="360" w:after="160" w:line="240" w:lineRule="auto"/>
        <w:rPr>
          <w:color w:val="4A206A"/>
          <w:sz w:val="36"/>
          <w:szCs w:val="36"/>
        </w:rPr>
      </w:pPr>
      <w:bookmarkStart w:id="77" w:name="_Toc55974121"/>
      <w:r w:rsidRPr="0030557D">
        <w:rPr>
          <w:color w:val="4A206A"/>
          <w:sz w:val="36"/>
          <w:szCs w:val="36"/>
        </w:rPr>
        <w:lastRenderedPageBreak/>
        <w:t>Strategic Objective Two: Refine and develop hospital activity classification systems</w:t>
      </w:r>
      <w:bookmarkEnd w:id="77"/>
    </w:p>
    <w:p w14:paraId="65A1264A" w14:textId="306B9970" w:rsidR="001D66D0" w:rsidRPr="00B07DA3" w:rsidRDefault="00CF1522" w:rsidP="00EF2D44">
      <w:pPr>
        <w:pStyle w:val="Heading2"/>
        <w:numPr>
          <w:ilvl w:val="0"/>
          <w:numId w:val="5"/>
        </w:numPr>
        <w:ind w:hanging="929"/>
        <w:rPr>
          <w:sz w:val="18"/>
          <w:szCs w:val="18"/>
        </w:rPr>
      </w:pPr>
      <w:bookmarkStart w:id="78" w:name="_Toc55053997"/>
      <w:bookmarkStart w:id="79" w:name="_Toc55237217"/>
      <w:bookmarkStart w:id="80" w:name="_Toc55238304"/>
      <w:bookmarkStart w:id="81" w:name="_Toc55974122"/>
      <w:r w:rsidRPr="00B07DA3">
        <w:rPr>
          <w:sz w:val="18"/>
          <w:szCs w:val="18"/>
        </w:rPr>
        <w:t>A</w:t>
      </w:r>
      <w:r w:rsidR="00C27B65" w:rsidRPr="00B07DA3">
        <w:rPr>
          <w:sz w:val="18"/>
          <w:szCs w:val="18"/>
        </w:rPr>
        <w:t>cute care</w:t>
      </w:r>
      <w:r w:rsidRPr="00B07DA3">
        <w:rPr>
          <w:sz w:val="18"/>
          <w:szCs w:val="18"/>
        </w:rPr>
        <w:t xml:space="preserve"> classifications</w:t>
      </w:r>
      <w:bookmarkEnd w:id="78"/>
      <w:bookmarkEnd w:id="79"/>
      <w:bookmarkEnd w:id="80"/>
      <w:bookmarkEnd w:id="81"/>
      <w:r w:rsidRPr="00B07DA3">
        <w:rPr>
          <w:sz w:val="18"/>
          <w:szCs w:val="18"/>
        </w:rPr>
        <w:t xml:space="preserve">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27B65" w:rsidRPr="00E86ADD" w14:paraId="19FC96C2" w14:textId="77777777" w:rsidTr="005154CD">
        <w:tc>
          <w:tcPr>
            <w:tcW w:w="3726" w:type="pct"/>
            <w:tcBorders>
              <w:top w:val="nil"/>
              <w:bottom w:val="nil"/>
            </w:tcBorders>
            <w:shd w:val="clear" w:color="auto" w:fill="5E2F7E"/>
            <w:vAlign w:val="center"/>
          </w:tcPr>
          <w:p w14:paraId="6B9B6899" w14:textId="79677C03" w:rsidR="00C27B65" w:rsidRPr="00C5526D" w:rsidRDefault="00C27B65" w:rsidP="005154CD">
            <w:pPr>
              <w:pStyle w:val="TableHeading"/>
              <w:rPr>
                <w:sz w:val="18"/>
                <w:szCs w:val="18"/>
              </w:rPr>
            </w:pPr>
            <w:r w:rsidRPr="00C5526D">
              <w:rPr>
                <w:sz w:val="18"/>
                <w:szCs w:val="18"/>
              </w:rPr>
              <w:t>DELIVERABLES</w:t>
            </w:r>
          </w:p>
        </w:tc>
        <w:tc>
          <w:tcPr>
            <w:tcW w:w="1274" w:type="pct"/>
            <w:tcBorders>
              <w:top w:val="nil"/>
              <w:bottom w:val="nil"/>
            </w:tcBorders>
            <w:shd w:val="clear" w:color="auto" w:fill="5E2F7E"/>
            <w:vAlign w:val="center"/>
          </w:tcPr>
          <w:p w14:paraId="4408A05B" w14:textId="77777777" w:rsidR="00C27B65" w:rsidRPr="00C5526D" w:rsidRDefault="00C27B65" w:rsidP="005154CD">
            <w:pPr>
              <w:pStyle w:val="TableHeading"/>
              <w:rPr>
                <w:sz w:val="18"/>
                <w:szCs w:val="18"/>
              </w:rPr>
            </w:pPr>
            <w:r w:rsidRPr="00C5526D">
              <w:rPr>
                <w:sz w:val="18"/>
                <w:szCs w:val="18"/>
              </w:rPr>
              <w:t>TIMEFRAME</w:t>
            </w:r>
          </w:p>
        </w:tc>
      </w:tr>
      <w:tr w:rsidR="00C27B65" w14:paraId="3DD04B77" w14:textId="77777777" w:rsidTr="00C27B65">
        <w:trPr>
          <w:trHeight w:val="290"/>
        </w:trPr>
        <w:tc>
          <w:tcPr>
            <w:tcW w:w="3726" w:type="pct"/>
            <w:tcBorders>
              <w:top w:val="nil"/>
              <w:bottom w:val="single" w:sz="4" w:space="0" w:color="auto"/>
            </w:tcBorders>
          </w:tcPr>
          <w:p w14:paraId="0A303FD6" w14:textId="77777777" w:rsidR="00C27B65" w:rsidRPr="00B60C07" w:rsidRDefault="004845DD" w:rsidP="00A73127">
            <w:pPr>
              <w:pStyle w:val="Body"/>
            </w:pPr>
            <w:proofErr w:type="spellStart"/>
            <w:r>
              <w:t>F</w:t>
            </w:r>
            <w:r w:rsidR="00A651DC">
              <w:t>inalise</w:t>
            </w:r>
            <w:proofErr w:type="spellEnd"/>
            <w:r>
              <w:t xml:space="preserve"> </w:t>
            </w:r>
            <w:r w:rsidR="00C27B65" w:rsidRPr="00D62499">
              <w:t xml:space="preserve">the refinement </w:t>
            </w:r>
            <w:r w:rsidR="00C27B65" w:rsidRPr="00A73127">
              <w:t>of ICD-10-AM/ACHI/ACS</w:t>
            </w:r>
            <w:r w:rsidR="00A73127" w:rsidRPr="00A73127">
              <w:t xml:space="preserve"> Twelfth Edition</w:t>
            </w:r>
            <w:r w:rsidR="00C27B65">
              <w:t>.</w:t>
            </w:r>
          </w:p>
        </w:tc>
        <w:tc>
          <w:tcPr>
            <w:tcW w:w="1274" w:type="pct"/>
            <w:tcBorders>
              <w:top w:val="nil"/>
              <w:bottom w:val="single" w:sz="4" w:space="0" w:color="auto"/>
            </w:tcBorders>
          </w:tcPr>
          <w:p w14:paraId="780DA06C" w14:textId="2C729541" w:rsidR="00C27B65" w:rsidRPr="00DB4A75" w:rsidRDefault="00C27B65" w:rsidP="005154CD">
            <w:pPr>
              <w:pStyle w:val="Body"/>
            </w:pPr>
            <w:r w:rsidRPr="009E36BB">
              <w:t>July 202</w:t>
            </w:r>
            <w:r w:rsidR="002D2B53" w:rsidRPr="00DB4A75">
              <w:t>2</w:t>
            </w:r>
          </w:p>
        </w:tc>
      </w:tr>
      <w:tr w:rsidR="00C27B65" w14:paraId="305E81F9" w14:textId="77777777" w:rsidTr="00C27B65">
        <w:trPr>
          <w:trHeight w:val="290"/>
        </w:trPr>
        <w:tc>
          <w:tcPr>
            <w:tcW w:w="3726" w:type="pct"/>
            <w:tcBorders>
              <w:top w:val="single" w:sz="4" w:space="0" w:color="auto"/>
              <w:bottom w:val="single" w:sz="4" w:space="0" w:color="auto"/>
            </w:tcBorders>
          </w:tcPr>
          <w:p w14:paraId="7AEBF45C" w14:textId="77777777" w:rsidR="00C27B65" w:rsidRPr="00D62499" w:rsidRDefault="004845DD" w:rsidP="00CF1522">
            <w:pPr>
              <w:pStyle w:val="Body"/>
            </w:pPr>
            <w:proofErr w:type="spellStart"/>
            <w:r>
              <w:t>Finalis</w:t>
            </w:r>
            <w:r w:rsidR="00A651DC">
              <w:t>e</w:t>
            </w:r>
            <w:proofErr w:type="spellEnd"/>
            <w:r>
              <w:t xml:space="preserve"> the </w:t>
            </w:r>
            <w:r w:rsidR="00C27B65" w:rsidRPr="00D62499">
              <w:t xml:space="preserve">development of </w:t>
            </w:r>
            <w:r w:rsidR="006407A6" w:rsidRPr="00CF1522">
              <w:t>AR</w:t>
            </w:r>
            <w:r w:rsidR="006407A6" w:rsidRPr="00CF1522">
              <w:rPr>
                <w:rFonts w:ascii="Cambria Math" w:hAnsi="Cambria Math" w:cs="Cambria Math"/>
              </w:rPr>
              <w:t>‑</w:t>
            </w:r>
            <w:r w:rsidR="00CF1522" w:rsidRPr="00CF1522">
              <w:t>DRG</w:t>
            </w:r>
            <w:r w:rsidR="00C27B65" w:rsidRPr="00D62499">
              <w:rPr>
                <w:i/>
              </w:rPr>
              <w:t xml:space="preserve"> </w:t>
            </w:r>
            <w:r w:rsidR="00C27B65" w:rsidRPr="00A73127">
              <w:t>Version 11.0.</w:t>
            </w:r>
          </w:p>
        </w:tc>
        <w:tc>
          <w:tcPr>
            <w:tcW w:w="1274" w:type="pct"/>
            <w:tcBorders>
              <w:top w:val="single" w:sz="4" w:space="0" w:color="auto"/>
              <w:bottom w:val="single" w:sz="4" w:space="0" w:color="auto"/>
            </w:tcBorders>
          </w:tcPr>
          <w:p w14:paraId="490A6F59" w14:textId="7DB459A8" w:rsidR="00C27B65" w:rsidRPr="00DB4A75" w:rsidRDefault="00C27B65" w:rsidP="005154CD">
            <w:pPr>
              <w:pStyle w:val="Body"/>
            </w:pPr>
            <w:r w:rsidRPr="009E36BB">
              <w:t>July 202</w:t>
            </w:r>
            <w:r w:rsidR="002D2B53" w:rsidRPr="009E36BB">
              <w:t>2</w:t>
            </w:r>
          </w:p>
        </w:tc>
      </w:tr>
    </w:tbl>
    <w:p w14:paraId="34AD02BA" w14:textId="77777777" w:rsidR="00C27B65" w:rsidRPr="00C23C26" w:rsidRDefault="00C27B65" w:rsidP="00C27B65">
      <w:pPr>
        <w:pStyle w:val="Body"/>
      </w:pPr>
    </w:p>
    <w:p w14:paraId="6C4E682B" w14:textId="4A1F04E7" w:rsidR="00C27B65" w:rsidRPr="00DB4CE1" w:rsidRDefault="00C27B65" w:rsidP="00C27B65">
      <w:pPr>
        <w:pStyle w:val="Body"/>
        <w:rPr>
          <w:b/>
        </w:rPr>
      </w:pPr>
      <w:r w:rsidRPr="00DB4CE1">
        <w:rPr>
          <w:b/>
        </w:rPr>
        <w:t>The classifications for admitted acute care are the</w:t>
      </w:r>
      <w:r w:rsidR="00A73127">
        <w:rPr>
          <w:b/>
        </w:rPr>
        <w:t xml:space="preserve"> </w:t>
      </w:r>
      <w:r w:rsidR="00A73127" w:rsidRPr="00A73127">
        <w:rPr>
          <w:b/>
          <w:i/>
        </w:rPr>
        <w:t>Australian Refined Diagnosis Related Groups</w:t>
      </w:r>
      <w:r w:rsidRPr="00DB4CE1">
        <w:rPr>
          <w:b/>
        </w:rPr>
        <w:t xml:space="preserve"> </w:t>
      </w:r>
      <w:r w:rsidR="00A73127" w:rsidRPr="00A73127">
        <w:rPr>
          <w:b/>
          <w:i/>
        </w:rPr>
        <w:t>(</w:t>
      </w:r>
      <w:r w:rsidRPr="00A73127">
        <w:rPr>
          <w:b/>
          <w:i/>
        </w:rPr>
        <w:t>AR</w:t>
      </w:r>
      <w:r w:rsidRPr="00A73127">
        <w:rPr>
          <w:rFonts w:ascii="Cambria Math" w:hAnsi="Cambria Math" w:cs="Cambria Math"/>
          <w:b/>
          <w:i/>
        </w:rPr>
        <w:t>‑</w:t>
      </w:r>
      <w:r w:rsidRPr="00A73127">
        <w:rPr>
          <w:b/>
          <w:i/>
        </w:rPr>
        <w:t>DRG</w:t>
      </w:r>
      <w:r w:rsidR="00A73127" w:rsidRPr="00A73127">
        <w:rPr>
          <w:b/>
          <w:i/>
        </w:rPr>
        <w:t>)</w:t>
      </w:r>
      <w:r w:rsidRPr="00DB4CE1">
        <w:rPr>
          <w:b/>
        </w:rPr>
        <w:t xml:space="preserve"> and</w:t>
      </w:r>
      <w:r w:rsidR="00A73127">
        <w:rPr>
          <w:b/>
        </w:rPr>
        <w:t xml:space="preserve"> </w:t>
      </w:r>
      <w:r w:rsidR="00A73127" w:rsidRPr="00A73127">
        <w:rPr>
          <w:b/>
        </w:rPr>
        <w:t xml:space="preserve">the </w:t>
      </w:r>
      <w:r w:rsidR="00A73127" w:rsidRPr="00A73127">
        <w:rPr>
          <w:b/>
          <w:i/>
        </w:rPr>
        <w:t xml:space="preserve">International Statistical Classification of Diseases and </w:t>
      </w:r>
      <w:r w:rsidR="00675709">
        <w:rPr>
          <w:b/>
          <w:i/>
        </w:rPr>
        <w:t xml:space="preserve">Related </w:t>
      </w:r>
      <w:r w:rsidR="00A73127" w:rsidRPr="00A73127">
        <w:rPr>
          <w:b/>
          <w:i/>
        </w:rPr>
        <w:t>Health Problems, Tenth Revision, Australian Modification (ICD-10-AM), Australian Classification of Health Interventions (ACHI), Australian Coding Standards (ACS)</w:t>
      </w:r>
      <w:r w:rsidR="00A73127" w:rsidRPr="003F7B4C">
        <w:rPr>
          <w:b/>
        </w:rPr>
        <w:t>;</w:t>
      </w:r>
      <w:r w:rsidR="00A73127" w:rsidRPr="00A73127">
        <w:rPr>
          <w:b/>
          <w:i/>
        </w:rPr>
        <w:t xml:space="preserve"> </w:t>
      </w:r>
      <w:r w:rsidR="00A73127" w:rsidRPr="003F7B4C">
        <w:rPr>
          <w:b/>
        </w:rPr>
        <w:t>collectively referred to as</w:t>
      </w:r>
      <w:r w:rsidRPr="00A73127">
        <w:rPr>
          <w:b/>
        </w:rPr>
        <w:t xml:space="preserve"> </w:t>
      </w:r>
      <w:r w:rsidRPr="00DB4CE1">
        <w:rPr>
          <w:b/>
        </w:rPr>
        <w:t>ICD-10-AM/ACHI/ACS.</w:t>
      </w:r>
    </w:p>
    <w:p w14:paraId="16FF2838" w14:textId="71483AFC" w:rsidR="003C5BDE" w:rsidRDefault="006F15CD" w:rsidP="00C27B65">
      <w:pPr>
        <w:pStyle w:val="Body"/>
      </w:pPr>
      <w:r>
        <w:t>In 202</w:t>
      </w:r>
      <w:r w:rsidR="005955AC">
        <w:t>1</w:t>
      </w:r>
      <w:r>
        <w:t>–2</w:t>
      </w:r>
      <w:r w:rsidR="005955AC">
        <w:t>2</w:t>
      </w:r>
      <w:r w:rsidR="00C27B65" w:rsidRPr="00DB4CE1">
        <w:t xml:space="preserve">, IHPA will </w:t>
      </w:r>
      <w:r w:rsidR="001C19B9">
        <w:t>continue to</w:t>
      </w:r>
      <w:r w:rsidR="00C27B65" w:rsidRPr="00DB4CE1">
        <w:t xml:space="preserve"> work on the refinement of the ICD</w:t>
      </w:r>
      <w:r w:rsidR="00C27B65" w:rsidRPr="00DB4CE1">
        <w:rPr>
          <w:rFonts w:ascii="Cambria Math" w:hAnsi="Cambria Math" w:cs="Cambria Math"/>
        </w:rPr>
        <w:t>‑</w:t>
      </w:r>
      <w:r w:rsidR="00C27B65" w:rsidRPr="00DB4CE1">
        <w:t>10</w:t>
      </w:r>
      <w:r w:rsidR="00C27B65" w:rsidRPr="00DB4CE1">
        <w:rPr>
          <w:rFonts w:ascii="Cambria Math" w:hAnsi="Cambria Math" w:cs="Cambria Math"/>
        </w:rPr>
        <w:t>‑</w:t>
      </w:r>
      <w:r w:rsidR="00C27B65" w:rsidRPr="00DB4CE1">
        <w:t>AM</w:t>
      </w:r>
      <w:r w:rsidR="00A45A17" w:rsidRPr="00A45A17">
        <w:t>/ACHI/ACS</w:t>
      </w:r>
      <w:r w:rsidR="00C27B65" w:rsidRPr="00DB4CE1">
        <w:t xml:space="preserve"> Twe</w:t>
      </w:r>
      <w:r w:rsidR="003272D4">
        <w:t>lfth Edition and AR-DRG Version </w:t>
      </w:r>
      <w:r w:rsidR="00C27B65" w:rsidRPr="00DB4CE1">
        <w:t xml:space="preserve">11.0. </w:t>
      </w:r>
    </w:p>
    <w:p w14:paraId="0A006B17" w14:textId="23B04DE1" w:rsidR="00675709" w:rsidRPr="00F64C5A" w:rsidRDefault="00675709" w:rsidP="00675709">
      <w:pPr>
        <w:pStyle w:val="Body"/>
      </w:pPr>
      <w:r w:rsidRPr="00F64C5A">
        <w:t xml:space="preserve">In 2019, IHPA undertook a review of the AR-DRG and ICD-10-AM/ACHI/ACS classification development cycle and processes. The </w:t>
      </w:r>
      <w:hyperlink r:id="rId36" w:history="1">
        <w:r w:rsidRPr="007B5C43">
          <w:rPr>
            <w:rStyle w:val="Hyperlink"/>
          </w:rPr>
          <w:t>Final Report</w:t>
        </w:r>
      </w:hyperlink>
      <w:r w:rsidRPr="00F64C5A">
        <w:t xml:space="preserve"> of the </w:t>
      </w:r>
      <w:r w:rsidRPr="00F64C5A">
        <w:rPr>
          <w:i/>
        </w:rPr>
        <w:t>Consultation and Review of the AR-DRG and ICD-10-AM/ACHIACS Classification Systems</w:t>
      </w:r>
      <w:r w:rsidR="005A492B">
        <w:t xml:space="preserve"> </w:t>
      </w:r>
      <w:r w:rsidRPr="00F64C5A">
        <w:t>is published on IHPA’s website and outlines the findings and key opportunities to enhance the processes in developing and implementing the AR-DRG and ICD-10-AM/ACHI/ACS classifications</w:t>
      </w:r>
      <w:r>
        <w:t xml:space="preserve">. </w:t>
      </w:r>
      <w:r w:rsidR="00904B17">
        <w:t>These opportunities</w:t>
      </w:r>
      <w:r w:rsidR="005955AC">
        <w:t xml:space="preserve"> </w:t>
      </w:r>
      <w:r>
        <w:t>are being refined and implemented in the current development cycle</w:t>
      </w:r>
      <w:r w:rsidRPr="00F64C5A">
        <w:t>, including:</w:t>
      </w:r>
    </w:p>
    <w:p w14:paraId="4D190222" w14:textId="0F6FC7ED" w:rsidR="00675709" w:rsidRPr="009A2614" w:rsidRDefault="000D2587" w:rsidP="00EF2D44">
      <w:pPr>
        <w:pStyle w:val="BulletList"/>
        <w:numPr>
          <w:ilvl w:val="0"/>
          <w:numId w:val="6"/>
        </w:numPr>
      </w:pPr>
      <w:r>
        <w:t>e</w:t>
      </w:r>
      <w:r w:rsidR="00675709" w:rsidRPr="009A2614">
        <w:t>xtending the</w:t>
      </w:r>
      <w:r w:rsidR="005955AC">
        <w:t xml:space="preserve"> development cycle timing from two to three years</w:t>
      </w:r>
    </w:p>
    <w:p w14:paraId="5373B5B5" w14:textId="54C1BBE5" w:rsidR="00675709" w:rsidRPr="009A2614" w:rsidRDefault="000D2587" w:rsidP="00EF2D44">
      <w:pPr>
        <w:pStyle w:val="BulletList"/>
        <w:numPr>
          <w:ilvl w:val="0"/>
          <w:numId w:val="6"/>
        </w:numPr>
      </w:pPr>
      <w:r>
        <w:t>e</w:t>
      </w:r>
      <w:r w:rsidR="00675709" w:rsidRPr="009A2614">
        <w:t>mbedding principles to focus the development approach</w:t>
      </w:r>
    </w:p>
    <w:p w14:paraId="190EB50D" w14:textId="0A915B99" w:rsidR="00675709" w:rsidRDefault="000D2587" w:rsidP="00EF2D44">
      <w:pPr>
        <w:pStyle w:val="BulletList"/>
        <w:numPr>
          <w:ilvl w:val="0"/>
          <w:numId w:val="6"/>
        </w:numPr>
      </w:pPr>
      <w:r>
        <w:t>s</w:t>
      </w:r>
      <w:r w:rsidR="00675709" w:rsidRPr="009A2614">
        <w:t>treamlining clinical and technical input to the classifications</w:t>
      </w:r>
    </w:p>
    <w:p w14:paraId="3BB376B8" w14:textId="04C36A41" w:rsidR="009A2614" w:rsidRDefault="000D2587" w:rsidP="00EF2D44">
      <w:pPr>
        <w:pStyle w:val="BulletList"/>
        <w:numPr>
          <w:ilvl w:val="0"/>
          <w:numId w:val="6"/>
        </w:numPr>
      </w:pPr>
      <w:proofErr w:type="gramStart"/>
      <w:r>
        <w:t>e</w:t>
      </w:r>
      <w:r w:rsidR="009A2614">
        <w:t>nhancing</w:t>
      </w:r>
      <w:proofErr w:type="gramEnd"/>
      <w:r w:rsidR="009A2614">
        <w:t xml:space="preserve"> education materials and o</w:t>
      </w:r>
      <w:r w:rsidR="005955AC">
        <w:t>ther support for implementation.</w:t>
      </w:r>
    </w:p>
    <w:p w14:paraId="34319512" w14:textId="77777777" w:rsidR="00C27B65" w:rsidRPr="00C5526D" w:rsidRDefault="00A73127" w:rsidP="00EF2D44">
      <w:pPr>
        <w:pStyle w:val="Heading2"/>
        <w:numPr>
          <w:ilvl w:val="0"/>
          <w:numId w:val="5"/>
        </w:numPr>
        <w:ind w:hanging="929"/>
        <w:rPr>
          <w:sz w:val="18"/>
          <w:szCs w:val="18"/>
        </w:rPr>
      </w:pPr>
      <w:bookmarkStart w:id="82" w:name="_Toc55045627"/>
      <w:bookmarkStart w:id="83" w:name="_Toc55053998"/>
      <w:bookmarkStart w:id="84" w:name="_Toc55237218"/>
      <w:bookmarkStart w:id="85" w:name="_Toc55238305"/>
      <w:bookmarkStart w:id="86" w:name="_Toc55974123"/>
      <w:r w:rsidRPr="00C5526D">
        <w:rPr>
          <w:sz w:val="18"/>
          <w:szCs w:val="18"/>
        </w:rPr>
        <w:t>Australian M</w:t>
      </w:r>
      <w:r w:rsidR="00C27B65" w:rsidRPr="00C5526D">
        <w:rPr>
          <w:sz w:val="18"/>
          <w:szCs w:val="18"/>
        </w:rPr>
        <w:t>ental</w:t>
      </w:r>
      <w:r w:rsidRPr="00C5526D">
        <w:rPr>
          <w:sz w:val="18"/>
          <w:szCs w:val="18"/>
        </w:rPr>
        <w:t xml:space="preserve"> Health C</w:t>
      </w:r>
      <w:r w:rsidR="00C27B65" w:rsidRPr="00C5526D">
        <w:rPr>
          <w:sz w:val="18"/>
          <w:szCs w:val="18"/>
        </w:rPr>
        <w:t xml:space="preserve">are </w:t>
      </w:r>
      <w:r w:rsidRPr="00C5526D">
        <w:rPr>
          <w:sz w:val="18"/>
          <w:szCs w:val="18"/>
        </w:rPr>
        <w:t>Classification</w:t>
      </w:r>
      <w:bookmarkEnd w:id="82"/>
      <w:bookmarkEnd w:id="83"/>
      <w:bookmarkEnd w:id="84"/>
      <w:bookmarkEnd w:id="85"/>
      <w:bookmarkEnd w:id="86"/>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27B65" w:rsidRPr="00E86ADD" w14:paraId="7C4DB9A0" w14:textId="77777777" w:rsidTr="005154CD">
        <w:tc>
          <w:tcPr>
            <w:tcW w:w="3726" w:type="pct"/>
            <w:tcBorders>
              <w:top w:val="nil"/>
              <w:bottom w:val="nil"/>
            </w:tcBorders>
            <w:shd w:val="clear" w:color="auto" w:fill="5E2F7E"/>
            <w:vAlign w:val="center"/>
          </w:tcPr>
          <w:p w14:paraId="6D30B53E" w14:textId="77777777" w:rsidR="00C27B65" w:rsidRPr="00C5526D" w:rsidRDefault="00C27B65" w:rsidP="005154CD">
            <w:pPr>
              <w:pStyle w:val="TableHeading"/>
              <w:rPr>
                <w:sz w:val="18"/>
                <w:szCs w:val="18"/>
              </w:rPr>
            </w:pPr>
            <w:r w:rsidRPr="00C5526D">
              <w:rPr>
                <w:sz w:val="18"/>
                <w:szCs w:val="18"/>
              </w:rPr>
              <w:t>DELIVERABLES</w:t>
            </w:r>
          </w:p>
        </w:tc>
        <w:tc>
          <w:tcPr>
            <w:tcW w:w="1274" w:type="pct"/>
            <w:tcBorders>
              <w:top w:val="nil"/>
              <w:bottom w:val="nil"/>
            </w:tcBorders>
            <w:shd w:val="clear" w:color="auto" w:fill="5E2F7E"/>
            <w:vAlign w:val="center"/>
          </w:tcPr>
          <w:p w14:paraId="00A60656" w14:textId="77777777" w:rsidR="00C27B65" w:rsidRPr="00C5526D" w:rsidRDefault="00C27B65" w:rsidP="005154CD">
            <w:pPr>
              <w:pStyle w:val="TableHeading"/>
              <w:rPr>
                <w:sz w:val="18"/>
                <w:szCs w:val="18"/>
              </w:rPr>
            </w:pPr>
            <w:r w:rsidRPr="00C5526D">
              <w:rPr>
                <w:sz w:val="18"/>
                <w:szCs w:val="18"/>
              </w:rPr>
              <w:t>TIMEFRAME</w:t>
            </w:r>
          </w:p>
        </w:tc>
      </w:tr>
      <w:tr w:rsidR="00C27B65" w14:paraId="62A62144" w14:textId="77777777" w:rsidTr="00A45A17">
        <w:trPr>
          <w:trHeight w:val="290"/>
        </w:trPr>
        <w:tc>
          <w:tcPr>
            <w:tcW w:w="3726" w:type="pct"/>
            <w:tcBorders>
              <w:top w:val="nil"/>
              <w:bottom w:val="single" w:sz="4" w:space="0" w:color="auto"/>
            </w:tcBorders>
          </w:tcPr>
          <w:p w14:paraId="4CD72BA8" w14:textId="49C635A2" w:rsidR="00C27B65" w:rsidRPr="00B60C07" w:rsidRDefault="00C27B65" w:rsidP="00192376">
            <w:pPr>
              <w:pStyle w:val="Body"/>
            </w:pPr>
            <w:r w:rsidRPr="00D41686">
              <w:t xml:space="preserve">Refine the </w:t>
            </w:r>
            <w:r w:rsidR="00192376">
              <w:t>m</w:t>
            </w:r>
            <w:r w:rsidRPr="00D41686">
              <w:t xml:space="preserve">ental </w:t>
            </w:r>
            <w:r w:rsidR="00192376">
              <w:t>h</w:t>
            </w:r>
            <w:r w:rsidRPr="00D41686">
              <w:t xml:space="preserve">ealth </w:t>
            </w:r>
            <w:r w:rsidR="00192376">
              <w:t>p</w:t>
            </w:r>
            <w:r w:rsidRPr="00D41686">
              <w:t xml:space="preserve">hase of </w:t>
            </w:r>
            <w:r w:rsidR="00192376">
              <w:t>c</w:t>
            </w:r>
            <w:r w:rsidRPr="00D41686">
              <w:t xml:space="preserve">are as part of the </w:t>
            </w:r>
            <w:r w:rsidR="00D46745">
              <w:t>AMHCC</w:t>
            </w:r>
            <w:r w:rsidR="006407A6" w:rsidRPr="000F337C">
              <w:rPr>
                <w:b/>
              </w:rPr>
              <w:t xml:space="preserve"> </w:t>
            </w:r>
            <w:r w:rsidRPr="00D41686">
              <w:t>development</w:t>
            </w:r>
            <w:r w:rsidRPr="00F62253">
              <w:t>.</w:t>
            </w:r>
          </w:p>
        </w:tc>
        <w:tc>
          <w:tcPr>
            <w:tcW w:w="1274" w:type="pct"/>
            <w:tcBorders>
              <w:top w:val="nil"/>
              <w:bottom w:val="single" w:sz="4" w:space="0" w:color="auto"/>
            </w:tcBorders>
          </w:tcPr>
          <w:p w14:paraId="75B2AD0F" w14:textId="4C7193B0" w:rsidR="00C27B65" w:rsidRPr="00B60C07" w:rsidRDefault="0039593B" w:rsidP="005154CD">
            <w:pPr>
              <w:pStyle w:val="Body"/>
            </w:pPr>
            <w:r>
              <w:t xml:space="preserve">Ongoing </w:t>
            </w:r>
          </w:p>
        </w:tc>
      </w:tr>
      <w:tr w:rsidR="00A45A17" w14:paraId="042809F7" w14:textId="77777777" w:rsidTr="00A45A17">
        <w:trPr>
          <w:trHeight w:val="290"/>
        </w:trPr>
        <w:tc>
          <w:tcPr>
            <w:tcW w:w="3726" w:type="pct"/>
            <w:tcBorders>
              <w:top w:val="single" w:sz="4" w:space="0" w:color="auto"/>
              <w:bottom w:val="single" w:sz="4" w:space="0" w:color="auto"/>
            </w:tcBorders>
          </w:tcPr>
          <w:p w14:paraId="1A57219F" w14:textId="68A3432D" w:rsidR="00A45A17" w:rsidRPr="00D41686" w:rsidRDefault="00A24CA9" w:rsidP="00A24CA9">
            <w:pPr>
              <w:pStyle w:val="Body"/>
            </w:pPr>
            <w:r>
              <w:t>Continue to shadow p</w:t>
            </w:r>
            <w:r w:rsidR="00A45A17" w:rsidRPr="000E063B">
              <w:t>rice</w:t>
            </w:r>
            <w:r>
              <w:t xml:space="preserve"> </w:t>
            </w:r>
            <w:r w:rsidR="0063398B">
              <w:t xml:space="preserve">admitted </w:t>
            </w:r>
            <w:r w:rsidR="00A45A17" w:rsidRPr="000E063B">
              <w:t xml:space="preserve">mental health care services using the </w:t>
            </w:r>
            <w:r w:rsidR="006407A6" w:rsidRPr="006407A6">
              <w:t>AMHCC</w:t>
            </w:r>
            <w:r w:rsidR="00A45A17" w:rsidRPr="000E063B">
              <w:t xml:space="preserve"> </w:t>
            </w:r>
            <w:r w:rsidR="0063398B">
              <w:t xml:space="preserve">Version 1.0 </w:t>
            </w:r>
            <w:r w:rsidR="00A45A17" w:rsidRPr="000E063B">
              <w:t xml:space="preserve">for </w:t>
            </w:r>
            <w:r w:rsidR="006340A1">
              <w:t xml:space="preserve">the </w:t>
            </w:r>
            <w:r w:rsidR="006340A1" w:rsidRPr="0019336C">
              <w:rPr>
                <w:i/>
              </w:rPr>
              <w:t>National Efficient Price Determination 202</w:t>
            </w:r>
            <w:r w:rsidR="0063398B">
              <w:rPr>
                <w:i/>
              </w:rPr>
              <w:t>1</w:t>
            </w:r>
            <w:r w:rsidR="006340A1" w:rsidRPr="0019336C">
              <w:rPr>
                <w:i/>
              </w:rPr>
              <w:t>–2</w:t>
            </w:r>
            <w:r w:rsidR="0063398B">
              <w:rPr>
                <w:i/>
              </w:rPr>
              <w:t>2</w:t>
            </w:r>
            <w:r w:rsidR="00A45A17" w:rsidRPr="000E063B">
              <w:t>.</w:t>
            </w:r>
          </w:p>
        </w:tc>
        <w:tc>
          <w:tcPr>
            <w:tcW w:w="1274" w:type="pct"/>
            <w:tcBorders>
              <w:top w:val="single" w:sz="4" w:space="0" w:color="auto"/>
              <w:bottom w:val="single" w:sz="4" w:space="0" w:color="auto"/>
            </w:tcBorders>
          </w:tcPr>
          <w:p w14:paraId="1BB1842A" w14:textId="5F104A1F" w:rsidR="00A45A17" w:rsidRDefault="00A45A17" w:rsidP="005154CD">
            <w:pPr>
              <w:pStyle w:val="Body"/>
            </w:pPr>
            <w:r>
              <w:t>March 202</w:t>
            </w:r>
            <w:r w:rsidR="00534E98">
              <w:t>1</w:t>
            </w:r>
          </w:p>
        </w:tc>
      </w:tr>
      <w:tr w:rsidR="00A24CA9" w14:paraId="2858F5B0" w14:textId="77777777" w:rsidTr="00A45A17">
        <w:trPr>
          <w:trHeight w:val="290"/>
        </w:trPr>
        <w:tc>
          <w:tcPr>
            <w:tcW w:w="3726" w:type="pct"/>
            <w:tcBorders>
              <w:top w:val="single" w:sz="4" w:space="0" w:color="auto"/>
              <w:bottom w:val="single" w:sz="4" w:space="0" w:color="auto"/>
            </w:tcBorders>
          </w:tcPr>
          <w:p w14:paraId="2E55B7CE" w14:textId="409385AD" w:rsidR="00A24CA9" w:rsidRDefault="00A24CA9" w:rsidP="00A24CA9">
            <w:pPr>
              <w:pStyle w:val="Body"/>
            </w:pPr>
            <w:r>
              <w:t xml:space="preserve">Shadow price community </w:t>
            </w:r>
            <w:r w:rsidRPr="000E063B">
              <w:t xml:space="preserve">mental health care services using the </w:t>
            </w:r>
            <w:r w:rsidRPr="006407A6">
              <w:t>AMHCC</w:t>
            </w:r>
            <w:r w:rsidRPr="000E063B">
              <w:t xml:space="preserve"> </w:t>
            </w:r>
            <w:r>
              <w:t xml:space="preserve">Version 1.0 </w:t>
            </w:r>
            <w:r w:rsidRPr="000E063B">
              <w:t xml:space="preserve">for </w:t>
            </w:r>
            <w:r>
              <w:t xml:space="preserve">the </w:t>
            </w:r>
            <w:r w:rsidRPr="0019336C">
              <w:rPr>
                <w:i/>
              </w:rPr>
              <w:t>National Efficient Price Determination 202</w:t>
            </w:r>
            <w:r>
              <w:rPr>
                <w:i/>
              </w:rPr>
              <w:t>1</w:t>
            </w:r>
            <w:r w:rsidRPr="0019336C">
              <w:rPr>
                <w:i/>
              </w:rPr>
              <w:t>–2</w:t>
            </w:r>
            <w:r>
              <w:rPr>
                <w:i/>
              </w:rPr>
              <w:t>2</w:t>
            </w:r>
            <w:r w:rsidRPr="000E063B">
              <w:t>.</w:t>
            </w:r>
          </w:p>
        </w:tc>
        <w:tc>
          <w:tcPr>
            <w:tcW w:w="1274" w:type="pct"/>
            <w:tcBorders>
              <w:top w:val="single" w:sz="4" w:space="0" w:color="auto"/>
              <w:bottom w:val="single" w:sz="4" w:space="0" w:color="auto"/>
            </w:tcBorders>
          </w:tcPr>
          <w:p w14:paraId="29792A50" w14:textId="2FCDE6B2" w:rsidR="00A24CA9" w:rsidRDefault="00A24CA9" w:rsidP="00A24CA9">
            <w:pPr>
              <w:pStyle w:val="Body"/>
            </w:pPr>
            <w:r>
              <w:t>March 2021</w:t>
            </w:r>
          </w:p>
        </w:tc>
      </w:tr>
    </w:tbl>
    <w:p w14:paraId="0F12FFE2" w14:textId="77777777" w:rsidR="00C27B65" w:rsidRDefault="00C27B65" w:rsidP="00C27B65"/>
    <w:p w14:paraId="66EF2896" w14:textId="77777777" w:rsidR="00C27B65" w:rsidRPr="000F337C" w:rsidRDefault="00702100" w:rsidP="00C27B65">
      <w:pPr>
        <w:pStyle w:val="Body"/>
        <w:rPr>
          <w:b/>
        </w:rPr>
      </w:pPr>
      <w:r>
        <w:rPr>
          <w:b/>
        </w:rPr>
        <w:t xml:space="preserve">The </w:t>
      </w:r>
      <w:r w:rsidR="00D46745" w:rsidRPr="00D46745">
        <w:rPr>
          <w:b/>
        </w:rPr>
        <w:t xml:space="preserve">Australian Mental Health Care Classification </w:t>
      </w:r>
      <w:r w:rsidR="00D46745">
        <w:rPr>
          <w:b/>
        </w:rPr>
        <w:t>(</w:t>
      </w:r>
      <w:r w:rsidR="006407A6">
        <w:rPr>
          <w:b/>
        </w:rPr>
        <w:t>AMHCC</w:t>
      </w:r>
      <w:r w:rsidR="00D46745">
        <w:rPr>
          <w:b/>
        </w:rPr>
        <w:t>)</w:t>
      </w:r>
      <w:r w:rsidR="00C27B65" w:rsidRPr="000F337C">
        <w:rPr>
          <w:b/>
        </w:rPr>
        <w:t xml:space="preserve"> Version 1</w:t>
      </w:r>
      <w:r w:rsidR="00A45A17">
        <w:rPr>
          <w:b/>
        </w:rPr>
        <w:t>.0</w:t>
      </w:r>
      <w:r w:rsidR="00C27B65" w:rsidRPr="000F337C">
        <w:rPr>
          <w:b/>
        </w:rPr>
        <w:t xml:space="preserve"> was app</w:t>
      </w:r>
      <w:r w:rsidR="001C19B9">
        <w:rPr>
          <w:b/>
        </w:rPr>
        <w:t>roved by the Pricing Authority i</w:t>
      </w:r>
      <w:r w:rsidR="00C27B65" w:rsidRPr="000F337C">
        <w:rPr>
          <w:b/>
        </w:rPr>
        <w:t>n February 2016 and implemented for data collection from 1 July 2016.</w:t>
      </w:r>
    </w:p>
    <w:p w14:paraId="74532D8F" w14:textId="34C2834A" w:rsidR="006F15C4" w:rsidRDefault="006F15C4" w:rsidP="006F15C4">
      <w:pPr>
        <w:pStyle w:val="Body"/>
      </w:pPr>
      <w:r w:rsidRPr="000F337C">
        <w:t>IHPA undertook an inter-rater reliability</w:t>
      </w:r>
      <w:r w:rsidR="001F2A57">
        <w:t xml:space="preserve"> </w:t>
      </w:r>
      <w:r w:rsidRPr="000F337C">
        <w:t xml:space="preserve">study </w:t>
      </w:r>
      <w:r>
        <w:t xml:space="preserve">in 2016 </w:t>
      </w:r>
      <w:r w:rsidRPr="000F337C">
        <w:t>to test the rate of agreement amongst clinicians in assigning the mental health phase of care</w:t>
      </w:r>
      <w:r>
        <w:t xml:space="preserve"> (</w:t>
      </w:r>
      <w:proofErr w:type="spellStart"/>
      <w:r>
        <w:t>MHPoC</w:t>
      </w:r>
      <w:proofErr w:type="spellEnd"/>
      <w:r>
        <w:t>)</w:t>
      </w:r>
      <w:r w:rsidRPr="000F337C">
        <w:t xml:space="preserve"> to similar consumers. The findings confirmed the need for further refinement of the </w:t>
      </w:r>
      <w:proofErr w:type="spellStart"/>
      <w:r>
        <w:t>MHPoC</w:t>
      </w:r>
      <w:proofErr w:type="spellEnd"/>
      <w:r w:rsidRPr="000F337C">
        <w:t xml:space="preserve"> concept to improve clinical application. </w:t>
      </w:r>
      <w:r>
        <w:t xml:space="preserve">As a result, </w:t>
      </w:r>
      <w:r w:rsidRPr="000F337C">
        <w:t>IHPA commenced the Mental Health Phase of Care Clinical Refinement Project in 2017</w:t>
      </w:r>
      <w:r>
        <w:t xml:space="preserve">, which proposed two refined </w:t>
      </w:r>
      <w:proofErr w:type="spellStart"/>
      <w:r>
        <w:t>MHPoC</w:t>
      </w:r>
      <w:proofErr w:type="spellEnd"/>
      <w:r>
        <w:t xml:space="preserve"> options and recommended </w:t>
      </w:r>
      <w:r w:rsidRPr="00D4389E">
        <w:t xml:space="preserve">further testing to </w:t>
      </w:r>
      <w:r>
        <w:t>ensure improved reliability prior to implementation.</w:t>
      </w:r>
    </w:p>
    <w:p w14:paraId="3607AE0D" w14:textId="02C7415A" w:rsidR="006F15C4" w:rsidRDefault="006F15C4" w:rsidP="006F15C4">
      <w:pPr>
        <w:pStyle w:val="Body"/>
      </w:pPr>
      <w:r>
        <w:t xml:space="preserve">In 2020, IHPA initiated the Mental Health Phase of Care Clinical Refinement Testing Project, to test the rate of agreement amongst clinicians in assigning the refined </w:t>
      </w:r>
      <w:proofErr w:type="spellStart"/>
      <w:r>
        <w:t>MHPoC</w:t>
      </w:r>
      <w:proofErr w:type="spellEnd"/>
      <w:r>
        <w:t xml:space="preserve"> options and directly compare findings to the 2016 </w:t>
      </w:r>
      <w:r w:rsidR="001F2A57" w:rsidRPr="00DF79A8">
        <w:t>inter-rater reliability</w:t>
      </w:r>
      <w:r w:rsidR="001F2A57">
        <w:t xml:space="preserve"> </w:t>
      </w:r>
      <w:r>
        <w:t xml:space="preserve">study. </w:t>
      </w:r>
    </w:p>
    <w:p w14:paraId="1EAE409D" w14:textId="15D7D369" w:rsidR="00BE4EDA" w:rsidRDefault="006F15C4" w:rsidP="00C5526D">
      <w:pPr>
        <w:pStyle w:val="Body"/>
      </w:pPr>
      <w:r>
        <w:t>The findings from the Mental Health Phase of Care Clinical Refinement Testing Project</w:t>
      </w:r>
      <w:r w:rsidRPr="000F337C">
        <w:t xml:space="preserve"> will inform</w:t>
      </w:r>
      <w:r>
        <w:t xml:space="preserve"> a final decision on the </w:t>
      </w:r>
      <w:r w:rsidRPr="000F337C">
        <w:t xml:space="preserve">refinement of the </w:t>
      </w:r>
      <w:proofErr w:type="spellStart"/>
      <w:r>
        <w:t>MHPoC</w:t>
      </w:r>
      <w:proofErr w:type="spellEnd"/>
      <w:r>
        <w:t xml:space="preserve">, as well as the development and implementation of </w:t>
      </w:r>
      <w:r w:rsidRPr="000F337C">
        <w:t>AMHCC</w:t>
      </w:r>
      <w:r>
        <w:t xml:space="preserve"> Version 2.0</w:t>
      </w:r>
      <w:r w:rsidRPr="000F337C">
        <w:t>.</w:t>
      </w:r>
      <w:r w:rsidR="00BE4EDA">
        <w:br w:type="page"/>
      </w:r>
    </w:p>
    <w:p w14:paraId="2933872F" w14:textId="77777777" w:rsidR="00C27B65" w:rsidRPr="00C5526D" w:rsidRDefault="00A73127" w:rsidP="00EF2D44">
      <w:pPr>
        <w:pStyle w:val="Heading2"/>
        <w:numPr>
          <w:ilvl w:val="0"/>
          <w:numId w:val="5"/>
        </w:numPr>
        <w:ind w:hanging="929"/>
        <w:rPr>
          <w:sz w:val="18"/>
          <w:szCs w:val="18"/>
        </w:rPr>
      </w:pPr>
      <w:bookmarkStart w:id="87" w:name="_Toc55045628"/>
      <w:bookmarkStart w:id="88" w:name="_Toc55053999"/>
      <w:bookmarkStart w:id="89" w:name="_Toc55237219"/>
      <w:bookmarkStart w:id="90" w:name="_Toc55238306"/>
      <w:bookmarkStart w:id="91" w:name="_Toc55974124"/>
      <w:r w:rsidRPr="00C5526D">
        <w:rPr>
          <w:sz w:val="18"/>
          <w:szCs w:val="18"/>
        </w:rPr>
        <w:lastRenderedPageBreak/>
        <w:t xml:space="preserve">Australian National Subacute and Non-Acute Patient </w:t>
      </w:r>
      <w:r w:rsidR="00FC3840" w:rsidRPr="00C5526D">
        <w:rPr>
          <w:sz w:val="18"/>
          <w:szCs w:val="18"/>
        </w:rPr>
        <w:t>C</w:t>
      </w:r>
      <w:r w:rsidRPr="00C5526D">
        <w:rPr>
          <w:sz w:val="18"/>
          <w:szCs w:val="18"/>
        </w:rPr>
        <w:t>lassification</w:t>
      </w:r>
      <w:bookmarkEnd w:id="87"/>
      <w:bookmarkEnd w:id="88"/>
      <w:bookmarkEnd w:id="89"/>
      <w:bookmarkEnd w:id="90"/>
      <w:bookmarkEnd w:id="91"/>
      <w:r w:rsidRPr="00C5526D">
        <w:rPr>
          <w:sz w:val="18"/>
          <w:szCs w:val="18"/>
        </w:rPr>
        <w:t xml:space="preserve">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27B65" w:rsidRPr="007F2290" w14:paraId="3C9C3DE9" w14:textId="77777777" w:rsidTr="005154CD">
        <w:tc>
          <w:tcPr>
            <w:tcW w:w="3726" w:type="pct"/>
            <w:tcBorders>
              <w:top w:val="nil"/>
              <w:bottom w:val="nil"/>
            </w:tcBorders>
            <w:shd w:val="clear" w:color="auto" w:fill="5E2F7E"/>
            <w:vAlign w:val="center"/>
          </w:tcPr>
          <w:p w14:paraId="38D5EA38" w14:textId="77777777" w:rsidR="00C27B65" w:rsidRPr="00C5526D" w:rsidRDefault="00C27B65" w:rsidP="005154CD">
            <w:pPr>
              <w:pStyle w:val="TableHeading"/>
              <w:rPr>
                <w:sz w:val="18"/>
                <w:szCs w:val="18"/>
              </w:rPr>
            </w:pPr>
            <w:r w:rsidRPr="00C5526D">
              <w:rPr>
                <w:sz w:val="18"/>
                <w:szCs w:val="18"/>
              </w:rPr>
              <w:t>DELIVERABLES</w:t>
            </w:r>
          </w:p>
        </w:tc>
        <w:tc>
          <w:tcPr>
            <w:tcW w:w="1274" w:type="pct"/>
            <w:tcBorders>
              <w:top w:val="nil"/>
              <w:bottom w:val="nil"/>
            </w:tcBorders>
            <w:shd w:val="clear" w:color="auto" w:fill="5E2F7E"/>
            <w:vAlign w:val="center"/>
          </w:tcPr>
          <w:p w14:paraId="01873F83" w14:textId="77777777" w:rsidR="00C27B65" w:rsidRPr="00C5526D" w:rsidRDefault="00C27B65" w:rsidP="005154CD">
            <w:pPr>
              <w:pStyle w:val="TableHeading"/>
              <w:rPr>
                <w:sz w:val="18"/>
                <w:szCs w:val="18"/>
              </w:rPr>
            </w:pPr>
            <w:r w:rsidRPr="00C5526D">
              <w:rPr>
                <w:sz w:val="18"/>
                <w:szCs w:val="18"/>
              </w:rPr>
              <w:t>TIMEFRAME</w:t>
            </w:r>
          </w:p>
        </w:tc>
      </w:tr>
      <w:tr w:rsidR="00C27B65" w14:paraId="1602D7F7" w14:textId="77777777" w:rsidTr="005154CD">
        <w:trPr>
          <w:trHeight w:val="290"/>
        </w:trPr>
        <w:tc>
          <w:tcPr>
            <w:tcW w:w="3726" w:type="pct"/>
            <w:tcBorders>
              <w:top w:val="nil"/>
              <w:bottom w:val="single" w:sz="4" w:space="0" w:color="auto"/>
            </w:tcBorders>
          </w:tcPr>
          <w:p w14:paraId="50FFEBC3" w14:textId="77777777" w:rsidR="00C27B65" w:rsidRPr="00B60C07" w:rsidRDefault="00D46745" w:rsidP="006407A6">
            <w:pPr>
              <w:pStyle w:val="Body"/>
            </w:pPr>
            <w:r>
              <w:t>Consult on the draft AN-SNAP</w:t>
            </w:r>
            <w:r w:rsidR="006407A6" w:rsidRPr="00C23C26">
              <w:t> </w:t>
            </w:r>
            <w:r w:rsidR="00FC3840">
              <w:t>C</w:t>
            </w:r>
            <w:r w:rsidR="00C27B65" w:rsidRPr="00C23C26">
              <w:t>lassification</w:t>
            </w:r>
            <w:r w:rsidR="006407A6">
              <w:t xml:space="preserve"> </w:t>
            </w:r>
            <w:r w:rsidR="00C27B65" w:rsidRPr="00C23C26">
              <w:t>Version 5</w:t>
            </w:r>
            <w:r w:rsidR="00A45A17">
              <w:t>.0</w:t>
            </w:r>
            <w:r w:rsidR="00C27B65" w:rsidRPr="00C23C26">
              <w:t>.</w:t>
            </w:r>
          </w:p>
        </w:tc>
        <w:tc>
          <w:tcPr>
            <w:tcW w:w="1274" w:type="pct"/>
            <w:tcBorders>
              <w:top w:val="nil"/>
              <w:bottom w:val="single" w:sz="4" w:space="0" w:color="auto"/>
            </w:tcBorders>
          </w:tcPr>
          <w:p w14:paraId="05046E29" w14:textId="23099F27" w:rsidR="00C27B65" w:rsidRPr="00B60C07" w:rsidRDefault="00C27B65" w:rsidP="00250267">
            <w:pPr>
              <w:pStyle w:val="Body"/>
            </w:pPr>
            <w:r w:rsidRPr="00DE3732">
              <w:t>November</w:t>
            </w:r>
            <w:r w:rsidR="0063398B">
              <w:t xml:space="preserve"> </w:t>
            </w:r>
            <w:r w:rsidRPr="00DE3732">
              <w:t>202</w:t>
            </w:r>
            <w:r w:rsidR="00E73BEB">
              <w:t>1</w:t>
            </w:r>
          </w:p>
        </w:tc>
      </w:tr>
    </w:tbl>
    <w:p w14:paraId="0623D3A2" w14:textId="77777777" w:rsidR="00C27B65" w:rsidRDefault="00C27B65" w:rsidP="00C27B65">
      <w:pPr>
        <w:pStyle w:val="Body"/>
      </w:pPr>
    </w:p>
    <w:p w14:paraId="277AAA78" w14:textId="77777777" w:rsidR="00C27B65" w:rsidRDefault="00C27B65" w:rsidP="00C27B65">
      <w:pPr>
        <w:pStyle w:val="IntroBody"/>
      </w:pPr>
      <w:r>
        <w:t>The development of the</w:t>
      </w:r>
      <w:r w:rsidR="00D46745">
        <w:t xml:space="preserve"> </w:t>
      </w:r>
      <w:r w:rsidR="00D46745" w:rsidRPr="00C23C26">
        <w:t>Australian National Subacute and Non</w:t>
      </w:r>
      <w:r w:rsidR="00D46745" w:rsidRPr="00C23C26">
        <w:rPr>
          <w:rFonts w:ascii="Cambria Math" w:hAnsi="Cambria Math" w:cs="Cambria Math"/>
        </w:rPr>
        <w:t>‑</w:t>
      </w:r>
      <w:r w:rsidR="00D46745" w:rsidRPr="00C23C26">
        <w:t>Acute Patient</w:t>
      </w:r>
      <w:r>
        <w:t xml:space="preserve"> </w:t>
      </w:r>
      <w:r w:rsidR="00D46745">
        <w:t>(</w:t>
      </w:r>
      <w:r w:rsidR="006407A6">
        <w:t>AN-SNAP</w:t>
      </w:r>
      <w:r w:rsidR="00D46745">
        <w:t>)</w:t>
      </w:r>
      <w:r w:rsidR="006407A6">
        <w:t xml:space="preserve"> </w:t>
      </w:r>
      <w:r w:rsidR="00A53D9F">
        <w:t>c</w:t>
      </w:r>
      <w:r>
        <w:t>lassification Version 4</w:t>
      </w:r>
      <w:r w:rsidR="00A45A17">
        <w:t>.0</w:t>
      </w:r>
      <w:r>
        <w:t xml:space="preserve"> was completed in late 2014.</w:t>
      </w:r>
    </w:p>
    <w:p w14:paraId="27EA9569" w14:textId="3AAE7D85" w:rsidR="00C27B65" w:rsidRDefault="00C27B65" w:rsidP="00C27B65">
      <w:pPr>
        <w:pStyle w:val="Body"/>
      </w:pPr>
      <w:r>
        <w:t>IHPA continues to work with the Subacute Care Working Group, Clinical Advisory Committee and other advisory groups to develop the next version of the AN</w:t>
      </w:r>
      <w:r>
        <w:rPr>
          <w:rFonts w:ascii="Cambria Math" w:hAnsi="Cambria Math" w:cs="Cambria Math"/>
        </w:rPr>
        <w:t>‑</w:t>
      </w:r>
      <w:r>
        <w:t xml:space="preserve">SNAP classification. The </w:t>
      </w:r>
      <w:hyperlink r:id="rId37" w:history="1">
        <w:r w:rsidRPr="00271585">
          <w:rPr>
            <w:rStyle w:val="LinkChar"/>
          </w:rPr>
          <w:t>AN</w:t>
        </w:r>
        <w:r w:rsidRPr="00271585">
          <w:rPr>
            <w:rStyle w:val="LinkChar"/>
            <w:rFonts w:ascii="Cambria Math" w:hAnsi="Cambria Math" w:cs="Cambria Math"/>
          </w:rPr>
          <w:t>‑</w:t>
        </w:r>
        <w:r w:rsidRPr="00271585">
          <w:rPr>
            <w:rStyle w:val="LinkChar"/>
          </w:rPr>
          <w:t>SNAP Version 4</w:t>
        </w:r>
        <w:r w:rsidR="00A45A17">
          <w:rPr>
            <w:rStyle w:val="LinkChar"/>
          </w:rPr>
          <w:t>.0</w:t>
        </w:r>
        <w:r w:rsidRPr="00271585">
          <w:rPr>
            <w:rStyle w:val="LinkChar"/>
          </w:rPr>
          <w:t xml:space="preserve"> </w:t>
        </w:r>
        <w:r>
          <w:rPr>
            <w:rStyle w:val="LinkChar"/>
          </w:rPr>
          <w:t>Final R</w:t>
        </w:r>
        <w:r w:rsidRPr="00271585">
          <w:rPr>
            <w:rStyle w:val="LinkChar"/>
          </w:rPr>
          <w:t>eport</w:t>
        </w:r>
      </w:hyperlink>
      <w:r>
        <w:t xml:space="preserve"> highlighted that a key limitation to developing prior versions was the lack of data to inform the development of options for making major structural changes to the classification. Considerable</w:t>
      </w:r>
      <w:r w:rsidR="004B63D2">
        <w:t xml:space="preserve"> </w:t>
      </w:r>
      <w:r>
        <w:t>progress has since been made by states and territories in the collection of subacute activity and cost data which will support improvements for</w:t>
      </w:r>
      <w:r w:rsidR="007B213D">
        <w:t xml:space="preserve"> </w:t>
      </w:r>
      <w:r>
        <w:t>AN-SNAP Version 5</w:t>
      </w:r>
      <w:r w:rsidR="00887994">
        <w:t>.0</w:t>
      </w:r>
      <w:r>
        <w:t>.</w:t>
      </w:r>
    </w:p>
    <w:p w14:paraId="6D72B27C" w14:textId="77777777" w:rsidR="00A73127" w:rsidRDefault="00C27B65" w:rsidP="00C27B65">
      <w:pPr>
        <w:pStyle w:val="Body"/>
      </w:pPr>
      <w:r>
        <w:t>As part of the development of AN-SNAP Version</w:t>
      </w:r>
      <w:r w:rsidR="004B63D2">
        <w:t xml:space="preserve"> </w:t>
      </w:r>
      <w:r>
        <w:t>5</w:t>
      </w:r>
      <w:r w:rsidR="00887994">
        <w:t>.0</w:t>
      </w:r>
      <w:r>
        <w:t>, IHPA</w:t>
      </w:r>
      <w:r w:rsidR="004B63D2">
        <w:t xml:space="preserve"> </w:t>
      </w:r>
      <w:r>
        <w:t>continues to investigate potential new variables and the cost impact of complications and comorbidi</w:t>
      </w:r>
      <w:r w:rsidR="001C19B9">
        <w:t>ties on all of the care types.</w:t>
      </w:r>
    </w:p>
    <w:p w14:paraId="64363AFA" w14:textId="77777777" w:rsidR="00C27B65" w:rsidRPr="00C5526D" w:rsidRDefault="00C27B65" w:rsidP="00EF2D44">
      <w:pPr>
        <w:pStyle w:val="Heading2"/>
        <w:numPr>
          <w:ilvl w:val="0"/>
          <w:numId w:val="5"/>
        </w:numPr>
        <w:ind w:hanging="929"/>
        <w:rPr>
          <w:sz w:val="18"/>
          <w:szCs w:val="18"/>
        </w:rPr>
      </w:pPr>
      <w:bookmarkStart w:id="92" w:name="_Toc55045629"/>
      <w:bookmarkStart w:id="93" w:name="_Toc55054000"/>
      <w:bookmarkStart w:id="94" w:name="_Toc55237220"/>
      <w:bookmarkStart w:id="95" w:name="_Toc55238307"/>
      <w:bookmarkStart w:id="96" w:name="_Toc55974125"/>
      <w:r w:rsidRPr="00C5526D">
        <w:rPr>
          <w:sz w:val="18"/>
          <w:szCs w:val="18"/>
        </w:rPr>
        <w:t xml:space="preserve">Tier 2 Non-Admitted Services </w:t>
      </w:r>
      <w:r w:rsidR="00422C09" w:rsidRPr="00C5526D">
        <w:rPr>
          <w:sz w:val="18"/>
          <w:szCs w:val="18"/>
        </w:rPr>
        <w:t>C</w:t>
      </w:r>
      <w:r w:rsidRPr="00C5526D">
        <w:rPr>
          <w:sz w:val="18"/>
          <w:szCs w:val="18"/>
        </w:rPr>
        <w:t>lassification</w:t>
      </w:r>
      <w:bookmarkEnd w:id="92"/>
      <w:bookmarkEnd w:id="93"/>
      <w:bookmarkEnd w:id="94"/>
      <w:bookmarkEnd w:id="95"/>
      <w:bookmarkEnd w:id="96"/>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27B65" w:rsidRPr="007F2290" w14:paraId="6EF57012" w14:textId="77777777" w:rsidTr="005154CD">
        <w:tc>
          <w:tcPr>
            <w:tcW w:w="3726" w:type="pct"/>
            <w:tcBorders>
              <w:top w:val="nil"/>
              <w:bottom w:val="nil"/>
            </w:tcBorders>
            <w:shd w:val="clear" w:color="auto" w:fill="5E2F7E"/>
            <w:vAlign w:val="center"/>
          </w:tcPr>
          <w:p w14:paraId="0F817372" w14:textId="77777777" w:rsidR="00C27B65" w:rsidRPr="00C5526D" w:rsidRDefault="00C27B65" w:rsidP="005154CD">
            <w:pPr>
              <w:pStyle w:val="TableHeading"/>
              <w:rPr>
                <w:sz w:val="18"/>
                <w:szCs w:val="18"/>
              </w:rPr>
            </w:pPr>
            <w:r w:rsidRPr="00C5526D">
              <w:rPr>
                <w:sz w:val="18"/>
                <w:szCs w:val="18"/>
              </w:rPr>
              <w:t>DELIVERABLES</w:t>
            </w:r>
          </w:p>
        </w:tc>
        <w:tc>
          <w:tcPr>
            <w:tcW w:w="1274" w:type="pct"/>
            <w:tcBorders>
              <w:top w:val="nil"/>
              <w:bottom w:val="nil"/>
            </w:tcBorders>
            <w:shd w:val="clear" w:color="auto" w:fill="5E2F7E"/>
            <w:vAlign w:val="center"/>
          </w:tcPr>
          <w:p w14:paraId="7436A218" w14:textId="77777777" w:rsidR="00C27B65" w:rsidRPr="00C5526D" w:rsidRDefault="00C27B65" w:rsidP="005154CD">
            <w:pPr>
              <w:pStyle w:val="TableHeading"/>
              <w:rPr>
                <w:sz w:val="18"/>
                <w:szCs w:val="18"/>
              </w:rPr>
            </w:pPr>
            <w:r w:rsidRPr="00C5526D">
              <w:rPr>
                <w:sz w:val="18"/>
                <w:szCs w:val="18"/>
              </w:rPr>
              <w:t>TIMEFRAME</w:t>
            </w:r>
          </w:p>
        </w:tc>
      </w:tr>
      <w:tr w:rsidR="00C27B65" w14:paraId="7C3A3C43" w14:textId="77777777" w:rsidTr="005154CD">
        <w:trPr>
          <w:trHeight w:val="290"/>
        </w:trPr>
        <w:tc>
          <w:tcPr>
            <w:tcW w:w="3726" w:type="pct"/>
            <w:tcBorders>
              <w:top w:val="nil"/>
              <w:bottom w:val="single" w:sz="4" w:space="0" w:color="auto"/>
            </w:tcBorders>
          </w:tcPr>
          <w:p w14:paraId="58D95E65" w14:textId="77777777" w:rsidR="00C27B65" w:rsidRPr="00B60C07" w:rsidRDefault="00C27B65" w:rsidP="00D46745">
            <w:pPr>
              <w:pStyle w:val="Body"/>
            </w:pPr>
            <w:r w:rsidRPr="00376977">
              <w:t>Continue to maintain the Tier 2 Non</w:t>
            </w:r>
            <w:r w:rsidRPr="00376977">
              <w:rPr>
                <w:rFonts w:ascii="Cambria Math" w:hAnsi="Cambria Math" w:cs="Cambria Math"/>
              </w:rPr>
              <w:t>‑</w:t>
            </w:r>
            <w:r w:rsidRPr="00376977">
              <w:t xml:space="preserve">Admitted Services </w:t>
            </w:r>
            <w:r w:rsidR="00FC3840">
              <w:t>C</w:t>
            </w:r>
            <w:r w:rsidRPr="00376977">
              <w:t xml:space="preserve">lassification while undertaking development work for the </w:t>
            </w:r>
            <w:r w:rsidR="00887994">
              <w:t>ANACC</w:t>
            </w:r>
            <w:r w:rsidRPr="00376977">
              <w:t>.</w:t>
            </w:r>
          </w:p>
        </w:tc>
        <w:tc>
          <w:tcPr>
            <w:tcW w:w="1274" w:type="pct"/>
            <w:tcBorders>
              <w:top w:val="nil"/>
              <w:bottom w:val="single" w:sz="4" w:space="0" w:color="auto"/>
            </w:tcBorders>
          </w:tcPr>
          <w:p w14:paraId="26072C46" w14:textId="77777777" w:rsidR="00C27B65" w:rsidRPr="00B60C07" w:rsidRDefault="00C27B65" w:rsidP="005154CD">
            <w:pPr>
              <w:pStyle w:val="Body"/>
            </w:pPr>
            <w:r>
              <w:t>Ongoing</w:t>
            </w:r>
          </w:p>
        </w:tc>
      </w:tr>
    </w:tbl>
    <w:p w14:paraId="6126D771" w14:textId="77777777" w:rsidR="00C27B65" w:rsidRDefault="00C27B65" w:rsidP="00C27B65">
      <w:pPr>
        <w:pStyle w:val="Body"/>
      </w:pPr>
    </w:p>
    <w:p w14:paraId="2A23E2B1" w14:textId="08553512" w:rsidR="00C27B65" w:rsidRDefault="00C27B65" w:rsidP="00C27B65">
      <w:pPr>
        <w:pStyle w:val="IntroBody"/>
      </w:pPr>
      <w:r>
        <w:t>The Tier 2 Non</w:t>
      </w:r>
      <w:r>
        <w:rPr>
          <w:rFonts w:ascii="Cambria Math" w:hAnsi="Cambria Math" w:cs="Cambria Math"/>
        </w:rPr>
        <w:t>‑</w:t>
      </w:r>
      <w:r>
        <w:t xml:space="preserve">Admitted Services </w:t>
      </w:r>
      <w:r w:rsidR="00FC3840">
        <w:t>C</w:t>
      </w:r>
      <w:r>
        <w:t xml:space="preserve">lassification system </w:t>
      </w:r>
      <w:proofErr w:type="spellStart"/>
      <w:r>
        <w:t>categorises</w:t>
      </w:r>
      <w:proofErr w:type="spellEnd"/>
      <w:r>
        <w:t xml:space="preserve"> a public hospital’s non</w:t>
      </w:r>
      <w:r>
        <w:rPr>
          <w:rFonts w:ascii="Cambria Math" w:hAnsi="Cambria Math" w:cs="Cambria Math"/>
        </w:rPr>
        <w:t>‑</w:t>
      </w:r>
      <w:r>
        <w:t>admitted services into classes which are generally based on the nature of the service provided an</w:t>
      </w:r>
      <w:r w:rsidR="00CC055E">
        <w:t>/</w:t>
      </w:r>
      <w:r>
        <w:t>d the type of clinician providing the service.</w:t>
      </w:r>
    </w:p>
    <w:p w14:paraId="3DBC7592" w14:textId="77777777" w:rsidR="004B63D2" w:rsidRDefault="00C27B65" w:rsidP="0099362F">
      <w:pPr>
        <w:pStyle w:val="Body"/>
      </w:pPr>
      <w:r>
        <w:t xml:space="preserve">IHPA is developing a new </w:t>
      </w:r>
      <w:r w:rsidR="00D46745" w:rsidRPr="00D46745">
        <w:t>Australian Non</w:t>
      </w:r>
      <w:r w:rsidR="00D46745" w:rsidRPr="00D46745">
        <w:rPr>
          <w:rFonts w:ascii="Cambria Math" w:hAnsi="Cambria Math" w:cs="Cambria Math"/>
        </w:rPr>
        <w:t>‑</w:t>
      </w:r>
      <w:r w:rsidR="00D46745" w:rsidRPr="00D46745">
        <w:t xml:space="preserve">Admitted Care Classification </w:t>
      </w:r>
      <w:r w:rsidR="00D46745">
        <w:t>(</w:t>
      </w:r>
      <w:r w:rsidR="00887994">
        <w:t>ANACC</w:t>
      </w:r>
      <w:r w:rsidR="00D46745">
        <w:t>)</w:t>
      </w:r>
      <w:r>
        <w:t xml:space="preserve">. The data and knowledge gained through the development of the ANACC will inform IHPA’s work to maintain the Tier 2 Non-Admitted Services </w:t>
      </w:r>
      <w:r w:rsidR="00FC3840">
        <w:t>C</w:t>
      </w:r>
      <w:r>
        <w:t>lassification while development takes place.</w:t>
      </w:r>
    </w:p>
    <w:p w14:paraId="01F730A5" w14:textId="77777777" w:rsidR="00C27B65" w:rsidRPr="00C5526D" w:rsidRDefault="00C27B65" w:rsidP="00EF2D44">
      <w:pPr>
        <w:pStyle w:val="Heading2"/>
        <w:numPr>
          <w:ilvl w:val="0"/>
          <w:numId w:val="5"/>
        </w:numPr>
        <w:ind w:hanging="929"/>
        <w:rPr>
          <w:sz w:val="18"/>
          <w:szCs w:val="18"/>
        </w:rPr>
      </w:pPr>
      <w:bookmarkStart w:id="97" w:name="_Toc55045630"/>
      <w:bookmarkStart w:id="98" w:name="_Toc55054001"/>
      <w:bookmarkStart w:id="99" w:name="_Toc55237221"/>
      <w:bookmarkStart w:id="100" w:name="_Toc55238308"/>
      <w:bookmarkStart w:id="101" w:name="_Toc55974126"/>
      <w:r w:rsidRPr="00C5526D">
        <w:rPr>
          <w:sz w:val="18"/>
          <w:szCs w:val="18"/>
        </w:rPr>
        <w:t xml:space="preserve">Australian Non-Admitted Care </w:t>
      </w:r>
      <w:r w:rsidR="00887994" w:rsidRPr="00C5526D">
        <w:rPr>
          <w:sz w:val="18"/>
          <w:szCs w:val="18"/>
        </w:rPr>
        <w:t>Classification</w:t>
      </w:r>
      <w:bookmarkEnd w:id="97"/>
      <w:bookmarkEnd w:id="98"/>
      <w:bookmarkEnd w:id="99"/>
      <w:bookmarkEnd w:id="100"/>
      <w:bookmarkEnd w:id="101"/>
      <w:r w:rsidR="00887994" w:rsidRPr="00C5526D">
        <w:rPr>
          <w:sz w:val="18"/>
          <w:szCs w:val="18"/>
        </w:rPr>
        <w:t>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A0345" w:rsidRPr="007F2290" w14:paraId="7E854793" w14:textId="77777777" w:rsidTr="005154CD">
        <w:tc>
          <w:tcPr>
            <w:tcW w:w="3726" w:type="pct"/>
            <w:tcBorders>
              <w:top w:val="nil"/>
              <w:bottom w:val="nil"/>
            </w:tcBorders>
            <w:shd w:val="clear" w:color="auto" w:fill="5E2F7E"/>
            <w:vAlign w:val="center"/>
          </w:tcPr>
          <w:p w14:paraId="0311CBD0" w14:textId="77777777" w:rsidR="003A0345" w:rsidRPr="00C5526D" w:rsidRDefault="003A0345" w:rsidP="005154CD">
            <w:pPr>
              <w:pStyle w:val="TableHeading"/>
              <w:rPr>
                <w:sz w:val="18"/>
                <w:szCs w:val="18"/>
              </w:rPr>
            </w:pPr>
            <w:r w:rsidRPr="00C5526D">
              <w:rPr>
                <w:sz w:val="18"/>
                <w:szCs w:val="18"/>
              </w:rPr>
              <w:t>DELIVERABLES</w:t>
            </w:r>
          </w:p>
        </w:tc>
        <w:tc>
          <w:tcPr>
            <w:tcW w:w="1274" w:type="pct"/>
            <w:tcBorders>
              <w:top w:val="nil"/>
              <w:bottom w:val="nil"/>
            </w:tcBorders>
            <w:shd w:val="clear" w:color="auto" w:fill="5E2F7E"/>
            <w:vAlign w:val="center"/>
          </w:tcPr>
          <w:p w14:paraId="5CC4A1EF" w14:textId="77777777" w:rsidR="003A0345" w:rsidRPr="00C5526D" w:rsidRDefault="003A0345" w:rsidP="005154CD">
            <w:pPr>
              <w:pStyle w:val="TableHeading"/>
              <w:rPr>
                <w:sz w:val="18"/>
                <w:szCs w:val="18"/>
              </w:rPr>
            </w:pPr>
            <w:r w:rsidRPr="00C5526D">
              <w:rPr>
                <w:sz w:val="18"/>
                <w:szCs w:val="18"/>
              </w:rPr>
              <w:t>TIMEFRAME</w:t>
            </w:r>
          </w:p>
        </w:tc>
      </w:tr>
      <w:tr w:rsidR="003A0345" w14:paraId="7F030F2B" w14:textId="77777777" w:rsidTr="005154CD">
        <w:trPr>
          <w:trHeight w:val="290"/>
        </w:trPr>
        <w:tc>
          <w:tcPr>
            <w:tcW w:w="3726" w:type="pct"/>
            <w:tcBorders>
              <w:top w:val="nil"/>
              <w:bottom w:val="single" w:sz="4" w:space="0" w:color="auto"/>
            </w:tcBorders>
          </w:tcPr>
          <w:p w14:paraId="5A17D154" w14:textId="77777777" w:rsidR="003A0345" w:rsidRPr="00B60C07" w:rsidRDefault="003A0345" w:rsidP="005154CD">
            <w:pPr>
              <w:pStyle w:val="Body"/>
            </w:pPr>
            <w:r>
              <w:t>Complete the non-admitted care</w:t>
            </w:r>
            <w:r w:rsidRPr="00376977">
              <w:t xml:space="preserve"> costing study, including activity and </w:t>
            </w:r>
            <w:r w:rsidR="00BB6E2E">
              <w:t>cost data for the ANACC</w:t>
            </w:r>
            <w:r w:rsidRPr="00376977">
              <w:t>.</w:t>
            </w:r>
          </w:p>
        </w:tc>
        <w:tc>
          <w:tcPr>
            <w:tcW w:w="1274" w:type="pct"/>
            <w:tcBorders>
              <w:top w:val="nil"/>
              <w:bottom w:val="single" w:sz="4" w:space="0" w:color="auto"/>
            </w:tcBorders>
          </w:tcPr>
          <w:p w14:paraId="5EC67854" w14:textId="23629053" w:rsidR="003A0345" w:rsidRPr="00B60C07" w:rsidRDefault="00D225BA" w:rsidP="00794654">
            <w:pPr>
              <w:pStyle w:val="Body"/>
            </w:pPr>
            <w:r>
              <w:t>Ongoing</w:t>
            </w:r>
          </w:p>
        </w:tc>
      </w:tr>
    </w:tbl>
    <w:p w14:paraId="3369F0F6" w14:textId="77777777" w:rsidR="00C27B65" w:rsidRDefault="00C27B65" w:rsidP="00C27B65">
      <w:pPr>
        <w:pStyle w:val="Body"/>
      </w:pPr>
    </w:p>
    <w:p w14:paraId="024DEF74" w14:textId="77777777" w:rsidR="00C27B65" w:rsidRDefault="00C27B65" w:rsidP="00C27B65">
      <w:pPr>
        <w:pStyle w:val="IntroBody"/>
      </w:pPr>
      <w:r>
        <w:t>The ANACC will better describe patient characteristics and the complexity of care in order to more accurately reflect the costs of non</w:t>
      </w:r>
      <w:r>
        <w:rPr>
          <w:rFonts w:ascii="Cambria Math" w:hAnsi="Cambria Math" w:cs="Cambria Math"/>
        </w:rPr>
        <w:t>‑</w:t>
      </w:r>
      <w:r>
        <w:t>admitted services. The new classification will account for changes in how care is delivered as services transition to the non</w:t>
      </w:r>
      <w:r>
        <w:rPr>
          <w:rFonts w:ascii="Cambria Math" w:hAnsi="Cambria Math" w:cs="Cambria Math"/>
        </w:rPr>
        <w:t>‑</w:t>
      </w:r>
      <w:r>
        <w:t>admitted setting, as new electronic medical records allow for more detailed data capture and testing of new funding models which span multiple settings.</w:t>
      </w:r>
    </w:p>
    <w:p w14:paraId="02E7DFB4" w14:textId="2DC98149" w:rsidR="00BE4EDA" w:rsidRDefault="00C27B65" w:rsidP="00C27B65">
      <w:pPr>
        <w:pStyle w:val="Body"/>
      </w:pPr>
      <w:r w:rsidRPr="004F1E32">
        <w:t>In 2019, a national costing study was initiated to collect non</w:t>
      </w:r>
      <w:r w:rsidRPr="004F1E32">
        <w:rPr>
          <w:rFonts w:ascii="Cambria Math" w:hAnsi="Cambria Math" w:cs="Cambria Math"/>
        </w:rPr>
        <w:t>‑</w:t>
      </w:r>
      <w:r w:rsidRPr="004F1E32">
        <w:t>admitted (including non-admitted subacute) activity and cost data and test the shortlist of presenting conditions, interventions and patient-</w:t>
      </w:r>
      <w:proofErr w:type="spellStart"/>
      <w:r w:rsidRPr="004F1E32">
        <w:t>centred</w:t>
      </w:r>
      <w:proofErr w:type="spellEnd"/>
      <w:r w:rsidRPr="004F1E32">
        <w:t xml:space="preserve"> variables. The</w:t>
      </w:r>
      <w:r w:rsidRPr="004C6F42">
        <w:t xml:space="preserve"> outcomes of the costing study will underpin the development of a final hierarchy and end classes for the new classification and the associated non-admitted data sets.</w:t>
      </w:r>
      <w:r w:rsidR="00794654">
        <w:t xml:space="preserve"> </w:t>
      </w:r>
      <w:r w:rsidR="005A492B">
        <w:t>In July 2020, t</w:t>
      </w:r>
      <w:r w:rsidR="00794654">
        <w:t>he national costing study was suspended due to the COVID-19 pandemic. IHPA will review the strategy for non-admitted care as a result in the delay to the development of the ANACC.</w:t>
      </w:r>
    </w:p>
    <w:p w14:paraId="1957FF8F" w14:textId="77777777" w:rsidR="00BE4EDA" w:rsidRDefault="00BE4EDA">
      <w:pPr>
        <w:rPr>
          <w:rFonts w:ascii="Arial" w:hAnsi="Arial" w:cs="Arial"/>
          <w:color w:val="262626" w:themeColor="text1" w:themeTint="D9"/>
          <w:sz w:val="18"/>
          <w:szCs w:val="18"/>
        </w:rPr>
      </w:pPr>
      <w:r>
        <w:br w:type="page"/>
      </w:r>
    </w:p>
    <w:p w14:paraId="147DB677" w14:textId="77777777" w:rsidR="00C27B65" w:rsidRPr="00C5526D" w:rsidRDefault="00C27B65" w:rsidP="00EF2D44">
      <w:pPr>
        <w:pStyle w:val="Heading2"/>
        <w:numPr>
          <w:ilvl w:val="0"/>
          <w:numId w:val="5"/>
        </w:numPr>
        <w:ind w:hanging="929"/>
        <w:rPr>
          <w:sz w:val="18"/>
          <w:szCs w:val="18"/>
        </w:rPr>
      </w:pPr>
      <w:bookmarkStart w:id="102" w:name="_Toc55045631"/>
      <w:bookmarkStart w:id="103" w:name="_Toc55054002"/>
      <w:bookmarkStart w:id="104" w:name="_Toc55237222"/>
      <w:bookmarkStart w:id="105" w:name="_Toc55238309"/>
      <w:bookmarkStart w:id="106" w:name="_Toc55974127"/>
      <w:r w:rsidRPr="00C5526D">
        <w:rPr>
          <w:sz w:val="18"/>
          <w:szCs w:val="18"/>
        </w:rPr>
        <w:lastRenderedPageBreak/>
        <w:t>Australian Emergency Care Classification</w:t>
      </w:r>
      <w:bookmarkEnd w:id="102"/>
      <w:bookmarkEnd w:id="103"/>
      <w:bookmarkEnd w:id="104"/>
      <w:bookmarkEnd w:id="105"/>
      <w:bookmarkEnd w:id="106"/>
      <w:r w:rsidRPr="00C5526D">
        <w:rPr>
          <w:sz w:val="18"/>
          <w:szCs w:val="18"/>
        </w:rPr>
        <w:t xml:space="preserve">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A0345" w:rsidRPr="007F2290" w14:paraId="23C97092" w14:textId="77777777" w:rsidTr="005154CD">
        <w:tc>
          <w:tcPr>
            <w:tcW w:w="3726" w:type="pct"/>
            <w:tcBorders>
              <w:top w:val="nil"/>
              <w:bottom w:val="nil"/>
            </w:tcBorders>
            <w:shd w:val="clear" w:color="auto" w:fill="5E2F7E"/>
            <w:vAlign w:val="center"/>
          </w:tcPr>
          <w:p w14:paraId="35CDB4F0" w14:textId="77777777" w:rsidR="003A0345" w:rsidRPr="00C5526D" w:rsidRDefault="003A0345" w:rsidP="005154CD">
            <w:pPr>
              <w:pStyle w:val="TableHeading"/>
              <w:rPr>
                <w:sz w:val="18"/>
                <w:szCs w:val="18"/>
              </w:rPr>
            </w:pPr>
            <w:r w:rsidRPr="00C5526D">
              <w:rPr>
                <w:sz w:val="18"/>
                <w:szCs w:val="18"/>
              </w:rPr>
              <w:t>DELIVERABLES</w:t>
            </w:r>
          </w:p>
        </w:tc>
        <w:tc>
          <w:tcPr>
            <w:tcW w:w="1274" w:type="pct"/>
            <w:tcBorders>
              <w:top w:val="nil"/>
              <w:bottom w:val="nil"/>
            </w:tcBorders>
            <w:shd w:val="clear" w:color="auto" w:fill="5E2F7E"/>
            <w:vAlign w:val="center"/>
          </w:tcPr>
          <w:p w14:paraId="2FA338DE" w14:textId="77777777" w:rsidR="003A0345" w:rsidRPr="00C5526D" w:rsidRDefault="003A0345" w:rsidP="005154CD">
            <w:pPr>
              <w:pStyle w:val="TableHeading"/>
              <w:rPr>
                <w:sz w:val="18"/>
                <w:szCs w:val="18"/>
              </w:rPr>
            </w:pPr>
            <w:r w:rsidRPr="00C5526D">
              <w:rPr>
                <w:sz w:val="18"/>
                <w:szCs w:val="18"/>
              </w:rPr>
              <w:t>TIMEFRAME</w:t>
            </w:r>
          </w:p>
        </w:tc>
      </w:tr>
      <w:tr w:rsidR="00C5526D" w14:paraId="16A0EA7C" w14:textId="77777777" w:rsidTr="008A09F6">
        <w:trPr>
          <w:trHeight w:val="290"/>
        </w:trPr>
        <w:tc>
          <w:tcPr>
            <w:tcW w:w="3726" w:type="pct"/>
            <w:tcBorders>
              <w:top w:val="single" w:sz="4" w:space="0" w:color="auto"/>
              <w:bottom w:val="single" w:sz="4" w:space="0" w:color="auto"/>
            </w:tcBorders>
          </w:tcPr>
          <w:p w14:paraId="03BC010D" w14:textId="2E2080B6" w:rsidR="00C5526D" w:rsidRPr="00D41686" w:rsidRDefault="00C5526D" w:rsidP="008D0838">
            <w:pPr>
              <w:pStyle w:val="Body"/>
            </w:pPr>
            <w:r w:rsidRPr="000E063B">
              <w:t xml:space="preserve">Price </w:t>
            </w:r>
            <w:r w:rsidRPr="008D0838">
              <w:t xml:space="preserve">emergency </w:t>
            </w:r>
            <w:r w:rsidR="008D0838" w:rsidRPr="008D0838">
              <w:t>dep</w:t>
            </w:r>
            <w:r w:rsidR="002F6419">
              <w:t>artment activity</w:t>
            </w:r>
            <w:r w:rsidR="008D0838" w:rsidRPr="008D0838">
              <w:t xml:space="preserve"> </w:t>
            </w:r>
            <w:r w:rsidRPr="008D0838">
              <w:t>using</w:t>
            </w:r>
            <w:r>
              <w:t xml:space="preserve"> </w:t>
            </w:r>
            <w:r w:rsidR="008D0838">
              <w:t xml:space="preserve">the </w:t>
            </w:r>
            <w:r>
              <w:t>AECC</w:t>
            </w:r>
            <w:r w:rsidRPr="000E063B">
              <w:t xml:space="preserve"> </w:t>
            </w:r>
            <w:r>
              <w:t xml:space="preserve">Version 1.0 </w:t>
            </w:r>
            <w:r w:rsidRPr="000E063B">
              <w:t xml:space="preserve">for </w:t>
            </w:r>
            <w:r>
              <w:t xml:space="preserve">the </w:t>
            </w:r>
            <w:r w:rsidRPr="0019336C">
              <w:rPr>
                <w:i/>
              </w:rPr>
              <w:t>National Efficient Price Determination 202</w:t>
            </w:r>
            <w:r>
              <w:rPr>
                <w:i/>
              </w:rPr>
              <w:t>1</w:t>
            </w:r>
            <w:r w:rsidRPr="0019336C">
              <w:rPr>
                <w:i/>
              </w:rPr>
              <w:t>–2</w:t>
            </w:r>
            <w:r>
              <w:rPr>
                <w:i/>
              </w:rPr>
              <w:t>2</w:t>
            </w:r>
            <w:r w:rsidRPr="000E063B">
              <w:t>.</w:t>
            </w:r>
          </w:p>
        </w:tc>
        <w:tc>
          <w:tcPr>
            <w:tcW w:w="1274" w:type="pct"/>
            <w:tcBorders>
              <w:top w:val="single" w:sz="4" w:space="0" w:color="auto"/>
              <w:bottom w:val="single" w:sz="4" w:space="0" w:color="auto"/>
            </w:tcBorders>
          </w:tcPr>
          <w:p w14:paraId="5E8104C5" w14:textId="77777777" w:rsidR="00C5526D" w:rsidRDefault="00C5526D" w:rsidP="008A09F6">
            <w:pPr>
              <w:pStyle w:val="Body"/>
            </w:pPr>
            <w:r>
              <w:t>March 2021</w:t>
            </w:r>
          </w:p>
        </w:tc>
      </w:tr>
      <w:tr w:rsidR="003A0345" w14:paraId="6E287406" w14:textId="77777777" w:rsidTr="003A0345">
        <w:trPr>
          <w:trHeight w:val="290"/>
        </w:trPr>
        <w:tc>
          <w:tcPr>
            <w:tcW w:w="3726" w:type="pct"/>
            <w:tcBorders>
              <w:top w:val="single" w:sz="4" w:space="0" w:color="auto"/>
              <w:bottom w:val="single" w:sz="4" w:space="0" w:color="auto"/>
            </w:tcBorders>
          </w:tcPr>
          <w:p w14:paraId="01F0554E" w14:textId="77777777" w:rsidR="003A0345" w:rsidRPr="003A0345" w:rsidRDefault="0005174D" w:rsidP="001C19B9">
            <w:pPr>
              <w:pStyle w:val="Body"/>
              <w:rPr>
                <w:highlight w:val="yellow"/>
              </w:rPr>
            </w:pPr>
            <w:r w:rsidRPr="007A5CB7">
              <w:t>R</w:t>
            </w:r>
            <w:r w:rsidR="003A0345" w:rsidRPr="007A5CB7">
              <w:t xml:space="preserve">efine the </w:t>
            </w:r>
            <w:r w:rsidR="001C19B9" w:rsidRPr="000343B3">
              <w:t>AECC</w:t>
            </w:r>
            <w:r w:rsidR="00A100C7" w:rsidRPr="000343B3">
              <w:t xml:space="preserve"> Version 1.0</w:t>
            </w:r>
            <w:r w:rsidR="003A0345" w:rsidRPr="000343B3">
              <w:t>.</w:t>
            </w:r>
          </w:p>
        </w:tc>
        <w:tc>
          <w:tcPr>
            <w:tcW w:w="1274" w:type="pct"/>
            <w:tcBorders>
              <w:top w:val="single" w:sz="4" w:space="0" w:color="auto"/>
              <w:bottom w:val="single" w:sz="4" w:space="0" w:color="auto"/>
            </w:tcBorders>
          </w:tcPr>
          <w:p w14:paraId="7C0530A7" w14:textId="54E0AED9" w:rsidR="003A0345" w:rsidRPr="002F4911" w:rsidRDefault="0039593B" w:rsidP="0039593B">
            <w:pPr>
              <w:pStyle w:val="Body"/>
              <w:rPr>
                <w:highlight w:val="yellow"/>
              </w:rPr>
            </w:pPr>
            <w:r>
              <w:t>Ongoing</w:t>
            </w:r>
          </w:p>
        </w:tc>
      </w:tr>
    </w:tbl>
    <w:p w14:paraId="20F7F69A" w14:textId="77777777" w:rsidR="00C27B65" w:rsidRDefault="00C27B65" w:rsidP="00C27B65">
      <w:pPr>
        <w:pStyle w:val="Body"/>
      </w:pPr>
    </w:p>
    <w:p w14:paraId="63BC457D" w14:textId="6858549F" w:rsidR="00C27B65" w:rsidRDefault="00C27B65" w:rsidP="00C27B65">
      <w:pPr>
        <w:pStyle w:val="IntroBody"/>
      </w:pPr>
      <w:r>
        <w:t xml:space="preserve">In late 2018, IHPA </w:t>
      </w:r>
      <w:proofErr w:type="spellStart"/>
      <w:r>
        <w:t>finalised</w:t>
      </w:r>
      <w:proofErr w:type="spellEnd"/>
      <w:r>
        <w:t xml:space="preserve"> Version 1</w:t>
      </w:r>
      <w:r w:rsidR="00887994">
        <w:t>.0</w:t>
      </w:r>
      <w:r>
        <w:t xml:space="preserve"> of the </w:t>
      </w:r>
      <w:r w:rsidR="001C19B9" w:rsidRPr="000F337C">
        <w:t>Australian Emergency Care Classification</w:t>
      </w:r>
      <w:r w:rsidR="001C19B9">
        <w:t xml:space="preserve"> (</w:t>
      </w:r>
      <w:r>
        <w:t>AECC</w:t>
      </w:r>
      <w:r w:rsidR="001C19B9">
        <w:t>)</w:t>
      </w:r>
      <w:r>
        <w:t xml:space="preserve"> in consultation with the Emergency Care Advisory Working Group, Clinical Advisory Committee and other advisory groups.</w:t>
      </w:r>
      <w:r w:rsidR="001C19B9">
        <w:t xml:space="preserve"> </w:t>
      </w:r>
      <w:r w:rsidR="001F2A57">
        <w:t>The</w:t>
      </w:r>
      <w:r w:rsidR="001C19B9">
        <w:t xml:space="preserve"> AECC was approved by the Pricing Authority in July 2019.</w:t>
      </w:r>
      <w:r>
        <w:t xml:space="preserve"> </w:t>
      </w:r>
    </w:p>
    <w:p w14:paraId="51C79081" w14:textId="1C4DF563" w:rsidR="002F6419" w:rsidRDefault="00C27B65">
      <w:pPr>
        <w:rPr>
          <w:rFonts w:ascii="Arial" w:hAnsi="Arial" w:cs="Arial"/>
          <w:sz w:val="18"/>
        </w:rPr>
      </w:pPr>
      <w:r w:rsidRPr="001603CA">
        <w:rPr>
          <w:rFonts w:ascii="Arial" w:hAnsi="Arial" w:cs="Arial"/>
          <w:sz w:val="18"/>
        </w:rPr>
        <w:t xml:space="preserve">IHPA will continue to support jurisdictions to improve </w:t>
      </w:r>
      <w:r w:rsidRPr="0063398B">
        <w:rPr>
          <w:rFonts w:ascii="Arial" w:hAnsi="Arial" w:cs="Arial"/>
          <w:sz w:val="18"/>
        </w:rPr>
        <w:t>data collection and reporting of existing variables along with future refinement of the classification that potentially considers the addition of new variables</w:t>
      </w:r>
      <w:r w:rsidR="0039593B" w:rsidRPr="0063398B">
        <w:rPr>
          <w:rFonts w:ascii="Arial" w:hAnsi="Arial" w:cs="Arial"/>
          <w:sz w:val="18"/>
        </w:rPr>
        <w:t xml:space="preserve"> for collection in the Non-admitted patient emergency department care National </w:t>
      </w:r>
      <w:r w:rsidR="008D0838">
        <w:rPr>
          <w:rFonts w:ascii="Arial" w:hAnsi="Arial" w:cs="Arial"/>
          <w:sz w:val="18"/>
        </w:rPr>
        <w:t>Minimum Data S</w:t>
      </w:r>
      <w:r w:rsidR="0039593B" w:rsidRPr="0063398B">
        <w:rPr>
          <w:rFonts w:ascii="Arial" w:hAnsi="Arial" w:cs="Arial"/>
          <w:sz w:val="18"/>
        </w:rPr>
        <w:t>et.</w:t>
      </w:r>
      <w:r w:rsidR="0063398B">
        <w:rPr>
          <w:rFonts w:ascii="Arial" w:hAnsi="Arial" w:cs="Arial"/>
          <w:sz w:val="18"/>
        </w:rPr>
        <w:t xml:space="preserve"> </w:t>
      </w:r>
    </w:p>
    <w:p w14:paraId="31B06D7F" w14:textId="77777777" w:rsidR="00C27B65" w:rsidRPr="002F6419" w:rsidRDefault="00C27B65" w:rsidP="00EF2D44">
      <w:pPr>
        <w:pStyle w:val="Heading2"/>
        <w:numPr>
          <w:ilvl w:val="0"/>
          <w:numId w:val="5"/>
        </w:numPr>
        <w:ind w:hanging="929"/>
        <w:rPr>
          <w:sz w:val="18"/>
          <w:szCs w:val="18"/>
        </w:rPr>
      </w:pPr>
      <w:bookmarkStart w:id="107" w:name="_Toc55045632"/>
      <w:bookmarkStart w:id="108" w:name="_Toc55054003"/>
      <w:bookmarkStart w:id="109" w:name="_Toc55237223"/>
      <w:bookmarkStart w:id="110" w:name="_Toc55238310"/>
      <w:bookmarkStart w:id="111" w:name="_Toc55974128"/>
      <w:r w:rsidRPr="002F6419">
        <w:rPr>
          <w:sz w:val="18"/>
          <w:szCs w:val="18"/>
        </w:rPr>
        <w:t>Australian Teaching and Training Classification</w:t>
      </w:r>
      <w:bookmarkEnd w:id="107"/>
      <w:bookmarkEnd w:id="108"/>
      <w:bookmarkEnd w:id="109"/>
      <w:bookmarkEnd w:id="110"/>
      <w:bookmarkEnd w:id="111"/>
      <w:r w:rsidRPr="002F6419">
        <w:rPr>
          <w:sz w:val="18"/>
          <w:szCs w:val="18"/>
        </w:rPr>
        <w:t>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A0345" w14:paraId="0F67B1E7" w14:textId="77777777" w:rsidTr="005154CD">
        <w:tc>
          <w:tcPr>
            <w:tcW w:w="3726" w:type="pct"/>
            <w:tcBorders>
              <w:top w:val="nil"/>
              <w:bottom w:val="nil"/>
            </w:tcBorders>
            <w:shd w:val="clear" w:color="auto" w:fill="5E2F7E"/>
            <w:vAlign w:val="center"/>
          </w:tcPr>
          <w:p w14:paraId="586561CC" w14:textId="77777777" w:rsidR="003A0345" w:rsidRPr="009D7F61" w:rsidRDefault="003A0345" w:rsidP="005154CD">
            <w:pPr>
              <w:pStyle w:val="TableHeading"/>
            </w:pPr>
            <w:r w:rsidRPr="009D7F61">
              <w:t>DELIVERABLES</w:t>
            </w:r>
          </w:p>
        </w:tc>
        <w:tc>
          <w:tcPr>
            <w:tcW w:w="1274" w:type="pct"/>
            <w:tcBorders>
              <w:top w:val="nil"/>
              <w:bottom w:val="nil"/>
            </w:tcBorders>
            <w:shd w:val="clear" w:color="auto" w:fill="5E2F7E"/>
            <w:vAlign w:val="center"/>
          </w:tcPr>
          <w:p w14:paraId="4465C5F2" w14:textId="77777777" w:rsidR="003A0345" w:rsidRPr="009D7F61" w:rsidRDefault="003A0345" w:rsidP="005154CD">
            <w:pPr>
              <w:pStyle w:val="TableHeading"/>
            </w:pPr>
            <w:r>
              <w:t>TIMEFRAME</w:t>
            </w:r>
          </w:p>
        </w:tc>
      </w:tr>
      <w:tr w:rsidR="003A0345" w14:paraId="435295E3" w14:textId="77777777" w:rsidTr="00A45014">
        <w:trPr>
          <w:trHeight w:val="290"/>
        </w:trPr>
        <w:tc>
          <w:tcPr>
            <w:tcW w:w="3726" w:type="pct"/>
            <w:tcBorders>
              <w:top w:val="nil"/>
              <w:bottom w:val="single" w:sz="4" w:space="0" w:color="auto"/>
            </w:tcBorders>
          </w:tcPr>
          <w:p w14:paraId="1820AE5B" w14:textId="77777777" w:rsidR="003A0345" w:rsidRPr="00B60C07" w:rsidRDefault="003A0345" w:rsidP="00A633CB">
            <w:pPr>
              <w:pStyle w:val="Body"/>
            </w:pPr>
            <w:r w:rsidRPr="00C23C26">
              <w:t xml:space="preserve">Continue </w:t>
            </w:r>
            <w:r w:rsidR="002902AE">
              <w:t xml:space="preserve">to </w:t>
            </w:r>
            <w:r w:rsidRPr="00C23C26">
              <w:t xml:space="preserve">work with jurisdictions to implement </w:t>
            </w:r>
            <w:r w:rsidR="00B873D1">
              <w:t>ATTC</w:t>
            </w:r>
            <w:r w:rsidRPr="00C23C26">
              <w:t>.</w:t>
            </w:r>
          </w:p>
        </w:tc>
        <w:tc>
          <w:tcPr>
            <w:tcW w:w="1274" w:type="pct"/>
            <w:tcBorders>
              <w:top w:val="nil"/>
              <w:bottom w:val="single" w:sz="4" w:space="0" w:color="auto"/>
            </w:tcBorders>
          </w:tcPr>
          <w:p w14:paraId="38CD9ED1" w14:textId="49053B2A" w:rsidR="003A0345" w:rsidRPr="00B60C07" w:rsidRDefault="003A0345" w:rsidP="005154CD">
            <w:pPr>
              <w:pStyle w:val="Body"/>
            </w:pPr>
            <w:r w:rsidRPr="00C23C26">
              <w:t>June 202</w:t>
            </w:r>
            <w:r w:rsidR="00300B00">
              <w:t>2</w:t>
            </w:r>
          </w:p>
        </w:tc>
      </w:tr>
    </w:tbl>
    <w:p w14:paraId="36717116" w14:textId="77777777" w:rsidR="00C27B65" w:rsidRDefault="00C27B65" w:rsidP="00C27B65">
      <w:pPr>
        <w:pStyle w:val="Body"/>
      </w:pPr>
    </w:p>
    <w:p w14:paraId="4273E128" w14:textId="472D4B6E" w:rsidR="001D1734" w:rsidRDefault="001D1734" w:rsidP="001D1734">
      <w:pPr>
        <w:pStyle w:val="Body"/>
        <w:rPr>
          <w:b/>
        </w:rPr>
      </w:pPr>
      <w:r w:rsidRPr="000F337C">
        <w:rPr>
          <w:b/>
        </w:rPr>
        <w:t xml:space="preserve">The </w:t>
      </w:r>
      <w:r>
        <w:rPr>
          <w:b/>
        </w:rPr>
        <w:t>Addendum requires</w:t>
      </w:r>
      <w:r w:rsidRPr="000F337C">
        <w:rPr>
          <w:b/>
        </w:rPr>
        <w:t xml:space="preserve"> IHPA to provide advice on the feasibility of transitioning funding for </w:t>
      </w:r>
      <w:r>
        <w:rPr>
          <w:b/>
        </w:rPr>
        <w:t>t</w:t>
      </w:r>
      <w:r w:rsidRPr="000F337C">
        <w:rPr>
          <w:b/>
        </w:rPr>
        <w:t xml:space="preserve">eaching, </w:t>
      </w:r>
      <w:r>
        <w:rPr>
          <w:b/>
        </w:rPr>
        <w:t>t</w:t>
      </w:r>
      <w:r w:rsidRPr="000F337C">
        <w:rPr>
          <w:b/>
        </w:rPr>
        <w:t xml:space="preserve">raining and </w:t>
      </w:r>
      <w:r>
        <w:rPr>
          <w:b/>
        </w:rPr>
        <w:t>r</w:t>
      </w:r>
      <w:r w:rsidRPr="000F337C">
        <w:rPr>
          <w:b/>
        </w:rPr>
        <w:t>e</w:t>
      </w:r>
      <w:r>
        <w:rPr>
          <w:b/>
        </w:rPr>
        <w:t>search to ABF</w:t>
      </w:r>
      <w:r w:rsidRPr="000F337C">
        <w:rPr>
          <w:b/>
        </w:rPr>
        <w:t xml:space="preserve">. </w:t>
      </w:r>
      <w:r w:rsidRPr="00A633CB">
        <w:rPr>
          <w:b/>
        </w:rPr>
        <w:t>The Australian Teaching and Training Classification</w:t>
      </w:r>
      <w:r w:rsidRPr="00A633CB">
        <w:t xml:space="preserve"> </w:t>
      </w:r>
      <w:r>
        <w:rPr>
          <w:b/>
        </w:rPr>
        <w:t>(</w:t>
      </w:r>
      <w:r w:rsidRPr="00A633CB">
        <w:rPr>
          <w:b/>
        </w:rPr>
        <w:t>ATTC</w:t>
      </w:r>
      <w:r>
        <w:rPr>
          <w:b/>
        </w:rPr>
        <w:t>)</w:t>
      </w:r>
      <w:r w:rsidRPr="00A633CB">
        <w:rPr>
          <w:b/>
        </w:rPr>
        <w:t xml:space="preserve"> Version 1.0 was released </w:t>
      </w:r>
      <w:r>
        <w:rPr>
          <w:b/>
        </w:rPr>
        <w:t xml:space="preserve">on </w:t>
      </w:r>
      <w:r w:rsidR="002F6419">
        <w:rPr>
          <w:b/>
        </w:rPr>
        <w:t>1 July </w:t>
      </w:r>
      <w:r w:rsidRPr="00A633CB">
        <w:rPr>
          <w:b/>
        </w:rPr>
        <w:t>2018.</w:t>
      </w:r>
    </w:p>
    <w:p w14:paraId="72919C56" w14:textId="77777777" w:rsidR="001D1734" w:rsidRDefault="001D1734" w:rsidP="001D1734">
      <w:pPr>
        <w:pStyle w:val="Body"/>
      </w:pPr>
      <w:r w:rsidRPr="00A633CB">
        <w:t>The ATTC will improve reporting of hospital-based teaching and training activity and in the future impr</w:t>
      </w:r>
      <w:r>
        <w:t>ove the transparency of funding</w:t>
      </w:r>
      <w:r w:rsidRPr="00A77ACD">
        <w:t>. States and territories broadly support ATTC but note there are challenges related to its implementation</w:t>
      </w:r>
      <w:r>
        <w:t>, such as the</w:t>
      </w:r>
      <w:r w:rsidRPr="00C17DDE">
        <w:t xml:space="preserve"> availability of activity and cost data.</w:t>
      </w:r>
    </w:p>
    <w:p w14:paraId="57278328" w14:textId="77777777" w:rsidR="001D1734" w:rsidRDefault="001D1734" w:rsidP="001D1734">
      <w:pPr>
        <w:pStyle w:val="Body"/>
      </w:pPr>
      <w:r>
        <w:t>In 2021</w:t>
      </w:r>
      <w:r w:rsidRPr="001603CA">
        <w:t>–</w:t>
      </w:r>
      <w:r>
        <w:t xml:space="preserve">22, IHPA will continue to work with states and territories to increase awareness of the ATTC and improve the reporting of activity and cost data to support implementation. </w:t>
      </w:r>
    </w:p>
    <w:p w14:paraId="21DF6F5F" w14:textId="77777777" w:rsidR="001D1734" w:rsidRDefault="001D1734" w:rsidP="001D1734">
      <w:pPr>
        <w:pStyle w:val="Body"/>
      </w:pPr>
      <w:r w:rsidRPr="000E1410">
        <w:t xml:space="preserve">Research </w:t>
      </w:r>
      <w:r>
        <w:t>is not</w:t>
      </w:r>
      <w:r w:rsidRPr="000E1410">
        <w:t xml:space="preserve"> incorporated into th</w:t>
      </w:r>
      <w:r>
        <w:t>e ATTC</w:t>
      </w:r>
      <w:r w:rsidRPr="000E1410">
        <w:t xml:space="preserve"> </w:t>
      </w:r>
      <w:r>
        <w:t>and n</w:t>
      </w:r>
      <w:r w:rsidRPr="000E1410">
        <w:t>o further work is proposed for a research classification at this stage.</w:t>
      </w:r>
    </w:p>
    <w:p w14:paraId="4B07126F" w14:textId="77777777" w:rsidR="003A0345" w:rsidRPr="002F6419" w:rsidRDefault="003A0345" w:rsidP="00EF2D44">
      <w:pPr>
        <w:pStyle w:val="Heading2"/>
        <w:numPr>
          <w:ilvl w:val="0"/>
          <w:numId w:val="5"/>
        </w:numPr>
        <w:ind w:hanging="929"/>
        <w:rPr>
          <w:sz w:val="18"/>
          <w:szCs w:val="18"/>
        </w:rPr>
      </w:pPr>
      <w:bookmarkStart w:id="112" w:name="_Toc55045633"/>
      <w:bookmarkStart w:id="113" w:name="_Toc55054004"/>
      <w:bookmarkStart w:id="114" w:name="_Toc55237224"/>
      <w:bookmarkStart w:id="115" w:name="_Toc55238311"/>
      <w:bookmarkStart w:id="116" w:name="_Toc55974129"/>
      <w:r w:rsidRPr="002F6419">
        <w:rPr>
          <w:sz w:val="18"/>
          <w:szCs w:val="18"/>
        </w:rPr>
        <w:t>Sales of the AR-DRG system</w:t>
      </w:r>
      <w:bookmarkEnd w:id="112"/>
      <w:bookmarkEnd w:id="113"/>
      <w:bookmarkEnd w:id="114"/>
      <w:bookmarkEnd w:id="115"/>
      <w:bookmarkEnd w:id="116"/>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EF34BA" w14:paraId="2187D341" w14:textId="77777777" w:rsidTr="005154CD">
        <w:tc>
          <w:tcPr>
            <w:tcW w:w="3726" w:type="pct"/>
            <w:tcBorders>
              <w:top w:val="nil"/>
              <w:bottom w:val="nil"/>
            </w:tcBorders>
            <w:shd w:val="clear" w:color="auto" w:fill="5E2F7E"/>
            <w:vAlign w:val="center"/>
          </w:tcPr>
          <w:p w14:paraId="695AFFB8" w14:textId="77777777" w:rsidR="00EF34BA" w:rsidRPr="009D7F61" w:rsidRDefault="00EF34BA" w:rsidP="005154CD">
            <w:pPr>
              <w:pStyle w:val="TableHeading"/>
            </w:pPr>
            <w:r w:rsidRPr="009D7F61">
              <w:t>DELIVERABLES</w:t>
            </w:r>
          </w:p>
        </w:tc>
        <w:tc>
          <w:tcPr>
            <w:tcW w:w="1274" w:type="pct"/>
            <w:tcBorders>
              <w:top w:val="nil"/>
              <w:bottom w:val="nil"/>
            </w:tcBorders>
            <w:shd w:val="clear" w:color="auto" w:fill="5E2F7E"/>
            <w:vAlign w:val="center"/>
          </w:tcPr>
          <w:p w14:paraId="6311160D" w14:textId="77777777" w:rsidR="00EF34BA" w:rsidRPr="009D7F61" w:rsidRDefault="00EF34BA" w:rsidP="005154CD">
            <w:pPr>
              <w:pStyle w:val="TableHeading"/>
            </w:pPr>
            <w:r>
              <w:t>TIMEFRAME</w:t>
            </w:r>
          </w:p>
        </w:tc>
      </w:tr>
      <w:tr w:rsidR="00EF34BA" w14:paraId="47590802" w14:textId="77777777" w:rsidTr="005154CD">
        <w:trPr>
          <w:trHeight w:val="290"/>
        </w:trPr>
        <w:tc>
          <w:tcPr>
            <w:tcW w:w="3726" w:type="pct"/>
            <w:tcBorders>
              <w:top w:val="nil"/>
              <w:bottom w:val="single" w:sz="4" w:space="0" w:color="auto"/>
            </w:tcBorders>
          </w:tcPr>
          <w:p w14:paraId="72C038FB" w14:textId="77777777" w:rsidR="00EF34BA" w:rsidRPr="00B60C07" w:rsidRDefault="00EF34BA" w:rsidP="005154CD">
            <w:pPr>
              <w:pStyle w:val="Body"/>
            </w:pPr>
            <w:r w:rsidRPr="00B16A97">
              <w:t>Management of the internati</w:t>
            </w:r>
            <w:r>
              <w:t>onal sales of the AR-DRG system</w:t>
            </w:r>
            <w:r w:rsidRPr="003A0345">
              <w:t>.</w:t>
            </w:r>
          </w:p>
        </w:tc>
        <w:tc>
          <w:tcPr>
            <w:tcW w:w="1274" w:type="pct"/>
            <w:tcBorders>
              <w:top w:val="nil"/>
              <w:bottom w:val="single" w:sz="4" w:space="0" w:color="auto"/>
            </w:tcBorders>
          </w:tcPr>
          <w:p w14:paraId="5356E341" w14:textId="77777777" w:rsidR="00EF34BA" w:rsidRPr="00B60C07" w:rsidRDefault="00EF34BA" w:rsidP="00EF34BA">
            <w:pPr>
              <w:pStyle w:val="Body"/>
            </w:pPr>
            <w:r>
              <w:t>Ongoing</w:t>
            </w:r>
          </w:p>
        </w:tc>
      </w:tr>
    </w:tbl>
    <w:p w14:paraId="3D9514EF" w14:textId="77777777" w:rsidR="003A0345" w:rsidRDefault="003A0345" w:rsidP="003A0345">
      <w:pPr>
        <w:pStyle w:val="Body"/>
      </w:pPr>
    </w:p>
    <w:p w14:paraId="1B50F75C" w14:textId="77777777" w:rsidR="003A0345" w:rsidRPr="00EF34BA" w:rsidRDefault="003A0345" w:rsidP="003A0345">
      <w:pPr>
        <w:pStyle w:val="Body"/>
        <w:rPr>
          <w:b/>
        </w:rPr>
      </w:pPr>
      <w:r w:rsidRPr="00EF34BA">
        <w:rPr>
          <w:b/>
        </w:rPr>
        <w:t>IHPA assumed responsibility for managing the development and international sales of the AR</w:t>
      </w:r>
      <w:r w:rsidRPr="00EF34BA">
        <w:rPr>
          <w:rFonts w:ascii="Cambria Math" w:hAnsi="Cambria Math" w:cs="Cambria Math"/>
          <w:b/>
        </w:rPr>
        <w:t>‑</w:t>
      </w:r>
      <w:r w:rsidRPr="00EF34BA">
        <w:rPr>
          <w:b/>
        </w:rPr>
        <w:t>DRG patient classification system as the custodian of the Commonwealth’s Intellectual Property in the AR-DRGs in 2012–13.</w:t>
      </w:r>
    </w:p>
    <w:p w14:paraId="2D709B86" w14:textId="5AD727E6" w:rsidR="00BE4EDA" w:rsidRDefault="003A0345" w:rsidP="00573167">
      <w:pPr>
        <w:pStyle w:val="Body"/>
      </w:pPr>
      <w:r>
        <w:t>In 202</w:t>
      </w:r>
      <w:r w:rsidR="0073639D">
        <w:t>1</w:t>
      </w:r>
      <w:r>
        <w:t>–2</w:t>
      </w:r>
      <w:r w:rsidR="0073639D">
        <w:t>2</w:t>
      </w:r>
      <w:r>
        <w:t>, IHPA will continue to manage the international sales of the AR-DRG system.</w:t>
      </w:r>
    </w:p>
    <w:p w14:paraId="188F244B" w14:textId="77777777" w:rsidR="00E45BFA" w:rsidRPr="002F6419" w:rsidRDefault="00E45BFA" w:rsidP="00EF2D44">
      <w:pPr>
        <w:pStyle w:val="Heading2"/>
        <w:numPr>
          <w:ilvl w:val="0"/>
          <w:numId w:val="5"/>
        </w:numPr>
        <w:ind w:hanging="929"/>
        <w:rPr>
          <w:sz w:val="18"/>
          <w:szCs w:val="18"/>
        </w:rPr>
      </w:pPr>
      <w:bookmarkStart w:id="117" w:name="_Toc55045634"/>
      <w:bookmarkStart w:id="118" w:name="_Toc55054005"/>
      <w:bookmarkStart w:id="119" w:name="_Toc55237225"/>
      <w:bookmarkStart w:id="120" w:name="_Toc55238312"/>
      <w:bookmarkStart w:id="121" w:name="_Toc55974130"/>
      <w:r w:rsidRPr="002F6419">
        <w:rPr>
          <w:sz w:val="18"/>
          <w:szCs w:val="18"/>
        </w:rPr>
        <w:t>Incorporating new technology in patient classification systems</w:t>
      </w:r>
      <w:bookmarkEnd w:id="117"/>
      <w:bookmarkEnd w:id="118"/>
      <w:bookmarkEnd w:id="119"/>
      <w:bookmarkEnd w:id="120"/>
      <w:bookmarkEnd w:id="121"/>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E45BFA" w14:paraId="2354926F" w14:textId="77777777" w:rsidTr="0005174D">
        <w:tc>
          <w:tcPr>
            <w:tcW w:w="3726" w:type="pct"/>
            <w:tcBorders>
              <w:top w:val="nil"/>
              <w:bottom w:val="nil"/>
            </w:tcBorders>
            <w:shd w:val="clear" w:color="auto" w:fill="5E2F7E"/>
            <w:vAlign w:val="center"/>
          </w:tcPr>
          <w:p w14:paraId="46701189" w14:textId="77777777" w:rsidR="00E45BFA" w:rsidRPr="009D7F61" w:rsidRDefault="00E45BFA" w:rsidP="0005174D">
            <w:pPr>
              <w:pStyle w:val="TableHeading"/>
            </w:pPr>
            <w:r w:rsidRPr="009D7F61">
              <w:t>DELIVERABLES</w:t>
            </w:r>
          </w:p>
        </w:tc>
        <w:tc>
          <w:tcPr>
            <w:tcW w:w="1274" w:type="pct"/>
            <w:tcBorders>
              <w:top w:val="nil"/>
              <w:bottom w:val="nil"/>
            </w:tcBorders>
            <w:shd w:val="clear" w:color="auto" w:fill="5E2F7E"/>
            <w:vAlign w:val="center"/>
          </w:tcPr>
          <w:p w14:paraId="545D88C3" w14:textId="77777777" w:rsidR="00E45BFA" w:rsidRPr="009D7F61" w:rsidRDefault="00E45BFA" w:rsidP="0005174D">
            <w:pPr>
              <w:pStyle w:val="TableHeading"/>
            </w:pPr>
            <w:r>
              <w:t>TIMEFRAME</w:t>
            </w:r>
          </w:p>
        </w:tc>
      </w:tr>
      <w:tr w:rsidR="00573167" w14:paraId="2FB21BE0" w14:textId="77777777" w:rsidTr="00165571">
        <w:trPr>
          <w:trHeight w:val="290"/>
        </w:trPr>
        <w:tc>
          <w:tcPr>
            <w:tcW w:w="3726" w:type="pct"/>
            <w:tcBorders>
              <w:top w:val="nil"/>
              <w:bottom w:val="single" w:sz="4" w:space="0" w:color="auto"/>
            </w:tcBorders>
          </w:tcPr>
          <w:p w14:paraId="3F0CC6E7" w14:textId="1F4BE3C6" w:rsidR="00573167" w:rsidRPr="00573167" w:rsidRDefault="00431C95" w:rsidP="00EF407D">
            <w:pPr>
              <w:pStyle w:val="Body"/>
            </w:pPr>
            <w:r>
              <w:t xml:space="preserve">Update the </w:t>
            </w:r>
            <w:r w:rsidRPr="00573167">
              <w:rPr>
                <w:i/>
              </w:rPr>
              <w:t>Impact of New Health Technology Framework</w:t>
            </w:r>
            <w:r>
              <w:t xml:space="preserve"> to r</w:t>
            </w:r>
            <w:r w:rsidRPr="00B91A4E">
              <w:t>eview the process for assessing the impact of new health technologies on patient classification systems</w:t>
            </w:r>
            <w:r>
              <w:t xml:space="preserve"> and include </w:t>
            </w:r>
            <w:r w:rsidRPr="00573167">
              <w:t xml:space="preserve">process for incorporating new high cost, highly </w:t>
            </w:r>
            <w:proofErr w:type="spellStart"/>
            <w:r w:rsidRPr="00573167">
              <w:t>specialised</w:t>
            </w:r>
            <w:proofErr w:type="spellEnd"/>
            <w:r w:rsidRPr="00573167">
              <w:t xml:space="preserve"> treatments</w:t>
            </w:r>
          </w:p>
        </w:tc>
        <w:tc>
          <w:tcPr>
            <w:tcW w:w="1274" w:type="pct"/>
            <w:tcBorders>
              <w:top w:val="nil"/>
              <w:bottom w:val="single" w:sz="4" w:space="0" w:color="auto"/>
            </w:tcBorders>
            <w:shd w:val="clear" w:color="auto" w:fill="FFFFFF" w:themeFill="background1"/>
          </w:tcPr>
          <w:p w14:paraId="683761DC" w14:textId="56D507C0" w:rsidR="00573167" w:rsidRDefault="00493C16" w:rsidP="00C636B9">
            <w:pPr>
              <w:pStyle w:val="Body"/>
            </w:pPr>
            <w:r>
              <w:t>June 2021</w:t>
            </w:r>
          </w:p>
        </w:tc>
      </w:tr>
      <w:tr w:rsidR="00C636B9" w14:paraId="6194E16C" w14:textId="77777777" w:rsidTr="00165571">
        <w:trPr>
          <w:trHeight w:val="290"/>
        </w:trPr>
        <w:tc>
          <w:tcPr>
            <w:tcW w:w="3726" w:type="pct"/>
            <w:tcBorders>
              <w:top w:val="nil"/>
              <w:bottom w:val="single" w:sz="4" w:space="0" w:color="auto"/>
            </w:tcBorders>
          </w:tcPr>
          <w:p w14:paraId="7E826DE2" w14:textId="77777777" w:rsidR="00C636B9" w:rsidRPr="00B60C07" w:rsidRDefault="00C636B9" w:rsidP="00C636B9">
            <w:pPr>
              <w:pStyle w:val="Body"/>
            </w:pPr>
            <w:proofErr w:type="spellStart"/>
            <w:r w:rsidRPr="0019336C">
              <w:t>Finalise</w:t>
            </w:r>
            <w:proofErr w:type="spellEnd"/>
            <w:r w:rsidRPr="0019336C">
              <w:t xml:space="preserve"> the review of new </w:t>
            </w:r>
            <w:r>
              <w:t xml:space="preserve">health </w:t>
            </w:r>
            <w:r w:rsidRPr="0019336C">
              <w:t>technologies based on reports received from government agencies and advisory bodies.</w:t>
            </w:r>
          </w:p>
        </w:tc>
        <w:tc>
          <w:tcPr>
            <w:tcW w:w="1274" w:type="pct"/>
            <w:tcBorders>
              <w:top w:val="nil"/>
              <w:bottom w:val="single" w:sz="4" w:space="0" w:color="auto"/>
            </w:tcBorders>
            <w:shd w:val="clear" w:color="auto" w:fill="FFFFFF" w:themeFill="background1"/>
          </w:tcPr>
          <w:p w14:paraId="6CBE74D4" w14:textId="77289701" w:rsidR="00C636B9" w:rsidRPr="00B60C07" w:rsidRDefault="00573167" w:rsidP="00C636B9">
            <w:pPr>
              <w:pStyle w:val="Body"/>
            </w:pPr>
            <w:r>
              <w:t>June 2022</w:t>
            </w:r>
          </w:p>
        </w:tc>
      </w:tr>
    </w:tbl>
    <w:p w14:paraId="71C30258" w14:textId="77777777" w:rsidR="00431C95" w:rsidRPr="0024225D" w:rsidRDefault="00431C95" w:rsidP="00431C95">
      <w:pPr>
        <w:spacing w:line="276" w:lineRule="auto"/>
        <w:rPr>
          <w:rFonts w:ascii="Arial" w:hAnsi="Arial" w:cs="Arial"/>
          <w:b/>
          <w:color w:val="262626" w:themeColor="text1" w:themeTint="D9"/>
          <w:sz w:val="18"/>
          <w:szCs w:val="18"/>
        </w:rPr>
      </w:pPr>
      <w:r w:rsidRPr="00573167">
        <w:rPr>
          <w:rFonts w:ascii="Arial" w:hAnsi="Arial" w:cs="Arial"/>
          <w:b/>
          <w:color w:val="262626" w:themeColor="text1" w:themeTint="D9"/>
          <w:sz w:val="18"/>
          <w:szCs w:val="18"/>
        </w:rPr>
        <w:lastRenderedPageBreak/>
        <w:t xml:space="preserve">The </w:t>
      </w:r>
      <w:r w:rsidRPr="00573167">
        <w:rPr>
          <w:rFonts w:ascii="Arial" w:hAnsi="Arial" w:cs="Arial"/>
          <w:b/>
          <w:i/>
          <w:color w:val="262626" w:themeColor="text1" w:themeTint="D9"/>
          <w:sz w:val="18"/>
          <w:szCs w:val="18"/>
        </w:rPr>
        <w:t>Impact of New Health Technology Framework</w:t>
      </w:r>
      <w:r w:rsidRPr="00573167">
        <w:rPr>
          <w:rFonts w:ascii="Arial" w:hAnsi="Arial" w:cs="Arial"/>
          <w:b/>
          <w:color w:val="262626" w:themeColor="text1" w:themeTint="D9"/>
          <w:sz w:val="18"/>
          <w:szCs w:val="18"/>
        </w:rPr>
        <w:t xml:space="preserve"> outlines the process by which IHPA will monitor and review the impact of new health technologies on the existing classifications in order to accurately account for them in the pricing of public hospital services.</w:t>
      </w:r>
      <w:r w:rsidRPr="0024225D">
        <w:rPr>
          <w:rFonts w:ascii="Arial" w:hAnsi="Arial" w:cs="Arial"/>
          <w:b/>
          <w:color w:val="262626" w:themeColor="text1" w:themeTint="D9"/>
          <w:sz w:val="18"/>
          <w:szCs w:val="18"/>
        </w:rPr>
        <w:t xml:space="preserve"> </w:t>
      </w:r>
    </w:p>
    <w:p w14:paraId="613DEFCA" w14:textId="77777777" w:rsidR="00431C95" w:rsidRDefault="00431C95" w:rsidP="00431C95">
      <w:pPr>
        <w:spacing w:line="276" w:lineRule="auto"/>
        <w:rPr>
          <w:rFonts w:ascii="Arial" w:hAnsi="Arial" w:cs="Arial"/>
          <w:color w:val="262626" w:themeColor="text1" w:themeTint="D9"/>
          <w:sz w:val="18"/>
          <w:szCs w:val="18"/>
        </w:rPr>
      </w:pPr>
      <w:r>
        <w:rPr>
          <w:rFonts w:ascii="Arial" w:hAnsi="Arial" w:cs="Arial"/>
          <w:color w:val="262626" w:themeColor="text1" w:themeTint="D9"/>
          <w:sz w:val="18"/>
          <w:szCs w:val="18"/>
        </w:rPr>
        <w:t xml:space="preserve">In 2020–21, IHPA commenced a review of the process for assessing the impact of new health technologies on patient classification systems, following the outcomes of the </w:t>
      </w:r>
      <w:r w:rsidRPr="004C50B6">
        <w:rPr>
          <w:rFonts w:ascii="Arial" w:hAnsi="Arial" w:cs="Arial"/>
          <w:color w:val="262626" w:themeColor="text1" w:themeTint="D9"/>
          <w:sz w:val="18"/>
          <w:szCs w:val="18"/>
        </w:rPr>
        <w:t>end-to-end review of the AR-DRG classification system development process</w:t>
      </w:r>
      <w:r>
        <w:rPr>
          <w:rFonts w:ascii="Arial" w:hAnsi="Arial" w:cs="Arial"/>
          <w:color w:val="262626" w:themeColor="text1" w:themeTint="D9"/>
          <w:sz w:val="18"/>
          <w:szCs w:val="18"/>
        </w:rPr>
        <w:t xml:space="preserve">. The end-to-end review included considering how </w:t>
      </w:r>
      <w:r w:rsidRPr="00573167">
        <w:rPr>
          <w:rFonts w:ascii="Arial" w:hAnsi="Arial" w:cs="Arial"/>
          <w:color w:val="262626" w:themeColor="text1" w:themeTint="D9"/>
          <w:sz w:val="18"/>
          <w:szCs w:val="18"/>
        </w:rPr>
        <w:t>high acuity, high cost health technology could be incorporated into the classification system in a more timely fashion</w:t>
      </w:r>
      <w:r w:rsidRPr="004C50B6">
        <w:rPr>
          <w:rFonts w:ascii="Arial" w:hAnsi="Arial" w:cs="Arial"/>
          <w:color w:val="262626" w:themeColor="text1" w:themeTint="D9"/>
          <w:sz w:val="18"/>
          <w:szCs w:val="18"/>
        </w:rPr>
        <w:t>.</w:t>
      </w:r>
      <w:r>
        <w:rPr>
          <w:rFonts w:ascii="Arial" w:hAnsi="Arial" w:cs="Arial"/>
          <w:color w:val="262626" w:themeColor="text1" w:themeTint="D9"/>
          <w:sz w:val="18"/>
          <w:szCs w:val="18"/>
        </w:rPr>
        <w:t xml:space="preserve"> </w:t>
      </w:r>
    </w:p>
    <w:p w14:paraId="2025021C" w14:textId="77777777" w:rsidR="00431C95" w:rsidRDefault="00431C95" w:rsidP="00431C95">
      <w:pPr>
        <w:spacing w:line="276" w:lineRule="auto"/>
        <w:rPr>
          <w:rFonts w:ascii="Arial" w:hAnsi="Arial" w:cs="Arial"/>
          <w:color w:val="262626" w:themeColor="text1" w:themeTint="D9"/>
          <w:sz w:val="18"/>
          <w:szCs w:val="18"/>
        </w:rPr>
      </w:pPr>
      <w:r w:rsidRPr="00493C16">
        <w:rPr>
          <w:rFonts w:ascii="Arial" w:hAnsi="Arial" w:cs="Arial"/>
          <w:color w:val="262626" w:themeColor="text1" w:themeTint="D9"/>
          <w:sz w:val="18"/>
          <w:szCs w:val="18"/>
        </w:rPr>
        <w:t xml:space="preserve">An initial review of potential mechanisms to address </w:t>
      </w:r>
      <w:r>
        <w:rPr>
          <w:rFonts w:ascii="Arial" w:hAnsi="Arial" w:cs="Arial"/>
          <w:color w:val="262626" w:themeColor="text1" w:themeTint="D9"/>
          <w:sz w:val="18"/>
          <w:szCs w:val="18"/>
        </w:rPr>
        <w:t>the lack of agility of the admitted classifications in keeping pace with new technologies</w:t>
      </w:r>
      <w:r w:rsidRPr="00493C16">
        <w:rPr>
          <w:rFonts w:ascii="Arial" w:hAnsi="Arial" w:cs="Arial"/>
          <w:color w:val="262626" w:themeColor="text1" w:themeTint="D9"/>
          <w:sz w:val="18"/>
          <w:szCs w:val="18"/>
        </w:rPr>
        <w:t xml:space="preserve"> identified an option to develop a set of codes in ACHI to be used as placeholders for new health technology</w:t>
      </w:r>
      <w:r>
        <w:rPr>
          <w:rFonts w:ascii="Arial" w:hAnsi="Arial" w:cs="Arial"/>
          <w:color w:val="262626" w:themeColor="text1" w:themeTint="D9"/>
          <w:sz w:val="18"/>
          <w:szCs w:val="18"/>
        </w:rPr>
        <w:t>. This enables collection of intervention data for new technologies</w:t>
      </w:r>
      <w:r w:rsidRPr="00493C16">
        <w:rPr>
          <w:rFonts w:ascii="Arial" w:hAnsi="Arial" w:cs="Arial"/>
          <w:color w:val="262626" w:themeColor="text1" w:themeTint="D9"/>
          <w:sz w:val="18"/>
          <w:szCs w:val="18"/>
        </w:rPr>
        <w:t xml:space="preserve"> without having to wait f</w:t>
      </w:r>
      <w:r>
        <w:rPr>
          <w:rFonts w:ascii="Arial" w:hAnsi="Arial" w:cs="Arial"/>
          <w:color w:val="262626" w:themeColor="text1" w:themeTint="D9"/>
          <w:sz w:val="18"/>
          <w:szCs w:val="18"/>
        </w:rPr>
        <w:t>or a new edition of ACHI to be released</w:t>
      </w:r>
      <w:r w:rsidRPr="00493C16">
        <w:rPr>
          <w:rFonts w:ascii="Arial" w:hAnsi="Arial" w:cs="Arial"/>
          <w:color w:val="262626" w:themeColor="text1" w:themeTint="D9"/>
          <w:sz w:val="18"/>
          <w:szCs w:val="18"/>
        </w:rPr>
        <w:t xml:space="preserve">. IHPA will </w:t>
      </w:r>
      <w:r>
        <w:rPr>
          <w:rFonts w:ascii="Arial" w:hAnsi="Arial" w:cs="Arial"/>
          <w:color w:val="262626" w:themeColor="text1" w:themeTint="D9"/>
          <w:sz w:val="18"/>
          <w:szCs w:val="18"/>
        </w:rPr>
        <w:t xml:space="preserve">work with jurisdictions to </w:t>
      </w:r>
      <w:r w:rsidRPr="00493C16">
        <w:rPr>
          <w:rFonts w:ascii="Arial" w:hAnsi="Arial" w:cs="Arial"/>
          <w:color w:val="262626" w:themeColor="text1" w:themeTint="D9"/>
          <w:sz w:val="18"/>
          <w:szCs w:val="18"/>
        </w:rPr>
        <w:t>develop an approach to determine when a new technology would qualify for a placeholder code and, subsequently, when a placeholder code would be formally integrated into ACHI.</w:t>
      </w:r>
    </w:p>
    <w:p w14:paraId="46CEAAF6" w14:textId="77777777" w:rsidR="00431C95" w:rsidRDefault="00431C95" w:rsidP="00431C95">
      <w:pPr>
        <w:spacing w:line="276" w:lineRule="auto"/>
        <w:rPr>
          <w:rFonts w:ascii="Arial" w:hAnsi="Arial" w:cs="Arial"/>
          <w:color w:val="262626" w:themeColor="text1" w:themeTint="D9"/>
          <w:sz w:val="18"/>
          <w:szCs w:val="18"/>
        </w:rPr>
      </w:pPr>
      <w:r w:rsidRPr="00573167">
        <w:rPr>
          <w:rFonts w:ascii="Arial" w:hAnsi="Arial" w:cs="Arial"/>
          <w:color w:val="262626" w:themeColor="text1" w:themeTint="D9"/>
          <w:sz w:val="18"/>
          <w:szCs w:val="18"/>
        </w:rPr>
        <w:t xml:space="preserve">Clauses C11 and C12 of the Addendum contain specific arrangements for new high cost, highly </w:t>
      </w:r>
      <w:proofErr w:type="spellStart"/>
      <w:r w:rsidRPr="00573167">
        <w:rPr>
          <w:rFonts w:ascii="Arial" w:hAnsi="Arial" w:cs="Arial"/>
          <w:color w:val="262626" w:themeColor="text1" w:themeTint="D9"/>
          <w:sz w:val="18"/>
          <w:szCs w:val="18"/>
        </w:rPr>
        <w:t>specialised</w:t>
      </w:r>
      <w:proofErr w:type="spellEnd"/>
      <w:r w:rsidRPr="00573167">
        <w:rPr>
          <w:rFonts w:ascii="Arial" w:hAnsi="Arial" w:cs="Arial"/>
          <w:color w:val="262626" w:themeColor="text1" w:themeTint="D9"/>
          <w:sz w:val="18"/>
          <w:szCs w:val="18"/>
        </w:rPr>
        <w:t xml:space="preserve"> therapies recommended for delivery in public hospitals by the Medical Services Advisory Committee. IHPA will work with jurisdictions to develop an approach for funding new high cost, highly </w:t>
      </w:r>
      <w:proofErr w:type="spellStart"/>
      <w:r w:rsidRPr="00573167">
        <w:rPr>
          <w:rFonts w:ascii="Arial" w:hAnsi="Arial" w:cs="Arial"/>
          <w:color w:val="262626" w:themeColor="text1" w:themeTint="D9"/>
          <w:sz w:val="18"/>
          <w:szCs w:val="18"/>
        </w:rPr>
        <w:t>specialised</w:t>
      </w:r>
      <w:proofErr w:type="spellEnd"/>
      <w:r w:rsidRPr="00573167">
        <w:rPr>
          <w:rFonts w:ascii="Arial" w:hAnsi="Arial" w:cs="Arial"/>
          <w:color w:val="262626" w:themeColor="text1" w:themeTint="D9"/>
          <w:sz w:val="18"/>
          <w:szCs w:val="18"/>
        </w:rPr>
        <w:t xml:space="preserve"> therapies. As part of this process, IHPA will review the </w:t>
      </w:r>
      <w:r w:rsidRPr="00573167">
        <w:rPr>
          <w:rFonts w:ascii="Arial" w:hAnsi="Arial" w:cs="Arial"/>
          <w:i/>
          <w:color w:val="262626" w:themeColor="text1" w:themeTint="D9"/>
          <w:sz w:val="18"/>
          <w:szCs w:val="18"/>
        </w:rPr>
        <w:t>Impact of New Health Technology Framework</w:t>
      </w:r>
      <w:r w:rsidRPr="00573167">
        <w:rPr>
          <w:rFonts w:ascii="Arial" w:hAnsi="Arial" w:cs="Arial"/>
          <w:color w:val="262626" w:themeColor="text1" w:themeTint="D9"/>
          <w:sz w:val="18"/>
          <w:szCs w:val="18"/>
        </w:rPr>
        <w:t xml:space="preserve"> to outline the process for incorporating new high cost, highly </w:t>
      </w:r>
      <w:proofErr w:type="spellStart"/>
      <w:r w:rsidRPr="00573167">
        <w:rPr>
          <w:rFonts w:ascii="Arial" w:hAnsi="Arial" w:cs="Arial"/>
          <w:color w:val="262626" w:themeColor="text1" w:themeTint="D9"/>
          <w:sz w:val="18"/>
          <w:szCs w:val="18"/>
        </w:rPr>
        <w:t>specialised</w:t>
      </w:r>
      <w:proofErr w:type="spellEnd"/>
      <w:r w:rsidRPr="00573167">
        <w:rPr>
          <w:rFonts w:ascii="Arial" w:hAnsi="Arial" w:cs="Arial"/>
          <w:color w:val="262626" w:themeColor="text1" w:themeTint="D9"/>
          <w:sz w:val="18"/>
          <w:szCs w:val="18"/>
        </w:rPr>
        <w:t xml:space="preserve"> treatments into the classification systems and the pricing model.</w:t>
      </w:r>
    </w:p>
    <w:p w14:paraId="01818174" w14:textId="77777777" w:rsidR="00431C95" w:rsidRDefault="00431C95" w:rsidP="00431C95">
      <w:pPr>
        <w:spacing w:line="276" w:lineRule="auto"/>
        <w:rPr>
          <w:rFonts w:ascii="Arial" w:hAnsi="Arial" w:cs="Arial"/>
          <w:color w:val="262626" w:themeColor="text1" w:themeTint="D9"/>
          <w:sz w:val="18"/>
          <w:szCs w:val="18"/>
        </w:rPr>
      </w:pPr>
      <w:r>
        <w:rPr>
          <w:rFonts w:ascii="Arial" w:hAnsi="Arial" w:cs="Arial"/>
          <w:color w:val="262626" w:themeColor="text1" w:themeTint="D9"/>
          <w:sz w:val="18"/>
          <w:szCs w:val="18"/>
        </w:rPr>
        <w:t>In 2021–22, IHPA</w:t>
      </w:r>
      <w:r w:rsidRPr="0019336C">
        <w:rPr>
          <w:rFonts w:ascii="Arial" w:hAnsi="Arial" w:cs="Arial"/>
          <w:color w:val="262626" w:themeColor="text1" w:themeTint="D9"/>
          <w:sz w:val="18"/>
          <w:szCs w:val="18"/>
        </w:rPr>
        <w:t xml:space="preserve"> will continue to monitor and review the impact of new health technologies on the existing classifications based on reports from government agencies and advisory bodies, and will determine whether and how the classification systems should be adjusted in response.</w:t>
      </w:r>
      <w:r>
        <w:rPr>
          <w:rFonts w:ascii="Arial" w:hAnsi="Arial" w:cs="Arial"/>
          <w:color w:val="262626" w:themeColor="text1" w:themeTint="D9"/>
          <w:sz w:val="18"/>
          <w:szCs w:val="18"/>
        </w:rPr>
        <w:t xml:space="preserve"> </w:t>
      </w:r>
    </w:p>
    <w:p w14:paraId="1EEFBB20" w14:textId="41030D94" w:rsidR="003A0514" w:rsidRPr="009E06F3" w:rsidRDefault="00CB7918" w:rsidP="009E06F3">
      <w:pPr>
        <w:pStyle w:val="Heading1"/>
        <w:spacing w:before="360" w:after="160" w:line="240" w:lineRule="auto"/>
        <w:rPr>
          <w:b/>
          <w:color w:val="FF860D"/>
          <w:lang w:val="en-AU"/>
        </w:rPr>
      </w:pPr>
      <w:r>
        <w:rPr>
          <w:color w:val="FFFFFF" w:themeColor="background1"/>
        </w:rPr>
        <w:br w:type="page"/>
      </w:r>
      <w:bookmarkStart w:id="122" w:name="_Toc55974131"/>
      <w:r w:rsidR="003A0514" w:rsidRPr="009E06F3">
        <w:rPr>
          <w:color w:val="FF860D"/>
          <w:sz w:val="36"/>
          <w:szCs w:val="36"/>
        </w:rPr>
        <w:lastRenderedPageBreak/>
        <w:t>Strategic Objective Three:</w:t>
      </w:r>
      <w:r w:rsidR="008843C3" w:rsidRPr="009E06F3">
        <w:rPr>
          <w:color w:val="FF860D"/>
          <w:sz w:val="36"/>
          <w:szCs w:val="36"/>
        </w:rPr>
        <w:t xml:space="preserve"> </w:t>
      </w:r>
      <w:r w:rsidR="003A0514" w:rsidRPr="009E06F3">
        <w:rPr>
          <w:color w:val="FF860D"/>
          <w:sz w:val="36"/>
          <w:szCs w:val="36"/>
        </w:rPr>
        <w:t>Refine and improve hospital costing</w:t>
      </w:r>
      <w:bookmarkEnd w:id="122"/>
    </w:p>
    <w:p w14:paraId="2692CC1F" w14:textId="77777777" w:rsidR="00431C95" w:rsidRPr="00960BD0" w:rsidRDefault="00431C95" w:rsidP="00431C95">
      <w:pPr>
        <w:pStyle w:val="Heading2"/>
        <w:rPr>
          <w:sz w:val="18"/>
          <w:szCs w:val="18"/>
        </w:rPr>
      </w:pPr>
      <w:bookmarkStart w:id="123" w:name="_Toc55974132"/>
      <w:bookmarkStart w:id="124" w:name="_Toc55054008"/>
      <w:bookmarkStart w:id="125" w:name="_Toc55045636"/>
      <w:bookmarkStart w:id="126" w:name="_Toc55237227"/>
      <w:bookmarkStart w:id="127" w:name="_Toc55238314"/>
      <w:r w:rsidRPr="00960BD0">
        <w:rPr>
          <w:sz w:val="18"/>
          <w:szCs w:val="18"/>
        </w:rPr>
        <w:t>(a)</w:t>
      </w:r>
      <w:r w:rsidRPr="00960BD0">
        <w:rPr>
          <w:sz w:val="18"/>
          <w:szCs w:val="18"/>
        </w:rPr>
        <w:tab/>
        <w:t>Australian Hospital Patient Costing Standards</w:t>
      </w:r>
      <w:bookmarkEnd w:id="123"/>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431C95" w:rsidRPr="007F2290" w14:paraId="58C8636F" w14:textId="77777777" w:rsidTr="003D2DE6">
        <w:tc>
          <w:tcPr>
            <w:tcW w:w="3726" w:type="pct"/>
            <w:tcBorders>
              <w:top w:val="nil"/>
              <w:bottom w:val="nil"/>
            </w:tcBorders>
            <w:shd w:val="clear" w:color="auto" w:fill="F47920"/>
            <w:vAlign w:val="center"/>
          </w:tcPr>
          <w:p w14:paraId="68AD89DD" w14:textId="77777777" w:rsidR="00431C95" w:rsidRPr="002F6419" w:rsidRDefault="00431C95" w:rsidP="003D2DE6">
            <w:pPr>
              <w:pStyle w:val="TableHeading"/>
              <w:rPr>
                <w:sz w:val="18"/>
                <w:szCs w:val="18"/>
              </w:rPr>
            </w:pPr>
            <w:r w:rsidRPr="002F6419">
              <w:rPr>
                <w:sz w:val="18"/>
                <w:szCs w:val="18"/>
              </w:rPr>
              <w:t>DELIVERABLES</w:t>
            </w:r>
          </w:p>
        </w:tc>
        <w:tc>
          <w:tcPr>
            <w:tcW w:w="1274" w:type="pct"/>
            <w:tcBorders>
              <w:top w:val="nil"/>
              <w:bottom w:val="nil"/>
            </w:tcBorders>
            <w:shd w:val="clear" w:color="auto" w:fill="F47920"/>
            <w:vAlign w:val="center"/>
          </w:tcPr>
          <w:p w14:paraId="648EE3DC" w14:textId="77777777" w:rsidR="00431C95" w:rsidRPr="002F6419" w:rsidRDefault="00431C95" w:rsidP="003D2DE6">
            <w:pPr>
              <w:pStyle w:val="TableHeading"/>
              <w:rPr>
                <w:sz w:val="18"/>
                <w:szCs w:val="18"/>
              </w:rPr>
            </w:pPr>
            <w:r w:rsidRPr="002F6419">
              <w:rPr>
                <w:sz w:val="18"/>
                <w:szCs w:val="18"/>
              </w:rPr>
              <w:t>TIMEFRAME</w:t>
            </w:r>
          </w:p>
        </w:tc>
      </w:tr>
      <w:tr w:rsidR="00431C95" w14:paraId="3DC78798" w14:textId="77777777" w:rsidTr="003D2DE6">
        <w:trPr>
          <w:trHeight w:val="236"/>
        </w:trPr>
        <w:tc>
          <w:tcPr>
            <w:tcW w:w="3726" w:type="pct"/>
            <w:tcBorders>
              <w:top w:val="nil"/>
              <w:bottom w:val="single" w:sz="4" w:space="0" w:color="auto"/>
            </w:tcBorders>
          </w:tcPr>
          <w:p w14:paraId="1A9B8479" w14:textId="64508A03" w:rsidR="00431C95" w:rsidRDefault="00431C95" w:rsidP="003D2DE6">
            <w:pPr>
              <w:pStyle w:val="Body"/>
            </w:pPr>
            <w:r>
              <w:t xml:space="preserve">Review and update </w:t>
            </w:r>
            <w:r w:rsidRPr="00244B06">
              <w:t>AHPCS</w:t>
            </w:r>
            <w:r w:rsidRPr="00003568">
              <w:t xml:space="preserve"> Version 4</w:t>
            </w:r>
            <w:r>
              <w:t>.</w:t>
            </w:r>
            <w:r w:rsidRPr="00003568">
              <w:t>0</w:t>
            </w:r>
            <w:r>
              <w:t xml:space="preserve"> in consultation with the </w:t>
            </w:r>
            <w:r w:rsidRPr="00244B06">
              <w:t>NHCDC Advisory Committee</w:t>
            </w:r>
            <w:r>
              <w:t xml:space="preserve"> </w:t>
            </w:r>
            <w:r w:rsidRPr="00244B06">
              <w:t>and jurisdictions</w:t>
            </w:r>
          </w:p>
        </w:tc>
        <w:tc>
          <w:tcPr>
            <w:tcW w:w="1274" w:type="pct"/>
            <w:tcBorders>
              <w:top w:val="nil"/>
              <w:bottom w:val="single" w:sz="4" w:space="0" w:color="auto"/>
            </w:tcBorders>
          </w:tcPr>
          <w:p w14:paraId="5B35E60E" w14:textId="77777777" w:rsidR="00431C95" w:rsidRPr="00DE3732" w:rsidRDefault="00431C95" w:rsidP="003D2DE6">
            <w:pPr>
              <w:pStyle w:val="Body"/>
            </w:pPr>
            <w:r w:rsidRPr="00DE3732">
              <w:t>June 2021</w:t>
            </w:r>
          </w:p>
        </w:tc>
      </w:tr>
    </w:tbl>
    <w:p w14:paraId="2AA9AA43" w14:textId="77777777" w:rsidR="00431C95" w:rsidRDefault="00431C95" w:rsidP="00431C95">
      <w:pPr>
        <w:pStyle w:val="Body"/>
      </w:pPr>
    </w:p>
    <w:p w14:paraId="49F59039" w14:textId="77777777" w:rsidR="00431C95" w:rsidRPr="00244B06" w:rsidRDefault="00431C95" w:rsidP="00431C95">
      <w:pPr>
        <w:pStyle w:val="IntroBody"/>
      </w:pPr>
      <w:r w:rsidRPr="00244B06">
        <w:t xml:space="preserve">The </w:t>
      </w:r>
      <w:r w:rsidRPr="00BB6E2E">
        <w:t xml:space="preserve">Australian Hospital Patient Costing Standards </w:t>
      </w:r>
      <w:r>
        <w:t>(</w:t>
      </w:r>
      <w:r w:rsidRPr="00244B06">
        <w:t>AHPCS</w:t>
      </w:r>
      <w:r>
        <w:t>)</w:t>
      </w:r>
      <w:r w:rsidRPr="00244B06">
        <w:t xml:space="preserve"> are published for those conducting national costing activities, </w:t>
      </w:r>
      <w:r>
        <w:t xml:space="preserve">to </w:t>
      </w:r>
      <w:r w:rsidRPr="00244B06">
        <w:t xml:space="preserve">promote consistency in data submission. The </w:t>
      </w:r>
      <w:r>
        <w:t xml:space="preserve">AHPCS provide the framework for </w:t>
      </w:r>
      <w:r w:rsidRPr="00244B06">
        <w:t xml:space="preserve">regulators, funders, providers and researchers for the cost data collection. </w:t>
      </w:r>
    </w:p>
    <w:p w14:paraId="6CAACA46" w14:textId="77777777" w:rsidR="00431C95" w:rsidRPr="00244B06" w:rsidRDefault="00431C95" w:rsidP="00431C95">
      <w:pPr>
        <w:pStyle w:val="Body"/>
      </w:pPr>
      <w:r w:rsidRPr="00244B06">
        <w:t>In 2018–19, IHPA published Version 4.0 of the AHPCS. This</w:t>
      </w:r>
      <w:r>
        <w:t xml:space="preserve"> </w:t>
      </w:r>
      <w:r w:rsidRPr="00244B06">
        <w:t>version was restructured to incorporate a set of overarching principles to guide the costing process and to include business rules which provide detailed guidance from the costing practitioners’ perspective on how a costing standard can be translated into action, while</w:t>
      </w:r>
      <w:r>
        <w:t xml:space="preserve"> </w:t>
      </w:r>
      <w:r w:rsidRPr="00244B06">
        <w:t>taking into account practical and operational constraints within</w:t>
      </w:r>
      <w:r>
        <w:t xml:space="preserve"> </w:t>
      </w:r>
      <w:proofErr w:type="spellStart"/>
      <w:r w:rsidRPr="00244B06">
        <w:t>organisations</w:t>
      </w:r>
      <w:proofErr w:type="spellEnd"/>
      <w:r w:rsidRPr="00244B06">
        <w:t xml:space="preserve">. It is intended that the changes to the AHPCS will result in greater consistency in activity based costing for future rounds of the </w:t>
      </w:r>
      <w:r w:rsidRPr="007B213D">
        <w:t xml:space="preserve">National Hospital Cost Data Collection </w:t>
      </w:r>
      <w:r>
        <w:t>(</w:t>
      </w:r>
      <w:r w:rsidRPr="00244B06">
        <w:t>NHCDC</w:t>
      </w:r>
      <w:r>
        <w:t>)</w:t>
      </w:r>
      <w:r w:rsidRPr="00244B06">
        <w:t xml:space="preserve">. </w:t>
      </w:r>
    </w:p>
    <w:p w14:paraId="2102E7FC" w14:textId="798E6E95" w:rsidR="00431C95" w:rsidRDefault="00431C95" w:rsidP="00431C95">
      <w:pPr>
        <w:pStyle w:val="Body"/>
      </w:pPr>
      <w:r w:rsidRPr="00244B06">
        <w:t xml:space="preserve">IHPA </w:t>
      </w:r>
      <w:r>
        <w:t>will work</w:t>
      </w:r>
      <w:r w:rsidRPr="00244B06">
        <w:t xml:space="preserve"> with its NHCDC Advisory Committee and jurisdictions </w:t>
      </w:r>
      <w:r>
        <w:t xml:space="preserve">to </w:t>
      </w:r>
      <w:r w:rsidR="00293419">
        <w:t>review and update the A</w:t>
      </w:r>
      <w:r>
        <w:t>H</w:t>
      </w:r>
      <w:r w:rsidR="00293419">
        <w:t>P</w:t>
      </w:r>
      <w:r>
        <w:t>CS Version </w:t>
      </w:r>
      <w:r w:rsidRPr="00003568">
        <w:t>4</w:t>
      </w:r>
      <w:r>
        <w:t>.</w:t>
      </w:r>
      <w:r w:rsidRPr="00003568">
        <w:t>0</w:t>
      </w:r>
      <w:r>
        <w:t xml:space="preserve">, as required. </w:t>
      </w:r>
    </w:p>
    <w:p w14:paraId="2EE1E8F5" w14:textId="5E6839B9" w:rsidR="00C05A7A" w:rsidRPr="002F6419" w:rsidRDefault="00431C95" w:rsidP="00C05A7A">
      <w:pPr>
        <w:pStyle w:val="Heading2"/>
        <w:rPr>
          <w:sz w:val="18"/>
          <w:szCs w:val="18"/>
        </w:rPr>
      </w:pPr>
      <w:bookmarkStart w:id="128" w:name="_Toc55054009"/>
      <w:bookmarkStart w:id="129" w:name="_Toc55237228"/>
      <w:bookmarkStart w:id="130" w:name="_Toc55238315"/>
      <w:bookmarkEnd w:id="124"/>
      <w:bookmarkEnd w:id="125"/>
      <w:bookmarkEnd w:id="126"/>
      <w:bookmarkEnd w:id="127"/>
      <w:r w:rsidRPr="002F6419">
        <w:rPr>
          <w:sz w:val="18"/>
          <w:szCs w:val="18"/>
        </w:rPr>
        <w:t xml:space="preserve"> </w:t>
      </w:r>
      <w:bookmarkStart w:id="131" w:name="_Toc55974133"/>
      <w:r w:rsidR="00C17DDE" w:rsidRPr="002F6419">
        <w:rPr>
          <w:sz w:val="18"/>
          <w:szCs w:val="18"/>
        </w:rPr>
        <w:t>(</w:t>
      </w:r>
      <w:r>
        <w:rPr>
          <w:sz w:val="18"/>
          <w:szCs w:val="18"/>
        </w:rPr>
        <w:t>b</w:t>
      </w:r>
      <w:r w:rsidR="00C05A7A" w:rsidRPr="002F6419">
        <w:rPr>
          <w:sz w:val="18"/>
          <w:szCs w:val="18"/>
        </w:rPr>
        <w:t>)</w:t>
      </w:r>
      <w:r w:rsidR="00867526" w:rsidRPr="002F6419">
        <w:rPr>
          <w:sz w:val="18"/>
          <w:szCs w:val="18"/>
        </w:rPr>
        <w:tab/>
      </w:r>
      <w:r w:rsidR="00C05A7A" w:rsidRPr="002F6419">
        <w:rPr>
          <w:sz w:val="18"/>
          <w:szCs w:val="18"/>
        </w:rPr>
        <w:t xml:space="preserve">Collection of </w:t>
      </w:r>
      <w:r w:rsidR="00BB6E2E" w:rsidRPr="002F6419">
        <w:rPr>
          <w:sz w:val="18"/>
          <w:szCs w:val="18"/>
        </w:rPr>
        <w:t xml:space="preserve">NHCDC </w:t>
      </w:r>
      <w:r w:rsidR="00C05A7A" w:rsidRPr="002F6419">
        <w:rPr>
          <w:sz w:val="18"/>
          <w:szCs w:val="18"/>
        </w:rPr>
        <w:t>for public and private hospitals</w:t>
      </w:r>
      <w:bookmarkEnd w:id="128"/>
      <w:bookmarkEnd w:id="129"/>
      <w:bookmarkEnd w:id="130"/>
      <w:bookmarkEnd w:id="131"/>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05A7A" w:rsidRPr="007F2290" w14:paraId="28C5991B" w14:textId="77777777" w:rsidTr="005154CD">
        <w:tc>
          <w:tcPr>
            <w:tcW w:w="3726" w:type="pct"/>
            <w:tcBorders>
              <w:top w:val="nil"/>
              <w:bottom w:val="nil"/>
            </w:tcBorders>
            <w:shd w:val="clear" w:color="auto" w:fill="F47920"/>
            <w:vAlign w:val="center"/>
          </w:tcPr>
          <w:p w14:paraId="2BB2D2ED" w14:textId="77777777" w:rsidR="00C05A7A" w:rsidRPr="002F6419" w:rsidRDefault="00C05A7A" w:rsidP="005154CD">
            <w:pPr>
              <w:pStyle w:val="TableHeading"/>
              <w:rPr>
                <w:sz w:val="18"/>
                <w:szCs w:val="18"/>
              </w:rPr>
            </w:pPr>
            <w:r w:rsidRPr="002F6419">
              <w:rPr>
                <w:sz w:val="18"/>
                <w:szCs w:val="18"/>
              </w:rPr>
              <w:t>DELIVERABLES</w:t>
            </w:r>
          </w:p>
        </w:tc>
        <w:tc>
          <w:tcPr>
            <w:tcW w:w="1274" w:type="pct"/>
            <w:tcBorders>
              <w:top w:val="nil"/>
              <w:bottom w:val="nil"/>
            </w:tcBorders>
            <w:shd w:val="clear" w:color="auto" w:fill="F47920"/>
            <w:vAlign w:val="center"/>
          </w:tcPr>
          <w:p w14:paraId="0652925C" w14:textId="77777777" w:rsidR="00C05A7A" w:rsidRPr="002F6419" w:rsidRDefault="00C05A7A" w:rsidP="005154CD">
            <w:pPr>
              <w:pStyle w:val="TableHeading"/>
              <w:rPr>
                <w:sz w:val="18"/>
                <w:szCs w:val="18"/>
              </w:rPr>
            </w:pPr>
            <w:r w:rsidRPr="002F6419">
              <w:rPr>
                <w:sz w:val="18"/>
                <w:szCs w:val="18"/>
              </w:rPr>
              <w:t>TIMEFRAME</w:t>
            </w:r>
          </w:p>
        </w:tc>
      </w:tr>
      <w:tr w:rsidR="00C05A7A" w14:paraId="0C6EAF5E" w14:textId="77777777" w:rsidTr="005154CD">
        <w:trPr>
          <w:trHeight w:val="236"/>
        </w:trPr>
        <w:tc>
          <w:tcPr>
            <w:tcW w:w="3726" w:type="pct"/>
            <w:tcBorders>
              <w:top w:val="nil"/>
              <w:bottom w:val="single" w:sz="4" w:space="0" w:color="auto"/>
            </w:tcBorders>
          </w:tcPr>
          <w:p w14:paraId="3F8F77CD" w14:textId="23460A25" w:rsidR="00C05A7A" w:rsidRDefault="00C05A7A" w:rsidP="00BB6E2E">
            <w:pPr>
              <w:pStyle w:val="Body"/>
            </w:pPr>
            <w:r w:rsidRPr="00D32344">
              <w:t>Release Round 2</w:t>
            </w:r>
            <w:r w:rsidR="00300B00">
              <w:t>4</w:t>
            </w:r>
            <w:r w:rsidRPr="00D32344">
              <w:t xml:space="preserve"> </w:t>
            </w:r>
            <w:r w:rsidR="00B873D1" w:rsidRPr="00B873D1">
              <w:t>NHCDC</w:t>
            </w:r>
            <w:r w:rsidR="00B873D1">
              <w:t xml:space="preserve"> </w:t>
            </w:r>
            <w:r w:rsidRPr="00D32344">
              <w:t>public sector report.</w:t>
            </w:r>
          </w:p>
        </w:tc>
        <w:tc>
          <w:tcPr>
            <w:tcW w:w="1274" w:type="pct"/>
            <w:tcBorders>
              <w:top w:val="nil"/>
              <w:bottom w:val="single" w:sz="4" w:space="0" w:color="auto"/>
            </w:tcBorders>
          </w:tcPr>
          <w:p w14:paraId="7DF3C8E3" w14:textId="28DE8B6F" w:rsidR="00C05A7A" w:rsidRDefault="00C05A7A" w:rsidP="005154CD">
            <w:pPr>
              <w:pStyle w:val="Body"/>
            </w:pPr>
            <w:r>
              <w:t>December 202</w:t>
            </w:r>
            <w:r w:rsidR="00300B00">
              <w:t>1</w:t>
            </w:r>
          </w:p>
        </w:tc>
      </w:tr>
      <w:tr w:rsidR="00C05A7A" w14:paraId="452EE421" w14:textId="77777777" w:rsidTr="005154CD">
        <w:trPr>
          <w:trHeight w:val="236"/>
        </w:trPr>
        <w:tc>
          <w:tcPr>
            <w:tcW w:w="3726" w:type="pct"/>
            <w:tcBorders>
              <w:top w:val="single" w:sz="4" w:space="0" w:color="auto"/>
              <w:bottom w:val="single" w:sz="4" w:space="0" w:color="auto"/>
            </w:tcBorders>
          </w:tcPr>
          <w:p w14:paraId="0D4A6937" w14:textId="69C948E0" w:rsidR="00C05A7A" w:rsidRPr="00003568" w:rsidRDefault="00C05A7A" w:rsidP="005154CD">
            <w:pPr>
              <w:pStyle w:val="Body"/>
            </w:pPr>
            <w:r w:rsidRPr="00D32344">
              <w:t>Release Round 2</w:t>
            </w:r>
            <w:r w:rsidR="00300B00">
              <w:t>4</w:t>
            </w:r>
            <w:r w:rsidRPr="00D32344">
              <w:t xml:space="preserve"> </w:t>
            </w:r>
            <w:r w:rsidR="00B873D1" w:rsidRPr="00B873D1">
              <w:t>NHCDC</w:t>
            </w:r>
            <w:r w:rsidR="00B873D1" w:rsidRPr="00D32344">
              <w:t xml:space="preserve"> </w:t>
            </w:r>
            <w:r w:rsidRPr="00D32344">
              <w:t>cost weight tables for private hospitals.</w:t>
            </w:r>
          </w:p>
        </w:tc>
        <w:tc>
          <w:tcPr>
            <w:tcW w:w="1274" w:type="pct"/>
            <w:tcBorders>
              <w:top w:val="single" w:sz="4" w:space="0" w:color="auto"/>
              <w:bottom w:val="single" w:sz="4" w:space="0" w:color="auto"/>
            </w:tcBorders>
          </w:tcPr>
          <w:p w14:paraId="7AB32211" w14:textId="1CC846BF" w:rsidR="00C05A7A" w:rsidRPr="00003568" w:rsidRDefault="00C05A7A" w:rsidP="005154CD">
            <w:pPr>
              <w:pStyle w:val="Body"/>
            </w:pPr>
            <w:r>
              <w:t>December 202</w:t>
            </w:r>
            <w:r w:rsidR="00300B00">
              <w:t>1</w:t>
            </w:r>
          </w:p>
        </w:tc>
      </w:tr>
    </w:tbl>
    <w:p w14:paraId="32F2ACDE" w14:textId="77777777" w:rsidR="00C05A7A" w:rsidRDefault="00C05A7A" w:rsidP="00C05A7A">
      <w:pPr>
        <w:pStyle w:val="Body"/>
      </w:pPr>
    </w:p>
    <w:p w14:paraId="22DE8330" w14:textId="624A960F" w:rsidR="00C05A7A" w:rsidRPr="000E1EA5" w:rsidRDefault="009772DD" w:rsidP="00C05A7A">
      <w:pPr>
        <w:pStyle w:val="Body"/>
        <w:rPr>
          <w:b/>
        </w:rPr>
      </w:pPr>
      <w:r w:rsidRPr="000E1EA5">
        <w:rPr>
          <w:b/>
        </w:rPr>
        <w:t>In</w:t>
      </w:r>
      <w:r w:rsidR="00C05A7A" w:rsidRPr="000E1EA5">
        <w:rPr>
          <w:b/>
        </w:rPr>
        <w:t xml:space="preserve"> 202</w:t>
      </w:r>
      <w:r w:rsidR="00300B00">
        <w:rPr>
          <w:b/>
        </w:rPr>
        <w:t>1</w:t>
      </w:r>
      <w:r w:rsidR="00C05A7A" w:rsidRPr="000E1EA5">
        <w:rPr>
          <w:b/>
        </w:rPr>
        <w:t>–2</w:t>
      </w:r>
      <w:r w:rsidR="00300B00">
        <w:rPr>
          <w:b/>
        </w:rPr>
        <w:t>2</w:t>
      </w:r>
      <w:r w:rsidR="00C05A7A" w:rsidRPr="000E1EA5">
        <w:rPr>
          <w:b/>
        </w:rPr>
        <w:t xml:space="preserve">, IHPA will continue to collect and </w:t>
      </w:r>
      <w:proofErr w:type="spellStart"/>
      <w:r w:rsidR="00C05A7A" w:rsidRPr="000E1EA5">
        <w:rPr>
          <w:b/>
        </w:rPr>
        <w:t>analyse</w:t>
      </w:r>
      <w:proofErr w:type="spellEnd"/>
      <w:r w:rsidR="00C05A7A" w:rsidRPr="000E1EA5">
        <w:rPr>
          <w:b/>
        </w:rPr>
        <w:t xml:space="preserve"> the NHCDC and will continue to develop a stronger compliance framework in conjunction with the NHCDC Advisory Committee. </w:t>
      </w:r>
    </w:p>
    <w:p w14:paraId="26CAF4FD" w14:textId="26438FF8" w:rsidR="00E824C7" w:rsidRDefault="00C05A7A" w:rsidP="00C05A7A">
      <w:pPr>
        <w:pStyle w:val="Body"/>
      </w:pPr>
      <w:r>
        <w:t xml:space="preserve">Since IHPA’s implementation of the </w:t>
      </w:r>
      <w:r w:rsidR="000E1EA5" w:rsidRPr="000E1EA5">
        <w:t xml:space="preserve">Secure Data Management System </w:t>
      </w:r>
      <w:r w:rsidR="000E1EA5">
        <w:t>(</w:t>
      </w:r>
      <w:r>
        <w:t>SDMS</w:t>
      </w:r>
      <w:r w:rsidR="000E1EA5">
        <w:t>)</w:t>
      </w:r>
      <w:r>
        <w:t>, the submission process for the NHCDC has been greatly improved, with</w:t>
      </w:r>
      <w:r w:rsidR="00942581">
        <w:t xml:space="preserve"> </w:t>
      </w:r>
      <w:r>
        <w:t>greater flexibility of fil</w:t>
      </w:r>
      <w:r w:rsidR="00942581">
        <w:t xml:space="preserve">e upload specifications, faster </w:t>
      </w:r>
      <w:r>
        <w:t>validation and reporting, and enhanced capabilities for</w:t>
      </w:r>
      <w:r w:rsidR="00942581">
        <w:t xml:space="preserve"> </w:t>
      </w:r>
      <w:r>
        <w:t>jurisdictions to track and manage their submission process.</w:t>
      </w:r>
    </w:p>
    <w:p w14:paraId="4B627E06" w14:textId="06F3D85D" w:rsidR="00C05A7A" w:rsidRPr="002F6419" w:rsidRDefault="00C17DDE" w:rsidP="009F67B5">
      <w:pPr>
        <w:pStyle w:val="Heading2"/>
        <w:rPr>
          <w:sz w:val="18"/>
          <w:szCs w:val="18"/>
        </w:rPr>
      </w:pPr>
      <w:bookmarkStart w:id="132" w:name="_Toc55054010"/>
      <w:bookmarkStart w:id="133" w:name="_Toc55237229"/>
      <w:bookmarkStart w:id="134" w:name="_Toc55238316"/>
      <w:bookmarkStart w:id="135" w:name="_Toc55974134"/>
      <w:r w:rsidRPr="002F6419">
        <w:rPr>
          <w:sz w:val="18"/>
          <w:szCs w:val="18"/>
        </w:rPr>
        <w:t>(</w:t>
      </w:r>
      <w:r w:rsidR="00431C95">
        <w:rPr>
          <w:sz w:val="18"/>
          <w:szCs w:val="18"/>
        </w:rPr>
        <w:t>c</w:t>
      </w:r>
      <w:r w:rsidR="00C05A7A" w:rsidRPr="002F6419">
        <w:rPr>
          <w:sz w:val="18"/>
          <w:szCs w:val="18"/>
        </w:rPr>
        <w:t>)</w:t>
      </w:r>
      <w:r w:rsidR="00867526" w:rsidRPr="002F6419">
        <w:rPr>
          <w:sz w:val="18"/>
          <w:szCs w:val="18"/>
        </w:rPr>
        <w:tab/>
      </w:r>
      <w:r w:rsidR="00C05A7A" w:rsidRPr="002F6419">
        <w:rPr>
          <w:sz w:val="18"/>
          <w:szCs w:val="18"/>
        </w:rPr>
        <w:t>NHCDC Independent Financial Review</w:t>
      </w:r>
      <w:bookmarkEnd w:id="132"/>
      <w:bookmarkEnd w:id="133"/>
      <w:bookmarkEnd w:id="134"/>
      <w:bookmarkEnd w:id="135"/>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05A7A" w:rsidRPr="007F2290" w14:paraId="689F7ED2" w14:textId="77777777" w:rsidTr="005154CD">
        <w:tc>
          <w:tcPr>
            <w:tcW w:w="3726" w:type="pct"/>
            <w:tcBorders>
              <w:top w:val="nil"/>
              <w:bottom w:val="nil"/>
            </w:tcBorders>
            <w:shd w:val="clear" w:color="auto" w:fill="F47920"/>
            <w:vAlign w:val="center"/>
          </w:tcPr>
          <w:p w14:paraId="1C8978FC" w14:textId="77777777" w:rsidR="00C05A7A" w:rsidRPr="002F6419" w:rsidRDefault="00C05A7A" w:rsidP="005154CD">
            <w:pPr>
              <w:pStyle w:val="TableHeading"/>
              <w:rPr>
                <w:sz w:val="18"/>
                <w:szCs w:val="18"/>
              </w:rPr>
            </w:pPr>
            <w:r w:rsidRPr="002F6419">
              <w:rPr>
                <w:sz w:val="18"/>
                <w:szCs w:val="18"/>
              </w:rPr>
              <w:t>DELIVERABLES</w:t>
            </w:r>
          </w:p>
        </w:tc>
        <w:tc>
          <w:tcPr>
            <w:tcW w:w="1274" w:type="pct"/>
            <w:tcBorders>
              <w:top w:val="nil"/>
              <w:bottom w:val="nil"/>
            </w:tcBorders>
            <w:shd w:val="clear" w:color="auto" w:fill="F47920"/>
            <w:vAlign w:val="center"/>
          </w:tcPr>
          <w:p w14:paraId="60F315FD" w14:textId="77777777" w:rsidR="00C05A7A" w:rsidRPr="002F6419" w:rsidRDefault="00C05A7A" w:rsidP="005154CD">
            <w:pPr>
              <w:pStyle w:val="TableHeading"/>
              <w:rPr>
                <w:sz w:val="18"/>
                <w:szCs w:val="18"/>
              </w:rPr>
            </w:pPr>
            <w:r w:rsidRPr="002F6419">
              <w:rPr>
                <w:sz w:val="18"/>
                <w:szCs w:val="18"/>
              </w:rPr>
              <w:t>TIMEFRAME</w:t>
            </w:r>
          </w:p>
        </w:tc>
      </w:tr>
      <w:tr w:rsidR="00C05A7A" w14:paraId="6DFD39E9" w14:textId="77777777" w:rsidTr="005154CD">
        <w:trPr>
          <w:trHeight w:val="236"/>
        </w:trPr>
        <w:tc>
          <w:tcPr>
            <w:tcW w:w="3726" w:type="pct"/>
            <w:tcBorders>
              <w:top w:val="nil"/>
              <w:bottom w:val="single" w:sz="4" w:space="0" w:color="auto"/>
            </w:tcBorders>
          </w:tcPr>
          <w:p w14:paraId="49D13E6B" w14:textId="2655CF5B" w:rsidR="00C05A7A" w:rsidRDefault="00C05A7A" w:rsidP="00942581">
            <w:pPr>
              <w:pStyle w:val="Body"/>
            </w:pPr>
            <w:r w:rsidRPr="009F795A">
              <w:t xml:space="preserve">Release the </w:t>
            </w:r>
            <w:r w:rsidR="00B873D1" w:rsidRPr="00B873D1">
              <w:t>NHCDC</w:t>
            </w:r>
            <w:r w:rsidR="00B873D1">
              <w:t xml:space="preserve"> </w:t>
            </w:r>
            <w:r>
              <w:t>Round 2</w:t>
            </w:r>
            <w:r w:rsidR="00300B00">
              <w:t>4</w:t>
            </w:r>
            <w:r w:rsidRPr="009F795A">
              <w:t xml:space="preserve"> Independent Financial</w:t>
            </w:r>
            <w:r w:rsidR="00942581">
              <w:t xml:space="preserve"> </w:t>
            </w:r>
            <w:r w:rsidRPr="009F795A">
              <w:t>Review.</w:t>
            </w:r>
          </w:p>
        </w:tc>
        <w:tc>
          <w:tcPr>
            <w:tcW w:w="1274" w:type="pct"/>
            <w:tcBorders>
              <w:top w:val="nil"/>
              <w:bottom w:val="single" w:sz="4" w:space="0" w:color="auto"/>
            </w:tcBorders>
          </w:tcPr>
          <w:p w14:paraId="7B545992" w14:textId="0629080E" w:rsidR="00C05A7A" w:rsidRDefault="00C05A7A" w:rsidP="005154CD">
            <w:pPr>
              <w:pStyle w:val="Body"/>
            </w:pPr>
            <w:r w:rsidRPr="009F795A">
              <w:t>December 20</w:t>
            </w:r>
            <w:r>
              <w:t>2</w:t>
            </w:r>
            <w:r w:rsidR="00300B00">
              <w:t>1</w:t>
            </w:r>
          </w:p>
        </w:tc>
      </w:tr>
    </w:tbl>
    <w:p w14:paraId="26A393DC" w14:textId="77777777" w:rsidR="00C05A7A" w:rsidRDefault="00C05A7A" w:rsidP="00C05A7A">
      <w:pPr>
        <w:pStyle w:val="Body"/>
      </w:pPr>
    </w:p>
    <w:p w14:paraId="6C6C2E45" w14:textId="77777777" w:rsidR="00C05A7A" w:rsidRDefault="00C05A7A" w:rsidP="00C05A7A">
      <w:pPr>
        <w:pStyle w:val="IntroBody"/>
      </w:pPr>
      <w:r>
        <w:t>An annual component of the NHCDC cycle is the Ind</w:t>
      </w:r>
      <w:r w:rsidR="00942581">
        <w:t xml:space="preserve">ependent Financial Review. IHPA </w:t>
      </w:r>
      <w:r>
        <w:t>commissions an independent body to review</w:t>
      </w:r>
      <w:r w:rsidR="00942581">
        <w:t xml:space="preserve"> public sector data provided by </w:t>
      </w:r>
      <w:r>
        <w:t>jurisdictions, with a specific focus on hospitals’ financial reconciliations and consistent application of the AHPCS.</w:t>
      </w:r>
    </w:p>
    <w:p w14:paraId="72E75EDE" w14:textId="2C0582E7" w:rsidR="00E824C7" w:rsidRDefault="00C05A7A" w:rsidP="002F6419">
      <w:pPr>
        <w:pStyle w:val="Body"/>
      </w:pPr>
      <w:r>
        <w:t xml:space="preserve">The Independent Financial Review provides transparency around the data submission with a review and reconciliation of the data flow from hospital submission through to </w:t>
      </w:r>
      <w:proofErr w:type="spellStart"/>
      <w:r>
        <w:t>finalisation</w:t>
      </w:r>
      <w:proofErr w:type="spellEnd"/>
      <w:r>
        <w:t xml:space="preserve"> in the national dataset.</w:t>
      </w:r>
    </w:p>
    <w:p w14:paraId="6A7B938F" w14:textId="57E1BF3D" w:rsidR="00BE4EDA" w:rsidRDefault="00BE4EDA">
      <w:pPr>
        <w:rPr>
          <w:rFonts w:ascii="Arial" w:hAnsi="Arial" w:cs="Arial"/>
          <w:color w:val="262626" w:themeColor="text1" w:themeTint="D9"/>
          <w:sz w:val="18"/>
          <w:szCs w:val="18"/>
        </w:rPr>
      </w:pPr>
      <w:r>
        <w:br w:type="page"/>
      </w:r>
    </w:p>
    <w:p w14:paraId="1FA592C4" w14:textId="384102F9" w:rsidR="00C17DDE" w:rsidRPr="002F6419" w:rsidRDefault="00C17DDE" w:rsidP="00C17DDE">
      <w:pPr>
        <w:pStyle w:val="Heading2"/>
        <w:rPr>
          <w:sz w:val="18"/>
          <w:szCs w:val="18"/>
        </w:rPr>
      </w:pPr>
      <w:bookmarkStart w:id="136" w:name="_Toc55045639"/>
      <w:bookmarkStart w:id="137" w:name="_Toc55054011"/>
      <w:bookmarkStart w:id="138" w:name="_Toc55237230"/>
      <w:bookmarkStart w:id="139" w:name="_Toc55238317"/>
      <w:bookmarkStart w:id="140" w:name="_Toc55974135"/>
      <w:r w:rsidRPr="002F6419">
        <w:rPr>
          <w:sz w:val="18"/>
          <w:szCs w:val="18"/>
        </w:rPr>
        <w:lastRenderedPageBreak/>
        <w:t>(</w:t>
      </w:r>
      <w:r w:rsidR="00F8753E">
        <w:rPr>
          <w:sz w:val="18"/>
          <w:szCs w:val="18"/>
        </w:rPr>
        <w:t>d</w:t>
      </w:r>
      <w:r w:rsidRPr="002F6419">
        <w:rPr>
          <w:sz w:val="18"/>
          <w:szCs w:val="18"/>
        </w:rPr>
        <w:t>)</w:t>
      </w:r>
      <w:r w:rsidR="00867526" w:rsidRPr="002F6419">
        <w:rPr>
          <w:sz w:val="18"/>
          <w:szCs w:val="18"/>
        </w:rPr>
        <w:tab/>
      </w:r>
      <w:r w:rsidRPr="002F6419">
        <w:rPr>
          <w:sz w:val="18"/>
          <w:szCs w:val="18"/>
        </w:rPr>
        <w:t>Costing private patients in public hospitals</w:t>
      </w:r>
      <w:bookmarkEnd w:id="136"/>
      <w:bookmarkEnd w:id="137"/>
      <w:bookmarkEnd w:id="138"/>
      <w:bookmarkEnd w:id="139"/>
      <w:bookmarkEnd w:id="140"/>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17DDE" w:rsidRPr="00EC166B" w14:paraId="4FBA9C67" w14:textId="77777777" w:rsidTr="0005174D">
        <w:tc>
          <w:tcPr>
            <w:tcW w:w="3726" w:type="pct"/>
            <w:tcBorders>
              <w:top w:val="nil"/>
              <w:bottom w:val="nil"/>
            </w:tcBorders>
            <w:shd w:val="clear" w:color="auto" w:fill="F47920"/>
            <w:vAlign w:val="center"/>
          </w:tcPr>
          <w:p w14:paraId="2DFC2705" w14:textId="77777777" w:rsidR="00C17DDE" w:rsidRPr="002F6419" w:rsidRDefault="00C17DDE" w:rsidP="0005174D">
            <w:pPr>
              <w:pStyle w:val="TableHeading"/>
              <w:rPr>
                <w:sz w:val="18"/>
                <w:szCs w:val="18"/>
              </w:rPr>
            </w:pPr>
            <w:r w:rsidRPr="002F6419">
              <w:rPr>
                <w:sz w:val="18"/>
                <w:szCs w:val="18"/>
              </w:rPr>
              <w:t>DELIVERABLES</w:t>
            </w:r>
          </w:p>
        </w:tc>
        <w:tc>
          <w:tcPr>
            <w:tcW w:w="1274" w:type="pct"/>
            <w:tcBorders>
              <w:top w:val="nil"/>
              <w:bottom w:val="nil"/>
            </w:tcBorders>
            <w:shd w:val="clear" w:color="auto" w:fill="F47920"/>
            <w:vAlign w:val="center"/>
          </w:tcPr>
          <w:p w14:paraId="3D71BF09" w14:textId="77777777" w:rsidR="00C17DDE" w:rsidRPr="002F6419" w:rsidRDefault="00C17DDE" w:rsidP="0005174D">
            <w:pPr>
              <w:pStyle w:val="TableHeading"/>
              <w:rPr>
                <w:sz w:val="18"/>
                <w:szCs w:val="18"/>
              </w:rPr>
            </w:pPr>
            <w:r w:rsidRPr="002F6419">
              <w:rPr>
                <w:sz w:val="18"/>
                <w:szCs w:val="18"/>
              </w:rPr>
              <w:t>TIMEFRAME</w:t>
            </w:r>
          </w:p>
        </w:tc>
      </w:tr>
      <w:tr w:rsidR="00C17DDE" w:rsidRPr="00EC166B" w14:paraId="48365B2E" w14:textId="77777777" w:rsidTr="0005174D">
        <w:trPr>
          <w:trHeight w:val="236"/>
        </w:trPr>
        <w:tc>
          <w:tcPr>
            <w:tcW w:w="3726" w:type="pct"/>
            <w:tcBorders>
              <w:top w:val="nil"/>
              <w:bottom w:val="single" w:sz="4" w:space="0" w:color="auto"/>
            </w:tcBorders>
          </w:tcPr>
          <w:p w14:paraId="450EF6FB" w14:textId="182B865E" w:rsidR="00C17DDE" w:rsidRPr="00EC166B" w:rsidRDefault="00C17DDE" w:rsidP="0005174D">
            <w:pPr>
              <w:pStyle w:val="Body"/>
            </w:pPr>
            <w:r w:rsidRPr="00EC166B">
              <w:t xml:space="preserve">IHPA will </w:t>
            </w:r>
            <w:r w:rsidR="00A24CA9">
              <w:t xml:space="preserve">continue to </w:t>
            </w:r>
            <w:r w:rsidRPr="00EC166B">
              <w:t>work towards phasing out the private patient correction factor for</w:t>
            </w:r>
            <w:r w:rsidR="00A24CA9">
              <w:t xml:space="preserve"> all jurisdictions for</w:t>
            </w:r>
            <w:r w:rsidRPr="00EC166B">
              <w:t xml:space="preserve"> </w:t>
            </w:r>
            <w:r w:rsidRPr="00BB6E2E">
              <w:t>NEP2</w:t>
            </w:r>
            <w:r w:rsidR="00D50763">
              <w:t>2</w:t>
            </w:r>
            <w:r w:rsidRPr="00BB6E2E">
              <w:t>.</w:t>
            </w:r>
          </w:p>
        </w:tc>
        <w:tc>
          <w:tcPr>
            <w:tcW w:w="1274" w:type="pct"/>
            <w:tcBorders>
              <w:top w:val="nil"/>
              <w:bottom w:val="single" w:sz="4" w:space="0" w:color="auto"/>
            </w:tcBorders>
          </w:tcPr>
          <w:p w14:paraId="6A25D3AC" w14:textId="321CBD6D" w:rsidR="00C17DDE" w:rsidRPr="00EC166B" w:rsidRDefault="00C17DDE" w:rsidP="00AC7A72">
            <w:pPr>
              <w:pStyle w:val="Body"/>
            </w:pPr>
            <w:r w:rsidRPr="00DE3732">
              <w:t xml:space="preserve">November </w:t>
            </w:r>
            <w:r w:rsidR="00AC7A72" w:rsidRPr="00DE3732">
              <w:t>202</w:t>
            </w:r>
            <w:r w:rsidR="00AC7A72">
              <w:t>1</w:t>
            </w:r>
          </w:p>
        </w:tc>
      </w:tr>
    </w:tbl>
    <w:p w14:paraId="6854CA8D" w14:textId="77777777" w:rsidR="00C17DDE" w:rsidRPr="00EC166B" w:rsidRDefault="00C17DDE" w:rsidP="00C17DDE">
      <w:pPr>
        <w:pStyle w:val="Body"/>
      </w:pPr>
    </w:p>
    <w:p w14:paraId="17EB7112" w14:textId="6D72CB77" w:rsidR="00C17DDE" w:rsidRPr="00EC166B" w:rsidRDefault="00C17DDE" w:rsidP="00C17DDE">
      <w:pPr>
        <w:pStyle w:val="IntroBody"/>
      </w:pPr>
      <w:r w:rsidRPr="00EC166B">
        <w:t xml:space="preserve">The collection of private patient medical expenses has </w:t>
      </w:r>
      <w:r>
        <w:t>been problematic in the NHCDC</w:t>
      </w:r>
      <w:r w:rsidRPr="00EC166B">
        <w:t>. For example, there is a common practice in some jurisdictions of using Special Purpose Funds t</w:t>
      </w:r>
      <w:r w:rsidR="001F2A57">
        <w:t>o collect associated revenue (for example,</w:t>
      </w:r>
      <w:r w:rsidRPr="00EC166B">
        <w:t xml:space="preserve"> Medicare Benefits Schedule) and reimburse medical practitioners.</w:t>
      </w:r>
    </w:p>
    <w:p w14:paraId="3E5D7DF4" w14:textId="77777777" w:rsidR="00C17DDE" w:rsidRPr="00EC166B" w:rsidRDefault="00C17DDE" w:rsidP="00C17DDE">
      <w:pPr>
        <w:pStyle w:val="Body"/>
      </w:pPr>
      <w:r w:rsidRPr="00EC166B">
        <w:t xml:space="preserve">The private patient correction factor was introduced as an interim solution for the issue of missing private patient costs in the NHCDC. Submissions in response to previous consultation papers on the </w:t>
      </w:r>
      <w:r w:rsidRPr="00C17DDE">
        <w:t>Pricing Framework</w:t>
      </w:r>
      <w:r w:rsidRPr="001603CA">
        <w:rPr>
          <w:i/>
        </w:rPr>
        <w:t xml:space="preserve"> </w:t>
      </w:r>
      <w:r w:rsidRPr="00EC166B">
        <w:t>have supported phasing out the correction factor when feasible.</w:t>
      </w:r>
    </w:p>
    <w:p w14:paraId="23B5DF3F" w14:textId="7D5F169F" w:rsidR="00C17DDE" w:rsidRPr="00D672CA" w:rsidRDefault="00C17DDE" w:rsidP="00C17DDE">
      <w:pPr>
        <w:pStyle w:val="Body"/>
        <w:rPr>
          <w:color w:val="auto"/>
        </w:rPr>
      </w:pPr>
      <w:r w:rsidRPr="00C17DDE">
        <w:t xml:space="preserve">It is anticipated that the implementation of the </w:t>
      </w:r>
      <w:r w:rsidR="000E1EA5">
        <w:t>AHPCS</w:t>
      </w:r>
      <w:r w:rsidRPr="00C17DDE">
        <w:t xml:space="preserve"> Version 4.0 will address this issue, meaning that the private patient correction factor is no longer required. AHPCS Version 4.0 includes a Business Rule relating to the treatment of medical and other expenses found in Special Purpose Funds which manage Rights of Private Practice arrangements. It is intended that the </w:t>
      </w:r>
      <w:r w:rsidRPr="00D672CA">
        <w:rPr>
          <w:color w:val="auto"/>
        </w:rPr>
        <w:t xml:space="preserve">business rule will support states and territories in accounting for all expenses contributing toward hospital activities, regardless of their funding source. </w:t>
      </w:r>
    </w:p>
    <w:p w14:paraId="00A81B3B" w14:textId="3A83A06B" w:rsidR="00F92F39" w:rsidRPr="00D672CA" w:rsidRDefault="00F92F39" w:rsidP="00F92F39">
      <w:pPr>
        <w:pStyle w:val="Body"/>
        <w:rPr>
          <w:color w:val="auto"/>
        </w:rPr>
      </w:pPr>
      <w:r w:rsidRPr="00D672CA">
        <w:rPr>
          <w:color w:val="auto"/>
        </w:rPr>
        <w:t xml:space="preserve">Following the implementation of the AHPCS Version 4.0 and changes to reporting private patient costs in the NHCDC, IHPA intends to phase out the private patient correction factor for </w:t>
      </w:r>
      <w:r w:rsidR="00A24CA9">
        <w:rPr>
          <w:color w:val="auto"/>
        </w:rPr>
        <w:t xml:space="preserve">the Northern Territory for NEP21. IHPA will continue to work with the remaining jurisdictions to </w:t>
      </w:r>
      <w:r w:rsidR="00A24CA9" w:rsidRPr="00D672CA">
        <w:rPr>
          <w:color w:val="auto"/>
        </w:rPr>
        <w:t xml:space="preserve">phase out the private patient correction factor for </w:t>
      </w:r>
      <w:r w:rsidRPr="00D672CA">
        <w:rPr>
          <w:color w:val="auto"/>
        </w:rPr>
        <w:t>NEP22.</w:t>
      </w:r>
    </w:p>
    <w:p w14:paraId="78F20992" w14:textId="2B322C92" w:rsidR="009E36BB" w:rsidRDefault="009E36BB" w:rsidP="00DB4A75">
      <w:pPr>
        <w:tabs>
          <w:tab w:val="left" w:pos="8557"/>
        </w:tabs>
      </w:pPr>
      <w:r>
        <w:tab/>
      </w:r>
    </w:p>
    <w:p w14:paraId="1BF9EF76" w14:textId="7F9E6933" w:rsidR="009E36BB" w:rsidRDefault="009E36BB" w:rsidP="009E36BB"/>
    <w:p w14:paraId="7B36B3C6" w14:textId="7E472AF8" w:rsidR="00914210" w:rsidRDefault="00914210">
      <w:r>
        <w:br w:type="page"/>
      </w:r>
    </w:p>
    <w:p w14:paraId="0B485FC9" w14:textId="3D6FC718" w:rsidR="008843C3" w:rsidRPr="009E06F3" w:rsidRDefault="008843C3" w:rsidP="009E06F3">
      <w:pPr>
        <w:pStyle w:val="Heading1"/>
        <w:spacing w:before="360" w:after="160" w:line="240" w:lineRule="auto"/>
        <w:rPr>
          <w:color w:val="2493A8"/>
          <w:sz w:val="36"/>
          <w:szCs w:val="36"/>
        </w:rPr>
      </w:pPr>
      <w:bookmarkStart w:id="141" w:name="_Toc55974136"/>
      <w:r w:rsidRPr="009E06F3">
        <w:rPr>
          <w:color w:val="2493A8"/>
          <w:sz w:val="36"/>
          <w:szCs w:val="36"/>
        </w:rPr>
        <w:lastRenderedPageBreak/>
        <w:t>Strategic Objective Four: Determine data requirements and collect data</w:t>
      </w:r>
      <w:bookmarkEnd w:id="141"/>
    </w:p>
    <w:p w14:paraId="6086D8A0" w14:textId="7CD2158D" w:rsidR="00094D64" w:rsidRPr="00960BD0" w:rsidRDefault="00094D64" w:rsidP="005C0C3F">
      <w:pPr>
        <w:pStyle w:val="Heading2"/>
        <w:rPr>
          <w:sz w:val="18"/>
          <w:szCs w:val="18"/>
        </w:rPr>
      </w:pPr>
      <w:bookmarkStart w:id="142" w:name="_Toc55045641"/>
      <w:bookmarkStart w:id="143" w:name="_Toc55054012"/>
      <w:bookmarkStart w:id="144" w:name="_Toc55237232"/>
      <w:bookmarkStart w:id="145" w:name="_Toc55238319"/>
      <w:bookmarkStart w:id="146" w:name="_Toc55974137"/>
      <w:r w:rsidRPr="00960BD0">
        <w:rPr>
          <w:sz w:val="18"/>
          <w:szCs w:val="18"/>
        </w:rPr>
        <w:t>(a)</w:t>
      </w:r>
      <w:r w:rsidR="00221F83" w:rsidRPr="00960BD0">
        <w:rPr>
          <w:sz w:val="18"/>
          <w:szCs w:val="18"/>
        </w:rPr>
        <w:tab/>
      </w:r>
      <w:r w:rsidRPr="00960BD0">
        <w:rPr>
          <w:sz w:val="18"/>
          <w:szCs w:val="18"/>
        </w:rPr>
        <w:t>Revision of the Three Year Data Pla</w:t>
      </w:r>
      <w:bookmarkEnd w:id="142"/>
      <w:bookmarkEnd w:id="143"/>
      <w:r w:rsidR="009A3B26">
        <w:rPr>
          <w:sz w:val="18"/>
          <w:szCs w:val="18"/>
        </w:rPr>
        <w:t>n</w:t>
      </w:r>
      <w:bookmarkEnd w:id="144"/>
      <w:bookmarkEnd w:id="145"/>
      <w:bookmarkEnd w:id="146"/>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094D64" w:rsidRPr="00960BD0" w14:paraId="1D8F1F68" w14:textId="77777777" w:rsidTr="00094D64">
        <w:tc>
          <w:tcPr>
            <w:tcW w:w="3726" w:type="pct"/>
            <w:tcBorders>
              <w:top w:val="nil"/>
              <w:bottom w:val="nil"/>
            </w:tcBorders>
            <w:shd w:val="clear" w:color="auto" w:fill="009AB8"/>
            <w:vAlign w:val="center"/>
          </w:tcPr>
          <w:p w14:paraId="30315269" w14:textId="77777777" w:rsidR="00094D64" w:rsidRPr="00960BD0" w:rsidRDefault="00094D64" w:rsidP="00B61BC7">
            <w:pPr>
              <w:pStyle w:val="TableHeading"/>
              <w:rPr>
                <w:sz w:val="18"/>
                <w:szCs w:val="18"/>
              </w:rPr>
            </w:pPr>
            <w:r w:rsidRPr="00960BD0">
              <w:rPr>
                <w:sz w:val="18"/>
                <w:szCs w:val="18"/>
              </w:rPr>
              <w:t>DELIVERABLES</w:t>
            </w:r>
          </w:p>
        </w:tc>
        <w:tc>
          <w:tcPr>
            <w:tcW w:w="1274" w:type="pct"/>
            <w:tcBorders>
              <w:top w:val="nil"/>
              <w:bottom w:val="nil"/>
            </w:tcBorders>
            <w:shd w:val="clear" w:color="auto" w:fill="009AB8"/>
            <w:vAlign w:val="center"/>
          </w:tcPr>
          <w:p w14:paraId="6F334947" w14:textId="77777777" w:rsidR="00094D64" w:rsidRPr="00960BD0" w:rsidRDefault="00094D64" w:rsidP="00B61BC7">
            <w:pPr>
              <w:pStyle w:val="TableHeading"/>
              <w:rPr>
                <w:sz w:val="18"/>
                <w:szCs w:val="18"/>
              </w:rPr>
            </w:pPr>
            <w:r w:rsidRPr="00960BD0">
              <w:rPr>
                <w:sz w:val="18"/>
                <w:szCs w:val="18"/>
              </w:rPr>
              <w:t>TIMEFRAME</w:t>
            </w:r>
          </w:p>
        </w:tc>
      </w:tr>
      <w:tr w:rsidR="00094D64" w14:paraId="484B9084" w14:textId="77777777" w:rsidTr="00B61BC7">
        <w:trPr>
          <w:trHeight w:val="236"/>
        </w:trPr>
        <w:tc>
          <w:tcPr>
            <w:tcW w:w="3726" w:type="pct"/>
            <w:tcBorders>
              <w:top w:val="nil"/>
              <w:bottom w:val="single" w:sz="4" w:space="0" w:color="auto"/>
            </w:tcBorders>
          </w:tcPr>
          <w:p w14:paraId="16B4A0F1" w14:textId="33C34EA7" w:rsidR="00094D64" w:rsidRDefault="00094D64" w:rsidP="00B873D1">
            <w:pPr>
              <w:pStyle w:val="Body"/>
            </w:pPr>
            <w:r w:rsidRPr="00094D64">
              <w:t>Publi</w:t>
            </w:r>
            <w:r w:rsidR="006913AA">
              <w:t>sh</w:t>
            </w:r>
            <w:r w:rsidR="00293419">
              <w:t xml:space="preserve"> the Three Year Data Plan 2022–23</w:t>
            </w:r>
            <w:r w:rsidR="0044581D">
              <w:t xml:space="preserve"> </w:t>
            </w:r>
            <w:r w:rsidR="009A3B26">
              <w:t>to</w:t>
            </w:r>
            <w:r w:rsidR="00293419">
              <w:t xml:space="preserve"> 2024–25</w:t>
            </w:r>
            <w:r w:rsidRPr="00094D64">
              <w:t>.</w:t>
            </w:r>
          </w:p>
        </w:tc>
        <w:tc>
          <w:tcPr>
            <w:tcW w:w="1274" w:type="pct"/>
            <w:tcBorders>
              <w:top w:val="nil"/>
              <w:bottom w:val="single" w:sz="4" w:space="0" w:color="auto"/>
            </w:tcBorders>
          </w:tcPr>
          <w:p w14:paraId="2A8EEDF5" w14:textId="7B613421" w:rsidR="00094D64" w:rsidRDefault="00D672CA" w:rsidP="00B61BC7">
            <w:pPr>
              <w:pStyle w:val="Body"/>
            </w:pPr>
            <w:r>
              <w:t>June 202</w:t>
            </w:r>
            <w:r w:rsidR="003B064C">
              <w:t>2</w:t>
            </w:r>
          </w:p>
        </w:tc>
      </w:tr>
    </w:tbl>
    <w:p w14:paraId="15F400DB" w14:textId="77777777" w:rsidR="00094D64" w:rsidRDefault="00094D64" w:rsidP="00094D64">
      <w:pPr>
        <w:pStyle w:val="Body"/>
      </w:pPr>
    </w:p>
    <w:p w14:paraId="4CD1906C" w14:textId="77777777" w:rsidR="00094D64" w:rsidRDefault="00094D64" w:rsidP="00094D64">
      <w:pPr>
        <w:pStyle w:val="IntroBody"/>
      </w:pPr>
      <w:r>
        <w:t xml:space="preserve">IHPA’s rolling </w:t>
      </w:r>
      <w:r w:rsidRPr="00B018CB">
        <w:rPr>
          <w:i/>
        </w:rPr>
        <w:t>Three Year Data Plan</w:t>
      </w:r>
      <w:r>
        <w:t xml:space="preserve"> communicates the data requirements, data</w:t>
      </w:r>
      <w:r w:rsidR="00942581">
        <w:t xml:space="preserve"> </w:t>
      </w:r>
      <w:r>
        <w:t>standar</w:t>
      </w:r>
      <w:r w:rsidR="00942581">
        <w:t xml:space="preserve">ds and timelines that IHPA will </w:t>
      </w:r>
      <w:r>
        <w:t>use to collect data over the coming three</w:t>
      </w:r>
      <w:r w:rsidR="00942581">
        <w:t xml:space="preserve"> </w:t>
      </w:r>
      <w:r>
        <w:t>years from jurisdictions.</w:t>
      </w:r>
    </w:p>
    <w:p w14:paraId="1E9E6849" w14:textId="77777777" w:rsidR="00094D64" w:rsidRDefault="00094D64" w:rsidP="00094D64">
      <w:pPr>
        <w:pStyle w:val="Body"/>
      </w:pPr>
      <w:r>
        <w:t>IHPA supports the concept of ‘single provision, multiple</w:t>
      </w:r>
      <w:r w:rsidR="00942581">
        <w:t xml:space="preserve"> </w:t>
      </w:r>
      <w:r>
        <w:t xml:space="preserve">use’ of information to </w:t>
      </w:r>
      <w:proofErr w:type="spellStart"/>
      <w:r>
        <w:t>maximise</w:t>
      </w:r>
      <w:proofErr w:type="spellEnd"/>
      <w:r>
        <w:t xml:space="preserve"> data provision efficiency, and</w:t>
      </w:r>
      <w:r w:rsidR="00942581">
        <w:t xml:space="preserve"> </w:t>
      </w:r>
      <w:r>
        <w:t xml:space="preserve">continues to align </w:t>
      </w:r>
      <w:r w:rsidR="00346F60">
        <w:t>its</w:t>
      </w:r>
      <w:r>
        <w:t xml:space="preserve"> rolling </w:t>
      </w:r>
      <w:r w:rsidRPr="00322132">
        <w:rPr>
          <w:i/>
          <w:iCs/>
        </w:rPr>
        <w:t>Three Year Data Plan</w:t>
      </w:r>
      <w:r>
        <w:t xml:space="preserve"> with the </w:t>
      </w:r>
      <w:r w:rsidR="0044581D">
        <w:t>N</w:t>
      </w:r>
      <w:r>
        <w:t xml:space="preserve">ational </w:t>
      </w:r>
      <w:r w:rsidR="0044581D">
        <w:t>H</w:t>
      </w:r>
      <w:r>
        <w:t xml:space="preserve">ealth </w:t>
      </w:r>
      <w:r w:rsidR="0044581D">
        <w:t>Funding Body</w:t>
      </w:r>
      <w:r w:rsidR="00346F60">
        <w:t>’s data plan</w:t>
      </w:r>
      <w:r>
        <w:t xml:space="preserve"> to support this aim. </w:t>
      </w:r>
    </w:p>
    <w:p w14:paraId="3E138552" w14:textId="09683792" w:rsidR="00094D64" w:rsidRDefault="00094D64" w:rsidP="00094D64">
      <w:pPr>
        <w:pStyle w:val="Body"/>
      </w:pPr>
      <w:r w:rsidRPr="003B064C">
        <w:t>I</w:t>
      </w:r>
      <w:r w:rsidR="00DB4CE1" w:rsidRPr="003B064C">
        <w:t>n 202</w:t>
      </w:r>
      <w:r w:rsidR="00BF5F27" w:rsidRPr="003B064C">
        <w:t>1</w:t>
      </w:r>
      <w:r w:rsidR="005429C1" w:rsidRPr="003B064C">
        <w:t>–</w:t>
      </w:r>
      <w:r w:rsidR="00DB4CE1" w:rsidRPr="003B064C">
        <w:t>2</w:t>
      </w:r>
      <w:r w:rsidR="00BF5F27" w:rsidRPr="003B064C">
        <w:t>2</w:t>
      </w:r>
      <w:r w:rsidR="005429C1" w:rsidRPr="003B064C">
        <w:t xml:space="preserve">, IHPA </w:t>
      </w:r>
      <w:r w:rsidR="00DB4CE1" w:rsidRPr="003B064C">
        <w:t>will</w:t>
      </w:r>
      <w:r w:rsidR="00DB4CE1">
        <w:t xml:space="preserve"> </w:t>
      </w:r>
      <w:r w:rsidR="009A3B26">
        <w:t>update</w:t>
      </w:r>
      <w:r>
        <w:t xml:space="preserve"> the rolling </w:t>
      </w:r>
      <w:r w:rsidRPr="00B73C6E">
        <w:rPr>
          <w:i/>
        </w:rPr>
        <w:t>Three Year Data Plan</w:t>
      </w:r>
      <w:r>
        <w:t xml:space="preserve"> and provide it to the Health Services Principal Committee</w:t>
      </w:r>
      <w:r w:rsidR="00942581">
        <w:t xml:space="preserve"> </w:t>
      </w:r>
      <w:r>
        <w:t>(HSPC)</w:t>
      </w:r>
      <w:r w:rsidR="00C94BFD">
        <w:t xml:space="preserve">, the </w:t>
      </w:r>
      <w:r w:rsidR="00C94BFD" w:rsidRPr="00C94BFD">
        <w:t>Australian Health Ministers Advisory Council</w:t>
      </w:r>
      <w:r>
        <w:t xml:space="preserve"> </w:t>
      </w:r>
      <w:r w:rsidR="00942581">
        <w:t xml:space="preserve">and the </w:t>
      </w:r>
      <w:r w:rsidR="006A3D8A">
        <w:t xml:space="preserve">eventual replacement of the </w:t>
      </w:r>
      <w:r w:rsidR="001F2A57">
        <w:t>CHC</w:t>
      </w:r>
      <w:r w:rsidR="00942581">
        <w:t xml:space="preserve"> for </w:t>
      </w:r>
      <w:r>
        <w:t>consideration.</w:t>
      </w:r>
    </w:p>
    <w:p w14:paraId="48BF5C47" w14:textId="6D844B7F" w:rsidR="00094D64" w:rsidRPr="002D04D0" w:rsidRDefault="001C1116" w:rsidP="005C0C3F">
      <w:pPr>
        <w:pStyle w:val="Heading2"/>
        <w:rPr>
          <w:sz w:val="18"/>
          <w:szCs w:val="18"/>
        </w:rPr>
      </w:pPr>
      <w:bookmarkStart w:id="147" w:name="_Toc55045642"/>
      <w:bookmarkStart w:id="148" w:name="_Toc55054013"/>
      <w:bookmarkStart w:id="149" w:name="_Toc55237233"/>
      <w:bookmarkStart w:id="150" w:name="_Toc55238320"/>
      <w:bookmarkStart w:id="151" w:name="_Toc55974138"/>
      <w:r w:rsidRPr="005A58D4">
        <w:rPr>
          <w:sz w:val="18"/>
          <w:szCs w:val="18"/>
        </w:rPr>
        <w:t>(</w:t>
      </w:r>
      <w:r w:rsidR="003B064C" w:rsidRPr="005A58D4">
        <w:rPr>
          <w:sz w:val="18"/>
          <w:szCs w:val="18"/>
        </w:rPr>
        <w:t>b</w:t>
      </w:r>
      <w:r w:rsidRPr="005A58D4">
        <w:rPr>
          <w:sz w:val="18"/>
          <w:szCs w:val="18"/>
        </w:rPr>
        <w:t>)</w:t>
      </w:r>
      <w:r w:rsidR="00221F83" w:rsidRPr="002D04D0">
        <w:rPr>
          <w:sz w:val="18"/>
          <w:szCs w:val="18"/>
        </w:rPr>
        <w:tab/>
      </w:r>
      <w:r w:rsidRPr="002D04D0">
        <w:rPr>
          <w:sz w:val="18"/>
          <w:szCs w:val="18"/>
        </w:rPr>
        <w:t>Data specification development and revision</w:t>
      </w:r>
      <w:bookmarkEnd w:id="147"/>
      <w:bookmarkEnd w:id="148"/>
      <w:bookmarkEnd w:id="149"/>
      <w:bookmarkEnd w:id="150"/>
      <w:bookmarkEnd w:id="151"/>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1C1116" w:rsidRPr="005A58D4" w14:paraId="1513EF3B" w14:textId="77777777" w:rsidTr="00B61BC7">
        <w:tc>
          <w:tcPr>
            <w:tcW w:w="3726" w:type="pct"/>
            <w:tcBorders>
              <w:top w:val="nil"/>
              <w:bottom w:val="nil"/>
            </w:tcBorders>
            <w:shd w:val="clear" w:color="auto" w:fill="009AB8"/>
            <w:vAlign w:val="center"/>
          </w:tcPr>
          <w:p w14:paraId="7043DCAB" w14:textId="77777777" w:rsidR="001C1116" w:rsidRPr="002D04D0" w:rsidRDefault="001C1116" w:rsidP="00B61BC7">
            <w:pPr>
              <w:pStyle w:val="TableHeading"/>
              <w:rPr>
                <w:sz w:val="18"/>
                <w:szCs w:val="18"/>
              </w:rPr>
            </w:pPr>
            <w:r w:rsidRPr="002D04D0">
              <w:rPr>
                <w:sz w:val="18"/>
                <w:szCs w:val="18"/>
              </w:rPr>
              <w:t>DELIVERABLES</w:t>
            </w:r>
          </w:p>
        </w:tc>
        <w:tc>
          <w:tcPr>
            <w:tcW w:w="1274" w:type="pct"/>
            <w:tcBorders>
              <w:top w:val="nil"/>
              <w:bottom w:val="nil"/>
            </w:tcBorders>
            <w:shd w:val="clear" w:color="auto" w:fill="009AB8"/>
            <w:vAlign w:val="center"/>
          </w:tcPr>
          <w:p w14:paraId="76758248" w14:textId="77777777" w:rsidR="001C1116" w:rsidRPr="002D04D0" w:rsidRDefault="001C1116" w:rsidP="00B61BC7">
            <w:pPr>
              <w:pStyle w:val="TableHeading"/>
              <w:rPr>
                <w:sz w:val="18"/>
                <w:szCs w:val="18"/>
              </w:rPr>
            </w:pPr>
            <w:r w:rsidRPr="002D04D0">
              <w:rPr>
                <w:sz w:val="18"/>
                <w:szCs w:val="18"/>
              </w:rPr>
              <w:t>TIMEFRAME</w:t>
            </w:r>
          </w:p>
        </w:tc>
      </w:tr>
      <w:tr w:rsidR="001C1116" w:rsidRPr="00F627C9" w14:paraId="1703421C" w14:textId="77777777" w:rsidTr="00B61BC7">
        <w:trPr>
          <w:trHeight w:val="236"/>
        </w:trPr>
        <w:tc>
          <w:tcPr>
            <w:tcW w:w="3726" w:type="pct"/>
            <w:tcBorders>
              <w:top w:val="nil"/>
              <w:bottom w:val="single" w:sz="4" w:space="0" w:color="auto"/>
            </w:tcBorders>
          </w:tcPr>
          <w:p w14:paraId="38CD73A4" w14:textId="77777777" w:rsidR="001C1116" w:rsidRPr="00BE53E2" w:rsidRDefault="001C1116" w:rsidP="006913AA">
            <w:pPr>
              <w:pStyle w:val="Body"/>
            </w:pPr>
            <w:r w:rsidRPr="00BE53E2">
              <w:t>Complet</w:t>
            </w:r>
            <w:r w:rsidR="006913AA" w:rsidRPr="00BE53E2">
              <w:t>e</w:t>
            </w:r>
            <w:r w:rsidRPr="00BE53E2">
              <w:t xml:space="preserve"> the annual review of ABF National Best </w:t>
            </w:r>
            <w:proofErr w:type="spellStart"/>
            <w:r w:rsidRPr="00BE53E2">
              <w:t>Endeavours</w:t>
            </w:r>
            <w:proofErr w:type="spellEnd"/>
            <w:r w:rsidRPr="00BE53E2">
              <w:t xml:space="preserve"> Data Sets and National Minimum Data Sets.</w:t>
            </w:r>
          </w:p>
        </w:tc>
        <w:tc>
          <w:tcPr>
            <w:tcW w:w="1274" w:type="pct"/>
            <w:tcBorders>
              <w:top w:val="nil"/>
              <w:bottom w:val="single" w:sz="4" w:space="0" w:color="auto"/>
            </w:tcBorders>
          </w:tcPr>
          <w:p w14:paraId="3CDA1FD0" w14:textId="403A6F9A" w:rsidR="001C1116" w:rsidRPr="00BE53E2" w:rsidRDefault="00463DE9" w:rsidP="00B61BC7">
            <w:pPr>
              <w:pStyle w:val="Body"/>
            </w:pPr>
            <w:r w:rsidRPr="00BE53E2">
              <w:t>December 202</w:t>
            </w:r>
            <w:r w:rsidR="00A35D67">
              <w:t>1</w:t>
            </w:r>
          </w:p>
        </w:tc>
      </w:tr>
    </w:tbl>
    <w:p w14:paraId="730BF3F3" w14:textId="77777777" w:rsidR="001C1116" w:rsidRDefault="001C1116" w:rsidP="001C1116">
      <w:pPr>
        <w:pStyle w:val="Body"/>
      </w:pPr>
    </w:p>
    <w:p w14:paraId="2C9AB1EE" w14:textId="77777777" w:rsidR="001C1116" w:rsidRDefault="001C1116" w:rsidP="001C1116">
      <w:pPr>
        <w:pStyle w:val="IntroBody"/>
      </w:pPr>
      <w:r>
        <w:t xml:space="preserve">IHPA completes an annual review of the National Best </w:t>
      </w:r>
      <w:proofErr w:type="spellStart"/>
      <w:r>
        <w:t>Endeavours</w:t>
      </w:r>
      <w:proofErr w:type="spellEnd"/>
      <w:r>
        <w:t xml:space="preserve"> Data Sets and National Minimum Data Sets required for ABF to incorporate data elements required for ABF with existing data collections.</w:t>
      </w:r>
    </w:p>
    <w:p w14:paraId="45A8CCA8" w14:textId="77777777" w:rsidR="001C1116" w:rsidRDefault="001C1116" w:rsidP="001C1116">
      <w:pPr>
        <w:pStyle w:val="Body"/>
      </w:pPr>
      <w:r>
        <w:t>IHPA will continue to work closely with the HSPC and other data committees to incorporate new elements as required for classification development, as well as consolidate existing data collections.</w:t>
      </w:r>
    </w:p>
    <w:p w14:paraId="588BE08E" w14:textId="021103AB" w:rsidR="00D40C16" w:rsidRPr="009A3B26" w:rsidRDefault="00942581" w:rsidP="005C0C3F">
      <w:pPr>
        <w:pStyle w:val="Heading2"/>
        <w:rPr>
          <w:sz w:val="18"/>
          <w:szCs w:val="18"/>
        </w:rPr>
      </w:pPr>
      <w:bookmarkStart w:id="152" w:name="_Toc55045643"/>
      <w:bookmarkStart w:id="153" w:name="_Toc55054014"/>
      <w:bookmarkStart w:id="154" w:name="_Toc55237234"/>
      <w:bookmarkStart w:id="155" w:name="_Toc55238321"/>
      <w:bookmarkStart w:id="156" w:name="_Toc55974139"/>
      <w:r w:rsidRPr="009A3B26">
        <w:rPr>
          <w:sz w:val="18"/>
          <w:szCs w:val="18"/>
        </w:rPr>
        <w:t>(</w:t>
      </w:r>
      <w:r w:rsidR="003B064C" w:rsidRPr="009A3B26">
        <w:rPr>
          <w:sz w:val="18"/>
          <w:szCs w:val="18"/>
        </w:rPr>
        <w:t>c</w:t>
      </w:r>
      <w:r w:rsidRPr="009A3B26">
        <w:rPr>
          <w:sz w:val="18"/>
          <w:szCs w:val="18"/>
        </w:rPr>
        <w:t>)</w:t>
      </w:r>
      <w:r w:rsidR="00221F83" w:rsidRPr="009A3B26">
        <w:rPr>
          <w:sz w:val="18"/>
          <w:szCs w:val="18"/>
        </w:rPr>
        <w:tab/>
      </w:r>
      <w:r w:rsidR="00D40C16" w:rsidRPr="009A3B26">
        <w:rPr>
          <w:sz w:val="18"/>
          <w:szCs w:val="18"/>
        </w:rPr>
        <w:t>Individual Healthcare Identifier</w:t>
      </w:r>
      <w:bookmarkEnd w:id="152"/>
      <w:bookmarkEnd w:id="153"/>
      <w:bookmarkEnd w:id="154"/>
      <w:bookmarkEnd w:id="155"/>
      <w:bookmarkEnd w:id="156"/>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D40C16" w:rsidRPr="005A58D4" w14:paraId="7DB511DB" w14:textId="77777777" w:rsidTr="00B61BC7">
        <w:tc>
          <w:tcPr>
            <w:tcW w:w="3726" w:type="pct"/>
            <w:tcBorders>
              <w:top w:val="nil"/>
              <w:bottom w:val="nil"/>
            </w:tcBorders>
            <w:shd w:val="clear" w:color="auto" w:fill="009AB8"/>
            <w:vAlign w:val="center"/>
          </w:tcPr>
          <w:p w14:paraId="09327AFC" w14:textId="77777777" w:rsidR="00D40C16" w:rsidRPr="009A3B26" w:rsidRDefault="00D40C16" w:rsidP="00B61BC7">
            <w:pPr>
              <w:pStyle w:val="TableHeading"/>
              <w:rPr>
                <w:sz w:val="18"/>
                <w:szCs w:val="18"/>
              </w:rPr>
            </w:pPr>
            <w:r w:rsidRPr="009A3B26">
              <w:rPr>
                <w:sz w:val="18"/>
                <w:szCs w:val="18"/>
              </w:rPr>
              <w:t>DELIVERABLES</w:t>
            </w:r>
          </w:p>
        </w:tc>
        <w:tc>
          <w:tcPr>
            <w:tcW w:w="1274" w:type="pct"/>
            <w:tcBorders>
              <w:top w:val="nil"/>
              <w:bottom w:val="nil"/>
            </w:tcBorders>
            <w:shd w:val="clear" w:color="auto" w:fill="009AB8"/>
            <w:vAlign w:val="center"/>
          </w:tcPr>
          <w:p w14:paraId="70A4CF64" w14:textId="77777777" w:rsidR="00D40C16" w:rsidRPr="009A3B26" w:rsidRDefault="00D40C16" w:rsidP="00B61BC7">
            <w:pPr>
              <w:pStyle w:val="TableHeading"/>
              <w:rPr>
                <w:sz w:val="18"/>
                <w:szCs w:val="18"/>
              </w:rPr>
            </w:pPr>
            <w:r w:rsidRPr="009A3B26">
              <w:rPr>
                <w:sz w:val="18"/>
                <w:szCs w:val="18"/>
              </w:rPr>
              <w:t>TIMEFRAME</w:t>
            </w:r>
          </w:p>
        </w:tc>
      </w:tr>
      <w:tr w:rsidR="00D40C16" w14:paraId="392EA2B9" w14:textId="77777777" w:rsidTr="00B61BC7">
        <w:trPr>
          <w:trHeight w:val="236"/>
        </w:trPr>
        <w:tc>
          <w:tcPr>
            <w:tcW w:w="3726" w:type="pct"/>
            <w:tcBorders>
              <w:top w:val="nil"/>
              <w:bottom w:val="single" w:sz="4" w:space="0" w:color="auto"/>
            </w:tcBorders>
          </w:tcPr>
          <w:p w14:paraId="267AF95E" w14:textId="77777777" w:rsidR="00D40C16" w:rsidRDefault="00D40C16">
            <w:pPr>
              <w:pStyle w:val="Body"/>
            </w:pPr>
            <w:r w:rsidRPr="00D40C16">
              <w:t xml:space="preserve">Develop the process for the collection of </w:t>
            </w:r>
            <w:r w:rsidR="00221F83">
              <w:t>the IHI</w:t>
            </w:r>
            <w:r w:rsidRPr="00D40C16">
              <w:t xml:space="preserve"> as part of national data sets.</w:t>
            </w:r>
          </w:p>
        </w:tc>
        <w:tc>
          <w:tcPr>
            <w:tcW w:w="1274" w:type="pct"/>
            <w:tcBorders>
              <w:top w:val="nil"/>
              <w:bottom w:val="single" w:sz="4" w:space="0" w:color="auto"/>
            </w:tcBorders>
          </w:tcPr>
          <w:p w14:paraId="56BD59E6" w14:textId="11216269" w:rsidR="00D40C16" w:rsidRDefault="00D40C16" w:rsidP="00B61BC7">
            <w:pPr>
              <w:pStyle w:val="Body"/>
            </w:pPr>
            <w:r w:rsidRPr="00D47E53">
              <w:t>June 202</w:t>
            </w:r>
            <w:r w:rsidR="003B064C">
              <w:t>2</w:t>
            </w:r>
          </w:p>
        </w:tc>
      </w:tr>
    </w:tbl>
    <w:p w14:paraId="4D2568B3" w14:textId="77777777" w:rsidR="00D40C16" w:rsidRDefault="00D40C16" w:rsidP="00D40C16">
      <w:pPr>
        <w:pStyle w:val="Body"/>
      </w:pPr>
    </w:p>
    <w:p w14:paraId="2F2E7E89" w14:textId="77777777" w:rsidR="00D40C16" w:rsidRDefault="00D40C16" w:rsidP="00D40C16">
      <w:pPr>
        <w:pStyle w:val="IntroBody"/>
      </w:pPr>
      <w:r>
        <w:t>The Individual Healthcare Identifier (IHI) is an existing person identifier that could be included in national data sets. A robust person identifier would allow IHPA to accurately identify service delivery to patients across settings of care, financial years and</w:t>
      </w:r>
      <w:r w:rsidR="00942581">
        <w:t xml:space="preserve"> </w:t>
      </w:r>
      <w:r>
        <w:t>hospitals.</w:t>
      </w:r>
    </w:p>
    <w:p w14:paraId="25B909A4" w14:textId="77777777" w:rsidR="00D40C16" w:rsidRDefault="00D40C16" w:rsidP="00D40C16">
      <w:pPr>
        <w:pStyle w:val="Body"/>
      </w:pPr>
      <w:r>
        <w:t>Linked patient data provides broad benefits to the health</w:t>
      </w:r>
      <w:r w:rsidR="00942581">
        <w:t xml:space="preserve"> </w:t>
      </w:r>
      <w:r>
        <w:t>system, allowing hospitals to review care pathways and develop value</w:t>
      </w:r>
      <w:r>
        <w:rPr>
          <w:rFonts w:ascii="Cambria Math" w:hAnsi="Cambria Math" w:cs="Cambria Math"/>
        </w:rPr>
        <w:t>‑</w:t>
      </w:r>
      <w:r>
        <w:t>based healthcare proposals. A patient identifier is also essential to progress work on avoidable</w:t>
      </w:r>
      <w:r w:rsidR="00A267FF">
        <w:t xml:space="preserve"> hospital</w:t>
      </w:r>
      <w:r>
        <w:t xml:space="preserve"> readmissions to enable the linkage of patients across different hospitals or service settings.</w:t>
      </w:r>
    </w:p>
    <w:p w14:paraId="2001481D" w14:textId="24C3EF72" w:rsidR="00D672CA" w:rsidRDefault="00D40C16" w:rsidP="00914210">
      <w:pPr>
        <w:pStyle w:val="Body"/>
        <w:rPr>
          <w:rFonts w:ascii="Arial Black" w:hAnsi="Arial Black"/>
          <w:color w:val="000000" w:themeColor="text1"/>
          <w:sz w:val="36"/>
          <w:szCs w:val="36"/>
        </w:rPr>
      </w:pPr>
      <w:r>
        <w:t xml:space="preserve">IHPA will </w:t>
      </w:r>
      <w:r w:rsidR="00CA2E8C">
        <w:t xml:space="preserve">continue to </w:t>
      </w:r>
      <w:r>
        <w:t>work with jurisdictions and national data committees to progress the inclusion of the IHI in the national data collections used for ABF purposes and ensure that there are appropriate protections and safeguards for consumers.</w:t>
      </w:r>
      <w:r w:rsidR="00D672CA">
        <w:rPr>
          <w:rFonts w:ascii="Arial Black" w:hAnsi="Arial Black"/>
          <w:color w:val="000000" w:themeColor="text1"/>
          <w:sz w:val="36"/>
          <w:szCs w:val="36"/>
        </w:rPr>
        <w:br w:type="page"/>
      </w:r>
    </w:p>
    <w:p w14:paraId="4F8C0A91" w14:textId="71DC0038" w:rsidR="00D672CA" w:rsidRPr="009A3B26" w:rsidRDefault="001D18BA" w:rsidP="001D18BA">
      <w:pPr>
        <w:spacing w:before="360" w:line="276" w:lineRule="auto"/>
        <w:outlineLvl w:val="1"/>
        <w:rPr>
          <w:rFonts w:ascii="Arial Black" w:hAnsi="Arial Black" w:cs="Arial"/>
          <w:color w:val="000000" w:themeColor="text1"/>
          <w:sz w:val="18"/>
          <w:szCs w:val="18"/>
        </w:rPr>
      </w:pPr>
      <w:bookmarkStart w:id="157" w:name="_Toc55045644"/>
      <w:bookmarkStart w:id="158" w:name="_Toc55054015"/>
      <w:bookmarkStart w:id="159" w:name="_Toc55237235"/>
      <w:bookmarkStart w:id="160" w:name="_Toc55238322"/>
      <w:bookmarkStart w:id="161" w:name="_Toc55974140"/>
      <w:r w:rsidRPr="009A3B26">
        <w:rPr>
          <w:rFonts w:ascii="Arial Black" w:hAnsi="Arial Black" w:cs="Arial"/>
          <w:color w:val="000000" w:themeColor="text1"/>
          <w:sz w:val="18"/>
          <w:szCs w:val="18"/>
        </w:rPr>
        <w:lastRenderedPageBreak/>
        <w:t>(</w:t>
      </w:r>
      <w:r w:rsidR="003B064C" w:rsidRPr="009A3B26">
        <w:rPr>
          <w:rFonts w:ascii="Arial Black" w:hAnsi="Arial Black" w:cs="Arial"/>
          <w:color w:val="000000" w:themeColor="text1"/>
          <w:sz w:val="18"/>
          <w:szCs w:val="18"/>
        </w:rPr>
        <w:t>d</w:t>
      </w:r>
      <w:r w:rsidRPr="009A3B26">
        <w:rPr>
          <w:rFonts w:ascii="Arial Black" w:hAnsi="Arial Black" w:cs="Arial"/>
          <w:color w:val="000000" w:themeColor="text1"/>
          <w:sz w:val="18"/>
          <w:szCs w:val="18"/>
        </w:rPr>
        <w:t>)</w:t>
      </w:r>
      <w:r w:rsidRPr="009A3B26">
        <w:rPr>
          <w:rFonts w:ascii="Arial Black" w:hAnsi="Arial Black" w:cs="Arial"/>
          <w:color w:val="000000" w:themeColor="text1"/>
          <w:sz w:val="18"/>
          <w:szCs w:val="18"/>
        </w:rPr>
        <w:tab/>
        <w:t>Improvements to data submission, loading and validation processes</w:t>
      </w:r>
      <w:bookmarkEnd w:id="157"/>
      <w:bookmarkEnd w:id="158"/>
      <w:bookmarkEnd w:id="159"/>
      <w:bookmarkEnd w:id="160"/>
      <w:bookmarkEnd w:id="161"/>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1D18BA" w:rsidRPr="005A58D4" w14:paraId="2B1BA5DA" w14:textId="77777777" w:rsidTr="00237DF0">
        <w:tc>
          <w:tcPr>
            <w:tcW w:w="3726" w:type="pct"/>
            <w:tcBorders>
              <w:top w:val="nil"/>
              <w:bottom w:val="nil"/>
            </w:tcBorders>
            <w:shd w:val="clear" w:color="auto" w:fill="009AB8"/>
            <w:vAlign w:val="center"/>
          </w:tcPr>
          <w:p w14:paraId="0813908B" w14:textId="77777777" w:rsidR="001D18BA" w:rsidRPr="009A3B26" w:rsidRDefault="001D18BA" w:rsidP="00237DF0">
            <w:pPr>
              <w:pStyle w:val="TableHeading"/>
              <w:rPr>
                <w:sz w:val="18"/>
                <w:szCs w:val="18"/>
              </w:rPr>
            </w:pPr>
            <w:r w:rsidRPr="009A3B26">
              <w:rPr>
                <w:sz w:val="18"/>
                <w:szCs w:val="18"/>
              </w:rPr>
              <w:t>DELIVERABLES</w:t>
            </w:r>
          </w:p>
        </w:tc>
        <w:tc>
          <w:tcPr>
            <w:tcW w:w="1274" w:type="pct"/>
            <w:tcBorders>
              <w:top w:val="nil"/>
              <w:bottom w:val="nil"/>
            </w:tcBorders>
            <w:shd w:val="clear" w:color="auto" w:fill="009AB8"/>
            <w:vAlign w:val="center"/>
          </w:tcPr>
          <w:p w14:paraId="719CE575" w14:textId="77777777" w:rsidR="001D18BA" w:rsidRPr="009A3B26" w:rsidRDefault="001D18BA" w:rsidP="00237DF0">
            <w:pPr>
              <w:pStyle w:val="TableHeading"/>
              <w:rPr>
                <w:sz w:val="18"/>
                <w:szCs w:val="18"/>
              </w:rPr>
            </w:pPr>
            <w:r w:rsidRPr="009A3B26">
              <w:rPr>
                <w:sz w:val="18"/>
                <w:szCs w:val="18"/>
              </w:rPr>
              <w:t>TIMEFRAME</w:t>
            </w:r>
          </w:p>
        </w:tc>
      </w:tr>
      <w:tr w:rsidR="001D18BA" w14:paraId="558A122F" w14:textId="77777777" w:rsidTr="00237DF0">
        <w:trPr>
          <w:trHeight w:val="236"/>
        </w:trPr>
        <w:tc>
          <w:tcPr>
            <w:tcW w:w="3726" w:type="pct"/>
            <w:tcBorders>
              <w:top w:val="nil"/>
              <w:bottom w:val="single" w:sz="4" w:space="0" w:color="auto"/>
            </w:tcBorders>
          </w:tcPr>
          <w:p w14:paraId="5EB668D8" w14:textId="77777777" w:rsidR="001D18BA" w:rsidRDefault="001D18BA" w:rsidP="00237DF0">
            <w:pPr>
              <w:pStyle w:val="Body"/>
            </w:pPr>
            <w:r w:rsidRPr="00BE53E2">
              <w:t>Further develop the SDMS functionality</w:t>
            </w:r>
            <w:r w:rsidRPr="009F795A">
              <w:t>.</w:t>
            </w:r>
          </w:p>
        </w:tc>
        <w:tc>
          <w:tcPr>
            <w:tcW w:w="1274" w:type="pct"/>
            <w:tcBorders>
              <w:top w:val="nil"/>
              <w:bottom w:val="single" w:sz="4" w:space="0" w:color="auto"/>
            </w:tcBorders>
          </w:tcPr>
          <w:p w14:paraId="16E11FB5" w14:textId="77777777" w:rsidR="001D18BA" w:rsidRDefault="001D18BA" w:rsidP="00237DF0">
            <w:pPr>
              <w:pStyle w:val="Body"/>
            </w:pPr>
            <w:r w:rsidRPr="00BE53E2">
              <w:t>Ongoing</w:t>
            </w:r>
          </w:p>
        </w:tc>
      </w:tr>
    </w:tbl>
    <w:p w14:paraId="2CE86E17" w14:textId="77777777" w:rsidR="001D18BA" w:rsidRPr="00BE53E2" w:rsidRDefault="001D18BA" w:rsidP="001D18BA">
      <w:pPr>
        <w:spacing w:line="276" w:lineRule="auto"/>
        <w:rPr>
          <w:rFonts w:ascii="Arial" w:hAnsi="Arial" w:cs="Arial"/>
          <w:color w:val="262626" w:themeColor="text1" w:themeTint="D9"/>
          <w:sz w:val="18"/>
          <w:szCs w:val="18"/>
        </w:rPr>
      </w:pPr>
    </w:p>
    <w:p w14:paraId="6BD43A1A" w14:textId="77777777" w:rsidR="001D18BA" w:rsidRDefault="001D18BA" w:rsidP="001D18BA">
      <w:pPr>
        <w:spacing w:after="0" w:line="276" w:lineRule="auto"/>
      </w:pPr>
      <w:r w:rsidRPr="00BE53E2">
        <w:rPr>
          <w:rFonts w:ascii="Arial" w:hAnsi="Arial" w:cs="Arial"/>
          <w:b/>
          <w:color w:val="262626" w:themeColor="text1" w:themeTint="D9"/>
          <w:sz w:val="18"/>
          <w:szCs w:val="18"/>
        </w:rPr>
        <w:t xml:space="preserve">In 2017, IHPA implemented a new </w:t>
      </w:r>
      <w:r>
        <w:rPr>
          <w:rFonts w:ascii="Arial" w:hAnsi="Arial" w:cs="Arial"/>
          <w:b/>
          <w:color w:val="262626" w:themeColor="text1" w:themeTint="D9"/>
          <w:sz w:val="18"/>
          <w:szCs w:val="18"/>
        </w:rPr>
        <w:t xml:space="preserve">SDMS. This </w:t>
      </w:r>
      <w:r w:rsidRPr="00BE53E2">
        <w:rPr>
          <w:rFonts w:ascii="Arial" w:hAnsi="Arial" w:cs="Arial"/>
          <w:b/>
          <w:color w:val="262626" w:themeColor="text1" w:themeTint="D9"/>
          <w:sz w:val="18"/>
          <w:szCs w:val="18"/>
        </w:rPr>
        <w:t>dynamic tool built specifically for IHPA includes a new data submission</w:t>
      </w:r>
      <w:r>
        <w:rPr>
          <w:rFonts w:ascii="Arial" w:hAnsi="Arial" w:cs="Arial"/>
          <w:b/>
          <w:color w:val="262626" w:themeColor="text1" w:themeTint="D9"/>
          <w:sz w:val="18"/>
          <w:szCs w:val="18"/>
        </w:rPr>
        <w:t xml:space="preserve"> </w:t>
      </w:r>
      <w:r w:rsidRPr="00BE53E2">
        <w:rPr>
          <w:rFonts w:ascii="Arial" w:hAnsi="Arial" w:cs="Arial"/>
          <w:b/>
          <w:color w:val="262626" w:themeColor="text1" w:themeTint="D9"/>
          <w:sz w:val="18"/>
          <w:szCs w:val="18"/>
        </w:rPr>
        <w:t>portal, data</w:t>
      </w:r>
      <w:r>
        <w:rPr>
          <w:rFonts w:ascii="Arial" w:hAnsi="Arial" w:cs="Arial"/>
          <w:b/>
          <w:color w:val="262626" w:themeColor="text1" w:themeTint="D9"/>
          <w:sz w:val="18"/>
          <w:szCs w:val="18"/>
        </w:rPr>
        <w:t xml:space="preserve"> </w:t>
      </w:r>
      <w:r w:rsidRPr="00BE53E2">
        <w:rPr>
          <w:rFonts w:ascii="Arial" w:hAnsi="Arial" w:cs="Arial"/>
          <w:b/>
          <w:color w:val="262626" w:themeColor="text1" w:themeTint="D9"/>
          <w:sz w:val="18"/>
          <w:szCs w:val="18"/>
        </w:rPr>
        <w:t>va</w:t>
      </w:r>
      <w:r>
        <w:rPr>
          <w:rFonts w:ascii="Arial" w:hAnsi="Arial" w:cs="Arial"/>
          <w:b/>
          <w:color w:val="262626" w:themeColor="text1" w:themeTint="D9"/>
          <w:sz w:val="18"/>
          <w:szCs w:val="18"/>
        </w:rPr>
        <w:t xml:space="preserve">lidation </w:t>
      </w:r>
      <w:r w:rsidRPr="00BE53E2">
        <w:rPr>
          <w:rFonts w:ascii="Arial" w:hAnsi="Arial" w:cs="Arial"/>
          <w:b/>
          <w:color w:val="262626" w:themeColor="text1" w:themeTint="D9"/>
          <w:sz w:val="18"/>
          <w:szCs w:val="18"/>
        </w:rPr>
        <w:t xml:space="preserve">process, </w:t>
      </w:r>
      <w:proofErr w:type="gramStart"/>
      <w:r w:rsidRPr="00BE53E2">
        <w:rPr>
          <w:rFonts w:ascii="Arial" w:hAnsi="Arial" w:cs="Arial"/>
          <w:b/>
          <w:color w:val="262626" w:themeColor="text1" w:themeTint="D9"/>
          <w:sz w:val="18"/>
          <w:szCs w:val="18"/>
        </w:rPr>
        <w:t>data</w:t>
      </w:r>
      <w:proofErr w:type="gramEnd"/>
      <w:r w:rsidRPr="00BE53E2">
        <w:rPr>
          <w:rFonts w:ascii="Arial" w:hAnsi="Arial" w:cs="Arial"/>
          <w:b/>
          <w:color w:val="262626" w:themeColor="text1" w:themeTint="D9"/>
          <w:sz w:val="18"/>
          <w:szCs w:val="18"/>
        </w:rPr>
        <w:t xml:space="preserve"> storage </w:t>
      </w:r>
      <w:r>
        <w:rPr>
          <w:rFonts w:ascii="Arial" w:hAnsi="Arial" w:cs="Arial"/>
          <w:b/>
          <w:color w:val="262626" w:themeColor="text1" w:themeTint="D9"/>
          <w:sz w:val="18"/>
          <w:szCs w:val="18"/>
        </w:rPr>
        <w:t>and data analytics platform. This</w:t>
      </w:r>
      <w:r w:rsidRPr="00BE53E2">
        <w:rPr>
          <w:rFonts w:ascii="Arial" w:hAnsi="Arial" w:cs="Arial"/>
          <w:b/>
          <w:color w:val="262626" w:themeColor="text1" w:themeTint="D9"/>
          <w:sz w:val="18"/>
          <w:szCs w:val="18"/>
        </w:rPr>
        <w:t xml:space="preserve"> new system has introduced greater flexibility of file upload specifications, faster validation and</w:t>
      </w:r>
      <w:r>
        <w:rPr>
          <w:rFonts w:ascii="Arial" w:hAnsi="Arial" w:cs="Arial"/>
          <w:b/>
          <w:color w:val="262626" w:themeColor="text1" w:themeTint="D9"/>
          <w:sz w:val="18"/>
          <w:szCs w:val="18"/>
        </w:rPr>
        <w:t xml:space="preserve"> </w:t>
      </w:r>
      <w:r w:rsidRPr="00BE53E2">
        <w:rPr>
          <w:rFonts w:ascii="Arial" w:hAnsi="Arial" w:cs="Arial"/>
          <w:b/>
          <w:color w:val="262626" w:themeColor="text1" w:themeTint="D9"/>
          <w:sz w:val="18"/>
          <w:szCs w:val="18"/>
        </w:rPr>
        <w:t>reporting, and enhanced capabilities for jurisdictions to</w:t>
      </w:r>
      <w:r>
        <w:rPr>
          <w:rFonts w:ascii="Arial" w:hAnsi="Arial" w:cs="Arial"/>
          <w:b/>
          <w:color w:val="262626" w:themeColor="text1" w:themeTint="D9"/>
          <w:sz w:val="18"/>
          <w:szCs w:val="18"/>
        </w:rPr>
        <w:t xml:space="preserve"> </w:t>
      </w:r>
      <w:r w:rsidRPr="00BE53E2">
        <w:rPr>
          <w:rFonts w:ascii="Arial" w:hAnsi="Arial" w:cs="Arial"/>
          <w:b/>
          <w:color w:val="262626" w:themeColor="text1" w:themeTint="D9"/>
          <w:sz w:val="18"/>
          <w:szCs w:val="18"/>
        </w:rPr>
        <w:t>track and manage their submission process.</w:t>
      </w:r>
      <w:r w:rsidRPr="001D18BA">
        <w:t xml:space="preserve"> </w:t>
      </w:r>
      <w:r>
        <w:br/>
      </w:r>
    </w:p>
    <w:p w14:paraId="2C677D29" w14:textId="16DB2F83" w:rsidR="007C308C" w:rsidRDefault="007C308C" w:rsidP="007C308C">
      <w:pPr>
        <w:spacing w:after="0" w:line="276" w:lineRule="auto"/>
        <w:rPr>
          <w:rFonts w:ascii="Arial" w:hAnsi="Arial" w:cs="Arial"/>
          <w:color w:val="262626" w:themeColor="text1" w:themeTint="D9"/>
          <w:sz w:val="18"/>
          <w:szCs w:val="18"/>
        </w:rPr>
      </w:pPr>
      <w:r>
        <w:rPr>
          <w:rFonts w:ascii="Arial" w:hAnsi="Arial" w:cs="Arial"/>
          <w:color w:val="262626" w:themeColor="text1" w:themeTint="D9"/>
          <w:sz w:val="18"/>
          <w:szCs w:val="18"/>
        </w:rPr>
        <w:t>IHPA will implement a refresh to the SDMS from late 2020. This activity will consolidate improvements made since 2017, and update the system to operate using modern architectures and practices. Further improvements are expected to the robustness and speed of data submission, loading and validation on the SDMS.</w:t>
      </w:r>
    </w:p>
    <w:p w14:paraId="78CEEF54" w14:textId="77777777" w:rsidR="009A3B26" w:rsidRDefault="009A3B26" w:rsidP="007C308C">
      <w:pPr>
        <w:spacing w:after="0" w:line="276" w:lineRule="auto"/>
        <w:rPr>
          <w:rFonts w:ascii="Arial" w:hAnsi="Arial" w:cs="Arial"/>
          <w:color w:val="262626" w:themeColor="text1" w:themeTint="D9"/>
          <w:sz w:val="18"/>
          <w:szCs w:val="18"/>
        </w:rPr>
      </w:pPr>
    </w:p>
    <w:p w14:paraId="47C5D7CE" w14:textId="0C2EC1D6" w:rsidR="0099362F" w:rsidRDefault="007C308C" w:rsidP="007C308C">
      <w:pPr>
        <w:spacing w:after="0" w:line="276" w:lineRule="auto"/>
        <w:rPr>
          <w:rFonts w:ascii="Arial" w:hAnsi="Arial" w:cs="Arial"/>
          <w:color w:val="262626" w:themeColor="text1" w:themeTint="D9"/>
          <w:sz w:val="18"/>
          <w:szCs w:val="18"/>
        </w:rPr>
      </w:pPr>
      <w:r w:rsidRPr="001D18BA">
        <w:rPr>
          <w:rFonts w:ascii="Arial" w:hAnsi="Arial" w:cs="Arial"/>
          <w:color w:val="262626" w:themeColor="text1" w:themeTint="D9"/>
          <w:sz w:val="18"/>
          <w:szCs w:val="18"/>
        </w:rPr>
        <w:t>IHPA will continue working with key stakeholders to enhance t</w:t>
      </w:r>
      <w:r>
        <w:rPr>
          <w:rFonts w:ascii="Arial" w:hAnsi="Arial" w:cs="Arial"/>
          <w:color w:val="262626" w:themeColor="text1" w:themeTint="D9"/>
          <w:sz w:val="18"/>
          <w:szCs w:val="18"/>
        </w:rPr>
        <w:t>he</w:t>
      </w:r>
      <w:r w:rsidRPr="001D18BA">
        <w:rPr>
          <w:rFonts w:ascii="Arial" w:hAnsi="Arial" w:cs="Arial"/>
          <w:color w:val="262626" w:themeColor="text1" w:themeTint="D9"/>
          <w:sz w:val="18"/>
          <w:szCs w:val="18"/>
        </w:rPr>
        <w:t xml:space="preserve"> data submission portal</w:t>
      </w:r>
      <w:r>
        <w:rPr>
          <w:rFonts w:ascii="Arial" w:hAnsi="Arial" w:cs="Arial"/>
          <w:color w:val="262626" w:themeColor="text1" w:themeTint="D9"/>
          <w:sz w:val="18"/>
          <w:szCs w:val="18"/>
        </w:rPr>
        <w:t>s</w:t>
      </w:r>
      <w:r w:rsidRPr="001D18BA">
        <w:rPr>
          <w:rFonts w:ascii="Arial" w:hAnsi="Arial" w:cs="Arial"/>
          <w:color w:val="262626" w:themeColor="text1" w:themeTint="D9"/>
          <w:sz w:val="18"/>
          <w:szCs w:val="18"/>
        </w:rPr>
        <w:t xml:space="preserve"> in SDMS</w:t>
      </w:r>
      <w:r>
        <w:rPr>
          <w:rFonts w:ascii="Arial" w:hAnsi="Arial" w:cs="Arial"/>
          <w:color w:val="262626" w:themeColor="text1" w:themeTint="D9"/>
          <w:sz w:val="18"/>
          <w:szCs w:val="18"/>
        </w:rPr>
        <w:t>.</w:t>
      </w:r>
    </w:p>
    <w:p w14:paraId="0BF4C418" w14:textId="26046C60" w:rsidR="00BE53E2" w:rsidRPr="009A3B26" w:rsidRDefault="00BE53E2" w:rsidP="00BE53E2">
      <w:pPr>
        <w:pStyle w:val="Heading2"/>
        <w:rPr>
          <w:sz w:val="18"/>
          <w:szCs w:val="18"/>
        </w:rPr>
      </w:pPr>
      <w:bookmarkStart w:id="162" w:name="_Toc55045645"/>
      <w:bookmarkStart w:id="163" w:name="_Toc55054016"/>
      <w:bookmarkStart w:id="164" w:name="_Toc55237236"/>
      <w:bookmarkStart w:id="165" w:name="_Toc55238323"/>
      <w:bookmarkStart w:id="166" w:name="_Toc55974141"/>
      <w:r w:rsidRPr="009A3B26">
        <w:rPr>
          <w:sz w:val="18"/>
          <w:szCs w:val="18"/>
        </w:rPr>
        <w:t>(</w:t>
      </w:r>
      <w:r w:rsidR="003B064C" w:rsidRPr="009A3B26">
        <w:rPr>
          <w:sz w:val="18"/>
          <w:szCs w:val="18"/>
        </w:rPr>
        <w:t>e</w:t>
      </w:r>
      <w:r w:rsidRPr="009A3B26">
        <w:rPr>
          <w:sz w:val="18"/>
          <w:szCs w:val="18"/>
        </w:rPr>
        <w:t>)</w:t>
      </w:r>
      <w:r w:rsidR="00221F83" w:rsidRPr="009A3B26">
        <w:rPr>
          <w:sz w:val="18"/>
          <w:szCs w:val="18"/>
        </w:rPr>
        <w:tab/>
      </w:r>
      <w:r w:rsidRPr="009A3B26">
        <w:rPr>
          <w:sz w:val="18"/>
          <w:szCs w:val="18"/>
        </w:rPr>
        <w:t>Collection of ABF activity data for public hospitals</w:t>
      </w:r>
      <w:bookmarkEnd w:id="162"/>
      <w:bookmarkEnd w:id="163"/>
      <w:bookmarkEnd w:id="164"/>
      <w:bookmarkEnd w:id="165"/>
      <w:bookmarkEnd w:id="166"/>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05A7A" w:rsidRPr="005A58D4" w14:paraId="3CEA5BCE" w14:textId="77777777" w:rsidTr="005154CD">
        <w:tc>
          <w:tcPr>
            <w:tcW w:w="3726" w:type="pct"/>
            <w:tcBorders>
              <w:top w:val="nil"/>
              <w:bottom w:val="nil"/>
            </w:tcBorders>
            <w:shd w:val="clear" w:color="auto" w:fill="009AB8"/>
            <w:vAlign w:val="center"/>
          </w:tcPr>
          <w:p w14:paraId="4813806B" w14:textId="77777777" w:rsidR="00C05A7A" w:rsidRPr="009A3B26" w:rsidRDefault="00C05A7A" w:rsidP="005154CD">
            <w:pPr>
              <w:pStyle w:val="TableHeading"/>
              <w:rPr>
                <w:sz w:val="18"/>
                <w:szCs w:val="18"/>
              </w:rPr>
            </w:pPr>
            <w:r w:rsidRPr="009A3B26">
              <w:rPr>
                <w:sz w:val="18"/>
                <w:szCs w:val="18"/>
              </w:rPr>
              <w:t>DELIVERABLES</w:t>
            </w:r>
          </w:p>
        </w:tc>
        <w:tc>
          <w:tcPr>
            <w:tcW w:w="1274" w:type="pct"/>
            <w:tcBorders>
              <w:top w:val="nil"/>
              <w:bottom w:val="nil"/>
            </w:tcBorders>
            <w:shd w:val="clear" w:color="auto" w:fill="009AB8"/>
            <w:vAlign w:val="center"/>
          </w:tcPr>
          <w:p w14:paraId="2F326F73" w14:textId="77777777" w:rsidR="00C05A7A" w:rsidRPr="009A3B26" w:rsidRDefault="00C05A7A" w:rsidP="005154CD">
            <w:pPr>
              <w:pStyle w:val="TableHeading"/>
              <w:rPr>
                <w:sz w:val="18"/>
                <w:szCs w:val="18"/>
              </w:rPr>
            </w:pPr>
            <w:r w:rsidRPr="009A3B26">
              <w:rPr>
                <w:sz w:val="18"/>
                <w:szCs w:val="18"/>
              </w:rPr>
              <w:t>TIMEFRAME</w:t>
            </w:r>
          </w:p>
        </w:tc>
      </w:tr>
      <w:tr w:rsidR="00C05A7A" w14:paraId="16BD2404" w14:textId="77777777" w:rsidTr="00FF3C2C">
        <w:trPr>
          <w:trHeight w:val="236"/>
        </w:trPr>
        <w:tc>
          <w:tcPr>
            <w:tcW w:w="3726" w:type="pct"/>
            <w:tcBorders>
              <w:top w:val="nil"/>
              <w:bottom w:val="single" w:sz="4" w:space="0" w:color="auto"/>
            </w:tcBorders>
          </w:tcPr>
          <w:p w14:paraId="05D0BD30" w14:textId="63A46799" w:rsidR="00C05A7A" w:rsidRDefault="00FF3C2C" w:rsidP="00B873D1">
            <w:pPr>
              <w:pStyle w:val="Body"/>
            </w:pPr>
            <w:r w:rsidRPr="002547DD">
              <w:t>Collect jurisdictional su</w:t>
            </w:r>
            <w:r w:rsidR="00DA4045">
              <w:t>bmissions for March q</w:t>
            </w:r>
            <w:r>
              <w:t>uarter 202</w:t>
            </w:r>
            <w:r w:rsidR="00A35D67">
              <w:t>1</w:t>
            </w:r>
            <w:r w:rsidRPr="002547DD">
              <w:t xml:space="preserve"> </w:t>
            </w:r>
            <w:r w:rsidR="00B873D1">
              <w:t>ABF</w:t>
            </w:r>
            <w:r w:rsidRPr="002547DD">
              <w:t xml:space="preserve"> activity data.</w:t>
            </w:r>
          </w:p>
        </w:tc>
        <w:tc>
          <w:tcPr>
            <w:tcW w:w="1274" w:type="pct"/>
            <w:tcBorders>
              <w:top w:val="nil"/>
              <w:bottom w:val="single" w:sz="4" w:space="0" w:color="auto"/>
            </w:tcBorders>
          </w:tcPr>
          <w:p w14:paraId="33F69BA0" w14:textId="7A38C250" w:rsidR="00C05A7A" w:rsidRDefault="00FF3C2C" w:rsidP="005154CD">
            <w:pPr>
              <w:pStyle w:val="Body"/>
            </w:pPr>
            <w:r>
              <w:t>June 202</w:t>
            </w:r>
            <w:r w:rsidR="00A35D67">
              <w:t>1</w:t>
            </w:r>
          </w:p>
        </w:tc>
      </w:tr>
      <w:tr w:rsidR="00C05A7A" w14:paraId="1EF14557" w14:textId="77777777" w:rsidTr="00FF3C2C">
        <w:trPr>
          <w:trHeight w:val="236"/>
        </w:trPr>
        <w:tc>
          <w:tcPr>
            <w:tcW w:w="3726" w:type="pct"/>
            <w:tcBorders>
              <w:top w:val="single" w:sz="4" w:space="0" w:color="auto"/>
              <w:bottom w:val="single" w:sz="4" w:space="0" w:color="auto"/>
            </w:tcBorders>
          </w:tcPr>
          <w:p w14:paraId="711B6D97" w14:textId="37BB327F" w:rsidR="00C05A7A" w:rsidRPr="00BE53E2" w:rsidRDefault="00FF3C2C" w:rsidP="005154CD">
            <w:pPr>
              <w:pStyle w:val="Body"/>
            </w:pPr>
            <w:r w:rsidRPr="002547DD">
              <w:t>Collect jurisdictional s</w:t>
            </w:r>
            <w:r>
              <w:t>ubmissions for</w:t>
            </w:r>
            <w:r w:rsidR="00DA4045">
              <w:t xml:space="preserve"> June q</w:t>
            </w:r>
            <w:r>
              <w:t>uarter 202</w:t>
            </w:r>
            <w:r w:rsidR="00A35D67">
              <w:t>1</w:t>
            </w:r>
            <w:r w:rsidRPr="002547DD">
              <w:t xml:space="preserve"> </w:t>
            </w:r>
            <w:r w:rsidR="00B873D1">
              <w:t>ABF</w:t>
            </w:r>
            <w:r w:rsidR="00B873D1" w:rsidRPr="002547DD">
              <w:t xml:space="preserve"> </w:t>
            </w:r>
            <w:r w:rsidRPr="002547DD">
              <w:t>activity data.</w:t>
            </w:r>
          </w:p>
        </w:tc>
        <w:tc>
          <w:tcPr>
            <w:tcW w:w="1274" w:type="pct"/>
            <w:tcBorders>
              <w:top w:val="single" w:sz="4" w:space="0" w:color="auto"/>
              <w:bottom w:val="single" w:sz="4" w:space="0" w:color="auto"/>
            </w:tcBorders>
          </w:tcPr>
          <w:p w14:paraId="44482647" w14:textId="1D3C982B" w:rsidR="00C05A7A" w:rsidRPr="00BE53E2" w:rsidRDefault="00FF3C2C" w:rsidP="005154CD">
            <w:pPr>
              <w:pStyle w:val="Body"/>
            </w:pPr>
            <w:r w:rsidRPr="002547DD">
              <w:t>September 20</w:t>
            </w:r>
            <w:r>
              <w:t>2</w:t>
            </w:r>
            <w:r w:rsidR="00A35D67">
              <w:t>1</w:t>
            </w:r>
          </w:p>
        </w:tc>
      </w:tr>
      <w:tr w:rsidR="00C05A7A" w14:paraId="4D75F4BB" w14:textId="77777777" w:rsidTr="00FF3C2C">
        <w:trPr>
          <w:trHeight w:val="236"/>
        </w:trPr>
        <w:tc>
          <w:tcPr>
            <w:tcW w:w="3726" w:type="pct"/>
            <w:tcBorders>
              <w:top w:val="nil"/>
              <w:bottom w:val="single" w:sz="4" w:space="0" w:color="auto"/>
            </w:tcBorders>
          </w:tcPr>
          <w:p w14:paraId="28FDE263" w14:textId="31CE5C6A" w:rsidR="00C05A7A" w:rsidRPr="00BE53E2" w:rsidRDefault="00FF3C2C" w:rsidP="005154CD">
            <w:pPr>
              <w:pStyle w:val="Body"/>
            </w:pPr>
            <w:r w:rsidRPr="002547DD">
              <w:t>Collect jurisdicti</w:t>
            </w:r>
            <w:r w:rsidR="00DA4045">
              <w:t>onal submissions for September q</w:t>
            </w:r>
            <w:r w:rsidRPr="002547DD">
              <w:t>uarter 20</w:t>
            </w:r>
            <w:r>
              <w:t>2</w:t>
            </w:r>
            <w:r w:rsidR="00A35D67">
              <w:t>1</w:t>
            </w:r>
            <w:r w:rsidRPr="002547DD">
              <w:t xml:space="preserve"> </w:t>
            </w:r>
            <w:r w:rsidR="00B873D1">
              <w:t>ABF</w:t>
            </w:r>
            <w:r w:rsidR="00B873D1" w:rsidRPr="002547DD">
              <w:t xml:space="preserve"> </w:t>
            </w:r>
            <w:r w:rsidRPr="002547DD">
              <w:t>activity data.</w:t>
            </w:r>
          </w:p>
        </w:tc>
        <w:tc>
          <w:tcPr>
            <w:tcW w:w="1274" w:type="pct"/>
            <w:tcBorders>
              <w:top w:val="nil"/>
              <w:bottom w:val="single" w:sz="4" w:space="0" w:color="auto"/>
            </w:tcBorders>
          </w:tcPr>
          <w:p w14:paraId="2EE2CA41" w14:textId="7E00F598" w:rsidR="00C05A7A" w:rsidRPr="00BE53E2" w:rsidRDefault="00FF3C2C" w:rsidP="005154CD">
            <w:pPr>
              <w:pStyle w:val="Body"/>
            </w:pPr>
            <w:r w:rsidRPr="002547DD">
              <w:t>December 20</w:t>
            </w:r>
            <w:r>
              <w:t>2</w:t>
            </w:r>
            <w:r w:rsidR="00A35D67">
              <w:t>1</w:t>
            </w:r>
          </w:p>
        </w:tc>
      </w:tr>
      <w:tr w:rsidR="00FF3C2C" w14:paraId="3F31FE18" w14:textId="77777777" w:rsidTr="00FF3C2C">
        <w:trPr>
          <w:trHeight w:val="236"/>
        </w:trPr>
        <w:tc>
          <w:tcPr>
            <w:tcW w:w="3726" w:type="pct"/>
            <w:tcBorders>
              <w:top w:val="single" w:sz="4" w:space="0" w:color="auto"/>
              <w:bottom w:val="single" w:sz="4" w:space="0" w:color="auto"/>
            </w:tcBorders>
          </w:tcPr>
          <w:p w14:paraId="413A90F6" w14:textId="7DDE8FBA" w:rsidR="00FF3C2C" w:rsidRPr="00BE53E2" w:rsidRDefault="00FF3C2C" w:rsidP="005154CD">
            <w:pPr>
              <w:pStyle w:val="Body"/>
            </w:pPr>
            <w:r w:rsidRPr="002547DD">
              <w:t>Collect</w:t>
            </w:r>
            <w:r>
              <w:t xml:space="preserve"> </w:t>
            </w:r>
            <w:r w:rsidRPr="002547DD">
              <w:t>jurisdict</w:t>
            </w:r>
            <w:r w:rsidR="00DA4045">
              <w:t>ional submissions for December q</w:t>
            </w:r>
            <w:r w:rsidRPr="002547DD">
              <w:t>uarter 20</w:t>
            </w:r>
            <w:r>
              <w:t>2</w:t>
            </w:r>
            <w:r w:rsidR="00A35D67">
              <w:t>1</w:t>
            </w:r>
            <w:r w:rsidRPr="002547DD">
              <w:t xml:space="preserve"> </w:t>
            </w:r>
            <w:r w:rsidR="00B873D1">
              <w:t>ABF</w:t>
            </w:r>
            <w:r w:rsidR="00B873D1" w:rsidRPr="002547DD">
              <w:t xml:space="preserve"> </w:t>
            </w:r>
            <w:r w:rsidRPr="002547DD">
              <w:t>activity data.</w:t>
            </w:r>
          </w:p>
        </w:tc>
        <w:tc>
          <w:tcPr>
            <w:tcW w:w="1274" w:type="pct"/>
            <w:tcBorders>
              <w:top w:val="single" w:sz="4" w:space="0" w:color="auto"/>
              <w:bottom w:val="single" w:sz="4" w:space="0" w:color="auto"/>
            </w:tcBorders>
          </w:tcPr>
          <w:p w14:paraId="7ED7FDD6" w14:textId="4C895A49" w:rsidR="00FF3C2C" w:rsidRPr="00BE53E2" w:rsidRDefault="00FF3C2C" w:rsidP="005154CD">
            <w:pPr>
              <w:pStyle w:val="Body"/>
            </w:pPr>
            <w:r w:rsidRPr="002547DD">
              <w:t>March 202</w:t>
            </w:r>
            <w:r w:rsidR="00A35D67">
              <w:t>2</w:t>
            </w:r>
          </w:p>
        </w:tc>
      </w:tr>
    </w:tbl>
    <w:p w14:paraId="7BEDA23A" w14:textId="77777777" w:rsidR="00842F1B" w:rsidRDefault="00842F1B" w:rsidP="00842F1B">
      <w:pPr>
        <w:pStyle w:val="Body"/>
      </w:pPr>
    </w:p>
    <w:p w14:paraId="66757E28" w14:textId="64FE1ADF" w:rsidR="00BE53E2" w:rsidRDefault="00BE53E2" w:rsidP="00BE53E2">
      <w:pPr>
        <w:pStyle w:val="IntroBody"/>
      </w:pPr>
      <w:r>
        <w:t>During 202</w:t>
      </w:r>
      <w:r w:rsidR="00A35D67">
        <w:t>1</w:t>
      </w:r>
      <w:r>
        <w:t>–2</w:t>
      </w:r>
      <w:r w:rsidR="00A35D67">
        <w:t>2</w:t>
      </w:r>
      <w:r>
        <w:t>, IHPA will continue its collection of ABF activity data on a quarterly</w:t>
      </w:r>
      <w:r w:rsidR="00BC2280">
        <w:t xml:space="preserve"> </w:t>
      </w:r>
      <w:r>
        <w:t>basis</w:t>
      </w:r>
      <w:r w:rsidR="00F30485">
        <w:t>,</w:t>
      </w:r>
      <w:r w:rsidR="00F30485" w:rsidRPr="00F30485">
        <w:t xml:space="preserve"> while teaching, training and research and hospital cost data provided through the NHCDC is reported on an annual basis</w:t>
      </w:r>
      <w:r>
        <w:t xml:space="preserve">. </w:t>
      </w:r>
    </w:p>
    <w:p w14:paraId="1D4033D3" w14:textId="7EA19B07" w:rsidR="000F5B57" w:rsidRDefault="000F5B57" w:rsidP="000F5B57">
      <w:pPr>
        <w:rPr>
          <w:rFonts w:ascii="Arial" w:hAnsi="Arial" w:cs="Arial"/>
          <w:sz w:val="18"/>
        </w:rPr>
      </w:pPr>
      <w:r>
        <w:rPr>
          <w:rFonts w:ascii="Arial" w:hAnsi="Arial" w:cs="Arial"/>
          <w:sz w:val="18"/>
        </w:rPr>
        <w:t>In response to COVID-19</w:t>
      </w:r>
      <w:r w:rsidRPr="00B40860">
        <w:rPr>
          <w:rFonts w:ascii="Arial" w:hAnsi="Arial" w:cs="Arial"/>
          <w:sz w:val="18"/>
        </w:rPr>
        <w:t>, IHPA commenced a new data submission to identify activity to be funded through the National Partnership Agreement</w:t>
      </w:r>
      <w:r w:rsidR="00463C6B">
        <w:rPr>
          <w:rFonts w:ascii="Arial" w:hAnsi="Arial" w:cs="Arial"/>
          <w:sz w:val="18"/>
        </w:rPr>
        <w:t xml:space="preserve"> </w:t>
      </w:r>
      <w:r w:rsidRPr="00B40860">
        <w:rPr>
          <w:rFonts w:ascii="Arial" w:hAnsi="Arial" w:cs="Arial"/>
          <w:sz w:val="18"/>
        </w:rPr>
        <w:t>f</w:t>
      </w:r>
      <w:r w:rsidR="00463C6B">
        <w:rPr>
          <w:rFonts w:ascii="Arial" w:hAnsi="Arial" w:cs="Arial"/>
          <w:sz w:val="18"/>
        </w:rPr>
        <w:t xml:space="preserve">or COVID-19. The supplementary </w:t>
      </w:r>
      <w:r w:rsidRPr="00B40860">
        <w:rPr>
          <w:rFonts w:ascii="Arial" w:hAnsi="Arial" w:cs="Arial"/>
          <w:sz w:val="18"/>
        </w:rPr>
        <w:t xml:space="preserve">COVID-19 data </w:t>
      </w:r>
      <w:r>
        <w:rPr>
          <w:rFonts w:ascii="Arial" w:hAnsi="Arial" w:cs="Arial"/>
          <w:sz w:val="18"/>
        </w:rPr>
        <w:t xml:space="preserve">will be </w:t>
      </w:r>
      <w:r w:rsidRPr="00B40860">
        <w:rPr>
          <w:rFonts w:ascii="Arial" w:hAnsi="Arial" w:cs="Arial"/>
          <w:sz w:val="18"/>
        </w:rPr>
        <w:t>submitted</w:t>
      </w:r>
      <w:r>
        <w:rPr>
          <w:rFonts w:ascii="Arial" w:hAnsi="Arial" w:cs="Arial"/>
          <w:sz w:val="18"/>
        </w:rPr>
        <w:t xml:space="preserve"> to IHPA</w:t>
      </w:r>
      <w:r w:rsidRPr="00B40860">
        <w:rPr>
          <w:rFonts w:ascii="Arial" w:hAnsi="Arial" w:cs="Arial"/>
          <w:sz w:val="18"/>
        </w:rPr>
        <w:t xml:space="preserve"> </w:t>
      </w:r>
      <w:r>
        <w:rPr>
          <w:rFonts w:ascii="Arial" w:hAnsi="Arial" w:cs="Arial"/>
          <w:sz w:val="18"/>
        </w:rPr>
        <w:t>along with quarterly ABF activity data submission.</w:t>
      </w:r>
    </w:p>
    <w:p w14:paraId="4475C4BC" w14:textId="5298E6EC" w:rsidR="00BC2280" w:rsidRDefault="00BE53E2" w:rsidP="00DD4962">
      <w:r w:rsidRPr="001603CA">
        <w:rPr>
          <w:rFonts w:ascii="Arial" w:hAnsi="Arial" w:cs="Arial"/>
          <w:sz w:val="18"/>
        </w:rPr>
        <w:t>Based on quarterly data collections, IHPA will undertake activity analysis which will be us</w:t>
      </w:r>
      <w:r w:rsidR="00BC2280" w:rsidRPr="001603CA">
        <w:rPr>
          <w:rFonts w:ascii="Arial" w:hAnsi="Arial" w:cs="Arial"/>
          <w:sz w:val="18"/>
        </w:rPr>
        <w:t xml:space="preserve">ed to monitor the impact of the </w:t>
      </w:r>
      <w:r w:rsidRPr="001603CA">
        <w:rPr>
          <w:rFonts w:ascii="Arial" w:hAnsi="Arial" w:cs="Arial"/>
          <w:sz w:val="18"/>
        </w:rPr>
        <w:t>NEP pricing model on the hospital system.</w:t>
      </w:r>
    </w:p>
    <w:p w14:paraId="7CCED07B" w14:textId="476289B3" w:rsidR="00BE53E2" w:rsidRPr="009A3B26" w:rsidRDefault="002B39EA" w:rsidP="00BE53E2">
      <w:pPr>
        <w:pStyle w:val="Heading2"/>
        <w:rPr>
          <w:sz w:val="18"/>
          <w:szCs w:val="18"/>
        </w:rPr>
      </w:pPr>
      <w:bookmarkStart w:id="167" w:name="_Toc55045646"/>
      <w:bookmarkStart w:id="168" w:name="_Toc55054017"/>
      <w:bookmarkStart w:id="169" w:name="_Toc55237237"/>
      <w:bookmarkStart w:id="170" w:name="_Toc55238324"/>
      <w:bookmarkStart w:id="171" w:name="_Toc55974142"/>
      <w:r w:rsidRPr="009A3B26">
        <w:rPr>
          <w:sz w:val="18"/>
          <w:szCs w:val="18"/>
        </w:rPr>
        <w:t>(</w:t>
      </w:r>
      <w:r w:rsidR="003B064C" w:rsidRPr="009A3B26">
        <w:rPr>
          <w:sz w:val="18"/>
          <w:szCs w:val="18"/>
        </w:rPr>
        <w:t>f</w:t>
      </w:r>
      <w:r w:rsidR="00BE53E2" w:rsidRPr="009A3B26">
        <w:rPr>
          <w:sz w:val="18"/>
          <w:szCs w:val="18"/>
        </w:rPr>
        <w:t>)</w:t>
      </w:r>
      <w:r w:rsidR="00221F83" w:rsidRPr="009A3B26">
        <w:rPr>
          <w:sz w:val="18"/>
          <w:szCs w:val="18"/>
        </w:rPr>
        <w:tab/>
      </w:r>
      <w:r w:rsidR="00BE53E2" w:rsidRPr="009A3B26">
        <w:rPr>
          <w:sz w:val="18"/>
          <w:szCs w:val="18"/>
        </w:rPr>
        <w:t>Data compliance</w:t>
      </w:r>
      <w:bookmarkEnd w:id="167"/>
      <w:bookmarkEnd w:id="168"/>
      <w:bookmarkEnd w:id="169"/>
      <w:bookmarkEnd w:id="170"/>
      <w:bookmarkEnd w:id="171"/>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FF3C2C" w:rsidRPr="005A58D4" w14:paraId="1CEE70D1" w14:textId="77777777" w:rsidTr="005154CD">
        <w:tc>
          <w:tcPr>
            <w:tcW w:w="3726" w:type="pct"/>
            <w:tcBorders>
              <w:top w:val="nil"/>
              <w:bottom w:val="nil"/>
            </w:tcBorders>
            <w:shd w:val="clear" w:color="auto" w:fill="009AB8"/>
            <w:vAlign w:val="center"/>
          </w:tcPr>
          <w:p w14:paraId="2520F359" w14:textId="77777777" w:rsidR="00FF3C2C" w:rsidRPr="009A3B26" w:rsidRDefault="00FF3C2C" w:rsidP="005154CD">
            <w:pPr>
              <w:pStyle w:val="TableHeading"/>
              <w:rPr>
                <w:sz w:val="18"/>
                <w:szCs w:val="18"/>
              </w:rPr>
            </w:pPr>
            <w:r w:rsidRPr="009A3B26">
              <w:rPr>
                <w:sz w:val="18"/>
                <w:szCs w:val="18"/>
              </w:rPr>
              <w:t>DELIVERABLES</w:t>
            </w:r>
          </w:p>
        </w:tc>
        <w:tc>
          <w:tcPr>
            <w:tcW w:w="1274" w:type="pct"/>
            <w:tcBorders>
              <w:top w:val="nil"/>
              <w:bottom w:val="nil"/>
            </w:tcBorders>
            <w:shd w:val="clear" w:color="auto" w:fill="009AB8"/>
            <w:vAlign w:val="center"/>
          </w:tcPr>
          <w:p w14:paraId="7C247020" w14:textId="77777777" w:rsidR="00FF3C2C" w:rsidRPr="009A3B26" w:rsidRDefault="00FF3C2C" w:rsidP="005154CD">
            <w:pPr>
              <w:pStyle w:val="TableHeading"/>
              <w:rPr>
                <w:sz w:val="18"/>
                <w:szCs w:val="18"/>
              </w:rPr>
            </w:pPr>
            <w:r w:rsidRPr="009A3B26">
              <w:rPr>
                <w:sz w:val="18"/>
                <w:szCs w:val="18"/>
              </w:rPr>
              <w:t>TIMEFRAME</w:t>
            </w:r>
          </w:p>
        </w:tc>
      </w:tr>
      <w:tr w:rsidR="00FF3C2C" w14:paraId="527D38F0" w14:textId="77777777" w:rsidTr="005154CD">
        <w:trPr>
          <w:trHeight w:val="236"/>
        </w:trPr>
        <w:tc>
          <w:tcPr>
            <w:tcW w:w="3726" w:type="pct"/>
            <w:tcBorders>
              <w:top w:val="nil"/>
              <w:bottom w:val="single" w:sz="4" w:space="0" w:color="auto"/>
            </w:tcBorders>
          </w:tcPr>
          <w:p w14:paraId="026AB8B4" w14:textId="618897EA" w:rsidR="00FF3C2C" w:rsidRDefault="00FF3C2C" w:rsidP="005154CD">
            <w:pPr>
              <w:pStyle w:val="Body"/>
            </w:pPr>
            <w:r w:rsidRPr="002547DD">
              <w:t>Publish da</w:t>
            </w:r>
            <w:r w:rsidR="00DA4045">
              <w:t>ta compliance report for March q</w:t>
            </w:r>
            <w:r w:rsidRPr="002547DD">
              <w:t>uarter 20</w:t>
            </w:r>
            <w:r>
              <w:t>2</w:t>
            </w:r>
            <w:r w:rsidR="00A35D67">
              <w:t>1</w:t>
            </w:r>
            <w:r w:rsidRPr="002547DD">
              <w:t>.</w:t>
            </w:r>
          </w:p>
        </w:tc>
        <w:tc>
          <w:tcPr>
            <w:tcW w:w="1274" w:type="pct"/>
            <w:tcBorders>
              <w:top w:val="nil"/>
              <w:bottom w:val="single" w:sz="4" w:space="0" w:color="auto"/>
            </w:tcBorders>
          </w:tcPr>
          <w:p w14:paraId="533C7C66" w14:textId="22839C17" w:rsidR="00FF3C2C" w:rsidRDefault="00FF3C2C" w:rsidP="005154CD">
            <w:pPr>
              <w:pStyle w:val="Body"/>
            </w:pPr>
            <w:r w:rsidRPr="00895B25">
              <w:t>September 20</w:t>
            </w:r>
            <w:r>
              <w:t>2</w:t>
            </w:r>
            <w:r w:rsidR="00A35D67">
              <w:t>1</w:t>
            </w:r>
          </w:p>
        </w:tc>
      </w:tr>
      <w:tr w:rsidR="00FF3C2C" w14:paraId="1A6405AE" w14:textId="77777777" w:rsidTr="005154CD">
        <w:trPr>
          <w:trHeight w:val="236"/>
        </w:trPr>
        <w:tc>
          <w:tcPr>
            <w:tcW w:w="3726" w:type="pct"/>
            <w:tcBorders>
              <w:top w:val="single" w:sz="4" w:space="0" w:color="auto"/>
              <w:bottom w:val="single" w:sz="4" w:space="0" w:color="auto"/>
            </w:tcBorders>
          </w:tcPr>
          <w:p w14:paraId="28FE1E8A" w14:textId="49A92766" w:rsidR="00FF3C2C" w:rsidRPr="00BE53E2" w:rsidRDefault="00FF3C2C" w:rsidP="005154CD">
            <w:pPr>
              <w:pStyle w:val="Body"/>
            </w:pPr>
            <w:r w:rsidRPr="002547DD">
              <w:t>Publish d</w:t>
            </w:r>
            <w:r w:rsidR="00DA4045">
              <w:t>ata compliance report for June q</w:t>
            </w:r>
            <w:r w:rsidRPr="002547DD">
              <w:t>uarter 20</w:t>
            </w:r>
            <w:r>
              <w:t>2</w:t>
            </w:r>
            <w:r w:rsidR="00A35D67">
              <w:t>1</w:t>
            </w:r>
            <w:r w:rsidRPr="002547DD">
              <w:t>.</w:t>
            </w:r>
          </w:p>
        </w:tc>
        <w:tc>
          <w:tcPr>
            <w:tcW w:w="1274" w:type="pct"/>
            <w:tcBorders>
              <w:top w:val="single" w:sz="4" w:space="0" w:color="auto"/>
              <w:bottom w:val="single" w:sz="4" w:space="0" w:color="auto"/>
            </w:tcBorders>
          </w:tcPr>
          <w:p w14:paraId="37E65552" w14:textId="4A8FB1EA" w:rsidR="00FF3C2C" w:rsidRPr="00BE53E2" w:rsidRDefault="00FF3C2C" w:rsidP="005154CD">
            <w:pPr>
              <w:pStyle w:val="Body"/>
            </w:pPr>
            <w:r w:rsidRPr="00895B25">
              <w:t>December 20</w:t>
            </w:r>
            <w:r>
              <w:t>2</w:t>
            </w:r>
            <w:r w:rsidR="00A35D67">
              <w:t>1</w:t>
            </w:r>
          </w:p>
        </w:tc>
      </w:tr>
      <w:tr w:rsidR="00FF3C2C" w14:paraId="089E7D96" w14:textId="77777777" w:rsidTr="005154CD">
        <w:trPr>
          <w:trHeight w:val="236"/>
        </w:trPr>
        <w:tc>
          <w:tcPr>
            <w:tcW w:w="3726" w:type="pct"/>
            <w:tcBorders>
              <w:top w:val="nil"/>
              <w:bottom w:val="single" w:sz="4" w:space="0" w:color="auto"/>
            </w:tcBorders>
          </w:tcPr>
          <w:p w14:paraId="0A3AA45A" w14:textId="25D3853D" w:rsidR="00FF3C2C" w:rsidRPr="00BE53E2" w:rsidRDefault="00FF3C2C" w:rsidP="005154CD">
            <w:pPr>
              <w:pStyle w:val="Body"/>
            </w:pPr>
            <w:r w:rsidRPr="00895B25">
              <w:t>Publish data c</w:t>
            </w:r>
            <w:r w:rsidR="00DA4045">
              <w:t>ompliance report for September q</w:t>
            </w:r>
            <w:r w:rsidRPr="00895B25">
              <w:t>uarter 20</w:t>
            </w:r>
            <w:r>
              <w:t>2</w:t>
            </w:r>
            <w:r w:rsidR="00A35D67">
              <w:t>1</w:t>
            </w:r>
            <w:r w:rsidRPr="00895B25">
              <w:t>.</w:t>
            </w:r>
          </w:p>
        </w:tc>
        <w:tc>
          <w:tcPr>
            <w:tcW w:w="1274" w:type="pct"/>
            <w:tcBorders>
              <w:top w:val="nil"/>
              <w:bottom w:val="single" w:sz="4" w:space="0" w:color="auto"/>
            </w:tcBorders>
          </w:tcPr>
          <w:p w14:paraId="06BFD6C2" w14:textId="21913363" w:rsidR="00FF3C2C" w:rsidRPr="00BE53E2" w:rsidRDefault="00FF3C2C" w:rsidP="00A35D67">
            <w:pPr>
              <w:pStyle w:val="Body"/>
            </w:pPr>
            <w:r w:rsidRPr="00895B25">
              <w:t>March 202</w:t>
            </w:r>
            <w:r w:rsidR="00A35D67">
              <w:t>2</w:t>
            </w:r>
          </w:p>
        </w:tc>
      </w:tr>
      <w:tr w:rsidR="00FF3C2C" w14:paraId="7221CE21" w14:textId="77777777" w:rsidTr="005154CD">
        <w:trPr>
          <w:trHeight w:val="236"/>
        </w:trPr>
        <w:tc>
          <w:tcPr>
            <w:tcW w:w="3726" w:type="pct"/>
            <w:tcBorders>
              <w:top w:val="single" w:sz="4" w:space="0" w:color="auto"/>
              <w:bottom w:val="single" w:sz="4" w:space="0" w:color="auto"/>
            </w:tcBorders>
          </w:tcPr>
          <w:p w14:paraId="4344A44E" w14:textId="2DB367E5" w:rsidR="00FF3C2C" w:rsidRPr="00BE53E2" w:rsidRDefault="00FF3C2C" w:rsidP="005154CD">
            <w:pPr>
              <w:pStyle w:val="Body"/>
            </w:pPr>
            <w:r w:rsidRPr="00895B25">
              <w:t xml:space="preserve">Publish data </w:t>
            </w:r>
            <w:r w:rsidR="00DA4045">
              <w:t>compliance report for December q</w:t>
            </w:r>
            <w:r w:rsidRPr="00895B25">
              <w:t>uarter 20</w:t>
            </w:r>
            <w:r>
              <w:t>2</w:t>
            </w:r>
            <w:r w:rsidR="00A35D67">
              <w:t>1</w:t>
            </w:r>
            <w:r w:rsidRPr="00895B25">
              <w:t>.</w:t>
            </w:r>
          </w:p>
        </w:tc>
        <w:tc>
          <w:tcPr>
            <w:tcW w:w="1274" w:type="pct"/>
            <w:tcBorders>
              <w:top w:val="single" w:sz="4" w:space="0" w:color="auto"/>
              <w:bottom w:val="single" w:sz="4" w:space="0" w:color="auto"/>
            </w:tcBorders>
          </w:tcPr>
          <w:p w14:paraId="3B6022BF" w14:textId="0ABAABF7" w:rsidR="00FF3C2C" w:rsidRPr="00BE53E2" w:rsidRDefault="00FF3C2C" w:rsidP="005154CD">
            <w:pPr>
              <w:pStyle w:val="Body"/>
            </w:pPr>
            <w:r w:rsidRPr="00895B25">
              <w:t>June 202</w:t>
            </w:r>
            <w:r w:rsidR="00A35D67">
              <w:t>2</w:t>
            </w:r>
          </w:p>
        </w:tc>
      </w:tr>
    </w:tbl>
    <w:p w14:paraId="15EDB28A" w14:textId="77777777" w:rsidR="002B39EA" w:rsidRDefault="002B39EA" w:rsidP="002B39EA"/>
    <w:p w14:paraId="5AE716FF" w14:textId="068EF2E4" w:rsidR="00BE53E2" w:rsidRDefault="00BE53E2" w:rsidP="00BE53E2">
      <w:pPr>
        <w:pStyle w:val="IntroBody"/>
      </w:pPr>
      <w:r>
        <w:t xml:space="preserve">IHPA publishes details of </w:t>
      </w:r>
      <w:r w:rsidR="00DA4045">
        <w:t>jurisdictional</w:t>
      </w:r>
      <w:r>
        <w:t xml:space="preserve"> compliance with data requirements as required by </w:t>
      </w:r>
      <w:r w:rsidR="00627D00" w:rsidRPr="00DD4962">
        <w:t>c</w:t>
      </w:r>
      <w:r w:rsidRPr="00627D00">
        <w:t xml:space="preserve">lause </w:t>
      </w:r>
      <w:r w:rsidRPr="00DD4962">
        <w:t>B</w:t>
      </w:r>
      <w:r w:rsidR="00627D00" w:rsidRPr="00DD4962">
        <w:t>81</w:t>
      </w:r>
      <w:r>
        <w:t xml:space="preserve">of the </w:t>
      </w:r>
      <w:r w:rsidR="00627D00">
        <w:t>Addendum</w:t>
      </w:r>
      <w:r>
        <w:t>. Both</w:t>
      </w:r>
      <w:r w:rsidR="00BC2280">
        <w:t xml:space="preserve"> </w:t>
      </w:r>
      <w:r>
        <w:t xml:space="preserve">ABF hospital activity and cost data collections are assessed in accordance with IHPA’s </w:t>
      </w:r>
      <w:r w:rsidRPr="000F3A39">
        <w:rPr>
          <w:i/>
        </w:rPr>
        <w:t>Data Compliance Policy</w:t>
      </w:r>
      <w:r>
        <w:t>. All data compliance reports are publicly available on</w:t>
      </w:r>
      <w:r w:rsidR="00BC2280">
        <w:t xml:space="preserve"> </w:t>
      </w:r>
      <w:r>
        <w:t>IHPA’s website.</w:t>
      </w:r>
    </w:p>
    <w:p w14:paraId="6E6A1DAF" w14:textId="64EC21D0" w:rsidR="005A58D4" w:rsidRDefault="00BE53E2" w:rsidP="002B39EA">
      <w:pPr>
        <w:pStyle w:val="Body"/>
      </w:pPr>
      <w:r>
        <w:t>As outlined in the Addendum, from 1 July 2017, jurisdictions will be required to provide IHPA with a ‘Statement</w:t>
      </w:r>
      <w:r w:rsidR="00BC2280">
        <w:t xml:space="preserve"> </w:t>
      </w:r>
      <w:r>
        <w:t xml:space="preserve">of Assurance’ on the completeness and accuracy of approved data submissions. This is outlined in more detail in the </w:t>
      </w:r>
      <w:r w:rsidR="006032E5">
        <w:t xml:space="preserve">IHPA </w:t>
      </w:r>
      <w:r w:rsidRPr="00322132">
        <w:rPr>
          <w:i/>
          <w:iCs/>
        </w:rPr>
        <w:t>Three</w:t>
      </w:r>
      <w:r w:rsidR="00BC2280">
        <w:rPr>
          <w:i/>
          <w:iCs/>
        </w:rPr>
        <w:t xml:space="preserve"> </w:t>
      </w:r>
      <w:r w:rsidRPr="00322132">
        <w:rPr>
          <w:i/>
          <w:iCs/>
        </w:rPr>
        <w:t>Year Data Plan</w:t>
      </w:r>
      <w:r>
        <w:t>.</w:t>
      </w:r>
    </w:p>
    <w:p w14:paraId="51DA12BC" w14:textId="77777777" w:rsidR="005A58D4" w:rsidRDefault="005A58D4">
      <w:pPr>
        <w:rPr>
          <w:rFonts w:ascii="Arial" w:hAnsi="Arial" w:cs="Arial"/>
          <w:color w:val="262626" w:themeColor="text1" w:themeTint="D9"/>
          <w:sz w:val="18"/>
          <w:szCs w:val="18"/>
        </w:rPr>
      </w:pPr>
      <w:r>
        <w:br w:type="page"/>
      </w:r>
    </w:p>
    <w:p w14:paraId="7801B5BC" w14:textId="4FA93DD3" w:rsidR="00BE53E2" w:rsidRPr="009A3B26" w:rsidRDefault="002B39EA" w:rsidP="002B39EA">
      <w:pPr>
        <w:pStyle w:val="Heading2"/>
        <w:rPr>
          <w:sz w:val="18"/>
          <w:szCs w:val="18"/>
        </w:rPr>
      </w:pPr>
      <w:bookmarkStart w:id="172" w:name="_Toc55045647"/>
      <w:bookmarkStart w:id="173" w:name="_Toc55054018"/>
      <w:bookmarkStart w:id="174" w:name="_Toc55237238"/>
      <w:bookmarkStart w:id="175" w:name="_Toc55238325"/>
      <w:bookmarkStart w:id="176" w:name="_Toc55974143"/>
      <w:r w:rsidRPr="009A3B26">
        <w:rPr>
          <w:sz w:val="18"/>
          <w:szCs w:val="18"/>
        </w:rPr>
        <w:lastRenderedPageBreak/>
        <w:t>(</w:t>
      </w:r>
      <w:r w:rsidR="003B064C" w:rsidRPr="009A3B26">
        <w:rPr>
          <w:sz w:val="18"/>
          <w:szCs w:val="18"/>
        </w:rPr>
        <w:t>g</w:t>
      </w:r>
      <w:r w:rsidRPr="009A3B26">
        <w:rPr>
          <w:sz w:val="18"/>
          <w:szCs w:val="18"/>
        </w:rPr>
        <w:t>)</w:t>
      </w:r>
      <w:r w:rsidR="00221F83" w:rsidRPr="009A3B26">
        <w:rPr>
          <w:sz w:val="18"/>
          <w:szCs w:val="18"/>
        </w:rPr>
        <w:tab/>
      </w:r>
      <w:r w:rsidR="00DA4045" w:rsidRPr="009A3B26">
        <w:rPr>
          <w:sz w:val="18"/>
          <w:szCs w:val="18"/>
        </w:rPr>
        <w:t>Promoting access to public hospital data</w:t>
      </w:r>
      <w:bookmarkEnd w:id="172"/>
      <w:bookmarkEnd w:id="173"/>
      <w:bookmarkEnd w:id="174"/>
      <w:bookmarkEnd w:id="175"/>
      <w:bookmarkEnd w:id="176"/>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FF3C2C" w14:paraId="1CD1480B" w14:textId="77777777" w:rsidTr="005154CD">
        <w:tc>
          <w:tcPr>
            <w:tcW w:w="3726" w:type="pct"/>
            <w:tcBorders>
              <w:top w:val="nil"/>
              <w:bottom w:val="nil"/>
            </w:tcBorders>
            <w:shd w:val="clear" w:color="auto" w:fill="009AB8"/>
            <w:vAlign w:val="center"/>
          </w:tcPr>
          <w:p w14:paraId="74A5F48A" w14:textId="77777777" w:rsidR="00FF3C2C" w:rsidRPr="009A3B26" w:rsidRDefault="00FF3C2C" w:rsidP="005154CD">
            <w:pPr>
              <w:pStyle w:val="TableHeading"/>
              <w:rPr>
                <w:sz w:val="18"/>
                <w:szCs w:val="18"/>
              </w:rPr>
            </w:pPr>
            <w:r w:rsidRPr="009A3B26">
              <w:rPr>
                <w:sz w:val="18"/>
                <w:szCs w:val="18"/>
              </w:rPr>
              <w:t>DELIVERABLES</w:t>
            </w:r>
          </w:p>
        </w:tc>
        <w:tc>
          <w:tcPr>
            <w:tcW w:w="1274" w:type="pct"/>
            <w:tcBorders>
              <w:top w:val="nil"/>
              <w:bottom w:val="nil"/>
            </w:tcBorders>
            <w:shd w:val="clear" w:color="auto" w:fill="009AB8"/>
            <w:vAlign w:val="center"/>
          </w:tcPr>
          <w:p w14:paraId="1DA34D18" w14:textId="77777777" w:rsidR="00FF3C2C" w:rsidRPr="009A3B26" w:rsidRDefault="00FF3C2C" w:rsidP="005154CD">
            <w:pPr>
              <w:pStyle w:val="TableHeading"/>
              <w:rPr>
                <w:sz w:val="18"/>
                <w:szCs w:val="18"/>
              </w:rPr>
            </w:pPr>
            <w:r w:rsidRPr="009A3B26">
              <w:rPr>
                <w:sz w:val="18"/>
                <w:szCs w:val="18"/>
              </w:rPr>
              <w:t>TIMEFRAME</w:t>
            </w:r>
          </w:p>
        </w:tc>
      </w:tr>
      <w:tr w:rsidR="00FF3C2C" w14:paraId="41DC8D48" w14:textId="77777777" w:rsidTr="005154CD">
        <w:trPr>
          <w:trHeight w:val="236"/>
        </w:trPr>
        <w:tc>
          <w:tcPr>
            <w:tcW w:w="3726" w:type="pct"/>
            <w:tcBorders>
              <w:top w:val="nil"/>
              <w:bottom w:val="single" w:sz="4" w:space="0" w:color="auto"/>
            </w:tcBorders>
          </w:tcPr>
          <w:p w14:paraId="23C59BEC" w14:textId="77777777" w:rsidR="00FF3C2C" w:rsidRDefault="00DA4045" w:rsidP="00B137D7">
            <w:pPr>
              <w:pStyle w:val="Body"/>
            </w:pPr>
            <w:r>
              <w:t>C</w:t>
            </w:r>
            <w:r w:rsidR="00FF3C2C" w:rsidRPr="002B39EA">
              <w:t xml:space="preserve">ontinue to </w:t>
            </w:r>
            <w:r w:rsidR="00B23B0B">
              <w:t>expand</w:t>
            </w:r>
            <w:r>
              <w:t xml:space="preserve"> access to</w:t>
            </w:r>
            <w:r w:rsidR="00FF3C2C" w:rsidRPr="002B39EA">
              <w:t xml:space="preserve"> the </w:t>
            </w:r>
            <w:r w:rsidR="00B137D7">
              <w:t>NBP</w:t>
            </w:r>
            <w:r w:rsidR="00FF3C2C" w:rsidRPr="002B39EA">
              <w:t>.</w:t>
            </w:r>
          </w:p>
        </w:tc>
        <w:tc>
          <w:tcPr>
            <w:tcW w:w="1274" w:type="pct"/>
            <w:tcBorders>
              <w:top w:val="nil"/>
              <w:bottom w:val="single" w:sz="4" w:space="0" w:color="auto"/>
            </w:tcBorders>
          </w:tcPr>
          <w:p w14:paraId="6EFB82F9" w14:textId="77777777" w:rsidR="00FF3C2C" w:rsidRDefault="00FF3C2C" w:rsidP="005154CD">
            <w:pPr>
              <w:pStyle w:val="Body"/>
            </w:pPr>
            <w:r w:rsidRPr="00BE53E2">
              <w:t>Ongoing</w:t>
            </w:r>
          </w:p>
        </w:tc>
      </w:tr>
    </w:tbl>
    <w:p w14:paraId="4524E2B1" w14:textId="77777777" w:rsidR="00BE53E2" w:rsidRDefault="00BE53E2" w:rsidP="00BE53E2">
      <w:pPr>
        <w:pStyle w:val="Body"/>
      </w:pPr>
    </w:p>
    <w:p w14:paraId="33196A7B" w14:textId="77777777" w:rsidR="00BE53E2" w:rsidRDefault="00BE53E2" w:rsidP="00BE53E2">
      <w:pPr>
        <w:pStyle w:val="IntroBody"/>
      </w:pPr>
      <w:r>
        <w:t>The NBP is a secure web</w:t>
      </w:r>
      <w:r>
        <w:rPr>
          <w:rFonts w:ascii="Cambria Math" w:hAnsi="Cambria Math" w:cs="Cambria Math"/>
        </w:rPr>
        <w:t>‑</w:t>
      </w:r>
      <w:r>
        <w:t>based application that allows users to compare cost and activity from hospitals around the country. It gives users the ability to compare differences in activity, cost</w:t>
      </w:r>
      <w:r w:rsidR="00BC2280">
        <w:t xml:space="preserve"> </w:t>
      </w:r>
      <w:r>
        <w:t>and efficiency at similar hospitals using the NWAU, a</w:t>
      </w:r>
      <w:r w:rsidR="00BC2280">
        <w:t xml:space="preserve">s </w:t>
      </w:r>
      <w:r>
        <w:t>well as comparing rates of HACs.</w:t>
      </w:r>
    </w:p>
    <w:p w14:paraId="7116C3C7" w14:textId="048DEFE1" w:rsidR="00BE53E2" w:rsidRDefault="00BE53E2" w:rsidP="00BE53E2">
      <w:pPr>
        <w:pStyle w:val="Body"/>
      </w:pPr>
      <w:r>
        <w:t>In 2018, IHPA added HAC risk adjustment measures to the NBP in support of pricing for the safety and quality of hospital service delivery</w:t>
      </w:r>
      <w:r w:rsidR="00B137D7">
        <w:t xml:space="preserve"> and </w:t>
      </w:r>
      <w:r w:rsidR="00463C6B">
        <w:t>in 2021–</w:t>
      </w:r>
      <w:r w:rsidR="00FC433A">
        <w:t xml:space="preserve">22 </w:t>
      </w:r>
      <w:r w:rsidR="00B137D7">
        <w:t>will add hospital readmission rates</w:t>
      </w:r>
      <w:r>
        <w:t xml:space="preserve">. IHPA will continue to work with jurisdictions to consider how the NBP can be further improved through the </w:t>
      </w:r>
      <w:r w:rsidRPr="00BE53E2">
        <w:t xml:space="preserve">inclusion of </w:t>
      </w:r>
      <w:r w:rsidR="0085648F">
        <w:t xml:space="preserve">safety and </w:t>
      </w:r>
      <w:r w:rsidR="000F3A39">
        <w:t>quality</w:t>
      </w:r>
      <w:r w:rsidR="000F3A39" w:rsidRPr="00BE53E2">
        <w:t xml:space="preserve"> indicators</w:t>
      </w:r>
      <w:r w:rsidRPr="00BE53E2">
        <w:t xml:space="preserve"> to better support system and hospital managers for</w:t>
      </w:r>
      <w:r w:rsidR="00BC2280">
        <w:t xml:space="preserve"> benchmarking </w:t>
      </w:r>
      <w:r w:rsidRPr="00BE53E2">
        <w:t>purposes.</w:t>
      </w:r>
    </w:p>
    <w:p w14:paraId="116193FE" w14:textId="1F12DCD8" w:rsidR="00BE53E2" w:rsidRDefault="00BE53E2" w:rsidP="009F795A">
      <w:pPr>
        <w:pStyle w:val="Body"/>
      </w:pPr>
      <w:r>
        <w:t xml:space="preserve">IHPA is working to ensure that access to the NBP is available to all </w:t>
      </w:r>
      <w:r w:rsidR="00192376">
        <w:t xml:space="preserve">Local Hospital Networks </w:t>
      </w:r>
      <w:r>
        <w:t>and public hospitals, and will continue exploring mechanisms to allow this witho</w:t>
      </w:r>
      <w:r w:rsidR="00BC2280">
        <w:t xml:space="preserve">ut compromising the security of </w:t>
      </w:r>
      <w:r>
        <w:t>the system.</w:t>
      </w:r>
      <w:r w:rsidR="00B41020">
        <w:t xml:space="preserve"> IHPA is also </w:t>
      </w:r>
      <w:r w:rsidR="00B41020" w:rsidRPr="00B41020">
        <w:t>work</w:t>
      </w:r>
      <w:r w:rsidR="00B41020">
        <w:t>ing</w:t>
      </w:r>
      <w:r w:rsidR="00B41020" w:rsidRPr="00B41020">
        <w:t xml:space="preserve"> to provide public access to the NBP.</w:t>
      </w:r>
    </w:p>
    <w:p w14:paraId="3637B663" w14:textId="77777777" w:rsidR="00C923D5" w:rsidRDefault="001D66D0">
      <w:pPr>
        <w:rPr>
          <w:rFonts w:ascii="Arial Black" w:hAnsi="Arial Black" w:cs="Arial"/>
          <w:color w:val="000000" w:themeColor="text1"/>
          <w:sz w:val="28"/>
          <w:szCs w:val="28"/>
        </w:rPr>
      </w:pPr>
      <w:r>
        <w:br w:type="page"/>
      </w:r>
      <w:bookmarkStart w:id="177" w:name="_Toc55045649"/>
    </w:p>
    <w:p w14:paraId="0C2F445D" w14:textId="411DD16C" w:rsidR="008843C3" w:rsidRPr="004B435E" w:rsidRDefault="008843C3" w:rsidP="00E96333">
      <w:pPr>
        <w:pStyle w:val="Heading1"/>
        <w:spacing w:before="360" w:after="160" w:line="240" w:lineRule="auto"/>
        <w:rPr>
          <w:color w:val="00B100" w:themeColor="accent1" w:themeTint="BF"/>
          <w:sz w:val="36"/>
          <w:szCs w:val="36"/>
        </w:rPr>
      </w:pPr>
      <w:bookmarkStart w:id="178" w:name="_Toc55974144"/>
      <w:r w:rsidRPr="004B435E">
        <w:rPr>
          <w:color w:val="00B100" w:themeColor="accent1" w:themeTint="BF"/>
          <w:sz w:val="36"/>
          <w:szCs w:val="36"/>
        </w:rPr>
        <w:lastRenderedPageBreak/>
        <w:t>Strat</w:t>
      </w:r>
      <w:r w:rsidR="0030557D" w:rsidRPr="004B435E">
        <w:rPr>
          <w:color w:val="00B100" w:themeColor="accent1" w:themeTint="BF"/>
          <w:sz w:val="36"/>
          <w:szCs w:val="36"/>
        </w:rPr>
        <w:t>e</w:t>
      </w:r>
      <w:r w:rsidRPr="004B435E">
        <w:rPr>
          <w:color w:val="00B100" w:themeColor="accent1" w:themeTint="BF"/>
          <w:sz w:val="36"/>
          <w:szCs w:val="36"/>
        </w:rPr>
        <w:t>gic Objective</w:t>
      </w:r>
      <w:r w:rsidR="00422625">
        <w:rPr>
          <w:color w:val="00B100" w:themeColor="accent1" w:themeTint="BF"/>
          <w:sz w:val="36"/>
          <w:szCs w:val="36"/>
        </w:rPr>
        <w:t xml:space="preserve"> Five: Resolve disputes on cost</w:t>
      </w:r>
      <w:r w:rsidR="00422625">
        <w:rPr>
          <w:color w:val="00B100" w:themeColor="accent1" w:themeTint="BF"/>
          <w:sz w:val="36"/>
          <w:szCs w:val="36"/>
        </w:rPr>
        <w:noBreakHyphen/>
      </w:r>
      <w:r w:rsidRPr="004B435E">
        <w:rPr>
          <w:color w:val="00B100" w:themeColor="accent1" w:themeTint="BF"/>
          <w:sz w:val="36"/>
          <w:szCs w:val="36"/>
        </w:rPr>
        <w:t>shifting and cross-border issues</w:t>
      </w:r>
      <w:bookmarkEnd w:id="178"/>
    </w:p>
    <w:p w14:paraId="6E9FD8E2" w14:textId="472F3272" w:rsidR="003C1752" w:rsidRPr="005A58D4" w:rsidRDefault="003C1752" w:rsidP="00E96333">
      <w:pPr>
        <w:pStyle w:val="Body"/>
        <w:spacing w:before="360"/>
        <w:rPr>
          <w:rFonts w:ascii="Arial Black" w:hAnsi="Arial Black"/>
          <w:color w:val="000000" w:themeColor="text1"/>
        </w:rPr>
      </w:pPr>
      <w:r w:rsidRPr="00960BD0">
        <w:rPr>
          <w:rFonts w:ascii="Arial Black" w:hAnsi="Arial Black"/>
          <w:color w:val="000000" w:themeColor="text1"/>
        </w:rPr>
        <w:t>(a)</w:t>
      </w:r>
      <w:r w:rsidR="00B32BC2" w:rsidRPr="00960BD0">
        <w:rPr>
          <w:rFonts w:ascii="Arial Black" w:hAnsi="Arial Black"/>
          <w:color w:val="000000" w:themeColor="text1"/>
        </w:rPr>
        <w:tab/>
      </w:r>
      <w:r w:rsidRPr="00960BD0">
        <w:rPr>
          <w:rFonts w:ascii="Arial Black" w:hAnsi="Arial Black"/>
          <w:color w:val="000000" w:themeColor="text1"/>
        </w:rPr>
        <w:t>Review of the Cost-Shifting</w:t>
      </w:r>
      <w:r w:rsidRPr="005A58D4">
        <w:rPr>
          <w:rFonts w:ascii="Arial Black" w:hAnsi="Arial Black"/>
          <w:color w:val="000000" w:themeColor="text1"/>
        </w:rPr>
        <w:t xml:space="preserve"> and Cross-Border Dispute Resolution Framework</w:t>
      </w:r>
      <w:bookmarkEnd w:id="177"/>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032"/>
        <w:gridCol w:w="3060"/>
      </w:tblGrid>
      <w:tr w:rsidR="003C1752" w:rsidRPr="005A58D4" w14:paraId="7ECB5951" w14:textId="77777777" w:rsidTr="00411C04">
        <w:trPr>
          <w:trHeight w:val="310"/>
        </w:trPr>
        <w:tc>
          <w:tcPr>
            <w:tcW w:w="3484" w:type="pct"/>
            <w:tcBorders>
              <w:top w:val="nil"/>
              <w:bottom w:val="nil"/>
            </w:tcBorders>
            <w:shd w:val="clear" w:color="auto" w:fill="7EC352"/>
            <w:vAlign w:val="center"/>
          </w:tcPr>
          <w:p w14:paraId="0550557C" w14:textId="77777777" w:rsidR="003C1752" w:rsidRPr="005A58D4" w:rsidRDefault="003C1752" w:rsidP="00837B80">
            <w:pPr>
              <w:pStyle w:val="TableHeading"/>
              <w:ind w:right="-909"/>
              <w:rPr>
                <w:sz w:val="18"/>
                <w:szCs w:val="18"/>
              </w:rPr>
            </w:pPr>
            <w:r w:rsidRPr="005A58D4">
              <w:rPr>
                <w:sz w:val="18"/>
                <w:szCs w:val="18"/>
              </w:rPr>
              <w:t>DELIVERABLES</w:t>
            </w:r>
          </w:p>
        </w:tc>
        <w:tc>
          <w:tcPr>
            <w:tcW w:w="1516" w:type="pct"/>
            <w:tcBorders>
              <w:top w:val="nil"/>
              <w:bottom w:val="nil"/>
            </w:tcBorders>
            <w:shd w:val="clear" w:color="auto" w:fill="7EC352"/>
            <w:vAlign w:val="center"/>
          </w:tcPr>
          <w:p w14:paraId="75EC216D" w14:textId="77777777" w:rsidR="003C1752" w:rsidRPr="005A58D4" w:rsidRDefault="003C1752" w:rsidP="00837B80">
            <w:pPr>
              <w:pStyle w:val="TableHeading"/>
              <w:ind w:right="-909"/>
              <w:rPr>
                <w:sz w:val="18"/>
                <w:szCs w:val="18"/>
              </w:rPr>
            </w:pPr>
            <w:r w:rsidRPr="005A58D4">
              <w:rPr>
                <w:sz w:val="18"/>
                <w:szCs w:val="18"/>
              </w:rPr>
              <w:t>TIMEFRAME</w:t>
            </w:r>
          </w:p>
        </w:tc>
      </w:tr>
      <w:tr w:rsidR="003C1752" w14:paraId="7F4BF6E5" w14:textId="77777777" w:rsidTr="00411C04">
        <w:trPr>
          <w:trHeight w:val="218"/>
        </w:trPr>
        <w:tc>
          <w:tcPr>
            <w:tcW w:w="3484" w:type="pct"/>
            <w:tcBorders>
              <w:top w:val="nil"/>
              <w:bottom w:val="single" w:sz="4" w:space="0" w:color="auto"/>
            </w:tcBorders>
          </w:tcPr>
          <w:p w14:paraId="5A2E690B" w14:textId="77777777" w:rsidR="003C1752" w:rsidRDefault="003C1752" w:rsidP="00837B80">
            <w:pPr>
              <w:pStyle w:val="Body"/>
              <w:ind w:right="-909"/>
            </w:pPr>
            <w:r>
              <w:rPr>
                <w:color w:val="272728"/>
              </w:rPr>
              <w:t xml:space="preserve">Conduct annual </w:t>
            </w:r>
            <w:r w:rsidRPr="000C23B7">
              <w:t>review</w:t>
            </w:r>
            <w:r>
              <w:rPr>
                <w:color w:val="272728"/>
              </w:rPr>
              <w:t xml:space="preserve"> of the </w:t>
            </w:r>
            <w:r w:rsidRPr="000C0C57">
              <w:rPr>
                <w:i/>
              </w:rPr>
              <w:t>Cost-Shifting and Cross</w:t>
            </w:r>
            <w:r w:rsidRPr="000C0C57">
              <w:rPr>
                <w:i/>
              </w:rPr>
              <w:noBreakHyphen/>
              <w:t>Border Dispute Resolution Framework</w:t>
            </w:r>
            <w:r>
              <w:rPr>
                <w:color w:val="272728"/>
              </w:rPr>
              <w:t>.</w:t>
            </w:r>
          </w:p>
        </w:tc>
        <w:tc>
          <w:tcPr>
            <w:tcW w:w="1516" w:type="pct"/>
            <w:tcBorders>
              <w:top w:val="nil"/>
              <w:bottom w:val="single" w:sz="4" w:space="0" w:color="auto"/>
            </w:tcBorders>
          </w:tcPr>
          <w:p w14:paraId="4180A523" w14:textId="3A6F83C0" w:rsidR="003C1752" w:rsidRDefault="00B41020" w:rsidP="00837B80">
            <w:pPr>
              <w:pStyle w:val="Body"/>
              <w:ind w:right="-909"/>
            </w:pPr>
            <w:r>
              <w:t>June 202</w:t>
            </w:r>
            <w:r w:rsidR="00612DB2">
              <w:t>2</w:t>
            </w:r>
          </w:p>
        </w:tc>
      </w:tr>
    </w:tbl>
    <w:p w14:paraId="204B9E76" w14:textId="77777777" w:rsidR="003C1752" w:rsidRDefault="003C1752" w:rsidP="00837B80">
      <w:pPr>
        <w:pStyle w:val="IntroBody"/>
        <w:ind w:right="-909"/>
      </w:pPr>
    </w:p>
    <w:p w14:paraId="100AE4AB" w14:textId="0DFB307D" w:rsidR="003C1752" w:rsidRDefault="003C1752" w:rsidP="00411C04">
      <w:pPr>
        <w:pStyle w:val="IntroBody"/>
        <w:ind w:right="27"/>
      </w:pPr>
      <w:r>
        <w:t xml:space="preserve">As outlined in Part 4.3 of </w:t>
      </w:r>
      <w:r w:rsidR="00BC2280">
        <w:t xml:space="preserve">the </w:t>
      </w:r>
      <w:r w:rsidR="001F2A57" w:rsidRPr="00EB4EA4">
        <w:rPr>
          <w:i/>
        </w:rPr>
        <w:t>National Health Reform Act 2011</w:t>
      </w:r>
      <w:r w:rsidR="00BC2280">
        <w:t xml:space="preserve">, IHPA </w:t>
      </w:r>
      <w:r>
        <w:t>has a role to investigate and make recommendations concerning cross</w:t>
      </w:r>
      <w:r>
        <w:rPr>
          <w:rFonts w:ascii="Cambria Math" w:hAnsi="Cambria Math" w:cs="Cambria Math"/>
        </w:rPr>
        <w:t>‑</w:t>
      </w:r>
      <w:r>
        <w:t>border disputes and to make assessments of cost-shifting disputes.</w:t>
      </w:r>
    </w:p>
    <w:p w14:paraId="0CF338C2" w14:textId="0358C917" w:rsidR="003C1752" w:rsidRDefault="003C1752" w:rsidP="00411C04">
      <w:pPr>
        <w:pStyle w:val="Body"/>
        <w:ind w:right="27"/>
      </w:pPr>
      <w:r>
        <w:t xml:space="preserve">IHPA developed the </w:t>
      </w:r>
      <w:hyperlink r:id="rId38" w:history="1">
        <w:r w:rsidRPr="00B6681E">
          <w:rPr>
            <w:rStyle w:val="LinkChar"/>
          </w:rPr>
          <w:t>Cost-Shifting and Cross</w:t>
        </w:r>
        <w:r w:rsidRPr="00B6681E">
          <w:rPr>
            <w:rStyle w:val="LinkChar"/>
            <w:rFonts w:ascii="Cambria Math" w:hAnsi="Cambria Math" w:cs="Cambria Math"/>
          </w:rPr>
          <w:t>‑</w:t>
        </w:r>
        <w:r w:rsidRPr="00B6681E">
          <w:rPr>
            <w:rStyle w:val="LinkChar"/>
          </w:rPr>
          <w:t>Border Dispute Resolution Framework</w:t>
        </w:r>
      </w:hyperlink>
      <w:r>
        <w:t xml:space="preserve"> to guide timely, equitable and transparent processes to investigate both cross</w:t>
      </w:r>
      <w:r>
        <w:rPr>
          <w:rFonts w:ascii="Cambria Math" w:hAnsi="Cambria Math" w:cs="Cambria Math"/>
        </w:rPr>
        <w:t>‑</w:t>
      </w:r>
      <w:r>
        <w:t>border and cost-shifting disputes.</w:t>
      </w:r>
    </w:p>
    <w:p w14:paraId="69D52CA3" w14:textId="45A76C52" w:rsidR="00B16A97" w:rsidRDefault="003C1752" w:rsidP="00411C04">
      <w:pPr>
        <w:pStyle w:val="Body"/>
        <w:ind w:right="27"/>
      </w:pPr>
      <w:r>
        <w:t xml:space="preserve">The framework </w:t>
      </w:r>
      <w:r w:rsidR="00CA6CDC">
        <w:t>is</w:t>
      </w:r>
      <w:r>
        <w:t xml:space="preserve"> reviewed annually in consultation with all jurisdictions to ensure it remains current to sufficiently support IHPA’s cross-border and cost</w:t>
      </w:r>
      <w:r>
        <w:rPr>
          <w:rFonts w:ascii="Cambria Math" w:hAnsi="Cambria Math" w:cs="Cambria Math"/>
        </w:rPr>
        <w:t>‑</w:t>
      </w:r>
      <w:r w:rsidR="00BC2280">
        <w:t xml:space="preserve">shifting dispute resolution </w:t>
      </w:r>
      <w:r>
        <w:t>role. This annual review will consider the manageability of the framework for all parties involved within the bounds of the prescribed legislative requirements.</w:t>
      </w:r>
    </w:p>
    <w:p w14:paraId="42F3610D" w14:textId="393523EC" w:rsidR="001D66D0" w:rsidRDefault="001D66D0" w:rsidP="00837B80">
      <w:pPr>
        <w:pStyle w:val="Body"/>
        <w:ind w:right="-909"/>
      </w:pPr>
    </w:p>
    <w:p w14:paraId="46AFF4F1" w14:textId="497F5DB5" w:rsidR="00C923D5" w:rsidRDefault="00C923D5" w:rsidP="00837B80">
      <w:pPr>
        <w:pStyle w:val="Body"/>
        <w:ind w:right="-909"/>
      </w:pPr>
    </w:p>
    <w:p w14:paraId="300784EB" w14:textId="0F763C4D" w:rsidR="00C923D5" w:rsidRDefault="00C923D5">
      <w:pPr>
        <w:rPr>
          <w:rFonts w:ascii="Arial" w:hAnsi="Arial" w:cs="Arial"/>
          <w:color w:val="262626" w:themeColor="text1" w:themeTint="D9"/>
          <w:sz w:val="18"/>
          <w:szCs w:val="18"/>
        </w:rPr>
      </w:pPr>
      <w:r>
        <w:br w:type="page"/>
      </w:r>
    </w:p>
    <w:p w14:paraId="29877927" w14:textId="3DFBF998" w:rsidR="005A58D4" w:rsidRDefault="005A58D4" w:rsidP="009E06F3">
      <w:pPr>
        <w:pStyle w:val="Heading1"/>
        <w:spacing w:before="360" w:after="160" w:line="240" w:lineRule="auto"/>
        <w:rPr>
          <w:color w:val="004500" w:themeColor="accent2" w:themeShade="80"/>
          <w:sz w:val="36"/>
          <w:szCs w:val="36"/>
        </w:rPr>
      </w:pPr>
      <w:bookmarkStart w:id="179" w:name="_Toc55974145"/>
      <w:r w:rsidRPr="009E06F3">
        <w:rPr>
          <w:color w:val="004500" w:themeColor="accent2" w:themeShade="80"/>
          <w:sz w:val="36"/>
          <w:szCs w:val="36"/>
        </w:rPr>
        <w:lastRenderedPageBreak/>
        <w:t>Strategic Objective Six: Conduct independent and transparent decision-making and engage with stakeholders</w:t>
      </w:r>
      <w:bookmarkEnd w:id="179"/>
    </w:p>
    <w:p w14:paraId="0D46D91D" w14:textId="744227D8" w:rsidR="004C50B6" w:rsidRPr="005A58D4" w:rsidRDefault="00E2081E" w:rsidP="004C50B6">
      <w:pPr>
        <w:pStyle w:val="Heading2"/>
        <w:rPr>
          <w:sz w:val="18"/>
          <w:szCs w:val="18"/>
        </w:rPr>
      </w:pPr>
      <w:bookmarkStart w:id="180" w:name="_Toc55045651"/>
      <w:bookmarkStart w:id="181" w:name="_Toc55054019"/>
      <w:bookmarkStart w:id="182" w:name="_Toc55237241"/>
      <w:bookmarkStart w:id="183" w:name="_Toc55238255"/>
      <w:bookmarkStart w:id="184" w:name="_Toc55238328"/>
      <w:bookmarkStart w:id="185" w:name="_Toc55974146"/>
      <w:r w:rsidRPr="005A58D4">
        <w:rPr>
          <w:sz w:val="18"/>
          <w:szCs w:val="18"/>
        </w:rPr>
        <w:t>(a</w:t>
      </w:r>
      <w:r w:rsidR="003C1752" w:rsidRPr="005A58D4">
        <w:rPr>
          <w:sz w:val="18"/>
          <w:szCs w:val="18"/>
        </w:rPr>
        <w:t>)</w:t>
      </w:r>
      <w:r w:rsidR="00B32BC2" w:rsidRPr="005A58D4">
        <w:rPr>
          <w:sz w:val="18"/>
          <w:szCs w:val="18"/>
        </w:rPr>
        <w:tab/>
      </w:r>
      <w:r w:rsidR="003C1752" w:rsidRPr="005A58D4">
        <w:rPr>
          <w:sz w:val="18"/>
          <w:szCs w:val="18"/>
        </w:rPr>
        <w:t>Monitor and evaluate the introduction of ABF</w:t>
      </w:r>
      <w:bookmarkEnd w:id="180"/>
      <w:bookmarkEnd w:id="181"/>
      <w:bookmarkEnd w:id="182"/>
      <w:bookmarkEnd w:id="183"/>
      <w:bookmarkEnd w:id="184"/>
      <w:bookmarkEnd w:id="185"/>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4C50B6" w:rsidRPr="005A58D4" w14:paraId="65A0537F" w14:textId="77777777" w:rsidTr="00A100C7">
        <w:tc>
          <w:tcPr>
            <w:tcW w:w="3726" w:type="pct"/>
            <w:tcBorders>
              <w:top w:val="nil"/>
              <w:bottom w:val="nil"/>
            </w:tcBorders>
            <w:shd w:val="clear" w:color="auto" w:fill="003F2C"/>
            <w:vAlign w:val="center"/>
          </w:tcPr>
          <w:p w14:paraId="7203D339" w14:textId="77777777" w:rsidR="004C50B6" w:rsidRPr="005A58D4" w:rsidRDefault="004C50B6" w:rsidP="00A100C7">
            <w:pPr>
              <w:pStyle w:val="TableHeading"/>
              <w:rPr>
                <w:sz w:val="18"/>
                <w:szCs w:val="18"/>
              </w:rPr>
            </w:pPr>
            <w:r w:rsidRPr="005A58D4">
              <w:rPr>
                <w:sz w:val="18"/>
                <w:szCs w:val="18"/>
              </w:rPr>
              <w:t>DELIVERABLES</w:t>
            </w:r>
          </w:p>
        </w:tc>
        <w:tc>
          <w:tcPr>
            <w:tcW w:w="1274" w:type="pct"/>
            <w:tcBorders>
              <w:top w:val="nil"/>
              <w:bottom w:val="nil"/>
            </w:tcBorders>
            <w:shd w:val="clear" w:color="auto" w:fill="003F2C"/>
            <w:vAlign w:val="center"/>
          </w:tcPr>
          <w:p w14:paraId="17CB198F" w14:textId="77777777" w:rsidR="004C50B6" w:rsidRPr="005A58D4" w:rsidRDefault="004C50B6" w:rsidP="00A100C7">
            <w:pPr>
              <w:pStyle w:val="TableHeading"/>
              <w:rPr>
                <w:sz w:val="18"/>
                <w:szCs w:val="18"/>
              </w:rPr>
            </w:pPr>
            <w:r w:rsidRPr="005A58D4">
              <w:rPr>
                <w:sz w:val="18"/>
                <w:szCs w:val="18"/>
              </w:rPr>
              <w:t>TIMEFRAME</w:t>
            </w:r>
          </w:p>
        </w:tc>
      </w:tr>
      <w:tr w:rsidR="004C50B6" w14:paraId="74540266" w14:textId="77777777" w:rsidTr="00A100C7">
        <w:trPr>
          <w:trHeight w:val="236"/>
        </w:trPr>
        <w:tc>
          <w:tcPr>
            <w:tcW w:w="3726" w:type="pct"/>
            <w:tcBorders>
              <w:top w:val="nil"/>
              <w:bottom w:val="single" w:sz="4" w:space="0" w:color="auto"/>
            </w:tcBorders>
          </w:tcPr>
          <w:p w14:paraId="52B01317" w14:textId="77777777" w:rsidR="004C50B6" w:rsidRDefault="00963D3C" w:rsidP="00A100C7">
            <w:pPr>
              <w:pStyle w:val="Body"/>
            </w:pPr>
            <w:r>
              <w:t xml:space="preserve">Provide quarterly </w:t>
            </w:r>
            <w:r w:rsidR="00FC629B">
              <w:t xml:space="preserve">ABF </w:t>
            </w:r>
            <w:r>
              <w:t>activity data reports to the Pricing Authority and Jurisdictional Advisory Committee</w:t>
            </w:r>
            <w:r w:rsidR="004C50B6" w:rsidRPr="00670AC5">
              <w:t>.</w:t>
            </w:r>
          </w:p>
        </w:tc>
        <w:tc>
          <w:tcPr>
            <w:tcW w:w="1274" w:type="pct"/>
            <w:tcBorders>
              <w:top w:val="nil"/>
              <w:bottom w:val="single" w:sz="4" w:space="0" w:color="auto"/>
            </w:tcBorders>
          </w:tcPr>
          <w:p w14:paraId="47D93F08" w14:textId="68529909" w:rsidR="004C50B6" w:rsidRPr="00B041B9" w:rsidRDefault="00F2222D" w:rsidP="00A100C7">
            <w:pPr>
              <w:pStyle w:val="Body"/>
            </w:pPr>
            <w:r w:rsidRPr="0039593B">
              <w:t>Ongoing</w:t>
            </w:r>
          </w:p>
        </w:tc>
      </w:tr>
    </w:tbl>
    <w:p w14:paraId="55ED03DB" w14:textId="77777777" w:rsidR="004C50B6" w:rsidRDefault="004C50B6" w:rsidP="003C1752">
      <w:pPr>
        <w:pStyle w:val="IntroBody"/>
      </w:pPr>
    </w:p>
    <w:p w14:paraId="00B9CBB1" w14:textId="2A5BB292" w:rsidR="003C1752" w:rsidRDefault="003C1752" w:rsidP="003C1752">
      <w:pPr>
        <w:pStyle w:val="IntroBody"/>
      </w:pPr>
      <w:r>
        <w:t>In 202</w:t>
      </w:r>
      <w:r w:rsidR="00A35D67">
        <w:t>1</w:t>
      </w:r>
      <w:r>
        <w:t>–2</w:t>
      </w:r>
      <w:r w:rsidR="00A35D67">
        <w:t>2</w:t>
      </w:r>
      <w:r>
        <w:t>, IHPA will continue to monitor changes in the mix, distribution and location of public hosp</w:t>
      </w:r>
      <w:r w:rsidR="001D5186">
        <w:t xml:space="preserve">ital services each quarter, and </w:t>
      </w:r>
      <w:r>
        <w:t>conduct an annual analysis of the impacts of ABF implementation on the delivery of public hospital services</w:t>
      </w:r>
      <w:r w:rsidR="00346F60">
        <w:t xml:space="preserve"> through the ABF Monitoring Framework</w:t>
      </w:r>
      <w:r>
        <w:t>.</w:t>
      </w:r>
    </w:p>
    <w:p w14:paraId="72C804B0" w14:textId="56382586" w:rsidR="003C1752" w:rsidRDefault="003C1752" w:rsidP="003C1752">
      <w:pPr>
        <w:pStyle w:val="Body"/>
      </w:pPr>
      <w:r>
        <w:t xml:space="preserve">Consistent with </w:t>
      </w:r>
      <w:r w:rsidR="00627D00">
        <w:t>c</w:t>
      </w:r>
      <w:r>
        <w:t xml:space="preserve">lause </w:t>
      </w:r>
      <w:r w:rsidRPr="00DD4962">
        <w:t>A</w:t>
      </w:r>
      <w:r w:rsidR="00627D00" w:rsidRPr="00DD4962">
        <w:t>31</w:t>
      </w:r>
      <w:r w:rsidR="009A3B26">
        <w:t xml:space="preserve"> </w:t>
      </w:r>
      <w:r w:rsidRPr="00DD4962">
        <w:t xml:space="preserve">of the </w:t>
      </w:r>
      <w:r w:rsidR="00627D00" w:rsidRPr="00DD4962">
        <w:t>Addendum</w:t>
      </w:r>
      <w:r w:rsidRPr="00DD4962">
        <w:t>,</w:t>
      </w:r>
      <w:r>
        <w:t xml:space="preserve"> should IHPA identify anomalies in service volumes or other data which suggest that services have been transferred from the community to public hospitals for the dominant purpose of making that service eligible for Commonwealth funding, IHPA will in the first instance consult with the jurisdiction</w:t>
      </w:r>
      <w:r w:rsidR="009844D6">
        <w:t>s</w:t>
      </w:r>
      <w:r w:rsidR="003379C5">
        <w:t xml:space="preserve"> </w:t>
      </w:r>
      <w:r>
        <w:t>in question to ascertain what underlying factors may be driving movements in service volumes.</w:t>
      </w:r>
    </w:p>
    <w:p w14:paraId="7E68C766" w14:textId="77777777" w:rsidR="003C1752" w:rsidRPr="009A3B26" w:rsidRDefault="0051790C" w:rsidP="003C1752">
      <w:pPr>
        <w:pStyle w:val="Heading2"/>
        <w:rPr>
          <w:sz w:val="18"/>
          <w:szCs w:val="18"/>
        </w:rPr>
      </w:pPr>
      <w:bookmarkStart w:id="186" w:name="_Toc55045652"/>
      <w:bookmarkStart w:id="187" w:name="_Toc55054020"/>
      <w:bookmarkStart w:id="188" w:name="_Toc55237242"/>
      <w:bookmarkStart w:id="189" w:name="_Toc55238256"/>
      <w:bookmarkStart w:id="190" w:name="_Toc55238329"/>
      <w:bookmarkStart w:id="191" w:name="_Toc55974147"/>
      <w:r w:rsidRPr="009A3B26">
        <w:rPr>
          <w:sz w:val="18"/>
          <w:szCs w:val="18"/>
        </w:rPr>
        <w:t>(b</w:t>
      </w:r>
      <w:r w:rsidR="003C1752" w:rsidRPr="009A3B26">
        <w:rPr>
          <w:sz w:val="18"/>
          <w:szCs w:val="18"/>
        </w:rPr>
        <w:t>)</w:t>
      </w:r>
      <w:r w:rsidR="003C1752" w:rsidRPr="009A3B26">
        <w:rPr>
          <w:sz w:val="18"/>
          <w:szCs w:val="18"/>
        </w:rPr>
        <w:tab/>
        <w:t>Evidence-based ABF related research</w:t>
      </w:r>
      <w:bookmarkEnd w:id="186"/>
      <w:bookmarkEnd w:id="187"/>
      <w:bookmarkEnd w:id="188"/>
      <w:bookmarkEnd w:id="189"/>
      <w:bookmarkEnd w:id="190"/>
      <w:bookmarkEnd w:id="191"/>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C1752" w:rsidRPr="005A58D4" w14:paraId="51993AC1" w14:textId="77777777" w:rsidTr="005154CD">
        <w:tc>
          <w:tcPr>
            <w:tcW w:w="3726" w:type="pct"/>
            <w:tcBorders>
              <w:top w:val="nil"/>
              <w:bottom w:val="nil"/>
            </w:tcBorders>
            <w:shd w:val="clear" w:color="auto" w:fill="003F2C"/>
            <w:vAlign w:val="center"/>
          </w:tcPr>
          <w:p w14:paraId="14B69C5A" w14:textId="77777777" w:rsidR="003C1752" w:rsidRPr="009A3B26" w:rsidRDefault="003C1752" w:rsidP="005154CD">
            <w:pPr>
              <w:pStyle w:val="TableHeading"/>
              <w:rPr>
                <w:sz w:val="18"/>
                <w:szCs w:val="18"/>
              </w:rPr>
            </w:pPr>
            <w:r w:rsidRPr="009A3B26">
              <w:rPr>
                <w:sz w:val="18"/>
                <w:szCs w:val="18"/>
              </w:rPr>
              <w:t>DELIVERABLES</w:t>
            </w:r>
          </w:p>
        </w:tc>
        <w:tc>
          <w:tcPr>
            <w:tcW w:w="1274" w:type="pct"/>
            <w:tcBorders>
              <w:top w:val="nil"/>
              <w:bottom w:val="nil"/>
            </w:tcBorders>
            <w:shd w:val="clear" w:color="auto" w:fill="003F2C"/>
            <w:vAlign w:val="center"/>
          </w:tcPr>
          <w:p w14:paraId="3C98EBC2" w14:textId="77777777" w:rsidR="003C1752" w:rsidRPr="009A3B26" w:rsidRDefault="003C1752" w:rsidP="005154CD">
            <w:pPr>
              <w:pStyle w:val="TableHeading"/>
              <w:rPr>
                <w:sz w:val="18"/>
                <w:szCs w:val="18"/>
              </w:rPr>
            </w:pPr>
            <w:r w:rsidRPr="009A3B26">
              <w:rPr>
                <w:sz w:val="18"/>
                <w:szCs w:val="18"/>
              </w:rPr>
              <w:t>TIMEFRAME</w:t>
            </w:r>
          </w:p>
        </w:tc>
      </w:tr>
      <w:tr w:rsidR="0051790C" w14:paraId="37E4BF5F" w14:textId="77777777" w:rsidTr="00926801">
        <w:trPr>
          <w:trHeight w:val="236"/>
        </w:trPr>
        <w:tc>
          <w:tcPr>
            <w:tcW w:w="3726" w:type="pct"/>
            <w:tcBorders>
              <w:top w:val="nil"/>
              <w:bottom w:val="single" w:sz="4" w:space="0" w:color="auto"/>
            </w:tcBorders>
          </w:tcPr>
          <w:p w14:paraId="7E6FF0AD" w14:textId="77777777" w:rsidR="0051790C" w:rsidRDefault="0051790C" w:rsidP="009F61CB">
            <w:pPr>
              <w:pStyle w:val="Body"/>
            </w:pPr>
            <w:r w:rsidRPr="00670AC5">
              <w:t>Publi</w:t>
            </w:r>
            <w:r>
              <w:t>sh</w:t>
            </w:r>
            <w:r w:rsidRPr="00670AC5">
              <w:t xml:space="preserve"> evidence-based </w:t>
            </w:r>
            <w:r w:rsidR="009F61CB">
              <w:t>ABF</w:t>
            </w:r>
            <w:r w:rsidRPr="00670AC5">
              <w:t xml:space="preserve"> related research and analysis.</w:t>
            </w:r>
          </w:p>
        </w:tc>
        <w:tc>
          <w:tcPr>
            <w:tcW w:w="1274" w:type="pct"/>
            <w:tcBorders>
              <w:top w:val="nil"/>
              <w:bottom w:val="single" w:sz="4" w:space="0" w:color="auto"/>
            </w:tcBorders>
          </w:tcPr>
          <w:p w14:paraId="277112A3" w14:textId="4EF050EE" w:rsidR="0051790C" w:rsidRPr="00B041B9" w:rsidRDefault="00726987" w:rsidP="005154CD">
            <w:pPr>
              <w:pStyle w:val="Body"/>
            </w:pPr>
            <w:r>
              <w:t>Ongoing</w:t>
            </w:r>
          </w:p>
        </w:tc>
      </w:tr>
      <w:tr w:rsidR="00926801" w14:paraId="5366B63F" w14:textId="77777777" w:rsidTr="00926801">
        <w:trPr>
          <w:trHeight w:val="236"/>
        </w:trPr>
        <w:tc>
          <w:tcPr>
            <w:tcW w:w="3726" w:type="pct"/>
            <w:tcBorders>
              <w:top w:val="single" w:sz="4" w:space="0" w:color="auto"/>
              <w:bottom w:val="single" w:sz="4" w:space="0" w:color="auto"/>
            </w:tcBorders>
          </w:tcPr>
          <w:p w14:paraId="6826284B" w14:textId="035AE05D" w:rsidR="00926801" w:rsidRPr="003272D4" w:rsidRDefault="00926801" w:rsidP="00926801">
            <w:pPr>
              <w:pStyle w:val="Body"/>
              <w:rPr>
                <w:highlight w:val="yellow"/>
              </w:rPr>
            </w:pPr>
            <w:r>
              <w:t>Development of a funding methodology for innovative funding models.</w:t>
            </w:r>
          </w:p>
        </w:tc>
        <w:tc>
          <w:tcPr>
            <w:tcW w:w="1274" w:type="pct"/>
            <w:tcBorders>
              <w:top w:val="single" w:sz="4" w:space="0" w:color="auto"/>
              <w:bottom w:val="single" w:sz="4" w:space="0" w:color="auto"/>
            </w:tcBorders>
          </w:tcPr>
          <w:p w14:paraId="1AE4B7AA" w14:textId="013A2332" w:rsidR="00926801" w:rsidRDefault="00926801" w:rsidP="00926801">
            <w:pPr>
              <w:pStyle w:val="Body"/>
            </w:pPr>
            <w:r>
              <w:t>April 2021</w:t>
            </w:r>
          </w:p>
        </w:tc>
      </w:tr>
    </w:tbl>
    <w:p w14:paraId="1EC53BB4" w14:textId="77777777" w:rsidR="003C1752" w:rsidRDefault="003C1752" w:rsidP="003C1752">
      <w:pPr>
        <w:pStyle w:val="Body"/>
      </w:pPr>
    </w:p>
    <w:p w14:paraId="0F9035F2" w14:textId="0163A269" w:rsidR="00346F60" w:rsidRDefault="003C1752" w:rsidP="00EC2ECF">
      <w:pPr>
        <w:pStyle w:val="IntroBody"/>
      </w:pPr>
      <w:r>
        <w:t xml:space="preserve">In accordance with </w:t>
      </w:r>
      <w:r w:rsidR="000811D3">
        <w:t>c</w:t>
      </w:r>
      <w:r w:rsidRPr="00DD4962">
        <w:t>lause B</w:t>
      </w:r>
      <w:r w:rsidR="000811D3" w:rsidRPr="00DD4962">
        <w:t>31</w:t>
      </w:r>
      <w:r w:rsidRPr="00DD4962">
        <w:t xml:space="preserve"> of the</w:t>
      </w:r>
      <w:r w:rsidR="001D5186" w:rsidRPr="00DD4962">
        <w:t xml:space="preserve"> </w:t>
      </w:r>
      <w:r w:rsidR="000811D3" w:rsidRPr="00DD4962">
        <w:t>Addendum</w:t>
      </w:r>
      <w:r w:rsidRPr="00DD4962">
        <w:t>,</w:t>
      </w:r>
      <w:r>
        <w:t xml:space="preserve"> IHPA may undertake</w:t>
      </w:r>
      <w:r w:rsidR="001D5186">
        <w:t xml:space="preserve"> </w:t>
      </w:r>
      <w:r>
        <w:t xml:space="preserve">research. Evidence-based research plays a very significant role in the ongoing advancement of </w:t>
      </w:r>
      <w:r w:rsidR="00192376">
        <w:t xml:space="preserve">activity based funding (ABF) </w:t>
      </w:r>
      <w:r>
        <w:t>in</w:t>
      </w:r>
      <w:r w:rsidR="00D672CA">
        <w:t xml:space="preserve"> </w:t>
      </w:r>
      <w:r>
        <w:t>Australia. This</w:t>
      </w:r>
      <w:r w:rsidR="001D5186">
        <w:t xml:space="preserve"> </w:t>
      </w:r>
      <w:r>
        <w:t>is particularly the case in improving the understanding of the relationship between public hospital activity and costs in all care</w:t>
      </w:r>
      <w:r w:rsidR="001D5186">
        <w:t xml:space="preserve"> settings. </w:t>
      </w:r>
    </w:p>
    <w:p w14:paraId="2A723851" w14:textId="4AD5EEDD" w:rsidR="003C1752" w:rsidRPr="00346F60" w:rsidRDefault="001D5186" w:rsidP="00622F90">
      <w:pPr>
        <w:pStyle w:val="IntroBody"/>
        <w:rPr>
          <w:b w:val="0"/>
        </w:rPr>
      </w:pPr>
      <w:r w:rsidRPr="00346F60">
        <w:rPr>
          <w:b w:val="0"/>
        </w:rPr>
        <w:t xml:space="preserve">As </w:t>
      </w:r>
      <w:r w:rsidR="003C1752" w:rsidRPr="00346F60">
        <w:rPr>
          <w:b w:val="0"/>
        </w:rPr>
        <w:t>required, IHPA will conduct ABF related research that furthers the understanding and implementation of</w:t>
      </w:r>
      <w:r w:rsidRPr="00346F60">
        <w:rPr>
          <w:b w:val="0"/>
        </w:rPr>
        <w:t xml:space="preserve"> </w:t>
      </w:r>
      <w:r w:rsidR="003C1752" w:rsidRPr="00346F60">
        <w:rPr>
          <w:b w:val="0"/>
        </w:rPr>
        <w:t>ABF, particularly in</w:t>
      </w:r>
      <w:r w:rsidRPr="00346F60">
        <w:rPr>
          <w:b w:val="0"/>
        </w:rPr>
        <w:t xml:space="preserve">cluding classifications, coding </w:t>
      </w:r>
      <w:r w:rsidR="003C1752" w:rsidRPr="00346F60">
        <w:rPr>
          <w:b w:val="0"/>
        </w:rPr>
        <w:t xml:space="preserve">standards and pricing methodologies. As a result, IHPA will be in a better position to determine </w:t>
      </w:r>
      <w:proofErr w:type="gramStart"/>
      <w:r w:rsidR="003C1752" w:rsidRPr="00346F60">
        <w:rPr>
          <w:b w:val="0"/>
        </w:rPr>
        <w:t>an</w:t>
      </w:r>
      <w:proofErr w:type="gramEnd"/>
      <w:r w:rsidR="003C1752" w:rsidRPr="00346F60">
        <w:rPr>
          <w:b w:val="0"/>
        </w:rPr>
        <w:t xml:space="preserve"> </w:t>
      </w:r>
      <w:r w:rsidR="00192376">
        <w:rPr>
          <w:b w:val="0"/>
        </w:rPr>
        <w:t xml:space="preserve">national efficient price </w:t>
      </w:r>
      <w:r w:rsidR="003C1752" w:rsidRPr="00346F60">
        <w:rPr>
          <w:b w:val="0"/>
        </w:rPr>
        <w:t>that accurately reflects the costs e</w:t>
      </w:r>
      <w:r w:rsidRPr="00346F60">
        <w:rPr>
          <w:b w:val="0"/>
        </w:rPr>
        <w:t xml:space="preserve">xperienced by Australian public </w:t>
      </w:r>
      <w:r w:rsidR="003C1752" w:rsidRPr="00346F60">
        <w:rPr>
          <w:b w:val="0"/>
        </w:rPr>
        <w:t>hospitals.</w:t>
      </w:r>
    </w:p>
    <w:p w14:paraId="7AE74620" w14:textId="05903BA0" w:rsidR="0051790C" w:rsidRPr="0081100E" w:rsidRDefault="0051790C" w:rsidP="0081100E">
      <w:pPr>
        <w:rPr>
          <w:rFonts w:ascii="Arial" w:hAnsi="Arial" w:cs="Arial"/>
          <w:b/>
          <w:sz w:val="18"/>
          <w:szCs w:val="18"/>
        </w:rPr>
      </w:pPr>
      <w:bookmarkStart w:id="192" w:name="_Toc55045653"/>
      <w:bookmarkStart w:id="193" w:name="_Toc55054021"/>
      <w:bookmarkStart w:id="194" w:name="_Toc55237243"/>
      <w:r w:rsidRPr="0081100E">
        <w:rPr>
          <w:rFonts w:ascii="Arial" w:hAnsi="Arial" w:cs="Arial"/>
          <w:b/>
          <w:sz w:val="18"/>
          <w:szCs w:val="18"/>
        </w:rPr>
        <w:t xml:space="preserve">Publication of </w:t>
      </w:r>
      <w:r w:rsidR="009A3B26" w:rsidRPr="0081100E">
        <w:rPr>
          <w:rFonts w:ascii="Arial" w:hAnsi="Arial" w:cs="Arial"/>
          <w:b/>
          <w:sz w:val="18"/>
          <w:szCs w:val="18"/>
        </w:rPr>
        <w:t>ABF</w:t>
      </w:r>
      <w:r w:rsidRPr="0081100E">
        <w:rPr>
          <w:rFonts w:ascii="Arial" w:hAnsi="Arial" w:cs="Arial"/>
          <w:b/>
          <w:sz w:val="18"/>
          <w:szCs w:val="18"/>
        </w:rPr>
        <w:t xml:space="preserve"> related research</w:t>
      </w:r>
      <w:bookmarkEnd w:id="192"/>
      <w:bookmarkEnd w:id="193"/>
      <w:bookmarkEnd w:id="194"/>
    </w:p>
    <w:p w14:paraId="157A3D80" w14:textId="77777777" w:rsidR="0051790C" w:rsidRPr="0051790C" w:rsidRDefault="0051790C" w:rsidP="00EC2ECF">
      <w:pPr>
        <w:pStyle w:val="IntroBody"/>
        <w:rPr>
          <w:b w:val="0"/>
        </w:rPr>
      </w:pPr>
      <w:r w:rsidRPr="0051790C">
        <w:rPr>
          <w:b w:val="0"/>
        </w:rPr>
        <w:t>IHPA considers that broadening access to its data and greater publication of analysis using the data would benefit work to develop and evaluate health policy and programs by researchers, clinical groups and peak bodies and would serve the interests of transparency.</w:t>
      </w:r>
    </w:p>
    <w:p w14:paraId="0D96255B" w14:textId="77777777" w:rsidR="0051790C" w:rsidRDefault="0051790C" w:rsidP="00622F90">
      <w:pPr>
        <w:pStyle w:val="Body"/>
      </w:pPr>
      <w:r>
        <w:t>IHPA will continue to work with stakeholders to improve access to hospital data, including developing appropriate safeguards and identifying opportunities that all parties are agreeable to in the release of data and/or publications to third parties.</w:t>
      </w:r>
    </w:p>
    <w:p w14:paraId="7A1556AC" w14:textId="77777777" w:rsidR="003C1752" w:rsidRPr="0081100E" w:rsidRDefault="003C1752" w:rsidP="0081100E">
      <w:pPr>
        <w:rPr>
          <w:rFonts w:ascii="Arial" w:hAnsi="Arial" w:cs="Arial"/>
          <w:b/>
          <w:sz w:val="18"/>
          <w:szCs w:val="18"/>
        </w:rPr>
      </w:pPr>
      <w:bookmarkStart w:id="195" w:name="_Toc55045654"/>
      <w:bookmarkStart w:id="196" w:name="_Toc55054022"/>
      <w:bookmarkStart w:id="197" w:name="_Toc55237244"/>
      <w:r w:rsidRPr="0081100E">
        <w:rPr>
          <w:rFonts w:ascii="Arial" w:hAnsi="Arial" w:cs="Arial"/>
          <w:b/>
          <w:sz w:val="18"/>
          <w:szCs w:val="18"/>
        </w:rPr>
        <w:t>Alternative funding models</w:t>
      </w:r>
      <w:bookmarkEnd w:id="195"/>
      <w:bookmarkEnd w:id="196"/>
      <w:bookmarkEnd w:id="197"/>
    </w:p>
    <w:p w14:paraId="1FAB09DC" w14:textId="041A9665" w:rsidR="003C1752" w:rsidRDefault="003C1752" w:rsidP="00EC2ECF">
      <w:pPr>
        <w:pStyle w:val="Body"/>
      </w:pPr>
      <w:r>
        <w:t xml:space="preserve">The Pricing Guidelines and the </w:t>
      </w:r>
      <w:r w:rsidR="00251EEE">
        <w:t xml:space="preserve">Addendum </w:t>
      </w:r>
      <w:r>
        <w:t>include provisions for IHPA to consider the impact on its work of evidence</w:t>
      </w:r>
      <w:r>
        <w:rPr>
          <w:rFonts w:ascii="Cambria Math" w:hAnsi="Cambria Math" w:cs="Cambria Math"/>
        </w:rPr>
        <w:t>‑</w:t>
      </w:r>
      <w:r>
        <w:t>based, effective new technologies and innovations in models of healthcare. IHPA maintains a watching brief on emerging trends in healthcare to ensure that current ABF framework can accommodate new and alternate approaches to public hospital funding and service delivery.</w:t>
      </w:r>
    </w:p>
    <w:p w14:paraId="7FA5FCAF" w14:textId="7CBFCED9" w:rsidR="005154CD" w:rsidRDefault="005154CD" w:rsidP="00622F90">
      <w:pPr>
        <w:pStyle w:val="Body"/>
      </w:pPr>
      <w:r>
        <w:t xml:space="preserve">While ABF has increased the transparency of hospital services and costs, it has the potential to </w:t>
      </w:r>
      <w:proofErr w:type="spellStart"/>
      <w:r>
        <w:t>incentivise</w:t>
      </w:r>
      <w:proofErr w:type="spellEnd"/>
      <w:r>
        <w:t xml:space="preserve"> more activity or </w:t>
      </w:r>
      <w:r w:rsidR="00DD0FD5">
        <w:t xml:space="preserve">to </w:t>
      </w:r>
      <w:r>
        <w:t xml:space="preserve">admit patients instead of focusing on hospital avoidance and patient outcomes. Consequently, there is a growing discussion in Australia and internationally about the need to increase focus on delivering value-based healthcare with a focus on patient outcomes and experience. </w:t>
      </w:r>
    </w:p>
    <w:p w14:paraId="18C4ECC7" w14:textId="7C687AC9" w:rsidR="004A7C26" w:rsidRPr="0062501B" w:rsidRDefault="004A7C26" w:rsidP="009A3B26">
      <w:pPr>
        <w:spacing w:line="276" w:lineRule="auto"/>
        <w:rPr>
          <w:rFonts w:ascii="Arial" w:hAnsi="Arial" w:cs="Arial"/>
          <w:sz w:val="18"/>
          <w:szCs w:val="18"/>
        </w:rPr>
      </w:pPr>
      <w:r w:rsidRPr="0062501B">
        <w:rPr>
          <w:rFonts w:ascii="Arial" w:hAnsi="Arial" w:cs="Arial"/>
          <w:sz w:val="18"/>
          <w:szCs w:val="18"/>
        </w:rPr>
        <w:t xml:space="preserve">Following on from the </w:t>
      </w:r>
      <w:r w:rsidR="00D01537">
        <w:rPr>
          <w:rFonts w:ascii="Arial" w:hAnsi="Arial" w:cs="Arial"/>
          <w:sz w:val="18"/>
          <w:szCs w:val="18"/>
        </w:rPr>
        <w:t>G</w:t>
      </w:r>
      <w:r w:rsidRPr="0062501B">
        <w:rPr>
          <w:rFonts w:ascii="Arial" w:hAnsi="Arial" w:cs="Arial"/>
          <w:sz w:val="18"/>
          <w:szCs w:val="18"/>
        </w:rPr>
        <w:t>lobal Horizon Scan in March 2019, IHP</w:t>
      </w:r>
      <w:r w:rsidR="005469BA">
        <w:rPr>
          <w:rFonts w:ascii="Arial" w:hAnsi="Arial" w:cs="Arial"/>
          <w:sz w:val="18"/>
          <w:szCs w:val="18"/>
        </w:rPr>
        <w:t>A</w:t>
      </w:r>
      <w:r w:rsidRPr="0062501B">
        <w:rPr>
          <w:rFonts w:ascii="Arial" w:hAnsi="Arial" w:cs="Arial"/>
          <w:sz w:val="18"/>
          <w:szCs w:val="18"/>
        </w:rPr>
        <w:t xml:space="preserve"> developed a roadmap for exploring inn</w:t>
      </w:r>
      <w:r w:rsidR="004C0463">
        <w:rPr>
          <w:rFonts w:ascii="Arial" w:hAnsi="Arial" w:cs="Arial"/>
          <w:sz w:val="18"/>
          <w:szCs w:val="18"/>
        </w:rPr>
        <w:t>ovative funding models such as capitation and bundled p</w:t>
      </w:r>
      <w:r w:rsidRPr="0062501B">
        <w:rPr>
          <w:rFonts w:ascii="Arial" w:hAnsi="Arial" w:cs="Arial"/>
          <w:sz w:val="18"/>
          <w:szCs w:val="18"/>
        </w:rPr>
        <w:t xml:space="preserve">ayments. </w:t>
      </w:r>
    </w:p>
    <w:p w14:paraId="55BC3CAC" w14:textId="2F1A746C" w:rsidR="004A7C26" w:rsidRPr="004C0463" w:rsidRDefault="004A7C26" w:rsidP="009A3B26">
      <w:pPr>
        <w:spacing w:line="276" w:lineRule="auto"/>
        <w:rPr>
          <w:rFonts w:ascii="Arial" w:hAnsi="Arial" w:cs="Arial"/>
          <w:color w:val="262626" w:themeColor="text1" w:themeTint="D9"/>
          <w:sz w:val="18"/>
          <w:szCs w:val="18"/>
        </w:rPr>
      </w:pPr>
      <w:r w:rsidRPr="004C0463">
        <w:rPr>
          <w:rFonts w:ascii="Arial" w:hAnsi="Arial" w:cs="Arial"/>
          <w:color w:val="262626" w:themeColor="text1" w:themeTint="D9"/>
          <w:sz w:val="18"/>
          <w:szCs w:val="18"/>
        </w:rPr>
        <w:lastRenderedPageBreak/>
        <w:t xml:space="preserve">Schedule C of the Addendum supported the approach and provided key references to paying for value and outcomes through supporting innovative models of care and </w:t>
      </w:r>
      <w:proofErr w:type="spellStart"/>
      <w:r w:rsidRPr="004C0463">
        <w:rPr>
          <w:rFonts w:ascii="Arial" w:hAnsi="Arial" w:cs="Arial"/>
          <w:color w:val="262626" w:themeColor="text1" w:themeTint="D9"/>
          <w:sz w:val="18"/>
          <w:szCs w:val="18"/>
        </w:rPr>
        <w:t>trialling</w:t>
      </w:r>
      <w:proofErr w:type="spellEnd"/>
      <w:r w:rsidRPr="004C0463">
        <w:rPr>
          <w:rFonts w:ascii="Arial" w:hAnsi="Arial" w:cs="Arial"/>
          <w:color w:val="262626" w:themeColor="text1" w:themeTint="D9"/>
          <w:sz w:val="18"/>
          <w:szCs w:val="18"/>
        </w:rPr>
        <w:t xml:space="preserve"> new funding arrangements enabling IHPA to build on its strategy in </w:t>
      </w:r>
      <w:r w:rsidR="00821964" w:rsidRPr="004C0463">
        <w:rPr>
          <w:rFonts w:ascii="Arial" w:hAnsi="Arial" w:cs="Arial"/>
          <w:color w:val="262626" w:themeColor="text1" w:themeTint="D9"/>
          <w:sz w:val="18"/>
          <w:szCs w:val="18"/>
        </w:rPr>
        <w:t>20</w:t>
      </w:r>
      <w:r w:rsidRPr="004C0463">
        <w:rPr>
          <w:rFonts w:ascii="Arial" w:hAnsi="Arial" w:cs="Arial"/>
          <w:color w:val="262626" w:themeColor="text1" w:themeTint="D9"/>
          <w:sz w:val="18"/>
          <w:szCs w:val="18"/>
        </w:rPr>
        <w:t>21</w:t>
      </w:r>
      <w:r w:rsidR="00821964" w:rsidRPr="004C0463">
        <w:rPr>
          <w:rFonts w:ascii="Arial" w:hAnsi="Arial" w:cs="Arial"/>
          <w:color w:val="262626" w:themeColor="text1" w:themeTint="D9"/>
          <w:sz w:val="18"/>
          <w:szCs w:val="18"/>
        </w:rPr>
        <w:t>–</w:t>
      </w:r>
      <w:r w:rsidRPr="004C0463">
        <w:rPr>
          <w:rFonts w:ascii="Arial" w:hAnsi="Arial" w:cs="Arial"/>
          <w:color w:val="262626" w:themeColor="text1" w:themeTint="D9"/>
          <w:sz w:val="18"/>
          <w:szCs w:val="18"/>
        </w:rPr>
        <w:t>22.</w:t>
      </w:r>
    </w:p>
    <w:p w14:paraId="1311DE4C" w14:textId="0FA44EA7" w:rsidR="004C0463" w:rsidRPr="00926801" w:rsidRDefault="004A7C26" w:rsidP="004A7C26">
      <w:pPr>
        <w:rPr>
          <w:rFonts w:ascii="Arial" w:hAnsi="Arial" w:cs="Arial"/>
          <w:color w:val="262626" w:themeColor="text1" w:themeTint="D9"/>
          <w:sz w:val="18"/>
          <w:szCs w:val="18"/>
        </w:rPr>
      </w:pPr>
      <w:r w:rsidRPr="00926801">
        <w:rPr>
          <w:rFonts w:ascii="Arial" w:hAnsi="Arial" w:cs="Arial"/>
          <w:color w:val="262626" w:themeColor="text1" w:themeTint="D9"/>
          <w:sz w:val="18"/>
          <w:szCs w:val="18"/>
        </w:rPr>
        <w:t>In 2021</w:t>
      </w:r>
      <w:r w:rsidR="00821964" w:rsidRPr="00926801">
        <w:rPr>
          <w:rFonts w:ascii="Arial" w:hAnsi="Arial" w:cs="Arial"/>
          <w:color w:val="262626" w:themeColor="text1" w:themeTint="D9"/>
          <w:sz w:val="18"/>
          <w:szCs w:val="18"/>
        </w:rPr>
        <w:t>–</w:t>
      </w:r>
      <w:r w:rsidR="00463C6B" w:rsidRPr="00926801">
        <w:rPr>
          <w:rFonts w:ascii="Arial" w:hAnsi="Arial" w:cs="Arial"/>
          <w:color w:val="262626" w:themeColor="text1" w:themeTint="D9"/>
          <w:sz w:val="18"/>
          <w:szCs w:val="18"/>
        </w:rPr>
        <w:t xml:space="preserve">22, IHPA will continue </w:t>
      </w:r>
      <w:r w:rsidR="005923EB" w:rsidRPr="00926801">
        <w:rPr>
          <w:rFonts w:ascii="Arial" w:hAnsi="Arial" w:cs="Arial"/>
          <w:color w:val="262626" w:themeColor="text1" w:themeTint="D9"/>
          <w:sz w:val="18"/>
          <w:szCs w:val="18"/>
        </w:rPr>
        <w:t>exploring</w:t>
      </w:r>
      <w:r w:rsidR="00463C6B" w:rsidRPr="00926801">
        <w:rPr>
          <w:rFonts w:ascii="Arial" w:hAnsi="Arial" w:cs="Arial"/>
          <w:color w:val="262626" w:themeColor="text1" w:themeTint="D9"/>
          <w:sz w:val="18"/>
          <w:szCs w:val="18"/>
        </w:rPr>
        <w:t xml:space="preserve"> </w:t>
      </w:r>
      <w:r w:rsidR="005923EB" w:rsidRPr="00926801">
        <w:rPr>
          <w:rFonts w:ascii="Arial" w:hAnsi="Arial" w:cs="Arial"/>
          <w:color w:val="262626" w:themeColor="text1" w:themeTint="D9"/>
          <w:sz w:val="18"/>
          <w:szCs w:val="18"/>
        </w:rPr>
        <w:t>innovative</w:t>
      </w:r>
      <w:r w:rsidR="00463C6B" w:rsidRPr="00926801">
        <w:rPr>
          <w:rFonts w:ascii="Arial" w:hAnsi="Arial" w:cs="Arial"/>
          <w:color w:val="262626" w:themeColor="text1" w:themeTint="D9"/>
          <w:sz w:val="18"/>
          <w:szCs w:val="18"/>
        </w:rPr>
        <w:t xml:space="preserve"> funding </w:t>
      </w:r>
      <w:r w:rsidR="005923EB" w:rsidRPr="00926801">
        <w:rPr>
          <w:rFonts w:ascii="Arial" w:hAnsi="Arial" w:cs="Arial"/>
          <w:color w:val="262626" w:themeColor="text1" w:themeTint="D9"/>
          <w:sz w:val="18"/>
          <w:szCs w:val="18"/>
        </w:rPr>
        <w:t xml:space="preserve">models, including completing the evaluation of the </w:t>
      </w:r>
      <w:r w:rsidRPr="00926801">
        <w:rPr>
          <w:rFonts w:ascii="Arial" w:hAnsi="Arial" w:cs="Arial"/>
          <w:color w:val="262626" w:themeColor="text1" w:themeTint="D9"/>
          <w:sz w:val="18"/>
          <w:szCs w:val="18"/>
        </w:rPr>
        <w:t xml:space="preserve">Victorian </w:t>
      </w:r>
      <w:proofErr w:type="spellStart"/>
      <w:r w:rsidRPr="00926801">
        <w:rPr>
          <w:rFonts w:ascii="Arial" w:hAnsi="Arial" w:cs="Arial"/>
          <w:color w:val="262626" w:themeColor="text1" w:themeTint="D9"/>
          <w:sz w:val="18"/>
          <w:szCs w:val="18"/>
        </w:rPr>
        <w:t>HealthLinks</w:t>
      </w:r>
      <w:proofErr w:type="spellEnd"/>
      <w:r w:rsidRPr="00926801">
        <w:rPr>
          <w:rFonts w:ascii="Arial" w:hAnsi="Arial" w:cs="Arial"/>
          <w:color w:val="262626" w:themeColor="text1" w:themeTint="D9"/>
          <w:sz w:val="18"/>
          <w:szCs w:val="18"/>
        </w:rPr>
        <w:t xml:space="preserve"> Program with a view to adapting it to a national capitation model that would be appropriate for </w:t>
      </w:r>
      <w:r w:rsidR="005923EB" w:rsidRPr="00926801">
        <w:rPr>
          <w:rFonts w:ascii="Arial" w:hAnsi="Arial" w:cs="Arial"/>
          <w:color w:val="262626" w:themeColor="text1" w:themeTint="D9"/>
          <w:sz w:val="18"/>
          <w:szCs w:val="18"/>
        </w:rPr>
        <w:t>h</w:t>
      </w:r>
      <w:r w:rsidRPr="00926801">
        <w:rPr>
          <w:rFonts w:ascii="Arial" w:hAnsi="Arial" w:cs="Arial"/>
          <w:color w:val="262626" w:themeColor="text1" w:themeTint="D9"/>
          <w:sz w:val="18"/>
          <w:szCs w:val="18"/>
        </w:rPr>
        <w:t>ospi</w:t>
      </w:r>
      <w:r w:rsidR="00821964" w:rsidRPr="00926801">
        <w:rPr>
          <w:rFonts w:ascii="Arial" w:hAnsi="Arial" w:cs="Arial"/>
          <w:color w:val="262626" w:themeColor="text1" w:themeTint="D9"/>
          <w:sz w:val="18"/>
          <w:szCs w:val="18"/>
        </w:rPr>
        <w:t>tal avoidance programs</w:t>
      </w:r>
      <w:r w:rsidRPr="00926801">
        <w:rPr>
          <w:rFonts w:ascii="Arial" w:hAnsi="Arial" w:cs="Arial"/>
          <w:color w:val="262626" w:themeColor="text1" w:themeTint="D9"/>
          <w:sz w:val="18"/>
          <w:szCs w:val="18"/>
        </w:rPr>
        <w:t>.</w:t>
      </w:r>
      <w:r w:rsidR="004C0463" w:rsidRPr="00926801">
        <w:rPr>
          <w:rFonts w:ascii="Arial" w:hAnsi="Arial" w:cs="Arial"/>
          <w:color w:val="262626" w:themeColor="text1" w:themeTint="D9"/>
          <w:sz w:val="18"/>
          <w:szCs w:val="18"/>
        </w:rPr>
        <w:t xml:space="preserve"> IHPA will also develop a framework to guide work to investigate the feasibility of innovative funding models at a national level. The framework will provide clear guidance to Australian governments in determining its approach to </w:t>
      </w:r>
      <w:proofErr w:type="spellStart"/>
      <w:r w:rsidR="004C0463" w:rsidRPr="00926801">
        <w:rPr>
          <w:rFonts w:ascii="Arial" w:hAnsi="Arial" w:cs="Arial"/>
          <w:color w:val="262626" w:themeColor="text1" w:themeTint="D9"/>
          <w:sz w:val="18"/>
          <w:szCs w:val="18"/>
        </w:rPr>
        <w:t>trialling</w:t>
      </w:r>
      <w:proofErr w:type="spellEnd"/>
      <w:r w:rsidR="004C0463" w:rsidRPr="00926801">
        <w:rPr>
          <w:rFonts w:ascii="Arial" w:hAnsi="Arial" w:cs="Arial"/>
          <w:color w:val="262626" w:themeColor="text1" w:themeTint="D9"/>
          <w:sz w:val="18"/>
          <w:szCs w:val="18"/>
        </w:rPr>
        <w:t xml:space="preserve"> different funding models and </w:t>
      </w:r>
      <w:r w:rsidR="00152262" w:rsidRPr="00926801">
        <w:rPr>
          <w:rFonts w:ascii="Arial" w:hAnsi="Arial" w:cs="Arial"/>
          <w:color w:val="262626" w:themeColor="text1" w:themeTint="D9"/>
          <w:sz w:val="18"/>
          <w:szCs w:val="18"/>
        </w:rPr>
        <w:t>IHPA’s role in facilitating</w:t>
      </w:r>
      <w:r w:rsidR="004C0463" w:rsidRPr="00926801">
        <w:rPr>
          <w:rFonts w:ascii="Arial" w:hAnsi="Arial" w:cs="Arial"/>
          <w:color w:val="262626" w:themeColor="text1" w:themeTint="D9"/>
          <w:sz w:val="18"/>
          <w:szCs w:val="18"/>
        </w:rPr>
        <w:t xml:space="preserve"> this work.</w:t>
      </w:r>
    </w:p>
    <w:p w14:paraId="10CF712E" w14:textId="51790AB8" w:rsidR="003C1752" w:rsidRPr="009A3B26" w:rsidRDefault="003C1752" w:rsidP="003C1752">
      <w:pPr>
        <w:pStyle w:val="Heading2"/>
        <w:rPr>
          <w:sz w:val="18"/>
          <w:szCs w:val="18"/>
        </w:rPr>
      </w:pPr>
      <w:bookmarkStart w:id="198" w:name="_Toc55045655"/>
      <w:bookmarkStart w:id="199" w:name="_Toc55054023"/>
      <w:bookmarkStart w:id="200" w:name="_Toc55237245"/>
      <w:bookmarkStart w:id="201" w:name="_Toc55238330"/>
      <w:bookmarkStart w:id="202" w:name="_Toc55974148"/>
      <w:r w:rsidRPr="009A3B26">
        <w:rPr>
          <w:sz w:val="18"/>
          <w:szCs w:val="18"/>
        </w:rPr>
        <w:t>(</w:t>
      </w:r>
      <w:r w:rsidR="005039B8" w:rsidRPr="009A3B26">
        <w:rPr>
          <w:sz w:val="18"/>
          <w:szCs w:val="18"/>
        </w:rPr>
        <w:t>c</w:t>
      </w:r>
      <w:r w:rsidRPr="009A3B26">
        <w:rPr>
          <w:sz w:val="18"/>
          <w:szCs w:val="18"/>
        </w:rPr>
        <w:t>)</w:t>
      </w:r>
      <w:r w:rsidR="00B32BC2" w:rsidRPr="009A3B26">
        <w:rPr>
          <w:sz w:val="18"/>
          <w:szCs w:val="18"/>
        </w:rPr>
        <w:tab/>
      </w:r>
      <w:r w:rsidRPr="009A3B26">
        <w:rPr>
          <w:sz w:val="18"/>
          <w:szCs w:val="18"/>
        </w:rPr>
        <w:t>Support ABF education at a national level</w:t>
      </w:r>
      <w:bookmarkEnd w:id="198"/>
      <w:bookmarkEnd w:id="199"/>
      <w:bookmarkEnd w:id="200"/>
      <w:bookmarkEnd w:id="201"/>
      <w:bookmarkEnd w:id="202"/>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C1752" w:rsidRPr="005A58D4" w14:paraId="19F5E880" w14:textId="77777777" w:rsidTr="00425666">
        <w:tc>
          <w:tcPr>
            <w:tcW w:w="3726" w:type="pct"/>
            <w:tcBorders>
              <w:top w:val="nil"/>
              <w:bottom w:val="nil"/>
            </w:tcBorders>
            <w:shd w:val="clear" w:color="auto" w:fill="003F2C"/>
            <w:vAlign w:val="center"/>
          </w:tcPr>
          <w:p w14:paraId="0135BE97" w14:textId="77777777" w:rsidR="003C1752" w:rsidRPr="009A3B26" w:rsidRDefault="003C1752" w:rsidP="005154CD">
            <w:pPr>
              <w:pStyle w:val="TableHeading"/>
              <w:rPr>
                <w:sz w:val="18"/>
                <w:szCs w:val="18"/>
              </w:rPr>
            </w:pPr>
            <w:r w:rsidRPr="009A3B26">
              <w:rPr>
                <w:sz w:val="18"/>
                <w:szCs w:val="18"/>
              </w:rPr>
              <w:t>DELIVERABLES</w:t>
            </w:r>
          </w:p>
        </w:tc>
        <w:tc>
          <w:tcPr>
            <w:tcW w:w="1274" w:type="pct"/>
            <w:tcBorders>
              <w:top w:val="nil"/>
              <w:bottom w:val="nil"/>
            </w:tcBorders>
            <w:shd w:val="clear" w:color="auto" w:fill="003F2C"/>
            <w:vAlign w:val="center"/>
          </w:tcPr>
          <w:p w14:paraId="05DD6846" w14:textId="77777777" w:rsidR="003C1752" w:rsidRPr="009A3B26" w:rsidRDefault="003C1752" w:rsidP="005154CD">
            <w:pPr>
              <w:pStyle w:val="TableHeading"/>
              <w:rPr>
                <w:sz w:val="18"/>
                <w:szCs w:val="18"/>
              </w:rPr>
            </w:pPr>
            <w:r w:rsidRPr="009A3B26">
              <w:rPr>
                <w:sz w:val="18"/>
                <w:szCs w:val="18"/>
              </w:rPr>
              <w:t>TIMEFRAME</w:t>
            </w:r>
          </w:p>
        </w:tc>
      </w:tr>
      <w:tr w:rsidR="003C1752" w14:paraId="4FB40151" w14:textId="77777777" w:rsidTr="00425666">
        <w:trPr>
          <w:trHeight w:val="236"/>
        </w:trPr>
        <w:tc>
          <w:tcPr>
            <w:tcW w:w="3726" w:type="pct"/>
            <w:tcBorders>
              <w:top w:val="nil"/>
              <w:bottom w:val="single" w:sz="4" w:space="0" w:color="auto"/>
            </w:tcBorders>
          </w:tcPr>
          <w:p w14:paraId="09E535C7" w14:textId="77777777" w:rsidR="003C1752" w:rsidRPr="000C23B7" w:rsidRDefault="003C1752" w:rsidP="00162D7C">
            <w:pPr>
              <w:pStyle w:val="Body"/>
              <w:rPr>
                <w:color w:val="272728"/>
              </w:rPr>
            </w:pPr>
            <w:r w:rsidRPr="00E23E90">
              <w:t>Implementation of strategies, tools and working papers to ensure that IHPA is providing information that will inform its stakeholders.</w:t>
            </w:r>
          </w:p>
        </w:tc>
        <w:tc>
          <w:tcPr>
            <w:tcW w:w="1274" w:type="pct"/>
            <w:tcBorders>
              <w:top w:val="nil"/>
              <w:bottom w:val="single" w:sz="4" w:space="0" w:color="auto"/>
            </w:tcBorders>
          </w:tcPr>
          <w:p w14:paraId="394CBB23" w14:textId="77777777" w:rsidR="003C1752" w:rsidRDefault="003C1752" w:rsidP="005154CD">
            <w:pPr>
              <w:pStyle w:val="Body"/>
            </w:pPr>
            <w:r w:rsidRPr="00E23E90">
              <w:t>Ongoing</w:t>
            </w:r>
          </w:p>
        </w:tc>
      </w:tr>
      <w:tr w:rsidR="005039B8" w14:paraId="55A2D6F7" w14:textId="77777777" w:rsidTr="00425666">
        <w:trPr>
          <w:trHeight w:val="236"/>
        </w:trPr>
        <w:tc>
          <w:tcPr>
            <w:tcW w:w="3726" w:type="pct"/>
            <w:tcBorders>
              <w:top w:val="single" w:sz="4" w:space="0" w:color="auto"/>
              <w:bottom w:val="single" w:sz="4" w:space="0" w:color="auto"/>
            </w:tcBorders>
          </w:tcPr>
          <w:p w14:paraId="47A3570B" w14:textId="77777777" w:rsidR="005039B8" w:rsidRPr="00E23E90" w:rsidRDefault="005039B8" w:rsidP="005039B8">
            <w:pPr>
              <w:pStyle w:val="Body"/>
            </w:pPr>
            <w:r>
              <w:t>Activity Based Funding c</w:t>
            </w:r>
            <w:r w:rsidRPr="00FD38D8">
              <w:t>onference 202</w:t>
            </w:r>
            <w:r>
              <w:t>1</w:t>
            </w:r>
            <w:r w:rsidRPr="00FD38D8">
              <w:t>.</w:t>
            </w:r>
          </w:p>
        </w:tc>
        <w:tc>
          <w:tcPr>
            <w:tcW w:w="1274" w:type="pct"/>
            <w:tcBorders>
              <w:top w:val="single" w:sz="4" w:space="0" w:color="auto"/>
              <w:bottom w:val="single" w:sz="4" w:space="0" w:color="auto"/>
            </w:tcBorders>
          </w:tcPr>
          <w:p w14:paraId="604F19EF" w14:textId="77777777" w:rsidR="005039B8" w:rsidRPr="00DE3732" w:rsidRDefault="005039B8" w:rsidP="005039B8">
            <w:pPr>
              <w:pStyle w:val="Body"/>
            </w:pPr>
            <w:r w:rsidRPr="00DE3732">
              <w:t>May 2021</w:t>
            </w:r>
          </w:p>
        </w:tc>
      </w:tr>
    </w:tbl>
    <w:p w14:paraId="631DA635" w14:textId="67B8C1AA" w:rsidR="003C1752" w:rsidRDefault="003C1752" w:rsidP="003C1752">
      <w:pPr>
        <w:pStyle w:val="Body"/>
      </w:pPr>
    </w:p>
    <w:p w14:paraId="037E2F5A" w14:textId="77777777" w:rsidR="003C1752" w:rsidRDefault="003C1752" w:rsidP="003C1752">
      <w:pPr>
        <w:pStyle w:val="IntroBody"/>
      </w:pPr>
      <w:r>
        <w:t xml:space="preserve">IHPA </w:t>
      </w:r>
      <w:proofErr w:type="spellStart"/>
      <w:r>
        <w:t>recognises</w:t>
      </w:r>
      <w:proofErr w:type="spellEnd"/>
      <w:r>
        <w:t xml:space="preserve"> that the responsibility for ABF education rests with states and territories as the managers of the public hospital system.</w:t>
      </w:r>
    </w:p>
    <w:p w14:paraId="1AEB38FC" w14:textId="23FCEAF9" w:rsidR="003C1752" w:rsidRDefault="003C1752" w:rsidP="003C1752">
      <w:pPr>
        <w:pStyle w:val="Body"/>
      </w:pPr>
      <w:r>
        <w:t>In 202</w:t>
      </w:r>
      <w:r w:rsidR="00A35D67">
        <w:t>1</w:t>
      </w:r>
      <w:r>
        <w:t>–2</w:t>
      </w:r>
      <w:r w:rsidR="00A35D67">
        <w:t>2</w:t>
      </w:r>
      <w:r>
        <w:t xml:space="preserve">, IHPA will continue to implement strategies to ensure that it is providing information that will inform its stakeholders and support ABF education activities, through the provision of education tools and resources. </w:t>
      </w:r>
    </w:p>
    <w:p w14:paraId="4CF5D23E" w14:textId="365140E1" w:rsidR="005039B8" w:rsidRPr="000E1C64" w:rsidRDefault="005039B8" w:rsidP="005039B8">
      <w:pPr>
        <w:pStyle w:val="IntroBody"/>
        <w:rPr>
          <w:b w:val="0"/>
        </w:rPr>
      </w:pPr>
      <w:r w:rsidRPr="005039B8">
        <w:rPr>
          <w:b w:val="0"/>
        </w:rPr>
        <w:t xml:space="preserve">IHPA holds an annual conference aimed at providing high-quality education in ABF and the underlying classification, costing and data collection systems to key health sector personnel. </w:t>
      </w:r>
      <w:r>
        <w:rPr>
          <w:b w:val="0"/>
        </w:rPr>
        <w:t xml:space="preserve">The conference </w:t>
      </w:r>
      <w:r w:rsidRPr="000E1C64">
        <w:rPr>
          <w:b w:val="0"/>
        </w:rPr>
        <w:t>includes major plenary sessions, concurrent smaller presentations</w:t>
      </w:r>
      <w:r w:rsidR="002E042E">
        <w:rPr>
          <w:b w:val="0"/>
        </w:rPr>
        <w:t>,</w:t>
      </w:r>
      <w:r w:rsidRPr="000E1C64">
        <w:rPr>
          <w:b w:val="0"/>
        </w:rPr>
        <w:t xml:space="preserve"> workshops/training, and networking activities. It provides delegates an opportunity to hear from international peers in the healthcare industry about how their systems function.</w:t>
      </w:r>
      <w:r w:rsidR="004902F2">
        <w:rPr>
          <w:b w:val="0"/>
        </w:rPr>
        <w:t xml:space="preserve"> </w:t>
      </w:r>
    </w:p>
    <w:p w14:paraId="5A17D3B8" w14:textId="43860EBB" w:rsidR="002E042E" w:rsidRPr="002E042E" w:rsidRDefault="002E042E" w:rsidP="002E042E">
      <w:pPr>
        <w:rPr>
          <w:rFonts w:ascii="Arial" w:hAnsi="Arial" w:cs="Arial"/>
          <w:color w:val="262626" w:themeColor="text1" w:themeTint="D9"/>
          <w:sz w:val="18"/>
          <w:szCs w:val="18"/>
        </w:rPr>
      </w:pPr>
      <w:r w:rsidRPr="002E042E">
        <w:rPr>
          <w:rFonts w:ascii="Arial" w:hAnsi="Arial" w:cs="Arial"/>
          <w:color w:val="262626" w:themeColor="text1" w:themeTint="D9"/>
          <w:sz w:val="18"/>
          <w:szCs w:val="18"/>
        </w:rPr>
        <w:t xml:space="preserve">Due to </w:t>
      </w:r>
      <w:r w:rsidR="00717397">
        <w:rPr>
          <w:rFonts w:ascii="Arial" w:hAnsi="Arial" w:cs="Arial"/>
          <w:color w:val="262626" w:themeColor="text1" w:themeTint="D9"/>
          <w:sz w:val="18"/>
          <w:szCs w:val="18"/>
        </w:rPr>
        <w:t>COVID-19</w:t>
      </w:r>
      <w:r w:rsidRPr="002E042E">
        <w:rPr>
          <w:rFonts w:ascii="Arial" w:hAnsi="Arial" w:cs="Arial"/>
          <w:color w:val="262626" w:themeColor="text1" w:themeTint="D9"/>
          <w:sz w:val="18"/>
          <w:szCs w:val="18"/>
        </w:rPr>
        <w:t>, IHPA made a decision to postpone its next in-person ABF conference as originally planned in Brisbane in May 2021 to 2022. The COVID-19 restrictions have prompted IHPA to look at alternative ways to deliver its educational responsibilities as outlined in its Work Program 2020</w:t>
      </w:r>
      <w:r w:rsidR="00821964" w:rsidRPr="00821964">
        <w:rPr>
          <w:rFonts w:ascii="Arial" w:hAnsi="Arial" w:cs="Arial"/>
          <w:color w:val="262626" w:themeColor="text1" w:themeTint="D9"/>
          <w:sz w:val="18"/>
          <w:szCs w:val="18"/>
        </w:rPr>
        <w:t>–</w:t>
      </w:r>
      <w:r w:rsidRPr="002E042E">
        <w:rPr>
          <w:rFonts w:ascii="Arial" w:hAnsi="Arial" w:cs="Arial"/>
          <w:color w:val="262626" w:themeColor="text1" w:themeTint="D9"/>
          <w:sz w:val="18"/>
          <w:szCs w:val="18"/>
        </w:rPr>
        <w:t>21.</w:t>
      </w:r>
    </w:p>
    <w:p w14:paraId="3CDAC9E6" w14:textId="15D387C2" w:rsidR="001F3404" w:rsidRDefault="002E042E" w:rsidP="002E042E">
      <w:pPr>
        <w:rPr>
          <w:rFonts w:ascii="Arial" w:hAnsi="Arial" w:cs="Arial"/>
          <w:color w:val="262626" w:themeColor="text1" w:themeTint="D9"/>
          <w:sz w:val="18"/>
          <w:szCs w:val="18"/>
        </w:rPr>
      </w:pPr>
      <w:r w:rsidRPr="002E042E">
        <w:rPr>
          <w:rFonts w:ascii="Arial" w:hAnsi="Arial" w:cs="Arial"/>
          <w:color w:val="262626" w:themeColor="text1" w:themeTint="D9"/>
          <w:sz w:val="18"/>
          <w:szCs w:val="18"/>
        </w:rPr>
        <w:t xml:space="preserve">Delivering educational programs on </w:t>
      </w:r>
      <w:r w:rsidR="00821964">
        <w:rPr>
          <w:rFonts w:ascii="Arial" w:hAnsi="Arial" w:cs="Arial"/>
          <w:color w:val="262626" w:themeColor="text1" w:themeTint="D9"/>
          <w:sz w:val="18"/>
          <w:szCs w:val="18"/>
        </w:rPr>
        <w:t>ABF</w:t>
      </w:r>
      <w:r w:rsidRPr="002E042E">
        <w:rPr>
          <w:rFonts w:ascii="Arial" w:hAnsi="Arial" w:cs="Arial"/>
          <w:color w:val="262626" w:themeColor="text1" w:themeTint="D9"/>
          <w:sz w:val="18"/>
          <w:szCs w:val="18"/>
        </w:rPr>
        <w:t xml:space="preserve"> will ensure that there are continuing opportunities for engagement and professional development, and will present an opportunity for diverse roles, including early-career professionals, who are cost prohibited to attend the conference in person.</w:t>
      </w:r>
    </w:p>
    <w:p w14:paraId="6F0D9F96" w14:textId="77777777" w:rsidR="001F3404" w:rsidRDefault="001F3404">
      <w:pPr>
        <w:rPr>
          <w:rFonts w:ascii="Arial" w:hAnsi="Arial" w:cs="Arial"/>
          <w:color w:val="262626" w:themeColor="text1" w:themeTint="D9"/>
          <w:sz w:val="18"/>
          <w:szCs w:val="18"/>
        </w:rPr>
      </w:pPr>
      <w:r>
        <w:rPr>
          <w:rFonts w:ascii="Arial" w:hAnsi="Arial" w:cs="Arial"/>
          <w:color w:val="262626" w:themeColor="text1" w:themeTint="D9"/>
          <w:sz w:val="18"/>
          <w:szCs w:val="18"/>
        </w:rPr>
        <w:br w:type="page"/>
      </w:r>
    </w:p>
    <w:p w14:paraId="519C84C2" w14:textId="554F38C5" w:rsidR="001F3404" w:rsidRDefault="001A060A" w:rsidP="001F3404">
      <w:pPr>
        <w:pStyle w:val="Heading1"/>
      </w:pPr>
      <w:bookmarkStart w:id="203" w:name="_Toc55044583"/>
      <w:bookmarkStart w:id="204" w:name="_Toc55974149"/>
      <w:r>
        <w:lastRenderedPageBreak/>
        <w:t>3</w:t>
      </w:r>
      <w:r w:rsidR="001F3404">
        <w:t>. Operating context</w:t>
      </w:r>
      <w:bookmarkEnd w:id="203"/>
      <w:bookmarkEnd w:id="204"/>
    </w:p>
    <w:p w14:paraId="022F882A" w14:textId="01CC7A35" w:rsidR="001F3404" w:rsidRPr="00495635" w:rsidRDefault="00331F88" w:rsidP="00495635">
      <w:pPr>
        <w:pStyle w:val="BodyText"/>
        <w:spacing w:after="160" w:line="276" w:lineRule="auto"/>
        <w:ind w:left="0"/>
        <w:rPr>
          <w:rFonts w:ascii="Arial" w:eastAsiaTheme="minorHAnsi" w:hAnsi="Arial" w:cs="Arial"/>
          <w:sz w:val="18"/>
          <w:szCs w:val="18"/>
          <w:lang w:val="en-AU"/>
        </w:rPr>
      </w:pPr>
      <w:r>
        <w:rPr>
          <w:rFonts w:ascii="Arial" w:eastAsiaTheme="minorHAnsi" w:hAnsi="Arial" w:cs="Arial"/>
          <w:sz w:val="18"/>
          <w:szCs w:val="18"/>
          <w:lang w:val="en-AU"/>
        </w:rPr>
        <w:t xml:space="preserve">The operating context describes IHPA’s </w:t>
      </w:r>
      <w:r w:rsidR="00B51040">
        <w:rPr>
          <w:rFonts w:ascii="Arial" w:eastAsiaTheme="minorHAnsi" w:hAnsi="Arial" w:cs="Arial"/>
          <w:sz w:val="18"/>
          <w:szCs w:val="18"/>
          <w:lang w:val="en-AU"/>
        </w:rPr>
        <w:t xml:space="preserve">environment, capability, cooperation and </w:t>
      </w:r>
      <w:r w:rsidR="00F048EB" w:rsidRPr="00495635">
        <w:rPr>
          <w:rFonts w:ascii="Arial" w:eastAsiaTheme="minorHAnsi" w:hAnsi="Arial" w:cs="Arial"/>
          <w:sz w:val="18"/>
          <w:szCs w:val="18"/>
          <w:lang w:val="en-AU"/>
        </w:rPr>
        <w:t xml:space="preserve">collaboration, and </w:t>
      </w:r>
      <w:r w:rsidR="00FF7D5B">
        <w:rPr>
          <w:rFonts w:ascii="Arial" w:eastAsiaTheme="minorHAnsi" w:hAnsi="Arial" w:cs="Arial"/>
          <w:sz w:val="18"/>
          <w:szCs w:val="18"/>
          <w:lang w:val="en-AU"/>
        </w:rPr>
        <w:t xml:space="preserve">enterprise </w:t>
      </w:r>
      <w:r w:rsidR="00F048EB" w:rsidRPr="00495635">
        <w:rPr>
          <w:rFonts w:ascii="Arial" w:eastAsiaTheme="minorHAnsi" w:hAnsi="Arial" w:cs="Arial"/>
          <w:sz w:val="18"/>
          <w:szCs w:val="18"/>
          <w:lang w:val="en-AU"/>
        </w:rPr>
        <w:t>risk</w:t>
      </w:r>
      <w:r w:rsidR="00DB71A2">
        <w:rPr>
          <w:rFonts w:ascii="Arial" w:eastAsiaTheme="minorHAnsi" w:hAnsi="Arial" w:cs="Arial"/>
          <w:sz w:val="18"/>
          <w:szCs w:val="18"/>
          <w:lang w:val="en-AU"/>
        </w:rPr>
        <w:t>.</w:t>
      </w:r>
    </w:p>
    <w:p w14:paraId="0A3DA34F" w14:textId="52127929" w:rsidR="001F3404" w:rsidRPr="0069135E" w:rsidRDefault="001A060A" w:rsidP="0069135E">
      <w:pPr>
        <w:pStyle w:val="Heading1"/>
        <w:spacing w:before="360" w:after="160" w:line="240" w:lineRule="auto"/>
        <w:rPr>
          <w:sz w:val="36"/>
          <w:szCs w:val="36"/>
        </w:rPr>
      </w:pPr>
      <w:bookmarkStart w:id="205" w:name="_Toc55054029"/>
      <w:bookmarkStart w:id="206" w:name="_Toc55974150"/>
      <w:r>
        <w:rPr>
          <w:color w:val="000000" w:themeColor="text1"/>
          <w:sz w:val="36"/>
          <w:szCs w:val="36"/>
        </w:rPr>
        <w:t>3</w:t>
      </w:r>
      <w:r w:rsidR="001F3404" w:rsidRPr="0069135E">
        <w:rPr>
          <w:color w:val="000000" w:themeColor="text1"/>
          <w:sz w:val="36"/>
          <w:szCs w:val="36"/>
        </w:rPr>
        <w:t>.1 Environment</w:t>
      </w:r>
      <w:bookmarkEnd w:id="205"/>
      <w:bookmarkEnd w:id="206"/>
    </w:p>
    <w:p w14:paraId="79AED028" w14:textId="58E5B3D5" w:rsidR="001F3404" w:rsidRPr="00495635" w:rsidRDefault="001F3404" w:rsidP="00495635">
      <w:pPr>
        <w:pStyle w:val="BodyText"/>
        <w:spacing w:after="160" w:line="276" w:lineRule="auto"/>
        <w:ind w:left="0"/>
        <w:rPr>
          <w:rFonts w:ascii="Arial" w:eastAsiaTheme="minorHAnsi" w:hAnsi="Arial" w:cs="Arial"/>
          <w:sz w:val="18"/>
          <w:szCs w:val="18"/>
          <w:lang w:val="en-AU"/>
        </w:rPr>
      </w:pPr>
      <w:r w:rsidRPr="00495635">
        <w:rPr>
          <w:rFonts w:ascii="Arial" w:eastAsiaTheme="minorHAnsi" w:hAnsi="Arial" w:cs="Arial"/>
          <w:sz w:val="18"/>
          <w:szCs w:val="18"/>
          <w:lang w:val="en-AU"/>
        </w:rPr>
        <w:t xml:space="preserve">IHPA operations are influenced by advances in technology that enable digitisation, automation and visualisation. International and Australian developments in best practice and research continuously inform policy and practice. </w:t>
      </w:r>
      <w:r w:rsidR="00B15A69">
        <w:rPr>
          <w:rFonts w:ascii="Arial" w:eastAsiaTheme="minorHAnsi" w:hAnsi="Arial" w:cs="Arial"/>
          <w:sz w:val="18"/>
          <w:szCs w:val="18"/>
          <w:lang w:val="en-AU"/>
        </w:rPr>
        <w:t xml:space="preserve">As the </w:t>
      </w:r>
      <w:r w:rsidRPr="00B15A69">
        <w:rPr>
          <w:rFonts w:ascii="Arial" w:eastAsiaTheme="minorHAnsi" w:hAnsi="Arial" w:cs="Arial"/>
          <w:sz w:val="18"/>
          <w:szCs w:val="18"/>
          <w:lang w:val="en-AU"/>
        </w:rPr>
        <w:t>long term impact of</w:t>
      </w:r>
      <w:r w:rsidR="00192376" w:rsidRPr="00B15A69">
        <w:rPr>
          <w:rFonts w:ascii="Arial" w:eastAsiaTheme="minorHAnsi" w:hAnsi="Arial" w:cs="Arial"/>
          <w:sz w:val="18"/>
          <w:szCs w:val="18"/>
          <w:lang w:val="en-AU"/>
        </w:rPr>
        <w:t xml:space="preserve"> Coronavirus Disease 2019 (COVID-19) </w:t>
      </w:r>
      <w:r w:rsidR="00B15A69">
        <w:rPr>
          <w:rFonts w:ascii="Arial" w:eastAsiaTheme="minorHAnsi" w:hAnsi="Arial" w:cs="Arial"/>
          <w:sz w:val="18"/>
          <w:szCs w:val="18"/>
          <w:lang w:val="en-AU"/>
        </w:rPr>
        <w:t xml:space="preserve">is </w:t>
      </w:r>
      <w:r w:rsidR="0079053B">
        <w:rPr>
          <w:rFonts w:ascii="Arial" w:eastAsiaTheme="minorHAnsi" w:hAnsi="Arial" w:cs="Arial"/>
          <w:sz w:val="18"/>
          <w:szCs w:val="18"/>
          <w:lang w:val="en-AU"/>
        </w:rPr>
        <w:t>still uncertain</w:t>
      </w:r>
      <w:r w:rsidR="00B15A69">
        <w:rPr>
          <w:rFonts w:ascii="Arial" w:eastAsiaTheme="minorHAnsi" w:hAnsi="Arial" w:cs="Arial"/>
          <w:sz w:val="18"/>
          <w:szCs w:val="18"/>
          <w:lang w:val="en-AU"/>
        </w:rPr>
        <w:t>, IHPA will consider potential impacts on its operating context</w:t>
      </w:r>
      <w:r w:rsidR="0079053B">
        <w:rPr>
          <w:rFonts w:ascii="Arial" w:eastAsiaTheme="minorHAnsi" w:hAnsi="Arial" w:cs="Arial"/>
          <w:sz w:val="18"/>
          <w:szCs w:val="18"/>
          <w:lang w:val="en-AU"/>
        </w:rPr>
        <w:t xml:space="preserve"> when information becomes available</w:t>
      </w:r>
      <w:r w:rsidRPr="00B15A69">
        <w:rPr>
          <w:rFonts w:ascii="Arial" w:eastAsiaTheme="minorHAnsi" w:hAnsi="Arial" w:cs="Arial"/>
          <w:sz w:val="18"/>
          <w:szCs w:val="18"/>
          <w:lang w:val="en-AU"/>
        </w:rPr>
        <w:t>.</w:t>
      </w:r>
    </w:p>
    <w:p w14:paraId="0D3E2C7E" w14:textId="4613F7A7" w:rsidR="001F3404" w:rsidRPr="0069135E" w:rsidRDefault="001A060A" w:rsidP="0069135E">
      <w:pPr>
        <w:pStyle w:val="Heading1"/>
        <w:spacing w:before="360" w:after="160" w:line="240" w:lineRule="auto"/>
        <w:rPr>
          <w:sz w:val="36"/>
          <w:szCs w:val="36"/>
        </w:rPr>
      </w:pPr>
      <w:bookmarkStart w:id="207" w:name="_Toc55054030"/>
      <w:bookmarkStart w:id="208" w:name="_Toc55974151"/>
      <w:r>
        <w:rPr>
          <w:color w:val="000000" w:themeColor="text1"/>
          <w:sz w:val="36"/>
          <w:szCs w:val="36"/>
        </w:rPr>
        <w:t>3</w:t>
      </w:r>
      <w:r w:rsidR="001F3404" w:rsidRPr="0069135E">
        <w:rPr>
          <w:color w:val="000000" w:themeColor="text1"/>
          <w:sz w:val="36"/>
          <w:szCs w:val="36"/>
        </w:rPr>
        <w:t>.2 Capability</w:t>
      </w:r>
      <w:bookmarkEnd w:id="207"/>
      <w:bookmarkEnd w:id="208"/>
    </w:p>
    <w:p w14:paraId="253D91C7" w14:textId="585B3D37" w:rsidR="001F3404" w:rsidRPr="00411C04" w:rsidRDefault="001F3404" w:rsidP="00411C04">
      <w:pPr>
        <w:rPr>
          <w:rFonts w:ascii="Arial" w:hAnsi="Arial" w:cs="Arial"/>
          <w:b/>
          <w:sz w:val="18"/>
          <w:szCs w:val="18"/>
        </w:rPr>
      </w:pPr>
      <w:r w:rsidRPr="00411C04">
        <w:rPr>
          <w:rFonts w:ascii="Arial" w:hAnsi="Arial" w:cs="Arial"/>
          <w:b/>
          <w:sz w:val="18"/>
          <w:szCs w:val="18"/>
        </w:rPr>
        <w:t xml:space="preserve">Human </w:t>
      </w:r>
      <w:r w:rsidR="00C10E6A" w:rsidRPr="00411C04">
        <w:rPr>
          <w:rFonts w:ascii="Arial" w:hAnsi="Arial" w:cs="Arial"/>
          <w:b/>
          <w:sz w:val="18"/>
          <w:szCs w:val="18"/>
        </w:rPr>
        <w:t>r</w:t>
      </w:r>
      <w:r w:rsidRPr="00411C04">
        <w:rPr>
          <w:rFonts w:ascii="Arial" w:hAnsi="Arial" w:cs="Arial"/>
          <w:b/>
          <w:sz w:val="18"/>
          <w:szCs w:val="18"/>
        </w:rPr>
        <w:t xml:space="preserve">esources </w:t>
      </w:r>
    </w:p>
    <w:p w14:paraId="460E3504" w14:textId="15FFC571" w:rsidR="001F3404" w:rsidRPr="004263CB" w:rsidRDefault="001F3404" w:rsidP="004263CB">
      <w:pPr>
        <w:pStyle w:val="BodyText"/>
        <w:spacing w:after="160" w:line="276" w:lineRule="auto"/>
        <w:ind w:left="0" w:right="523"/>
        <w:rPr>
          <w:rFonts w:ascii="Arial" w:eastAsiaTheme="minorHAnsi" w:hAnsi="Arial" w:cs="Arial"/>
          <w:sz w:val="18"/>
          <w:szCs w:val="18"/>
          <w:lang w:val="en-AU"/>
        </w:rPr>
      </w:pPr>
      <w:r w:rsidRPr="004263CB">
        <w:rPr>
          <w:rFonts w:ascii="Arial" w:eastAsiaTheme="minorHAnsi" w:hAnsi="Arial" w:cs="Arial"/>
          <w:sz w:val="18"/>
          <w:szCs w:val="18"/>
          <w:lang w:val="en-AU"/>
        </w:rPr>
        <w:t>IHPA continues to place great value in creating a more productive and inclusive workplace, primarily by attracting and retaining high-calibre, talented and engaged staff. The agency supports a flexible work environment, and will continue to support all staff to optimise balance between their work and outside factors, as well as providing technological support critical to achieving their required work performance. IHPA is committed to the recruitment and retention of a diverse (</w:t>
      </w:r>
      <w:r w:rsidR="001F2A57">
        <w:rPr>
          <w:rFonts w:ascii="Arial" w:eastAsiaTheme="minorHAnsi" w:hAnsi="Arial" w:cs="Arial"/>
          <w:sz w:val="18"/>
          <w:szCs w:val="18"/>
          <w:lang w:val="en-AU"/>
        </w:rPr>
        <w:t>for example,</w:t>
      </w:r>
      <w:r w:rsidRPr="004263CB">
        <w:rPr>
          <w:rFonts w:ascii="Arial" w:eastAsiaTheme="minorHAnsi" w:hAnsi="Arial" w:cs="Arial"/>
          <w:sz w:val="18"/>
          <w:szCs w:val="18"/>
          <w:lang w:val="en-AU"/>
        </w:rPr>
        <w:t xml:space="preserve"> in gender, age, cultural and linguistic background, disability, </w:t>
      </w:r>
      <w:r w:rsidR="00192376">
        <w:rPr>
          <w:rFonts w:ascii="Arial" w:eastAsiaTheme="minorHAnsi" w:hAnsi="Arial" w:cs="Arial"/>
          <w:sz w:val="18"/>
          <w:szCs w:val="18"/>
          <w:lang w:val="en-AU"/>
        </w:rPr>
        <w:t>Aboriginal and Torres Strait Islander</w:t>
      </w:r>
      <w:r w:rsidRPr="004263CB">
        <w:rPr>
          <w:rFonts w:ascii="Arial" w:eastAsiaTheme="minorHAnsi" w:hAnsi="Arial" w:cs="Arial"/>
          <w:sz w:val="18"/>
          <w:szCs w:val="18"/>
          <w:lang w:val="en-AU"/>
        </w:rPr>
        <w:t>, and LGBTI+) workforce, and actively promotes an inclusive workplace culture. Training and development are provided on a programmed basis and needs basis to individual staff. Additionally, mid-level and senior management staff undertake leadership training.</w:t>
      </w:r>
    </w:p>
    <w:p w14:paraId="78B14344" w14:textId="77777777" w:rsidR="001F3404" w:rsidRPr="004263CB" w:rsidRDefault="001F3404" w:rsidP="004263CB">
      <w:pPr>
        <w:pStyle w:val="BodyText"/>
        <w:spacing w:after="160" w:line="276" w:lineRule="auto"/>
        <w:ind w:left="0" w:right="523"/>
        <w:rPr>
          <w:rFonts w:ascii="Arial" w:eastAsiaTheme="minorHAnsi" w:hAnsi="Arial" w:cs="Arial"/>
          <w:sz w:val="18"/>
          <w:szCs w:val="18"/>
          <w:lang w:val="en-AU"/>
        </w:rPr>
      </w:pPr>
      <w:r w:rsidRPr="004263CB">
        <w:rPr>
          <w:rFonts w:ascii="Arial" w:eastAsiaTheme="minorHAnsi" w:hAnsi="Arial" w:cs="Arial"/>
          <w:sz w:val="18"/>
          <w:szCs w:val="18"/>
          <w:lang w:val="en-AU"/>
        </w:rPr>
        <w:t>IHPA’s work program incorporates a substantial amount of technical work that requires significant specialist workforce capability. IHPA’s workforce planning strategies will continue to emphasise both core public sector skills and the enhancement of the expert skills IHPA requires to meet its objectives.</w:t>
      </w:r>
    </w:p>
    <w:p w14:paraId="025241C1" w14:textId="77777777" w:rsidR="001F3404" w:rsidRPr="004263CB" w:rsidRDefault="001F3404" w:rsidP="004263CB">
      <w:pPr>
        <w:pStyle w:val="BodyText"/>
        <w:spacing w:after="160" w:line="276" w:lineRule="auto"/>
        <w:ind w:left="0" w:right="901"/>
        <w:rPr>
          <w:rFonts w:ascii="Arial" w:eastAsiaTheme="minorHAnsi" w:hAnsi="Arial" w:cs="Arial"/>
          <w:sz w:val="18"/>
          <w:szCs w:val="18"/>
          <w:lang w:val="en-AU"/>
        </w:rPr>
      </w:pPr>
      <w:r w:rsidRPr="004263CB">
        <w:rPr>
          <w:rFonts w:ascii="Arial" w:eastAsiaTheme="minorHAnsi" w:hAnsi="Arial" w:cs="Arial"/>
          <w:sz w:val="18"/>
          <w:szCs w:val="18"/>
          <w:lang w:val="en-AU"/>
        </w:rPr>
        <w:t>IHPA will also continue to strengthen its management and leadership teams by enhancing performance feedback and providing targeted learning and development programs.</w:t>
      </w:r>
    </w:p>
    <w:p w14:paraId="31CA65E7" w14:textId="13AB5540" w:rsidR="001F3404" w:rsidRPr="004263CB" w:rsidRDefault="001F3404" w:rsidP="004263CB">
      <w:pPr>
        <w:spacing w:line="276" w:lineRule="auto"/>
        <w:rPr>
          <w:rFonts w:ascii="Arial" w:hAnsi="Arial" w:cs="Arial"/>
          <w:sz w:val="18"/>
          <w:szCs w:val="18"/>
        </w:rPr>
      </w:pPr>
      <w:r w:rsidRPr="004263CB">
        <w:rPr>
          <w:rFonts w:ascii="Arial" w:hAnsi="Arial" w:cs="Arial"/>
          <w:sz w:val="18"/>
          <w:szCs w:val="18"/>
        </w:rPr>
        <w:t>The key focus areas for 2021–22 include</w:t>
      </w:r>
      <w:r w:rsidR="0000386B">
        <w:rPr>
          <w:rFonts w:ascii="Arial" w:hAnsi="Arial" w:cs="Arial"/>
          <w:sz w:val="18"/>
          <w:szCs w:val="18"/>
        </w:rPr>
        <w:t xml:space="preserve"> continuing to</w:t>
      </w:r>
      <w:r w:rsidRPr="004263CB">
        <w:rPr>
          <w:rFonts w:ascii="Arial" w:hAnsi="Arial" w:cs="Arial"/>
          <w:sz w:val="18"/>
          <w:szCs w:val="18"/>
        </w:rPr>
        <w:t>:</w:t>
      </w:r>
    </w:p>
    <w:p w14:paraId="3CB41DAB" w14:textId="317E9D06" w:rsidR="001F3404" w:rsidRPr="004263CB" w:rsidRDefault="001F3404" w:rsidP="00EF2D44">
      <w:pPr>
        <w:pStyle w:val="BodyText"/>
        <w:numPr>
          <w:ilvl w:val="0"/>
          <w:numId w:val="11"/>
        </w:numPr>
        <w:spacing w:after="160" w:line="276" w:lineRule="auto"/>
        <w:ind w:right="765"/>
        <w:rPr>
          <w:rFonts w:ascii="Arial" w:eastAsiaTheme="minorHAnsi" w:hAnsi="Arial" w:cs="Arial"/>
          <w:sz w:val="18"/>
          <w:szCs w:val="18"/>
          <w:lang w:val="en-AU"/>
        </w:rPr>
      </w:pPr>
      <w:r w:rsidRPr="004263CB">
        <w:rPr>
          <w:rFonts w:ascii="Arial" w:eastAsiaTheme="minorHAnsi" w:hAnsi="Arial" w:cs="Arial"/>
          <w:sz w:val="18"/>
          <w:szCs w:val="18"/>
          <w:lang w:val="en-AU"/>
        </w:rPr>
        <w:t xml:space="preserve">develop capability through attendance at internal and external training opportunities </w:t>
      </w:r>
    </w:p>
    <w:p w14:paraId="64E2FF49" w14:textId="2AF238BB" w:rsidR="001F3404" w:rsidRPr="004263CB" w:rsidRDefault="001F3404" w:rsidP="00C20D48">
      <w:pPr>
        <w:pStyle w:val="BodyText"/>
        <w:numPr>
          <w:ilvl w:val="0"/>
          <w:numId w:val="11"/>
        </w:numPr>
        <w:spacing w:after="160" w:line="276" w:lineRule="auto"/>
        <w:ind w:right="765"/>
        <w:rPr>
          <w:rFonts w:ascii="Arial" w:eastAsiaTheme="minorHAnsi" w:hAnsi="Arial" w:cs="Arial"/>
          <w:sz w:val="18"/>
          <w:szCs w:val="18"/>
          <w:lang w:val="en-AU"/>
        </w:rPr>
      </w:pPr>
      <w:r w:rsidRPr="004263CB">
        <w:rPr>
          <w:rFonts w:ascii="Arial" w:eastAsiaTheme="minorHAnsi" w:hAnsi="Arial" w:cs="Arial"/>
          <w:sz w:val="18"/>
          <w:szCs w:val="18"/>
          <w:lang w:val="en-AU"/>
        </w:rPr>
        <w:t>monitor staff turnover rates and give genuine consideration to feedback provided via the annual</w:t>
      </w:r>
      <w:r w:rsidR="00192376">
        <w:rPr>
          <w:rFonts w:ascii="Arial" w:eastAsiaTheme="minorHAnsi" w:hAnsi="Arial" w:cs="Arial"/>
          <w:sz w:val="18"/>
          <w:szCs w:val="18"/>
          <w:lang w:val="en-AU"/>
        </w:rPr>
        <w:t xml:space="preserve"> </w:t>
      </w:r>
      <w:r w:rsidR="00C20D48" w:rsidRPr="00C20D48">
        <w:rPr>
          <w:rFonts w:ascii="Arial" w:eastAsiaTheme="minorHAnsi" w:hAnsi="Arial" w:cs="Arial"/>
          <w:sz w:val="18"/>
          <w:szCs w:val="18"/>
          <w:lang w:val="en-AU"/>
        </w:rPr>
        <w:t>Australian Public Service ‘State of the Service’ report</w:t>
      </w:r>
    </w:p>
    <w:p w14:paraId="73688F60" w14:textId="623FA6F3" w:rsidR="001F3404" w:rsidRPr="004263CB" w:rsidRDefault="001F3404" w:rsidP="00EF2D44">
      <w:pPr>
        <w:pStyle w:val="BodyText"/>
        <w:numPr>
          <w:ilvl w:val="0"/>
          <w:numId w:val="11"/>
        </w:numPr>
        <w:spacing w:after="160" w:line="276" w:lineRule="auto"/>
        <w:ind w:right="765"/>
        <w:rPr>
          <w:rFonts w:ascii="Arial" w:eastAsiaTheme="minorHAnsi" w:hAnsi="Arial" w:cs="Arial"/>
          <w:sz w:val="18"/>
          <w:szCs w:val="18"/>
          <w:lang w:val="en-AU"/>
        </w:rPr>
      </w:pPr>
      <w:proofErr w:type="gramStart"/>
      <w:r w:rsidRPr="004263CB">
        <w:rPr>
          <w:rFonts w:ascii="Arial" w:eastAsiaTheme="minorHAnsi" w:hAnsi="Arial" w:cs="Arial"/>
          <w:sz w:val="18"/>
          <w:szCs w:val="18"/>
          <w:lang w:val="en-AU"/>
        </w:rPr>
        <w:t>support</w:t>
      </w:r>
      <w:proofErr w:type="gramEnd"/>
      <w:r w:rsidRPr="004263CB">
        <w:rPr>
          <w:rFonts w:ascii="Arial" w:eastAsiaTheme="minorHAnsi" w:hAnsi="Arial" w:cs="Arial"/>
          <w:sz w:val="18"/>
          <w:szCs w:val="18"/>
          <w:lang w:val="en-AU"/>
        </w:rPr>
        <w:t xml:space="preserve"> flexible working arrangements</w:t>
      </w:r>
      <w:r w:rsidR="00AF2A8D">
        <w:rPr>
          <w:rFonts w:ascii="Arial" w:eastAsiaTheme="minorHAnsi" w:hAnsi="Arial" w:cs="Arial"/>
          <w:sz w:val="18"/>
          <w:szCs w:val="18"/>
          <w:lang w:val="en-AU"/>
        </w:rPr>
        <w:t xml:space="preserve"> and agile work practices.</w:t>
      </w:r>
    </w:p>
    <w:p w14:paraId="00132079" w14:textId="77777777" w:rsidR="001F3404" w:rsidRPr="00411C04" w:rsidRDefault="001F3404" w:rsidP="00411C04">
      <w:pPr>
        <w:rPr>
          <w:rFonts w:ascii="Arial" w:hAnsi="Arial" w:cs="Arial"/>
          <w:b/>
          <w:sz w:val="18"/>
          <w:szCs w:val="18"/>
        </w:rPr>
      </w:pPr>
      <w:r w:rsidRPr="00411C04">
        <w:rPr>
          <w:rFonts w:ascii="Arial" w:hAnsi="Arial" w:cs="Arial"/>
          <w:b/>
          <w:sz w:val="18"/>
          <w:szCs w:val="18"/>
        </w:rPr>
        <w:t>Infrastructure</w:t>
      </w:r>
    </w:p>
    <w:p w14:paraId="78D17A73" w14:textId="1DDA53B3" w:rsidR="001F3404" w:rsidRPr="00AF2A8D" w:rsidRDefault="00AF2A8D" w:rsidP="00AF2A8D">
      <w:pPr>
        <w:pStyle w:val="TableHeadingRow9pt"/>
        <w:spacing w:before="0" w:after="160" w:line="276" w:lineRule="auto"/>
        <w:ind w:left="284" w:hanging="284"/>
        <w:rPr>
          <w:b w:val="0"/>
          <w:color w:val="auto"/>
        </w:rPr>
      </w:pPr>
      <w:r>
        <w:rPr>
          <w:b w:val="0"/>
          <w:color w:val="auto"/>
        </w:rPr>
        <w:t>IHPA will continue to enh</w:t>
      </w:r>
      <w:r w:rsidR="00573730">
        <w:rPr>
          <w:b w:val="0"/>
          <w:color w:val="auto"/>
        </w:rPr>
        <w:t>a</w:t>
      </w:r>
      <w:r>
        <w:rPr>
          <w:b w:val="0"/>
          <w:color w:val="auto"/>
        </w:rPr>
        <w:t>nce</w:t>
      </w:r>
      <w:r w:rsidR="001F3404" w:rsidRPr="00AF2A8D">
        <w:rPr>
          <w:b w:val="0"/>
          <w:color w:val="auto"/>
        </w:rPr>
        <w:t xml:space="preserve"> infrastructure to support </w:t>
      </w:r>
      <w:r>
        <w:rPr>
          <w:b w:val="0"/>
          <w:color w:val="auto"/>
        </w:rPr>
        <w:t>the</w:t>
      </w:r>
      <w:r w:rsidR="001F3404" w:rsidRPr="00AF2A8D">
        <w:rPr>
          <w:b w:val="0"/>
          <w:color w:val="auto"/>
        </w:rPr>
        <w:t xml:space="preserve"> national </w:t>
      </w:r>
      <w:r w:rsidR="004263CB">
        <w:rPr>
          <w:b w:val="0"/>
          <w:color w:val="auto"/>
        </w:rPr>
        <w:t>a</w:t>
      </w:r>
      <w:r w:rsidR="001F3404" w:rsidRPr="00AF2A8D">
        <w:rPr>
          <w:b w:val="0"/>
          <w:color w:val="auto"/>
        </w:rPr>
        <w:t xml:space="preserve">ctivity </w:t>
      </w:r>
      <w:r w:rsidR="004263CB">
        <w:rPr>
          <w:b w:val="0"/>
          <w:color w:val="auto"/>
        </w:rPr>
        <w:t>b</w:t>
      </w:r>
      <w:r w:rsidR="001F3404" w:rsidRPr="00AF2A8D">
        <w:rPr>
          <w:b w:val="0"/>
          <w:color w:val="auto"/>
        </w:rPr>
        <w:t xml:space="preserve">ased </w:t>
      </w:r>
      <w:r w:rsidR="004263CB">
        <w:rPr>
          <w:b w:val="0"/>
          <w:color w:val="auto"/>
        </w:rPr>
        <w:t>f</w:t>
      </w:r>
      <w:r w:rsidR="001F3404" w:rsidRPr="00AF2A8D">
        <w:rPr>
          <w:b w:val="0"/>
          <w:color w:val="auto"/>
        </w:rPr>
        <w:t>unding system</w:t>
      </w:r>
      <w:r w:rsidR="004263CB">
        <w:rPr>
          <w:b w:val="0"/>
          <w:color w:val="auto"/>
        </w:rPr>
        <w:t xml:space="preserve"> </w:t>
      </w:r>
      <w:r>
        <w:rPr>
          <w:b w:val="0"/>
          <w:color w:val="auto"/>
        </w:rPr>
        <w:t>by:</w:t>
      </w:r>
    </w:p>
    <w:p w14:paraId="17538C56" w14:textId="68C517A5" w:rsidR="001F3404" w:rsidRPr="00AF2A8D" w:rsidRDefault="006D4EBB" w:rsidP="00EF2D44">
      <w:pPr>
        <w:pStyle w:val="Tabletextnormal9pt"/>
        <w:numPr>
          <w:ilvl w:val="0"/>
          <w:numId w:val="8"/>
        </w:numPr>
        <w:spacing w:before="0" w:after="160" w:line="276" w:lineRule="auto"/>
        <w:ind w:left="709" w:hanging="426"/>
        <w:rPr>
          <w:color w:val="auto"/>
        </w:rPr>
      </w:pPr>
      <w:r>
        <w:rPr>
          <w:color w:val="auto"/>
        </w:rPr>
        <w:t>d</w:t>
      </w:r>
      <w:r w:rsidR="001F3404" w:rsidRPr="00AF2A8D">
        <w:rPr>
          <w:color w:val="auto"/>
        </w:rPr>
        <w:t>evelop</w:t>
      </w:r>
      <w:r w:rsidR="00AF2A8D">
        <w:rPr>
          <w:color w:val="auto"/>
        </w:rPr>
        <w:t>ing</w:t>
      </w:r>
      <w:r w:rsidR="001F3404" w:rsidRPr="00AF2A8D">
        <w:rPr>
          <w:color w:val="auto"/>
        </w:rPr>
        <w:t xml:space="preserve"> and refin</w:t>
      </w:r>
      <w:r w:rsidR="00AF2A8D">
        <w:rPr>
          <w:color w:val="auto"/>
        </w:rPr>
        <w:t>ing</w:t>
      </w:r>
      <w:r w:rsidR="001F3404" w:rsidRPr="00AF2A8D">
        <w:rPr>
          <w:color w:val="auto"/>
        </w:rPr>
        <w:t xml:space="preserve"> new and existing hospital activity classifications through specialist input from clinicians, and other stakeholders</w:t>
      </w:r>
    </w:p>
    <w:p w14:paraId="7B3B7869" w14:textId="4E9BA2D3" w:rsidR="001F3404" w:rsidRPr="00AF2A8D" w:rsidRDefault="00AF2A8D" w:rsidP="00EF2D44">
      <w:pPr>
        <w:pStyle w:val="Tabletextnormal9pt"/>
        <w:numPr>
          <w:ilvl w:val="0"/>
          <w:numId w:val="8"/>
        </w:numPr>
        <w:spacing w:before="0" w:after="160" w:line="276" w:lineRule="auto"/>
        <w:ind w:left="709" w:hanging="426"/>
        <w:rPr>
          <w:color w:val="auto"/>
        </w:rPr>
      </w:pPr>
      <w:r>
        <w:rPr>
          <w:color w:val="auto"/>
        </w:rPr>
        <w:t>e</w:t>
      </w:r>
      <w:r w:rsidR="001F3404" w:rsidRPr="00AF2A8D">
        <w:rPr>
          <w:color w:val="auto"/>
        </w:rPr>
        <w:t>stablish</w:t>
      </w:r>
      <w:r>
        <w:rPr>
          <w:color w:val="auto"/>
        </w:rPr>
        <w:t>ing</w:t>
      </w:r>
      <w:r w:rsidR="001F3404" w:rsidRPr="00AF2A8D">
        <w:rPr>
          <w:color w:val="auto"/>
        </w:rPr>
        <w:t xml:space="preserve"> and maintain</w:t>
      </w:r>
      <w:r>
        <w:rPr>
          <w:color w:val="auto"/>
        </w:rPr>
        <w:t>ing</w:t>
      </w:r>
      <w:r w:rsidR="001F3404" w:rsidRPr="00AF2A8D">
        <w:rPr>
          <w:color w:val="auto"/>
        </w:rPr>
        <w:t xml:space="preserve"> national costing standards</w:t>
      </w:r>
    </w:p>
    <w:p w14:paraId="338744B0" w14:textId="1219EF7B" w:rsidR="001F3404" w:rsidRPr="00AF2A8D" w:rsidRDefault="00AF2A8D" w:rsidP="00EF2D44">
      <w:pPr>
        <w:pStyle w:val="Tabletextnormal9pt"/>
        <w:numPr>
          <w:ilvl w:val="0"/>
          <w:numId w:val="8"/>
        </w:numPr>
        <w:spacing w:before="0" w:after="160" w:line="276" w:lineRule="auto"/>
        <w:ind w:left="709" w:hanging="426"/>
        <w:rPr>
          <w:color w:val="auto"/>
        </w:rPr>
      </w:pPr>
      <w:r>
        <w:rPr>
          <w:color w:val="auto"/>
        </w:rPr>
        <w:t>d</w:t>
      </w:r>
      <w:r w:rsidR="001F3404" w:rsidRPr="00AF2A8D">
        <w:rPr>
          <w:color w:val="auto"/>
        </w:rPr>
        <w:t>evelop</w:t>
      </w:r>
      <w:r>
        <w:rPr>
          <w:color w:val="auto"/>
        </w:rPr>
        <w:t>ing</w:t>
      </w:r>
      <w:r w:rsidR="001F3404" w:rsidRPr="00AF2A8D">
        <w:rPr>
          <w:color w:val="auto"/>
        </w:rPr>
        <w:t xml:space="preserve"> and maintain</w:t>
      </w:r>
      <w:r>
        <w:rPr>
          <w:color w:val="auto"/>
        </w:rPr>
        <w:t>ing</w:t>
      </w:r>
      <w:r w:rsidR="001F3404" w:rsidRPr="00AF2A8D">
        <w:rPr>
          <w:color w:val="auto"/>
        </w:rPr>
        <w:t xml:space="preserve"> standards for activity data collections, including the annual publication of the </w:t>
      </w:r>
      <w:r w:rsidR="001F3404" w:rsidRPr="00AF2A8D">
        <w:rPr>
          <w:i/>
          <w:color w:val="auto"/>
        </w:rPr>
        <w:t>Three Year Data Plan</w:t>
      </w:r>
    </w:p>
    <w:p w14:paraId="6762E72E" w14:textId="08050400" w:rsidR="001F3404" w:rsidRPr="00AF2A8D" w:rsidRDefault="00AF2A8D" w:rsidP="00EF2D44">
      <w:pPr>
        <w:pStyle w:val="Tabletextnormal9pt"/>
        <w:numPr>
          <w:ilvl w:val="0"/>
          <w:numId w:val="8"/>
        </w:numPr>
        <w:spacing w:before="0" w:after="160" w:line="276" w:lineRule="auto"/>
        <w:ind w:left="709" w:hanging="426"/>
        <w:rPr>
          <w:color w:val="auto"/>
        </w:rPr>
      </w:pPr>
      <w:proofErr w:type="gramStart"/>
      <w:r>
        <w:rPr>
          <w:color w:val="auto"/>
        </w:rPr>
        <w:t>p</w:t>
      </w:r>
      <w:r w:rsidR="001F3404" w:rsidRPr="00AF2A8D">
        <w:rPr>
          <w:color w:val="auto"/>
        </w:rPr>
        <w:t>ublish</w:t>
      </w:r>
      <w:r>
        <w:rPr>
          <w:color w:val="auto"/>
        </w:rPr>
        <w:t>ing</w:t>
      </w:r>
      <w:proofErr w:type="gramEnd"/>
      <w:r w:rsidR="001F3404" w:rsidRPr="00AF2A8D">
        <w:rPr>
          <w:color w:val="auto"/>
        </w:rPr>
        <w:t xml:space="preserve"> a quarterly report outlining jurisdictional compliance with the data requirements and data standards as set out in the </w:t>
      </w:r>
      <w:r w:rsidR="001F3404" w:rsidRPr="00AF2A8D">
        <w:rPr>
          <w:i/>
          <w:color w:val="auto"/>
        </w:rPr>
        <w:t>Three Year Data Plan.</w:t>
      </w:r>
    </w:p>
    <w:p w14:paraId="51A8C6A5" w14:textId="57A5B400" w:rsidR="001F3404" w:rsidRPr="00411C04" w:rsidRDefault="001F3404" w:rsidP="00411C04">
      <w:pPr>
        <w:rPr>
          <w:rFonts w:ascii="Arial" w:hAnsi="Arial" w:cs="Arial"/>
          <w:b/>
          <w:sz w:val="18"/>
          <w:szCs w:val="18"/>
        </w:rPr>
      </w:pPr>
      <w:r w:rsidRPr="00411C04">
        <w:rPr>
          <w:rFonts w:ascii="Arial" w:hAnsi="Arial" w:cs="Arial"/>
          <w:b/>
          <w:sz w:val="18"/>
          <w:szCs w:val="18"/>
        </w:rPr>
        <w:t xml:space="preserve">ICT </w:t>
      </w:r>
    </w:p>
    <w:p w14:paraId="52D976B1" w14:textId="3533CDBC" w:rsidR="00411C04" w:rsidRDefault="001F3404" w:rsidP="003B6FF9">
      <w:pPr>
        <w:pStyle w:val="BodyText"/>
        <w:spacing w:after="160" w:line="276" w:lineRule="auto"/>
        <w:ind w:left="0" w:right="765"/>
        <w:rPr>
          <w:rFonts w:ascii="Arial" w:hAnsi="Arial" w:cs="Arial"/>
          <w:sz w:val="18"/>
          <w:szCs w:val="18"/>
        </w:rPr>
      </w:pPr>
      <w:r w:rsidRPr="00AF2A8D">
        <w:rPr>
          <w:rFonts w:ascii="Arial" w:hAnsi="Arial" w:cs="Arial"/>
          <w:sz w:val="18"/>
          <w:szCs w:val="18"/>
        </w:rPr>
        <w:t xml:space="preserve">Information technology is essential to IHPA’s core business and performance enabling data analysis, </w:t>
      </w:r>
      <w:proofErr w:type="spellStart"/>
      <w:r w:rsidRPr="00AF2A8D">
        <w:rPr>
          <w:rFonts w:ascii="Arial" w:hAnsi="Arial" w:cs="Arial"/>
          <w:sz w:val="18"/>
          <w:szCs w:val="18"/>
        </w:rPr>
        <w:t>digitisation</w:t>
      </w:r>
      <w:proofErr w:type="spellEnd"/>
      <w:r w:rsidRPr="00AF2A8D">
        <w:rPr>
          <w:rFonts w:ascii="Arial" w:hAnsi="Arial" w:cs="Arial"/>
          <w:sz w:val="18"/>
          <w:szCs w:val="18"/>
        </w:rPr>
        <w:t xml:space="preserve"> and automation, engagement and a highly mobile workforce. Robust measures are in place to test and upgrade data security. </w:t>
      </w:r>
    </w:p>
    <w:p w14:paraId="54B9229E" w14:textId="6FBFBA95" w:rsidR="001F3404" w:rsidRPr="00AF2A8D" w:rsidRDefault="00411C04" w:rsidP="00643239">
      <w:pPr>
        <w:rPr>
          <w:rFonts w:ascii="Arial" w:hAnsi="Arial" w:cs="Arial"/>
          <w:sz w:val="18"/>
          <w:szCs w:val="18"/>
        </w:rPr>
      </w:pPr>
      <w:r>
        <w:rPr>
          <w:rFonts w:ascii="Arial" w:hAnsi="Arial" w:cs="Arial"/>
          <w:sz w:val="18"/>
          <w:szCs w:val="18"/>
        </w:rPr>
        <w:br w:type="page"/>
      </w:r>
      <w:r w:rsidR="001F3404" w:rsidRPr="00AF2A8D">
        <w:rPr>
          <w:rFonts w:ascii="Arial" w:hAnsi="Arial" w:cs="Arial"/>
          <w:sz w:val="18"/>
          <w:szCs w:val="18"/>
        </w:rPr>
        <w:lastRenderedPageBreak/>
        <w:t xml:space="preserve">IHPA will continue to </w:t>
      </w:r>
      <w:proofErr w:type="spellStart"/>
      <w:r w:rsidR="001F3404" w:rsidRPr="00AF2A8D">
        <w:rPr>
          <w:rFonts w:ascii="Arial" w:hAnsi="Arial" w:cs="Arial"/>
          <w:sz w:val="18"/>
          <w:szCs w:val="18"/>
        </w:rPr>
        <w:t>utilise</w:t>
      </w:r>
      <w:proofErr w:type="spellEnd"/>
      <w:r w:rsidR="001F3404" w:rsidRPr="00AF2A8D">
        <w:rPr>
          <w:rFonts w:ascii="Arial" w:hAnsi="Arial" w:cs="Arial"/>
          <w:sz w:val="18"/>
          <w:szCs w:val="18"/>
        </w:rPr>
        <w:t xml:space="preserve"> secure cloud capabilities to deliver its Secure Data Management System (SDMS) and other secure information-based systems. The SDMS allows jurisdictions to securely submit data to IHPA, and for IHPA to securely retain this information while intensive analysis is undertaken. Into 2021-22, IHPA will examine options to uplift </w:t>
      </w:r>
      <w:r w:rsidR="001F2A57" w:rsidRPr="00D30C1E">
        <w:rPr>
          <w:rFonts w:ascii="Arial" w:hAnsi="Arial" w:cs="Arial"/>
          <w:sz w:val="18"/>
          <w:szCs w:val="18"/>
        </w:rPr>
        <w:t>Information and Communication Technology (ICT)</w:t>
      </w:r>
      <w:r w:rsidR="001F2A57">
        <w:rPr>
          <w:rFonts w:ascii="Arial" w:hAnsi="Arial" w:cs="Arial"/>
          <w:sz w:val="18"/>
          <w:szCs w:val="18"/>
        </w:rPr>
        <w:t xml:space="preserve"> </w:t>
      </w:r>
      <w:r w:rsidR="001F3404" w:rsidRPr="00AF2A8D">
        <w:rPr>
          <w:rFonts w:ascii="Arial" w:hAnsi="Arial" w:cs="Arial"/>
          <w:sz w:val="18"/>
          <w:szCs w:val="18"/>
        </w:rPr>
        <w:t xml:space="preserve">capability, </w:t>
      </w:r>
      <w:r w:rsidR="00D01537" w:rsidRPr="00AF2A8D">
        <w:rPr>
          <w:rFonts w:ascii="Arial" w:hAnsi="Arial" w:cs="Arial"/>
          <w:sz w:val="18"/>
          <w:szCs w:val="18"/>
        </w:rPr>
        <w:t>focusing</w:t>
      </w:r>
      <w:r w:rsidR="001F3404" w:rsidRPr="00AF2A8D">
        <w:rPr>
          <w:rFonts w:ascii="Arial" w:hAnsi="Arial" w:cs="Arial"/>
          <w:sz w:val="18"/>
          <w:szCs w:val="18"/>
        </w:rPr>
        <w:t xml:space="preserve"> on further maturing the security, functionality, and value delivered.</w:t>
      </w:r>
    </w:p>
    <w:p w14:paraId="1CC3C917" w14:textId="66B54162" w:rsidR="003F64E0" w:rsidRPr="007A5E17" w:rsidRDefault="001A060A" w:rsidP="007A5E17">
      <w:pPr>
        <w:pStyle w:val="Heading1"/>
        <w:spacing w:before="360" w:after="160" w:line="240" w:lineRule="auto"/>
        <w:rPr>
          <w:sz w:val="36"/>
          <w:szCs w:val="36"/>
        </w:rPr>
      </w:pPr>
      <w:bookmarkStart w:id="209" w:name="_Toc55054031"/>
      <w:bookmarkStart w:id="210" w:name="_Toc55974152"/>
      <w:r>
        <w:rPr>
          <w:color w:val="000000" w:themeColor="text1"/>
          <w:sz w:val="36"/>
          <w:szCs w:val="36"/>
        </w:rPr>
        <w:t>3</w:t>
      </w:r>
      <w:r w:rsidR="00473722">
        <w:rPr>
          <w:color w:val="000000" w:themeColor="text1"/>
          <w:sz w:val="36"/>
          <w:szCs w:val="36"/>
        </w:rPr>
        <w:t xml:space="preserve">.3 </w:t>
      </w:r>
      <w:r w:rsidR="00F048EB" w:rsidRPr="007A5E17">
        <w:rPr>
          <w:color w:val="000000" w:themeColor="text1"/>
          <w:sz w:val="36"/>
          <w:szCs w:val="36"/>
        </w:rPr>
        <w:t>Cooperation and c</w:t>
      </w:r>
      <w:r w:rsidR="003F64E0" w:rsidRPr="007A5E17">
        <w:rPr>
          <w:color w:val="000000" w:themeColor="text1"/>
          <w:sz w:val="36"/>
          <w:szCs w:val="36"/>
        </w:rPr>
        <w:t>ollaboration</w:t>
      </w:r>
      <w:bookmarkEnd w:id="209"/>
      <w:bookmarkEnd w:id="210"/>
    </w:p>
    <w:p w14:paraId="1E063D91" w14:textId="08445102" w:rsidR="003F64E0" w:rsidRDefault="003F64E0" w:rsidP="00A16499">
      <w:pPr>
        <w:pStyle w:val="BodyText"/>
        <w:spacing w:after="160" w:line="276" w:lineRule="auto"/>
        <w:ind w:left="0"/>
        <w:rPr>
          <w:rFonts w:ascii="Arial" w:eastAsiaTheme="minorHAnsi" w:hAnsi="Arial" w:cs="Arial"/>
          <w:sz w:val="18"/>
          <w:szCs w:val="18"/>
          <w:lang w:val="en-AU"/>
        </w:rPr>
      </w:pPr>
      <w:r w:rsidRPr="00573730">
        <w:rPr>
          <w:rFonts w:ascii="Arial" w:eastAsiaTheme="minorHAnsi" w:hAnsi="Arial" w:cs="Arial"/>
          <w:sz w:val="18"/>
          <w:szCs w:val="18"/>
          <w:lang w:val="en-AU"/>
        </w:rPr>
        <w:t>IHPA works with stakeholders from government agencies, research and education, the community and industry. This is achieved through consultative and advi</w:t>
      </w:r>
      <w:r w:rsidR="00FF7D5B">
        <w:rPr>
          <w:rFonts w:ascii="Arial" w:eastAsiaTheme="minorHAnsi" w:hAnsi="Arial" w:cs="Arial"/>
          <w:sz w:val="18"/>
          <w:szCs w:val="18"/>
          <w:lang w:val="en-AU"/>
        </w:rPr>
        <w:t>sory</w:t>
      </w:r>
      <w:r w:rsidRPr="00573730">
        <w:rPr>
          <w:rFonts w:ascii="Arial" w:eastAsiaTheme="minorHAnsi" w:hAnsi="Arial" w:cs="Arial"/>
          <w:sz w:val="18"/>
          <w:szCs w:val="18"/>
          <w:lang w:val="en-AU"/>
        </w:rPr>
        <w:t xml:space="preserve"> committees and working groups with expertise in specialised fields enabling a knowledge pipeline for technical advances and best practice innovation. </w:t>
      </w:r>
      <w:r w:rsidR="00573730">
        <w:rPr>
          <w:rFonts w:ascii="Arial" w:eastAsiaTheme="minorHAnsi" w:hAnsi="Arial" w:cs="Arial"/>
          <w:sz w:val="18"/>
          <w:szCs w:val="18"/>
          <w:lang w:val="en-AU"/>
        </w:rPr>
        <w:t>IHPA c</w:t>
      </w:r>
      <w:r w:rsidRPr="00573730">
        <w:rPr>
          <w:rFonts w:ascii="Arial" w:eastAsiaTheme="minorHAnsi" w:hAnsi="Arial" w:cs="Arial"/>
          <w:sz w:val="18"/>
          <w:szCs w:val="18"/>
          <w:lang w:val="en-AU"/>
        </w:rPr>
        <w:t>ommittees</w:t>
      </w:r>
      <w:r w:rsidR="00573730">
        <w:rPr>
          <w:rFonts w:ascii="Arial" w:eastAsiaTheme="minorHAnsi" w:hAnsi="Arial" w:cs="Arial"/>
          <w:sz w:val="18"/>
          <w:szCs w:val="18"/>
          <w:lang w:val="en-AU"/>
        </w:rPr>
        <w:t xml:space="preserve"> and working groups</w:t>
      </w:r>
      <w:r w:rsidRPr="00573730">
        <w:rPr>
          <w:rFonts w:ascii="Arial" w:eastAsiaTheme="minorHAnsi" w:hAnsi="Arial" w:cs="Arial"/>
          <w:sz w:val="18"/>
          <w:szCs w:val="18"/>
          <w:lang w:val="en-AU"/>
        </w:rPr>
        <w:t xml:space="preserve"> </w:t>
      </w:r>
      <w:r w:rsidR="00573730">
        <w:rPr>
          <w:rFonts w:ascii="Arial" w:eastAsiaTheme="minorHAnsi" w:hAnsi="Arial" w:cs="Arial"/>
          <w:sz w:val="18"/>
          <w:szCs w:val="18"/>
          <w:lang w:val="en-AU"/>
        </w:rPr>
        <w:t xml:space="preserve">are listed in </w:t>
      </w:r>
      <w:r w:rsidR="00D01537">
        <w:rPr>
          <w:rFonts w:ascii="Arial" w:eastAsiaTheme="minorHAnsi" w:hAnsi="Arial" w:cs="Arial"/>
          <w:sz w:val="18"/>
          <w:szCs w:val="18"/>
          <w:lang w:val="en-AU"/>
        </w:rPr>
        <w:t>Table</w:t>
      </w:r>
      <w:r w:rsidR="00C16C0B">
        <w:rPr>
          <w:rFonts w:ascii="Arial" w:eastAsiaTheme="minorHAnsi" w:hAnsi="Arial" w:cs="Arial"/>
          <w:sz w:val="18"/>
          <w:szCs w:val="18"/>
          <w:lang w:val="en-AU"/>
        </w:rPr>
        <w:t xml:space="preserve"> </w:t>
      </w:r>
      <w:r w:rsidR="007822C8">
        <w:rPr>
          <w:rFonts w:ascii="Arial" w:eastAsiaTheme="minorHAnsi" w:hAnsi="Arial" w:cs="Arial"/>
          <w:sz w:val="18"/>
          <w:szCs w:val="18"/>
          <w:lang w:val="en-AU"/>
        </w:rPr>
        <w:t>1</w:t>
      </w:r>
      <w:r w:rsidR="00573730">
        <w:rPr>
          <w:rFonts w:ascii="Arial" w:eastAsiaTheme="minorHAnsi" w:hAnsi="Arial" w:cs="Arial"/>
          <w:sz w:val="18"/>
          <w:szCs w:val="18"/>
          <w:lang w:val="en-AU"/>
        </w:rPr>
        <w:t>.</w:t>
      </w:r>
    </w:p>
    <w:p w14:paraId="272B6040" w14:textId="783321FD" w:rsidR="00224BD0" w:rsidRPr="00573730" w:rsidRDefault="00C16C0B" w:rsidP="00A16499">
      <w:pPr>
        <w:pStyle w:val="BodyText"/>
        <w:spacing w:after="160" w:line="276" w:lineRule="auto"/>
        <w:ind w:left="0"/>
        <w:rPr>
          <w:rFonts w:ascii="Arial" w:eastAsia="Times New Roman" w:hAnsi="Arial" w:cs="Arial"/>
          <w:sz w:val="18"/>
          <w:szCs w:val="18"/>
          <w:lang w:eastAsia="en-AU"/>
        </w:rPr>
      </w:pPr>
      <w:r>
        <w:rPr>
          <w:rFonts w:ascii="Arial" w:eastAsia="Times New Roman" w:hAnsi="Arial" w:cs="Arial"/>
          <w:sz w:val="18"/>
          <w:szCs w:val="18"/>
          <w:lang w:eastAsia="en-AU"/>
        </w:rPr>
        <w:t xml:space="preserve">Table </w:t>
      </w:r>
      <w:r w:rsidR="007822C8">
        <w:rPr>
          <w:rFonts w:ascii="Arial" w:eastAsia="Times New Roman" w:hAnsi="Arial" w:cs="Arial"/>
          <w:sz w:val="18"/>
          <w:szCs w:val="18"/>
          <w:lang w:eastAsia="en-AU"/>
        </w:rPr>
        <w:t>1</w:t>
      </w:r>
      <w:r>
        <w:rPr>
          <w:rFonts w:ascii="Arial" w:eastAsia="Times New Roman" w:hAnsi="Arial" w:cs="Arial"/>
          <w:sz w:val="18"/>
          <w:szCs w:val="18"/>
          <w:lang w:eastAsia="en-AU"/>
        </w:rPr>
        <w:t>. List of IHPA committees and working groups</w:t>
      </w:r>
    </w:p>
    <w:tbl>
      <w:tblPr>
        <w:tblStyle w:val="TableGrid"/>
        <w:tblW w:w="0" w:type="auto"/>
        <w:tblLayout w:type="fixed"/>
        <w:tblLook w:val="04A0" w:firstRow="1" w:lastRow="0" w:firstColumn="1" w:lastColumn="0" w:noHBand="0" w:noVBand="1"/>
      </w:tblPr>
      <w:tblGrid>
        <w:gridCol w:w="988"/>
        <w:gridCol w:w="2409"/>
        <w:gridCol w:w="3260"/>
        <w:gridCol w:w="3261"/>
      </w:tblGrid>
      <w:tr w:rsidR="002E0513" w14:paraId="5C82D02E" w14:textId="77777777" w:rsidTr="00F8753E">
        <w:trPr>
          <w:trHeight w:val="520"/>
        </w:trPr>
        <w:tc>
          <w:tcPr>
            <w:tcW w:w="988" w:type="dxa"/>
            <w:tcBorders>
              <w:top w:val="single" w:sz="4" w:space="0" w:color="FFFFFF" w:themeColor="background1"/>
              <w:left w:val="single" w:sz="4" w:space="0" w:color="FFFFFF" w:themeColor="background1"/>
              <w:right w:val="single" w:sz="4" w:space="0" w:color="FFFFFF" w:themeColor="background1"/>
            </w:tcBorders>
            <w:shd w:val="clear" w:color="auto" w:fill="006D00" w:themeFill="accent1" w:themeFillTint="E6"/>
            <w:vAlign w:val="center"/>
          </w:tcPr>
          <w:p w14:paraId="18DF93D6" w14:textId="33A1A17A" w:rsidR="002E0513" w:rsidRPr="000C7AAF" w:rsidRDefault="002E0513" w:rsidP="00224BD0">
            <w:pPr>
              <w:pStyle w:val="BodyText"/>
              <w:ind w:left="0"/>
              <w:jc w:val="center"/>
              <w:rPr>
                <w:rFonts w:ascii="Arial" w:eastAsia="Times New Roman" w:hAnsi="Arial" w:cs="Arial"/>
                <w:b/>
                <w:color w:val="FFFFFF" w:themeColor="background1"/>
                <w:sz w:val="18"/>
                <w:szCs w:val="18"/>
                <w:lang w:eastAsia="en-AU"/>
              </w:rPr>
            </w:pPr>
            <w:r w:rsidRPr="000C7AAF">
              <w:rPr>
                <w:rFonts w:ascii="Arial" w:eastAsia="Times New Roman" w:hAnsi="Arial" w:cs="Arial"/>
                <w:b/>
                <w:color w:val="FFFFFF" w:themeColor="background1"/>
                <w:sz w:val="18"/>
                <w:szCs w:val="18"/>
                <w:lang w:eastAsia="en-AU"/>
              </w:rPr>
              <w:t>Board</w:t>
            </w:r>
          </w:p>
        </w:tc>
        <w:tc>
          <w:tcPr>
            <w:tcW w:w="2409" w:type="dxa"/>
            <w:tcBorders>
              <w:top w:val="single" w:sz="4" w:space="0" w:color="FFFFFF" w:themeColor="background1"/>
              <w:left w:val="single" w:sz="4" w:space="0" w:color="FFFFFF" w:themeColor="background1"/>
              <w:right w:val="single" w:sz="4" w:space="0" w:color="FFFFFF" w:themeColor="background1"/>
            </w:tcBorders>
            <w:shd w:val="clear" w:color="auto" w:fill="006D00" w:themeFill="accent1" w:themeFillTint="E6"/>
            <w:vAlign w:val="center"/>
          </w:tcPr>
          <w:p w14:paraId="543734C2" w14:textId="336B9D4D" w:rsidR="002E0513" w:rsidRPr="000C7AAF" w:rsidRDefault="002E0513" w:rsidP="00224BD0">
            <w:pPr>
              <w:pStyle w:val="BodyText"/>
              <w:ind w:left="0"/>
              <w:jc w:val="center"/>
              <w:rPr>
                <w:rFonts w:ascii="Arial" w:eastAsia="Times New Roman" w:hAnsi="Arial" w:cs="Arial"/>
                <w:b/>
                <w:color w:val="FFFFFF" w:themeColor="background1"/>
                <w:sz w:val="18"/>
                <w:szCs w:val="18"/>
                <w:lang w:eastAsia="en-AU"/>
              </w:rPr>
            </w:pPr>
            <w:r w:rsidRPr="000C7AAF">
              <w:rPr>
                <w:rFonts w:ascii="Arial" w:eastAsia="Times New Roman" w:hAnsi="Arial" w:cs="Arial"/>
                <w:b/>
                <w:color w:val="FFFFFF" w:themeColor="background1"/>
                <w:sz w:val="18"/>
                <w:szCs w:val="18"/>
                <w:lang w:eastAsia="en-AU"/>
              </w:rPr>
              <w:t>Committees</w:t>
            </w:r>
          </w:p>
        </w:tc>
        <w:tc>
          <w:tcPr>
            <w:tcW w:w="6521" w:type="dxa"/>
            <w:gridSpan w:val="2"/>
            <w:tcBorders>
              <w:top w:val="single" w:sz="4" w:space="0" w:color="FFFFFF" w:themeColor="background1"/>
              <w:left w:val="single" w:sz="4" w:space="0" w:color="FFFFFF" w:themeColor="background1"/>
              <w:right w:val="single" w:sz="4" w:space="0" w:color="FFFFFF" w:themeColor="background1"/>
            </w:tcBorders>
            <w:shd w:val="clear" w:color="auto" w:fill="006D00" w:themeFill="accent1" w:themeFillTint="E6"/>
            <w:vAlign w:val="center"/>
          </w:tcPr>
          <w:p w14:paraId="6AC9D87B" w14:textId="5781DFB7" w:rsidR="002E0513" w:rsidRPr="000C7AAF" w:rsidRDefault="002E0513" w:rsidP="00152262">
            <w:pPr>
              <w:pStyle w:val="BodyText"/>
              <w:ind w:left="0"/>
              <w:jc w:val="center"/>
              <w:rPr>
                <w:rFonts w:ascii="Arial" w:eastAsia="Times New Roman" w:hAnsi="Arial" w:cs="Arial"/>
                <w:b/>
                <w:color w:val="FFFFFF" w:themeColor="background1"/>
                <w:sz w:val="18"/>
                <w:szCs w:val="18"/>
                <w:lang w:eastAsia="en-AU"/>
              </w:rPr>
            </w:pPr>
            <w:r w:rsidRPr="000C7AAF">
              <w:rPr>
                <w:rFonts w:ascii="Arial" w:eastAsiaTheme="minorHAnsi" w:hAnsi="Arial" w:cs="Arial"/>
                <w:b/>
                <w:color w:val="FFFFFF" w:themeColor="background1"/>
                <w:sz w:val="18"/>
                <w:szCs w:val="18"/>
                <w:lang w:val="en-AU"/>
              </w:rPr>
              <w:t>Working groups</w:t>
            </w:r>
          </w:p>
        </w:tc>
      </w:tr>
      <w:tr w:rsidR="00152262" w14:paraId="4ADF7F54" w14:textId="77777777" w:rsidTr="00152262">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7468381A" w14:textId="77777777" w:rsidR="00152262" w:rsidRPr="00200243" w:rsidRDefault="00152262" w:rsidP="00573730">
            <w:pPr>
              <w:pStyle w:val="BodyText"/>
              <w:ind w:left="0"/>
              <w:rPr>
                <w:rFonts w:ascii="Arial" w:eastAsia="Times New Roman" w:hAnsi="Arial" w:cs="Arial"/>
                <w:sz w:val="18"/>
                <w:szCs w:val="18"/>
                <w:lang w:eastAsia="en-AU"/>
              </w:rPr>
            </w:pPr>
            <w:r w:rsidRPr="00200243">
              <w:rPr>
                <w:rFonts w:ascii="Arial" w:eastAsia="Times New Roman" w:hAnsi="Arial" w:cs="Arial"/>
                <w:sz w:val="18"/>
                <w:szCs w:val="18"/>
                <w:lang w:eastAsia="en-AU"/>
              </w:rPr>
              <w:t xml:space="preserve">Pricing Authority </w:t>
            </w:r>
          </w:p>
          <w:p w14:paraId="21796B53" w14:textId="77777777" w:rsidR="00152262" w:rsidRDefault="00152262" w:rsidP="003F64E0">
            <w:pPr>
              <w:pStyle w:val="BodyText"/>
              <w:ind w:left="0"/>
              <w:rPr>
                <w:rFonts w:ascii="Arial" w:eastAsia="Times New Roman" w:hAnsi="Arial" w:cs="Arial"/>
                <w:b/>
                <w:sz w:val="18"/>
                <w:szCs w:val="18"/>
                <w:lang w:eastAsia="en-AU"/>
              </w:rPr>
            </w:pP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1E0DDB1C" w14:textId="77777777" w:rsidR="00152262" w:rsidRPr="00746CDE" w:rsidRDefault="00152262" w:rsidP="00152262">
            <w:pPr>
              <w:pStyle w:val="BodyText"/>
              <w:spacing w:after="120"/>
              <w:ind w:left="0"/>
              <w:rPr>
                <w:rFonts w:ascii="Arial" w:eastAsia="Times New Roman" w:hAnsi="Arial" w:cs="Arial"/>
                <w:sz w:val="18"/>
                <w:szCs w:val="18"/>
                <w:lang w:eastAsia="en-AU"/>
              </w:rPr>
            </w:pPr>
            <w:r w:rsidRPr="00746CDE">
              <w:rPr>
                <w:rFonts w:ascii="Arial" w:eastAsia="Times New Roman" w:hAnsi="Arial" w:cs="Arial"/>
                <w:sz w:val="18"/>
                <w:szCs w:val="18"/>
                <w:lang w:eastAsia="en-AU"/>
              </w:rPr>
              <w:t xml:space="preserve">Clinical Advisory Committee </w:t>
            </w:r>
          </w:p>
          <w:p w14:paraId="149B7447" w14:textId="77777777" w:rsidR="00152262" w:rsidRPr="00746CDE" w:rsidRDefault="00152262" w:rsidP="00152262">
            <w:pPr>
              <w:pStyle w:val="BodyText"/>
              <w:spacing w:after="120"/>
              <w:ind w:left="0"/>
              <w:rPr>
                <w:rFonts w:ascii="Arial" w:eastAsia="Times New Roman" w:hAnsi="Arial" w:cs="Arial"/>
                <w:sz w:val="18"/>
                <w:szCs w:val="18"/>
                <w:lang w:eastAsia="en-AU"/>
              </w:rPr>
            </w:pPr>
            <w:r w:rsidRPr="00746CDE">
              <w:rPr>
                <w:rFonts w:ascii="Arial" w:eastAsia="Times New Roman" w:hAnsi="Arial" w:cs="Arial"/>
                <w:sz w:val="18"/>
                <w:szCs w:val="18"/>
                <w:lang w:eastAsia="en-AU"/>
              </w:rPr>
              <w:t>Jurisdictional Advisory Committee</w:t>
            </w:r>
          </w:p>
          <w:p w14:paraId="2AC876A0" w14:textId="77777777" w:rsidR="00152262" w:rsidRPr="00746CDE" w:rsidRDefault="00152262" w:rsidP="00152262">
            <w:pPr>
              <w:pStyle w:val="BodyText"/>
              <w:spacing w:after="120"/>
              <w:ind w:left="0"/>
              <w:rPr>
                <w:rFonts w:ascii="Arial" w:eastAsia="Times New Roman" w:hAnsi="Arial" w:cs="Arial"/>
                <w:sz w:val="18"/>
                <w:szCs w:val="18"/>
                <w:lang w:eastAsia="en-AU"/>
              </w:rPr>
            </w:pPr>
            <w:r w:rsidRPr="00746CDE">
              <w:rPr>
                <w:rFonts w:ascii="Arial" w:eastAsia="Times New Roman" w:hAnsi="Arial" w:cs="Arial"/>
                <w:sz w:val="18"/>
                <w:szCs w:val="18"/>
                <w:lang w:eastAsia="en-AU"/>
              </w:rPr>
              <w:t>Stakeholder Advisory Committee</w:t>
            </w:r>
          </w:p>
          <w:p w14:paraId="677B9FC1" w14:textId="6F9E5FC7" w:rsidR="00152262" w:rsidRPr="00746CDE" w:rsidRDefault="00152262" w:rsidP="00152262">
            <w:pPr>
              <w:pStyle w:val="BodyText"/>
              <w:spacing w:after="120"/>
              <w:ind w:left="0"/>
              <w:rPr>
                <w:rFonts w:ascii="Arial" w:eastAsia="Times New Roman" w:hAnsi="Arial" w:cs="Arial"/>
                <w:sz w:val="18"/>
                <w:szCs w:val="18"/>
                <w:lang w:eastAsia="en-AU"/>
              </w:rPr>
            </w:pPr>
            <w:r w:rsidRPr="00746CDE">
              <w:rPr>
                <w:rFonts w:ascii="Arial" w:eastAsia="Times New Roman" w:hAnsi="Arial" w:cs="Arial"/>
                <w:sz w:val="18"/>
                <w:szCs w:val="18"/>
                <w:lang w:eastAsia="en-AU"/>
              </w:rPr>
              <w:t>Technical Advisory Committee</w:t>
            </w:r>
          </w:p>
          <w:p w14:paraId="4A17173C" w14:textId="32C6083F" w:rsidR="00152262" w:rsidRPr="002E0513" w:rsidRDefault="001F2A57" w:rsidP="002E0513">
            <w:pPr>
              <w:pStyle w:val="BodyText"/>
              <w:spacing w:after="120"/>
              <w:ind w:left="0"/>
              <w:rPr>
                <w:rFonts w:ascii="Arial" w:eastAsiaTheme="minorHAnsi" w:hAnsi="Arial" w:cs="Arial"/>
                <w:sz w:val="18"/>
                <w:szCs w:val="18"/>
                <w:lang w:val="en-AU"/>
              </w:rPr>
            </w:pPr>
            <w:r>
              <w:rPr>
                <w:rFonts w:ascii="Arial" w:eastAsia="Times New Roman" w:hAnsi="Arial" w:cs="Arial"/>
                <w:sz w:val="18"/>
                <w:szCs w:val="18"/>
                <w:lang w:val="en-AU" w:eastAsia="en-AU"/>
              </w:rPr>
              <w:t xml:space="preserve">National </w:t>
            </w:r>
            <w:r w:rsidR="00853CED">
              <w:rPr>
                <w:rFonts w:ascii="Arial" w:eastAsia="Times New Roman" w:hAnsi="Arial" w:cs="Arial"/>
                <w:sz w:val="18"/>
                <w:szCs w:val="18"/>
                <w:lang w:val="en-AU" w:eastAsia="en-AU"/>
              </w:rPr>
              <w:t>Hospital</w:t>
            </w:r>
            <w:r>
              <w:rPr>
                <w:rFonts w:ascii="Arial" w:eastAsia="Times New Roman" w:hAnsi="Arial" w:cs="Arial"/>
                <w:sz w:val="18"/>
                <w:szCs w:val="18"/>
                <w:lang w:val="en-AU" w:eastAsia="en-AU"/>
              </w:rPr>
              <w:t xml:space="preserve"> Cost Data Collection </w:t>
            </w:r>
            <w:r w:rsidR="00152262" w:rsidRPr="00746CDE">
              <w:rPr>
                <w:rFonts w:ascii="Arial" w:eastAsia="Times New Roman" w:hAnsi="Arial" w:cs="Arial"/>
                <w:sz w:val="18"/>
                <w:szCs w:val="18"/>
                <w:lang w:eastAsia="en-AU"/>
              </w:rPr>
              <w:t>Advisory Committee</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2735596A" w14:textId="2CCFE4BD" w:rsidR="00152262" w:rsidRPr="00386DF0" w:rsidRDefault="00152262" w:rsidP="00152262">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Emergency Care Advisory Working Group</w:t>
            </w:r>
          </w:p>
          <w:p w14:paraId="44B3EC68" w14:textId="77777777" w:rsidR="00152262" w:rsidRPr="00386DF0" w:rsidRDefault="00152262" w:rsidP="00152262">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Mental Health Working Group</w:t>
            </w:r>
          </w:p>
          <w:p w14:paraId="458134C3" w14:textId="77777777" w:rsidR="00152262" w:rsidRPr="00386DF0" w:rsidRDefault="00152262" w:rsidP="00152262">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Teaching, Training and Research Working Group</w:t>
            </w:r>
          </w:p>
          <w:p w14:paraId="08D1F4A9" w14:textId="5EC59A56" w:rsidR="00152262" w:rsidRDefault="00152262" w:rsidP="00152262">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Subacute Care Working Group</w:t>
            </w:r>
          </w:p>
          <w:p w14:paraId="0AB8C482" w14:textId="76F2479D" w:rsidR="00152262" w:rsidRPr="00152262" w:rsidRDefault="00152262" w:rsidP="00152262">
            <w:pPr>
              <w:pStyle w:val="BodyText"/>
              <w:spacing w:after="120"/>
              <w:ind w:left="0"/>
              <w:rPr>
                <w:rFonts w:ascii="Arial" w:eastAsiaTheme="minorHAnsi" w:hAnsi="Arial" w:cs="Arial"/>
                <w:b/>
                <w:sz w:val="18"/>
                <w:szCs w:val="18"/>
                <w:lang w:val="en-AU"/>
              </w:rPr>
            </w:pP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2A57B94C" w14:textId="77777777" w:rsidR="00152262" w:rsidRDefault="00152262" w:rsidP="002E0513">
            <w:pPr>
              <w:spacing w:after="120"/>
              <w:rPr>
                <w:rFonts w:ascii="Arial" w:eastAsia="Times New Roman" w:hAnsi="Arial" w:cs="Arial"/>
                <w:sz w:val="18"/>
                <w:szCs w:val="18"/>
                <w:lang w:eastAsia="en-AU"/>
              </w:rPr>
            </w:pPr>
            <w:r w:rsidRPr="00386DF0">
              <w:rPr>
                <w:rFonts w:ascii="Arial" w:eastAsia="Times New Roman" w:hAnsi="Arial" w:cs="Arial"/>
                <w:sz w:val="18"/>
                <w:szCs w:val="18"/>
                <w:lang w:eastAsia="en-AU"/>
              </w:rPr>
              <w:t>Small Rural Hospitals Working Group</w:t>
            </w:r>
          </w:p>
          <w:p w14:paraId="3FF330DA" w14:textId="77777777" w:rsidR="002E0513" w:rsidRPr="00386DF0" w:rsidRDefault="002E0513" w:rsidP="002E0513">
            <w:pPr>
              <w:spacing w:after="120"/>
              <w:rPr>
                <w:rFonts w:ascii="Arial" w:eastAsia="Times New Roman" w:hAnsi="Arial" w:cs="Arial"/>
                <w:sz w:val="18"/>
                <w:szCs w:val="18"/>
                <w:lang w:eastAsia="en-AU"/>
              </w:rPr>
            </w:pPr>
            <w:r w:rsidRPr="00386DF0">
              <w:rPr>
                <w:rFonts w:ascii="Arial" w:eastAsia="Times New Roman" w:hAnsi="Arial" w:cs="Arial"/>
                <w:sz w:val="18"/>
                <w:szCs w:val="18"/>
                <w:lang w:eastAsia="en-AU"/>
              </w:rPr>
              <w:t>Non-admitted Care Advisory Working Group</w:t>
            </w:r>
          </w:p>
          <w:p w14:paraId="6FA5FC3A" w14:textId="77777777" w:rsidR="002E0513" w:rsidRPr="00386DF0" w:rsidRDefault="002E0513" w:rsidP="002E0513">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Diagnosis Related Groups Technical Group</w:t>
            </w:r>
          </w:p>
          <w:p w14:paraId="4DCA1F87" w14:textId="77777777" w:rsidR="002E0513" w:rsidRPr="00386DF0" w:rsidRDefault="002E0513" w:rsidP="002E0513">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Classifications Clinical Advisory Group</w:t>
            </w:r>
          </w:p>
          <w:p w14:paraId="3A93959D" w14:textId="5E284B98" w:rsidR="00152262" w:rsidRPr="00386DF0" w:rsidRDefault="002E0513" w:rsidP="002E0513">
            <w:pPr>
              <w:pStyle w:val="BodyText"/>
              <w:ind w:left="0"/>
              <w:rPr>
                <w:rFonts w:ascii="Arial" w:eastAsia="Times New Roman" w:hAnsi="Arial" w:cs="Arial"/>
                <w:b/>
                <w:sz w:val="18"/>
                <w:szCs w:val="18"/>
                <w:lang w:eastAsia="en-AU"/>
              </w:rPr>
            </w:pPr>
            <w:r w:rsidRPr="00386DF0">
              <w:rPr>
                <w:rFonts w:ascii="Arial" w:eastAsia="Times New Roman" w:hAnsi="Arial" w:cs="Arial"/>
                <w:sz w:val="18"/>
                <w:szCs w:val="18"/>
                <w:lang w:eastAsia="en-AU"/>
              </w:rPr>
              <w:t>ICD Technical Group</w:t>
            </w:r>
          </w:p>
        </w:tc>
      </w:tr>
    </w:tbl>
    <w:p w14:paraId="1664AC2D" w14:textId="7A1BCF44" w:rsidR="001F3404" w:rsidRPr="00331F88" w:rsidRDefault="00C41D67" w:rsidP="00331F88">
      <w:pPr>
        <w:pStyle w:val="Heading1"/>
        <w:spacing w:before="360" w:after="160" w:line="240" w:lineRule="auto"/>
        <w:rPr>
          <w:color w:val="000000" w:themeColor="text1"/>
          <w:sz w:val="36"/>
          <w:szCs w:val="36"/>
        </w:rPr>
      </w:pPr>
      <w:bookmarkStart w:id="211" w:name="_Toc55044584"/>
      <w:bookmarkStart w:id="212" w:name="_Toc55974153"/>
      <w:r>
        <w:rPr>
          <w:color w:val="000000" w:themeColor="text1"/>
          <w:sz w:val="36"/>
          <w:szCs w:val="36"/>
        </w:rPr>
        <w:t>3</w:t>
      </w:r>
      <w:r w:rsidR="00473722">
        <w:rPr>
          <w:color w:val="000000" w:themeColor="text1"/>
          <w:sz w:val="36"/>
          <w:szCs w:val="36"/>
        </w:rPr>
        <w:t xml:space="preserve">.4 </w:t>
      </w:r>
      <w:r w:rsidR="001F3404" w:rsidRPr="00331F88">
        <w:rPr>
          <w:color w:val="000000" w:themeColor="text1"/>
          <w:sz w:val="36"/>
          <w:szCs w:val="36"/>
        </w:rPr>
        <w:t xml:space="preserve">Enterprise </w:t>
      </w:r>
      <w:r w:rsidR="0058522D">
        <w:rPr>
          <w:color w:val="000000" w:themeColor="text1"/>
          <w:sz w:val="36"/>
          <w:szCs w:val="36"/>
        </w:rPr>
        <w:t>r</w:t>
      </w:r>
      <w:r w:rsidR="001F3404" w:rsidRPr="00331F88">
        <w:rPr>
          <w:color w:val="000000" w:themeColor="text1"/>
          <w:sz w:val="36"/>
          <w:szCs w:val="36"/>
        </w:rPr>
        <w:t>isk</w:t>
      </w:r>
      <w:bookmarkEnd w:id="211"/>
      <w:bookmarkEnd w:id="212"/>
    </w:p>
    <w:p w14:paraId="089DBACA" w14:textId="7FA0B919" w:rsidR="001F3404" w:rsidRPr="00AD75B9" w:rsidRDefault="001F3404" w:rsidP="00AD75B9">
      <w:pPr>
        <w:pStyle w:val="IntroBody"/>
        <w:rPr>
          <w:b w:val="0"/>
          <w:color w:val="auto"/>
          <w:lang w:val="en-AU"/>
        </w:rPr>
      </w:pPr>
      <w:r w:rsidRPr="00AD75B9">
        <w:rPr>
          <w:b w:val="0"/>
          <w:color w:val="auto"/>
          <w:lang w:val="en-AU"/>
        </w:rPr>
        <w:t xml:space="preserve">Since the agency’s formation in 2011, IHPA has established a robust system of risk management and controls to assist in the governance of the agency. The Pricing Authority delivers the functions defined in the </w:t>
      </w:r>
      <w:r w:rsidRPr="001F2A57">
        <w:rPr>
          <w:b w:val="0"/>
          <w:i/>
          <w:color w:val="auto"/>
          <w:lang w:val="en-AU"/>
        </w:rPr>
        <w:t>National Health Reform Act 2011</w:t>
      </w:r>
      <w:r w:rsidRPr="00AD75B9">
        <w:rPr>
          <w:b w:val="0"/>
          <w:color w:val="auto"/>
          <w:lang w:val="en-AU"/>
        </w:rPr>
        <w:t>. The Pricing Authority approves IHPA’s core business activities</w:t>
      </w:r>
      <w:r w:rsidR="00222230">
        <w:rPr>
          <w:b w:val="0"/>
          <w:color w:val="auto"/>
          <w:lang w:val="en-AU"/>
        </w:rPr>
        <w:t xml:space="preserve"> including </w:t>
      </w:r>
      <w:r w:rsidRPr="00AD75B9">
        <w:rPr>
          <w:b w:val="0"/>
          <w:color w:val="auto"/>
          <w:lang w:val="en-AU"/>
        </w:rPr>
        <w:t xml:space="preserve">determination of the national efficient price and the national efficient cost for public hospital services annually, and building national classification systems for all hospital services. </w:t>
      </w:r>
    </w:p>
    <w:p w14:paraId="55055FA3" w14:textId="122AA303" w:rsidR="001F3404" w:rsidRDefault="001F3404" w:rsidP="00AD75B9">
      <w:pPr>
        <w:pStyle w:val="IntroBody"/>
        <w:rPr>
          <w:b w:val="0"/>
          <w:color w:val="auto"/>
          <w:lang w:val="en-AU"/>
        </w:rPr>
      </w:pPr>
      <w:r w:rsidRPr="00AD75B9">
        <w:rPr>
          <w:b w:val="0"/>
          <w:color w:val="auto"/>
          <w:lang w:val="en-AU"/>
        </w:rPr>
        <w:t xml:space="preserve">IHPA’s enterprise approach to risk management uses tools that address the strategic and tactical risks of all significant decisions. IHPA </w:t>
      </w:r>
      <w:r w:rsidR="00222230">
        <w:rPr>
          <w:b w:val="0"/>
          <w:color w:val="auto"/>
          <w:lang w:val="en-AU"/>
        </w:rPr>
        <w:t>has a comprehensive</w:t>
      </w:r>
      <w:r w:rsidRPr="00AD75B9">
        <w:rPr>
          <w:b w:val="0"/>
          <w:color w:val="auto"/>
          <w:lang w:val="en-AU"/>
        </w:rPr>
        <w:t xml:space="preserve"> risk management framework and a detailed risk appetite statement, which is </w:t>
      </w:r>
      <w:r w:rsidR="00222230">
        <w:rPr>
          <w:b w:val="0"/>
          <w:color w:val="auto"/>
          <w:lang w:val="en-AU"/>
        </w:rPr>
        <w:t xml:space="preserve">regularly </w:t>
      </w:r>
      <w:r w:rsidRPr="00AD75B9">
        <w:rPr>
          <w:b w:val="0"/>
          <w:color w:val="auto"/>
          <w:lang w:val="en-AU"/>
        </w:rPr>
        <w:t>reviewed.</w:t>
      </w:r>
    </w:p>
    <w:p w14:paraId="12A7DFBA" w14:textId="77777777" w:rsidR="00FF7D5B" w:rsidRPr="00AD75B9" w:rsidRDefault="00FF7D5B" w:rsidP="00FF7D5B">
      <w:pPr>
        <w:pStyle w:val="IntroBody"/>
        <w:rPr>
          <w:b w:val="0"/>
          <w:color w:val="auto"/>
          <w:lang w:val="en-AU"/>
        </w:rPr>
      </w:pPr>
      <w:r>
        <w:rPr>
          <w:b w:val="0"/>
          <w:color w:val="auto"/>
          <w:lang w:val="en-AU"/>
        </w:rPr>
        <w:t>Table 2</w:t>
      </w:r>
      <w:r w:rsidRPr="00AD75B9">
        <w:rPr>
          <w:b w:val="0"/>
          <w:color w:val="auto"/>
          <w:lang w:val="en-AU"/>
        </w:rPr>
        <w:t xml:space="preserve"> identifies the following risks and their controls: reputational, data and information governance, information and communication technology, outsourcing and procurement, physical security, compliance, fraud and corruption, financial, people and culture, and delivery of legislative functions.</w:t>
      </w:r>
    </w:p>
    <w:p w14:paraId="46700D19" w14:textId="5719C728" w:rsidR="00FF7D5B" w:rsidRPr="00A77249" w:rsidRDefault="00FF7D5B" w:rsidP="00AD75B9">
      <w:pPr>
        <w:pStyle w:val="IntroBody"/>
        <w:rPr>
          <w:color w:val="auto"/>
          <w:lang w:val="en-AU"/>
        </w:rPr>
      </w:pPr>
      <w:r w:rsidRPr="00A77249">
        <w:rPr>
          <w:color w:val="auto"/>
          <w:lang w:val="en-AU"/>
        </w:rPr>
        <w:t>Strategic risks</w:t>
      </w:r>
    </w:p>
    <w:p w14:paraId="1D2A4278" w14:textId="77777777" w:rsidR="001F3404" w:rsidRPr="00AD75B9" w:rsidRDefault="001F3404" w:rsidP="00AD75B9">
      <w:pPr>
        <w:pStyle w:val="IntroBody"/>
        <w:rPr>
          <w:b w:val="0"/>
          <w:color w:val="auto"/>
          <w:lang w:val="en-AU"/>
        </w:rPr>
      </w:pPr>
      <w:r w:rsidRPr="00AD75B9">
        <w:rPr>
          <w:b w:val="0"/>
          <w:color w:val="auto"/>
          <w:lang w:val="en-AU"/>
        </w:rPr>
        <w:t xml:space="preserve">Strategic risks are identified with reference to current business and environmental issues facing IHPA. These risks fall into three major risk categories: </w:t>
      </w:r>
    </w:p>
    <w:p w14:paraId="7944CA1C" w14:textId="77777777" w:rsidR="001F3404" w:rsidRPr="00AD75B9" w:rsidRDefault="001F3404" w:rsidP="00EF2D44">
      <w:pPr>
        <w:pStyle w:val="IntroBody"/>
        <w:numPr>
          <w:ilvl w:val="0"/>
          <w:numId w:val="9"/>
        </w:numPr>
        <w:rPr>
          <w:b w:val="0"/>
          <w:color w:val="auto"/>
          <w:lang w:val="en-AU"/>
        </w:rPr>
      </w:pPr>
      <w:r w:rsidRPr="00AD75B9">
        <w:rPr>
          <w:b w:val="0"/>
          <w:color w:val="auto"/>
          <w:lang w:val="en-AU"/>
        </w:rPr>
        <w:t xml:space="preserve">reputational risks </w:t>
      </w:r>
    </w:p>
    <w:p w14:paraId="5F0A902D" w14:textId="77777777" w:rsidR="001F3404" w:rsidRPr="00AD75B9" w:rsidRDefault="001F3404" w:rsidP="00EF2D44">
      <w:pPr>
        <w:pStyle w:val="IntroBody"/>
        <w:numPr>
          <w:ilvl w:val="0"/>
          <w:numId w:val="9"/>
        </w:numPr>
        <w:rPr>
          <w:b w:val="0"/>
          <w:color w:val="auto"/>
          <w:lang w:val="en-AU"/>
        </w:rPr>
      </w:pPr>
      <w:r w:rsidRPr="00AD75B9">
        <w:rPr>
          <w:b w:val="0"/>
          <w:color w:val="auto"/>
          <w:lang w:val="en-AU"/>
        </w:rPr>
        <w:t>data and information governance risks</w:t>
      </w:r>
    </w:p>
    <w:p w14:paraId="3349FFDD" w14:textId="77777777" w:rsidR="001F3404" w:rsidRPr="00AD75B9" w:rsidRDefault="001F3404" w:rsidP="00EF2D44">
      <w:pPr>
        <w:pStyle w:val="IntroBody"/>
        <w:numPr>
          <w:ilvl w:val="0"/>
          <w:numId w:val="9"/>
        </w:numPr>
        <w:rPr>
          <w:b w:val="0"/>
          <w:color w:val="auto"/>
          <w:lang w:val="en-AU"/>
        </w:rPr>
      </w:pPr>
      <w:proofErr w:type="gramStart"/>
      <w:r w:rsidRPr="00AD75B9">
        <w:rPr>
          <w:b w:val="0"/>
          <w:color w:val="auto"/>
          <w:lang w:val="en-AU"/>
        </w:rPr>
        <w:t>corporate</w:t>
      </w:r>
      <w:proofErr w:type="gramEnd"/>
      <w:r w:rsidRPr="00AD75B9">
        <w:rPr>
          <w:b w:val="0"/>
          <w:color w:val="auto"/>
          <w:lang w:val="en-AU"/>
        </w:rPr>
        <w:t xml:space="preserve"> risks.</w:t>
      </w:r>
    </w:p>
    <w:p w14:paraId="38E9A23E" w14:textId="5CDE8168" w:rsidR="001F3404" w:rsidRPr="00AD75B9" w:rsidRDefault="001F3404" w:rsidP="00AD75B9">
      <w:pPr>
        <w:pStyle w:val="IntroBody"/>
        <w:rPr>
          <w:b w:val="0"/>
          <w:color w:val="auto"/>
          <w:lang w:val="en-AU"/>
        </w:rPr>
      </w:pPr>
      <w:r w:rsidRPr="00AD75B9">
        <w:rPr>
          <w:b w:val="0"/>
          <w:color w:val="auto"/>
          <w:lang w:val="en-AU"/>
        </w:rPr>
        <w:t xml:space="preserve">Additionally, IHPA </w:t>
      </w:r>
      <w:r w:rsidR="00222230">
        <w:rPr>
          <w:b w:val="0"/>
          <w:color w:val="auto"/>
          <w:lang w:val="en-AU"/>
        </w:rPr>
        <w:t>maintains</w:t>
      </w:r>
      <w:r w:rsidR="00222230" w:rsidRPr="00AD75B9">
        <w:rPr>
          <w:b w:val="0"/>
          <w:color w:val="auto"/>
          <w:lang w:val="en-AU"/>
        </w:rPr>
        <w:t xml:space="preserve"> </w:t>
      </w:r>
      <w:r w:rsidRPr="00AD75B9">
        <w:rPr>
          <w:b w:val="0"/>
          <w:color w:val="auto"/>
          <w:lang w:val="en-AU"/>
        </w:rPr>
        <w:t xml:space="preserve">a shared Strategic Risk Register with the National Health Funding Body, which identified two risks that both agencies have agreed to manage jointly: </w:t>
      </w:r>
    </w:p>
    <w:p w14:paraId="76020002" w14:textId="77777777" w:rsidR="001F3404" w:rsidRPr="00AD75B9" w:rsidRDefault="001F3404" w:rsidP="00EF2D44">
      <w:pPr>
        <w:pStyle w:val="IntroBody"/>
        <w:numPr>
          <w:ilvl w:val="0"/>
          <w:numId w:val="10"/>
        </w:numPr>
        <w:rPr>
          <w:b w:val="0"/>
          <w:color w:val="auto"/>
          <w:lang w:val="en-AU"/>
        </w:rPr>
      </w:pPr>
      <w:r w:rsidRPr="00AD75B9">
        <w:rPr>
          <w:b w:val="0"/>
          <w:color w:val="auto"/>
          <w:lang w:val="en-AU"/>
        </w:rPr>
        <w:t xml:space="preserve">incorrect calculation of Commonwealth funding entitlements </w:t>
      </w:r>
    </w:p>
    <w:p w14:paraId="45C7449D" w14:textId="77777777" w:rsidR="001F3404" w:rsidRPr="00AD75B9" w:rsidRDefault="001F3404" w:rsidP="00EF2D44">
      <w:pPr>
        <w:pStyle w:val="IntroBody"/>
        <w:numPr>
          <w:ilvl w:val="0"/>
          <w:numId w:val="10"/>
        </w:numPr>
        <w:rPr>
          <w:b w:val="0"/>
          <w:color w:val="auto"/>
          <w:lang w:val="en-AU"/>
        </w:rPr>
      </w:pPr>
      <w:proofErr w:type="gramStart"/>
      <w:r w:rsidRPr="00AD75B9">
        <w:rPr>
          <w:b w:val="0"/>
          <w:color w:val="auto"/>
          <w:lang w:val="en-AU"/>
        </w:rPr>
        <w:t>changes</w:t>
      </w:r>
      <w:proofErr w:type="gramEnd"/>
      <w:r w:rsidRPr="00AD75B9">
        <w:rPr>
          <w:b w:val="0"/>
          <w:color w:val="auto"/>
          <w:lang w:val="en-AU"/>
        </w:rPr>
        <w:t xml:space="preserve"> to models that have not been effectively modelled and/or implemented.</w:t>
      </w:r>
    </w:p>
    <w:p w14:paraId="7E25BFE0" w14:textId="1EBA7843" w:rsidR="001F3404" w:rsidRDefault="001F3404" w:rsidP="00AD75B9">
      <w:pPr>
        <w:pStyle w:val="IntroBody"/>
        <w:rPr>
          <w:b w:val="0"/>
          <w:color w:val="auto"/>
          <w:lang w:val="en-AU"/>
        </w:rPr>
      </w:pPr>
      <w:r w:rsidRPr="00AD75B9">
        <w:rPr>
          <w:b w:val="0"/>
          <w:color w:val="auto"/>
          <w:lang w:val="en-AU"/>
        </w:rPr>
        <w:lastRenderedPageBreak/>
        <w:t>IHPA’s strategic risks are actively managed through audits, assurance, and internal control processes. Where new risks emerge, resources are assigned to understand and manage those risks. They are reviewed bi-annually or as required.</w:t>
      </w:r>
    </w:p>
    <w:p w14:paraId="72A4549D" w14:textId="67A232FE" w:rsidR="00FF7D5B" w:rsidRPr="00A77249" w:rsidRDefault="00FF7D5B" w:rsidP="00AD75B9">
      <w:pPr>
        <w:pStyle w:val="IntroBody"/>
        <w:rPr>
          <w:color w:val="auto"/>
          <w:lang w:val="en-AU"/>
        </w:rPr>
      </w:pPr>
      <w:r w:rsidRPr="00A77249">
        <w:rPr>
          <w:color w:val="auto"/>
          <w:lang w:val="en-AU"/>
        </w:rPr>
        <w:t>Tactical risks</w:t>
      </w:r>
    </w:p>
    <w:p w14:paraId="4D007D1E" w14:textId="77777777" w:rsidR="001F3404" w:rsidRPr="00AD75B9" w:rsidRDefault="001F3404" w:rsidP="00AD75B9">
      <w:pPr>
        <w:pStyle w:val="IntroBody"/>
        <w:rPr>
          <w:b w:val="0"/>
          <w:color w:val="auto"/>
          <w:lang w:val="en-AU"/>
        </w:rPr>
      </w:pPr>
      <w:r w:rsidRPr="00AD75B9">
        <w:rPr>
          <w:b w:val="0"/>
          <w:color w:val="auto"/>
          <w:lang w:val="en-AU"/>
        </w:rPr>
        <w:t>Tactical risks are managed through a decision-based risk management tool, which requires recording of the risk and a formal decision on the managed likelihood and consequence of the risk. The assessment tool forms part of any major decision, ensuring that the final decision maker is fully informed and cognisant of managed risk outcomes during the decision</w:t>
      </w:r>
      <w:r w:rsidRPr="00AD75B9">
        <w:rPr>
          <w:b w:val="0"/>
          <w:color w:val="auto"/>
          <w:lang w:val="en-AU"/>
        </w:rPr>
        <w:noBreakHyphen/>
        <w:t>making process. IHPA has a mature enterprise risk management framework in place, and risk management is considered a business</w:t>
      </w:r>
      <w:r w:rsidRPr="00AD75B9">
        <w:rPr>
          <w:b w:val="0"/>
          <w:color w:val="auto"/>
          <w:lang w:val="en-AU"/>
        </w:rPr>
        <w:noBreakHyphen/>
        <w:t>as</w:t>
      </w:r>
      <w:r w:rsidRPr="00AD75B9">
        <w:rPr>
          <w:b w:val="0"/>
          <w:color w:val="auto"/>
          <w:lang w:val="en-AU"/>
        </w:rPr>
        <w:noBreakHyphen/>
        <w:t>usual activity for all IHPA staff.</w:t>
      </w:r>
    </w:p>
    <w:p w14:paraId="006229EB" w14:textId="77A1B489" w:rsidR="001F3404" w:rsidRPr="00AD75B9" w:rsidRDefault="001F3404" w:rsidP="00AD75B9">
      <w:pPr>
        <w:pStyle w:val="IntroBody"/>
        <w:rPr>
          <w:color w:val="auto"/>
          <w:lang w:val="en-AU"/>
        </w:rPr>
      </w:pPr>
      <w:r w:rsidRPr="000C7AAF">
        <w:rPr>
          <w:color w:val="auto"/>
          <w:lang w:val="en-AU"/>
        </w:rPr>
        <w:t xml:space="preserve">Fraud Control Plan </w:t>
      </w:r>
    </w:p>
    <w:p w14:paraId="50EECF06" w14:textId="2274E4A6" w:rsidR="001F3404" w:rsidRPr="00AD75B9" w:rsidRDefault="001F3404" w:rsidP="00AD75B9">
      <w:pPr>
        <w:pStyle w:val="IntroBody"/>
        <w:rPr>
          <w:b w:val="0"/>
          <w:color w:val="auto"/>
          <w:lang w:val="en-AU"/>
        </w:rPr>
      </w:pPr>
      <w:r w:rsidRPr="00AD75B9">
        <w:rPr>
          <w:b w:val="0"/>
        </w:rPr>
        <w:t xml:space="preserve">IHPA’s fraud control plan is </w:t>
      </w:r>
      <w:proofErr w:type="spellStart"/>
      <w:r w:rsidRPr="00AD75B9">
        <w:rPr>
          <w:b w:val="0"/>
        </w:rPr>
        <w:t>recognised</w:t>
      </w:r>
      <w:proofErr w:type="spellEnd"/>
      <w:r w:rsidRPr="00AD75B9">
        <w:rPr>
          <w:b w:val="0"/>
        </w:rPr>
        <w:t xml:space="preserve"> as a critical internal tool used to mitigate the act and consequences of </w:t>
      </w:r>
      <w:proofErr w:type="spellStart"/>
      <w:r w:rsidRPr="00AD75B9">
        <w:rPr>
          <w:b w:val="0"/>
        </w:rPr>
        <w:t>authorised</w:t>
      </w:r>
      <w:proofErr w:type="spellEnd"/>
      <w:r w:rsidRPr="00AD75B9">
        <w:rPr>
          <w:b w:val="0"/>
        </w:rPr>
        <w:t xml:space="preserve"> use of IHPA data and financial resources. It was updated </w:t>
      </w:r>
      <w:r w:rsidR="00152262">
        <w:rPr>
          <w:b w:val="0"/>
        </w:rPr>
        <w:t>regularly</w:t>
      </w:r>
      <w:r w:rsidRPr="00AD75B9">
        <w:rPr>
          <w:b w:val="0"/>
        </w:rPr>
        <w:t xml:space="preserve"> to incorporate changes to the Commonwealth Fraud Control Framework. The plan encourages ethical </w:t>
      </w:r>
      <w:proofErr w:type="spellStart"/>
      <w:r w:rsidRPr="00AD75B9">
        <w:rPr>
          <w:b w:val="0"/>
        </w:rPr>
        <w:t>behaviour</w:t>
      </w:r>
      <w:proofErr w:type="spellEnd"/>
      <w:r w:rsidRPr="00AD75B9">
        <w:rPr>
          <w:b w:val="0"/>
        </w:rPr>
        <w:t xml:space="preserve"> through use of business processes designed to prevent deceptive activities, supported by monitoring controls to detect fraud and deter offending </w:t>
      </w:r>
      <w:proofErr w:type="spellStart"/>
      <w:r w:rsidRPr="00AD75B9">
        <w:rPr>
          <w:b w:val="0"/>
        </w:rPr>
        <w:t>behaviour</w:t>
      </w:r>
      <w:proofErr w:type="spellEnd"/>
      <w:r w:rsidRPr="00AD75B9">
        <w:rPr>
          <w:b w:val="0"/>
        </w:rPr>
        <w:t>, and is reviewed annually or as required.</w:t>
      </w:r>
    </w:p>
    <w:p w14:paraId="43A974D7" w14:textId="469BE42E" w:rsidR="001F3404" w:rsidRPr="00AD75B9" w:rsidRDefault="001F3404" w:rsidP="00AD75B9">
      <w:pPr>
        <w:pStyle w:val="IntroBody"/>
        <w:rPr>
          <w:color w:val="auto"/>
          <w:lang w:val="en-AU"/>
        </w:rPr>
      </w:pPr>
      <w:r w:rsidRPr="000C7AAF">
        <w:rPr>
          <w:color w:val="auto"/>
          <w:lang w:val="en-AU"/>
        </w:rPr>
        <w:t xml:space="preserve">Compliance </w:t>
      </w:r>
    </w:p>
    <w:p w14:paraId="56F447ED" w14:textId="709D0D9B" w:rsidR="001F3404" w:rsidRPr="00AD75B9" w:rsidRDefault="001F3404" w:rsidP="00AD75B9">
      <w:pPr>
        <w:pStyle w:val="IntroBody"/>
        <w:rPr>
          <w:b w:val="0"/>
        </w:rPr>
      </w:pPr>
      <w:r w:rsidRPr="00AD75B9">
        <w:rPr>
          <w:b w:val="0"/>
        </w:rPr>
        <w:t xml:space="preserve">IHPA has a broad range of compliance obligations, including key statutory obligations set out in the </w:t>
      </w:r>
      <w:r w:rsidRPr="001F2A57">
        <w:rPr>
          <w:b w:val="0"/>
          <w:i/>
        </w:rPr>
        <w:t>National Health Reform Act 2011</w:t>
      </w:r>
      <w:r w:rsidRPr="00AD75B9">
        <w:rPr>
          <w:b w:val="0"/>
        </w:rPr>
        <w:t xml:space="preserve"> and the National Health Reform Agreement, the </w:t>
      </w:r>
      <w:r w:rsidRPr="001F2A57">
        <w:rPr>
          <w:b w:val="0"/>
          <w:i/>
        </w:rPr>
        <w:t>Public Governance Performance and Accountability Act 2013</w:t>
      </w:r>
      <w:r w:rsidRPr="00AD75B9">
        <w:rPr>
          <w:b w:val="0"/>
        </w:rPr>
        <w:t xml:space="preserve">, and the Public Governance Performance and Accountability Rule 2014. Other legal and compliance obligations include, work health and safety, privacy, freedom of information, intellectual property, the Protective Security Policy Framework, website accessibility and records management. The Chief Executive Officer </w:t>
      </w:r>
      <w:r w:rsidR="00F26C31">
        <w:rPr>
          <w:b w:val="0"/>
        </w:rPr>
        <w:t xml:space="preserve">manages </w:t>
      </w:r>
      <w:r w:rsidRPr="00AD75B9">
        <w:rPr>
          <w:b w:val="0"/>
        </w:rPr>
        <w:t xml:space="preserve">assurances on IHPA’s compliance obligations through an </w:t>
      </w:r>
      <w:proofErr w:type="spellStart"/>
      <w:r w:rsidRPr="00AD75B9">
        <w:rPr>
          <w:b w:val="0"/>
        </w:rPr>
        <w:t>organised</w:t>
      </w:r>
      <w:proofErr w:type="spellEnd"/>
      <w:r w:rsidRPr="00AD75B9">
        <w:rPr>
          <w:b w:val="0"/>
        </w:rPr>
        <w:t xml:space="preserve"> system of controls and special exercises, including substantive testing, monthly reports, exception notifications, and compliance audits undertaken by an independent internal auditor.</w:t>
      </w:r>
    </w:p>
    <w:p w14:paraId="42F7D7A4" w14:textId="732D24E4" w:rsidR="001F3404" w:rsidRPr="00AD75B9" w:rsidRDefault="000C7AAF" w:rsidP="00AD75B9">
      <w:pPr>
        <w:pStyle w:val="IntroBody"/>
        <w:rPr>
          <w:color w:val="auto"/>
          <w:lang w:val="en-AU"/>
        </w:rPr>
      </w:pPr>
      <w:r>
        <w:t xml:space="preserve">Financial </w:t>
      </w:r>
      <w:proofErr w:type="spellStart"/>
      <w:r>
        <w:t>authoris</w:t>
      </w:r>
      <w:r w:rsidR="001F3404" w:rsidRPr="00AD75B9">
        <w:t>ation</w:t>
      </w:r>
      <w:proofErr w:type="spellEnd"/>
    </w:p>
    <w:p w14:paraId="39188A11" w14:textId="77777777" w:rsidR="001F3404" w:rsidRPr="00AD75B9" w:rsidRDefault="001F3404" w:rsidP="00AD75B9">
      <w:pPr>
        <w:pStyle w:val="IntroBody"/>
        <w:rPr>
          <w:b w:val="0"/>
        </w:rPr>
      </w:pPr>
      <w:r w:rsidRPr="00AD75B9">
        <w:rPr>
          <w:b w:val="0"/>
        </w:rPr>
        <w:t xml:space="preserve">As a corporate Commonwealth Agency, IHPA is not required to adhere to the Commonwealth Procurement Rules, but chooses to do so as a matter of best practice. All IHPA’s procurement decisions are made in accordance with the Commonwealth Procurement Rules. Line managers have value and purchase class limits in accordance with the delegation of financial authorities that is approved and reviewed regularly by the Chief Executive Officer, as the accountable authority. </w:t>
      </w:r>
    </w:p>
    <w:p w14:paraId="1FB0C17C" w14:textId="5013AD4A" w:rsidR="001F3404" w:rsidRPr="00AD75B9" w:rsidRDefault="001F3404" w:rsidP="00AD75B9">
      <w:pPr>
        <w:pStyle w:val="IntroBody"/>
        <w:rPr>
          <w:color w:val="auto"/>
          <w:lang w:val="en-AU"/>
        </w:rPr>
      </w:pPr>
      <w:r w:rsidRPr="00AD75B9">
        <w:t>Audit, Risk and Compliance Committee</w:t>
      </w:r>
      <w:r w:rsidRPr="00AD75B9">
        <w:rPr>
          <w:color w:val="auto"/>
          <w:lang w:val="en-AU"/>
        </w:rPr>
        <w:t xml:space="preserve"> </w:t>
      </w:r>
    </w:p>
    <w:p w14:paraId="28D5B212" w14:textId="082365FC" w:rsidR="00D41F1C" w:rsidRDefault="001F3404" w:rsidP="00D41F1C">
      <w:pPr>
        <w:pStyle w:val="IntroBody"/>
        <w:rPr>
          <w:b w:val="0"/>
        </w:rPr>
      </w:pPr>
      <w:r w:rsidRPr="00AD75B9">
        <w:rPr>
          <w:b w:val="0"/>
        </w:rPr>
        <w:t>The IHPA Audit, Risk and Compliance Committee provides independent advice to the Chief Executive Officer on managing IHPA’s financial and business risk.</w:t>
      </w:r>
    </w:p>
    <w:p w14:paraId="22F0BA2F" w14:textId="6CD704A9" w:rsidR="001F3404" w:rsidRPr="004E36BC" w:rsidRDefault="00302223" w:rsidP="004E36BC">
      <w:pPr>
        <w:pStyle w:val="BodyText"/>
        <w:spacing w:after="160" w:line="276" w:lineRule="auto"/>
        <w:ind w:left="0"/>
        <w:rPr>
          <w:rFonts w:ascii="Arial" w:eastAsia="Times New Roman" w:hAnsi="Arial" w:cs="Arial"/>
          <w:sz w:val="18"/>
          <w:szCs w:val="18"/>
          <w:lang w:eastAsia="en-AU"/>
        </w:rPr>
      </w:pPr>
      <w:r w:rsidRPr="004E36BC">
        <w:rPr>
          <w:rFonts w:ascii="Arial" w:eastAsia="Times New Roman" w:hAnsi="Arial" w:cs="Arial"/>
          <w:sz w:val="18"/>
          <w:szCs w:val="18"/>
          <w:lang w:eastAsia="en-AU"/>
        </w:rPr>
        <w:t xml:space="preserve">Table </w:t>
      </w:r>
      <w:r w:rsidR="00C06E40" w:rsidRPr="004E36BC">
        <w:rPr>
          <w:rFonts w:ascii="Arial" w:eastAsia="Times New Roman" w:hAnsi="Arial" w:cs="Arial"/>
          <w:sz w:val="18"/>
          <w:szCs w:val="18"/>
          <w:lang w:eastAsia="en-AU"/>
        </w:rPr>
        <w:t>2</w:t>
      </w:r>
      <w:r w:rsidRPr="004E36BC">
        <w:rPr>
          <w:rFonts w:ascii="Arial" w:eastAsia="Times New Roman" w:hAnsi="Arial" w:cs="Arial"/>
          <w:sz w:val="18"/>
          <w:szCs w:val="18"/>
          <w:lang w:eastAsia="en-AU"/>
        </w:rPr>
        <w:t>. Risk and controls</w:t>
      </w:r>
    </w:p>
    <w:tbl>
      <w:tblPr>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7518"/>
      </w:tblGrid>
      <w:tr w:rsidR="00D41F1C" w14:paraId="66ED59DE" w14:textId="77777777" w:rsidTr="00F43180">
        <w:trPr>
          <w:cantSplit/>
          <w:trHeight w:val="554"/>
        </w:trPr>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D6723" w:themeFill="accent3" w:themeFillShade="80"/>
            <w:vAlign w:val="center"/>
            <w:hideMark/>
          </w:tcPr>
          <w:p w14:paraId="3F788944" w14:textId="77777777" w:rsidR="00D41F1C" w:rsidRDefault="00D41F1C">
            <w:pPr>
              <w:spacing w:after="0" w:line="240" w:lineRule="auto"/>
              <w:jc w:val="center"/>
              <w:rPr>
                <w:rFonts w:ascii="Arial" w:hAnsi="Arial" w:cs="Arial"/>
                <w:b/>
                <w:color w:val="FFFFFF" w:themeColor="background1"/>
                <w:sz w:val="14"/>
                <w:szCs w:val="18"/>
              </w:rPr>
            </w:pPr>
            <w:r>
              <w:rPr>
                <w:rFonts w:ascii="Arial" w:hAnsi="Arial" w:cs="Arial"/>
                <w:b/>
                <w:color w:val="FFFFFF" w:themeColor="background1"/>
                <w:sz w:val="14"/>
                <w:szCs w:val="18"/>
              </w:rPr>
              <w:t>Risk</w:t>
            </w:r>
          </w:p>
        </w:tc>
        <w:tc>
          <w:tcPr>
            <w:tcW w:w="7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00" w:themeFill="accent2" w:themeFillShade="BF"/>
            <w:vAlign w:val="center"/>
            <w:hideMark/>
          </w:tcPr>
          <w:p w14:paraId="0E36C9EE" w14:textId="77777777" w:rsidR="00D41F1C" w:rsidRDefault="00D41F1C">
            <w:pPr>
              <w:spacing w:after="0" w:line="240" w:lineRule="auto"/>
              <w:jc w:val="center"/>
              <w:rPr>
                <w:rFonts w:ascii="Arial" w:hAnsi="Arial" w:cs="Arial"/>
                <w:b/>
                <w:color w:val="FFFFFF" w:themeColor="background1"/>
                <w:sz w:val="14"/>
                <w:szCs w:val="18"/>
              </w:rPr>
            </w:pPr>
            <w:r>
              <w:rPr>
                <w:rFonts w:ascii="Arial" w:hAnsi="Arial" w:cs="Arial"/>
                <w:b/>
                <w:color w:val="FFFFFF" w:themeColor="background1"/>
                <w:sz w:val="14"/>
                <w:szCs w:val="18"/>
              </w:rPr>
              <w:t>Controls</w:t>
            </w:r>
          </w:p>
        </w:tc>
      </w:tr>
      <w:tr w:rsidR="00D41F1C" w14:paraId="4A0A5E8A" w14:textId="77777777" w:rsidTr="00302223">
        <w:trPr>
          <w:cantSplit/>
          <w:trHeight w:val="112"/>
        </w:trPr>
        <w:tc>
          <w:tcPr>
            <w:tcW w:w="99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A9D9282" w14:textId="77777777" w:rsidR="00D41F1C" w:rsidRDefault="00D41F1C">
            <w:pPr>
              <w:spacing w:after="0" w:line="240" w:lineRule="auto"/>
              <w:rPr>
                <w:rFonts w:ascii="Arial" w:hAnsi="Arial" w:cs="Arial"/>
                <w:b/>
                <w:color w:val="000000"/>
                <w:sz w:val="18"/>
                <w:szCs w:val="18"/>
              </w:rPr>
            </w:pPr>
            <w:r>
              <w:rPr>
                <w:rFonts w:ascii="Arial" w:hAnsi="Arial" w:cs="Arial"/>
                <w:b/>
                <w:color w:val="000000"/>
                <w:sz w:val="18"/>
                <w:szCs w:val="18"/>
              </w:rPr>
              <w:t>Reputational</w:t>
            </w:r>
          </w:p>
        </w:tc>
      </w:tr>
      <w:tr w:rsidR="00D41F1C" w14:paraId="7DA335AA" w14:textId="77777777" w:rsidTr="00302223">
        <w:trPr>
          <w:cantSplit/>
          <w:trHeight w:val="1134"/>
        </w:trPr>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vAlign w:val="center"/>
            <w:hideMark/>
          </w:tcPr>
          <w:p w14:paraId="0AD9C1C2" w14:textId="77777777" w:rsidR="00D41F1C" w:rsidRDefault="00D41F1C">
            <w:pPr>
              <w:spacing w:after="0" w:line="240" w:lineRule="auto"/>
              <w:rPr>
                <w:rFonts w:ascii="Arial" w:hAnsi="Arial" w:cs="Arial"/>
                <w:color w:val="000000"/>
                <w:sz w:val="18"/>
                <w:szCs w:val="18"/>
              </w:rPr>
            </w:pPr>
            <w:r>
              <w:rPr>
                <w:rFonts w:ascii="Arial" w:hAnsi="Arial" w:cs="Arial"/>
                <w:color w:val="000000"/>
                <w:sz w:val="18"/>
                <w:szCs w:val="18"/>
              </w:rPr>
              <w:t xml:space="preserve">IHPA is not seen as an </w:t>
            </w:r>
            <w:r>
              <w:rPr>
                <w:rFonts w:ascii="Arial" w:hAnsi="Arial" w:cs="Arial"/>
                <w:sz w:val="18"/>
                <w:szCs w:val="18"/>
              </w:rPr>
              <w:t>independent</w:t>
            </w:r>
            <w:r>
              <w:rPr>
                <w:rFonts w:ascii="Arial" w:hAnsi="Arial" w:cs="Arial"/>
                <w:bCs/>
                <w:sz w:val="18"/>
                <w:szCs w:val="18"/>
              </w:rPr>
              <w:t xml:space="preserve"> </w:t>
            </w:r>
            <w:proofErr w:type="spellStart"/>
            <w:r>
              <w:rPr>
                <w:rFonts w:ascii="Arial" w:hAnsi="Arial" w:cs="Arial"/>
                <w:bCs/>
                <w:sz w:val="18"/>
                <w:szCs w:val="18"/>
              </w:rPr>
              <w:t>organisation</w:t>
            </w:r>
            <w:proofErr w:type="spellEnd"/>
          </w:p>
        </w:tc>
        <w:tc>
          <w:tcPr>
            <w:tcW w:w="7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hideMark/>
          </w:tcPr>
          <w:p w14:paraId="36E928E4" w14:textId="77777777" w:rsidR="00A915A6" w:rsidRDefault="00A915A6" w:rsidP="00A915A6">
            <w:pPr>
              <w:spacing w:after="0" w:line="240" w:lineRule="auto"/>
              <w:rPr>
                <w:rFonts w:ascii="Arial" w:hAnsi="Arial" w:cs="Arial"/>
                <w:color w:val="000000"/>
                <w:sz w:val="18"/>
                <w:szCs w:val="18"/>
              </w:rPr>
            </w:pPr>
            <w:r>
              <w:rPr>
                <w:rFonts w:ascii="Arial" w:hAnsi="Arial" w:cs="Arial"/>
                <w:color w:val="000000"/>
                <w:sz w:val="18"/>
                <w:szCs w:val="18"/>
              </w:rPr>
              <w:t>Priority given to maintaining IHPA’s independence.</w:t>
            </w:r>
          </w:p>
          <w:p w14:paraId="29D27511" w14:textId="77777777" w:rsidR="00A915A6" w:rsidRDefault="00A915A6" w:rsidP="00A915A6">
            <w:pPr>
              <w:spacing w:after="0" w:line="240" w:lineRule="auto"/>
              <w:rPr>
                <w:rFonts w:ascii="Arial" w:hAnsi="Arial" w:cs="Arial"/>
                <w:color w:val="000000"/>
                <w:sz w:val="18"/>
                <w:szCs w:val="18"/>
              </w:rPr>
            </w:pPr>
            <w:r>
              <w:rPr>
                <w:rFonts w:ascii="Arial" w:hAnsi="Arial" w:cs="Arial"/>
                <w:color w:val="000000"/>
                <w:sz w:val="18"/>
                <w:szCs w:val="18"/>
              </w:rPr>
              <w:t>Regularly updating the governance framework.</w:t>
            </w:r>
          </w:p>
          <w:p w14:paraId="09E1D689" w14:textId="77777777" w:rsidR="00A915A6" w:rsidRDefault="00A915A6" w:rsidP="00A915A6">
            <w:pPr>
              <w:spacing w:after="0" w:line="240" w:lineRule="auto"/>
              <w:rPr>
                <w:rFonts w:ascii="Arial" w:hAnsi="Arial" w:cs="Arial"/>
                <w:color w:val="000000"/>
                <w:sz w:val="18"/>
                <w:szCs w:val="18"/>
              </w:rPr>
            </w:pPr>
            <w:r>
              <w:rPr>
                <w:rFonts w:ascii="Arial" w:hAnsi="Arial" w:cs="Arial"/>
                <w:color w:val="000000"/>
                <w:sz w:val="18"/>
                <w:szCs w:val="18"/>
              </w:rPr>
              <w:t>Declaration, recording and monitoring material personal interests at committee meetings, and managed in accordance with IHPA Policies.</w:t>
            </w:r>
          </w:p>
          <w:p w14:paraId="37EFF294" w14:textId="77777777" w:rsidR="00A915A6" w:rsidRDefault="00A915A6" w:rsidP="00A915A6">
            <w:pPr>
              <w:spacing w:after="0" w:line="240" w:lineRule="auto"/>
              <w:rPr>
                <w:rFonts w:ascii="Arial" w:hAnsi="Arial" w:cs="Arial"/>
                <w:color w:val="000000"/>
                <w:sz w:val="18"/>
                <w:szCs w:val="18"/>
              </w:rPr>
            </w:pPr>
            <w:r>
              <w:rPr>
                <w:rFonts w:ascii="Arial" w:hAnsi="Arial" w:cs="Arial"/>
                <w:color w:val="000000"/>
                <w:sz w:val="18"/>
                <w:szCs w:val="18"/>
              </w:rPr>
              <w:t>Public Interest Disclosure Policy in place.</w:t>
            </w:r>
          </w:p>
          <w:p w14:paraId="0B39E312" w14:textId="77777777" w:rsidR="00A915A6" w:rsidRDefault="00A915A6" w:rsidP="00A915A6">
            <w:pPr>
              <w:spacing w:after="0" w:line="240" w:lineRule="auto"/>
              <w:rPr>
                <w:rFonts w:ascii="Arial" w:hAnsi="Arial" w:cs="Arial"/>
                <w:color w:val="000000"/>
                <w:sz w:val="18"/>
                <w:szCs w:val="18"/>
              </w:rPr>
            </w:pPr>
            <w:r>
              <w:rPr>
                <w:rFonts w:ascii="Arial" w:hAnsi="Arial" w:cs="Arial"/>
                <w:color w:val="000000"/>
                <w:sz w:val="18"/>
                <w:szCs w:val="18"/>
              </w:rPr>
              <w:t>Consultation with all state and territory government committees, working groups and legislative consultation process.</w:t>
            </w:r>
          </w:p>
          <w:p w14:paraId="46C8F212" w14:textId="77777777" w:rsidR="00A915A6" w:rsidRDefault="00A915A6" w:rsidP="00A915A6">
            <w:pPr>
              <w:spacing w:after="0" w:line="240" w:lineRule="auto"/>
              <w:rPr>
                <w:rFonts w:ascii="Arial" w:hAnsi="Arial" w:cs="Arial"/>
                <w:color w:val="000000"/>
                <w:sz w:val="18"/>
                <w:szCs w:val="18"/>
              </w:rPr>
            </w:pPr>
            <w:r>
              <w:rPr>
                <w:rFonts w:ascii="Arial" w:hAnsi="Arial" w:cs="Arial"/>
                <w:color w:val="000000"/>
                <w:sz w:val="18"/>
                <w:szCs w:val="18"/>
              </w:rPr>
              <w:t xml:space="preserve">Public consultation process for Pricing Framework and Corporate Plan. </w:t>
            </w:r>
          </w:p>
          <w:p w14:paraId="25FB6FC9" w14:textId="77777777" w:rsidR="00A915A6" w:rsidRDefault="00A915A6" w:rsidP="00A915A6">
            <w:pPr>
              <w:spacing w:after="0" w:line="240" w:lineRule="auto"/>
              <w:rPr>
                <w:rFonts w:ascii="Arial" w:hAnsi="Arial" w:cs="Arial"/>
                <w:color w:val="000000"/>
                <w:sz w:val="18"/>
                <w:szCs w:val="18"/>
              </w:rPr>
            </w:pPr>
            <w:r>
              <w:rPr>
                <w:rFonts w:ascii="Arial" w:hAnsi="Arial" w:cs="Arial"/>
                <w:color w:val="000000"/>
                <w:sz w:val="18"/>
                <w:szCs w:val="18"/>
              </w:rPr>
              <w:t>Public reporting of the Strategic Plan and Corporate.</w:t>
            </w:r>
          </w:p>
          <w:p w14:paraId="39FC444B" w14:textId="77777777" w:rsidR="00A915A6" w:rsidRDefault="00A915A6" w:rsidP="00A915A6">
            <w:pPr>
              <w:spacing w:after="0" w:line="240" w:lineRule="auto"/>
              <w:rPr>
                <w:rFonts w:ascii="Arial" w:hAnsi="Arial" w:cs="Arial"/>
                <w:color w:val="000000"/>
                <w:sz w:val="18"/>
                <w:szCs w:val="18"/>
              </w:rPr>
            </w:pPr>
            <w:r>
              <w:rPr>
                <w:rFonts w:ascii="Arial" w:hAnsi="Arial" w:cs="Arial"/>
                <w:color w:val="000000"/>
                <w:sz w:val="18"/>
                <w:szCs w:val="18"/>
              </w:rPr>
              <w:t>Internal and external expert advice and quality assurance in delivering core functions.</w:t>
            </w:r>
          </w:p>
          <w:p w14:paraId="1DD4B5A8" w14:textId="5998F623" w:rsidR="00A915A6" w:rsidRDefault="00A915A6" w:rsidP="00A915A6">
            <w:pPr>
              <w:spacing w:after="0" w:line="240" w:lineRule="auto"/>
              <w:rPr>
                <w:rFonts w:ascii="Arial" w:hAnsi="Arial" w:cs="Arial"/>
                <w:color w:val="000000"/>
                <w:sz w:val="18"/>
                <w:szCs w:val="18"/>
              </w:rPr>
            </w:pPr>
            <w:r>
              <w:rPr>
                <w:rFonts w:ascii="Arial" w:hAnsi="Arial" w:cs="Arial"/>
                <w:color w:val="000000"/>
                <w:sz w:val="18"/>
                <w:szCs w:val="18"/>
              </w:rPr>
              <w:t>Transparent evidence-based methodology in decision-making (</w:t>
            </w:r>
            <w:r w:rsidR="001F2A57">
              <w:rPr>
                <w:rFonts w:ascii="Arial" w:hAnsi="Arial" w:cs="Arial"/>
                <w:color w:val="000000"/>
                <w:sz w:val="18"/>
                <w:szCs w:val="18"/>
              </w:rPr>
              <w:t xml:space="preserve">for example, </w:t>
            </w:r>
            <w:r>
              <w:rPr>
                <w:rFonts w:ascii="Arial" w:hAnsi="Arial" w:cs="Arial"/>
                <w:color w:val="000000"/>
                <w:sz w:val="18"/>
                <w:szCs w:val="18"/>
              </w:rPr>
              <w:t xml:space="preserve">for the determination of the </w:t>
            </w:r>
            <w:r w:rsidR="001F2A57">
              <w:rPr>
                <w:rFonts w:ascii="Arial" w:hAnsi="Arial" w:cs="Arial"/>
                <w:color w:val="000000"/>
                <w:sz w:val="18"/>
                <w:szCs w:val="18"/>
              </w:rPr>
              <w:t>national efficient price and national efficient cost</w:t>
            </w:r>
            <w:r>
              <w:rPr>
                <w:rFonts w:ascii="Arial" w:hAnsi="Arial" w:cs="Arial"/>
                <w:color w:val="000000"/>
                <w:sz w:val="18"/>
                <w:szCs w:val="18"/>
              </w:rPr>
              <w:t>, dispute resolution).</w:t>
            </w:r>
          </w:p>
          <w:p w14:paraId="0449C1A8" w14:textId="77777777" w:rsidR="00A915A6" w:rsidRDefault="00A915A6" w:rsidP="00A915A6">
            <w:pPr>
              <w:spacing w:after="0" w:line="240" w:lineRule="auto"/>
              <w:rPr>
                <w:rFonts w:ascii="Arial" w:hAnsi="Arial" w:cs="Arial"/>
                <w:color w:val="000000"/>
                <w:sz w:val="18"/>
                <w:szCs w:val="18"/>
              </w:rPr>
            </w:pPr>
            <w:r>
              <w:rPr>
                <w:rFonts w:ascii="Arial" w:hAnsi="Arial" w:cs="Arial"/>
                <w:color w:val="000000"/>
                <w:sz w:val="18"/>
                <w:szCs w:val="18"/>
              </w:rPr>
              <w:t>Ensuring that IHPA staff, members of Advisory and Working Committees are aware of IHPA policies and practices through induction and training.</w:t>
            </w:r>
          </w:p>
          <w:p w14:paraId="34CB7DBB" w14:textId="736FDE2B" w:rsidR="00D41F1C" w:rsidRDefault="00A915A6">
            <w:pPr>
              <w:spacing w:after="0" w:line="240" w:lineRule="auto"/>
              <w:rPr>
                <w:rFonts w:ascii="Arial" w:hAnsi="Arial" w:cs="Arial"/>
                <w:color w:val="000000"/>
                <w:sz w:val="18"/>
                <w:szCs w:val="18"/>
              </w:rPr>
            </w:pPr>
            <w:r>
              <w:rPr>
                <w:rFonts w:ascii="Arial" w:hAnsi="Arial" w:cs="Arial"/>
                <w:color w:val="000000"/>
                <w:sz w:val="18"/>
                <w:szCs w:val="18"/>
              </w:rPr>
              <w:t>Media monitoring and proactive media briefing.</w:t>
            </w:r>
          </w:p>
        </w:tc>
      </w:tr>
      <w:tr w:rsidR="00D41F1C" w14:paraId="2F341A89" w14:textId="77777777" w:rsidTr="00302223">
        <w:trPr>
          <w:cantSplit/>
          <w:trHeight w:val="1076"/>
        </w:trPr>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vAlign w:val="center"/>
            <w:hideMark/>
          </w:tcPr>
          <w:p w14:paraId="794EA694" w14:textId="43938D7A" w:rsidR="00D41F1C" w:rsidRDefault="00A915A6">
            <w:pPr>
              <w:spacing w:after="0" w:line="240" w:lineRule="auto"/>
              <w:rPr>
                <w:rFonts w:ascii="Arial" w:hAnsi="Arial" w:cs="Arial"/>
                <w:color w:val="000000"/>
                <w:sz w:val="18"/>
                <w:szCs w:val="18"/>
              </w:rPr>
            </w:pPr>
            <w:r>
              <w:rPr>
                <w:rFonts w:ascii="Arial" w:hAnsi="Arial" w:cs="Arial"/>
                <w:color w:val="000000"/>
                <w:sz w:val="18"/>
                <w:szCs w:val="18"/>
              </w:rPr>
              <w:t>Communication of IHPA’s role is not effective</w:t>
            </w:r>
          </w:p>
        </w:tc>
        <w:tc>
          <w:tcPr>
            <w:tcW w:w="7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vAlign w:val="center"/>
            <w:hideMark/>
          </w:tcPr>
          <w:p w14:paraId="5959644A" w14:textId="77777777" w:rsidR="00D41F1C" w:rsidRDefault="00D41F1C">
            <w:pPr>
              <w:spacing w:after="0" w:line="240" w:lineRule="auto"/>
              <w:rPr>
                <w:rFonts w:ascii="Arial" w:hAnsi="Arial" w:cs="Arial"/>
                <w:color w:val="000000"/>
                <w:sz w:val="18"/>
                <w:szCs w:val="18"/>
              </w:rPr>
            </w:pPr>
            <w:r>
              <w:rPr>
                <w:rFonts w:ascii="Arial" w:hAnsi="Arial" w:cs="Arial"/>
                <w:color w:val="000000"/>
                <w:sz w:val="18"/>
                <w:szCs w:val="18"/>
              </w:rPr>
              <w:t>Annual Activity Based Funding Conference.</w:t>
            </w:r>
          </w:p>
          <w:p w14:paraId="556953B5" w14:textId="77777777" w:rsidR="00D41F1C" w:rsidRDefault="00D41F1C">
            <w:pPr>
              <w:spacing w:after="0" w:line="240" w:lineRule="auto"/>
              <w:rPr>
                <w:rFonts w:ascii="Arial" w:hAnsi="Arial" w:cs="Arial"/>
                <w:color w:val="000000"/>
                <w:sz w:val="18"/>
                <w:szCs w:val="18"/>
              </w:rPr>
            </w:pPr>
            <w:r>
              <w:rPr>
                <w:rFonts w:ascii="Arial" w:hAnsi="Arial" w:cs="Arial"/>
                <w:color w:val="000000"/>
                <w:sz w:val="18"/>
                <w:szCs w:val="18"/>
              </w:rPr>
              <w:t>Extensive stakeholder consultation through committees and working groups.</w:t>
            </w:r>
          </w:p>
          <w:p w14:paraId="44BD2504" w14:textId="77777777" w:rsidR="00D41F1C" w:rsidRDefault="00D41F1C">
            <w:pPr>
              <w:spacing w:after="0" w:line="240" w:lineRule="auto"/>
              <w:rPr>
                <w:rFonts w:ascii="Arial" w:hAnsi="Arial" w:cs="Arial"/>
                <w:color w:val="000000"/>
                <w:sz w:val="18"/>
                <w:szCs w:val="18"/>
              </w:rPr>
            </w:pPr>
            <w:r>
              <w:rPr>
                <w:rFonts w:ascii="Arial" w:hAnsi="Arial" w:cs="Arial"/>
                <w:color w:val="000000"/>
                <w:sz w:val="18"/>
                <w:szCs w:val="18"/>
              </w:rPr>
              <w:t>Public consultation processes for Pricing Framework, Work Program and other major pieces of work.</w:t>
            </w:r>
          </w:p>
          <w:p w14:paraId="2741D143" w14:textId="77777777" w:rsidR="00D41F1C" w:rsidRDefault="00D41F1C">
            <w:pPr>
              <w:spacing w:after="0" w:line="240" w:lineRule="auto"/>
              <w:rPr>
                <w:rFonts w:ascii="Arial" w:hAnsi="Arial" w:cs="Arial"/>
                <w:color w:val="000000"/>
                <w:sz w:val="18"/>
                <w:szCs w:val="18"/>
              </w:rPr>
            </w:pPr>
            <w:r>
              <w:rPr>
                <w:rFonts w:ascii="Arial" w:hAnsi="Arial" w:cs="Arial"/>
                <w:color w:val="000000"/>
                <w:sz w:val="18"/>
                <w:szCs w:val="18"/>
              </w:rPr>
              <w:t>Consolidated social media engagement presence.</w:t>
            </w:r>
          </w:p>
          <w:p w14:paraId="2305C3C5" w14:textId="5BAEF618" w:rsidR="00D41F1C" w:rsidRDefault="00D41F1C" w:rsidP="001F2A57">
            <w:pPr>
              <w:spacing w:after="0" w:line="240" w:lineRule="auto"/>
              <w:rPr>
                <w:rFonts w:ascii="Arial" w:hAnsi="Arial" w:cs="Arial"/>
                <w:b/>
                <w:bCs/>
                <w:color w:val="FFFFFF"/>
                <w:sz w:val="18"/>
                <w:szCs w:val="18"/>
              </w:rPr>
            </w:pPr>
            <w:r>
              <w:rPr>
                <w:rFonts w:ascii="Arial" w:hAnsi="Arial" w:cs="Arial"/>
                <w:color w:val="000000"/>
                <w:sz w:val="18"/>
                <w:szCs w:val="18"/>
              </w:rPr>
              <w:t>Media briefing on significant decisions and bodies of work.</w:t>
            </w:r>
            <w:r>
              <w:rPr>
                <w:rFonts w:ascii="Arial" w:hAnsi="Arial" w:cs="Arial"/>
                <w:b/>
                <w:bCs/>
                <w:color w:val="FFFFFF"/>
                <w:sz w:val="18"/>
                <w:szCs w:val="18"/>
              </w:rPr>
              <w:t xml:space="preserve"> </w:t>
            </w:r>
          </w:p>
        </w:tc>
      </w:tr>
    </w:tbl>
    <w:p w14:paraId="55D91FB7" w14:textId="77777777" w:rsidR="00DB0745" w:rsidRDefault="00DB0745">
      <w:r>
        <w:br w:type="page"/>
      </w:r>
    </w:p>
    <w:tbl>
      <w:tblPr>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7518"/>
      </w:tblGrid>
      <w:tr w:rsidR="00D41F1C" w14:paraId="53442D34" w14:textId="77777777" w:rsidTr="00302223">
        <w:trPr>
          <w:cantSplit/>
          <w:trHeight w:val="122"/>
        </w:trPr>
        <w:tc>
          <w:tcPr>
            <w:tcW w:w="99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CEAB58F" w14:textId="59DB870F" w:rsidR="00D41F1C" w:rsidRDefault="00D41F1C">
            <w:pPr>
              <w:spacing w:after="0" w:line="240" w:lineRule="auto"/>
              <w:rPr>
                <w:rFonts w:ascii="Arial" w:hAnsi="Arial" w:cs="Arial"/>
                <w:color w:val="000000"/>
                <w:sz w:val="18"/>
                <w:szCs w:val="18"/>
              </w:rPr>
            </w:pPr>
            <w:r>
              <w:rPr>
                <w:rFonts w:ascii="Arial" w:hAnsi="Arial" w:cs="Arial"/>
                <w:b/>
                <w:sz w:val="18"/>
                <w:szCs w:val="18"/>
              </w:rPr>
              <w:lastRenderedPageBreak/>
              <w:t>Data and Information Governance Risks</w:t>
            </w:r>
          </w:p>
        </w:tc>
      </w:tr>
      <w:tr w:rsidR="00D41F1C" w14:paraId="449DE648" w14:textId="77777777" w:rsidTr="00302223">
        <w:trPr>
          <w:cantSplit/>
          <w:trHeight w:val="1134"/>
        </w:trPr>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vAlign w:val="center"/>
            <w:hideMark/>
          </w:tcPr>
          <w:p w14:paraId="79870046" w14:textId="2A626B5B" w:rsidR="00D41F1C" w:rsidRDefault="00D41F1C" w:rsidP="00A915A6">
            <w:pPr>
              <w:spacing w:after="0" w:line="240" w:lineRule="auto"/>
              <w:rPr>
                <w:rFonts w:ascii="Arial" w:hAnsi="Arial" w:cs="Arial"/>
                <w:color w:val="000000"/>
                <w:sz w:val="18"/>
                <w:szCs w:val="18"/>
              </w:rPr>
            </w:pPr>
            <w:r>
              <w:rPr>
                <w:rFonts w:ascii="Arial" w:hAnsi="Arial" w:cs="Arial"/>
                <w:color w:val="000000"/>
                <w:sz w:val="18"/>
                <w:szCs w:val="18"/>
              </w:rPr>
              <w:t xml:space="preserve">Data supplied is not </w:t>
            </w:r>
            <w:r w:rsidR="00A915A6">
              <w:rPr>
                <w:rFonts w:ascii="Arial" w:hAnsi="Arial" w:cs="Arial"/>
                <w:color w:val="000000"/>
                <w:sz w:val="18"/>
                <w:szCs w:val="18"/>
              </w:rPr>
              <w:t>accurate</w:t>
            </w:r>
          </w:p>
        </w:tc>
        <w:tc>
          <w:tcPr>
            <w:tcW w:w="7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hideMark/>
          </w:tcPr>
          <w:p w14:paraId="3351D41D" w14:textId="77777777" w:rsidR="00A915A6" w:rsidRDefault="00A915A6" w:rsidP="00A915A6">
            <w:pPr>
              <w:spacing w:after="0" w:line="240" w:lineRule="auto"/>
              <w:rPr>
                <w:rFonts w:ascii="Arial" w:hAnsi="Arial" w:cs="Arial"/>
                <w:sz w:val="18"/>
                <w:szCs w:val="18"/>
              </w:rPr>
            </w:pPr>
            <w:r>
              <w:rPr>
                <w:rFonts w:ascii="Arial" w:hAnsi="Arial" w:cs="Arial"/>
                <w:sz w:val="18"/>
                <w:szCs w:val="18"/>
              </w:rPr>
              <w:t>Governance structure and business processes established to check the quality and integrity of incoming and outgoing data, including:</w:t>
            </w:r>
          </w:p>
          <w:p w14:paraId="6543267D" w14:textId="77777777" w:rsidR="00A915A6" w:rsidRPr="003C0D59" w:rsidRDefault="00A915A6" w:rsidP="00EF2D44">
            <w:pPr>
              <w:pStyle w:val="ListParagraph"/>
              <w:numPr>
                <w:ilvl w:val="0"/>
                <w:numId w:val="14"/>
              </w:numPr>
              <w:spacing w:after="0" w:line="240" w:lineRule="auto"/>
              <w:rPr>
                <w:rFonts w:ascii="Arial" w:hAnsi="Arial" w:cs="Arial"/>
                <w:sz w:val="18"/>
                <w:szCs w:val="18"/>
              </w:rPr>
            </w:pPr>
            <w:r w:rsidRPr="003C0D59">
              <w:rPr>
                <w:rFonts w:ascii="Arial" w:hAnsi="Arial" w:cs="Arial"/>
                <w:sz w:val="18"/>
                <w:szCs w:val="18"/>
              </w:rPr>
              <w:t>Data standards and specifications are determined and provided to data custodians</w:t>
            </w:r>
          </w:p>
          <w:p w14:paraId="5C286DF6" w14:textId="77777777" w:rsidR="00A915A6" w:rsidRPr="003C0D59" w:rsidRDefault="00A915A6" w:rsidP="00EF2D44">
            <w:pPr>
              <w:pStyle w:val="ListParagraph"/>
              <w:numPr>
                <w:ilvl w:val="0"/>
                <w:numId w:val="14"/>
              </w:numPr>
              <w:spacing w:after="0" w:line="240" w:lineRule="auto"/>
              <w:rPr>
                <w:rFonts w:ascii="Arial" w:hAnsi="Arial" w:cs="Arial"/>
                <w:sz w:val="18"/>
                <w:szCs w:val="18"/>
              </w:rPr>
            </w:pPr>
            <w:r w:rsidRPr="003C0D59">
              <w:rPr>
                <w:rFonts w:ascii="Arial" w:hAnsi="Arial" w:cs="Arial"/>
                <w:sz w:val="18"/>
                <w:szCs w:val="18"/>
              </w:rPr>
              <w:t>Data Quality Management Framework and assurance processes for activity and cost data.</w:t>
            </w:r>
          </w:p>
          <w:p w14:paraId="160F6D6E" w14:textId="77777777" w:rsidR="00A915A6" w:rsidRPr="003C0D59" w:rsidRDefault="00A915A6" w:rsidP="00EF2D44">
            <w:pPr>
              <w:pStyle w:val="ListParagraph"/>
              <w:numPr>
                <w:ilvl w:val="0"/>
                <w:numId w:val="14"/>
              </w:numPr>
              <w:spacing w:after="0" w:line="240" w:lineRule="auto"/>
              <w:rPr>
                <w:rFonts w:ascii="Arial" w:hAnsi="Arial" w:cs="Arial"/>
                <w:sz w:val="18"/>
                <w:szCs w:val="18"/>
              </w:rPr>
            </w:pPr>
            <w:r w:rsidRPr="003C0D59">
              <w:rPr>
                <w:rFonts w:ascii="Arial" w:hAnsi="Arial" w:cs="Arial"/>
                <w:sz w:val="18"/>
                <w:szCs w:val="18"/>
              </w:rPr>
              <w:t>Three Year Data Plan.</w:t>
            </w:r>
          </w:p>
          <w:p w14:paraId="68E5E07D" w14:textId="77777777" w:rsidR="00A915A6" w:rsidRPr="003C0D59" w:rsidRDefault="00A915A6" w:rsidP="00EF2D44">
            <w:pPr>
              <w:pStyle w:val="ListParagraph"/>
              <w:numPr>
                <w:ilvl w:val="0"/>
                <w:numId w:val="14"/>
              </w:numPr>
              <w:spacing w:after="0" w:line="240" w:lineRule="auto"/>
              <w:rPr>
                <w:rFonts w:ascii="Arial" w:hAnsi="Arial" w:cs="Arial"/>
                <w:sz w:val="18"/>
                <w:szCs w:val="18"/>
              </w:rPr>
            </w:pPr>
            <w:r w:rsidRPr="003C0D59">
              <w:rPr>
                <w:rFonts w:ascii="Arial" w:hAnsi="Arial" w:cs="Arial"/>
                <w:sz w:val="18"/>
                <w:szCs w:val="18"/>
              </w:rPr>
              <w:t xml:space="preserve">Compliance reporting of the data provided by </w:t>
            </w:r>
            <w:r>
              <w:rPr>
                <w:rFonts w:ascii="Arial" w:hAnsi="Arial" w:cs="Arial"/>
                <w:sz w:val="18"/>
                <w:szCs w:val="18"/>
              </w:rPr>
              <w:t>Jurisdictions</w:t>
            </w:r>
            <w:r w:rsidRPr="003C0D59">
              <w:rPr>
                <w:rFonts w:ascii="Arial" w:hAnsi="Arial" w:cs="Arial"/>
                <w:sz w:val="18"/>
                <w:szCs w:val="18"/>
              </w:rPr>
              <w:t xml:space="preserve"> including a Statement of Assurance </w:t>
            </w:r>
            <w:r>
              <w:rPr>
                <w:rFonts w:ascii="Arial" w:hAnsi="Arial" w:cs="Arial"/>
                <w:sz w:val="18"/>
                <w:szCs w:val="18"/>
              </w:rPr>
              <w:t xml:space="preserve">from </w:t>
            </w:r>
            <w:r w:rsidRPr="003C0D59">
              <w:rPr>
                <w:rFonts w:ascii="Arial" w:hAnsi="Arial" w:cs="Arial"/>
                <w:sz w:val="18"/>
                <w:szCs w:val="18"/>
              </w:rPr>
              <w:t xml:space="preserve">jurisdiction </w:t>
            </w:r>
            <w:r>
              <w:rPr>
                <w:rFonts w:ascii="Arial" w:hAnsi="Arial" w:cs="Arial"/>
                <w:sz w:val="18"/>
                <w:szCs w:val="18"/>
              </w:rPr>
              <w:t xml:space="preserve">verifying that the data </w:t>
            </w:r>
            <w:r w:rsidRPr="003C0D59">
              <w:rPr>
                <w:rFonts w:ascii="Arial" w:hAnsi="Arial" w:cs="Arial"/>
                <w:sz w:val="18"/>
                <w:szCs w:val="18"/>
              </w:rPr>
              <w:t xml:space="preserve">meets IHPA’s specifications. </w:t>
            </w:r>
          </w:p>
          <w:p w14:paraId="67125042" w14:textId="5E863C00" w:rsidR="00D41F1C" w:rsidRDefault="00A915A6">
            <w:pPr>
              <w:spacing w:after="0" w:line="240" w:lineRule="auto"/>
              <w:contextualSpacing/>
              <w:rPr>
                <w:rFonts w:ascii="Arial" w:hAnsi="Arial" w:cs="Arial"/>
                <w:sz w:val="18"/>
                <w:szCs w:val="18"/>
              </w:rPr>
            </w:pPr>
            <w:r w:rsidRPr="003C0D59">
              <w:rPr>
                <w:rFonts w:ascii="Arial" w:hAnsi="Arial" w:cs="Arial"/>
                <w:sz w:val="18"/>
                <w:szCs w:val="18"/>
              </w:rPr>
              <w:t>Activity reporting quarterly enabling timelier monitoring of any impacts and making it possible to identify and address any anomalies in the data.</w:t>
            </w:r>
          </w:p>
        </w:tc>
      </w:tr>
      <w:tr w:rsidR="00A915A6" w14:paraId="1017D327" w14:textId="77777777" w:rsidTr="001A060A">
        <w:trPr>
          <w:cantSplit/>
          <w:trHeight w:val="550"/>
        </w:trPr>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vAlign w:val="center"/>
            <w:hideMark/>
          </w:tcPr>
          <w:p w14:paraId="78982255" w14:textId="64844707" w:rsidR="00A915A6" w:rsidRDefault="00A915A6" w:rsidP="00A915A6">
            <w:pPr>
              <w:spacing w:after="0" w:line="240" w:lineRule="auto"/>
              <w:rPr>
                <w:rFonts w:ascii="Arial" w:hAnsi="Arial" w:cs="Arial"/>
                <w:color w:val="000000"/>
                <w:sz w:val="18"/>
                <w:szCs w:val="18"/>
              </w:rPr>
            </w:pPr>
            <w:r>
              <w:rPr>
                <w:rFonts w:ascii="Arial" w:hAnsi="Arial" w:cs="Arial"/>
                <w:color w:val="000000"/>
                <w:sz w:val="18"/>
                <w:szCs w:val="18"/>
              </w:rPr>
              <w:t xml:space="preserve">Delays in the provision of data </w:t>
            </w:r>
          </w:p>
        </w:tc>
        <w:tc>
          <w:tcPr>
            <w:tcW w:w="7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hideMark/>
          </w:tcPr>
          <w:p w14:paraId="75FE2309" w14:textId="77777777" w:rsidR="00A915A6" w:rsidRDefault="00A915A6" w:rsidP="00A915A6">
            <w:pPr>
              <w:spacing w:after="0" w:line="240" w:lineRule="auto"/>
              <w:rPr>
                <w:rFonts w:ascii="Arial" w:hAnsi="Arial" w:cs="Arial"/>
                <w:sz w:val="18"/>
                <w:szCs w:val="18"/>
              </w:rPr>
            </w:pPr>
            <w:r>
              <w:rPr>
                <w:rFonts w:ascii="Arial" w:hAnsi="Arial" w:cs="Arial"/>
                <w:sz w:val="18"/>
                <w:szCs w:val="18"/>
              </w:rPr>
              <w:t>Data compliance process which issues reminders at relevant times.</w:t>
            </w:r>
          </w:p>
          <w:p w14:paraId="23019E04" w14:textId="10F3CB5A" w:rsidR="00A915A6" w:rsidRDefault="00A915A6" w:rsidP="00A915A6">
            <w:pPr>
              <w:spacing w:after="0" w:line="240" w:lineRule="auto"/>
              <w:rPr>
                <w:rFonts w:ascii="Arial" w:hAnsi="Arial" w:cs="Arial"/>
                <w:color w:val="000000"/>
                <w:sz w:val="18"/>
                <w:szCs w:val="18"/>
              </w:rPr>
            </w:pPr>
            <w:r>
              <w:rPr>
                <w:rFonts w:ascii="Arial" w:hAnsi="Arial" w:cs="Arial"/>
                <w:sz w:val="18"/>
                <w:szCs w:val="18"/>
              </w:rPr>
              <w:t>An appropriate escalation process.</w:t>
            </w:r>
          </w:p>
        </w:tc>
      </w:tr>
      <w:tr w:rsidR="00D41F1C" w14:paraId="32EE3778" w14:textId="77777777" w:rsidTr="00302223">
        <w:trPr>
          <w:cantSplit/>
          <w:trHeight w:val="1134"/>
        </w:trPr>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vAlign w:val="center"/>
            <w:hideMark/>
          </w:tcPr>
          <w:p w14:paraId="7D0C2E85" w14:textId="35FEE90B" w:rsidR="00D41F1C" w:rsidRDefault="00D41F1C" w:rsidP="001A060A">
            <w:pPr>
              <w:spacing w:after="0" w:line="240" w:lineRule="auto"/>
              <w:rPr>
                <w:rFonts w:ascii="Arial" w:hAnsi="Arial" w:cs="Arial"/>
                <w:color w:val="000000"/>
                <w:sz w:val="18"/>
                <w:szCs w:val="18"/>
              </w:rPr>
            </w:pPr>
            <w:r>
              <w:rPr>
                <w:rFonts w:ascii="Arial" w:hAnsi="Arial" w:cs="Arial"/>
                <w:color w:val="000000"/>
                <w:sz w:val="18"/>
                <w:szCs w:val="18"/>
              </w:rPr>
              <w:t xml:space="preserve">A data breach occurs </w:t>
            </w:r>
          </w:p>
        </w:tc>
        <w:tc>
          <w:tcPr>
            <w:tcW w:w="7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hideMark/>
          </w:tcPr>
          <w:p w14:paraId="57619CBA" w14:textId="77777777" w:rsidR="00D41F1C" w:rsidRDefault="00D41F1C">
            <w:pPr>
              <w:spacing w:after="0" w:line="240" w:lineRule="auto"/>
              <w:rPr>
                <w:rFonts w:ascii="Arial" w:hAnsi="Arial" w:cs="Arial"/>
                <w:sz w:val="18"/>
                <w:szCs w:val="18"/>
              </w:rPr>
            </w:pPr>
            <w:r>
              <w:rPr>
                <w:rFonts w:ascii="Arial" w:hAnsi="Arial" w:cs="Arial"/>
                <w:sz w:val="18"/>
                <w:szCs w:val="18"/>
              </w:rPr>
              <w:t>Systems, policies and procedures are in place to prevent data breaches, including:</w:t>
            </w:r>
          </w:p>
          <w:p w14:paraId="56C66183" w14:textId="3E725608" w:rsidR="00D41F1C" w:rsidRDefault="00D41F1C" w:rsidP="00EF2D44">
            <w:pPr>
              <w:pStyle w:val="ListParagraph"/>
              <w:numPr>
                <w:ilvl w:val="0"/>
                <w:numId w:val="12"/>
              </w:numPr>
              <w:autoSpaceDN w:val="0"/>
              <w:spacing w:after="0" w:line="256" w:lineRule="auto"/>
              <w:contextualSpacing w:val="0"/>
              <w:rPr>
                <w:rFonts w:ascii="Arial" w:hAnsi="Arial" w:cs="Arial"/>
                <w:sz w:val="18"/>
                <w:szCs w:val="18"/>
              </w:rPr>
            </w:pPr>
            <w:r>
              <w:rPr>
                <w:rFonts w:ascii="Arial" w:hAnsi="Arial" w:cs="Arial"/>
                <w:sz w:val="18"/>
                <w:szCs w:val="18"/>
              </w:rPr>
              <w:t>SDMS environment fully compliant with the relevant Australian Government’s I</w:t>
            </w:r>
            <w:r w:rsidR="00192376">
              <w:rPr>
                <w:rFonts w:ascii="Arial" w:hAnsi="Arial" w:cs="Arial"/>
                <w:sz w:val="18"/>
                <w:szCs w:val="18"/>
              </w:rPr>
              <w:t xml:space="preserve">nformation </w:t>
            </w:r>
            <w:r>
              <w:rPr>
                <w:rFonts w:ascii="Arial" w:hAnsi="Arial" w:cs="Arial"/>
                <w:sz w:val="18"/>
                <w:szCs w:val="18"/>
              </w:rPr>
              <w:t>S</w:t>
            </w:r>
            <w:r w:rsidR="00192376">
              <w:rPr>
                <w:rFonts w:ascii="Arial" w:hAnsi="Arial" w:cs="Arial"/>
                <w:sz w:val="18"/>
                <w:szCs w:val="18"/>
              </w:rPr>
              <w:t xml:space="preserve">ecurity </w:t>
            </w:r>
            <w:r>
              <w:rPr>
                <w:rFonts w:ascii="Arial" w:hAnsi="Arial" w:cs="Arial"/>
                <w:sz w:val="18"/>
                <w:szCs w:val="18"/>
              </w:rPr>
              <w:t>M</w:t>
            </w:r>
            <w:r w:rsidR="00192376">
              <w:rPr>
                <w:rFonts w:ascii="Arial" w:hAnsi="Arial" w:cs="Arial"/>
                <w:sz w:val="18"/>
                <w:szCs w:val="18"/>
              </w:rPr>
              <w:t>anual</w:t>
            </w:r>
          </w:p>
          <w:p w14:paraId="1397C58B" w14:textId="77777777" w:rsidR="00D41F1C" w:rsidRDefault="00D41F1C" w:rsidP="00EF2D44">
            <w:pPr>
              <w:pStyle w:val="ListParagraph"/>
              <w:numPr>
                <w:ilvl w:val="0"/>
                <w:numId w:val="12"/>
              </w:numPr>
              <w:autoSpaceDN w:val="0"/>
              <w:spacing w:after="0" w:line="256" w:lineRule="auto"/>
              <w:contextualSpacing w:val="0"/>
              <w:rPr>
                <w:rFonts w:ascii="Arial" w:hAnsi="Arial" w:cs="Arial"/>
                <w:sz w:val="18"/>
                <w:szCs w:val="18"/>
              </w:rPr>
            </w:pPr>
            <w:r>
              <w:rPr>
                <w:rFonts w:ascii="Arial" w:hAnsi="Arial" w:cs="Arial"/>
                <w:sz w:val="18"/>
                <w:szCs w:val="18"/>
              </w:rPr>
              <w:t>IHPA Fraud and Corruption Control Plan</w:t>
            </w:r>
          </w:p>
          <w:p w14:paraId="40822F00" w14:textId="77777777" w:rsidR="00D41F1C" w:rsidRDefault="00D41F1C" w:rsidP="00EF2D44">
            <w:pPr>
              <w:pStyle w:val="ListParagraph"/>
              <w:numPr>
                <w:ilvl w:val="0"/>
                <w:numId w:val="12"/>
              </w:numPr>
              <w:autoSpaceDN w:val="0"/>
              <w:spacing w:after="0" w:line="256" w:lineRule="auto"/>
              <w:contextualSpacing w:val="0"/>
              <w:rPr>
                <w:rFonts w:ascii="Arial" w:hAnsi="Arial" w:cs="Arial"/>
                <w:sz w:val="18"/>
                <w:szCs w:val="18"/>
              </w:rPr>
            </w:pPr>
            <w:r>
              <w:rPr>
                <w:rFonts w:ascii="Arial" w:hAnsi="Arial" w:cs="Arial"/>
                <w:sz w:val="18"/>
                <w:szCs w:val="18"/>
              </w:rPr>
              <w:t>Third Party Usage of IHPA Protected Data Rules, implemented and regularly reviewed</w:t>
            </w:r>
          </w:p>
          <w:p w14:paraId="5D51F41B" w14:textId="77777777" w:rsidR="00D41F1C" w:rsidRDefault="00D41F1C" w:rsidP="00EF2D44">
            <w:pPr>
              <w:pStyle w:val="ListParagraph"/>
              <w:numPr>
                <w:ilvl w:val="0"/>
                <w:numId w:val="12"/>
              </w:numPr>
              <w:autoSpaceDN w:val="0"/>
              <w:spacing w:after="0" w:line="256" w:lineRule="auto"/>
              <w:contextualSpacing w:val="0"/>
              <w:rPr>
                <w:rFonts w:ascii="Arial" w:hAnsi="Arial" w:cs="Arial"/>
                <w:sz w:val="18"/>
                <w:szCs w:val="18"/>
              </w:rPr>
            </w:pPr>
            <w:r>
              <w:rPr>
                <w:rFonts w:ascii="Arial" w:hAnsi="Arial" w:cs="Arial"/>
                <w:sz w:val="18"/>
                <w:szCs w:val="18"/>
              </w:rPr>
              <w:t>Information Release Policy</w:t>
            </w:r>
          </w:p>
          <w:p w14:paraId="47195C14" w14:textId="2AD501B6" w:rsidR="00D41F1C" w:rsidRDefault="00D41F1C">
            <w:pPr>
              <w:spacing w:after="0" w:line="240" w:lineRule="auto"/>
              <w:rPr>
                <w:rFonts w:ascii="Arial" w:hAnsi="Arial" w:cs="Arial"/>
                <w:sz w:val="18"/>
                <w:szCs w:val="18"/>
              </w:rPr>
            </w:pPr>
            <w:r>
              <w:rPr>
                <w:rFonts w:ascii="Arial" w:hAnsi="Arial" w:cs="Arial"/>
                <w:sz w:val="18"/>
                <w:szCs w:val="18"/>
              </w:rPr>
              <w:t xml:space="preserve">Data and IT management </w:t>
            </w:r>
            <w:r w:rsidR="00D01537">
              <w:rPr>
                <w:rFonts w:ascii="Arial" w:hAnsi="Arial" w:cs="Arial"/>
                <w:sz w:val="18"/>
                <w:szCs w:val="18"/>
              </w:rPr>
              <w:t>controls. Annual</w:t>
            </w:r>
            <w:r>
              <w:rPr>
                <w:rFonts w:ascii="Arial" w:hAnsi="Arial" w:cs="Arial"/>
                <w:sz w:val="18"/>
                <w:szCs w:val="18"/>
              </w:rPr>
              <w:t xml:space="preserve"> Data Governance assurance audits conducted by internal auditors and all findings remediated.</w:t>
            </w:r>
          </w:p>
        </w:tc>
      </w:tr>
      <w:tr w:rsidR="00D41F1C" w14:paraId="47A17BCA" w14:textId="77777777" w:rsidTr="00302223">
        <w:trPr>
          <w:cantSplit/>
          <w:trHeight w:val="632"/>
        </w:trPr>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vAlign w:val="center"/>
            <w:hideMark/>
          </w:tcPr>
          <w:p w14:paraId="77D2C604" w14:textId="77777777" w:rsidR="00D41F1C" w:rsidRDefault="00D41F1C">
            <w:pPr>
              <w:spacing w:after="0" w:line="240" w:lineRule="auto"/>
              <w:rPr>
                <w:rFonts w:ascii="Arial" w:hAnsi="Arial" w:cs="Arial"/>
                <w:color w:val="000000"/>
                <w:sz w:val="18"/>
                <w:szCs w:val="18"/>
              </w:rPr>
            </w:pPr>
            <w:r>
              <w:rPr>
                <w:rFonts w:ascii="Arial" w:hAnsi="Arial" w:cs="Arial"/>
                <w:color w:val="000000"/>
                <w:sz w:val="18"/>
                <w:szCs w:val="18"/>
              </w:rPr>
              <w:t>Core business records not retained</w:t>
            </w:r>
          </w:p>
        </w:tc>
        <w:tc>
          <w:tcPr>
            <w:tcW w:w="7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hideMark/>
          </w:tcPr>
          <w:p w14:paraId="3C493E03" w14:textId="77777777" w:rsidR="001A060A" w:rsidRDefault="001A060A" w:rsidP="001A060A">
            <w:pPr>
              <w:spacing w:after="0" w:line="240" w:lineRule="auto"/>
              <w:rPr>
                <w:rFonts w:ascii="Arial" w:hAnsi="Arial" w:cs="Arial"/>
                <w:color w:val="000000"/>
                <w:sz w:val="18"/>
                <w:szCs w:val="18"/>
              </w:rPr>
            </w:pPr>
            <w:r>
              <w:rPr>
                <w:rFonts w:ascii="Arial" w:hAnsi="Arial" w:cs="Arial"/>
                <w:sz w:val="18"/>
                <w:szCs w:val="18"/>
              </w:rPr>
              <w:t>IHPA uses the Department of Health TRIM based record management system for its core business</w:t>
            </w:r>
            <w:r>
              <w:rPr>
                <w:rFonts w:ascii="Arial" w:hAnsi="Arial" w:cs="Arial"/>
                <w:color w:val="000000"/>
                <w:sz w:val="18"/>
                <w:szCs w:val="18"/>
              </w:rPr>
              <w:t>. IHPA’s records are regularly updated, backed up and stored securely.</w:t>
            </w:r>
          </w:p>
          <w:p w14:paraId="15325988" w14:textId="088CEE7A" w:rsidR="00D41F1C" w:rsidRDefault="001A060A">
            <w:pPr>
              <w:spacing w:after="0" w:line="240" w:lineRule="auto"/>
              <w:rPr>
                <w:rFonts w:ascii="Arial" w:hAnsi="Arial" w:cs="Arial"/>
                <w:color w:val="000000"/>
                <w:sz w:val="18"/>
                <w:szCs w:val="18"/>
              </w:rPr>
            </w:pPr>
            <w:r>
              <w:rPr>
                <w:rFonts w:ascii="Arial" w:hAnsi="Arial" w:cs="Arial"/>
                <w:color w:val="000000"/>
                <w:sz w:val="18"/>
                <w:szCs w:val="18"/>
              </w:rPr>
              <w:t>IHPA’s SDMS provider independently maintains information in accordance with Australian Government requirements including independent backup to other sites.</w:t>
            </w:r>
          </w:p>
        </w:tc>
      </w:tr>
      <w:tr w:rsidR="00D41F1C" w14:paraId="1C176531" w14:textId="77777777" w:rsidTr="000C7AAF">
        <w:trPr>
          <w:cantSplit/>
          <w:trHeight w:val="265"/>
        </w:trPr>
        <w:tc>
          <w:tcPr>
            <w:tcW w:w="99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916D5DE" w14:textId="575DE6C4" w:rsidR="00D41F1C" w:rsidRDefault="00D41F1C" w:rsidP="001F2A57">
            <w:pPr>
              <w:spacing w:after="0" w:line="240" w:lineRule="auto"/>
              <w:rPr>
                <w:rFonts w:ascii="Arial" w:hAnsi="Arial" w:cs="Arial"/>
                <w:b/>
                <w:color w:val="000000"/>
                <w:sz w:val="18"/>
                <w:szCs w:val="18"/>
              </w:rPr>
            </w:pPr>
            <w:r>
              <w:rPr>
                <w:rFonts w:ascii="Arial" w:hAnsi="Arial" w:cs="Arial"/>
                <w:b/>
                <w:color w:val="000000"/>
                <w:sz w:val="18"/>
                <w:szCs w:val="18"/>
              </w:rPr>
              <w:t>Information and Communication Technology</w:t>
            </w:r>
          </w:p>
        </w:tc>
      </w:tr>
      <w:tr w:rsidR="00D41F1C" w14:paraId="521D1ACF" w14:textId="77777777" w:rsidTr="000C7AAF">
        <w:trPr>
          <w:cantSplit/>
          <w:trHeight w:val="1509"/>
        </w:trPr>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noWrap/>
            <w:vAlign w:val="center"/>
          </w:tcPr>
          <w:p w14:paraId="4891BD7A" w14:textId="77777777" w:rsidR="00D41F1C" w:rsidRDefault="00D41F1C">
            <w:pPr>
              <w:spacing w:after="0" w:line="240" w:lineRule="auto"/>
              <w:rPr>
                <w:rFonts w:ascii="Arial" w:hAnsi="Arial" w:cs="Arial"/>
                <w:color w:val="000000"/>
                <w:sz w:val="18"/>
                <w:szCs w:val="18"/>
              </w:rPr>
            </w:pPr>
            <w:r>
              <w:rPr>
                <w:rFonts w:ascii="Arial" w:hAnsi="Arial" w:cs="Arial"/>
                <w:color w:val="000000"/>
                <w:sz w:val="18"/>
                <w:szCs w:val="18"/>
              </w:rPr>
              <w:t>ICT performance failure or loss of critical ICT systems</w:t>
            </w:r>
          </w:p>
          <w:p w14:paraId="1A1EBF66" w14:textId="77777777" w:rsidR="00D41F1C" w:rsidRDefault="00D41F1C">
            <w:pPr>
              <w:spacing w:after="0" w:line="240" w:lineRule="auto"/>
              <w:rPr>
                <w:rFonts w:ascii="Arial" w:hAnsi="Arial" w:cs="Arial"/>
                <w:color w:val="000000"/>
                <w:sz w:val="18"/>
                <w:szCs w:val="18"/>
              </w:rPr>
            </w:pPr>
          </w:p>
          <w:p w14:paraId="28A169DF" w14:textId="77777777" w:rsidR="00D41F1C" w:rsidRDefault="00D41F1C">
            <w:pPr>
              <w:spacing w:after="0" w:line="240" w:lineRule="auto"/>
              <w:rPr>
                <w:rFonts w:ascii="Arial" w:hAnsi="Arial" w:cs="Arial"/>
                <w:color w:val="000000"/>
                <w:sz w:val="18"/>
                <w:szCs w:val="18"/>
              </w:rPr>
            </w:pPr>
            <w:r>
              <w:rPr>
                <w:rFonts w:ascii="Arial" w:hAnsi="Arial" w:cs="Arial"/>
                <w:color w:val="000000"/>
                <w:sz w:val="18"/>
                <w:szCs w:val="18"/>
              </w:rPr>
              <w:t>ICT systems not suited to IHPA’s business needs</w:t>
            </w:r>
          </w:p>
        </w:tc>
        <w:tc>
          <w:tcPr>
            <w:tcW w:w="7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hideMark/>
          </w:tcPr>
          <w:p w14:paraId="52DEF265" w14:textId="77777777" w:rsidR="001A060A" w:rsidRDefault="001A060A" w:rsidP="001A060A">
            <w:pPr>
              <w:spacing w:after="0" w:line="240" w:lineRule="auto"/>
              <w:rPr>
                <w:rFonts w:ascii="Arial" w:hAnsi="Arial" w:cs="Arial"/>
                <w:color w:val="000000"/>
                <w:sz w:val="18"/>
                <w:szCs w:val="18"/>
              </w:rPr>
            </w:pPr>
            <w:r>
              <w:rPr>
                <w:rFonts w:ascii="Arial" w:hAnsi="Arial" w:cs="Arial"/>
                <w:color w:val="000000"/>
                <w:sz w:val="18"/>
                <w:szCs w:val="18"/>
              </w:rPr>
              <w:t>Health ICT system controls:</w:t>
            </w:r>
          </w:p>
          <w:p w14:paraId="4E0601A7" w14:textId="3F567373" w:rsidR="001A060A" w:rsidRDefault="001F2A57" w:rsidP="00EF2D44">
            <w:pPr>
              <w:pStyle w:val="ListParagraph"/>
              <w:numPr>
                <w:ilvl w:val="0"/>
                <w:numId w:val="13"/>
              </w:numPr>
              <w:autoSpaceDN w:val="0"/>
              <w:spacing w:after="0" w:line="256" w:lineRule="auto"/>
              <w:contextualSpacing w:val="0"/>
              <w:rPr>
                <w:rFonts w:ascii="Arial" w:hAnsi="Arial" w:cs="Arial"/>
                <w:color w:val="000000"/>
                <w:sz w:val="18"/>
                <w:szCs w:val="18"/>
              </w:rPr>
            </w:pPr>
            <w:r>
              <w:rPr>
                <w:rFonts w:ascii="Arial" w:hAnsi="Arial" w:cs="Arial"/>
                <w:color w:val="000000"/>
                <w:sz w:val="18"/>
                <w:szCs w:val="18"/>
              </w:rPr>
              <w:t xml:space="preserve">Memorandum of Understanding </w:t>
            </w:r>
            <w:r w:rsidR="001A060A">
              <w:rPr>
                <w:rFonts w:ascii="Arial" w:hAnsi="Arial" w:cs="Arial"/>
                <w:color w:val="000000"/>
                <w:sz w:val="18"/>
                <w:szCs w:val="18"/>
              </w:rPr>
              <w:t>with Health outlines ICT arrangements</w:t>
            </w:r>
          </w:p>
          <w:p w14:paraId="577A5243" w14:textId="77777777" w:rsidR="001A060A" w:rsidRDefault="001A060A" w:rsidP="00EF2D44">
            <w:pPr>
              <w:pStyle w:val="ListParagraph"/>
              <w:numPr>
                <w:ilvl w:val="0"/>
                <w:numId w:val="13"/>
              </w:numPr>
              <w:autoSpaceDN w:val="0"/>
              <w:spacing w:after="0" w:line="256" w:lineRule="auto"/>
              <w:contextualSpacing w:val="0"/>
              <w:rPr>
                <w:rFonts w:ascii="Arial" w:hAnsi="Arial" w:cs="Arial"/>
                <w:color w:val="000000"/>
                <w:sz w:val="18"/>
                <w:szCs w:val="18"/>
              </w:rPr>
            </w:pPr>
            <w:r>
              <w:rPr>
                <w:rFonts w:ascii="Arial" w:hAnsi="Arial" w:cs="Arial"/>
                <w:color w:val="000000"/>
                <w:sz w:val="18"/>
                <w:szCs w:val="18"/>
              </w:rPr>
              <w:t>Regular meetings with between IHPA and Health shared services</w:t>
            </w:r>
          </w:p>
          <w:p w14:paraId="0AB2B214" w14:textId="77777777" w:rsidR="001A060A" w:rsidRDefault="001A060A" w:rsidP="00EF2D44">
            <w:pPr>
              <w:pStyle w:val="ListParagraph"/>
              <w:numPr>
                <w:ilvl w:val="0"/>
                <w:numId w:val="13"/>
              </w:numPr>
              <w:autoSpaceDN w:val="0"/>
              <w:spacing w:after="0" w:line="256" w:lineRule="auto"/>
              <w:contextualSpacing w:val="0"/>
              <w:rPr>
                <w:rFonts w:ascii="Arial" w:hAnsi="Arial" w:cs="Arial"/>
                <w:color w:val="000000"/>
                <w:sz w:val="18"/>
                <w:szCs w:val="18"/>
              </w:rPr>
            </w:pPr>
            <w:r>
              <w:rPr>
                <w:rFonts w:ascii="Arial" w:hAnsi="Arial" w:cs="Arial"/>
                <w:color w:val="000000"/>
                <w:sz w:val="18"/>
                <w:szCs w:val="18"/>
              </w:rPr>
              <w:t>IHPA specific TRIM structure and naming conventions established</w:t>
            </w:r>
          </w:p>
          <w:p w14:paraId="046665A9" w14:textId="77777777" w:rsidR="001A060A" w:rsidRDefault="001A060A" w:rsidP="00EF2D44">
            <w:pPr>
              <w:pStyle w:val="ListParagraph"/>
              <w:numPr>
                <w:ilvl w:val="0"/>
                <w:numId w:val="13"/>
              </w:numPr>
              <w:autoSpaceDN w:val="0"/>
              <w:spacing w:after="0" w:line="256" w:lineRule="auto"/>
              <w:contextualSpacing w:val="0"/>
              <w:rPr>
                <w:rFonts w:ascii="Arial" w:hAnsi="Arial" w:cs="Arial"/>
                <w:color w:val="000000"/>
                <w:sz w:val="18"/>
                <w:szCs w:val="18"/>
              </w:rPr>
            </w:pPr>
            <w:r>
              <w:rPr>
                <w:rFonts w:ascii="Arial" w:hAnsi="Arial" w:cs="Arial"/>
                <w:color w:val="000000"/>
                <w:sz w:val="18"/>
                <w:szCs w:val="18"/>
              </w:rPr>
              <w:t>Range of TRIM training provided.</w:t>
            </w:r>
          </w:p>
          <w:p w14:paraId="6756C74E" w14:textId="77777777" w:rsidR="001A060A" w:rsidRDefault="001A060A" w:rsidP="001A060A">
            <w:pPr>
              <w:spacing w:after="0" w:line="240" w:lineRule="auto"/>
              <w:rPr>
                <w:rFonts w:ascii="Arial" w:hAnsi="Arial" w:cs="Arial"/>
                <w:color w:val="000000"/>
                <w:sz w:val="18"/>
                <w:szCs w:val="18"/>
              </w:rPr>
            </w:pPr>
            <w:r>
              <w:rPr>
                <w:rFonts w:ascii="Arial" w:hAnsi="Arial" w:cs="Arial"/>
                <w:color w:val="000000"/>
                <w:sz w:val="18"/>
                <w:szCs w:val="18"/>
              </w:rPr>
              <w:t>SDMS controls:</w:t>
            </w:r>
          </w:p>
          <w:p w14:paraId="0728DD0C" w14:textId="77777777" w:rsidR="001A060A" w:rsidRDefault="001A060A" w:rsidP="00EF2D44">
            <w:pPr>
              <w:pStyle w:val="ListParagraph"/>
              <w:numPr>
                <w:ilvl w:val="0"/>
                <w:numId w:val="13"/>
              </w:numPr>
              <w:autoSpaceDN w:val="0"/>
              <w:spacing w:after="0" w:line="256" w:lineRule="auto"/>
              <w:contextualSpacing w:val="0"/>
              <w:rPr>
                <w:rFonts w:ascii="Arial" w:hAnsi="Arial" w:cs="Arial"/>
                <w:color w:val="000000"/>
                <w:sz w:val="18"/>
                <w:szCs w:val="18"/>
              </w:rPr>
            </w:pPr>
            <w:r>
              <w:rPr>
                <w:rFonts w:ascii="Arial" w:hAnsi="Arial" w:cs="Arial"/>
                <w:color w:val="000000"/>
                <w:sz w:val="18"/>
                <w:szCs w:val="18"/>
              </w:rPr>
              <w:t xml:space="preserve">Implementation of comprehensive IT management policies </w:t>
            </w:r>
          </w:p>
          <w:p w14:paraId="45B4C371" w14:textId="74DF6AAD" w:rsidR="001A060A" w:rsidRDefault="001A060A" w:rsidP="00EF2D44">
            <w:pPr>
              <w:pStyle w:val="ListParagraph"/>
              <w:numPr>
                <w:ilvl w:val="0"/>
                <w:numId w:val="13"/>
              </w:numPr>
              <w:autoSpaceDN w:val="0"/>
              <w:spacing w:after="0" w:line="256" w:lineRule="auto"/>
              <w:contextualSpacing w:val="0"/>
              <w:rPr>
                <w:rFonts w:ascii="Arial" w:hAnsi="Arial" w:cs="Arial"/>
                <w:color w:val="000000"/>
                <w:sz w:val="18"/>
                <w:szCs w:val="18"/>
              </w:rPr>
            </w:pPr>
            <w:r>
              <w:rPr>
                <w:rFonts w:ascii="Arial" w:hAnsi="Arial" w:cs="Arial"/>
                <w:color w:val="000000"/>
                <w:sz w:val="18"/>
                <w:szCs w:val="18"/>
              </w:rPr>
              <w:t xml:space="preserve">Compliance with Australian Signals Directorate top </w:t>
            </w:r>
            <w:r w:rsidR="00192376">
              <w:rPr>
                <w:rFonts w:ascii="Arial" w:hAnsi="Arial" w:cs="Arial"/>
                <w:color w:val="000000"/>
                <w:sz w:val="18"/>
                <w:szCs w:val="18"/>
              </w:rPr>
              <w:t>four</w:t>
            </w:r>
            <w:r>
              <w:rPr>
                <w:rFonts w:ascii="Arial" w:hAnsi="Arial" w:cs="Arial"/>
                <w:color w:val="000000"/>
                <w:sz w:val="18"/>
                <w:szCs w:val="18"/>
              </w:rPr>
              <w:t xml:space="preserve"> security strategies and the Commonwealth Information Security Manual Compliance</w:t>
            </w:r>
          </w:p>
          <w:p w14:paraId="42BA94BA" w14:textId="2479A07C" w:rsidR="001A060A" w:rsidRDefault="001A060A" w:rsidP="00EF2D44">
            <w:pPr>
              <w:pStyle w:val="ListParagraph"/>
              <w:numPr>
                <w:ilvl w:val="0"/>
                <w:numId w:val="13"/>
              </w:numPr>
              <w:autoSpaceDN w:val="0"/>
              <w:spacing w:after="0" w:line="256" w:lineRule="auto"/>
              <w:contextualSpacing w:val="0"/>
              <w:rPr>
                <w:rFonts w:ascii="Arial" w:hAnsi="Arial" w:cs="Arial"/>
                <w:color w:val="000000"/>
                <w:sz w:val="18"/>
                <w:szCs w:val="18"/>
              </w:rPr>
            </w:pPr>
            <w:r>
              <w:rPr>
                <w:rFonts w:ascii="Arial" w:hAnsi="Arial" w:cs="Arial"/>
                <w:color w:val="000000"/>
                <w:sz w:val="18"/>
                <w:szCs w:val="18"/>
              </w:rPr>
              <w:t>Stand</w:t>
            </w:r>
            <w:r w:rsidR="001F2A57">
              <w:rPr>
                <w:rFonts w:ascii="Arial" w:hAnsi="Arial" w:cs="Arial"/>
                <w:color w:val="000000"/>
                <w:sz w:val="18"/>
                <w:szCs w:val="18"/>
              </w:rPr>
              <w:t>ard Operating Environments</w:t>
            </w:r>
            <w:r>
              <w:rPr>
                <w:rFonts w:ascii="Arial" w:hAnsi="Arial" w:cs="Arial"/>
                <w:color w:val="000000"/>
                <w:sz w:val="18"/>
                <w:szCs w:val="18"/>
              </w:rPr>
              <w:t xml:space="preserve"> defined for notebooks and the IHPA server</w:t>
            </w:r>
          </w:p>
          <w:p w14:paraId="4A419C7C" w14:textId="49CBEF47" w:rsidR="00D41F1C" w:rsidRDefault="001A060A" w:rsidP="00EF2D44">
            <w:pPr>
              <w:pStyle w:val="ListParagraph"/>
              <w:numPr>
                <w:ilvl w:val="0"/>
                <w:numId w:val="13"/>
              </w:numPr>
              <w:autoSpaceDN w:val="0"/>
              <w:spacing w:after="0" w:line="256" w:lineRule="auto"/>
              <w:contextualSpacing w:val="0"/>
              <w:rPr>
                <w:rFonts w:ascii="Arial" w:hAnsi="Arial" w:cs="Arial"/>
                <w:color w:val="000000"/>
                <w:sz w:val="18"/>
                <w:szCs w:val="18"/>
              </w:rPr>
            </w:pPr>
            <w:r>
              <w:rPr>
                <w:rFonts w:ascii="Arial" w:hAnsi="Arial" w:cs="Arial"/>
                <w:color w:val="000000"/>
                <w:sz w:val="18"/>
                <w:szCs w:val="18"/>
              </w:rPr>
              <w:t>Use of expert external IT security advisor to provide security advice.</w:t>
            </w:r>
          </w:p>
        </w:tc>
      </w:tr>
      <w:tr w:rsidR="00D41F1C" w14:paraId="5B9ED636" w14:textId="77777777" w:rsidTr="000C7AAF">
        <w:trPr>
          <w:cantSplit/>
          <w:trHeight w:val="213"/>
        </w:trPr>
        <w:tc>
          <w:tcPr>
            <w:tcW w:w="99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19A6844" w14:textId="77777777" w:rsidR="00D41F1C" w:rsidRDefault="00D41F1C">
            <w:pPr>
              <w:spacing w:after="0" w:line="240" w:lineRule="auto"/>
              <w:rPr>
                <w:rFonts w:ascii="Arial" w:hAnsi="Arial" w:cs="Arial"/>
                <w:color w:val="000000"/>
                <w:sz w:val="18"/>
                <w:szCs w:val="18"/>
              </w:rPr>
            </w:pPr>
            <w:r>
              <w:rPr>
                <w:rFonts w:ascii="Arial" w:hAnsi="Arial" w:cs="Arial"/>
                <w:b/>
                <w:color w:val="000000"/>
                <w:sz w:val="18"/>
                <w:szCs w:val="18"/>
              </w:rPr>
              <w:t xml:space="preserve">Outsourcing and Procurement </w:t>
            </w:r>
          </w:p>
        </w:tc>
      </w:tr>
      <w:tr w:rsidR="00D41F1C" w14:paraId="277E0A5B" w14:textId="77777777" w:rsidTr="000C7AAF">
        <w:trPr>
          <w:cantSplit/>
          <w:trHeight w:val="1565"/>
        </w:trPr>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vAlign w:val="center"/>
            <w:hideMark/>
          </w:tcPr>
          <w:p w14:paraId="778CC9D4" w14:textId="77777777" w:rsidR="00D41F1C" w:rsidRDefault="00D41F1C">
            <w:pPr>
              <w:spacing w:after="0" w:line="240" w:lineRule="auto"/>
              <w:rPr>
                <w:rFonts w:ascii="Arial" w:hAnsi="Arial" w:cs="Arial"/>
                <w:color w:val="000000"/>
                <w:sz w:val="18"/>
                <w:szCs w:val="18"/>
              </w:rPr>
            </w:pPr>
            <w:r>
              <w:rPr>
                <w:rFonts w:ascii="Arial" w:hAnsi="Arial" w:cs="Arial"/>
                <w:color w:val="000000"/>
                <w:sz w:val="18"/>
                <w:szCs w:val="18"/>
              </w:rPr>
              <w:t>Inadequate procurement process and contract outcomes not achieved</w:t>
            </w:r>
          </w:p>
        </w:tc>
        <w:tc>
          <w:tcPr>
            <w:tcW w:w="7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hideMark/>
          </w:tcPr>
          <w:p w14:paraId="562F6312" w14:textId="77777777" w:rsidR="001A060A" w:rsidRDefault="001A060A" w:rsidP="001A060A">
            <w:pPr>
              <w:spacing w:after="0" w:line="240" w:lineRule="auto"/>
              <w:rPr>
                <w:rFonts w:ascii="Arial" w:hAnsi="Arial" w:cs="Arial"/>
                <w:color w:val="000000"/>
                <w:sz w:val="18"/>
                <w:szCs w:val="18"/>
              </w:rPr>
            </w:pPr>
            <w:r>
              <w:rPr>
                <w:rFonts w:ascii="Arial" w:hAnsi="Arial" w:cs="Arial"/>
                <w:color w:val="000000"/>
                <w:sz w:val="18"/>
                <w:szCs w:val="18"/>
              </w:rPr>
              <w:t>Use of Shared Services expert procurement advisors from the Department of Health.</w:t>
            </w:r>
          </w:p>
          <w:p w14:paraId="72F892E3" w14:textId="77777777" w:rsidR="001A060A" w:rsidRDefault="001A060A" w:rsidP="001A060A">
            <w:pPr>
              <w:spacing w:after="0" w:line="240" w:lineRule="auto"/>
              <w:rPr>
                <w:rFonts w:ascii="Arial" w:hAnsi="Arial" w:cs="Arial"/>
                <w:color w:val="000000"/>
                <w:sz w:val="18"/>
                <w:szCs w:val="18"/>
              </w:rPr>
            </w:pPr>
            <w:r>
              <w:rPr>
                <w:rFonts w:ascii="Arial" w:hAnsi="Arial" w:cs="Arial"/>
                <w:color w:val="000000"/>
                <w:sz w:val="18"/>
                <w:szCs w:val="18"/>
              </w:rPr>
              <w:t>Legal advice on amendments to any standard contract from Executive Officer.</w:t>
            </w:r>
          </w:p>
          <w:p w14:paraId="4527F724" w14:textId="77777777" w:rsidR="001A060A" w:rsidRDefault="001A060A" w:rsidP="001A060A">
            <w:pPr>
              <w:spacing w:after="0" w:line="240" w:lineRule="auto"/>
              <w:rPr>
                <w:rFonts w:ascii="Arial" w:hAnsi="Arial" w:cs="Arial"/>
                <w:color w:val="000000"/>
                <w:sz w:val="18"/>
                <w:szCs w:val="18"/>
              </w:rPr>
            </w:pPr>
            <w:r>
              <w:rPr>
                <w:rFonts w:ascii="Arial" w:hAnsi="Arial" w:cs="Arial"/>
                <w:color w:val="000000"/>
                <w:sz w:val="18"/>
                <w:szCs w:val="18"/>
              </w:rPr>
              <w:t xml:space="preserve">External legal advice for complex contracts. </w:t>
            </w:r>
          </w:p>
          <w:p w14:paraId="2940F07A" w14:textId="77777777" w:rsidR="001A060A" w:rsidRDefault="001A060A" w:rsidP="001A060A">
            <w:pPr>
              <w:spacing w:after="0" w:line="240" w:lineRule="auto"/>
              <w:rPr>
                <w:rFonts w:ascii="Arial" w:hAnsi="Arial" w:cs="Arial"/>
                <w:color w:val="000000"/>
                <w:sz w:val="18"/>
                <w:szCs w:val="18"/>
              </w:rPr>
            </w:pPr>
            <w:r>
              <w:rPr>
                <w:rFonts w:ascii="Arial" w:hAnsi="Arial" w:cs="Arial"/>
                <w:color w:val="000000"/>
                <w:sz w:val="18"/>
                <w:szCs w:val="18"/>
              </w:rPr>
              <w:t xml:space="preserve">Simplified Tactical Risk tool available and </w:t>
            </w:r>
            <w:proofErr w:type="spellStart"/>
            <w:r>
              <w:rPr>
                <w:rFonts w:ascii="Arial" w:hAnsi="Arial" w:cs="Arial"/>
                <w:color w:val="000000"/>
                <w:sz w:val="18"/>
                <w:szCs w:val="18"/>
              </w:rPr>
              <w:t>utilised</w:t>
            </w:r>
            <w:proofErr w:type="spellEnd"/>
            <w:r>
              <w:rPr>
                <w:rFonts w:ascii="Arial" w:hAnsi="Arial" w:cs="Arial"/>
                <w:color w:val="000000"/>
                <w:sz w:val="18"/>
                <w:szCs w:val="18"/>
              </w:rPr>
              <w:t>.</w:t>
            </w:r>
          </w:p>
          <w:p w14:paraId="3B564E57" w14:textId="77777777" w:rsidR="001A060A" w:rsidRDefault="001A060A" w:rsidP="001A060A">
            <w:pPr>
              <w:spacing w:after="0" w:line="240" w:lineRule="auto"/>
              <w:rPr>
                <w:rFonts w:ascii="Arial" w:hAnsi="Arial" w:cs="Arial"/>
                <w:color w:val="000000"/>
                <w:sz w:val="18"/>
                <w:szCs w:val="18"/>
              </w:rPr>
            </w:pPr>
            <w:r>
              <w:rPr>
                <w:rFonts w:ascii="Arial" w:hAnsi="Arial" w:cs="Arial"/>
                <w:color w:val="000000"/>
                <w:sz w:val="18"/>
                <w:szCs w:val="18"/>
              </w:rPr>
              <w:t>Procurement and contract management policies and templates.</w:t>
            </w:r>
          </w:p>
          <w:p w14:paraId="79082729" w14:textId="77777777" w:rsidR="001A060A" w:rsidRDefault="001A060A" w:rsidP="001A060A">
            <w:pPr>
              <w:spacing w:after="0" w:line="240" w:lineRule="auto"/>
              <w:rPr>
                <w:rFonts w:ascii="Arial" w:hAnsi="Arial" w:cs="Arial"/>
                <w:sz w:val="18"/>
                <w:szCs w:val="18"/>
              </w:rPr>
            </w:pPr>
            <w:r>
              <w:rPr>
                <w:rFonts w:ascii="Arial" w:hAnsi="Arial" w:cs="Arial"/>
                <w:sz w:val="18"/>
                <w:szCs w:val="18"/>
              </w:rPr>
              <w:t>Staff training on negotiation skills and communication.</w:t>
            </w:r>
          </w:p>
          <w:p w14:paraId="48D33BA4" w14:textId="480A2C17" w:rsidR="001A060A" w:rsidRDefault="001A060A" w:rsidP="001A060A">
            <w:pPr>
              <w:spacing w:after="0" w:line="240" w:lineRule="auto"/>
              <w:rPr>
                <w:rFonts w:ascii="Arial" w:hAnsi="Arial" w:cs="Arial"/>
                <w:sz w:val="18"/>
                <w:szCs w:val="18"/>
              </w:rPr>
            </w:pPr>
            <w:r>
              <w:rPr>
                <w:rFonts w:ascii="Arial" w:hAnsi="Arial" w:cs="Arial"/>
                <w:sz w:val="18"/>
                <w:szCs w:val="18"/>
              </w:rPr>
              <w:t xml:space="preserve">Regular review of procurement processes by IHPA’s internal auditors and the </w:t>
            </w:r>
            <w:r w:rsidR="001F2A57" w:rsidRPr="004469D6">
              <w:rPr>
                <w:rFonts w:ascii="Arial" w:hAnsi="Arial" w:cs="Arial"/>
                <w:sz w:val="18"/>
                <w:szCs w:val="18"/>
              </w:rPr>
              <w:t>IHPA Audit, Risk and Compliance</w:t>
            </w:r>
            <w:r w:rsidR="001F2A57">
              <w:rPr>
                <w:rFonts w:ascii="Arial" w:hAnsi="Arial" w:cs="Arial"/>
                <w:sz w:val="18"/>
                <w:szCs w:val="18"/>
              </w:rPr>
              <w:t xml:space="preserve"> </w:t>
            </w:r>
            <w:r w:rsidR="00D01537">
              <w:rPr>
                <w:rFonts w:ascii="Arial" w:hAnsi="Arial" w:cs="Arial"/>
                <w:sz w:val="18"/>
                <w:szCs w:val="18"/>
              </w:rPr>
              <w:t>Committee</w:t>
            </w:r>
            <w:r>
              <w:rPr>
                <w:rFonts w:ascii="Arial" w:hAnsi="Arial" w:cs="Arial"/>
                <w:sz w:val="18"/>
                <w:szCs w:val="18"/>
              </w:rPr>
              <w:t>.</w:t>
            </w:r>
          </w:p>
          <w:p w14:paraId="28CEFAF3" w14:textId="45E9F677" w:rsidR="00D41F1C" w:rsidRDefault="001A060A">
            <w:pPr>
              <w:spacing w:after="0" w:line="240" w:lineRule="auto"/>
              <w:rPr>
                <w:rFonts w:ascii="Arial" w:hAnsi="Arial" w:cs="Arial"/>
                <w:color w:val="000000"/>
                <w:sz w:val="18"/>
                <w:szCs w:val="18"/>
              </w:rPr>
            </w:pPr>
            <w:r>
              <w:rPr>
                <w:rFonts w:ascii="Arial" w:hAnsi="Arial" w:cs="Arial"/>
                <w:color w:val="000000"/>
                <w:sz w:val="18"/>
                <w:szCs w:val="18"/>
              </w:rPr>
              <w:t>Procurement, contract management policies and templates a</w:t>
            </w:r>
            <w:r w:rsidR="00D01537">
              <w:rPr>
                <w:rFonts w:ascii="Arial" w:hAnsi="Arial" w:cs="Arial"/>
                <w:color w:val="000000"/>
                <w:sz w:val="18"/>
                <w:szCs w:val="18"/>
              </w:rPr>
              <w:t xml:space="preserve">re </w:t>
            </w:r>
            <w:r>
              <w:rPr>
                <w:rFonts w:ascii="Arial" w:hAnsi="Arial" w:cs="Arial"/>
                <w:color w:val="000000"/>
                <w:sz w:val="18"/>
                <w:szCs w:val="18"/>
              </w:rPr>
              <w:t>regularly updated</w:t>
            </w:r>
            <w:r>
              <w:rPr>
                <w:rFonts w:ascii="Arial" w:hAnsi="Arial" w:cs="Arial"/>
                <w:sz w:val="18"/>
                <w:szCs w:val="18"/>
              </w:rPr>
              <w:t>.</w:t>
            </w:r>
          </w:p>
        </w:tc>
      </w:tr>
      <w:tr w:rsidR="00D41F1C" w14:paraId="635B1F98" w14:textId="77777777" w:rsidTr="000C7AAF">
        <w:trPr>
          <w:cantSplit/>
          <w:trHeight w:val="141"/>
        </w:trPr>
        <w:tc>
          <w:tcPr>
            <w:tcW w:w="99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6002E0" w14:textId="77777777" w:rsidR="00D41F1C" w:rsidRDefault="00D41F1C">
            <w:pPr>
              <w:spacing w:after="0" w:line="240" w:lineRule="auto"/>
              <w:rPr>
                <w:rFonts w:ascii="Arial" w:hAnsi="Arial" w:cs="Arial"/>
                <w:color w:val="000000"/>
                <w:sz w:val="18"/>
                <w:szCs w:val="18"/>
              </w:rPr>
            </w:pPr>
            <w:r>
              <w:rPr>
                <w:rFonts w:ascii="Arial" w:hAnsi="Arial" w:cs="Arial"/>
                <w:b/>
                <w:color w:val="000000"/>
                <w:sz w:val="18"/>
                <w:szCs w:val="18"/>
              </w:rPr>
              <w:t>Physical Security</w:t>
            </w:r>
          </w:p>
        </w:tc>
      </w:tr>
      <w:tr w:rsidR="00D41F1C" w14:paraId="687CA52B" w14:textId="77777777" w:rsidTr="000C7AAF">
        <w:trPr>
          <w:cantSplit/>
        </w:trPr>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vAlign w:val="center"/>
            <w:hideMark/>
          </w:tcPr>
          <w:p w14:paraId="39D7EA5A" w14:textId="72DBCE60" w:rsidR="00D41F1C" w:rsidRDefault="00D41F1C" w:rsidP="001A060A">
            <w:pPr>
              <w:spacing w:after="0" w:line="240" w:lineRule="auto"/>
              <w:rPr>
                <w:rFonts w:ascii="Arial" w:hAnsi="Arial" w:cs="Arial"/>
                <w:color w:val="000000"/>
                <w:sz w:val="18"/>
                <w:szCs w:val="18"/>
              </w:rPr>
            </w:pPr>
            <w:r>
              <w:rPr>
                <w:rFonts w:ascii="Arial" w:hAnsi="Arial" w:cs="Arial"/>
                <w:color w:val="000000"/>
                <w:sz w:val="18"/>
                <w:szCs w:val="18"/>
              </w:rPr>
              <w:t xml:space="preserve">Physical security of or staff, visitors or contractors/asset security </w:t>
            </w:r>
            <w:r w:rsidR="001A060A">
              <w:rPr>
                <w:rFonts w:ascii="Arial" w:hAnsi="Arial" w:cs="Arial"/>
                <w:color w:val="000000"/>
                <w:sz w:val="18"/>
                <w:szCs w:val="18"/>
              </w:rPr>
              <w:t xml:space="preserve"> is insufficient</w:t>
            </w:r>
          </w:p>
        </w:tc>
        <w:tc>
          <w:tcPr>
            <w:tcW w:w="7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hideMark/>
          </w:tcPr>
          <w:p w14:paraId="73B777C3" w14:textId="77777777" w:rsidR="001A060A" w:rsidRDefault="001A060A" w:rsidP="001A060A">
            <w:pPr>
              <w:spacing w:after="0" w:line="240" w:lineRule="auto"/>
              <w:rPr>
                <w:rFonts w:ascii="Arial" w:hAnsi="Arial" w:cs="Arial"/>
                <w:color w:val="000000"/>
                <w:sz w:val="18"/>
                <w:szCs w:val="18"/>
              </w:rPr>
            </w:pPr>
            <w:r>
              <w:rPr>
                <w:rFonts w:ascii="Arial" w:hAnsi="Arial" w:cs="Arial"/>
                <w:color w:val="000000"/>
                <w:sz w:val="18"/>
                <w:szCs w:val="18"/>
              </w:rPr>
              <w:t>Staff have annual security training.</w:t>
            </w:r>
          </w:p>
          <w:p w14:paraId="607A5EFC" w14:textId="77777777" w:rsidR="001A060A" w:rsidRDefault="001A060A" w:rsidP="001A060A">
            <w:pPr>
              <w:spacing w:after="0" w:line="240" w:lineRule="auto"/>
              <w:rPr>
                <w:rFonts w:ascii="Arial" w:hAnsi="Arial" w:cs="Arial"/>
                <w:color w:val="000000"/>
                <w:sz w:val="18"/>
                <w:szCs w:val="18"/>
              </w:rPr>
            </w:pPr>
            <w:r>
              <w:rPr>
                <w:rFonts w:ascii="Arial" w:hAnsi="Arial" w:cs="Arial"/>
                <w:color w:val="000000"/>
                <w:sz w:val="18"/>
                <w:szCs w:val="18"/>
              </w:rPr>
              <w:t xml:space="preserve">Regular  site wide security assessments </w:t>
            </w:r>
          </w:p>
          <w:p w14:paraId="519AE028" w14:textId="77777777" w:rsidR="001A060A" w:rsidRDefault="001A060A" w:rsidP="001A060A">
            <w:pPr>
              <w:spacing w:after="0" w:line="240" w:lineRule="auto"/>
              <w:rPr>
                <w:rFonts w:ascii="Arial" w:hAnsi="Arial" w:cs="Arial"/>
                <w:color w:val="000000"/>
                <w:sz w:val="18"/>
                <w:szCs w:val="18"/>
              </w:rPr>
            </w:pPr>
            <w:r>
              <w:rPr>
                <w:rFonts w:ascii="Arial" w:hAnsi="Arial" w:cs="Arial"/>
                <w:color w:val="000000"/>
                <w:sz w:val="18"/>
                <w:szCs w:val="18"/>
              </w:rPr>
              <w:t>Pass access or escorted access only.</w:t>
            </w:r>
          </w:p>
          <w:p w14:paraId="3D964CFA" w14:textId="77777777" w:rsidR="001A060A" w:rsidRDefault="001A060A" w:rsidP="001A060A">
            <w:pPr>
              <w:spacing w:after="0" w:line="240" w:lineRule="auto"/>
              <w:rPr>
                <w:rFonts w:ascii="Arial" w:hAnsi="Arial" w:cs="Arial"/>
                <w:color w:val="000000"/>
                <w:sz w:val="18"/>
                <w:szCs w:val="18"/>
              </w:rPr>
            </w:pPr>
            <w:r>
              <w:rPr>
                <w:rFonts w:ascii="Arial" w:hAnsi="Arial" w:cs="Arial"/>
                <w:color w:val="000000"/>
                <w:sz w:val="18"/>
                <w:szCs w:val="18"/>
              </w:rPr>
              <w:t>Security checks undertaken</w:t>
            </w:r>
          </w:p>
          <w:p w14:paraId="4A13E29E" w14:textId="77777777" w:rsidR="001A060A" w:rsidRDefault="001A060A" w:rsidP="001A060A">
            <w:pPr>
              <w:spacing w:after="0" w:line="240" w:lineRule="auto"/>
              <w:rPr>
                <w:rFonts w:ascii="Arial" w:hAnsi="Arial" w:cs="Arial"/>
                <w:color w:val="000000"/>
                <w:sz w:val="18"/>
                <w:szCs w:val="18"/>
              </w:rPr>
            </w:pPr>
            <w:r>
              <w:rPr>
                <w:rFonts w:ascii="Arial" w:hAnsi="Arial" w:cs="Arial"/>
                <w:color w:val="000000"/>
                <w:sz w:val="18"/>
                <w:szCs w:val="18"/>
              </w:rPr>
              <w:t>All new staff and contractors are provided with security training.</w:t>
            </w:r>
          </w:p>
          <w:p w14:paraId="77E9B265" w14:textId="77777777" w:rsidR="001A060A" w:rsidRDefault="001A060A" w:rsidP="001A060A">
            <w:pPr>
              <w:spacing w:after="0" w:line="240" w:lineRule="auto"/>
              <w:rPr>
                <w:rFonts w:ascii="Arial" w:hAnsi="Arial" w:cs="Arial"/>
                <w:color w:val="000000"/>
                <w:sz w:val="18"/>
                <w:szCs w:val="18"/>
              </w:rPr>
            </w:pPr>
            <w:r>
              <w:rPr>
                <w:rFonts w:ascii="Arial" w:hAnsi="Arial" w:cs="Arial"/>
                <w:color w:val="000000"/>
                <w:sz w:val="18"/>
                <w:szCs w:val="18"/>
              </w:rPr>
              <w:t>IT asset register and general asset register maintained.</w:t>
            </w:r>
          </w:p>
          <w:p w14:paraId="5B6DB537" w14:textId="77777777" w:rsidR="001A060A" w:rsidRDefault="001A060A" w:rsidP="001A060A">
            <w:pPr>
              <w:spacing w:after="0" w:line="240" w:lineRule="auto"/>
              <w:rPr>
                <w:rFonts w:ascii="Arial" w:hAnsi="Arial" w:cs="Arial"/>
                <w:color w:val="000000"/>
                <w:sz w:val="18"/>
                <w:szCs w:val="18"/>
              </w:rPr>
            </w:pPr>
            <w:r>
              <w:rPr>
                <w:rFonts w:ascii="Arial" w:hAnsi="Arial" w:cs="Arial"/>
                <w:color w:val="000000"/>
                <w:sz w:val="18"/>
                <w:szCs w:val="18"/>
              </w:rPr>
              <w:t>All assets IHPA assets secured in compliance with IHPA’s asset management policy.</w:t>
            </w:r>
          </w:p>
          <w:p w14:paraId="1ACDE7CF" w14:textId="77777777" w:rsidR="001A060A" w:rsidRDefault="001A060A" w:rsidP="001A060A">
            <w:pPr>
              <w:spacing w:after="0" w:line="240" w:lineRule="auto"/>
              <w:rPr>
                <w:rFonts w:ascii="Arial" w:hAnsi="Arial" w:cs="Arial"/>
                <w:color w:val="000000"/>
                <w:sz w:val="18"/>
                <w:szCs w:val="18"/>
              </w:rPr>
            </w:pPr>
            <w:r>
              <w:rPr>
                <w:rFonts w:ascii="Arial" w:hAnsi="Arial" w:cs="Arial"/>
                <w:color w:val="000000"/>
                <w:sz w:val="18"/>
                <w:szCs w:val="18"/>
              </w:rPr>
              <w:t>Offsite assets must be signed out and returned in compliance with IHPA policies.</w:t>
            </w:r>
          </w:p>
          <w:p w14:paraId="026B4682" w14:textId="66A4BF32" w:rsidR="00D41F1C" w:rsidRDefault="001A060A">
            <w:pPr>
              <w:spacing w:after="0" w:line="240" w:lineRule="auto"/>
              <w:rPr>
                <w:rFonts w:ascii="Arial" w:hAnsi="Arial" w:cs="Arial"/>
                <w:color w:val="000000"/>
                <w:sz w:val="18"/>
                <w:szCs w:val="18"/>
              </w:rPr>
            </w:pPr>
            <w:r>
              <w:rPr>
                <w:rFonts w:ascii="Arial" w:hAnsi="Arial" w:cs="Arial"/>
                <w:color w:val="000000"/>
                <w:sz w:val="18"/>
                <w:szCs w:val="18"/>
              </w:rPr>
              <w:t>Minimum IT assets held on premises.</w:t>
            </w:r>
          </w:p>
        </w:tc>
      </w:tr>
    </w:tbl>
    <w:p w14:paraId="31227F7C" w14:textId="5462EA8B" w:rsidR="00D41F1C" w:rsidRDefault="00D41F1C" w:rsidP="003C1752">
      <w:pPr>
        <w:pStyle w:val="Body"/>
      </w:pPr>
    </w:p>
    <w:p w14:paraId="71CCB02F" w14:textId="77777777" w:rsidR="00D41F1C" w:rsidRDefault="00D41F1C" w:rsidP="003C1752">
      <w:pPr>
        <w:pStyle w:val="Body"/>
      </w:pPr>
    </w:p>
    <w:p w14:paraId="587A6F6F" w14:textId="77777777" w:rsidR="003C1752" w:rsidRDefault="003C1752" w:rsidP="003C1752">
      <w:pPr>
        <w:pStyle w:val="Body"/>
      </w:pPr>
    </w:p>
    <w:p w14:paraId="6C11E976" w14:textId="77777777" w:rsidR="009F61CB" w:rsidRPr="009F61CB" w:rsidRDefault="009F61CB" w:rsidP="000E1C64">
      <w:pPr>
        <w:pStyle w:val="IntroBody"/>
        <w:rPr>
          <w:b w:val="0"/>
        </w:rPr>
        <w:sectPr w:rsidR="009F61CB" w:rsidRPr="009F61CB" w:rsidSect="003272D4">
          <w:headerReference w:type="even" r:id="rId39"/>
          <w:headerReference w:type="default" r:id="rId40"/>
          <w:headerReference w:type="first" r:id="rId41"/>
          <w:footerReference w:type="first" r:id="rId42"/>
          <w:pgSz w:w="11906" w:h="16838" w:code="9"/>
          <w:pgMar w:top="907" w:right="907" w:bottom="993" w:left="907" w:header="709" w:footer="334" w:gutter="0"/>
          <w:cols w:space="708"/>
          <w:titlePg/>
          <w:docGrid w:linePitch="360"/>
        </w:sectPr>
      </w:pPr>
    </w:p>
    <w:p w14:paraId="4DDFB13A" w14:textId="77777777" w:rsidR="006032E5" w:rsidRDefault="006032E5" w:rsidP="004609B2">
      <w:pPr>
        <w:pStyle w:val="Body"/>
        <w:rPr>
          <w:b/>
        </w:rPr>
      </w:pPr>
      <w:bookmarkStart w:id="213" w:name="_Appendix_1"/>
      <w:bookmarkStart w:id="214" w:name="_Appendix_2"/>
      <w:bookmarkEnd w:id="213"/>
      <w:bookmarkEnd w:id="214"/>
    </w:p>
    <w:p w14:paraId="369799CA" w14:textId="77777777" w:rsidR="006032E5" w:rsidRDefault="006032E5" w:rsidP="004609B2">
      <w:pPr>
        <w:pStyle w:val="Body"/>
        <w:rPr>
          <w:b/>
        </w:rPr>
      </w:pPr>
    </w:p>
    <w:p w14:paraId="59520374" w14:textId="77777777" w:rsidR="006032E5" w:rsidRDefault="006032E5" w:rsidP="004609B2">
      <w:pPr>
        <w:pStyle w:val="Body"/>
        <w:rPr>
          <w:b/>
        </w:rPr>
      </w:pPr>
    </w:p>
    <w:p w14:paraId="5FD852D5" w14:textId="77777777" w:rsidR="006032E5" w:rsidRDefault="006032E5" w:rsidP="004609B2">
      <w:pPr>
        <w:pStyle w:val="Body"/>
        <w:rPr>
          <w:b/>
        </w:rPr>
      </w:pPr>
    </w:p>
    <w:p w14:paraId="454F0E1E" w14:textId="77777777" w:rsidR="006032E5" w:rsidRDefault="006032E5" w:rsidP="004609B2">
      <w:pPr>
        <w:pStyle w:val="Body"/>
        <w:rPr>
          <w:b/>
        </w:rPr>
      </w:pPr>
    </w:p>
    <w:p w14:paraId="3BE2F1DF" w14:textId="77777777" w:rsidR="006032E5" w:rsidRDefault="006032E5" w:rsidP="004609B2">
      <w:pPr>
        <w:pStyle w:val="Body"/>
        <w:rPr>
          <w:b/>
        </w:rPr>
      </w:pPr>
    </w:p>
    <w:p w14:paraId="5ED951A1" w14:textId="77777777" w:rsidR="006032E5" w:rsidRDefault="006032E5" w:rsidP="004609B2">
      <w:pPr>
        <w:pStyle w:val="Body"/>
        <w:rPr>
          <w:b/>
        </w:rPr>
      </w:pPr>
    </w:p>
    <w:p w14:paraId="14767E86" w14:textId="77777777" w:rsidR="006032E5" w:rsidRDefault="006032E5" w:rsidP="004609B2">
      <w:pPr>
        <w:pStyle w:val="Body"/>
        <w:rPr>
          <w:b/>
        </w:rPr>
      </w:pPr>
    </w:p>
    <w:p w14:paraId="620522D7" w14:textId="77777777" w:rsidR="006032E5" w:rsidRDefault="006032E5" w:rsidP="004609B2">
      <w:pPr>
        <w:pStyle w:val="Body"/>
        <w:rPr>
          <w:b/>
        </w:rPr>
      </w:pPr>
    </w:p>
    <w:p w14:paraId="59C63EBD" w14:textId="20E0901B" w:rsidR="004609B2" w:rsidRPr="004609B2" w:rsidRDefault="004609B2" w:rsidP="004609B2">
      <w:pPr>
        <w:pStyle w:val="Body"/>
        <w:rPr>
          <w:b/>
        </w:rPr>
      </w:pPr>
      <w:r w:rsidRPr="004609B2">
        <w:rPr>
          <w:b/>
        </w:rPr>
        <w:t>Independent Hospital Pricing Authority</w:t>
      </w:r>
    </w:p>
    <w:p w14:paraId="2561CE13" w14:textId="77777777" w:rsidR="004609B2" w:rsidRDefault="004609B2" w:rsidP="004609B2">
      <w:pPr>
        <w:pStyle w:val="Body"/>
      </w:pPr>
      <w:r>
        <w:t>Level 6, 1 Oxford Street</w:t>
      </w:r>
      <w:r>
        <w:br/>
        <w:t>Sydney NSW 2000</w:t>
      </w:r>
    </w:p>
    <w:p w14:paraId="342B7A95" w14:textId="77777777" w:rsidR="004609B2" w:rsidRPr="009B471C" w:rsidRDefault="004609B2" w:rsidP="004609B2">
      <w:pPr>
        <w:pStyle w:val="Body"/>
      </w:pPr>
      <w:r w:rsidRPr="004609B2">
        <w:rPr>
          <w:b/>
        </w:rPr>
        <w:t>Phone</w:t>
      </w:r>
      <w:r>
        <w:t xml:space="preserve"> </w:t>
      </w:r>
      <w:r>
        <w:tab/>
        <w:t>02 8215 1100</w:t>
      </w:r>
    </w:p>
    <w:p w14:paraId="030A6B24" w14:textId="77777777" w:rsidR="004609B2" w:rsidRPr="009B471C" w:rsidRDefault="004609B2" w:rsidP="004609B2">
      <w:pPr>
        <w:pStyle w:val="Body"/>
      </w:pPr>
      <w:r w:rsidRPr="009B471C">
        <w:rPr>
          <w:b/>
        </w:rPr>
        <w:t>Email</w:t>
      </w:r>
      <w:r w:rsidRPr="009B471C">
        <w:t xml:space="preserve"> </w:t>
      </w:r>
      <w:r w:rsidRPr="009B471C">
        <w:tab/>
      </w:r>
      <w:hyperlink r:id="rId43" w:history="1">
        <w:r w:rsidRPr="009B471C">
          <w:rPr>
            <w:rStyle w:val="Hyperlink"/>
            <w:u w:val="none"/>
          </w:rPr>
          <w:t>enquiries.ihpa@ihpa.gov.au</w:t>
        </w:r>
      </w:hyperlink>
    </w:p>
    <w:p w14:paraId="41BD02B8" w14:textId="77777777" w:rsidR="004609B2" w:rsidRDefault="004609B2" w:rsidP="004609B2">
      <w:pPr>
        <w:pStyle w:val="Body"/>
      </w:pPr>
      <w:r w:rsidRPr="004609B2">
        <w:rPr>
          <w:b/>
        </w:rPr>
        <w:t>Twitter</w:t>
      </w:r>
      <w:r>
        <w:t xml:space="preserve"> </w:t>
      </w:r>
      <w:r>
        <w:tab/>
        <w:t>@</w:t>
      </w:r>
      <w:proofErr w:type="spellStart"/>
      <w:r>
        <w:t>IHPAnews</w:t>
      </w:r>
      <w:proofErr w:type="spellEnd"/>
    </w:p>
    <w:p w14:paraId="0B1E20FE" w14:textId="77777777" w:rsidR="00C408EF" w:rsidRPr="00B65B4C" w:rsidRDefault="007C19D5" w:rsidP="00B65B4C">
      <w:pPr>
        <w:pStyle w:val="Link"/>
      </w:pPr>
      <w:hyperlink r:id="rId44" w:history="1">
        <w:r w:rsidR="004609B2" w:rsidRPr="00B65B4C">
          <w:rPr>
            <w:rStyle w:val="Hyperlink"/>
            <w:color w:val="008A00" w:themeColor="accent2"/>
          </w:rPr>
          <w:t>ihpa.gov.au</w:t>
        </w:r>
        <w:r w:rsidR="004609B2" w:rsidRPr="00B65B4C">
          <w:rPr>
            <w:rStyle w:val="Hyperlink"/>
            <w:noProof/>
            <w:color w:val="008A00" w:themeColor="accent2"/>
            <w:lang w:val="en-AU" w:eastAsia="en-AU"/>
          </w:rPr>
          <w:drawing>
            <wp:anchor distT="0" distB="0" distL="114300" distR="114300" simplePos="0" relativeHeight="251658240" behindDoc="0" locked="0" layoutInCell="1" allowOverlap="1" wp14:anchorId="7B26B28E" wp14:editId="169CEF9E">
              <wp:simplePos x="0" y="0"/>
              <wp:positionH relativeFrom="column">
                <wp:posOffset>-99695</wp:posOffset>
              </wp:positionH>
              <wp:positionV relativeFrom="page">
                <wp:posOffset>527050</wp:posOffset>
              </wp:positionV>
              <wp:extent cx="965200" cy="1301750"/>
              <wp:effectExtent l="0" t="0" r="0" b="0"/>
              <wp:wrapNone/>
              <wp:docPr id="173" name="Picture 173">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1301750"/>
                      </a:xfrm>
                      <a:prstGeom prst="rect">
                        <a:avLst/>
                      </a:prstGeom>
                      <a:noFill/>
                      <a:ln>
                        <a:noFill/>
                      </a:ln>
                    </pic:spPr>
                  </pic:pic>
                </a:graphicData>
              </a:graphic>
            </wp:anchor>
          </w:drawing>
        </w:r>
      </w:hyperlink>
    </w:p>
    <w:sectPr w:rsidR="00C408EF" w:rsidRPr="00B65B4C" w:rsidSect="004609B2">
      <w:headerReference w:type="even" r:id="rId45"/>
      <w:headerReference w:type="default" r:id="rId46"/>
      <w:headerReference w:type="first" r:id="rId47"/>
      <w:footerReference w:type="first" r:id="rId48"/>
      <w:pgSz w:w="11906" w:h="16838" w:code="9"/>
      <w:pgMar w:top="8506" w:right="907" w:bottom="907" w:left="907" w:header="709" w:footer="2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EA3FA" w14:textId="77777777" w:rsidR="007C19D5" w:rsidRDefault="007C19D5" w:rsidP="00D53EDC">
      <w:pPr>
        <w:spacing w:after="0" w:line="240" w:lineRule="auto"/>
      </w:pPr>
      <w:r>
        <w:separator/>
      </w:r>
    </w:p>
  </w:endnote>
  <w:endnote w:type="continuationSeparator" w:id="0">
    <w:p w14:paraId="586E4D55" w14:textId="77777777" w:rsidR="007C19D5" w:rsidRDefault="007C19D5" w:rsidP="00D53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Medium">
    <w:altName w:val="Arial"/>
    <w:panose1 w:val="020B0602020204020303"/>
    <w:charset w:val="00"/>
    <w:family w:val="swiss"/>
    <w:notTrueType/>
    <w:pitch w:val="variable"/>
    <w:sig w:usb0="A00002FF" w:usb1="5000204B" w:usb2="00000000" w:usb3="00000000" w:csb0="00000097" w:csb1="00000000"/>
  </w:font>
  <w:font w:name="Futura PT Book">
    <w:altName w:val="Segoe UI Light"/>
    <w:panose1 w:val="020B0502020204020303"/>
    <w:charset w:val="00"/>
    <w:family w:val="swiss"/>
    <w:notTrueType/>
    <w:pitch w:val="variable"/>
    <w:sig w:usb0="A00002F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33F3A" w14:textId="64D174B5" w:rsidR="007C19D5" w:rsidRPr="00E30966" w:rsidRDefault="007C19D5" w:rsidP="00244B06">
    <w:pPr>
      <w:pStyle w:val="Body"/>
      <w:rPr>
        <w:sz w:val="15"/>
        <w:szCs w:val="15"/>
      </w:rPr>
    </w:pPr>
    <w:r w:rsidRPr="00A368CB">
      <w:rPr>
        <w:sz w:val="15"/>
        <w:szCs w:val="15"/>
      </w:rPr>
      <w:fldChar w:fldCharType="begin"/>
    </w:r>
    <w:r w:rsidRPr="00A368CB">
      <w:rPr>
        <w:sz w:val="15"/>
        <w:szCs w:val="15"/>
      </w:rPr>
      <w:instrText xml:space="preserve"> PAGE   \* MERGEFORMAT </w:instrText>
    </w:r>
    <w:r w:rsidRPr="00A368CB">
      <w:rPr>
        <w:sz w:val="15"/>
        <w:szCs w:val="15"/>
      </w:rPr>
      <w:fldChar w:fldCharType="separate"/>
    </w:r>
    <w:r w:rsidR="00F94713">
      <w:rPr>
        <w:noProof/>
        <w:sz w:val="15"/>
        <w:szCs w:val="15"/>
      </w:rPr>
      <w:t>21</w:t>
    </w:r>
    <w:r w:rsidRPr="00A368CB">
      <w:rPr>
        <w:noProof/>
        <w:sz w:val="15"/>
        <w:szCs w:val="15"/>
      </w:rPr>
      <w:fldChar w:fldCharType="end"/>
    </w:r>
    <w:r w:rsidRPr="00A368CB">
      <w:rPr>
        <w:noProof/>
        <w:sz w:val="15"/>
        <w:szCs w:val="15"/>
      </w:rPr>
      <w:tab/>
    </w:r>
    <w:r w:rsidRPr="00A368CB">
      <w:rPr>
        <w:noProof/>
        <w:sz w:val="15"/>
        <w:szCs w:val="15"/>
      </w:rPr>
      <w:tab/>
    </w:r>
    <w:r w:rsidRPr="00A368CB">
      <w:rPr>
        <w:noProof/>
        <w:sz w:val="15"/>
        <w:szCs w:val="15"/>
      </w:rPr>
      <w:tab/>
    </w:r>
    <w:r w:rsidRPr="00A368CB">
      <w:rPr>
        <w:noProof/>
        <w:sz w:val="15"/>
        <w:szCs w:val="15"/>
      </w:rPr>
      <w:tab/>
    </w:r>
    <w:r w:rsidRPr="00A368CB">
      <w:rPr>
        <w:sz w:val="15"/>
        <w:szCs w:val="15"/>
      </w:rPr>
      <w:t>Indepen</w:t>
    </w:r>
    <w:r>
      <w:rPr>
        <w:sz w:val="15"/>
        <w:szCs w:val="15"/>
      </w:rPr>
      <w:t>dent Hospital Pricing Authority</w:t>
    </w:r>
    <w:r>
      <w:rPr>
        <w:sz w:val="15"/>
        <w:szCs w:val="15"/>
      </w:rPr>
      <w:tab/>
    </w:r>
    <w:r>
      <w:rPr>
        <w:sz w:val="15"/>
        <w:szCs w:val="15"/>
      </w:rPr>
      <w:tab/>
      <w:t xml:space="preserve">      </w:t>
    </w:r>
    <w:r w:rsidRPr="00643239">
      <w:rPr>
        <w:noProof/>
        <w:sz w:val="15"/>
        <w:szCs w:val="15"/>
      </w:rPr>
      <w:t>IHPA Work Program and Corporate Plan 2021–22</w:t>
    </w:r>
  </w:p>
  <w:p w14:paraId="235D7DA5" w14:textId="77777777" w:rsidR="007C19D5" w:rsidRDefault="007C19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0C49E" w14:textId="6AAE7B28" w:rsidR="007C19D5" w:rsidRPr="009F09C6" w:rsidRDefault="007C19D5">
    <w:pPr>
      <w:pStyle w:val="Footer"/>
      <w:rPr>
        <w:rFonts w:ascii="Arial" w:hAnsi="Arial" w:cs="Arial"/>
        <w:color w:val="FFFFFF" w:themeColor="background1"/>
        <w:sz w:val="20"/>
        <w:szCs w:val="20"/>
      </w:rPr>
    </w:pPr>
    <w:r w:rsidRPr="009F09C6">
      <w:rPr>
        <w:rFonts w:ascii="Arial" w:hAnsi="Arial" w:cs="Arial"/>
        <w:color w:val="FFFFFF" w:themeColor="background1"/>
        <w:sz w:val="20"/>
        <w:szCs w:val="20"/>
      </w:rPr>
      <w:t>Independent Hospital Pricing Authority</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C5A2B" w14:textId="77777777" w:rsidR="007C19D5" w:rsidRDefault="007C19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A202B" w14:textId="600E79F2" w:rsidR="007C19D5" w:rsidRPr="00A368CB" w:rsidRDefault="007C19D5" w:rsidP="009F09C6">
    <w:pPr>
      <w:pStyle w:val="Body"/>
      <w:rPr>
        <w:sz w:val="15"/>
        <w:szCs w:val="15"/>
      </w:rPr>
    </w:pPr>
    <w:r w:rsidRPr="00A368CB">
      <w:rPr>
        <w:sz w:val="15"/>
        <w:szCs w:val="15"/>
      </w:rPr>
      <w:fldChar w:fldCharType="begin"/>
    </w:r>
    <w:r w:rsidRPr="00A368CB">
      <w:rPr>
        <w:sz w:val="15"/>
        <w:szCs w:val="15"/>
      </w:rPr>
      <w:instrText xml:space="preserve"> PAGE   \* MERGEFORMAT </w:instrText>
    </w:r>
    <w:r w:rsidRPr="00A368CB">
      <w:rPr>
        <w:sz w:val="15"/>
        <w:szCs w:val="15"/>
      </w:rPr>
      <w:fldChar w:fldCharType="separate"/>
    </w:r>
    <w:r w:rsidR="00F94713">
      <w:rPr>
        <w:noProof/>
        <w:sz w:val="15"/>
        <w:szCs w:val="15"/>
      </w:rPr>
      <w:t>4</w:t>
    </w:r>
    <w:r w:rsidRPr="00A368CB">
      <w:rPr>
        <w:noProof/>
        <w:sz w:val="15"/>
        <w:szCs w:val="15"/>
      </w:rPr>
      <w:fldChar w:fldCharType="end"/>
    </w:r>
    <w:r w:rsidRPr="00A368CB">
      <w:rPr>
        <w:noProof/>
        <w:sz w:val="15"/>
        <w:szCs w:val="15"/>
      </w:rPr>
      <w:tab/>
    </w:r>
    <w:r w:rsidRPr="00A368CB">
      <w:rPr>
        <w:noProof/>
        <w:sz w:val="15"/>
        <w:szCs w:val="15"/>
      </w:rPr>
      <w:tab/>
    </w:r>
    <w:r w:rsidRPr="00A368CB">
      <w:rPr>
        <w:noProof/>
        <w:sz w:val="15"/>
        <w:szCs w:val="15"/>
      </w:rPr>
      <w:tab/>
    </w:r>
    <w:r w:rsidRPr="00A368CB">
      <w:rPr>
        <w:noProof/>
        <w:sz w:val="15"/>
        <w:szCs w:val="15"/>
      </w:rPr>
      <w:tab/>
    </w:r>
    <w:r>
      <w:rPr>
        <w:noProof/>
        <w:sz w:val="15"/>
        <w:szCs w:val="15"/>
      </w:rPr>
      <w:tab/>
    </w:r>
    <w:r w:rsidRPr="00A368CB">
      <w:rPr>
        <w:sz w:val="15"/>
        <w:szCs w:val="15"/>
      </w:rPr>
      <w:t>Independent Hospital Pricing Authority</w:t>
    </w:r>
    <w:r w:rsidRPr="00A368CB">
      <w:rPr>
        <w:sz w:val="15"/>
        <w:szCs w:val="15"/>
      </w:rPr>
      <w:tab/>
    </w:r>
    <w:r w:rsidRPr="00A368CB">
      <w:rPr>
        <w:noProof/>
        <w:sz w:val="15"/>
        <w:szCs w:val="15"/>
      </w:rPr>
      <w:tab/>
    </w:r>
    <w:r>
      <w:rPr>
        <w:noProof/>
        <w:sz w:val="15"/>
        <w:szCs w:val="15"/>
      </w:rPr>
      <w:tab/>
      <w:t xml:space="preserve">     </w:t>
    </w:r>
    <w:r w:rsidRPr="00A368CB">
      <w:rPr>
        <w:noProof/>
        <w:sz w:val="15"/>
        <w:szCs w:val="15"/>
      </w:rPr>
      <w:t xml:space="preserve">Work Program </w:t>
    </w:r>
    <w:r>
      <w:rPr>
        <w:noProof/>
        <w:sz w:val="15"/>
        <w:szCs w:val="15"/>
      </w:rPr>
      <w:t>2021–22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46226" w14:textId="515E13E9" w:rsidR="007C19D5" w:rsidRDefault="007C19D5" w:rsidP="00643239">
    <w:pPr>
      <w:pStyle w:val="Body"/>
      <w:ind w:right="-256"/>
      <w:rPr>
        <w:noProof/>
        <w:sz w:val="15"/>
        <w:szCs w:val="15"/>
      </w:rPr>
    </w:pPr>
    <w:r w:rsidRPr="00A368CB">
      <w:rPr>
        <w:sz w:val="15"/>
        <w:szCs w:val="15"/>
      </w:rPr>
      <w:fldChar w:fldCharType="begin"/>
    </w:r>
    <w:r w:rsidRPr="00A368CB">
      <w:rPr>
        <w:sz w:val="15"/>
        <w:szCs w:val="15"/>
      </w:rPr>
      <w:instrText xml:space="preserve"> PAGE   \* MERGEFORMAT </w:instrText>
    </w:r>
    <w:r w:rsidRPr="00A368CB">
      <w:rPr>
        <w:sz w:val="15"/>
        <w:szCs w:val="15"/>
      </w:rPr>
      <w:fldChar w:fldCharType="separate"/>
    </w:r>
    <w:r w:rsidR="00F94713">
      <w:rPr>
        <w:noProof/>
        <w:sz w:val="15"/>
        <w:szCs w:val="15"/>
      </w:rPr>
      <w:t>5</w:t>
    </w:r>
    <w:r w:rsidRPr="00A368CB">
      <w:rPr>
        <w:noProof/>
        <w:sz w:val="15"/>
        <w:szCs w:val="15"/>
      </w:rPr>
      <w:fldChar w:fldCharType="end"/>
    </w:r>
    <w:r w:rsidRPr="00A368CB">
      <w:rPr>
        <w:noProof/>
        <w:sz w:val="15"/>
        <w:szCs w:val="15"/>
      </w:rPr>
      <w:tab/>
    </w:r>
    <w:r w:rsidRPr="00A368CB">
      <w:rPr>
        <w:noProof/>
        <w:sz w:val="15"/>
        <w:szCs w:val="15"/>
      </w:rPr>
      <w:tab/>
    </w:r>
    <w:r w:rsidRPr="00A368CB">
      <w:rPr>
        <w:noProof/>
        <w:sz w:val="15"/>
        <w:szCs w:val="15"/>
      </w:rPr>
      <w:tab/>
    </w:r>
    <w:r w:rsidRPr="00A368CB">
      <w:rPr>
        <w:noProof/>
        <w:sz w:val="15"/>
        <w:szCs w:val="15"/>
      </w:rPr>
      <w:tab/>
    </w:r>
    <w:r w:rsidRPr="00A368CB">
      <w:rPr>
        <w:sz w:val="15"/>
        <w:szCs w:val="15"/>
      </w:rPr>
      <w:t>Independent Hospital Pricing Authority</w:t>
    </w:r>
    <w:r w:rsidRPr="00A368CB">
      <w:rPr>
        <w:sz w:val="15"/>
        <w:szCs w:val="15"/>
      </w:rPr>
      <w:tab/>
    </w:r>
    <w:r w:rsidRPr="00A368CB">
      <w:rPr>
        <w:noProof/>
        <w:sz w:val="15"/>
        <w:szCs w:val="15"/>
      </w:rPr>
      <w:tab/>
    </w:r>
    <w:r>
      <w:rPr>
        <w:noProof/>
        <w:sz w:val="15"/>
        <w:szCs w:val="15"/>
      </w:rPr>
      <w:t xml:space="preserve">         </w:t>
    </w:r>
    <w:r w:rsidRPr="00643239">
      <w:rPr>
        <w:noProof/>
        <w:sz w:val="15"/>
        <w:szCs w:val="15"/>
      </w:rPr>
      <w:t>IHPA Work Program and Corporate Plan 2021–22</w:t>
    </w:r>
  </w:p>
  <w:p w14:paraId="74BC41EE" w14:textId="77777777" w:rsidR="007C19D5" w:rsidRPr="00A368CB" w:rsidRDefault="007C19D5" w:rsidP="009F09C6">
    <w:pPr>
      <w:pStyle w:val="Body"/>
      <w:rPr>
        <w:sz w:val="15"/>
        <w:szCs w:val="15"/>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0BDA1" w14:textId="7E012A8F" w:rsidR="007C19D5" w:rsidRPr="002B4062" w:rsidRDefault="007C19D5" w:rsidP="00743FDC">
    <w:pPr>
      <w:pStyle w:val="Body"/>
      <w:ind w:right="-398"/>
      <w:rPr>
        <w:sz w:val="15"/>
        <w:szCs w:val="15"/>
      </w:rPr>
    </w:pPr>
    <w:r w:rsidRPr="00A368CB">
      <w:rPr>
        <w:sz w:val="15"/>
        <w:szCs w:val="15"/>
      </w:rPr>
      <w:fldChar w:fldCharType="begin"/>
    </w:r>
    <w:r w:rsidRPr="00A368CB">
      <w:rPr>
        <w:sz w:val="15"/>
        <w:szCs w:val="15"/>
      </w:rPr>
      <w:instrText xml:space="preserve"> PAGE   \* MERGEFORMAT </w:instrText>
    </w:r>
    <w:r w:rsidRPr="00A368CB">
      <w:rPr>
        <w:sz w:val="15"/>
        <w:szCs w:val="15"/>
      </w:rPr>
      <w:fldChar w:fldCharType="separate"/>
    </w:r>
    <w:r w:rsidR="00D60C4A">
      <w:rPr>
        <w:noProof/>
        <w:sz w:val="15"/>
        <w:szCs w:val="15"/>
      </w:rPr>
      <w:t>8</w:t>
    </w:r>
    <w:r w:rsidRPr="00A368CB">
      <w:rPr>
        <w:noProof/>
        <w:sz w:val="15"/>
        <w:szCs w:val="15"/>
      </w:rPr>
      <w:fldChar w:fldCharType="end"/>
    </w:r>
    <w:r w:rsidRPr="00A368CB">
      <w:rPr>
        <w:noProof/>
        <w:sz w:val="15"/>
        <w:szCs w:val="15"/>
      </w:rPr>
      <w:tab/>
    </w:r>
    <w:r w:rsidRPr="00A368CB">
      <w:rPr>
        <w:noProof/>
        <w:sz w:val="15"/>
        <w:szCs w:val="15"/>
      </w:rPr>
      <w:tab/>
    </w:r>
    <w:r w:rsidRPr="00A368CB">
      <w:rPr>
        <w:noProof/>
        <w:sz w:val="15"/>
        <w:szCs w:val="15"/>
      </w:rPr>
      <w:tab/>
    </w:r>
    <w:r w:rsidRPr="00A368CB">
      <w:rPr>
        <w:noProof/>
        <w:sz w:val="15"/>
        <w:szCs w:val="15"/>
      </w:rPr>
      <w:tab/>
    </w:r>
    <w:r>
      <w:rPr>
        <w:noProof/>
        <w:sz w:val="15"/>
        <w:szCs w:val="15"/>
      </w:rPr>
      <w:tab/>
    </w:r>
    <w:r w:rsidRPr="00A368CB">
      <w:rPr>
        <w:sz w:val="15"/>
        <w:szCs w:val="15"/>
      </w:rPr>
      <w:t>Independent Hospital Pricing Authority</w:t>
    </w:r>
    <w:r w:rsidRPr="00A368CB">
      <w:rPr>
        <w:sz w:val="15"/>
        <w:szCs w:val="15"/>
      </w:rPr>
      <w:tab/>
    </w:r>
    <w:r>
      <w:rPr>
        <w:sz w:val="15"/>
        <w:szCs w:val="15"/>
      </w:rPr>
      <w:t xml:space="preserve">            </w:t>
    </w:r>
    <w:r w:rsidRPr="00643239">
      <w:rPr>
        <w:noProof/>
        <w:sz w:val="15"/>
        <w:szCs w:val="15"/>
      </w:rPr>
      <w:t>IHPA Work Program and Corporate Plan 2021–22</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9C699" w14:textId="77777777" w:rsidR="007C19D5" w:rsidRDefault="007C19D5" w:rsidP="009F09C6">
    <w:pPr>
      <w:pStyle w:val="Body"/>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D467C" w14:textId="77777777" w:rsidR="007C19D5" w:rsidRDefault="007C19D5" w:rsidP="00D53EDC">
      <w:pPr>
        <w:spacing w:after="0" w:line="240" w:lineRule="auto"/>
      </w:pPr>
      <w:r>
        <w:separator/>
      </w:r>
    </w:p>
  </w:footnote>
  <w:footnote w:type="continuationSeparator" w:id="0">
    <w:p w14:paraId="591E80C9" w14:textId="77777777" w:rsidR="007C19D5" w:rsidRDefault="007C19D5" w:rsidP="00D53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F7BD2" w14:textId="72A38052" w:rsidR="007C19D5" w:rsidRDefault="007C19D5">
    <w:pPr>
      <w:pStyle w:val="Header"/>
    </w:pPr>
    <w:r>
      <w:rPr>
        <w:noProof/>
      </w:rPr>
      <w:pict w14:anchorId="206235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41" o:spid="_x0000_s2052" type="#_x0000_t136" style="position:absolute;margin-left:0;margin-top:0;width:402.1pt;height:241.25pt;rotation:315;z-index:-25165414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659C7" w14:textId="7E30AE8B" w:rsidR="007C19D5" w:rsidRDefault="007C19D5">
    <w:pPr>
      <w:pStyle w:val="Header"/>
    </w:pPr>
    <w:r>
      <w:rPr>
        <w:noProof/>
      </w:rPr>
      <w:pict w14:anchorId="3ADAF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50" o:spid="_x0000_s2061" type="#_x0000_t136" style="position:absolute;margin-left:0;margin-top:0;width:402.1pt;height:241.25pt;rotation:315;z-index:-25163571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DE7FA" w14:textId="51F37DD2" w:rsidR="007C19D5" w:rsidRDefault="007C19D5">
    <w:pPr>
      <w:pStyle w:val="Header"/>
    </w:pPr>
    <w:r>
      <w:rPr>
        <w:noProof/>
      </w:rPr>
      <w:pict w14:anchorId="2104D8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51" o:spid="_x0000_s2062" type="#_x0000_t136" style="position:absolute;margin-left:0;margin-top:0;width:402.1pt;height:241.25pt;rotation:315;z-index:-25163366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93996" w14:textId="6D0F9D5C" w:rsidR="007C19D5" w:rsidRPr="00921090" w:rsidRDefault="00D60C4A" w:rsidP="00921090">
    <w:pPr>
      <w:pStyle w:val="Header"/>
    </w:pPr>
    <w:r>
      <w:rPr>
        <w:noProof/>
        <w:lang w:val="en-AU" w:eastAsia="en-AU"/>
      </w:rPr>
      <w:drawing>
        <wp:anchor distT="0" distB="0" distL="114300" distR="114300" simplePos="0" relativeHeight="251656191" behindDoc="1" locked="0" layoutInCell="1" allowOverlap="1" wp14:anchorId="0B14D639" wp14:editId="5F3D4EC0">
          <wp:simplePos x="0" y="0"/>
          <wp:positionH relativeFrom="page">
            <wp:posOffset>2824187</wp:posOffset>
          </wp:positionH>
          <wp:positionV relativeFrom="paragraph">
            <wp:posOffset>-450215</wp:posOffset>
          </wp:positionV>
          <wp:extent cx="4871085" cy="7068820"/>
          <wp:effectExtent l="0" t="0" r="5715" b="0"/>
          <wp:wrapNone/>
          <wp:docPr id="28" name="Picture 28">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5856" t="6195" r="-374" b="27590"/>
                  <a:stretch/>
                </pic:blipFill>
                <pic:spPr bwMode="auto">
                  <a:xfrm>
                    <a:off x="0" y="0"/>
                    <a:ext cx="4871085" cy="706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9D5">
      <w:rPr>
        <w:noProof/>
      </w:rPr>
      <w:pict w14:anchorId="4D194F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49" o:spid="_x0000_s2060" type="#_x0000_t136" style="position:absolute;margin-left:0;margin-top:0;width:402.1pt;height:241.25pt;rotation:315;z-index:-25163776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7C27A" w14:textId="5CE1AFED" w:rsidR="007C19D5" w:rsidRDefault="007C19D5">
    <w:pPr>
      <w:pStyle w:val="Header"/>
    </w:pPr>
    <w:r>
      <w:rPr>
        <w:noProof/>
      </w:rPr>
      <w:pict w14:anchorId="0CD184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53" o:spid="_x0000_s2064" type="#_x0000_t136" style="position:absolute;margin-left:0;margin-top:0;width:402.1pt;height:241.25pt;rotation:315;z-index:-2516295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D6FA5" w14:textId="15BA112D" w:rsidR="007C19D5" w:rsidRDefault="007C19D5">
    <w:pPr>
      <w:pStyle w:val="Header"/>
    </w:pPr>
    <w:r>
      <w:rPr>
        <w:noProof/>
      </w:rPr>
      <w:pict w14:anchorId="11CA3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54" o:spid="_x0000_s2065" type="#_x0000_t136" style="position:absolute;margin-left:0;margin-top:0;width:402.1pt;height:241.25pt;rotation:315;z-index:-2516275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56778" w14:textId="77C68AB1" w:rsidR="007C19D5" w:rsidRPr="00921090" w:rsidRDefault="007C19D5" w:rsidP="00921090">
    <w:pPr>
      <w:pStyle w:val="Header"/>
    </w:pPr>
    <w:r>
      <w:rPr>
        <w:noProof/>
      </w:rPr>
      <w:pict w14:anchorId="39406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52" o:spid="_x0000_s2063" type="#_x0000_t136" style="position:absolute;margin-left:0;margin-top:0;width:402.1pt;height:241.25pt;rotation:315;z-index:-2516316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30C52" w14:textId="091F4FD2" w:rsidR="007C19D5" w:rsidRDefault="007C19D5">
    <w:pPr>
      <w:pStyle w:val="Header"/>
    </w:pPr>
    <w:r>
      <w:rPr>
        <w:noProof/>
      </w:rPr>
      <w:pict w14:anchorId="1F8D4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56" o:spid="_x0000_s2067" type="#_x0000_t136" style="position:absolute;margin-left:0;margin-top:0;width:402.1pt;height:241.25pt;rotation:315;z-index:-25162342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29E99" w14:textId="09A0465A" w:rsidR="007C19D5" w:rsidRDefault="007C19D5">
    <w:pPr>
      <w:pStyle w:val="Header"/>
    </w:pPr>
    <w:r>
      <w:rPr>
        <w:noProof/>
      </w:rPr>
      <w:pict w14:anchorId="2A07D5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57" o:spid="_x0000_s2068" type="#_x0000_t136" style="position:absolute;margin-left:0;margin-top:0;width:402.1pt;height:241.25pt;rotation:315;z-index:-25162137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373DB" w14:textId="39C0BA78" w:rsidR="007C19D5" w:rsidRPr="00921090" w:rsidRDefault="007C19D5" w:rsidP="00921090">
    <w:pPr>
      <w:pStyle w:val="Header"/>
    </w:pPr>
    <w:r>
      <w:rPr>
        <w:noProof/>
      </w:rPr>
      <w:pict w14:anchorId="45B13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55" o:spid="_x0000_s2066" type="#_x0000_t136" style="position:absolute;margin-left:0;margin-top:0;width:402.1pt;height:241.25pt;rotation:315;z-index:-25162547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60EF6" w14:textId="4CED0856" w:rsidR="007C19D5" w:rsidRDefault="007C19D5">
    <w:pPr>
      <w:pStyle w:val="Header"/>
    </w:pPr>
    <w:r>
      <w:rPr>
        <w:noProof/>
      </w:rPr>
      <w:pict w14:anchorId="78862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59" o:spid="_x0000_s2070" type="#_x0000_t136" style="position:absolute;margin-left:0;margin-top:0;width:402.1pt;height:241.25pt;rotation:315;z-index:-25161728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F6352" w14:textId="5DB11680" w:rsidR="007C19D5" w:rsidRDefault="007C19D5">
    <w:pPr>
      <w:pStyle w:val="Header"/>
    </w:pPr>
    <w:r>
      <w:rPr>
        <w:noProof/>
      </w:rPr>
      <w:pict w14:anchorId="0AA10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42" o:spid="_x0000_s2053" type="#_x0000_t136" style="position:absolute;margin-left:0;margin-top:0;width:402.1pt;height:241.25pt;rotation:315;z-index:-25165209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75EB5" w14:textId="6B7FB6CB" w:rsidR="007C19D5" w:rsidRDefault="007C19D5">
    <w:pPr>
      <w:pStyle w:val="Header"/>
    </w:pPr>
    <w:r>
      <w:rPr>
        <w:noProof/>
      </w:rPr>
      <w:pict w14:anchorId="39A43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60" o:spid="_x0000_s2071" type="#_x0000_t136" style="position:absolute;margin-left:0;margin-top:0;width:402.1pt;height:241.25pt;rotation:315;z-index:-25161523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74E61" w14:textId="775F46E8" w:rsidR="007C19D5" w:rsidRPr="00921090" w:rsidRDefault="007C19D5" w:rsidP="00921090">
    <w:pPr>
      <w:pStyle w:val="Header"/>
    </w:pPr>
    <w:r>
      <w:rPr>
        <w:noProof/>
      </w:rPr>
      <w:pict w14:anchorId="343BDB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58" o:spid="_x0000_s2069" type="#_x0000_t136" style="position:absolute;margin-left:0;margin-top:0;width:402.1pt;height:241.25pt;rotation:315;z-index:-251619328;mso-position-horizontal:center;mso-position-horizontal-relative:margin;mso-position-vertical:center;mso-position-vertical-relative:margin" o:allowincell="f" fillcolor="silver" stroked="f">
          <v:fill opacity=".5"/>
          <v:textpath style="font-family:&quot;Calibri&quot;;font-size:1pt" string="DRAFT"/>
        </v:shape>
      </w:pict>
    </w:r>
    <w:r>
      <w:rPr>
        <w:noProof/>
        <w:lang w:val="en-AU" w:eastAsia="en-AU"/>
      </w:rPr>
      <w:drawing>
        <wp:anchor distT="0" distB="0" distL="114300" distR="114300" simplePos="0" relativeHeight="251658240" behindDoc="1" locked="0" layoutInCell="1" allowOverlap="1" wp14:anchorId="25852D7B" wp14:editId="012E7B8A">
          <wp:simplePos x="0" y="0"/>
          <wp:positionH relativeFrom="column">
            <wp:posOffset>-575946</wp:posOffset>
          </wp:positionH>
          <wp:positionV relativeFrom="paragraph">
            <wp:posOffset>-450215</wp:posOffset>
          </wp:positionV>
          <wp:extent cx="7558869" cy="10693400"/>
          <wp:effectExtent l="0" t="0" r="4445" b="0"/>
          <wp:wrapNone/>
          <wp:docPr id="70" name="Picture 70">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729" cy="107031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19ABA" w14:textId="51E7C412" w:rsidR="007C19D5" w:rsidRPr="009C578E" w:rsidRDefault="007C19D5" w:rsidP="009C578E">
    <w:pPr>
      <w:pStyle w:val="Header"/>
    </w:pPr>
    <w:r>
      <w:rPr>
        <w:noProof/>
      </w:rPr>
      <w:pict w14:anchorId="2310A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40" o:spid="_x0000_s2051" type="#_x0000_t136" style="position:absolute;margin-left:0;margin-top:0;width:402.1pt;height:241.25pt;rotation:315;z-index:-251656192;mso-position-horizontal:center;mso-position-horizontal-relative:margin;mso-position-vertical:center;mso-position-vertical-relative:margin" o:allowincell="f" fillcolor="silver" stroked="f">
          <v:fill opacity=".5"/>
          <v:textpath style="font-family:&quot;Calibri&quot;;font-size:1pt" string="DRAFT"/>
        </v:shape>
      </w:pict>
    </w:r>
  </w:p>
  <w:p w14:paraId="4C42A4C8" w14:textId="77777777" w:rsidR="007C19D5" w:rsidRDefault="007C19D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61FD2" w14:textId="63650F7E" w:rsidR="007C19D5" w:rsidRDefault="007C19D5">
    <w:pPr>
      <w:pStyle w:val="Header"/>
    </w:pPr>
    <w:r>
      <w:rPr>
        <w:noProof/>
      </w:rPr>
      <w:pict w14:anchorId="051DC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44" o:spid="_x0000_s2055" type="#_x0000_t136" style="position:absolute;margin-left:0;margin-top:0;width:402.1pt;height:241.25pt;rotation:315;z-index:-25164800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33516" w14:textId="0D4BFCA3" w:rsidR="007C19D5" w:rsidRDefault="007C19D5">
    <w:pPr>
      <w:pStyle w:val="Header"/>
    </w:pPr>
    <w:r>
      <w:rPr>
        <w:noProof/>
      </w:rPr>
      <w:pict w14:anchorId="7BE14C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45" o:spid="_x0000_s2056" type="#_x0000_t136" style="position:absolute;margin-left:0;margin-top:0;width:402.1pt;height:241.25pt;rotation:315;z-index:-25164595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8F758" w14:textId="22E2D654" w:rsidR="007C19D5" w:rsidRPr="00921090" w:rsidRDefault="00D60C4A" w:rsidP="00921090">
    <w:pPr>
      <w:pStyle w:val="Header"/>
    </w:pPr>
    <w:r>
      <w:rPr>
        <w:noProof/>
        <w:lang w:val="en-AU" w:eastAsia="en-AU"/>
      </w:rPr>
      <w:drawing>
        <wp:anchor distT="0" distB="0" distL="114300" distR="114300" simplePos="0" relativeHeight="251655166" behindDoc="1" locked="0" layoutInCell="1" allowOverlap="1" wp14:anchorId="73450BCF" wp14:editId="2A6570B0">
          <wp:simplePos x="0" y="0"/>
          <wp:positionH relativeFrom="page">
            <wp:align>right</wp:align>
          </wp:positionH>
          <wp:positionV relativeFrom="paragraph">
            <wp:posOffset>-450801</wp:posOffset>
          </wp:positionV>
          <wp:extent cx="7553963" cy="10680192"/>
          <wp:effectExtent l="0" t="0" r="8890" b="6985"/>
          <wp:wrapNone/>
          <wp:docPr id="168" name="Picture 168">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3" cy="10680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9D5">
      <w:rPr>
        <w:noProof/>
      </w:rPr>
      <w:pict w14:anchorId="72856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43" o:spid="_x0000_s2054" type="#_x0000_t136" style="position:absolute;margin-left:0;margin-top:0;width:402.1pt;height:241.25pt;rotation:315;z-index:-25165004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CFD9B" w14:textId="4B987196" w:rsidR="007C19D5" w:rsidRDefault="007C19D5">
    <w:pPr>
      <w:pStyle w:val="Header"/>
    </w:pPr>
    <w:r>
      <w:rPr>
        <w:noProof/>
      </w:rPr>
      <w:pict w14:anchorId="1BF61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47" o:spid="_x0000_s2058" type="#_x0000_t136" style="position:absolute;margin-left:0;margin-top:0;width:402.1pt;height:241.25pt;rotation:315;z-index:-25164185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093C6" w14:textId="381268DE" w:rsidR="007C19D5" w:rsidRDefault="007C19D5">
    <w:pPr>
      <w:pStyle w:val="Header"/>
    </w:pPr>
    <w:r>
      <w:rPr>
        <w:noProof/>
      </w:rPr>
      <w:pict w14:anchorId="466F5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48" o:spid="_x0000_s2059" type="#_x0000_t136" style="position:absolute;margin-left:0;margin-top:0;width:402.1pt;height:241.25pt;rotation:315;z-index:-25163980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EAA6D" w14:textId="19AF9CB5" w:rsidR="007C19D5" w:rsidRPr="00921090" w:rsidRDefault="007C19D5" w:rsidP="00921090">
    <w:pPr>
      <w:pStyle w:val="Header"/>
    </w:pPr>
    <w:r>
      <w:rPr>
        <w:noProof/>
      </w:rPr>
      <w:pict w14:anchorId="5020E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84646" o:spid="_x0000_s2057" type="#_x0000_t136" style="position:absolute;margin-left:0;margin-top:0;width:402.1pt;height:241.25pt;rotation:315;z-index:-251643904;mso-position-horizontal:center;mso-position-horizontal-relative:margin;mso-position-vertical:center;mso-position-vertical-relative:margin" o:allowincell="f" fillcolor="silver" stroked="f">
          <v:fill opacity=".5"/>
          <v:textpath style="font-family:&quot;Calibri&quot;;font-size:1pt" string="DRAFT"/>
        </v:shape>
      </w:pict>
    </w:r>
    <w:r>
      <w:rPr>
        <w:noProof/>
        <w:lang w:val="en-AU" w:eastAsia="en-AU"/>
      </w:rPr>
      <w:drawing>
        <wp:anchor distT="0" distB="0" distL="114300" distR="114300" simplePos="0" relativeHeight="251657216" behindDoc="1" locked="0" layoutInCell="1" allowOverlap="1" wp14:anchorId="336DE3E3" wp14:editId="19CC4619">
          <wp:simplePos x="0" y="0"/>
          <wp:positionH relativeFrom="column">
            <wp:posOffset>-575945</wp:posOffset>
          </wp:positionH>
          <wp:positionV relativeFrom="paragraph">
            <wp:posOffset>-450215</wp:posOffset>
          </wp:positionV>
          <wp:extent cx="7563917" cy="10694266"/>
          <wp:effectExtent l="0" t="0" r="0" b="0"/>
          <wp:wrapNone/>
          <wp:docPr id="101" name="Picture 101">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73" cy="1070805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59F3"/>
    <w:multiLevelType w:val="hybridMultilevel"/>
    <w:tmpl w:val="F96E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2B158E"/>
    <w:multiLevelType w:val="hybridMultilevel"/>
    <w:tmpl w:val="CE761F80"/>
    <w:lvl w:ilvl="0" w:tplc="1DCA459C">
      <w:start w:val="1"/>
      <w:numFmt w:val="bullet"/>
      <w:pStyle w:val="BulletList"/>
      <w:lvlText w:val=""/>
      <w:lvlJc w:val="left"/>
      <w:pPr>
        <w:ind w:left="360" w:hanging="360"/>
      </w:pPr>
      <w:rPr>
        <w:rFonts w:ascii="Wingdings 2" w:hAnsi="Wingdings 2" w:hint="default"/>
        <w:color w:val="004200" w:themeColor="accent1"/>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12253D18"/>
    <w:multiLevelType w:val="hybridMultilevel"/>
    <w:tmpl w:val="FCE21286"/>
    <w:lvl w:ilvl="0" w:tplc="16900E3A">
      <w:start w:val="1"/>
      <w:numFmt w:val="decimal"/>
      <w:pStyle w:val="NumberedList"/>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1B356966"/>
    <w:multiLevelType w:val="hybridMultilevel"/>
    <w:tmpl w:val="AC16520A"/>
    <w:lvl w:ilvl="0" w:tplc="D22A3E5C">
      <w:start w:val="1"/>
      <w:numFmt w:val="lowerLetter"/>
      <w:lvlText w:val="(%1)"/>
      <w:lvlJc w:val="left"/>
      <w:pPr>
        <w:ind w:left="929" w:hanging="645"/>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0337D70"/>
    <w:multiLevelType w:val="hybridMultilevel"/>
    <w:tmpl w:val="2F4018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25862C5D"/>
    <w:multiLevelType w:val="hybridMultilevel"/>
    <w:tmpl w:val="56E4F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AE10FE"/>
    <w:multiLevelType w:val="hybridMultilevel"/>
    <w:tmpl w:val="4B80D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787EB0"/>
    <w:multiLevelType w:val="multilevel"/>
    <w:tmpl w:val="E0F49F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C7A0C08"/>
    <w:multiLevelType w:val="hybridMultilevel"/>
    <w:tmpl w:val="767E2488"/>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9" w15:restartNumberingAfterBreak="0">
    <w:nsid w:val="5CF72939"/>
    <w:multiLevelType w:val="hybridMultilevel"/>
    <w:tmpl w:val="3FDE9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C22752"/>
    <w:multiLevelType w:val="hybridMultilevel"/>
    <w:tmpl w:val="4F585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753C01"/>
    <w:multiLevelType w:val="hybridMultilevel"/>
    <w:tmpl w:val="8D764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04210C"/>
    <w:multiLevelType w:val="hybridMultilevel"/>
    <w:tmpl w:val="1E2A7926"/>
    <w:lvl w:ilvl="0" w:tplc="18D4038E">
      <w:start w:val="1"/>
      <w:numFmt w:val="bullet"/>
      <w:pStyle w:val="BulletListRed"/>
      <w:lvlText w:val=""/>
      <w:lvlJc w:val="left"/>
      <w:pPr>
        <w:ind w:left="360" w:hanging="360"/>
      </w:pPr>
      <w:rPr>
        <w:rFonts w:ascii="Wingdings 2" w:hAnsi="Wingdings 2" w:hint="default"/>
        <w:color w:val="C40B46"/>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3" w15:restartNumberingAfterBreak="0">
    <w:nsid w:val="69897339"/>
    <w:multiLevelType w:val="hybridMultilevel"/>
    <w:tmpl w:val="A2F4D344"/>
    <w:lvl w:ilvl="0" w:tplc="7FFAF8CA">
      <w:start w:val="1"/>
      <w:numFmt w:val="lowerLetter"/>
      <w:pStyle w:val="LetterListLevel2"/>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7B6F2BF5"/>
    <w:multiLevelType w:val="hybridMultilevel"/>
    <w:tmpl w:val="EFBCAC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
  </w:num>
  <w:num w:numId="2">
    <w:abstractNumId w:val="12"/>
  </w:num>
  <w:num w:numId="3">
    <w:abstractNumId w:val="2"/>
  </w:num>
  <w:num w:numId="4">
    <w:abstractNumId w:val="13"/>
  </w:num>
  <w:num w:numId="5">
    <w:abstractNumId w:val="3"/>
  </w:num>
  <w:num w:numId="6">
    <w:abstractNumId w:val="9"/>
  </w:num>
  <w:num w:numId="7">
    <w:abstractNumId w:val="6"/>
  </w:num>
  <w:num w:numId="8">
    <w:abstractNumId w:val="8"/>
  </w:num>
  <w:num w:numId="9">
    <w:abstractNumId w:val="5"/>
  </w:num>
  <w:num w:numId="10">
    <w:abstractNumId w:val="0"/>
  </w:num>
  <w:num w:numId="11">
    <w:abstractNumId w:val="10"/>
  </w:num>
  <w:num w:numId="12">
    <w:abstractNumId w:val="14"/>
  </w:num>
  <w:num w:numId="13">
    <w:abstractNumId w:val="4"/>
  </w:num>
  <w:num w:numId="14">
    <w:abstractNumId w:val="11"/>
  </w:num>
  <w:num w:numId="1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425"/>
    <w:rsid w:val="00003568"/>
    <w:rsid w:val="0000386B"/>
    <w:rsid w:val="00005C32"/>
    <w:rsid w:val="0002128A"/>
    <w:rsid w:val="00025939"/>
    <w:rsid w:val="00032DD4"/>
    <w:rsid w:val="000343B3"/>
    <w:rsid w:val="00034806"/>
    <w:rsid w:val="000349A0"/>
    <w:rsid w:val="00044CF4"/>
    <w:rsid w:val="0005174D"/>
    <w:rsid w:val="00065050"/>
    <w:rsid w:val="000671C0"/>
    <w:rsid w:val="000706DA"/>
    <w:rsid w:val="00072D76"/>
    <w:rsid w:val="00076D8A"/>
    <w:rsid w:val="000811D3"/>
    <w:rsid w:val="00085F26"/>
    <w:rsid w:val="00087DB7"/>
    <w:rsid w:val="00094D64"/>
    <w:rsid w:val="000A00B7"/>
    <w:rsid w:val="000A45A2"/>
    <w:rsid w:val="000C0C57"/>
    <w:rsid w:val="000C23B7"/>
    <w:rsid w:val="000C7AAF"/>
    <w:rsid w:val="000D0B9E"/>
    <w:rsid w:val="000D2587"/>
    <w:rsid w:val="000D3CD2"/>
    <w:rsid w:val="000D4FCC"/>
    <w:rsid w:val="000D76CD"/>
    <w:rsid w:val="000E063B"/>
    <w:rsid w:val="000E1410"/>
    <w:rsid w:val="000E1C64"/>
    <w:rsid w:val="000E1EA5"/>
    <w:rsid w:val="000E3C8D"/>
    <w:rsid w:val="000E4E32"/>
    <w:rsid w:val="000E6EA6"/>
    <w:rsid w:val="000F10D9"/>
    <w:rsid w:val="000F2018"/>
    <w:rsid w:val="000F337C"/>
    <w:rsid w:val="000F3A39"/>
    <w:rsid w:val="000F5B57"/>
    <w:rsid w:val="00101542"/>
    <w:rsid w:val="00102FA9"/>
    <w:rsid w:val="00106EA5"/>
    <w:rsid w:val="00112811"/>
    <w:rsid w:val="00117196"/>
    <w:rsid w:val="00120DD2"/>
    <w:rsid w:val="00123FA6"/>
    <w:rsid w:val="001246D9"/>
    <w:rsid w:val="001279C8"/>
    <w:rsid w:val="00140BEE"/>
    <w:rsid w:val="001418F8"/>
    <w:rsid w:val="00142C12"/>
    <w:rsid w:val="00146F2D"/>
    <w:rsid w:val="001509D6"/>
    <w:rsid w:val="001513C7"/>
    <w:rsid w:val="00152262"/>
    <w:rsid w:val="00152E45"/>
    <w:rsid w:val="001603CA"/>
    <w:rsid w:val="0016065F"/>
    <w:rsid w:val="00162D7C"/>
    <w:rsid w:val="001632D2"/>
    <w:rsid w:val="00165571"/>
    <w:rsid w:val="00174FE9"/>
    <w:rsid w:val="00175022"/>
    <w:rsid w:val="00176655"/>
    <w:rsid w:val="001773EF"/>
    <w:rsid w:val="00183EF6"/>
    <w:rsid w:val="00184487"/>
    <w:rsid w:val="001905A8"/>
    <w:rsid w:val="00192240"/>
    <w:rsid w:val="00192376"/>
    <w:rsid w:val="00192DBA"/>
    <w:rsid w:val="0019336C"/>
    <w:rsid w:val="00195EA7"/>
    <w:rsid w:val="001A060A"/>
    <w:rsid w:val="001A068E"/>
    <w:rsid w:val="001A1A59"/>
    <w:rsid w:val="001B304E"/>
    <w:rsid w:val="001C1116"/>
    <w:rsid w:val="001C19B9"/>
    <w:rsid w:val="001C2002"/>
    <w:rsid w:val="001C21EF"/>
    <w:rsid w:val="001C455D"/>
    <w:rsid w:val="001C5D13"/>
    <w:rsid w:val="001C6916"/>
    <w:rsid w:val="001D1734"/>
    <w:rsid w:val="001D18BA"/>
    <w:rsid w:val="001D2709"/>
    <w:rsid w:val="001D3D6A"/>
    <w:rsid w:val="001D5186"/>
    <w:rsid w:val="001D66D0"/>
    <w:rsid w:val="001D7053"/>
    <w:rsid w:val="001E2295"/>
    <w:rsid w:val="001E5D14"/>
    <w:rsid w:val="001F025F"/>
    <w:rsid w:val="001F20F8"/>
    <w:rsid w:val="001F2678"/>
    <w:rsid w:val="001F2A57"/>
    <w:rsid w:val="001F3404"/>
    <w:rsid w:val="001F35A3"/>
    <w:rsid w:val="001F5215"/>
    <w:rsid w:val="001F66A6"/>
    <w:rsid w:val="0020026C"/>
    <w:rsid w:val="00201BE1"/>
    <w:rsid w:val="00204269"/>
    <w:rsid w:val="002076C8"/>
    <w:rsid w:val="00207D65"/>
    <w:rsid w:val="0021434C"/>
    <w:rsid w:val="002153A4"/>
    <w:rsid w:val="002173D9"/>
    <w:rsid w:val="00221F83"/>
    <w:rsid w:val="00222230"/>
    <w:rsid w:val="00224BD0"/>
    <w:rsid w:val="002251CE"/>
    <w:rsid w:val="00230369"/>
    <w:rsid w:val="0023231E"/>
    <w:rsid w:val="00232B60"/>
    <w:rsid w:val="00233741"/>
    <w:rsid w:val="00234F1C"/>
    <w:rsid w:val="00237DF0"/>
    <w:rsid w:val="00240B13"/>
    <w:rsid w:val="00241EF6"/>
    <w:rsid w:val="0024225D"/>
    <w:rsid w:val="00244B06"/>
    <w:rsid w:val="00250267"/>
    <w:rsid w:val="002519E6"/>
    <w:rsid w:val="00251EEE"/>
    <w:rsid w:val="002547DD"/>
    <w:rsid w:val="00257AC3"/>
    <w:rsid w:val="00271585"/>
    <w:rsid w:val="002740E7"/>
    <w:rsid w:val="002826D1"/>
    <w:rsid w:val="002902AE"/>
    <w:rsid w:val="00293419"/>
    <w:rsid w:val="002A332F"/>
    <w:rsid w:val="002A5411"/>
    <w:rsid w:val="002A6E3E"/>
    <w:rsid w:val="002B39EA"/>
    <w:rsid w:val="002B4062"/>
    <w:rsid w:val="002C04D3"/>
    <w:rsid w:val="002C0C48"/>
    <w:rsid w:val="002C5315"/>
    <w:rsid w:val="002D04D0"/>
    <w:rsid w:val="002D10FC"/>
    <w:rsid w:val="002D23FF"/>
    <w:rsid w:val="002D2B53"/>
    <w:rsid w:val="002D3F34"/>
    <w:rsid w:val="002D411B"/>
    <w:rsid w:val="002D6632"/>
    <w:rsid w:val="002E042E"/>
    <w:rsid w:val="002E0513"/>
    <w:rsid w:val="002E052A"/>
    <w:rsid w:val="002E45F7"/>
    <w:rsid w:val="002F4911"/>
    <w:rsid w:val="002F6419"/>
    <w:rsid w:val="003001E7"/>
    <w:rsid w:val="00300B00"/>
    <w:rsid w:val="00301BE5"/>
    <w:rsid w:val="00302223"/>
    <w:rsid w:val="00304751"/>
    <w:rsid w:val="0030557D"/>
    <w:rsid w:val="0030760B"/>
    <w:rsid w:val="003171DA"/>
    <w:rsid w:val="00322132"/>
    <w:rsid w:val="00323349"/>
    <w:rsid w:val="003256F4"/>
    <w:rsid w:val="0032639E"/>
    <w:rsid w:val="003272D4"/>
    <w:rsid w:val="00327592"/>
    <w:rsid w:val="00331BB7"/>
    <w:rsid w:val="00331D8F"/>
    <w:rsid w:val="00331F88"/>
    <w:rsid w:val="00332CD7"/>
    <w:rsid w:val="00335F6F"/>
    <w:rsid w:val="00336B32"/>
    <w:rsid w:val="003379C5"/>
    <w:rsid w:val="00340674"/>
    <w:rsid w:val="0034263C"/>
    <w:rsid w:val="003446B3"/>
    <w:rsid w:val="00345AA3"/>
    <w:rsid w:val="00346F60"/>
    <w:rsid w:val="003671F9"/>
    <w:rsid w:val="00373EEA"/>
    <w:rsid w:val="00375C45"/>
    <w:rsid w:val="00376977"/>
    <w:rsid w:val="003775CE"/>
    <w:rsid w:val="00386DF0"/>
    <w:rsid w:val="00387EAD"/>
    <w:rsid w:val="003929A2"/>
    <w:rsid w:val="00393934"/>
    <w:rsid w:val="0039593B"/>
    <w:rsid w:val="003A0345"/>
    <w:rsid w:val="003A0431"/>
    <w:rsid w:val="003A0514"/>
    <w:rsid w:val="003A06CF"/>
    <w:rsid w:val="003A0EDC"/>
    <w:rsid w:val="003A1069"/>
    <w:rsid w:val="003A1FE7"/>
    <w:rsid w:val="003A6CD5"/>
    <w:rsid w:val="003B064C"/>
    <w:rsid w:val="003B17C3"/>
    <w:rsid w:val="003B6A8D"/>
    <w:rsid w:val="003B6AB0"/>
    <w:rsid w:val="003B6FF9"/>
    <w:rsid w:val="003C1752"/>
    <w:rsid w:val="003C3149"/>
    <w:rsid w:val="003C360C"/>
    <w:rsid w:val="003C5BDE"/>
    <w:rsid w:val="003C75CD"/>
    <w:rsid w:val="003D04E5"/>
    <w:rsid w:val="003D0E4E"/>
    <w:rsid w:val="003D2DE6"/>
    <w:rsid w:val="003D3342"/>
    <w:rsid w:val="003D36E8"/>
    <w:rsid w:val="003E1DB6"/>
    <w:rsid w:val="003E2CAF"/>
    <w:rsid w:val="003E2CEB"/>
    <w:rsid w:val="003E49E8"/>
    <w:rsid w:val="003E7382"/>
    <w:rsid w:val="003F64E0"/>
    <w:rsid w:val="003F66C4"/>
    <w:rsid w:val="003F7B4C"/>
    <w:rsid w:val="00403EEA"/>
    <w:rsid w:val="00406FED"/>
    <w:rsid w:val="00407E3B"/>
    <w:rsid w:val="00411C04"/>
    <w:rsid w:val="004157ED"/>
    <w:rsid w:val="0041597D"/>
    <w:rsid w:val="00415CFD"/>
    <w:rsid w:val="004166C4"/>
    <w:rsid w:val="00422625"/>
    <w:rsid w:val="00422C09"/>
    <w:rsid w:val="00425666"/>
    <w:rsid w:val="004263CB"/>
    <w:rsid w:val="004264A3"/>
    <w:rsid w:val="004312F8"/>
    <w:rsid w:val="00431C95"/>
    <w:rsid w:val="00434BAD"/>
    <w:rsid w:val="00442DE1"/>
    <w:rsid w:val="0044581D"/>
    <w:rsid w:val="004469EE"/>
    <w:rsid w:val="0044707D"/>
    <w:rsid w:val="00451296"/>
    <w:rsid w:val="004609B2"/>
    <w:rsid w:val="00463C6B"/>
    <w:rsid w:val="00463DE9"/>
    <w:rsid w:val="00473722"/>
    <w:rsid w:val="004765C2"/>
    <w:rsid w:val="00476F79"/>
    <w:rsid w:val="0048298B"/>
    <w:rsid w:val="00483308"/>
    <w:rsid w:val="004845DD"/>
    <w:rsid w:val="004902F2"/>
    <w:rsid w:val="004907F2"/>
    <w:rsid w:val="00490FD2"/>
    <w:rsid w:val="0049390C"/>
    <w:rsid w:val="00493C16"/>
    <w:rsid w:val="00495635"/>
    <w:rsid w:val="004A1EB6"/>
    <w:rsid w:val="004A5D6D"/>
    <w:rsid w:val="004A7522"/>
    <w:rsid w:val="004A7C26"/>
    <w:rsid w:val="004B435E"/>
    <w:rsid w:val="004B63D2"/>
    <w:rsid w:val="004C0463"/>
    <w:rsid w:val="004C1CAE"/>
    <w:rsid w:val="004C3A5D"/>
    <w:rsid w:val="004C50B6"/>
    <w:rsid w:val="004C6F42"/>
    <w:rsid w:val="004D2793"/>
    <w:rsid w:val="004D2B17"/>
    <w:rsid w:val="004D35F4"/>
    <w:rsid w:val="004D4FF4"/>
    <w:rsid w:val="004D7EAA"/>
    <w:rsid w:val="004E36BC"/>
    <w:rsid w:val="004F1E32"/>
    <w:rsid w:val="004F2637"/>
    <w:rsid w:val="004F5356"/>
    <w:rsid w:val="004F5F80"/>
    <w:rsid w:val="004F78B1"/>
    <w:rsid w:val="0050000A"/>
    <w:rsid w:val="00501115"/>
    <w:rsid w:val="00502E78"/>
    <w:rsid w:val="005039B8"/>
    <w:rsid w:val="00507AF9"/>
    <w:rsid w:val="005100E9"/>
    <w:rsid w:val="005120C9"/>
    <w:rsid w:val="00512D26"/>
    <w:rsid w:val="005154CD"/>
    <w:rsid w:val="0051790C"/>
    <w:rsid w:val="00522B44"/>
    <w:rsid w:val="005242C3"/>
    <w:rsid w:val="005249C3"/>
    <w:rsid w:val="00534E98"/>
    <w:rsid w:val="005364DF"/>
    <w:rsid w:val="00540529"/>
    <w:rsid w:val="005416C7"/>
    <w:rsid w:val="005429C1"/>
    <w:rsid w:val="00545310"/>
    <w:rsid w:val="005469BA"/>
    <w:rsid w:val="00547ED5"/>
    <w:rsid w:val="00551117"/>
    <w:rsid w:val="00552E8B"/>
    <w:rsid w:val="005551A0"/>
    <w:rsid w:val="00561AAC"/>
    <w:rsid w:val="00573167"/>
    <w:rsid w:val="00573730"/>
    <w:rsid w:val="00581DA5"/>
    <w:rsid w:val="00583ACF"/>
    <w:rsid w:val="005849A1"/>
    <w:rsid w:val="0058522D"/>
    <w:rsid w:val="005923EB"/>
    <w:rsid w:val="00592FD9"/>
    <w:rsid w:val="005955AC"/>
    <w:rsid w:val="005964CC"/>
    <w:rsid w:val="005A492B"/>
    <w:rsid w:val="005A4F46"/>
    <w:rsid w:val="005A58D4"/>
    <w:rsid w:val="005B6F51"/>
    <w:rsid w:val="005C0C3F"/>
    <w:rsid w:val="005C0EE6"/>
    <w:rsid w:val="005C2148"/>
    <w:rsid w:val="005C4EE5"/>
    <w:rsid w:val="005C4F7E"/>
    <w:rsid w:val="005C7459"/>
    <w:rsid w:val="005C77D7"/>
    <w:rsid w:val="005D1EC4"/>
    <w:rsid w:val="005E5417"/>
    <w:rsid w:val="005F5E70"/>
    <w:rsid w:val="005F6B77"/>
    <w:rsid w:val="006032E5"/>
    <w:rsid w:val="00610BE1"/>
    <w:rsid w:val="00612810"/>
    <w:rsid w:val="00612DB2"/>
    <w:rsid w:val="006130DD"/>
    <w:rsid w:val="0061325A"/>
    <w:rsid w:val="0061729A"/>
    <w:rsid w:val="00620DB1"/>
    <w:rsid w:val="00622F83"/>
    <w:rsid w:val="00622F90"/>
    <w:rsid w:val="0062501B"/>
    <w:rsid w:val="006263CF"/>
    <w:rsid w:val="00627D00"/>
    <w:rsid w:val="00631851"/>
    <w:rsid w:val="0063398B"/>
    <w:rsid w:val="006340A1"/>
    <w:rsid w:val="00634800"/>
    <w:rsid w:val="00634F49"/>
    <w:rsid w:val="006407A6"/>
    <w:rsid w:val="006414B5"/>
    <w:rsid w:val="00643239"/>
    <w:rsid w:val="006445A2"/>
    <w:rsid w:val="00644B0B"/>
    <w:rsid w:val="00646CCD"/>
    <w:rsid w:val="00647818"/>
    <w:rsid w:val="00653433"/>
    <w:rsid w:val="00654094"/>
    <w:rsid w:val="00655947"/>
    <w:rsid w:val="00660FD9"/>
    <w:rsid w:val="006658B4"/>
    <w:rsid w:val="00670636"/>
    <w:rsid w:val="00670AC5"/>
    <w:rsid w:val="00672621"/>
    <w:rsid w:val="0067348E"/>
    <w:rsid w:val="00675709"/>
    <w:rsid w:val="0068111E"/>
    <w:rsid w:val="00690A72"/>
    <w:rsid w:val="0069135E"/>
    <w:rsid w:val="006913AA"/>
    <w:rsid w:val="006954BF"/>
    <w:rsid w:val="006A32AC"/>
    <w:rsid w:val="006A3D8A"/>
    <w:rsid w:val="006A6E42"/>
    <w:rsid w:val="006B1C99"/>
    <w:rsid w:val="006B4236"/>
    <w:rsid w:val="006D4EBB"/>
    <w:rsid w:val="006D630B"/>
    <w:rsid w:val="006D6E5D"/>
    <w:rsid w:val="006E7666"/>
    <w:rsid w:val="006F15C4"/>
    <w:rsid w:val="006F15CD"/>
    <w:rsid w:val="006F1BCC"/>
    <w:rsid w:val="006F5E26"/>
    <w:rsid w:val="006F72B6"/>
    <w:rsid w:val="00702100"/>
    <w:rsid w:val="00703542"/>
    <w:rsid w:val="00704077"/>
    <w:rsid w:val="00706C1C"/>
    <w:rsid w:val="00713C55"/>
    <w:rsid w:val="007157C0"/>
    <w:rsid w:val="00715FF5"/>
    <w:rsid w:val="00717397"/>
    <w:rsid w:val="00717B7D"/>
    <w:rsid w:val="00724B93"/>
    <w:rsid w:val="00726987"/>
    <w:rsid w:val="0073236A"/>
    <w:rsid w:val="007354E9"/>
    <w:rsid w:val="0073639D"/>
    <w:rsid w:val="00740F4B"/>
    <w:rsid w:val="00743FDC"/>
    <w:rsid w:val="00747C2D"/>
    <w:rsid w:val="00747D86"/>
    <w:rsid w:val="00751CEA"/>
    <w:rsid w:val="007546EA"/>
    <w:rsid w:val="00755FA6"/>
    <w:rsid w:val="00763105"/>
    <w:rsid w:val="00764CDE"/>
    <w:rsid w:val="00765328"/>
    <w:rsid w:val="0076688C"/>
    <w:rsid w:val="00775683"/>
    <w:rsid w:val="0077642E"/>
    <w:rsid w:val="007769A7"/>
    <w:rsid w:val="00776EF1"/>
    <w:rsid w:val="00777A99"/>
    <w:rsid w:val="0078011A"/>
    <w:rsid w:val="0078102C"/>
    <w:rsid w:val="00781721"/>
    <w:rsid w:val="00781A27"/>
    <w:rsid w:val="007822C8"/>
    <w:rsid w:val="00785D3A"/>
    <w:rsid w:val="00786AC4"/>
    <w:rsid w:val="0079053B"/>
    <w:rsid w:val="007918BB"/>
    <w:rsid w:val="00794654"/>
    <w:rsid w:val="007A518A"/>
    <w:rsid w:val="007A572F"/>
    <w:rsid w:val="007A5CB7"/>
    <w:rsid w:val="007A5E17"/>
    <w:rsid w:val="007B1B2C"/>
    <w:rsid w:val="007B213D"/>
    <w:rsid w:val="007B2D5B"/>
    <w:rsid w:val="007B47FB"/>
    <w:rsid w:val="007B5C43"/>
    <w:rsid w:val="007B5DE8"/>
    <w:rsid w:val="007B61BD"/>
    <w:rsid w:val="007C0F47"/>
    <w:rsid w:val="007C19D5"/>
    <w:rsid w:val="007C27C4"/>
    <w:rsid w:val="007C28D2"/>
    <w:rsid w:val="007C308C"/>
    <w:rsid w:val="007C7A48"/>
    <w:rsid w:val="007E5D5A"/>
    <w:rsid w:val="007F2290"/>
    <w:rsid w:val="007F3475"/>
    <w:rsid w:val="007F3DF6"/>
    <w:rsid w:val="00803AC1"/>
    <w:rsid w:val="0081100E"/>
    <w:rsid w:val="00811F1B"/>
    <w:rsid w:val="00812710"/>
    <w:rsid w:val="00815CE3"/>
    <w:rsid w:val="00821964"/>
    <w:rsid w:val="00821F4B"/>
    <w:rsid w:val="008220D1"/>
    <w:rsid w:val="00824139"/>
    <w:rsid w:val="00836334"/>
    <w:rsid w:val="0083784C"/>
    <w:rsid w:val="00837B80"/>
    <w:rsid w:val="00842F1B"/>
    <w:rsid w:val="00845D93"/>
    <w:rsid w:val="00847341"/>
    <w:rsid w:val="00851736"/>
    <w:rsid w:val="0085315E"/>
    <w:rsid w:val="00853CED"/>
    <w:rsid w:val="0085648F"/>
    <w:rsid w:val="00867526"/>
    <w:rsid w:val="00867C5E"/>
    <w:rsid w:val="00876A11"/>
    <w:rsid w:val="00883D08"/>
    <w:rsid w:val="008843C3"/>
    <w:rsid w:val="00884E88"/>
    <w:rsid w:val="0088784B"/>
    <w:rsid w:val="00887994"/>
    <w:rsid w:val="00891F4F"/>
    <w:rsid w:val="0089565B"/>
    <w:rsid w:val="00895B25"/>
    <w:rsid w:val="00897174"/>
    <w:rsid w:val="008A09F6"/>
    <w:rsid w:val="008A3D68"/>
    <w:rsid w:val="008B006D"/>
    <w:rsid w:val="008B0722"/>
    <w:rsid w:val="008B0EB3"/>
    <w:rsid w:val="008C27E4"/>
    <w:rsid w:val="008C3BD0"/>
    <w:rsid w:val="008C5E38"/>
    <w:rsid w:val="008D0462"/>
    <w:rsid w:val="008D0838"/>
    <w:rsid w:val="008D11FE"/>
    <w:rsid w:val="008E1D67"/>
    <w:rsid w:val="008E1D96"/>
    <w:rsid w:val="008E34B7"/>
    <w:rsid w:val="008E68F0"/>
    <w:rsid w:val="008F1F5A"/>
    <w:rsid w:val="008F34AB"/>
    <w:rsid w:val="008F5561"/>
    <w:rsid w:val="009001F7"/>
    <w:rsid w:val="00904B17"/>
    <w:rsid w:val="009051E6"/>
    <w:rsid w:val="00911172"/>
    <w:rsid w:val="00911B5C"/>
    <w:rsid w:val="0091323E"/>
    <w:rsid w:val="00914210"/>
    <w:rsid w:val="00921090"/>
    <w:rsid w:val="00922A03"/>
    <w:rsid w:val="00926801"/>
    <w:rsid w:val="00927701"/>
    <w:rsid w:val="00930D1C"/>
    <w:rsid w:val="0093107B"/>
    <w:rsid w:val="0093294A"/>
    <w:rsid w:val="00942581"/>
    <w:rsid w:val="00944C6D"/>
    <w:rsid w:val="00947202"/>
    <w:rsid w:val="009549D8"/>
    <w:rsid w:val="00956C9B"/>
    <w:rsid w:val="00960BD0"/>
    <w:rsid w:val="00962751"/>
    <w:rsid w:val="009632DF"/>
    <w:rsid w:val="00963C9E"/>
    <w:rsid w:val="00963D3C"/>
    <w:rsid w:val="00965A03"/>
    <w:rsid w:val="00966587"/>
    <w:rsid w:val="009717CD"/>
    <w:rsid w:val="009772DD"/>
    <w:rsid w:val="00983D0C"/>
    <w:rsid w:val="009844D6"/>
    <w:rsid w:val="009900CC"/>
    <w:rsid w:val="00990D12"/>
    <w:rsid w:val="0099265E"/>
    <w:rsid w:val="00992CEC"/>
    <w:rsid w:val="0099362F"/>
    <w:rsid w:val="009942BC"/>
    <w:rsid w:val="009A1831"/>
    <w:rsid w:val="009A2614"/>
    <w:rsid w:val="009A3B26"/>
    <w:rsid w:val="009A3D64"/>
    <w:rsid w:val="009B2565"/>
    <w:rsid w:val="009B33AA"/>
    <w:rsid w:val="009B471C"/>
    <w:rsid w:val="009B5464"/>
    <w:rsid w:val="009B6B6A"/>
    <w:rsid w:val="009C246A"/>
    <w:rsid w:val="009C578E"/>
    <w:rsid w:val="009C57BE"/>
    <w:rsid w:val="009C76B9"/>
    <w:rsid w:val="009C7F41"/>
    <w:rsid w:val="009D5533"/>
    <w:rsid w:val="009D704B"/>
    <w:rsid w:val="009D7F61"/>
    <w:rsid w:val="009E06F3"/>
    <w:rsid w:val="009E0ECB"/>
    <w:rsid w:val="009E36BB"/>
    <w:rsid w:val="009E4F94"/>
    <w:rsid w:val="009E6911"/>
    <w:rsid w:val="009F09C6"/>
    <w:rsid w:val="009F29FE"/>
    <w:rsid w:val="009F4FB2"/>
    <w:rsid w:val="009F61CB"/>
    <w:rsid w:val="009F67B5"/>
    <w:rsid w:val="009F795A"/>
    <w:rsid w:val="009F7EA4"/>
    <w:rsid w:val="00A0020F"/>
    <w:rsid w:val="00A025B6"/>
    <w:rsid w:val="00A049CB"/>
    <w:rsid w:val="00A04C9D"/>
    <w:rsid w:val="00A100C7"/>
    <w:rsid w:val="00A118B2"/>
    <w:rsid w:val="00A16499"/>
    <w:rsid w:val="00A21303"/>
    <w:rsid w:val="00A222FB"/>
    <w:rsid w:val="00A24CA9"/>
    <w:rsid w:val="00A267FF"/>
    <w:rsid w:val="00A34D87"/>
    <w:rsid w:val="00A35D67"/>
    <w:rsid w:val="00A368CB"/>
    <w:rsid w:val="00A45014"/>
    <w:rsid w:val="00A45A17"/>
    <w:rsid w:val="00A47820"/>
    <w:rsid w:val="00A51EFB"/>
    <w:rsid w:val="00A53D9F"/>
    <w:rsid w:val="00A57283"/>
    <w:rsid w:val="00A618AF"/>
    <w:rsid w:val="00A622A1"/>
    <w:rsid w:val="00A62E3A"/>
    <w:rsid w:val="00A633CB"/>
    <w:rsid w:val="00A651DC"/>
    <w:rsid w:val="00A73127"/>
    <w:rsid w:val="00A77249"/>
    <w:rsid w:val="00A7773F"/>
    <w:rsid w:val="00A77ACD"/>
    <w:rsid w:val="00A821E4"/>
    <w:rsid w:val="00A83363"/>
    <w:rsid w:val="00A85A0F"/>
    <w:rsid w:val="00A86971"/>
    <w:rsid w:val="00A915A6"/>
    <w:rsid w:val="00AA0283"/>
    <w:rsid w:val="00AA7818"/>
    <w:rsid w:val="00AC14AD"/>
    <w:rsid w:val="00AC2E7E"/>
    <w:rsid w:val="00AC3425"/>
    <w:rsid w:val="00AC4D61"/>
    <w:rsid w:val="00AC57C4"/>
    <w:rsid w:val="00AC6155"/>
    <w:rsid w:val="00AC7A72"/>
    <w:rsid w:val="00AD0075"/>
    <w:rsid w:val="00AD2EA2"/>
    <w:rsid w:val="00AD6011"/>
    <w:rsid w:val="00AD7478"/>
    <w:rsid w:val="00AD75B9"/>
    <w:rsid w:val="00AE0B35"/>
    <w:rsid w:val="00AE1A12"/>
    <w:rsid w:val="00AF1C6A"/>
    <w:rsid w:val="00AF2A8D"/>
    <w:rsid w:val="00AF340D"/>
    <w:rsid w:val="00AF7F11"/>
    <w:rsid w:val="00B00143"/>
    <w:rsid w:val="00B018CB"/>
    <w:rsid w:val="00B041B9"/>
    <w:rsid w:val="00B07DA3"/>
    <w:rsid w:val="00B07F12"/>
    <w:rsid w:val="00B110D1"/>
    <w:rsid w:val="00B137D7"/>
    <w:rsid w:val="00B13ADE"/>
    <w:rsid w:val="00B15A69"/>
    <w:rsid w:val="00B15CDF"/>
    <w:rsid w:val="00B16A97"/>
    <w:rsid w:val="00B17E88"/>
    <w:rsid w:val="00B23B0B"/>
    <w:rsid w:val="00B25BA3"/>
    <w:rsid w:val="00B32BC2"/>
    <w:rsid w:val="00B3358F"/>
    <w:rsid w:val="00B33832"/>
    <w:rsid w:val="00B37BD2"/>
    <w:rsid w:val="00B40758"/>
    <w:rsid w:val="00B41020"/>
    <w:rsid w:val="00B44D6E"/>
    <w:rsid w:val="00B46B11"/>
    <w:rsid w:val="00B51040"/>
    <w:rsid w:val="00B526FB"/>
    <w:rsid w:val="00B54F8C"/>
    <w:rsid w:val="00B60060"/>
    <w:rsid w:val="00B60C07"/>
    <w:rsid w:val="00B61BC7"/>
    <w:rsid w:val="00B65B4C"/>
    <w:rsid w:val="00B6681E"/>
    <w:rsid w:val="00B73C6E"/>
    <w:rsid w:val="00B8138A"/>
    <w:rsid w:val="00B82FD5"/>
    <w:rsid w:val="00B871CF"/>
    <w:rsid w:val="00B873D1"/>
    <w:rsid w:val="00B91A4E"/>
    <w:rsid w:val="00B92153"/>
    <w:rsid w:val="00BA3B6A"/>
    <w:rsid w:val="00BA4A46"/>
    <w:rsid w:val="00BA7D53"/>
    <w:rsid w:val="00BB03C8"/>
    <w:rsid w:val="00BB3F69"/>
    <w:rsid w:val="00BB4B75"/>
    <w:rsid w:val="00BB6E2E"/>
    <w:rsid w:val="00BB7540"/>
    <w:rsid w:val="00BC2280"/>
    <w:rsid w:val="00BD15FC"/>
    <w:rsid w:val="00BD5884"/>
    <w:rsid w:val="00BD7B76"/>
    <w:rsid w:val="00BE145A"/>
    <w:rsid w:val="00BE4EDA"/>
    <w:rsid w:val="00BE53E2"/>
    <w:rsid w:val="00BE5AC3"/>
    <w:rsid w:val="00BF4B74"/>
    <w:rsid w:val="00BF4BB9"/>
    <w:rsid w:val="00BF5F27"/>
    <w:rsid w:val="00C05A7A"/>
    <w:rsid w:val="00C0606E"/>
    <w:rsid w:val="00C06E40"/>
    <w:rsid w:val="00C10E6A"/>
    <w:rsid w:val="00C14CEA"/>
    <w:rsid w:val="00C16C0B"/>
    <w:rsid w:val="00C17DDE"/>
    <w:rsid w:val="00C20507"/>
    <w:rsid w:val="00C20D48"/>
    <w:rsid w:val="00C21CC2"/>
    <w:rsid w:val="00C23C26"/>
    <w:rsid w:val="00C24F24"/>
    <w:rsid w:val="00C25C25"/>
    <w:rsid w:val="00C26DDB"/>
    <w:rsid w:val="00C27B65"/>
    <w:rsid w:val="00C31DFE"/>
    <w:rsid w:val="00C3545C"/>
    <w:rsid w:val="00C408EF"/>
    <w:rsid w:val="00C41D67"/>
    <w:rsid w:val="00C439AD"/>
    <w:rsid w:val="00C43C01"/>
    <w:rsid w:val="00C5526D"/>
    <w:rsid w:val="00C636B9"/>
    <w:rsid w:val="00C63855"/>
    <w:rsid w:val="00C63AD3"/>
    <w:rsid w:val="00C70FB1"/>
    <w:rsid w:val="00C74FD2"/>
    <w:rsid w:val="00C75448"/>
    <w:rsid w:val="00C76713"/>
    <w:rsid w:val="00C776C4"/>
    <w:rsid w:val="00C81AAE"/>
    <w:rsid w:val="00C81CB1"/>
    <w:rsid w:val="00C90D48"/>
    <w:rsid w:val="00C923D5"/>
    <w:rsid w:val="00C94BFD"/>
    <w:rsid w:val="00CA16D3"/>
    <w:rsid w:val="00CA258C"/>
    <w:rsid w:val="00CA2E8C"/>
    <w:rsid w:val="00CA6CDC"/>
    <w:rsid w:val="00CB2620"/>
    <w:rsid w:val="00CB37EF"/>
    <w:rsid w:val="00CB7918"/>
    <w:rsid w:val="00CC055E"/>
    <w:rsid w:val="00CD3EF3"/>
    <w:rsid w:val="00CE0D3F"/>
    <w:rsid w:val="00CE28D7"/>
    <w:rsid w:val="00CE3A23"/>
    <w:rsid w:val="00CE5D00"/>
    <w:rsid w:val="00CF1522"/>
    <w:rsid w:val="00CF2A0F"/>
    <w:rsid w:val="00CF2EB8"/>
    <w:rsid w:val="00CF3AD1"/>
    <w:rsid w:val="00CF6DCC"/>
    <w:rsid w:val="00CF79C8"/>
    <w:rsid w:val="00D01537"/>
    <w:rsid w:val="00D02012"/>
    <w:rsid w:val="00D031F9"/>
    <w:rsid w:val="00D0562C"/>
    <w:rsid w:val="00D17B9B"/>
    <w:rsid w:val="00D225BA"/>
    <w:rsid w:val="00D318E5"/>
    <w:rsid w:val="00D32344"/>
    <w:rsid w:val="00D33F87"/>
    <w:rsid w:val="00D35626"/>
    <w:rsid w:val="00D40C16"/>
    <w:rsid w:val="00D41686"/>
    <w:rsid w:val="00D41F1C"/>
    <w:rsid w:val="00D45187"/>
    <w:rsid w:val="00D46745"/>
    <w:rsid w:val="00D47E53"/>
    <w:rsid w:val="00D50763"/>
    <w:rsid w:val="00D508FF"/>
    <w:rsid w:val="00D53EDC"/>
    <w:rsid w:val="00D60A26"/>
    <w:rsid w:val="00D60C4A"/>
    <w:rsid w:val="00D62499"/>
    <w:rsid w:val="00D66E29"/>
    <w:rsid w:val="00D672CA"/>
    <w:rsid w:val="00D76BF7"/>
    <w:rsid w:val="00D8276B"/>
    <w:rsid w:val="00D82B56"/>
    <w:rsid w:val="00D95A73"/>
    <w:rsid w:val="00DA03AB"/>
    <w:rsid w:val="00DA0630"/>
    <w:rsid w:val="00DA4045"/>
    <w:rsid w:val="00DA4D13"/>
    <w:rsid w:val="00DB0745"/>
    <w:rsid w:val="00DB08EF"/>
    <w:rsid w:val="00DB344E"/>
    <w:rsid w:val="00DB4A75"/>
    <w:rsid w:val="00DB4CE1"/>
    <w:rsid w:val="00DB4F85"/>
    <w:rsid w:val="00DB58E1"/>
    <w:rsid w:val="00DB6B01"/>
    <w:rsid w:val="00DB6B76"/>
    <w:rsid w:val="00DB71A2"/>
    <w:rsid w:val="00DC130E"/>
    <w:rsid w:val="00DC2900"/>
    <w:rsid w:val="00DC7880"/>
    <w:rsid w:val="00DD0FD5"/>
    <w:rsid w:val="00DD3BB5"/>
    <w:rsid w:val="00DD4962"/>
    <w:rsid w:val="00DD6C60"/>
    <w:rsid w:val="00DE3732"/>
    <w:rsid w:val="00DF1AB7"/>
    <w:rsid w:val="00DF6317"/>
    <w:rsid w:val="00DF6894"/>
    <w:rsid w:val="00E0310A"/>
    <w:rsid w:val="00E11AE6"/>
    <w:rsid w:val="00E13E37"/>
    <w:rsid w:val="00E16DC1"/>
    <w:rsid w:val="00E2081E"/>
    <w:rsid w:val="00E219A0"/>
    <w:rsid w:val="00E23E90"/>
    <w:rsid w:val="00E30966"/>
    <w:rsid w:val="00E32D2C"/>
    <w:rsid w:val="00E402D6"/>
    <w:rsid w:val="00E42CF9"/>
    <w:rsid w:val="00E45BFA"/>
    <w:rsid w:val="00E53F1F"/>
    <w:rsid w:val="00E546E5"/>
    <w:rsid w:val="00E554EB"/>
    <w:rsid w:val="00E55D1A"/>
    <w:rsid w:val="00E641FD"/>
    <w:rsid w:val="00E650C2"/>
    <w:rsid w:val="00E71328"/>
    <w:rsid w:val="00E73BEB"/>
    <w:rsid w:val="00E77CA0"/>
    <w:rsid w:val="00E80995"/>
    <w:rsid w:val="00E824C7"/>
    <w:rsid w:val="00E83961"/>
    <w:rsid w:val="00E84DCE"/>
    <w:rsid w:val="00E85C8F"/>
    <w:rsid w:val="00E86ADD"/>
    <w:rsid w:val="00E87BB2"/>
    <w:rsid w:val="00E93D8F"/>
    <w:rsid w:val="00E96333"/>
    <w:rsid w:val="00E973C6"/>
    <w:rsid w:val="00EA1F41"/>
    <w:rsid w:val="00EA1FAA"/>
    <w:rsid w:val="00EA50F7"/>
    <w:rsid w:val="00EB174F"/>
    <w:rsid w:val="00EC166B"/>
    <w:rsid w:val="00EC2379"/>
    <w:rsid w:val="00EC2ECF"/>
    <w:rsid w:val="00ED668F"/>
    <w:rsid w:val="00EE37FF"/>
    <w:rsid w:val="00EE6567"/>
    <w:rsid w:val="00EE7C86"/>
    <w:rsid w:val="00EF2D44"/>
    <w:rsid w:val="00EF2E68"/>
    <w:rsid w:val="00EF34BA"/>
    <w:rsid w:val="00EF407D"/>
    <w:rsid w:val="00F00E1D"/>
    <w:rsid w:val="00F048EB"/>
    <w:rsid w:val="00F135FB"/>
    <w:rsid w:val="00F16182"/>
    <w:rsid w:val="00F22076"/>
    <w:rsid w:val="00F2222D"/>
    <w:rsid w:val="00F25661"/>
    <w:rsid w:val="00F26893"/>
    <w:rsid w:val="00F2693E"/>
    <w:rsid w:val="00F26C31"/>
    <w:rsid w:val="00F30485"/>
    <w:rsid w:val="00F33378"/>
    <w:rsid w:val="00F43180"/>
    <w:rsid w:val="00F4419E"/>
    <w:rsid w:val="00F46EBB"/>
    <w:rsid w:val="00F5473A"/>
    <w:rsid w:val="00F558B9"/>
    <w:rsid w:val="00F62253"/>
    <w:rsid w:val="00F627C9"/>
    <w:rsid w:val="00F663F0"/>
    <w:rsid w:val="00F66481"/>
    <w:rsid w:val="00F717D0"/>
    <w:rsid w:val="00F7454B"/>
    <w:rsid w:val="00F75D1D"/>
    <w:rsid w:val="00F8317B"/>
    <w:rsid w:val="00F8515E"/>
    <w:rsid w:val="00F8684E"/>
    <w:rsid w:val="00F8753E"/>
    <w:rsid w:val="00F87B12"/>
    <w:rsid w:val="00F90F17"/>
    <w:rsid w:val="00F91DAC"/>
    <w:rsid w:val="00F92F39"/>
    <w:rsid w:val="00F94713"/>
    <w:rsid w:val="00F96189"/>
    <w:rsid w:val="00FA7E37"/>
    <w:rsid w:val="00FB38A0"/>
    <w:rsid w:val="00FB5590"/>
    <w:rsid w:val="00FB5CDE"/>
    <w:rsid w:val="00FB76E1"/>
    <w:rsid w:val="00FC3840"/>
    <w:rsid w:val="00FC433A"/>
    <w:rsid w:val="00FC5E3C"/>
    <w:rsid w:val="00FC629B"/>
    <w:rsid w:val="00FD38D8"/>
    <w:rsid w:val="00FD5785"/>
    <w:rsid w:val="00FD6EA3"/>
    <w:rsid w:val="00FD748B"/>
    <w:rsid w:val="00FE49AA"/>
    <w:rsid w:val="00FF2DEC"/>
    <w:rsid w:val="00FF3C2C"/>
    <w:rsid w:val="00FF7D5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6C379684"/>
  <w15:chartTrackingRefBased/>
  <w15:docId w15:val="{1FC64223-2092-47CB-8BF6-8010687AB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E53E2"/>
  </w:style>
  <w:style w:type="paragraph" w:styleId="Heading1">
    <w:name w:val="heading 1"/>
    <w:basedOn w:val="Normal"/>
    <w:next w:val="Normal"/>
    <w:link w:val="Heading1Char"/>
    <w:uiPriority w:val="9"/>
    <w:rsid w:val="005C0C3F"/>
    <w:pPr>
      <w:spacing w:after="720" w:line="192" w:lineRule="auto"/>
      <w:outlineLvl w:val="0"/>
    </w:pPr>
    <w:rPr>
      <w:rFonts w:ascii="Arial Black" w:hAnsi="Arial Black" w:cs="Arial"/>
      <w:color w:val="004200" w:themeColor="accent1"/>
      <w:sz w:val="72"/>
      <w:szCs w:val="80"/>
    </w:rPr>
  </w:style>
  <w:style w:type="paragraph" w:styleId="Heading2">
    <w:name w:val="heading 2"/>
    <w:basedOn w:val="Normal"/>
    <w:next w:val="Normal"/>
    <w:link w:val="Heading2Char"/>
    <w:uiPriority w:val="9"/>
    <w:unhideWhenUsed/>
    <w:rsid w:val="005C0C3F"/>
    <w:pPr>
      <w:spacing w:before="360" w:line="276" w:lineRule="auto"/>
      <w:outlineLvl w:val="1"/>
    </w:pPr>
    <w:rPr>
      <w:rFonts w:ascii="Arial Black" w:hAnsi="Arial Black" w:cs="Arial"/>
      <w:color w:val="000000" w:themeColor="text1"/>
      <w:sz w:val="36"/>
      <w:szCs w:val="36"/>
    </w:rPr>
  </w:style>
  <w:style w:type="paragraph" w:styleId="Heading3">
    <w:name w:val="heading 3"/>
    <w:basedOn w:val="H3"/>
    <w:next w:val="Normal"/>
    <w:link w:val="Heading3Char"/>
    <w:uiPriority w:val="9"/>
    <w:unhideWhenUsed/>
    <w:qFormat/>
    <w:rsid w:val="005C0C3F"/>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E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EDC"/>
  </w:style>
  <w:style w:type="paragraph" w:styleId="Footer">
    <w:name w:val="footer"/>
    <w:basedOn w:val="Normal"/>
    <w:link w:val="FooterChar"/>
    <w:uiPriority w:val="99"/>
    <w:unhideWhenUsed/>
    <w:rsid w:val="00D53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EDC"/>
  </w:style>
  <w:style w:type="paragraph" w:styleId="BalloonText">
    <w:name w:val="Balloon Text"/>
    <w:basedOn w:val="Normal"/>
    <w:link w:val="BalloonTextChar"/>
    <w:uiPriority w:val="99"/>
    <w:semiHidden/>
    <w:unhideWhenUsed/>
    <w:rsid w:val="00D53E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EDC"/>
    <w:rPr>
      <w:rFonts w:ascii="Segoe UI" w:hAnsi="Segoe UI" w:cs="Segoe UI"/>
      <w:sz w:val="18"/>
      <w:szCs w:val="18"/>
    </w:rPr>
  </w:style>
  <w:style w:type="paragraph" w:customStyle="1" w:styleId="CoverTitle">
    <w:name w:val="Cover Title"/>
    <w:basedOn w:val="Normal"/>
    <w:link w:val="CoverTitleChar"/>
    <w:qFormat/>
    <w:rsid w:val="003E1DB6"/>
    <w:pPr>
      <w:spacing w:line="163" w:lineRule="auto"/>
    </w:pPr>
    <w:rPr>
      <w:rFonts w:ascii="Arial Black" w:hAnsi="Arial Black" w:cs="Arial"/>
      <w:color w:val="FFFFFF" w:themeColor="background1"/>
      <w:sz w:val="144"/>
      <w:szCs w:val="144"/>
    </w:rPr>
  </w:style>
  <w:style w:type="paragraph" w:customStyle="1" w:styleId="CoverSubhead">
    <w:name w:val="Cover Subhead"/>
    <w:basedOn w:val="CoverTitle"/>
    <w:link w:val="CoverSubheadChar"/>
    <w:qFormat/>
    <w:rsid w:val="00507AF9"/>
    <w:rPr>
      <w:sz w:val="92"/>
      <w:szCs w:val="92"/>
    </w:rPr>
  </w:style>
  <w:style w:type="character" w:customStyle="1" w:styleId="CoverTitleChar">
    <w:name w:val="Cover Title Char"/>
    <w:basedOn w:val="DefaultParagraphFont"/>
    <w:link w:val="CoverTitle"/>
    <w:rsid w:val="003E1DB6"/>
    <w:rPr>
      <w:rFonts w:ascii="Arial Black" w:hAnsi="Arial Black" w:cs="Arial"/>
      <w:color w:val="FFFFFF" w:themeColor="background1"/>
      <w:sz w:val="144"/>
      <w:szCs w:val="144"/>
    </w:rPr>
  </w:style>
  <w:style w:type="paragraph" w:customStyle="1" w:styleId="Body">
    <w:name w:val="Body"/>
    <w:basedOn w:val="CoverSubhead"/>
    <w:link w:val="BodyChar"/>
    <w:qFormat/>
    <w:rsid w:val="00706C1C"/>
    <w:pPr>
      <w:spacing w:line="276" w:lineRule="auto"/>
    </w:pPr>
    <w:rPr>
      <w:rFonts w:ascii="Arial" w:hAnsi="Arial"/>
      <w:color w:val="262626" w:themeColor="text1" w:themeTint="D9"/>
      <w:sz w:val="18"/>
      <w:szCs w:val="18"/>
    </w:rPr>
  </w:style>
  <w:style w:type="character" w:customStyle="1" w:styleId="CoverSubheadChar">
    <w:name w:val="Cover Subhead Char"/>
    <w:basedOn w:val="CoverTitleChar"/>
    <w:link w:val="CoverSubhead"/>
    <w:rsid w:val="00507AF9"/>
    <w:rPr>
      <w:rFonts w:ascii="Arial Black" w:hAnsi="Arial Black" w:cs="Arial"/>
      <w:color w:val="FFFFFF" w:themeColor="background1"/>
      <w:sz w:val="92"/>
      <w:szCs w:val="92"/>
    </w:rPr>
  </w:style>
  <w:style w:type="character" w:styleId="Hyperlink">
    <w:name w:val="Hyperlink"/>
    <w:basedOn w:val="DefaultParagraphFont"/>
    <w:uiPriority w:val="99"/>
    <w:unhideWhenUsed/>
    <w:rsid w:val="00706C1C"/>
    <w:rPr>
      <w:color w:val="000000" w:themeColor="hyperlink"/>
      <w:u w:val="single"/>
    </w:rPr>
  </w:style>
  <w:style w:type="character" w:customStyle="1" w:styleId="BodyChar">
    <w:name w:val="Body Char"/>
    <w:basedOn w:val="CoverSubheadChar"/>
    <w:link w:val="Body"/>
    <w:rsid w:val="00706C1C"/>
    <w:rPr>
      <w:rFonts w:ascii="Arial" w:hAnsi="Arial" w:cs="Arial"/>
      <w:color w:val="262626" w:themeColor="text1" w:themeTint="D9"/>
      <w:sz w:val="18"/>
      <w:szCs w:val="18"/>
    </w:rPr>
  </w:style>
  <w:style w:type="character" w:customStyle="1" w:styleId="UnresolvedMention">
    <w:name w:val="Unresolved Mention"/>
    <w:basedOn w:val="DefaultParagraphFont"/>
    <w:uiPriority w:val="99"/>
    <w:semiHidden/>
    <w:unhideWhenUsed/>
    <w:rsid w:val="00706C1C"/>
    <w:rPr>
      <w:color w:val="605E5C"/>
      <w:shd w:val="clear" w:color="auto" w:fill="E1DFDD"/>
    </w:rPr>
  </w:style>
  <w:style w:type="paragraph" w:customStyle="1" w:styleId="Link">
    <w:name w:val="Link"/>
    <w:basedOn w:val="Body"/>
    <w:link w:val="LinkChar"/>
    <w:qFormat/>
    <w:rsid w:val="00706C1C"/>
    <w:rPr>
      <w:color w:val="008A00" w:themeColor="accent2"/>
      <w:u w:val="single"/>
    </w:rPr>
  </w:style>
  <w:style w:type="paragraph" w:customStyle="1" w:styleId="Pa3">
    <w:name w:val="Pa3"/>
    <w:basedOn w:val="Normal"/>
    <w:next w:val="Normal"/>
    <w:uiPriority w:val="99"/>
    <w:rsid w:val="000C23B7"/>
    <w:pPr>
      <w:autoSpaceDE w:val="0"/>
      <w:autoSpaceDN w:val="0"/>
      <w:adjustRightInd w:val="0"/>
      <w:spacing w:after="0" w:line="181" w:lineRule="atLeast"/>
    </w:pPr>
    <w:rPr>
      <w:rFonts w:ascii="Futura PT Medium" w:hAnsi="Futura PT Medium"/>
      <w:sz w:val="24"/>
      <w:szCs w:val="24"/>
      <w:lang w:val="en-US"/>
    </w:rPr>
  </w:style>
  <w:style w:type="character" w:customStyle="1" w:styleId="LinkChar">
    <w:name w:val="Link Char"/>
    <w:basedOn w:val="BodyChar"/>
    <w:link w:val="Link"/>
    <w:rsid w:val="00706C1C"/>
    <w:rPr>
      <w:rFonts w:ascii="Arial" w:hAnsi="Arial" w:cs="Arial"/>
      <w:color w:val="008A00" w:themeColor="accent2"/>
      <w:sz w:val="18"/>
      <w:szCs w:val="18"/>
      <w:u w:val="single"/>
    </w:rPr>
  </w:style>
  <w:style w:type="character" w:customStyle="1" w:styleId="A4">
    <w:name w:val="A4"/>
    <w:uiPriority w:val="99"/>
    <w:rsid w:val="000C23B7"/>
    <w:rPr>
      <w:rFonts w:cs="Futura PT Medium"/>
      <w:color w:val="008E52"/>
      <w:sz w:val="18"/>
      <w:szCs w:val="18"/>
      <w:u w:val="single"/>
    </w:rPr>
  </w:style>
  <w:style w:type="paragraph" w:customStyle="1" w:styleId="BulletList">
    <w:name w:val="Bullet List"/>
    <w:basedOn w:val="Body"/>
    <w:link w:val="BulletListChar"/>
    <w:qFormat/>
    <w:rsid w:val="009D7F61"/>
    <w:pPr>
      <w:numPr>
        <w:numId w:val="1"/>
      </w:numPr>
    </w:pPr>
  </w:style>
  <w:style w:type="paragraph" w:customStyle="1" w:styleId="NumberedList">
    <w:name w:val="Numbered List"/>
    <w:basedOn w:val="Body"/>
    <w:link w:val="NumberedListChar"/>
    <w:qFormat/>
    <w:rsid w:val="002740E7"/>
    <w:pPr>
      <w:numPr>
        <w:numId w:val="3"/>
      </w:numPr>
    </w:pPr>
  </w:style>
  <w:style w:type="character" w:customStyle="1" w:styleId="BulletListChar">
    <w:name w:val="Bullet List Char"/>
    <w:basedOn w:val="BodyChar"/>
    <w:link w:val="BulletList"/>
    <w:rsid w:val="006A32AC"/>
    <w:rPr>
      <w:rFonts w:ascii="Arial" w:hAnsi="Arial" w:cs="Arial"/>
      <w:color w:val="262626" w:themeColor="text1" w:themeTint="D9"/>
      <w:sz w:val="18"/>
      <w:szCs w:val="18"/>
    </w:rPr>
  </w:style>
  <w:style w:type="paragraph" w:customStyle="1" w:styleId="SectionBreakSubhead">
    <w:name w:val="Section Break Subhead"/>
    <w:basedOn w:val="Normal"/>
    <w:link w:val="SectionBreakSubheadChar"/>
    <w:qFormat/>
    <w:rsid w:val="005C0C3F"/>
    <w:pPr>
      <w:spacing w:before="360" w:line="276" w:lineRule="auto"/>
    </w:pPr>
    <w:rPr>
      <w:rFonts w:ascii="Arial Black" w:hAnsi="Arial Black" w:cs="Arial"/>
      <w:color w:val="FFFFFF" w:themeColor="background1"/>
      <w:sz w:val="28"/>
      <w:szCs w:val="28"/>
    </w:rPr>
  </w:style>
  <w:style w:type="character" w:customStyle="1" w:styleId="NumberedListChar">
    <w:name w:val="Numbered List Char"/>
    <w:basedOn w:val="BodyChar"/>
    <w:link w:val="NumberedList"/>
    <w:rsid w:val="002740E7"/>
    <w:rPr>
      <w:rFonts w:ascii="Arial" w:hAnsi="Arial" w:cs="Arial"/>
      <w:color w:val="262626" w:themeColor="text1" w:themeTint="D9"/>
      <w:sz w:val="18"/>
      <w:szCs w:val="18"/>
    </w:rPr>
  </w:style>
  <w:style w:type="paragraph" w:customStyle="1" w:styleId="BulletListRed">
    <w:name w:val="Bullet List Red"/>
    <w:link w:val="BulletListRedChar"/>
    <w:qFormat/>
    <w:rsid w:val="009D7F61"/>
    <w:pPr>
      <w:numPr>
        <w:numId w:val="2"/>
      </w:numPr>
    </w:pPr>
    <w:rPr>
      <w:rFonts w:ascii="Arial" w:hAnsi="Arial" w:cs="Arial"/>
      <w:color w:val="262626" w:themeColor="text1" w:themeTint="D9"/>
      <w:sz w:val="18"/>
      <w:szCs w:val="18"/>
    </w:rPr>
  </w:style>
  <w:style w:type="character" w:customStyle="1" w:styleId="SectionBreakSubheadChar">
    <w:name w:val="Section Break Subhead Char"/>
    <w:basedOn w:val="DefaultParagraphFont"/>
    <w:link w:val="SectionBreakSubhead"/>
    <w:rsid w:val="005C0C3F"/>
    <w:rPr>
      <w:rFonts w:ascii="Arial Black" w:hAnsi="Arial Black" w:cs="Arial"/>
      <w:color w:val="FFFFFF" w:themeColor="background1"/>
      <w:sz w:val="28"/>
      <w:szCs w:val="28"/>
    </w:rPr>
  </w:style>
  <w:style w:type="table" w:styleId="TableGrid">
    <w:name w:val="Table Grid"/>
    <w:basedOn w:val="TableNormal"/>
    <w:rsid w:val="009D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istRedChar">
    <w:name w:val="Bullet List Red Char"/>
    <w:basedOn w:val="BulletListChar"/>
    <w:link w:val="BulletListRed"/>
    <w:rsid w:val="009D7F61"/>
    <w:rPr>
      <w:rFonts w:ascii="Arial" w:hAnsi="Arial" w:cs="Arial"/>
      <w:color w:val="262626" w:themeColor="text1" w:themeTint="D9"/>
      <w:sz w:val="18"/>
      <w:szCs w:val="18"/>
    </w:rPr>
  </w:style>
  <w:style w:type="paragraph" w:customStyle="1" w:styleId="TableHeading">
    <w:name w:val="Table Heading"/>
    <w:basedOn w:val="SectionBreakSubhead"/>
    <w:link w:val="TableHeadingChar"/>
    <w:qFormat/>
    <w:rsid w:val="005964CC"/>
    <w:pPr>
      <w:spacing w:before="40" w:after="40" w:line="240" w:lineRule="auto"/>
    </w:pPr>
    <w:rPr>
      <w:sz w:val="24"/>
      <w:szCs w:val="24"/>
    </w:rPr>
  </w:style>
  <w:style w:type="paragraph" w:customStyle="1" w:styleId="H3">
    <w:name w:val="H3"/>
    <w:basedOn w:val="Normal"/>
    <w:link w:val="H3Char"/>
    <w:qFormat/>
    <w:rsid w:val="005C0C3F"/>
    <w:pPr>
      <w:spacing w:before="360" w:line="276" w:lineRule="auto"/>
    </w:pPr>
    <w:rPr>
      <w:rFonts w:ascii="Arial" w:hAnsi="Arial" w:cs="Arial"/>
      <w:b/>
      <w:color w:val="000000" w:themeColor="text1"/>
      <w:sz w:val="28"/>
      <w:szCs w:val="28"/>
    </w:rPr>
  </w:style>
  <w:style w:type="character" w:customStyle="1" w:styleId="TableHeadingChar">
    <w:name w:val="Table Heading Char"/>
    <w:basedOn w:val="SectionBreakSubheadChar"/>
    <w:link w:val="TableHeading"/>
    <w:rsid w:val="005964CC"/>
    <w:rPr>
      <w:rFonts w:ascii="Arial Black" w:hAnsi="Arial Black" w:cs="Arial"/>
      <w:color w:val="FFFFFF" w:themeColor="background1"/>
      <w:sz w:val="24"/>
      <w:szCs w:val="24"/>
    </w:rPr>
  </w:style>
  <w:style w:type="paragraph" w:customStyle="1" w:styleId="bullets">
    <w:name w:val="bullets"/>
    <w:basedOn w:val="Normal"/>
    <w:uiPriority w:val="99"/>
    <w:rsid w:val="00DD6C60"/>
    <w:pPr>
      <w:suppressAutoHyphens/>
      <w:autoSpaceDE w:val="0"/>
      <w:autoSpaceDN w:val="0"/>
      <w:adjustRightInd w:val="0"/>
      <w:spacing w:after="57" w:line="280" w:lineRule="atLeast"/>
      <w:ind w:left="283" w:hanging="283"/>
      <w:textAlignment w:val="center"/>
    </w:pPr>
    <w:rPr>
      <w:rFonts w:ascii="Futura PT Book" w:hAnsi="Futura PT Book" w:cs="Futura PT Book"/>
      <w:color w:val="000000"/>
      <w:sz w:val="18"/>
      <w:szCs w:val="18"/>
      <w:lang w:val="en-US"/>
    </w:rPr>
  </w:style>
  <w:style w:type="character" w:customStyle="1" w:styleId="H3Char">
    <w:name w:val="H3 Char"/>
    <w:basedOn w:val="DefaultParagraphFont"/>
    <w:link w:val="H3"/>
    <w:rsid w:val="005C0C3F"/>
    <w:rPr>
      <w:rFonts w:ascii="Arial" w:hAnsi="Arial" w:cs="Arial"/>
      <w:b/>
      <w:color w:val="000000" w:themeColor="text1"/>
      <w:sz w:val="28"/>
      <w:szCs w:val="28"/>
    </w:rPr>
  </w:style>
  <w:style w:type="paragraph" w:customStyle="1" w:styleId="lastbullet">
    <w:name w:val="last bullet"/>
    <w:basedOn w:val="bullets"/>
    <w:uiPriority w:val="99"/>
    <w:rsid w:val="00DD6C60"/>
    <w:pPr>
      <w:spacing w:after="113"/>
    </w:pPr>
  </w:style>
  <w:style w:type="character" w:customStyle="1" w:styleId="Bold">
    <w:name w:val="Bold"/>
    <w:uiPriority w:val="99"/>
    <w:rsid w:val="00DD6C60"/>
  </w:style>
  <w:style w:type="paragraph" w:customStyle="1" w:styleId="body0">
    <w:name w:val="body"/>
    <w:basedOn w:val="Normal"/>
    <w:uiPriority w:val="99"/>
    <w:rsid w:val="00D508FF"/>
    <w:pPr>
      <w:suppressAutoHyphens/>
      <w:autoSpaceDE w:val="0"/>
      <w:autoSpaceDN w:val="0"/>
      <w:adjustRightInd w:val="0"/>
      <w:spacing w:after="113" w:line="280" w:lineRule="atLeast"/>
      <w:textAlignment w:val="center"/>
    </w:pPr>
    <w:rPr>
      <w:rFonts w:ascii="Futura PT Book" w:hAnsi="Futura PT Book" w:cs="Futura PT Book"/>
      <w:color w:val="000000"/>
      <w:sz w:val="18"/>
      <w:szCs w:val="18"/>
      <w:lang w:val="en-US"/>
    </w:rPr>
  </w:style>
  <w:style w:type="paragraph" w:customStyle="1" w:styleId="IntroBody">
    <w:name w:val="Intro Body"/>
    <w:basedOn w:val="Body"/>
    <w:link w:val="IntroBodyChar"/>
    <w:qFormat/>
    <w:rsid w:val="00764CDE"/>
    <w:rPr>
      <w:b/>
    </w:rPr>
  </w:style>
  <w:style w:type="paragraph" w:customStyle="1" w:styleId="LetterListLevel2">
    <w:name w:val="Letter List Level 2"/>
    <w:basedOn w:val="Body"/>
    <w:link w:val="LetterListLevel2Char"/>
    <w:qFormat/>
    <w:rsid w:val="00724B93"/>
    <w:pPr>
      <w:numPr>
        <w:numId w:val="4"/>
      </w:numPr>
    </w:pPr>
  </w:style>
  <w:style w:type="character" w:customStyle="1" w:styleId="IntroBodyChar">
    <w:name w:val="Intro Body Char"/>
    <w:basedOn w:val="BodyChar"/>
    <w:link w:val="IntroBody"/>
    <w:rsid w:val="00764CDE"/>
    <w:rPr>
      <w:rFonts w:ascii="Arial" w:hAnsi="Arial" w:cs="Arial"/>
      <w:b/>
      <w:color w:val="262626" w:themeColor="text1" w:themeTint="D9"/>
      <w:sz w:val="18"/>
      <w:szCs w:val="18"/>
    </w:rPr>
  </w:style>
  <w:style w:type="paragraph" w:customStyle="1" w:styleId="TableBodySmall">
    <w:name w:val="Table Body Small"/>
    <w:basedOn w:val="Body"/>
    <w:link w:val="TableBodySmallChar"/>
    <w:qFormat/>
    <w:rsid w:val="0061325A"/>
    <w:pPr>
      <w:spacing w:before="40" w:after="40"/>
    </w:pPr>
    <w:rPr>
      <w:sz w:val="16"/>
      <w:szCs w:val="14"/>
    </w:rPr>
  </w:style>
  <w:style w:type="character" w:customStyle="1" w:styleId="LetterListLevel2Char">
    <w:name w:val="Letter List Level 2 Char"/>
    <w:basedOn w:val="BodyChar"/>
    <w:link w:val="LetterListLevel2"/>
    <w:rsid w:val="00724B93"/>
    <w:rPr>
      <w:rFonts w:ascii="Arial" w:hAnsi="Arial" w:cs="Arial"/>
      <w:color w:val="262626" w:themeColor="text1" w:themeTint="D9"/>
      <w:sz w:val="18"/>
      <w:szCs w:val="18"/>
    </w:rPr>
  </w:style>
  <w:style w:type="character" w:customStyle="1" w:styleId="Heading1Char">
    <w:name w:val="Heading 1 Char"/>
    <w:basedOn w:val="DefaultParagraphFont"/>
    <w:link w:val="Heading1"/>
    <w:uiPriority w:val="9"/>
    <w:rsid w:val="005C0C3F"/>
    <w:rPr>
      <w:rFonts w:ascii="Arial Black" w:hAnsi="Arial Black" w:cs="Arial"/>
      <w:color w:val="004200" w:themeColor="accent1"/>
      <w:sz w:val="72"/>
      <w:szCs w:val="80"/>
    </w:rPr>
  </w:style>
  <w:style w:type="character" w:customStyle="1" w:styleId="TableBodySmallChar">
    <w:name w:val="Table Body Small Char"/>
    <w:basedOn w:val="BodyChar"/>
    <w:link w:val="TableBodySmall"/>
    <w:rsid w:val="0061325A"/>
    <w:rPr>
      <w:rFonts w:ascii="Arial" w:hAnsi="Arial" w:cs="Arial"/>
      <w:color w:val="262626" w:themeColor="text1" w:themeTint="D9"/>
      <w:sz w:val="16"/>
      <w:szCs w:val="14"/>
    </w:rPr>
  </w:style>
  <w:style w:type="paragraph" w:styleId="TOCHeading">
    <w:name w:val="TOC Heading"/>
    <w:basedOn w:val="Heading1"/>
    <w:next w:val="Normal"/>
    <w:uiPriority w:val="39"/>
    <w:unhideWhenUsed/>
    <w:qFormat/>
    <w:rsid w:val="00B73C6E"/>
    <w:pPr>
      <w:outlineLvl w:val="9"/>
    </w:pPr>
    <w:rPr>
      <w:lang w:val="en-US"/>
    </w:rPr>
  </w:style>
  <w:style w:type="paragraph" w:styleId="TOC1">
    <w:name w:val="toc 1"/>
    <w:basedOn w:val="Normal"/>
    <w:next w:val="Normal"/>
    <w:autoRedefine/>
    <w:uiPriority w:val="39"/>
    <w:unhideWhenUsed/>
    <w:rsid w:val="000F10D9"/>
    <w:pPr>
      <w:tabs>
        <w:tab w:val="right" w:pos="6379"/>
      </w:tabs>
      <w:spacing w:after="240"/>
      <w:ind w:left="284"/>
    </w:pPr>
    <w:rPr>
      <w:rFonts w:ascii="Arial" w:hAnsi="Arial"/>
      <w:color w:val="FFFFFF" w:themeColor="background2"/>
    </w:rPr>
  </w:style>
  <w:style w:type="character" w:customStyle="1" w:styleId="Heading2Char">
    <w:name w:val="Heading 2 Char"/>
    <w:basedOn w:val="DefaultParagraphFont"/>
    <w:link w:val="Heading2"/>
    <w:uiPriority w:val="9"/>
    <w:rsid w:val="005C0C3F"/>
    <w:rPr>
      <w:rFonts w:ascii="Arial Black" w:hAnsi="Arial Black" w:cs="Arial"/>
      <w:color w:val="000000" w:themeColor="text1"/>
      <w:sz w:val="36"/>
      <w:szCs w:val="36"/>
    </w:rPr>
  </w:style>
  <w:style w:type="character" w:customStyle="1" w:styleId="Heading3Char">
    <w:name w:val="Heading 3 Char"/>
    <w:basedOn w:val="DefaultParagraphFont"/>
    <w:link w:val="Heading3"/>
    <w:uiPriority w:val="9"/>
    <w:rsid w:val="005C0C3F"/>
    <w:rPr>
      <w:rFonts w:ascii="Arial" w:hAnsi="Arial" w:cs="Arial"/>
      <w:b/>
      <w:color w:val="000000" w:themeColor="text1"/>
      <w:sz w:val="28"/>
      <w:szCs w:val="28"/>
    </w:rPr>
  </w:style>
  <w:style w:type="character" w:styleId="CommentReference">
    <w:name w:val="annotation reference"/>
    <w:basedOn w:val="DefaultParagraphFont"/>
    <w:uiPriority w:val="99"/>
    <w:semiHidden/>
    <w:unhideWhenUsed/>
    <w:rsid w:val="003A1FE7"/>
    <w:rPr>
      <w:sz w:val="16"/>
      <w:szCs w:val="16"/>
    </w:rPr>
  </w:style>
  <w:style w:type="paragraph" w:styleId="CommentText">
    <w:name w:val="annotation text"/>
    <w:basedOn w:val="Normal"/>
    <w:link w:val="CommentTextChar"/>
    <w:unhideWhenUsed/>
    <w:rsid w:val="003A1FE7"/>
    <w:pPr>
      <w:spacing w:line="240" w:lineRule="auto"/>
    </w:pPr>
    <w:rPr>
      <w:sz w:val="20"/>
      <w:szCs w:val="20"/>
    </w:rPr>
  </w:style>
  <w:style w:type="character" w:customStyle="1" w:styleId="CommentTextChar">
    <w:name w:val="Comment Text Char"/>
    <w:basedOn w:val="DefaultParagraphFont"/>
    <w:link w:val="CommentText"/>
    <w:rsid w:val="003A1FE7"/>
    <w:rPr>
      <w:sz w:val="20"/>
      <w:szCs w:val="20"/>
    </w:rPr>
  </w:style>
  <w:style w:type="paragraph" w:styleId="CommentSubject">
    <w:name w:val="annotation subject"/>
    <w:basedOn w:val="CommentText"/>
    <w:next w:val="CommentText"/>
    <w:link w:val="CommentSubjectChar"/>
    <w:uiPriority w:val="99"/>
    <w:semiHidden/>
    <w:unhideWhenUsed/>
    <w:rsid w:val="003A1FE7"/>
    <w:rPr>
      <w:b/>
      <w:bCs/>
    </w:rPr>
  </w:style>
  <w:style w:type="character" w:customStyle="1" w:styleId="CommentSubjectChar">
    <w:name w:val="Comment Subject Char"/>
    <w:basedOn w:val="CommentTextChar"/>
    <w:link w:val="CommentSubject"/>
    <w:uiPriority w:val="99"/>
    <w:semiHidden/>
    <w:rsid w:val="003A1FE7"/>
    <w:rPr>
      <w:b/>
      <w:bCs/>
      <w:sz w:val="20"/>
      <w:szCs w:val="20"/>
    </w:rPr>
  </w:style>
  <w:style w:type="paragraph" w:styleId="ListParagraph">
    <w:name w:val="List Paragraph"/>
    <w:aliases w:val="List Paragraph1,Recommendation,Bullet table,Bullet L1"/>
    <w:basedOn w:val="Normal"/>
    <w:link w:val="ListParagraphChar"/>
    <w:uiPriority w:val="34"/>
    <w:qFormat/>
    <w:rsid w:val="00C27B65"/>
    <w:pPr>
      <w:ind w:left="720"/>
      <w:contextualSpacing/>
    </w:pPr>
  </w:style>
  <w:style w:type="paragraph" w:styleId="TOC2">
    <w:name w:val="toc 2"/>
    <w:basedOn w:val="Normal"/>
    <w:next w:val="Normal"/>
    <w:autoRedefine/>
    <w:uiPriority w:val="39"/>
    <w:unhideWhenUsed/>
    <w:rsid w:val="009C246A"/>
    <w:pPr>
      <w:tabs>
        <w:tab w:val="right" w:pos="8080"/>
      </w:tabs>
      <w:spacing w:after="240"/>
      <w:ind w:left="284" w:right="-340"/>
    </w:pPr>
    <w:rPr>
      <w:rFonts w:ascii="Arial" w:hAnsi="Arial" w:cs="Arial"/>
      <w:noProof/>
      <w:color w:val="FFFFFF" w:themeColor="background1"/>
    </w:rPr>
  </w:style>
  <w:style w:type="paragraph" w:styleId="TOC3">
    <w:name w:val="toc 3"/>
    <w:basedOn w:val="Normal"/>
    <w:next w:val="Normal"/>
    <w:autoRedefine/>
    <w:uiPriority w:val="39"/>
    <w:unhideWhenUsed/>
    <w:rsid w:val="00C75448"/>
    <w:pPr>
      <w:tabs>
        <w:tab w:val="right" w:pos="6379"/>
      </w:tabs>
      <w:spacing w:after="100"/>
      <w:ind w:left="284" w:firstLine="156"/>
    </w:pPr>
  </w:style>
  <w:style w:type="paragraph" w:styleId="Revision">
    <w:name w:val="Revision"/>
    <w:hidden/>
    <w:uiPriority w:val="99"/>
    <w:semiHidden/>
    <w:rsid w:val="00120DD2"/>
    <w:pPr>
      <w:spacing w:after="0" w:line="240" w:lineRule="auto"/>
    </w:pPr>
  </w:style>
  <w:style w:type="character" w:styleId="FollowedHyperlink">
    <w:name w:val="FollowedHyperlink"/>
    <w:basedOn w:val="DefaultParagraphFont"/>
    <w:uiPriority w:val="99"/>
    <w:semiHidden/>
    <w:unhideWhenUsed/>
    <w:rsid w:val="0073639D"/>
    <w:rPr>
      <w:color w:val="000000" w:themeColor="followedHyperlink"/>
      <w:u w:val="single"/>
    </w:rPr>
  </w:style>
  <w:style w:type="character" w:customStyle="1" w:styleId="ListParagraphChar">
    <w:name w:val="List Paragraph Char"/>
    <w:aliases w:val="List Paragraph1 Char,Recommendation Char,Bullet table Char,Bullet L1 Char"/>
    <w:link w:val="ListParagraph"/>
    <w:uiPriority w:val="34"/>
    <w:locked/>
    <w:rsid w:val="004A7C26"/>
  </w:style>
  <w:style w:type="paragraph" w:styleId="BodyText">
    <w:name w:val="Body Text"/>
    <w:basedOn w:val="Normal"/>
    <w:link w:val="BodyTextChar"/>
    <w:uiPriority w:val="1"/>
    <w:qFormat/>
    <w:rsid w:val="006E7666"/>
    <w:pPr>
      <w:widowControl w:val="0"/>
      <w:autoSpaceDE w:val="0"/>
      <w:autoSpaceDN w:val="0"/>
      <w:spacing w:after="0" w:line="240" w:lineRule="auto"/>
      <w:ind w:left="255"/>
    </w:pPr>
    <w:rPr>
      <w:rFonts w:ascii="Calibri" w:eastAsia="Calibri" w:hAnsi="Calibri" w:cs="Calibri"/>
      <w:sz w:val="16"/>
      <w:szCs w:val="16"/>
      <w:lang w:val="en-US"/>
    </w:rPr>
  </w:style>
  <w:style w:type="character" w:customStyle="1" w:styleId="BodyTextChar">
    <w:name w:val="Body Text Char"/>
    <w:basedOn w:val="DefaultParagraphFont"/>
    <w:link w:val="BodyText"/>
    <w:uiPriority w:val="1"/>
    <w:rsid w:val="006E7666"/>
    <w:rPr>
      <w:rFonts w:ascii="Calibri" w:eastAsia="Calibri" w:hAnsi="Calibri" w:cs="Calibri"/>
      <w:sz w:val="16"/>
      <w:szCs w:val="16"/>
      <w:lang w:val="en-US"/>
    </w:rPr>
  </w:style>
  <w:style w:type="paragraph" w:customStyle="1" w:styleId="Tabletextnormal9pt">
    <w:name w:val="Table text (normal) 9pt"/>
    <w:qFormat/>
    <w:locked/>
    <w:rsid w:val="001F3404"/>
    <w:pPr>
      <w:spacing w:before="40" w:after="40" w:line="240" w:lineRule="auto"/>
    </w:pPr>
    <w:rPr>
      <w:rFonts w:ascii="Arial" w:eastAsia="Times New Roman" w:hAnsi="Arial" w:cs="Arial"/>
      <w:color w:val="000000"/>
      <w:sz w:val="18"/>
      <w:szCs w:val="18"/>
      <w:lang w:val="en-AU" w:eastAsia="en-AU"/>
    </w:rPr>
  </w:style>
  <w:style w:type="paragraph" w:customStyle="1" w:styleId="TableHeadingRow9pt">
    <w:name w:val="Table Heading Row 9pt"/>
    <w:link w:val="TableHeadingRow9ptChar"/>
    <w:qFormat/>
    <w:locked/>
    <w:rsid w:val="001F3404"/>
    <w:pPr>
      <w:spacing w:before="40" w:after="40" w:line="240" w:lineRule="auto"/>
    </w:pPr>
    <w:rPr>
      <w:rFonts w:ascii="Arial" w:eastAsia="Times New Roman" w:hAnsi="Arial" w:cs="Arial"/>
      <w:b/>
      <w:color w:val="000000"/>
      <w:sz w:val="18"/>
      <w:szCs w:val="18"/>
      <w:lang w:val="en-AU" w:eastAsia="en-AU"/>
    </w:rPr>
  </w:style>
  <w:style w:type="character" w:customStyle="1" w:styleId="TableHeadingRow9ptChar">
    <w:name w:val="Table Heading Row 9pt Char"/>
    <w:basedOn w:val="DefaultParagraphFont"/>
    <w:link w:val="TableHeadingRow9pt"/>
    <w:rsid w:val="001F3404"/>
    <w:rPr>
      <w:rFonts w:ascii="Arial" w:eastAsia="Times New Roman" w:hAnsi="Arial" w:cs="Arial"/>
      <w:b/>
      <w:color w:val="000000"/>
      <w:sz w:val="18"/>
      <w:szCs w:val="18"/>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450966">
      <w:bodyDiv w:val="1"/>
      <w:marLeft w:val="0"/>
      <w:marRight w:val="0"/>
      <w:marTop w:val="0"/>
      <w:marBottom w:val="0"/>
      <w:divBdr>
        <w:top w:val="none" w:sz="0" w:space="0" w:color="auto"/>
        <w:left w:val="none" w:sz="0" w:space="0" w:color="auto"/>
        <w:bottom w:val="none" w:sz="0" w:space="0" w:color="auto"/>
        <w:right w:val="none" w:sz="0" w:space="0" w:color="auto"/>
      </w:divBdr>
    </w:div>
    <w:div w:id="507448616">
      <w:bodyDiv w:val="1"/>
      <w:marLeft w:val="0"/>
      <w:marRight w:val="0"/>
      <w:marTop w:val="0"/>
      <w:marBottom w:val="0"/>
      <w:divBdr>
        <w:top w:val="none" w:sz="0" w:space="0" w:color="auto"/>
        <w:left w:val="none" w:sz="0" w:space="0" w:color="auto"/>
        <w:bottom w:val="none" w:sz="0" w:space="0" w:color="auto"/>
        <w:right w:val="none" w:sz="0" w:space="0" w:color="auto"/>
      </w:divBdr>
    </w:div>
    <w:div w:id="849485306">
      <w:bodyDiv w:val="1"/>
      <w:marLeft w:val="0"/>
      <w:marRight w:val="0"/>
      <w:marTop w:val="0"/>
      <w:marBottom w:val="0"/>
      <w:divBdr>
        <w:top w:val="none" w:sz="0" w:space="0" w:color="auto"/>
        <w:left w:val="none" w:sz="0" w:space="0" w:color="auto"/>
        <w:bottom w:val="none" w:sz="0" w:space="0" w:color="auto"/>
        <w:right w:val="none" w:sz="0" w:space="0" w:color="auto"/>
      </w:divBdr>
    </w:div>
    <w:div w:id="985473978">
      <w:bodyDiv w:val="1"/>
      <w:marLeft w:val="0"/>
      <w:marRight w:val="0"/>
      <w:marTop w:val="0"/>
      <w:marBottom w:val="0"/>
      <w:divBdr>
        <w:top w:val="none" w:sz="0" w:space="0" w:color="auto"/>
        <w:left w:val="none" w:sz="0" w:space="0" w:color="auto"/>
        <w:bottom w:val="none" w:sz="0" w:space="0" w:color="auto"/>
        <w:right w:val="none" w:sz="0" w:space="0" w:color="auto"/>
      </w:divBdr>
    </w:div>
    <w:div w:id="118247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creativecommons.org/licenses/by/3.0/au/legalcode" TargetMode="External"/><Relationship Id="rId26" Type="http://schemas.openxmlformats.org/officeDocument/2006/relationships/header" Target="header11.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s://www.safetyandquality.gov.au/our-work/indicators/hospital-acquired-complications" TargetMode="External"/><Relationship Id="rId42" Type="http://schemas.openxmlformats.org/officeDocument/2006/relationships/footer" Target="footer6.xml"/><Relationship Id="rId47" Type="http://schemas.openxmlformats.org/officeDocument/2006/relationships/header" Target="header2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yperlink" Target="https://www.safetyandquality.gov.au/our-work/indicators/australian-sentinel-events-list/" TargetMode="External"/><Relationship Id="rId38" Type="http://schemas.openxmlformats.org/officeDocument/2006/relationships/hyperlink" Target="https://www.ihpa.gov.au/publications/cost-shifting-and-cross-border-dispute-resolution-framework-0" TargetMode="External"/><Relationship Id="rId46"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creativecommons.org/licenses/by/3.0/au/legalcode" TargetMode="External"/><Relationship Id="rId29" Type="http://schemas.openxmlformats.org/officeDocument/2006/relationships/header" Target="header13.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hyperlink" Target="https://www.ihpa.gov.au/sites/g/files/net636/f/Documents/an-snap_classification_version_4_final_report.pdf" TargetMode="External"/><Relationship Id="rId40" Type="http://schemas.openxmlformats.org/officeDocument/2006/relationships/header" Target="header17.xml"/><Relationship Id="rId45"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oter" Target="footer4.xml"/><Relationship Id="rId36" Type="http://schemas.openxmlformats.org/officeDocument/2006/relationships/hyperlink" Target="https://www.ihpa.gov.au/publications/consultation-and-review-ar-drg-and-icd-10-amachiacs-classification-systems"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15.xml"/><Relationship Id="rId44" Type="http://schemas.openxmlformats.org/officeDocument/2006/relationships/hyperlink" Target="http://ihpa.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yperlink" Target="https://www.safetyandquality.gov.au/our-work/indicators/avoidable-hospital-readmissions" TargetMode="External"/><Relationship Id="rId43" Type="http://schemas.openxmlformats.org/officeDocument/2006/relationships/hyperlink" Target="mailto:enquiries.ihpa@ihpa.gov.au" TargetMode="External"/><Relationship Id="rId48" Type="http://schemas.openxmlformats.org/officeDocument/2006/relationships/footer" Target="footer7.xml"/><Relationship Id="rId8"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21.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A00"/>
      </a:accent2>
      <a:accent3>
        <a:srgbClr val="7EC352"/>
      </a:accent3>
      <a:accent4>
        <a:srgbClr val="636466"/>
      </a:accent4>
      <a:accent5>
        <a:srgbClr val="939598"/>
      </a:accent5>
      <a:accent6>
        <a:srgbClr val="C7C8CA"/>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A12BB-2406-4716-B656-A2DBD7A9F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28</Pages>
  <Words>10295</Words>
  <Characters>58684</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Draft IHPA Work Program and Corporate Plan 2021–22</vt:lpstr>
    </vt:vector>
  </TitlesOfParts>
  <Company/>
  <LinksUpToDate>false</LinksUpToDate>
  <CharactersWithSpaces>68842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IHPA Work Program and Corporate Plan 2021–22</dc:title>
  <dc:subject/>
  <dc:creator>Independent Hospital Pricing Authority</dc:creator>
  <cp:keywords/>
  <dc:description/>
  <cp:lastModifiedBy>TOMASKOVICOVA, Ivona</cp:lastModifiedBy>
  <cp:revision>10</cp:revision>
  <cp:lastPrinted>2020-05-25T06:35:00Z</cp:lastPrinted>
  <dcterms:created xsi:type="dcterms:W3CDTF">2020-11-25T04:34:00Z</dcterms:created>
  <dcterms:modified xsi:type="dcterms:W3CDTF">2021-03-11T05:27:00Z</dcterms:modified>
</cp:coreProperties>
</file>